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32C21">
      <w:pPr>
        <w:pStyle w:val="9"/>
        <w:ind w:right="-166" w:rightChars="-79"/>
        <w:jc w:val="center"/>
        <w:rPr>
          <w:rFonts w:ascii="宋体" w:cs="宋体"/>
          <w:color w:val="auto"/>
          <w:sz w:val="84"/>
          <w:szCs w:val="84"/>
          <w:highlight w:val="none"/>
        </w:rPr>
      </w:pPr>
      <w:bookmarkStart w:id="1384" w:name="_GoBack"/>
      <w:bookmarkStart w:id="0" w:name="_Toc7014_WPSOffice_Level1"/>
      <w:bookmarkStart w:id="1" w:name="_Toc10319"/>
    </w:p>
    <w:p w14:paraId="40103593">
      <w:pPr>
        <w:pStyle w:val="9"/>
        <w:ind w:right="-166" w:rightChars="-79"/>
        <w:jc w:val="center"/>
        <w:rPr>
          <w:rFonts w:ascii="宋体" w:cs="宋体"/>
          <w:color w:val="auto"/>
          <w:sz w:val="84"/>
          <w:szCs w:val="84"/>
          <w:highlight w:val="none"/>
        </w:rPr>
      </w:pPr>
    </w:p>
    <w:p w14:paraId="1057441A">
      <w:pPr>
        <w:pStyle w:val="9"/>
        <w:ind w:right="-166" w:rightChars="-79"/>
        <w:jc w:val="center"/>
        <w:rPr>
          <w:rFonts w:ascii="宋体" w:cs="宋体"/>
          <w:color w:val="auto"/>
          <w:sz w:val="84"/>
          <w:szCs w:val="84"/>
          <w:highlight w:val="none"/>
        </w:rPr>
      </w:pPr>
    </w:p>
    <w:p w14:paraId="335AFDCF">
      <w:pPr>
        <w:pStyle w:val="9"/>
        <w:ind w:right="-166" w:rightChars="-79"/>
        <w:jc w:val="center"/>
        <w:rPr>
          <w:rFonts w:ascii="宋体" w:cs="宋体"/>
          <w:color w:val="auto"/>
          <w:sz w:val="84"/>
          <w:szCs w:val="84"/>
          <w:highlight w:val="none"/>
        </w:rPr>
      </w:pPr>
    </w:p>
    <w:p w14:paraId="04DB167C">
      <w:pPr>
        <w:pStyle w:val="9"/>
        <w:spacing w:line="900" w:lineRule="exact"/>
        <w:ind w:right="-166" w:rightChars="-79"/>
        <w:jc w:val="center"/>
        <w:outlineLvl w:val="0"/>
        <w:rPr>
          <w:rFonts w:ascii="宋体" w:cs="宋体"/>
          <w:color w:val="auto"/>
          <w:sz w:val="84"/>
          <w:szCs w:val="84"/>
          <w:highlight w:val="none"/>
        </w:rPr>
      </w:pPr>
      <w:bookmarkStart w:id="2" w:name="_Toc1040"/>
      <w:r>
        <w:rPr>
          <w:rFonts w:hint="eastAsia" w:ascii="宋体" w:cs="宋体"/>
          <w:color w:val="auto"/>
          <w:sz w:val="84"/>
          <w:szCs w:val="84"/>
          <w:highlight w:val="none"/>
        </w:rPr>
        <w:t>竞争性磋商采购文件</w:t>
      </w:r>
      <w:bookmarkEnd w:id="2"/>
    </w:p>
    <w:p w14:paraId="4195A3EC">
      <w:pPr>
        <w:spacing w:line="360" w:lineRule="auto"/>
        <w:jc w:val="center"/>
        <w:rPr>
          <w:rFonts w:hint="eastAsia" w:ascii="宋体" w:hAnsi="宋体" w:cs="宋体"/>
          <w:color w:val="auto"/>
          <w:sz w:val="36"/>
          <w:szCs w:val="36"/>
          <w:highlight w:val="none"/>
          <w:lang w:val="en-US" w:eastAsia="zh-CN"/>
        </w:rPr>
      </w:pPr>
    </w:p>
    <w:p w14:paraId="1ECB4765">
      <w:pPr>
        <w:spacing w:line="360" w:lineRule="auto"/>
        <w:jc w:val="center"/>
        <w:rPr>
          <w:rFonts w:hint="eastAsia" w:ascii="宋体" w:hAnsi="宋体" w:cs="宋体"/>
          <w:color w:val="auto"/>
          <w:sz w:val="36"/>
          <w:szCs w:val="36"/>
          <w:highlight w:val="none"/>
          <w:lang w:val="en-US" w:eastAsia="zh-CN"/>
        </w:rPr>
      </w:pPr>
    </w:p>
    <w:p w14:paraId="1C9411E6">
      <w:pPr>
        <w:spacing w:line="360" w:lineRule="auto"/>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（全流程电子化采购）</w:t>
      </w:r>
    </w:p>
    <w:p w14:paraId="15F2A10E">
      <w:pPr>
        <w:spacing w:line="360" w:lineRule="auto"/>
        <w:rPr>
          <w:rFonts w:ascii="宋体" w:hAnsi="宋体" w:cs="宋体"/>
          <w:color w:val="auto"/>
          <w:sz w:val="36"/>
          <w:szCs w:val="36"/>
          <w:highlight w:val="none"/>
        </w:rPr>
      </w:pPr>
    </w:p>
    <w:p w14:paraId="0AE296B8">
      <w:pPr>
        <w:spacing w:line="360" w:lineRule="auto"/>
        <w:rPr>
          <w:rFonts w:ascii="宋体" w:hAnsi="宋体" w:cs="宋体"/>
          <w:color w:val="auto"/>
          <w:sz w:val="36"/>
          <w:szCs w:val="36"/>
          <w:highlight w:val="none"/>
        </w:rPr>
      </w:pPr>
    </w:p>
    <w:p w14:paraId="0D9FFBE8">
      <w:pPr>
        <w:spacing w:line="360" w:lineRule="auto"/>
        <w:rPr>
          <w:rFonts w:ascii="宋体" w:hAnsi="宋体" w:cs="宋体"/>
          <w:color w:val="auto"/>
          <w:sz w:val="36"/>
          <w:szCs w:val="36"/>
          <w:highlight w:val="none"/>
        </w:rPr>
      </w:pPr>
    </w:p>
    <w:p w14:paraId="6B5D1C31">
      <w:pPr>
        <w:spacing w:line="360" w:lineRule="auto"/>
        <w:jc w:val="center"/>
        <w:rPr>
          <w:rFonts w:ascii="宋体" w:hAnsi="宋体" w:cs="宋体"/>
          <w:color w:val="auto"/>
          <w:sz w:val="36"/>
          <w:szCs w:val="36"/>
          <w:highlight w:val="none"/>
        </w:rPr>
      </w:pPr>
    </w:p>
    <w:p w14:paraId="612C24EC">
      <w:pPr>
        <w:spacing w:line="360" w:lineRule="auto"/>
        <w:ind w:left="565" w:leftChars="269"/>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rPr>
        <w:t>项目名称：</w:t>
      </w:r>
      <w:r>
        <w:rPr>
          <w:rFonts w:hint="eastAsia" w:ascii="宋体" w:hAnsi="宋体" w:cs="宋体"/>
          <w:color w:val="auto"/>
          <w:sz w:val="32"/>
          <w:szCs w:val="32"/>
          <w:highlight w:val="none"/>
          <w:lang w:eastAsia="zh-CN"/>
        </w:rPr>
        <w:t>防城港职业技术学院供水管道维修工程（二期）</w:t>
      </w:r>
    </w:p>
    <w:p w14:paraId="4DA56E34">
      <w:pPr>
        <w:spacing w:line="360" w:lineRule="auto"/>
        <w:ind w:left="565" w:leftChars="269"/>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eastAsia="zh-CN"/>
        </w:rPr>
        <w:t>：FCZC2025-C2-990043-GXJT</w:t>
      </w:r>
    </w:p>
    <w:p w14:paraId="4A2FBA18">
      <w:pPr>
        <w:spacing w:line="360" w:lineRule="auto"/>
        <w:rPr>
          <w:rFonts w:ascii="宋体" w:hAnsi="宋体" w:cs="宋体"/>
          <w:color w:val="auto"/>
          <w:sz w:val="36"/>
          <w:szCs w:val="36"/>
          <w:highlight w:val="none"/>
        </w:rPr>
      </w:pPr>
    </w:p>
    <w:p w14:paraId="7E693205">
      <w:pPr>
        <w:rPr>
          <w:rFonts w:ascii="宋体" w:hAnsi="宋体" w:cs="宋体"/>
          <w:color w:val="auto"/>
          <w:sz w:val="36"/>
          <w:szCs w:val="36"/>
          <w:highlight w:val="none"/>
        </w:rPr>
      </w:pPr>
    </w:p>
    <w:p w14:paraId="4F792D6A">
      <w:pPr>
        <w:rPr>
          <w:rFonts w:ascii="宋体" w:hAnsi="宋体" w:cs="宋体"/>
          <w:color w:val="auto"/>
          <w:sz w:val="36"/>
          <w:szCs w:val="36"/>
          <w:highlight w:val="none"/>
        </w:rPr>
      </w:pPr>
    </w:p>
    <w:p w14:paraId="23479156">
      <w:pPr>
        <w:rPr>
          <w:rFonts w:ascii="宋体" w:hAnsi="宋体" w:cs="宋体"/>
          <w:color w:val="auto"/>
          <w:sz w:val="32"/>
          <w:highlight w:val="none"/>
        </w:rPr>
      </w:pPr>
    </w:p>
    <w:p w14:paraId="549E25CE">
      <w:pPr>
        <w:pStyle w:val="15"/>
        <w:rPr>
          <w:rFonts w:ascii="宋体" w:hAnsi="宋体" w:cs="宋体"/>
          <w:color w:val="auto"/>
          <w:sz w:val="32"/>
          <w:highlight w:val="none"/>
        </w:rPr>
      </w:pPr>
    </w:p>
    <w:p w14:paraId="1281062F">
      <w:pPr>
        <w:spacing w:line="360" w:lineRule="auto"/>
        <w:ind w:firstLine="1920" w:firstLineChars="600"/>
        <w:rPr>
          <w:rFonts w:ascii="宋体" w:hAnsi="宋体" w:cs="宋体"/>
          <w:bCs/>
          <w:color w:val="auto"/>
          <w:sz w:val="32"/>
          <w:szCs w:val="32"/>
          <w:highlight w:val="none"/>
        </w:rPr>
      </w:pPr>
      <w:r>
        <w:rPr>
          <w:rFonts w:hint="eastAsia" w:ascii="宋体" w:hAnsi="宋体" w:cs="宋体"/>
          <w:bCs/>
          <w:color w:val="auto"/>
          <w:sz w:val="32"/>
          <w:szCs w:val="32"/>
          <w:highlight w:val="none"/>
        </w:rPr>
        <w:t>采购单位：防城港职业技术学院</w:t>
      </w:r>
    </w:p>
    <w:p w14:paraId="58689502">
      <w:pPr>
        <w:spacing w:line="360" w:lineRule="auto"/>
        <w:ind w:firstLine="1920" w:firstLineChars="60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广西建通工程咨询有限责任公司</w:t>
      </w:r>
    </w:p>
    <w:p w14:paraId="36D22C0D">
      <w:pPr>
        <w:tabs>
          <w:tab w:val="left" w:pos="1134"/>
          <w:tab w:val="left" w:pos="5481"/>
          <w:tab w:val="left" w:pos="5859"/>
        </w:tabs>
        <w:jc w:val="center"/>
        <w:rPr>
          <w:rFonts w:ascii="宋体" w:hAnsi="宋体" w:cs="宋体"/>
          <w:bCs/>
          <w:color w:val="auto"/>
          <w:sz w:val="32"/>
          <w:szCs w:val="32"/>
          <w:highlight w:val="none"/>
        </w:rPr>
      </w:pPr>
    </w:p>
    <w:p w14:paraId="706C3862">
      <w:pPr>
        <w:tabs>
          <w:tab w:val="left" w:pos="1134"/>
          <w:tab w:val="left" w:pos="5481"/>
          <w:tab w:val="left" w:pos="5859"/>
        </w:tabs>
        <w:jc w:val="center"/>
        <w:rPr>
          <w:rFonts w:ascii="宋体" w:hAnsi="宋体" w:cs="宋体"/>
          <w:color w:val="auto"/>
          <w:sz w:val="36"/>
          <w:szCs w:val="36"/>
          <w:highlight w:val="none"/>
        </w:rPr>
      </w:pPr>
      <w:r>
        <w:rPr>
          <w:rFonts w:hint="eastAsia" w:ascii="宋体" w:hAnsi="宋体" w:cs="宋体"/>
          <w:bCs/>
          <w:color w:val="auto"/>
          <w:sz w:val="32"/>
          <w:szCs w:val="32"/>
          <w:highlight w:val="none"/>
        </w:rPr>
        <w:t>202</w:t>
      </w:r>
      <w:r>
        <w:rPr>
          <w:rFonts w:hint="eastAsia" w:ascii="宋体" w:hAnsi="宋体" w:cs="宋体"/>
          <w:bCs/>
          <w:color w:val="auto"/>
          <w:sz w:val="32"/>
          <w:szCs w:val="32"/>
          <w:highlight w:val="none"/>
          <w:lang w:val="en-US" w:eastAsia="zh-CN"/>
        </w:rPr>
        <w:t>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5</w:t>
      </w:r>
      <w:r>
        <w:rPr>
          <w:rFonts w:hint="eastAsia" w:ascii="宋体" w:hAnsi="宋体" w:cs="宋体"/>
          <w:bCs/>
          <w:color w:val="auto"/>
          <w:sz w:val="32"/>
          <w:szCs w:val="32"/>
          <w:highlight w:val="none"/>
        </w:rPr>
        <w:t>月</w:t>
      </w:r>
    </w:p>
    <w:p w14:paraId="65230948">
      <w:pPr>
        <w:spacing w:line="460" w:lineRule="exact"/>
        <w:jc w:val="center"/>
        <w:rPr>
          <w:rFonts w:ascii="宋体" w:hAnsi="宋体" w:cs="宋体"/>
          <w:b/>
          <w:bCs/>
          <w:color w:val="auto"/>
          <w:sz w:val="36"/>
          <w:szCs w:val="36"/>
          <w:highlight w:val="none"/>
          <w:lang w:val="zh-CN"/>
        </w:rPr>
      </w:pPr>
    </w:p>
    <w:p w14:paraId="5D719B5B">
      <w:pPr>
        <w:spacing w:line="460" w:lineRule="exact"/>
        <w:jc w:val="center"/>
        <w:rPr>
          <w:rFonts w:ascii="宋体" w:hAnsi="宋体" w:cs="宋体"/>
          <w:b/>
          <w:bCs/>
          <w:color w:val="auto"/>
          <w:sz w:val="36"/>
          <w:szCs w:val="36"/>
          <w:highlight w:val="none"/>
          <w:lang w:val="zh-CN"/>
        </w:rPr>
        <w:sectPr>
          <w:pgSz w:w="11905" w:h="16838"/>
          <w:pgMar w:top="1440" w:right="1080" w:bottom="1440" w:left="1080" w:header="851" w:footer="850" w:gutter="0"/>
          <w:pgNumType w:fmt="upperRoman" w:start="1"/>
          <w:cols w:space="0" w:num="1"/>
          <w:docGrid w:linePitch="312" w:charSpace="0"/>
        </w:sectPr>
      </w:pPr>
    </w:p>
    <w:p w14:paraId="18DD0E1D">
      <w:pPr>
        <w:spacing w:line="460" w:lineRule="exact"/>
        <w:jc w:val="center"/>
        <w:rPr>
          <w:rFonts w:ascii="宋体" w:hAnsi="宋体" w:cs="宋体"/>
          <w:b/>
          <w:bCs/>
          <w:color w:val="auto"/>
          <w:sz w:val="36"/>
          <w:szCs w:val="36"/>
          <w:highlight w:val="none"/>
          <w:lang w:val="zh-CN"/>
        </w:rPr>
      </w:pPr>
    </w:p>
    <w:sdt>
      <w:sdtPr>
        <w:rPr>
          <w:rFonts w:ascii="宋体" w:hAnsi="宋体" w:eastAsia="宋体" w:cs="Times New Roman"/>
          <w:b/>
          <w:bCs/>
          <w:color w:val="auto"/>
          <w:kern w:val="2"/>
          <w:sz w:val="21"/>
          <w:szCs w:val="24"/>
          <w:highlight w:val="none"/>
          <w:lang w:val="en-US" w:eastAsia="zh-CN" w:bidi="ar-SA"/>
        </w:rPr>
        <w:id w:val="147477790"/>
        <w15:color w:val="DBDBDB"/>
        <w:docPartObj>
          <w:docPartGallery w:val="Table of Contents"/>
          <w:docPartUnique/>
        </w:docPartObj>
      </w:sdtPr>
      <w:sdtEndPr>
        <w:rPr>
          <w:rFonts w:ascii="宋体" w:hAnsi="宋体" w:eastAsia="宋体" w:cs="宋体"/>
          <w:b/>
          <w:bCs/>
          <w:color w:val="auto"/>
          <w:kern w:val="2"/>
          <w:sz w:val="21"/>
          <w:szCs w:val="32"/>
          <w:highlight w:val="none"/>
          <w:lang w:val="en-US" w:eastAsia="zh-CN" w:bidi="ar-SA"/>
        </w:rPr>
      </w:sdtEndPr>
      <w:sdtContent>
        <w:p w14:paraId="38E27FC1">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b/>
              <w:bCs/>
              <w:color w:val="auto"/>
              <w:sz w:val="36"/>
              <w:szCs w:val="44"/>
              <w:highlight w:val="none"/>
            </w:rPr>
          </w:pPr>
          <w:r>
            <w:rPr>
              <w:rFonts w:ascii="宋体" w:hAnsi="宋体" w:eastAsia="宋体"/>
              <w:b/>
              <w:bCs/>
              <w:color w:val="auto"/>
              <w:sz w:val="36"/>
              <w:szCs w:val="44"/>
              <w:highlight w:val="none"/>
            </w:rPr>
            <w:t>目</w:t>
          </w:r>
          <w:r>
            <w:rPr>
              <w:rFonts w:hint="eastAsia" w:ascii="宋体" w:hAnsi="宋体" w:eastAsia="宋体"/>
              <w:b/>
              <w:bCs/>
              <w:color w:val="auto"/>
              <w:sz w:val="36"/>
              <w:szCs w:val="44"/>
              <w:highlight w:val="none"/>
              <w:lang w:val="en-US" w:eastAsia="zh-CN"/>
            </w:rPr>
            <w:t xml:space="preserve">  </w:t>
          </w:r>
          <w:r>
            <w:rPr>
              <w:rFonts w:ascii="宋体" w:hAnsi="宋体" w:eastAsia="宋体"/>
              <w:b/>
              <w:bCs/>
              <w:color w:val="auto"/>
              <w:sz w:val="36"/>
              <w:szCs w:val="44"/>
              <w:highlight w:val="none"/>
            </w:rPr>
            <w:t>录</w:t>
          </w:r>
        </w:p>
        <w:p w14:paraId="0DDC88DD">
          <w:pPr>
            <w:pStyle w:val="56"/>
            <w:keepNext w:val="0"/>
            <w:keepLines w:val="0"/>
            <w:pageBreakBefore w:val="0"/>
            <w:tabs>
              <w:tab w:val="right" w:leader="dot" w:pos="9745"/>
            </w:tabs>
            <w:kinsoku/>
            <w:wordWrap/>
            <w:overflowPunct/>
            <w:topLinePunct w:val="0"/>
            <w:autoSpaceDE/>
            <w:autoSpaceDN/>
            <w:bidi w:val="0"/>
            <w:adjustRightInd/>
            <w:snapToGrid/>
            <w:spacing w:line="360" w:lineRule="auto"/>
            <w:textAlignment w:val="auto"/>
            <w:rPr>
              <w:color w:val="auto"/>
              <w:sz w:val="28"/>
              <w:szCs w:val="28"/>
              <w:highlight w:val="none"/>
            </w:rPr>
          </w:pPr>
          <w:r>
            <w:rPr>
              <w:rFonts w:ascii="宋体" w:hAnsi="宋体" w:cs="宋体"/>
              <w:b/>
              <w:bCs/>
              <w:color w:val="auto"/>
              <w:sz w:val="32"/>
              <w:szCs w:val="32"/>
              <w:highlight w:val="none"/>
            </w:rPr>
            <w:fldChar w:fldCharType="begin"/>
          </w:r>
          <w:r>
            <w:rPr>
              <w:rFonts w:ascii="宋体" w:hAnsi="宋体" w:cs="宋体"/>
              <w:b/>
              <w:bCs/>
              <w:color w:val="auto"/>
              <w:sz w:val="32"/>
              <w:szCs w:val="32"/>
              <w:highlight w:val="none"/>
            </w:rPr>
            <w:instrText xml:space="preserve">TOC \o "1-1" \h \u </w:instrText>
          </w:r>
          <w:r>
            <w:rPr>
              <w:rFonts w:ascii="宋体" w:hAnsi="宋体" w:cs="宋体"/>
              <w:b/>
              <w:bCs/>
              <w:color w:val="auto"/>
              <w:sz w:val="32"/>
              <w:szCs w:val="32"/>
              <w:highlight w:val="none"/>
            </w:rPr>
            <w:fldChar w:fldCharType="separate"/>
          </w:r>
          <w:r>
            <w:rPr>
              <w:rFonts w:ascii="宋体" w:hAnsi="宋体" w:cs="宋体"/>
              <w:bCs/>
              <w:color w:val="auto"/>
              <w:sz w:val="28"/>
              <w:szCs w:val="28"/>
              <w:highlight w:val="none"/>
            </w:rPr>
            <w:fldChar w:fldCharType="begin"/>
          </w:r>
          <w:r>
            <w:rPr>
              <w:rFonts w:ascii="宋体" w:hAnsi="宋体" w:cs="宋体"/>
              <w:bCs/>
              <w:color w:val="auto"/>
              <w:sz w:val="28"/>
              <w:szCs w:val="28"/>
              <w:highlight w:val="none"/>
            </w:rPr>
            <w:instrText xml:space="preserve"> HYPERLINK \l _Toc2802 </w:instrText>
          </w:r>
          <w:r>
            <w:rPr>
              <w:rFonts w:ascii="宋体" w:hAnsi="宋体" w:cs="宋体"/>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_Toc2802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ascii="宋体" w:hAnsi="宋体" w:cs="宋体"/>
              <w:bCs/>
              <w:color w:val="auto"/>
              <w:sz w:val="28"/>
              <w:szCs w:val="28"/>
              <w:highlight w:val="none"/>
            </w:rPr>
            <w:fldChar w:fldCharType="end"/>
          </w:r>
        </w:p>
        <w:p w14:paraId="3FF9B0FB">
          <w:pPr>
            <w:pStyle w:val="56"/>
            <w:keepNext w:val="0"/>
            <w:keepLines w:val="0"/>
            <w:pageBreakBefore w:val="0"/>
            <w:tabs>
              <w:tab w:val="right" w:leader="dot" w:pos="9745"/>
            </w:tabs>
            <w:kinsoku/>
            <w:wordWrap/>
            <w:overflowPunct/>
            <w:topLinePunct w:val="0"/>
            <w:autoSpaceDE/>
            <w:autoSpaceDN/>
            <w:bidi w:val="0"/>
            <w:adjustRightInd/>
            <w:snapToGrid/>
            <w:spacing w:line="360" w:lineRule="auto"/>
            <w:textAlignment w:val="auto"/>
            <w:rPr>
              <w:color w:val="auto"/>
              <w:sz w:val="28"/>
              <w:szCs w:val="28"/>
              <w:highlight w:val="none"/>
            </w:rPr>
          </w:pPr>
          <w:r>
            <w:rPr>
              <w:rFonts w:ascii="宋体" w:hAnsi="宋体" w:cs="宋体"/>
              <w:bCs/>
              <w:color w:val="auto"/>
              <w:sz w:val="28"/>
              <w:szCs w:val="28"/>
              <w:highlight w:val="none"/>
            </w:rPr>
            <w:fldChar w:fldCharType="begin"/>
          </w:r>
          <w:r>
            <w:rPr>
              <w:rFonts w:ascii="宋体" w:hAnsi="宋体" w:cs="宋体"/>
              <w:bCs/>
              <w:color w:val="auto"/>
              <w:sz w:val="28"/>
              <w:szCs w:val="28"/>
              <w:highlight w:val="none"/>
            </w:rPr>
            <w:instrText xml:space="preserve"> HYPERLINK \l _Toc8446 </w:instrText>
          </w:r>
          <w:r>
            <w:rPr>
              <w:rFonts w:ascii="宋体" w:hAnsi="宋体" w:cs="宋体"/>
              <w:bCs/>
              <w:color w:val="auto"/>
              <w:sz w:val="28"/>
              <w:szCs w:val="28"/>
              <w:highlight w:val="none"/>
            </w:rPr>
            <w:fldChar w:fldCharType="separate"/>
          </w:r>
          <w:r>
            <w:rPr>
              <w:rFonts w:hint="eastAsia" w:asciiTheme="minorEastAsia" w:hAnsiTheme="minorEastAsia" w:eastAsiaTheme="minorEastAsia" w:cstheme="minorEastAsia"/>
              <w:bCs/>
              <w:color w:val="auto"/>
              <w:kern w:val="0"/>
              <w:sz w:val="28"/>
              <w:szCs w:val="28"/>
              <w:highlight w:val="none"/>
              <w:lang w:val="en-US" w:eastAsia="zh-CN" w:bidi="ar-SA"/>
            </w:rPr>
            <w:t>第二章  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_Toc8446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ascii="宋体" w:hAnsi="宋体" w:cs="宋体"/>
              <w:bCs/>
              <w:color w:val="auto"/>
              <w:sz w:val="28"/>
              <w:szCs w:val="28"/>
              <w:highlight w:val="none"/>
            </w:rPr>
            <w:fldChar w:fldCharType="end"/>
          </w:r>
        </w:p>
        <w:p w14:paraId="4F7B4CA6">
          <w:pPr>
            <w:pStyle w:val="56"/>
            <w:keepNext w:val="0"/>
            <w:keepLines w:val="0"/>
            <w:pageBreakBefore w:val="0"/>
            <w:tabs>
              <w:tab w:val="right" w:leader="dot" w:pos="9745"/>
            </w:tabs>
            <w:kinsoku/>
            <w:wordWrap/>
            <w:overflowPunct/>
            <w:topLinePunct w:val="0"/>
            <w:autoSpaceDE/>
            <w:autoSpaceDN/>
            <w:bidi w:val="0"/>
            <w:adjustRightInd/>
            <w:snapToGrid/>
            <w:spacing w:line="360" w:lineRule="auto"/>
            <w:textAlignment w:val="auto"/>
            <w:rPr>
              <w:color w:val="auto"/>
              <w:sz w:val="28"/>
              <w:szCs w:val="28"/>
              <w:highlight w:val="none"/>
            </w:rPr>
          </w:pPr>
          <w:r>
            <w:rPr>
              <w:rFonts w:ascii="宋体" w:hAnsi="宋体" w:cs="宋体"/>
              <w:bCs/>
              <w:color w:val="auto"/>
              <w:sz w:val="28"/>
              <w:szCs w:val="28"/>
              <w:highlight w:val="none"/>
            </w:rPr>
            <w:fldChar w:fldCharType="begin"/>
          </w:r>
          <w:r>
            <w:rPr>
              <w:rFonts w:ascii="宋体" w:hAnsi="宋体" w:cs="宋体"/>
              <w:bCs/>
              <w:color w:val="auto"/>
              <w:sz w:val="28"/>
              <w:szCs w:val="28"/>
              <w:highlight w:val="none"/>
            </w:rPr>
            <w:instrText xml:space="preserve"> HYPERLINK \l _Toc26671 </w:instrText>
          </w:r>
          <w:r>
            <w:rPr>
              <w:rFonts w:ascii="宋体" w:hAnsi="宋体" w:cs="宋体"/>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t>第</w:t>
          </w:r>
          <w:r>
            <w:rPr>
              <w:rFonts w:hint="eastAsia" w:asciiTheme="minorEastAsia" w:hAnsiTheme="minorEastAsia" w:eastAsiaTheme="minorEastAsia" w:cstheme="minorEastAsia"/>
              <w:bCs/>
              <w:color w:val="auto"/>
              <w:sz w:val="28"/>
              <w:szCs w:val="28"/>
              <w:highlight w:val="none"/>
              <w:lang w:eastAsia="zh-CN"/>
            </w:rPr>
            <w:t>三</w:t>
          </w:r>
          <w:r>
            <w:rPr>
              <w:rFonts w:hint="eastAsia" w:asciiTheme="minorEastAsia" w:hAnsiTheme="minorEastAsia" w:eastAsiaTheme="minorEastAsia" w:cstheme="minorEastAsia"/>
              <w:bCs/>
              <w:color w:val="auto"/>
              <w:sz w:val="28"/>
              <w:szCs w:val="28"/>
              <w:highlight w:val="none"/>
            </w:rPr>
            <w:t>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_Toc26671 \h </w:instrText>
          </w:r>
          <w:r>
            <w:rPr>
              <w:color w:val="auto"/>
              <w:sz w:val="28"/>
              <w:szCs w:val="28"/>
              <w:highlight w:val="none"/>
            </w:rPr>
            <w:fldChar w:fldCharType="separate"/>
          </w:r>
          <w:r>
            <w:rPr>
              <w:color w:val="auto"/>
              <w:sz w:val="28"/>
              <w:szCs w:val="28"/>
              <w:highlight w:val="none"/>
            </w:rPr>
            <w:t>10</w:t>
          </w:r>
          <w:r>
            <w:rPr>
              <w:color w:val="auto"/>
              <w:sz w:val="28"/>
              <w:szCs w:val="28"/>
              <w:highlight w:val="none"/>
            </w:rPr>
            <w:fldChar w:fldCharType="end"/>
          </w:r>
          <w:r>
            <w:rPr>
              <w:rFonts w:ascii="宋体" w:hAnsi="宋体" w:cs="宋体"/>
              <w:bCs/>
              <w:color w:val="auto"/>
              <w:sz w:val="28"/>
              <w:szCs w:val="28"/>
              <w:highlight w:val="none"/>
            </w:rPr>
            <w:fldChar w:fldCharType="end"/>
          </w:r>
        </w:p>
        <w:p w14:paraId="2EE25A83">
          <w:pPr>
            <w:pStyle w:val="56"/>
            <w:keepNext w:val="0"/>
            <w:keepLines w:val="0"/>
            <w:pageBreakBefore w:val="0"/>
            <w:tabs>
              <w:tab w:val="right" w:leader="dot" w:pos="9745"/>
            </w:tabs>
            <w:kinsoku/>
            <w:wordWrap/>
            <w:overflowPunct/>
            <w:topLinePunct w:val="0"/>
            <w:autoSpaceDE/>
            <w:autoSpaceDN/>
            <w:bidi w:val="0"/>
            <w:adjustRightInd/>
            <w:snapToGrid/>
            <w:spacing w:line="360" w:lineRule="auto"/>
            <w:textAlignment w:val="auto"/>
            <w:rPr>
              <w:color w:val="auto"/>
              <w:sz w:val="28"/>
              <w:szCs w:val="28"/>
              <w:highlight w:val="none"/>
            </w:rPr>
          </w:pPr>
          <w:r>
            <w:rPr>
              <w:rFonts w:ascii="宋体" w:hAnsi="宋体" w:cs="宋体"/>
              <w:bCs/>
              <w:color w:val="auto"/>
              <w:sz w:val="28"/>
              <w:szCs w:val="28"/>
              <w:highlight w:val="none"/>
            </w:rPr>
            <w:fldChar w:fldCharType="begin"/>
          </w:r>
          <w:r>
            <w:rPr>
              <w:rFonts w:ascii="宋体" w:hAnsi="宋体" w:cs="宋体"/>
              <w:bCs/>
              <w:color w:val="auto"/>
              <w:sz w:val="28"/>
              <w:szCs w:val="28"/>
              <w:highlight w:val="none"/>
            </w:rPr>
            <w:instrText xml:space="preserve"> HYPERLINK \l _Toc6733 </w:instrText>
          </w:r>
          <w:r>
            <w:rPr>
              <w:rFonts w:ascii="宋体" w:hAnsi="宋体" w:cs="宋体"/>
              <w:bCs/>
              <w:color w:val="auto"/>
              <w:sz w:val="28"/>
              <w:szCs w:val="28"/>
              <w:highlight w:val="none"/>
            </w:rPr>
            <w:fldChar w:fldCharType="separate"/>
          </w:r>
          <w:r>
            <w:rPr>
              <w:rFonts w:hint="eastAsia" w:ascii="宋体" w:hAnsi="宋体" w:cs="宋体"/>
              <w:color w:val="auto"/>
              <w:sz w:val="28"/>
              <w:szCs w:val="28"/>
              <w:highlight w:val="none"/>
            </w:rPr>
            <w:t>第</w:t>
          </w:r>
          <w:r>
            <w:rPr>
              <w:rFonts w:hint="eastAsia" w:ascii="宋体" w:hAnsi="宋体" w:cs="宋体"/>
              <w:color w:val="auto"/>
              <w:sz w:val="28"/>
              <w:szCs w:val="28"/>
              <w:highlight w:val="none"/>
              <w:lang w:eastAsia="zh-CN"/>
            </w:rPr>
            <w:t>四</w:t>
          </w:r>
          <w:r>
            <w:rPr>
              <w:rFonts w:hint="eastAsia" w:ascii="宋体" w:hAnsi="宋体" w:cs="宋体"/>
              <w:color w:val="auto"/>
              <w:sz w:val="28"/>
              <w:szCs w:val="28"/>
              <w:highlight w:val="none"/>
            </w:rPr>
            <w:t>章  合同条款及格式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_Toc6733 \h </w:instrText>
          </w:r>
          <w:r>
            <w:rPr>
              <w:color w:val="auto"/>
              <w:sz w:val="28"/>
              <w:szCs w:val="28"/>
              <w:highlight w:val="none"/>
            </w:rPr>
            <w:fldChar w:fldCharType="separate"/>
          </w:r>
          <w:r>
            <w:rPr>
              <w:color w:val="auto"/>
              <w:sz w:val="28"/>
              <w:szCs w:val="28"/>
              <w:highlight w:val="none"/>
            </w:rPr>
            <w:t>35</w:t>
          </w:r>
          <w:r>
            <w:rPr>
              <w:color w:val="auto"/>
              <w:sz w:val="28"/>
              <w:szCs w:val="28"/>
              <w:highlight w:val="none"/>
            </w:rPr>
            <w:fldChar w:fldCharType="end"/>
          </w:r>
          <w:r>
            <w:rPr>
              <w:rFonts w:ascii="宋体" w:hAnsi="宋体" w:cs="宋体"/>
              <w:bCs/>
              <w:color w:val="auto"/>
              <w:sz w:val="28"/>
              <w:szCs w:val="28"/>
              <w:highlight w:val="none"/>
            </w:rPr>
            <w:fldChar w:fldCharType="end"/>
          </w:r>
        </w:p>
        <w:p w14:paraId="5076A0B8">
          <w:pPr>
            <w:pStyle w:val="56"/>
            <w:keepNext w:val="0"/>
            <w:keepLines w:val="0"/>
            <w:pageBreakBefore w:val="0"/>
            <w:tabs>
              <w:tab w:val="right" w:leader="dot" w:pos="9745"/>
            </w:tabs>
            <w:kinsoku/>
            <w:wordWrap/>
            <w:overflowPunct/>
            <w:topLinePunct w:val="0"/>
            <w:autoSpaceDE/>
            <w:autoSpaceDN/>
            <w:bidi w:val="0"/>
            <w:adjustRightInd/>
            <w:snapToGrid/>
            <w:spacing w:line="360" w:lineRule="auto"/>
            <w:textAlignment w:val="auto"/>
            <w:rPr>
              <w:color w:val="auto"/>
              <w:sz w:val="28"/>
              <w:szCs w:val="28"/>
              <w:highlight w:val="none"/>
            </w:rPr>
          </w:pPr>
          <w:r>
            <w:rPr>
              <w:rFonts w:ascii="宋体" w:hAnsi="宋体" w:cs="宋体"/>
              <w:bCs/>
              <w:color w:val="auto"/>
              <w:sz w:val="28"/>
              <w:szCs w:val="28"/>
              <w:highlight w:val="none"/>
            </w:rPr>
            <w:fldChar w:fldCharType="begin"/>
          </w:r>
          <w:r>
            <w:rPr>
              <w:rFonts w:ascii="宋体" w:hAnsi="宋体" w:cs="宋体"/>
              <w:bCs/>
              <w:color w:val="auto"/>
              <w:sz w:val="28"/>
              <w:szCs w:val="28"/>
              <w:highlight w:val="none"/>
            </w:rPr>
            <w:instrText xml:space="preserve"> HYPERLINK \l _Toc5432 </w:instrText>
          </w:r>
          <w:r>
            <w:rPr>
              <w:rFonts w:ascii="宋体" w:hAnsi="宋体" w:cs="宋体"/>
              <w:bCs/>
              <w:color w:val="auto"/>
              <w:sz w:val="28"/>
              <w:szCs w:val="28"/>
              <w:highlight w:val="none"/>
            </w:rPr>
            <w:fldChar w:fldCharType="separate"/>
          </w:r>
          <w:r>
            <w:rPr>
              <w:rFonts w:hint="eastAsia" w:ascii="宋体" w:hAnsi="宋体" w:cs="宋体"/>
              <w:color w:val="auto"/>
              <w:sz w:val="28"/>
              <w:szCs w:val="28"/>
              <w:highlight w:val="none"/>
            </w:rPr>
            <w:t>第</w:t>
          </w:r>
          <w:r>
            <w:rPr>
              <w:rFonts w:hint="eastAsia" w:ascii="宋体" w:hAnsi="宋体" w:cs="宋体"/>
              <w:color w:val="auto"/>
              <w:sz w:val="28"/>
              <w:szCs w:val="28"/>
              <w:highlight w:val="none"/>
              <w:lang w:eastAsia="zh-CN"/>
            </w:rPr>
            <w:t>五</w:t>
          </w:r>
          <w:r>
            <w:rPr>
              <w:rFonts w:hint="eastAsia" w:ascii="宋体" w:hAnsi="宋体" w:cs="宋体"/>
              <w:color w:val="auto"/>
              <w:sz w:val="28"/>
              <w:szCs w:val="28"/>
              <w:highlight w:val="none"/>
            </w:rPr>
            <w:t>章  工程量清单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_Toc5432 \h </w:instrText>
          </w:r>
          <w:r>
            <w:rPr>
              <w:color w:val="auto"/>
              <w:sz w:val="28"/>
              <w:szCs w:val="28"/>
              <w:highlight w:val="none"/>
            </w:rPr>
            <w:fldChar w:fldCharType="separate"/>
          </w:r>
          <w:r>
            <w:rPr>
              <w:color w:val="auto"/>
              <w:sz w:val="28"/>
              <w:szCs w:val="28"/>
              <w:highlight w:val="none"/>
            </w:rPr>
            <w:t>84</w:t>
          </w:r>
          <w:r>
            <w:rPr>
              <w:color w:val="auto"/>
              <w:sz w:val="28"/>
              <w:szCs w:val="28"/>
              <w:highlight w:val="none"/>
            </w:rPr>
            <w:fldChar w:fldCharType="end"/>
          </w:r>
          <w:r>
            <w:rPr>
              <w:rFonts w:ascii="宋体" w:hAnsi="宋体" w:cs="宋体"/>
              <w:bCs/>
              <w:color w:val="auto"/>
              <w:sz w:val="28"/>
              <w:szCs w:val="28"/>
              <w:highlight w:val="none"/>
            </w:rPr>
            <w:fldChar w:fldCharType="end"/>
          </w:r>
        </w:p>
        <w:p w14:paraId="00BDE4AC">
          <w:pPr>
            <w:pStyle w:val="56"/>
            <w:keepNext w:val="0"/>
            <w:keepLines w:val="0"/>
            <w:pageBreakBefore w:val="0"/>
            <w:tabs>
              <w:tab w:val="right" w:pos="2400"/>
              <w:tab w:val="right" w:leader="dot" w:pos="9745"/>
            </w:tabs>
            <w:kinsoku/>
            <w:wordWrap/>
            <w:overflowPunct/>
            <w:topLinePunct w:val="0"/>
            <w:autoSpaceDE/>
            <w:autoSpaceDN/>
            <w:bidi w:val="0"/>
            <w:adjustRightInd/>
            <w:snapToGrid/>
            <w:spacing w:line="360" w:lineRule="auto"/>
            <w:textAlignment w:val="auto"/>
            <w:rPr>
              <w:color w:val="auto"/>
              <w:sz w:val="28"/>
              <w:szCs w:val="28"/>
              <w:highlight w:val="none"/>
            </w:rPr>
          </w:pPr>
          <w:r>
            <w:rPr>
              <w:rFonts w:ascii="宋体" w:hAnsi="宋体" w:cs="宋体"/>
              <w:bCs/>
              <w:color w:val="auto"/>
              <w:sz w:val="28"/>
              <w:szCs w:val="28"/>
              <w:highlight w:val="none"/>
            </w:rPr>
            <w:fldChar w:fldCharType="begin"/>
          </w:r>
          <w:r>
            <w:rPr>
              <w:rFonts w:ascii="宋体" w:hAnsi="宋体" w:cs="宋体"/>
              <w:bCs/>
              <w:color w:val="auto"/>
              <w:sz w:val="28"/>
              <w:szCs w:val="28"/>
              <w:highlight w:val="none"/>
            </w:rPr>
            <w:instrText xml:space="preserve"> HYPERLINK \l _Toc20938 </w:instrText>
          </w:r>
          <w:r>
            <w:rPr>
              <w:rFonts w:ascii="宋体" w:hAnsi="宋体" w:cs="宋体"/>
              <w:bCs/>
              <w:color w:val="auto"/>
              <w:sz w:val="28"/>
              <w:szCs w:val="28"/>
              <w:highlight w:val="none"/>
            </w:rPr>
            <w:fldChar w:fldCharType="separate"/>
          </w:r>
          <w:r>
            <w:rPr>
              <w:rFonts w:hint="eastAsia" w:ascii="宋体" w:hAnsi="宋体" w:cs="宋体"/>
              <w:bCs w:val="0"/>
              <w:color w:val="auto"/>
              <w:kern w:val="0"/>
              <w:sz w:val="28"/>
              <w:szCs w:val="28"/>
              <w:highlight w:val="none"/>
            </w:rPr>
            <w:t>第</w:t>
          </w:r>
          <w:r>
            <w:rPr>
              <w:rFonts w:hint="eastAsia" w:ascii="宋体" w:hAnsi="宋体" w:cs="宋体"/>
              <w:bCs w:val="0"/>
              <w:color w:val="auto"/>
              <w:kern w:val="0"/>
              <w:sz w:val="28"/>
              <w:szCs w:val="28"/>
              <w:highlight w:val="none"/>
              <w:lang w:val="en-US" w:eastAsia="zh-CN"/>
            </w:rPr>
            <w:t>六</w:t>
          </w:r>
          <w:r>
            <w:rPr>
              <w:rFonts w:hint="eastAsia" w:ascii="宋体" w:hAnsi="宋体" w:cs="宋体"/>
              <w:bCs w:val="0"/>
              <w:color w:val="auto"/>
              <w:kern w:val="0"/>
              <w:sz w:val="28"/>
              <w:szCs w:val="28"/>
              <w:highlight w:val="none"/>
            </w:rPr>
            <w:t>章</w:t>
          </w:r>
          <w:r>
            <w:rPr>
              <w:rFonts w:hint="eastAsia" w:ascii="宋体" w:hAnsi="宋体" w:cs="宋体"/>
              <w:bCs w:val="0"/>
              <w:color w:val="auto"/>
              <w:kern w:val="0"/>
              <w:sz w:val="28"/>
              <w:szCs w:val="28"/>
              <w:highlight w:val="none"/>
              <w:lang w:val="en-US" w:eastAsia="zh-CN"/>
            </w:rPr>
            <w:t xml:space="preserve">  </w:t>
          </w:r>
          <w:r>
            <w:rPr>
              <w:rFonts w:hint="eastAsia" w:ascii="宋体" w:hAnsi="宋体" w:cs="宋体"/>
              <w:bCs w:val="0"/>
              <w:color w:val="auto"/>
              <w:kern w:val="0"/>
              <w:sz w:val="28"/>
              <w:szCs w:val="28"/>
              <w:highlight w:val="none"/>
            </w:rPr>
            <w:t>技术标准</w:t>
          </w:r>
          <w:r>
            <w:rPr>
              <w:color w:val="auto"/>
              <w:sz w:val="28"/>
              <w:szCs w:val="28"/>
              <w:highlight w:val="none"/>
            </w:rPr>
            <w:tab/>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_Toc20938 \h </w:instrText>
          </w:r>
          <w:r>
            <w:rPr>
              <w:color w:val="auto"/>
              <w:sz w:val="28"/>
              <w:szCs w:val="28"/>
              <w:highlight w:val="none"/>
            </w:rPr>
            <w:fldChar w:fldCharType="separate"/>
          </w:r>
          <w:r>
            <w:rPr>
              <w:color w:val="auto"/>
              <w:sz w:val="28"/>
              <w:szCs w:val="28"/>
              <w:highlight w:val="none"/>
            </w:rPr>
            <w:t>85</w:t>
          </w:r>
          <w:r>
            <w:rPr>
              <w:color w:val="auto"/>
              <w:sz w:val="28"/>
              <w:szCs w:val="28"/>
              <w:highlight w:val="none"/>
            </w:rPr>
            <w:fldChar w:fldCharType="end"/>
          </w:r>
          <w:r>
            <w:rPr>
              <w:rFonts w:ascii="宋体" w:hAnsi="宋体" w:cs="宋体"/>
              <w:bCs/>
              <w:color w:val="auto"/>
              <w:sz w:val="28"/>
              <w:szCs w:val="28"/>
              <w:highlight w:val="none"/>
            </w:rPr>
            <w:fldChar w:fldCharType="end"/>
          </w:r>
        </w:p>
        <w:p w14:paraId="63E96275">
          <w:pPr>
            <w:pStyle w:val="56"/>
            <w:keepNext w:val="0"/>
            <w:keepLines w:val="0"/>
            <w:pageBreakBefore w:val="0"/>
            <w:tabs>
              <w:tab w:val="right" w:pos="2400"/>
              <w:tab w:val="right" w:leader="dot" w:pos="9745"/>
            </w:tabs>
            <w:kinsoku/>
            <w:wordWrap/>
            <w:overflowPunct/>
            <w:topLinePunct w:val="0"/>
            <w:autoSpaceDE/>
            <w:autoSpaceDN/>
            <w:bidi w:val="0"/>
            <w:adjustRightInd/>
            <w:snapToGrid/>
            <w:spacing w:line="360" w:lineRule="auto"/>
            <w:textAlignment w:val="auto"/>
            <w:rPr>
              <w:color w:val="auto"/>
              <w:sz w:val="28"/>
              <w:szCs w:val="28"/>
              <w:highlight w:val="none"/>
            </w:rPr>
          </w:pPr>
          <w:r>
            <w:rPr>
              <w:rFonts w:ascii="宋体" w:hAnsi="宋体" w:cs="宋体"/>
              <w:bCs/>
              <w:color w:val="auto"/>
              <w:sz w:val="28"/>
              <w:szCs w:val="28"/>
              <w:highlight w:val="none"/>
            </w:rPr>
            <w:fldChar w:fldCharType="begin"/>
          </w:r>
          <w:r>
            <w:rPr>
              <w:rFonts w:ascii="宋体" w:hAnsi="宋体" w:cs="宋体"/>
              <w:bCs/>
              <w:color w:val="auto"/>
              <w:sz w:val="28"/>
              <w:szCs w:val="28"/>
              <w:highlight w:val="none"/>
            </w:rPr>
            <w:instrText xml:space="preserve"> HYPERLINK \l _Toc18289 </w:instrText>
          </w:r>
          <w:r>
            <w:rPr>
              <w:rFonts w:ascii="宋体" w:hAnsi="宋体" w:cs="宋体"/>
              <w:bCs/>
              <w:color w:val="auto"/>
              <w:sz w:val="28"/>
              <w:szCs w:val="28"/>
              <w:highlight w:val="none"/>
            </w:rPr>
            <w:fldChar w:fldCharType="separate"/>
          </w:r>
          <w:r>
            <w:rPr>
              <w:rFonts w:hint="eastAsia" w:ascii="宋体" w:hAnsi="宋体" w:cs="宋体"/>
              <w:bCs w:val="0"/>
              <w:color w:val="auto"/>
              <w:kern w:val="0"/>
              <w:sz w:val="28"/>
              <w:szCs w:val="28"/>
              <w:highlight w:val="none"/>
            </w:rPr>
            <w:t>第</w:t>
          </w:r>
          <w:r>
            <w:rPr>
              <w:rFonts w:hint="eastAsia" w:ascii="宋体" w:hAnsi="宋体" w:cs="宋体"/>
              <w:bCs w:val="0"/>
              <w:color w:val="auto"/>
              <w:kern w:val="0"/>
              <w:sz w:val="28"/>
              <w:szCs w:val="28"/>
              <w:highlight w:val="none"/>
              <w:lang w:val="en-US" w:eastAsia="zh-CN"/>
            </w:rPr>
            <w:t>七</w:t>
          </w:r>
          <w:r>
            <w:rPr>
              <w:rFonts w:hint="eastAsia" w:ascii="宋体" w:hAnsi="宋体" w:cs="宋体"/>
              <w:bCs w:val="0"/>
              <w:color w:val="auto"/>
              <w:kern w:val="0"/>
              <w:sz w:val="28"/>
              <w:szCs w:val="28"/>
              <w:highlight w:val="none"/>
            </w:rPr>
            <w:t>章</w:t>
          </w:r>
          <w:r>
            <w:rPr>
              <w:rFonts w:hint="eastAsia" w:ascii="宋体" w:hAnsi="宋体" w:cs="宋体"/>
              <w:bCs w:val="0"/>
              <w:color w:val="auto"/>
              <w:kern w:val="0"/>
              <w:sz w:val="28"/>
              <w:szCs w:val="28"/>
              <w:highlight w:val="none"/>
              <w:lang w:val="en-US" w:eastAsia="zh-CN"/>
            </w:rPr>
            <w:t xml:space="preserve">  </w:t>
          </w:r>
          <w:r>
            <w:rPr>
              <w:rFonts w:hint="eastAsia" w:ascii="宋体" w:hAnsi="宋体" w:cs="宋体"/>
              <w:bCs w:val="0"/>
              <w:color w:val="auto"/>
              <w:kern w:val="0"/>
              <w:sz w:val="28"/>
              <w:szCs w:val="28"/>
              <w:highlight w:val="none"/>
            </w:rPr>
            <w:t>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_Toc18289 \h </w:instrText>
          </w:r>
          <w:r>
            <w:rPr>
              <w:color w:val="auto"/>
              <w:sz w:val="28"/>
              <w:szCs w:val="28"/>
              <w:highlight w:val="none"/>
            </w:rPr>
            <w:fldChar w:fldCharType="separate"/>
          </w:r>
          <w:r>
            <w:rPr>
              <w:color w:val="auto"/>
              <w:sz w:val="28"/>
              <w:szCs w:val="28"/>
              <w:highlight w:val="none"/>
            </w:rPr>
            <w:t>86</w:t>
          </w:r>
          <w:r>
            <w:rPr>
              <w:color w:val="auto"/>
              <w:sz w:val="28"/>
              <w:szCs w:val="28"/>
              <w:highlight w:val="none"/>
            </w:rPr>
            <w:fldChar w:fldCharType="end"/>
          </w:r>
          <w:r>
            <w:rPr>
              <w:rFonts w:ascii="宋体" w:hAnsi="宋体" w:cs="宋体"/>
              <w:bCs/>
              <w:color w:val="auto"/>
              <w:sz w:val="28"/>
              <w:szCs w:val="28"/>
              <w:highlight w:val="none"/>
            </w:rPr>
            <w:fldChar w:fldCharType="end"/>
          </w:r>
        </w:p>
        <w:p w14:paraId="23BB44E7">
          <w:pPr>
            <w:pStyle w:val="56"/>
            <w:keepNext w:val="0"/>
            <w:keepLines w:val="0"/>
            <w:pageBreakBefore w:val="0"/>
            <w:tabs>
              <w:tab w:val="right" w:leader="dot" w:pos="9745"/>
            </w:tabs>
            <w:kinsoku/>
            <w:wordWrap/>
            <w:overflowPunct/>
            <w:topLinePunct w:val="0"/>
            <w:autoSpaceDE/>
            <w:autoSpaceDN/>
            <w:bidi w:val="0"/>
            <w:adjustRightInd/>
            <w:snapToGrid/>
            <w:spacing w:line="360" w:lineRule="auto"/>
            <w:textAlignment w:val="auto"/>
            <w:rPr>
              <w:color w:val="auto"/>
              <w:sz w:val="32"/>
              <w:szCs w:val="32"/>
              <w:highlight w:val="none"/>
            </w:rPr>
          </w:pPr>
          <w:r>
            <w:rPr>
              <w:rFonts w:ascii="宋体" w:hAnsi="宋体" w:cs="宋体"/>
              <w:bCs/>
              <w:color w:val="auto"/>
              <w:sz w:val="28"/>
              <w:szCs w:val="28"/>
              <w:highlight w:val="none"/>
            </w:rPr>
            <w:fldChar w:fldCharType="begin"/>
          </w:r>
          <w:r>
            <w:rPr>
              <w:rFonts w:ascii="宋体" w:hAnsi="宋体" w:cs="宋体"/>
              <w:bCs/>
              <w:color w:val="auto"/>
              <w:sz w:val="28"/>
              <w:szCs w:val="28"/>
              <w:highlight w:val="none"/>
            </w:rPr>
            <w:instrText xml:space="preserve"> HYPERLINK \l _Toc17992 </w:instrText>
          </w:r>
          <w:r>
            <w:rPr>
              <w:rFonts w:ascii="宋体" w:hAnsi="宋体" w:cs="宋体"/>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t>第</w:t>
          </w:r>
          <w:r>
            <w:rPr>
              <w:rFonts w:hint="eastAsia" w:asciiTheme="minorEastAsia" w:hAnsiTheme="minorEastAsia" w:eastAsiaTheme="minorEastAsia" w:cstheme="minorEastAsia"/>
              <w:bCs/>
              <w:color w:val="auto"/>
              <w:sz w:val="28"/>
              <w:szCs w:val="28"/>
              <w:highlight w:val="none"/>
              <w:lang w:eastAsia="zh-CN"/>
            </w:rPr>
            <w:t>八</w:t>
          </w:r>
          <w:r>
            <w:rPr>
              <w:rFonts w:hint="eastAsia" w:asciiTheme="minorEastAsia" w:hAnsiTheme="minorEastAsia" w:eastAsiaTheme="minorEastAsia" w:cstheme="minorEastAsia"/>
              <w:bCs/>
              <w:color w:val="auto"/>
              <w:sz w:val="28"/>
              <w:szCs w:val="28"/>
              <w:highlight w:val="none"/>
            </w:rPr>
            <w:t>章  评审办法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_Toc17992 \h </w:instrText>
          </w:r>
          <w:r>
            <w:rPr>
              <w:color w:val="auto"/>
              <w:sz w:val="28"/>
              <w:szCs w:val="28"/>
              <w:highlight w:val="none"/>
            </w:rPr>
            <w:fldChar w:fldCharType="separate"/>
          </w:r>
          <w:r>
            <w:rPr>
              <w:color w:val="auto"/>
              <w:sz w:val="28"/>
              <w:szCs w:val="28"/>
              <w:highlight w:val="none"/>
            </w:rPr>
            <w:t>114</w:t>
          </w:r>
          <w:r>
            <w:rPr>
              <w:color w:val="auto"/>
              <w:sz w:val="28"/>
              <w:szCs w:val="28"/>
              <w:highlight w:val="none"/>
            </w:rPr>
            <w:fldChar w:fldCharType="end"/>
          </w:r>
          <w:r>
            <w:rPr>
              <w:rFonts w:ascii="宋体" w:hAnsi="宋体" w:cs="宋体"/>
              <w:bCs/>
              <w:color w:val="auto"/>
              <w:sz w:val="28"/>
              <w:szCs w:val="28"/>
              <w:highlight w:val="none"/>
            </w:rPr>
            <w:fldChar w:fldCharType="end"/>
          </w:r>
        </w:p>
        <w:p w14:paraId="399995DE">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
              <w:bCs/>
              <w:color w:val="auto"/>
              <w:sz w:val="32"/>
              <w:szCs w:val="32"/>
              <w:highlight w:val="none"/>
            </w:rPr>
            <w:sectPr>
              <w:footerReference r:id="rId3" w:type="default"/>
              <w:pgSz w:w="11905" w:h="16838"/>
              <w:pgMar w:top="1440" w:right="1080" w:bottom="1440" w:left="1080" w:header="851" w:footer="850" w:gutter="0"/>
              <w:pgNumType w:fmt="upperRoman" w:start="1"/>
              <w:cols w:space="0" w:num="1"/>
              <w:docGrid w:linePitch="312" w:charSpace="0"/>
            </w:sectPr>
          </w:pPr>
          <w:r>
            <w:rPr>
              <w:rFonts w:ascii="宋体" w:hAnsi="宋体" w:cs="宋体"/>
              <w:bCs/>
              <w:color w:val="auto"/>
              <w:sz w:val="32"/>
              <w:szCs w:val="32"/>
              <w:highlight w:val="none"/>
            </w:rPr>
            <w:fldChar w:fldCharType="end"/>
          </w:r>
        </w:p>
      </w:sdtContent>
    </w:sdt>
    <w:p w14:paraId="157AF18E">
      <w:pPr>
        <w:keepNext w:val="0"/>
        <w:keepLines w:val="0"/>
        <w:pageBreakBefore w:val="0"/>
        <w:kinsoku/>
        <w:wordWrap/>
        <w:overflowPunct/>
        <w:topLinePunct w:val="0"/>
        <w:bidi w:val="0"/>
        <w:spacing w:line="436" w:lineRule="exact"/>
        <w:jc w:val="center"/>
        <w:outlineLvl w:val="0"/>
        <w:rPr>
          <w:rFonts w:asciiTheme="minorEastAsia" w:hAnsiTheme="minorEastAsia" w:eastAsiaTheme="minorEastAsia" w:cstheme="minorEastAsia"/>
          <w:b/>
          <w:bCs/>
          <w:color w:val="auto"/>
          <w:sz w:val="32"/>
          <w:szCs w:val="32"/>
          <w:highlight w:val="none"/>
        </w:rPr>
      </w:pPr>
      <w:bookmarkStart w:id="3" w:name="_Toc30170"/>
      <w:bookmarkStart w:id="4" w:name="_Toc10019"/>
      <w:bookmarkStart w:id="5" w:name="_Toc28359011"/>
      <w:bookmarkStart w:id="6" w:name="_Toc35393797"/>
      <w:bookmarkStart w:id="7" w:name="_Toc1521"/>
      <w:bookmarkStart w:id="8" w:name="_Toc2802"/>
      <w:bookmarkStart w:id="9" w:name="_Toc26809"/>
      <w:r>
        <w:rPr>
          <w:rFonts w:hint="eastAsia" w:asciiTheme="minorEastAsia" w:hAnsiTheme="minorEastAsia" w:eastAsiaTheme="minorEastAsia" w:cstheme="minorEastAsia"/>
          <w:b/>
          <w:bCs/>
          <w:color w:val="auto"/>
          <w:sz w:val="32"/>
          <w:szCs w:val="32"/>
          <w:highlight w:val="none"/>
        </w:rPr>
        <w:t>第一章  竞争性磋商公告</w:t>
      </w:r>
      <w:bookmarkEnd w:id="3"/>
      <w:bookmarkEnd w:id="4"/>
      <w:bookmarkEnd w:id="5"/>
      <w:bookmarkEnd w:id="6"/>
      <w:bookmarkEnd w:id="7"/>
      <w:bookmarkEnd w:id="8"/>
      <w:bookmarkEnd w:id="9"/>
    </w:p>
    <w:tbl>
      <w:tblPr>
        <w:tblStyle w:val="23"/>
        <w:tblpPr w:leftFromText="180" w:rightFromText="180" w:vertAnchor="text" w:tblpX="70" w:tblpY="134"/>
        <w:tblOverlap w:val="never"/>
        <w:tblW w:w="9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7"/>
      </w:tblGrid>
      <w:tr w14:paraId="2D15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9767" w:type="dxa"/>
          </w:tcPr>
          <w:p w14:paraId="7D4863F1">
            <w:pPr>
              <w:keepNext w:val="0"/>
              <w:keepLines w:val="0"/>
              <w:pageBreakBefore w:val="0"/>
              <w:kinsoku/>
              <w:wordWrap/>
              <w:overflowPunct/>
              <w:topLinePunct w:val="0"/>
              <w:bidi w:val="0"/>
              <w:spacing w:line="436" w:lineRule="exact"/>
              <w:ind w:left="105" w:leftChars="50" w:firstLine="315" w:firstLineChars="150"/>
              <w:rPr>
                <w:rFonts w:ascii="宋体" w:hAnsi="宋体" w:cs="宋体"/>
                <w:color w:val="auto"/>
                <w:highlight w:val="none"/>
              </w:rPr>
            </w:pPr>
            <w:r>
              <w:rPr>
                <w:rFonts w:hint="eastAsia" w:ascii="宋体" w:hAnsi="宋体" w:cs="宋体"/>
                <w:color w:val="auto"/>
                <w:highlight w:val="none"/>
              </w:rPr>
              <w:t>项目概况</w:t>
            </w:r>
          </w:p>
          <w:p w14:paraId="18880334">
            <w:pPr>
              <w:keepNext w:val="0"/>
              <w:keepLines w:val="0"/>
              <w:pageBreakBefore w:val="0"/>
              <w:kinsoku/>
              <w:wordWrap/>
              <w:overflowPunct/>
              <w:topLinePunct w:val="0"/>
              <w:bidi w:val="0"/>
              <w:spacing w:line="436" w:lineRule="exact"/>
              <w:ind w:firstLine="420" w:firstLineChars="200"/>
              <w:rPr>
                <w:rFonts w:ascii="宋体" w:hAnsi="宋体" w:cs="宋体"/>
                <w:color w:val="auto"/>
                <w:highlight w:val="none"/>
              </w:rPr>
            </w:pPr>
            <w:r>
              <w:rPr>
                <w:rFonts w:hint="eastAsia" w:ascii="宋体" w:hAnsi="宋体" w:cs="宋体"/>
                <w:color w:val="auto"/>
                <w:highlight w:val="none"/>
                <w:u w:val="single"/>
                <w:lang w:eastAsia="zh-CN"/>
              </w:rPr>
              <w:t>防城港职业技术学院供水管道维修工程（二期）</w:t>
            </w:r>
            <w:r>
              <w:rPr>
                <w:rFonts w:hint="eastAsia" w:ascii="宋体" w:hAnsi="宋体" w:cs="宋体"/>
                <w:color w:val="auto"/>
                <w:highlight w:val="none"/>
              </w:rPr>
              <w:t>采购项目的潜在供应商应在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color w:val="auto"/>
                <w:szCs w:val="21"/>
                <w:highlight w:val="none"/>
              </w:rPr>
              <w:t>广西政府采购云平台获取采购文件，</w:t>
            </w:r>
            <w:r>
              <w:rPr>
                <w:rFonts w:hint="eastAsia" w:ascii="宋体" w:hAnsi="宋体" w:cs="宋体"/>
                <w:color w:val="auto"/>
                <w:highlight w:val="none"/>
              </w:rPr>
              <w:t>并于202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06</w:t>
            </w:r>
            <w:r>
              <w:rPr>
                <w:rFonts w:hint="eastAsia" w:ascii="宋体" w:hAnsi="宋体" w:cs="宋体"/>
                <w:color w:val="auto"/>
                <w:highlight w:val="none"/>
              </w:rPr>
              <w:t>月</w:t>
            </w:r>
            <w:r>
              <w:rPr>
                <w:rFonts w:hint="eastAsia" w:ascii="宋体" w:hAnsi="宋体" w:cs="宋体"/>
                <w:color w:val="auto"/>
                <w:highlight w:val="none"/>
                <w:lang w:val="en-US" w:eastAsia="zh-CN"/>
              </w:rPr>
              <w:t>13</w:t>
            </w:r>
            <w:r>
              <w:rPr>
                <w:rFonts w:hint="eastAsia" w:ascii="宋体" w:hAnsi="宋体" w:cs="宋体"/>
                <w:color w:val="auto"/>
                <w:highlight w:val="none"/>
              </w:rPr>
              <w:t>日</w:t>
            </w:r>
            <w:r>
              <w:rPr>
                <w:rFonts w:hint="eastAsia" w:ascii="宋体" w:hAnsi="宋体" w:cs="宋体"/>
                <w:color w:val="auto"/>
                <w:highlight w:val="none"/>
                <w:lang w:val="en-US" w:eastAsia="zh-CN"/>
              </w:rPr>
              <w:t>13</w:t>
            </w:r>
            <w:r>
              <w:rPr>
                <w:rFonts w:hint="eastAsia" w:ascii="宋体" w:hAnsi="宋体" w:cs="宋体"/>
                <w:color w:val="auto"/>
                <w:highlight w:val="none"/>
              </w:rPr>
              <w:t>时</w:t>
            </w:r>
            <w:r>
              <w:rPr>
                <w:rFonts w:hint="eastAsia" w:ascii="宋体" w:hAnsi="宋体" w:cs="宋体"/>
                <w:color w:val="auto"/>
                <w:highlight w:val="none"/>
                <w:lang w:val="en-US" w:eastAsia="zh-CN"/>
              </w:rPr>
              <w:t>30</w:t>
            </w:r>
            <w:r>
              <w:rPr>
                <w:rFonts w:hint="eastAsia" w:ascii="宋体" w:hAnsi="宋体" w:cs="宋体"/>
                <w:color w:val="auto"/>
                <w:highlight w:val="none"/>
              </w:rPr>
              <w:t>分（北京时间）前提交响应文件。</w:t>
            </w:r>
          </w:p>
        </w:tc>
      </w:tr>
    </w:tbl>
    <w:p w14:paraId="0CF79C74">
      <w:pPr>
        <w:keepNext w:val="0"/>
        <w:keepLines w:val="0"/>
        <w:pageBreakBefore w:val="0"/>
        <w:kinsoku/>
        <w:wordWrap/>
        <w:overflowPunct/>
        <w:topLinePunct w:val="0"/>
        <w:bidi w:val="0"/>
        <w:spacing w:line="436" w:lineRule="exact"/>
        <w:outlineLvl w:val="1"/>
        <w:rPr>
          <w:rFonts w:ascii="宋体" w:hAnsi="宋体" w:cs="宋体"/>
          <w:color w:val="auto"/>
          <w:szCs w:val="21"/>
          <w:highlight w:val="none"/>
        </w:rPr>
      </w:pPr>
      <w:bookmarkStart w:id="10" w:name="_Toc35393798"/>
      <w:bookmarkStart w:id="11" w:name="_Toc16171"/>
      <w:bookmarkStart w:id="12" w:name="_Toc28359089"/>
      <w:bookmarkStart w:id="13" w:name="_Toc35393629"/>
      <w:bookmarkStart w:id="14" w:name="_Toc28359012"/>
      <w:bookmarkStart w:id="15" w:name="_Toc6293"/>
      <w:r>
        <w:rPr>
          <w:rFonts w:hint="eastAsia" w:ascii="宋体" w:hAnsi="宋体" w:cs="宋体"/>
          <w:b/>
          <w:bCs/>
          <w:color w:val="auto"/>
          <w:szCs w:val="21"/>
          <w:highlight w:val="none"/>
        </w:rPr>
        <w:t>一、项目基本情况</w:t>
      </w:r>
      <w:bookmarkEnd w:id="10"/>
      <w:bookmarkEnd w:id="11"/>
      <w:bookmarkEnd w:id="12"/>
      <w:bookmarkEnd w:id="13"/>
      <w:bookmarkEnd w:id="14"/>
      <w:bookmarkEnd w:id="15"/>
    </w:p>
    <w:p w14:paraId="1B1F6000">
      <w:pPr>
        <w:keepNext w:val="0"/>
        <w:keepLines w:val="0"/>
        <w:pageBreakBefore w:val="0"/>
        <w:kinsoku/>
        <w:wordWrap/>
        <w:overflowPunct/>
        <w:topLinePunct w:val="0"/>
        <w:bidi w:val="0"/>
        <w:spacing w:line="436"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FCZC2025-C2-990043-GXJT</w:t>
      </w:r>
    </w:p>
    <w:p w14:paraId="2132C3E8">
      <w:pPr>
        <w:keepNext w:val="0"/>
        <w:keepLines w:val="0"/>
        <w:pageBreakBefore w:val="0"/>
        <w:kinsoku/>
        <w:wordWrap/>
        <w:overflowPunct/>
        <w:topLinePunct w:val="0"/>
        <w:bidi w:val="0"/>
        <w:spacing w:line="436"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防城港职业技术学院供水管道维修工程（二期）</w:t>
      </w:r>
    </w:p>
    <w:p w14:paraId="39FC3FC1">
      <w:pPr>
        <w:keepNext w:val="0"/>
        <w:keepLines w:val="0"/>
        <w:pageBreakBefore w:val="0"/>
        <w:kinsoku/>
        <w:wordWrap/>
        <w:overflowPunct/>
        <w:topLinePunct w:val="0"/>
        <w:bidi w:val="0"/>
        <w:spacing w:line="436"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3、采购方式：</w:t>
      </w:r>
      <w:r>
        <w:rPr>
          <w:rFonts w:hint="eastAsia" w:ascii="宋体" w:hAnsi="宋体"/>
          <w:color w:val="auto"/>
          <w:szCs w:val="21"/>
          <w:highlight w:val="none"/>
        </w:rPr>
        <w:t>□ 竞争性谈判 ☑竞争性磋商 □询价</w:t>
      </w:r>
    </w:p>
    <w:p w14:paraId="3F4A4C78">
      <w:pPr>
        <w:keepNext w:val="0"/>
        <w:keepLines w:val="0"/>
        <w:pageBreakBefore w:val="0"/>
        <w:kinsoku/>
        <w:wordWrap/>
        <w:overflowPunct/>
        <w:topLinePunct w:val="0"/>
        <w:bidi w:val="0"/>
        <w:spacing w:line="436" w:lineRule="exact"/>
        <w:ind w:firstLine="420" w:firstLineChars="200"/>
        <w:rPr>
          <w:rFonts w:hint="eastAsia" w:ascii="宋体" w:hAnsi="宋体" w:eastAsia="宋体" w:cs="宋体"/>
          <w:color w:val="auto"/>
          <w:szCs w:val="21"/>
          <w:highlight w:val="none"/>
          <w:lang w:eastAsia="zh-CN"/>
        </w:rPr>
      </w:pPr>
      <w:bookmarkStart w:id="16" w:name="_Toc15911"/>
      <w:bookmarkStart w:id="17" w:name="_Toc6271"/>
      <w:bookmarkStart w:id="18" w:name="_Toc22142"/>
      <w:bookmarkStart w:id="19" w:name="_Toc26032"/>
      <w:bookmarkStart w:id="20" w:name="_Toc2148"/>
      <w:r>
        <w:rPr>
          <w:rFonts w:hint="eastAsia" w:ascii="宋体" w:hAnsi="宋体" w:cs="宋体"/>
          <w:color w:val="auto"/>
          <w:szCs w:val="21"/>
          <w:highlight w:val="none"/>
        </w:rPr>
        <w:t>4、预算金额（人民币）：</w:t>
      </w:r>
      <w:bookmarkEnd w:id="16"/>
      <w:bookmarkEnd w:id="17"/>
      <w:bookmarkEnd w:id="18"/>
      <w:bookmarkEnd w:id="19"/>
      <w:bookmarkEnd w:id="20"/>
      <w:r>
        <w:rPr>
          <w:rFonts w:hint="eastAsia" w:ascii="宋体" w:hAnsi="宋体" w:cs="宋体"/>
          <w:color w:val="auto"/>
          <w:szCs w:val="21"/>
          <w:highlight w:val="none"/>
          <w:lang w:eastAsia="zh-CN"/>
        </w:rPr>
        <w:t>人民币壹佰肆拾玖万肆仟肆佰叁拾贰元陆角整（¥1494432.60元）</w:t>
      </w:r>
    </w:p>
    <w:p w14:paraId="2EADBC52">
      <w:pPr>
        <w:keepNext w:val="0"/>
        <w:keepLines w:val="0"/>
        <w:pageBreakBefore w:val="0"/>
        <w:kinsoku/>
        <w:wordWrap/>
        <w:overflowPunct/>
        <w:topLinePunct w:val="0"/>
        <w:bidi w:val="0"/>
        <w:spacing w:line="436" w:lineRule="exact"/>
        <w:ind w:firstLine="420" w:firstLineChars="200"/>
        <w:rPr>
          <w:rFonts w:hint="eastAsia" w:ascii="宋体" w:hAnsi="宋体" w:eastAsia="宋体" w:cs="宋体"/>
          <w:color w:val="auto"/>
          <w:szCs w:val="21"/>
          <w:highlight w:val="none"/>
          <w:lang w:eastAsia="zh-CN"/>
        </w:rPr>
      </w:pPr>
      <w:bookmarkStart w:id="21" w:name="_Toc11056"/>
      <w:bookmarkStart w:id="22" w:name="_Toc27882"/>
      <w:bookmarkStart w:id="23" w:name="_Toc6591"/>
      <w:bookmarkStart w:id="24" w:name="_Toc20981"/>
      <w:r>
        <w:rPr>
          <w:rFonts w:hint="eastAsia" w:ascii="宋体" w:hAnsi="宋体" w:cs="宋体"/>
          <w:color w:val="auto"/>
          <w:szCs w:val="21"/>
          <w:highlight w:val="none"/>
        </w:rPr>
        <w:t>5、最高限价（人民币）：</w:t>
      </w:r>
      <w:r>
        <w:rPr>
          <w:rFonts w:hint="eastAsia" w:ascii="宋体" w:hAnsi="宋体" w:cs="宋体"/>
          <w:color w:val="auto"/>
          <w:szCs w:val="21"/>
          <w:highlight w:val="none"/>
          <w:lang w:eastAsia="zh-CN"/>
        </w:rPr>
        <w:t>人民币壹佰肆拾玖万肆仟肆佰叁拾贰元陆角整（¥1494432.60元）</w:t>
      </w:r>
    </w:p>
    <w:bookmarkEnd w:id="21"/>
    <w:bookmarkEnd w:id="22"/>
    <w:bookmarkEnd w:id="23"/>
    <w:bookmarkEnd w:id="24"/>
    <w:p w14:paraId="7C726B35">
      <w:pPr>
        <w:keepNext w:val="0"/>
        <w:keepLines w:val="0"/>
        <w:pageBreakBefore w:val="0"/>
        <w:kinsoku/>
        <w:wordWrap/>
        <w:overflowPunct/>
        <w:topLinePunct w:val="0"/>
        <w:bidi w:val="0"/>
        <w:spacing w:line="436" w:lineRule="exact"/>
        <w:ind w:firstLine="420" w:firstLineChars="200"/>
        <w:rPr>
          <w:rFonts w:ascii="宋体" w:hAnsi="宋体" w:cs="宋体"/>
          <w:color w:val="auto"/>
          <w:szCs w:val="21"/>
          <w:highlight w:val="none"/>
        </w:rPr>
      </w:pPr>
      <w:bookmarkStart w:id="25" w:name="_Toc4369"/>
      <w:bookmarkStart w:id="26" w:name="_Toc27692"/>
      <w:bookmarkStart w:id="27" w:name="_Toc5166"/>
      <w:bookmarkStart w:id="28" w:name="_Toc15341"/>
      <w:bookmarkStart w:id="29" w:name="_Toc4468"/>
      <w:r>
        <w:rPr>
          <w:rFonts w:hint="eastAsia" w:ascii="宋体" w:hAnsi="宋体" w:cs="宋体"/>
          <w:color w:val="auto"/>
          <w:szCs w:val="21"/>
          <w:highlight w:val="none"/>
        </w:rPr>
        <w:t>6、采购需求</w:t>
      </w:r>
      <w:bookmarkEnd w:id="25"/>
      <w:bookmarkEnd w:id="26"/>
      <w:bookmarkEnd w:id="27"/>
      <w:r>
        <w:rPr>
          <w:rFonts w:hint="eastAsia" w:ascii="宋体" w:hAnsi="宋体" w:cs="宋体"/>
          <w:color w:val="auto"/>
          <w:szCs w:val="21"/>
          <w:highlight w:val="none"/>
        </w:rPr>
        <w:t>：</w:t>
      </w:r>
      <w:bookmarkEnd w:id="28"/>
      <w:bookmarkStart w:id="30" w:name="_Toc18138"/>
      <w:r>
        <w:rPr>
          <w:rFonts w:hint="eastAsia" w:ascii="宋体" w:hAnsi="宋体" w:cs="宋体"/>
          <w:color w:val="auto"/>
          <w:szCs w:val="21"/>
          <w:highlight w:val="none"/>
          <w:lang w:eastAsia="zh-CN"/>
        </w:rPr>
        <w:t>防城港职业技术学院供水管道维修工程（二期）</w:t>
      </w:r>
      <w:r>
        <w:rPr>
          <w:rFonts w:hint="eastAsia" w:ascii="宋体" w:hAnsi="宋体" w:cs="宋体"/>
          <w:color w:val="auto"/>
          <w:szCs w:val="21"/>
          <w:highlight w:val="none"/>
          <w:lang w:val="en-US" w:eastAsia="zh-CN"/>
        </w:rPr>
        <w:t>1项</w:t>
      </w:r>
      <w:r>
        <w:rPr>
          <w:rFonts w:hint="eastAsia" w:ascii="宋体" w:hAnsi="宋体" w:cs="宋体"/>
          <w:color w:val="auto"/>
          <w:szCs w:val="21"/>
          <w:highlight w:val="none"/>
        </w:rPr>
        <w:t>,具体施工内容以及工程量以图纸及工程量清单为准。</w:t>
      </w:r>
      <w:bookmarkEnd w:id="29"/>
    </w:p>
    <w:p w14:paraId="36FF8D97">
      <w:pPr>
        <w:keepNext w:val="0"/>
        <w:keepLines w:val="0"/>
        <w:pageBreakBefore w:val="0"/>
        <w:kinsoku/>
        <w:wordWrap/>
        <w:overflowPunct/>
        <w:topLinePunct w:val="0"/>
        <w:bidi w:val="0"/>
        <w:spacing w:line="436" w:lineRule="exact"/>
        <w:ind w:firstLine="420" w:firstLineChars="200"/>
        <w:rPr>
          <w:rFonts w:ascii="宋体" w:hAnsi="宋体" w:cs="宋体"/>
          <w:color w:val="auto"/>
          <w:szCs w:val="21"/>
          <w:highlight w:val="none"/>
        </w:rPr>
      </w:pPr>
      <w:bookmarkStart w:id="31" w:name="_Toc7209"/>
      <w:r>
        <w:rPr>
          <w:rFonts w:hint="eastAsia" w:ascii="宋体" w:hAnsi="宋体" w:cs="宋体"/>
          <w:color w:val="auto"/>
          <w:szCs w:val="21"/>
          <w:highlight w:val="none"/>
        </w:rPr>
        <w:t>7、</w:t>
      </w:r>
      <w:r>
        <w:rPr>
          <w:rFonts w:hint="eastAsia" w:ascii="宋体" w:hAnsi="宋体"/>
          <w:color w:val="auto"/>
          <w:szCs w:val="21"/>
          <w:highlight w:val="none"/>
        </w:rPr>
        <w:t>合同履行期限：工期</w:t>
      </w:r>
      <w:r>
        <w:rPr>
          <w:rFonts w:hint="eastAsia" w:ascii="宋体" w:hAnsi="宋体"/>
          <w:color w:val="auto"/>
          <w:szCs w:val="21"/>
          <w:highlight w:val="none"/>
          <w:lang w:val="en-US" w:eastAsia="zh-CN"/>
        </w:rPr>
        <w:t>90</w:t>
      </w:r>
      <w:r>
        <w:rPr>
          <w:rFonts w:hint="eastAsia" w:ascii="宋体" w:hAnsi="宋体"/>
          <w:color w:val="auto"/>
          <w:szCs w:val="21"/>
          <w:highlight w:val="none"/>
        </w:rPr>
        <w:t>日历天</w:t>
      </w:r>
      <w:r>
        <w:rPr>
          <w:rFonts w:hint="eastAsia" w:ascii="宋体" w:hAnsi="宋体" w:cs="宋体"/>
          <w:color w:val="auto"/>
          <w:szCs w:val="21"/>
          <w:highlight w:val="none"/>
        </w:rPr>
        <w:t>。</w:t>
      </w:r>
      <w:bookmarkEnd w:id="30"/>
      <w:bookmarkEnd w:id="31"/>
    </w:p>
    <w:p w14:paraId="53A9169C">
      <w:pPr>
        <w:keepNext w:val="0"/>
        <w:keepLines w:val="0"/>
        <w:pageBreakBefore w:val="0"/>
        <w:kinsoku/>
        <w:wordWrap/>
        <w:overflowPunct/>
        <w:topLinePunct w:val="0"/>
        <w:bidi w:val="0"/>
        <w:spacing w:line="436" w:lineRule="exact"/>
        <w:ind w:firstLine="420" w:firstLineChars="200"/>
        <w:rPr>
          <w:rFonts w:ascii="宋体" w:hAnsi="宋体" w:cs="宋体"/>
          <w:color w:val="auto"/>
          <w:szCs w:val="21"/>
          <w:highlight w:val="none"/>
        </w:rPr>
      </w:pPr>
      <w:bookmarkStart w:id="32" w:name="_Toc17242"/>
      <w:bookmarkStart w:id="33" w:name="_Toc3678"/>
      <w:bookmarkStart w:id="34" w:name="_Toc849"/>
      <w:r>
        <w:rPr>
          <w:rFonts w:hint="eastAsia" w:ascii="宋体" w:hAnsi="宋体" w:cs="宋体"/>
          <w:color w:val="auto"/>
          <w:szCs w:val="21"/>
          <w:highlight w:val="none"/>
        </w:rPr>
        <w:t>8、本项目</w:t>
      </w:r>
      <w:r>
        <w:rPr>
          <w:rFonts w:hint="eastAsia" w:ascii="宋体" w:hAnsi="宋体" w:cs="宋体"/>
          <w:color w:val="auto"/>
          <w:szCs w:val="21"/>
          <w:highlight w:val="none"/>
          <w:u w:val="single"/>
        </w:rPr>
        <w:t>不接受</w:t>
      </w:r>
      <w:r>
        <w:rPr>
          <w:rFonts w:hint="eastAsia" w:ascii="宋体" w:hAnsi="宋体" w:cs="宋体"/>
          <w:color w:val="auto"/>
          <w:szCs w:val="21"/>
          <w:highlight w:val="none"/>
        </w:rPr>
        <w:t>联合体。</w:t>
      </w:r>
      <w:bookmarkEnd w:id="32"/>
      <w:bookmarkEnd w:id="33"/>
      <w:bookmarkEnd w:id="34"/>
    </w:p>
    <w:p w14:paraId="21BAB042">
      <w:pPr>
        <w:keepNext w:val="0"/>
        <w:keepLines w:val="0"/>
        <w:pageBreakBefore w:val="0"/>
        <w:kinsoku/>
        <w:wordWrap/>
        <w:overflowPunct/>
        <w:topLinePunct w:val="0"/>
        <w:bidi w:val="0"/>
        <w:spacing w:line="436" w:lineRule="exact"/>
        <w:outlineLvl w:val="1"/>
        <w:rPr>
          <w:rFonts w:ascii="宋体" w:hAnsi="宋体" w:cs="宋体"/>
          <w:b/>
          <w:bCs/>
          <w:color w:val="auto"/>
          <w:szCs w:val="21"/>
          <w:highlight w:val="none"/>
        </w:rPr>
      </w:pPr>
      <w:bookmarkStart w:id="35" w:name="_Toc35393630"/>
      <w:bookmarkStart w:id="36" w:name="_Toc35393799"/>
      <w:bookmarkStart w:id="37" w:name="_Toc15424"/>
      <w:bookmarkStart w:id="38" w:name="_Toc29128"/>
      <w:bookmarkStart w:id="39" w:name="_Toc28359090"/>
      <w:bookmarkStart w:id="40" w:name="_Toc28359013"/>
      <w:r>
        <w:rPr>
          <w:rFonts w:hint="eastAsia" w:ascii="宋体" w:hAnsi="宋体" w:cs="宋体"/>
          <w:b/>
          <w:bCs/>
          <w:color w:val="auto"/>
          <w:szCs w:val="21"/>
          <w:highlight w:val="none"/>
        </w:rPr>
        <w:t>二、申请人的资格要求：</w:t>
      </w:r>
      <w:bookmarkEnd w:id="35"/>
      <w:bookmarkEnd w:id="36"/>
      <w:bookmarkEnd w:id="37"/>
      <w:bookmarkEnd w:id="38"/>
      <w:bookmarkEnd w:id="39"/>
      <w:bookmarkEnd w:id="40"/>
    </w:p>
    <w:p w14:paraId="54F34667">
      <w:pPr>
        <w:keepNext w:val="0"/>
        <w:keepLines w:val="0"/>
        <w:pageBreakBefore w:val="0"/>
        <w:kinsoku/>
        <w:wordWrap/>
        <w:overflowPunct/>
        <w:topLinePunct w:val="0"/>
        <w:bidi w:val="0"/>
        <w:spacing w:line="436"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6E8E4EB4">
      <w:pPr>
        <w:keepNext w:val="0"/>
        <w:keepLines w:val="0"/>
        <w:pageBreakBefore w:val="0"/>
        <w:kinsoku/>
        <w:wordWrap/>
        <w:overflowPunct/>
        <w:topLinePunct w:val="0"/>
        <w:bidi w:val="0"/>
        <w:spacing w:line="436" w:lineRule="exact"/>
        <w:ind w:firstLine="420" w:firstLineChars="200"/>
        <w:rPr>
          <w:rFonts w:ascii="宋体" w:hAnsi="宋体"/>
          <w:color w:val="auto"/>
          <w:szCs w:val="21"/>
          <w:highlight w:val="none"/>
        </w:rPr>
      </w:pPr>
      <w:bookmarkStart w:id="41" w:name="_Toc28359014"/>
      <w:bookmarkStart w:id="42" w:name="_Toc28359091"/>
      <w:r>
        <w:rPr>
          <w:rFonts w:hint="eastAsia" w:ascii="宋体" w:hAnsi="宋体" w:cs="宋体"/>
          <w:color w:val="auto"/>
          <w:szCs w:val="21"/>
          <w:highlight w:val="none"/>
        </w:rPr>
        <w:t>2、落实政府采购政策需满足的资格要求：</w:t>
      </w:r>
      <w:r>
        <w:rPr>
          <w:rFonts w:hint="eastAsia" w:ascii="宋体" w:hAnsi="宋体"/>
          <w:color w:val="auto"/>
          <w:szCs w:val="21"/>
          <w:highlight w:val="none"/>
        </w:rPr>
        <w:t>本项目为专门面向</w:t>
      </w:r>
      <w:r>
        <w:rPr>
          <w:rFonts w:hint="eastAsia" w:ascii="宋体" w:hAnsi="宋体"/>
          <w:color w:val="auto"/>
          <w:szCs w:val="21"/>
          <w:highlight w:val="none"/>
          <w:lang w:eastAsia="zh-CN"/>
        </w:rPr>
        <w:t>小微</w:t>
      </w:r>
      <w:r>
        <w:rPr>
          <w:rFonts w:hint="eastAsia" w:ascii="宋体" w:hAnsi="宋体"/>
          <w:color w:val="auto"/>
          <w:szCs w:val="21"/>
          <w:highlight w:val="none"/>
        </w:rPr>
        <w:t>企业采购的项目【供应商应为小微企业（所属行业为：建筑业）或监狱企业或残疾人福利性单位】；</w:t>
      </w:r>
    </w:p>
    <w:p w14:paraId="55078FDB">
      <w:pPr>
        <w:keepNext w:val="0"/>
        <w:keepLines w:val="0"/>
        <w:pageBreakBefore w:val="0"/>
        <w:kinsoku/>
        <w:wordWrap/>
        <w:overflowPunct/>
        <w:topLinePunct w:val="0"/>
        <w:bidi w:val="0"/>
        <w:spacing w:line="436" w:lineRule="exact"/>
        <w:ind w:firstLine="420" w:firstLineChars="200"/>
        <w:rPr>
          <w:rFonts w:ascii="宋体" w:hAnsi="宋体" w:cs="宋体"/>
          <w:color w:val="auto"/>
          <w:highlight w:val="none"/>
        </w:rPr>
      </w:pPr>
      <w:r>
        <w:rPr>
          <w:rFonts w:hint="eastAsia" w:ascii="宋体" w:hAnsi="宋体" w:cs="宋体"/>
          <w:color w:val="auto"/>
          <w:szCs w:val="21"/>
          <w:highlight w:val="none"/>
        </w:rPr>
        <w:t>3、本项目的特定资格要求：</w:t>
      </w:r>
      <w:bookmarkStart w:id="43" w:name="_Toc35393800"/>
      <w:bookmarkStart w:id="44" w:name="_Toc35393631"/>
      <w:r>
        <w:rPr>
          <w:rFonts w:hint="eastAsia" w:ascii="宋体" w:hAnsi="宋体" w:cs="宋体"/>
          <w:bCs/>
          <w:color w:val="auto"/>
          <w:szCs w:val="21"/>
          <w:highlight w:val="none"/>
        </w:rPr>
        <w:t>具备“市政</w:t>
      </w:r>
      <w:r>
        <w:rPr>
          <w:rFonts w:hint="eastAsia" w:ascii="宋体" w:hAnsi="宋体" w:cs="宋体"/>
          <w:bCs/>
          <w:color w:val="auto"/>
          <w:szCs w:val="21"/>
          <w:highlight w:val="none"/>
          <w:lang w:val="en-US" w:eastAsia="zh-CN"/>
        </w:rPr>
        <w:t>公用</w:t>
      </w:r>
      <w:r>
        <w:rPr>
          <w:rFonts w:hint="eastAsia" w:ascii="宋体" w:hAnsi="宋体" w:cs="宋体"/>
          <w:bCs/>
          <w:color w:val="auto"/>
          <w:szCs w:val="21"/>
          <w:highlight w:val="none"/>
        </w:rPr>
        <w:t>工程施工总承包”三级以上（含三级）资质，</w:t>
      </w:r>
      <w:r>
        <w:rPr>
          <w:rFonts w:hint="eastAsia" w:ascii="宋体" w:hAnsi="宋体" w:cs="宋体"/>
          <w:color w:val="auto"/>
          <w:highlight w:val="none"/>
        </w:rPr>
        <w:t>且在人员、设备、资金等方面具备相应的施工能力。项目经理要求为:市政</w:t>
      </w:r>
      <w:r>
        <w:rPr>
          <w:rFonts w:hint="eastAsia" w:ascii="宋体" w:hAnsi="宋体" w:cs="宋体"/>
          <w:color w:val="auto"/>
          <w:highlight w:val="none"/>
          <w:lang w:val="en-US" w:eastAsia="zh-CN"/>
        </w:rPr>
        <w:t>公用</w:t>
      </w:r>
      <w:r>
        <w:rPr>
          <w:rFonts w:hint="eastAsia" w:ascii="宋体" w:hAnsi="宋体" w:cs="宋体"/>
          <w:color w:val="auto"/>
          <w:highlight w:val="none"/>
        </w:rPr>
        <w:t>工程专业注册建造师二级以上(含二级)资格，具备有效的考核合格证书(B类)。</w:t>
      </w:r>
    </w:p>
    <w:p w14:paraId="6F915FF3">
      <w:pPr>
        <w:keepNext w:val="0"/>
        <w:keepLines w:val="0"/>
        <w:pageBreakBefore w:val="0"/>
        <w:kinsoku/>
        <w:wordWrap/>
        <w:overflowPunct/>
        <w:topLinePunct w:val="0"/>
        <w:bidi w:val="0"/>
        <w:spacing w:line="436" w:lineRule="exact"/>
        <w:ind w:firstLine="539" w:firstLineChars="257"/>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 单位负责人为同一人或者存在直接控股、管理关系的不同供应商，不得参加同一合同项下的政府采购活动。</w:t>
      </w:r>
      <w:r>
        <w:rPr>
          <w:rFonts w:hint="eastAsia" w:ascii="宋体" w:hAnsi="宋体" w:cs="宋体"/>
          <w:color w:val="auto"/>
          <w:highlight w:val="none"/>
        </w:rPr>
        <w:t>除单一来源采购项目外，</w:t>
      </w:r>
      <w:r>
        <w:rPr>
          <w:rFonts w:ascii="宋体" w:hAnsi="宋体" w:cs="宋体"/>
          <w:color w:val="auto"/>
          <w:szCs w:val="21"/>
          <w:highlight w:val="none"/>
        </w:rPr>
        <w:t>为本项目提供过整体设计、规范编制或者项目管理、监理、检测等服务的供应商，不得再参加本项目上述服务以外的</w:t>
      </w:r>
      <w:r>
        <w:rPr>
          <w:rFonts w:hint="eastAsia" w:ascii="宋体" w:hAnsi="宋体" w:cs="宋体"/>
          <w:color w:val="auto"/>
          <w:szCs w:val="21"/>
          <w:highlight w:val="none"/>
        </w:rPr>
        <w:t>其他</w:t>
      </w:r>
      <w:r>
        <w:rPr>
          <w:rFonts w:ascii="宋体" w:hAnsi="宋体" w:cs="宋体"/>
          <w:color w:val="auto"/>
          <w:szCs w:val="21"/>
          <w:highlight w:val="none"/>
        </w:rPr>
        <w:t>采购活动。</w:t>
      </w:r>
    </w:p>
    <w:p w14:paraId="47A13DA1">
      <w:pPr>
        <w:keepNext w:val="0"/>
        <w:keepLines w:val="0"/>
        <w:pageBreakBefore w:val="0"/>
        <w:kinsoku/>
        <w:wordWrap/>
        <w:overflowPunct/>
        <w:topLinePunct w:val="0"/>
        <w:bidi w:val="0"/>
        <w:spacing w:line="436" w:lineRule="exact"/>
        <w:ind w:firstLine="539" w:firstLineChars="257"/>
        <w:rPr>
          <w:color w:val="auto"/>
          <w:highlight w:val="none"/>
        </w:rPr>
      </w:pPr>
      <w:r>
        <w:rPr>
          <w:rFonts w:hint="eastAsia" w:ascii="宋体" w:hAnsi="宋体" w:cs="宋体"/>
          <w:color w:val="auto"/>
          <w:szCs w:val="21"/>
          <w:highlight w:val="none"/>
        </w:rPr>
        <w:t>5</w:t>
      </w:r>
      <w:r>
        <w:rPr>
          <w:rFonts w:ascii="宋体" w:hAnsi="宋体" w:cs="宋体"/>
          <w:color w:val="auto"/>
          <w:szCs w:val="21"/>
          <w:highlight w:val="none"/>
        </w:rPr>
        <w:t>. 对在“信用中国”网站、中国政府采购网被列入失信被执行人、</w:t>
      </w:r>
      <w:r>
        <w:rPr>
          <w:rFonts w:hint="eastAsia" w:ascii="宋体" w:hAnsi="宋体" w:cs="宋体"/>
          <w:color w:val="auto"/>
          <w:szCs w:val="21"/>
          <w:highlight w:val="none"/>
        </w:rPr>
        <w:t>重大税收违法失信主体</w:t>
      </w:r>
      <w:r>
        <w:rPr>
          <w:rFonts w:ascii="宋体" w:hAnsi="宋体" w:cs="宋体"/>
          <w:color w:val="auto"/>
          <w:szCs w:val="21"/>
          <w:highlight w:val="none"/>
        </w:rPr>
        <w:t>、政府采购严重违法失信行为记录名单及</w:t>
      </w:r>
      <w:r>
        <w:rPr>
          <w:rFonts w:hint="eastAsia" w:ascii="宋体" w:hAnsi="宋体" w:cs="宋体"/>
          <w:color w:val="auto"/>
          <w:szCs w:val="21"/>
          <w:highlight w:val="none"/>
        </w:rPr>
        <w:t>其他</w:t>
      </w:r>
      <w:r>
        <w:rPr>
          <w:rFonts w:ascii="宋体" w:hAnsi="宋体" w:cs="宋体"/>
          <w:color w:val="auto"/>
          <w:szCs w:val="21"/>
          <w:highlight w:val="none"/>
        </w:rPr>
        <w:t>不符合《中华人民共和国政府采购法》第二十二条规定条件的供应商，不得参与政府采购活动。</w:t>
      </w:r>
    </w:p>
    <w:bookmarkEnd w:id="41"/>
    <w:bookmarkEnd w:id="42"/>
    <w:bookmarkEnd w:id="43"/>
    <w:bookmarkEnd w:id="44"/>
    <w:p w14:paraId="79083F2D">
      <w:pPr>
        <w:keepNext w:val="0"/>
        <w:keepLines w:val="0"/>
        <w:pageBreakBefore w:val="0"/>
        <w:kinsoku/>
        <w:wordWrap/>
        <w:overflowPunct/>
        <w:topLinePunct w:val="0"/>
        <w:bidi w:val="0"/>
        <w:spacing w:line="436" w:lineRule="exact"/>
        <w:outlineLvl w:val="1"/>
        <w:rPr>
          <w:rFonts w:ascii="宋体" w:hAnsi="宋体" w:cs="宋体"/>
          <w:b/>
          <w:bCs/>
          <w:color w:val="auto"/>
          <w:szCs w:val="21"/>
          <w:highlight w:val="none"/>
        </w:rPr>
      </w:pPr>
      <w:bookmarkStart w:id="45" w:name="_Toc35393623"/>
      <w:bookmarkStart w:id="46" w:name="_Toc35393792"/>
      <w:bookmarkStart w:id="47" w:name="_Toc30856"/>
      <w:bookmarkStart w:id="48" w:name="_Toc23376"/>
      <w:bookmarkStart w:id="49" w:name="_Toc35393805"/>
      <w:bookmarkStart w:id="50" w:name="_Toc28359018"/>
      <w:bookmarkStart w:id="51" w:name="_Toc35393636"/>
      <w:bookmarkStart w:id="52" w:name="_Toc28359095"/>
      <w:r>
        <w:rPr>
          <w:rFonts w:hint="eastAsia" w:ascii="宋体" w:hAnsi="宋体" w:cs="宋体"/>
          <w:b/>
          <w:bCs/>
          <w:color w:val="auto"/>
          <w:szCs w:val="21"/>
          <w:highlight w:val="none"/>
        </w:rPr>
        <w:t>三、获取采购文件</w:t>
      </w:r>
      <w:bookmarkEnd w:id="45"/>
      <w:bookmarkEnd w:id="46"/>
      <w:r>
        <w:rPr>
          <w:rFonts w:hint="eastAsia" w:ascii="宋体" w:hAnsi="宋体" w:cs="宋体"/>
          <w:b/>
          <w:bCs/>
          <w:color w:val="auto"/>
          <w:szCs w:val="21"/>
          <w:highlight w:val="none"/>
        </w:rPr>
        <w:t>：</w:t>
      </w:r>
      <w:bookmarkEnd w:id="47"/>
      <w:bookmarkEnd w:id="48"/>
    </w:p>
    <w:p w14:paraId="476C75C0">
      <w:pPr>
        <w:keepNext w:val="0"/>
        <w:keepLines w:val="0"/>
        <w:pageBreakBefore w:val="0"/>
        <w:kinsoku/>
        <w:wordWrap/>
        <w:overflowPunct/>
        <w:topLinePunct w:val="0"/>
        <w:bidi w:val="0"/>
        <w:spacing w:line="436" w:lineRule="exact"/>
        <w:ind w:firstLine="420" w:firstLineChars="200"/>
        <w:rPr>
          <w:rFonts w:ascii="宋体" w:hAnsi="宋体" w:cs="宋体"/>
          <w:bCs/>
          <w:color w:val="auto"/>
          <w:kern w:val="0"/>
          <w:szCs w:val="21"/>
          <w:highlight w:val="none"/>
        </w:rPr>
      </w:pPr>
      <w:bookmarkStart w:id="53" w:name="_Toc28359082"/>
      <w:bookmarkStart w:id="54" w:name="_Toc28359005"/>
      <w:bookmarkStart w:id="55" w:name="_Toc35393624"/>
      <w:bookmarkStart w:id="56" w:name="_Toc35393793"/>
      <w:bookmarkStart w:id="57" w:name="_Toc5746"/>
      <w:bookmarkStart w:id="58" w:name="_Toc14194"/>
      <w:r>
        <w:rPr>
          <w:rFonts w:hint="eastAsia" w:ascii="宋体" w:hAnsi="宋体" w:cs="宋体"/>
          <w:bCs/>
          <w:color w:val="auto"/>
          <w:kern w:val="0"/>
          <w:szCs w:val="21"/>
          <w:highlight w:val="none"/>
        </w:rPr>
        <w:t>时间：</w:t>
      </w:r>
      <w:r>
        <w:rPr>
          <w:rFonts w:hint="eastAsia" w:ascii="宋体" w:hAnsi="宋体" w:cs="宋体"/>
          <w:bCs/>
          <w:color w:val="auto"/>
          <w:highlight w:val="none"/>
        </w:rPr>
        <w:t>202</w:t>
      </w:r>
      <w:r>
        <w:rPr>
          <w:rFonts w:hint="eastAsia" w:ascii="宋体" w:hAnsi="宋体" w:cs="宋体"/>
          <w:bCs/>
          <w:color w:val="auto"/>
          <w:highlight w:val="none"/>
          <w:lang w:val="en-US" w:eastAsia="zh-CN"/>
        </w:rPr>
        <w:t>5</w:t>
      </w:r>
      <w:r>
        <w:rPr>
          <w:rFonts w:hint="eastAsia" w:ascii="宋体" w:hAnsi="宋体" w:cs="宋体"/>
          <w:bCs/>
          <w:color w:val="auto"/>
          <w:highlight w:val="none"/>
        </w:rPr>
        <w:t>年</w:t>
      </w:r>
      <w:r>
        <w:rPr>
          <w:rFonts w:hint="eastAsia" w:ascii="宋体" w:hAnsi="宋体" w:cs="宋体"/>
          <w:bCs/>
          <w:color w:val="auto"/>
          <w:highlight w:val="none"/>
          <w:lang w:val="en-US" w:eastAsia="zh-CN"/>
        </w:rPr>
        <w:t>05</w:t>
      </w:r>
      <w:r>
        <w:rPr>
          <w:rFonts w:hint="eastAsia" w:ascii="宋体" w:hAnsi="宋体" w:cs="宋体"/>
          <w:bCs/>
          <w:color w:val="auto"/>
          <w:highlight w:val="none"/>
        </w:rPr>
        <w:t>月</w:t>
      </w:r>
      <w:r>
        <w:rPr>
          <w:rFonts w:hint="eastAsia" w:ascii="宋体" w:hAnsi="宋体" w:cs="宋体"/>
          <w:bCs/>
          <w:color w:val="auto"/>
          <w:highlight w:val="none"/>
          <w:lang w:val="en-US" w:eastAsia="zh-CN"/>
        </w:rPr>
        <w:t>30</w:t>
      </w:r>
      <w:r>
        <w:rPr>
          <w:rFonts w:hint="eastAsia" w:ascii="宋体" w:hAnsi="宋体" w:cs="宋体"/>
          <w:bCs/>
          <w:color w:val="auto"/>
          <w:highlight w:val="none"/>
        </w:rPr>
        <w:t>日至202</w:t>
      </w:r>
      <w:r>
        <w:rPr>
          <w:rFonts w:hint="eastAsia" w:ascii="宋体" w:hAnsi="宋体" w:cs="宋体"/>
          <w:bCs/>
          <w:color w:val="auto"/>
          <w:highlight w:val="none"/>
          <w:lang w:val="en-US" w:eastAsia="zh-CN"/>
        </w:rPr>
        <w:t>5</w:t>
      </w:r>
      <w:r>
        <w:rPr>
          <w:rFonts w:hint="eastAsia" w:ascii="宋体" w:hAnsi="宋体" w:cs="宋体"/>
          <w:bCs/>
          <w:color w:val="auto"/>
          <w:highlight w:val="none"/>
        </w:rPr>
        <w:t>年</w:t>
      </w:r>
      <w:r>
        <w:rPr>
          <w:rFonts w:hint="eastAsia" w:ascii="宋体" w:hAnsi="宋体" w:cs="宋体"/>
          <w:bCs/>
          <w:color w:val="auto"/>
          <w:highlight w:val="none"/>
          <w:lang w:val="en-US" w:eastAsia="zh-CN"/>
        </w:rPr>
        <w:t>06</w:t>
      </w:r>
      <w:r>
        <w:rPr>
          <w:rFonts w:hint="eastAsia" w:ascii="宋体" w:hAnsi="宋体" w:cs="宋体"/>
          <w:bCs/>
          <w:color w:val="auto"/>
          <w:highlight w:val="none"/>
        </w:rPr>
        <w:t>月</w:t>
      </w:r>
      <w:r>
        <w:rPr>
          <w:rFonts w:hint="eastAsia" w:ascii="宋体" w:hAnsi="宋体" w:cs="宋体"/>
          <w:bCs/>
          <w:color w:val="auto"/>
          <w:highlight w:val="none"/>
          <w:lang w:val="en-US" w:eastAsia="zh-CN"/>
        </w:rPr>
        <w:t>09</w:t>
      </w:r>
      <w:r>
        <w:rPr>
          <w:rFonts w:hint="eastAsia" w:ascii="宋体" w:hAnsi="宋体" w:cs="宋体"/>
          <w:bCs/>
          <w:color w:val="auto"/>
          <w:highlight w:val="none"/>
        </w:rPr>
        <w:t>日，每天上午0</w:t>
      </w:r>
      <w:r>
        <w:rPr>
          <w:rFonts w:hint="eastAsia" w:ascii="宋体" w:hAnsi="宋体" w:cs="宋体"/>
          <w:bCs/>
          <w:color w:val="auto"/>
          <w:highlight w:val="none"/>
          <w:lang w:val="en-US" w:eastAsia="zh-CN"/>
        </w:rPr>
        <w:t>0</w:t>
      </w:r>
      <w:r>
        <w:rPr>
          <w:rFonts w:hint="eastAsia" w:ascii="宋体" w:hAnsi="宋体" w:cs="宋体"/>
          <w:bCs/>
          <w:color w:val="auto"/>
          <w:highlight w:val="none"/>
        </w:rPr>
        <w:t>:00至12:00，下午1</w:t>
      </w:r>
      <w:r>
        <w:rPr>
          <w:rFonts w:hint="eastAsia" w:ascii="宋体" w:hAnsi="宋体" w:cs="宋体"/>
          <w:bCs/>
          <w:color w:val="auto"/>
          <w:highlight w:val="none"/>
          <w:lang w:val="en-US" w:eastAsia="zh-CN"/>
        </w:rPr>
        <w:t>2</w:t>
      </w:r>
      <w:r>
        <w:rPr>
          <w:rFonts w:hint="eastAsia" w:ascii="宋体" w:hAnsi="宋体" w:cs="宋体"/>
          <w:bCs/>
          <w:color w:val="auto"/>
          <w:highlight w:val="none"/>
        </w:rPr>
        <w:t>:00至</w:t>
      </w:r>
      <w:r>
        <w:rPr>
          <w:rFonts w:hint="eastAsia" w:ascii="宋体" w:hAnsi="宋体" w:cs="宋体"/>
          <w:bCs/>
          <w:color w:val="auto"/>
          <w:highlight w:val="none"/>
          <w:lang w:val="en-US" w:eastAsia="zh-CN"/>
        </w:rPr>
        <w:t>23</w:t>
      </w:r>
      <w:r>
        <w:rPr>
          <w:rFonts w:hint="eastAsia" w:ascii="宋体" w:hAnsi="宋体" w:cs="宋体"/>
          <w:bCs/>
          <w:color w:val="auto"/>
          <w:highlight w:val="none"/>
        </w:rPr>
        <w:t>:</w:t>
      </w:r>
      <w:r>
        <w:rPr>
          <w:rFonts w:hint="eastAsia" w:ascii="宋体" w:hAnsi="宋体" w:cs="宋体"/>
          <w:bCs/>
          <w:color w:val="auto"/>
          <w:highlight w:val="none"/>
          <w:lang w:val="en-US" w:eastAsia="zh-CN"/>
        </w:rPr>
        <w:t>59</w:t>
      </w:r>
      <w:r>
        <w:rPr>
          <w:rFonts w:hint="eastAsia" w:ascii="宋体" w:hAnsi="宋体" w:cs="宋体"/>
          <w:bCs/>
          <w:color w:val="auto"/>
          <w:highlight w:val="none"/>
        </w:rPr>
        <w:t>（北京时间，法定节假日除外）。</w:t>
      </w:r>
    </w:p>
    <w:p w14:paraId="0AB07276">
      <w:pPr>
        <w:keepNext w:val="0"/>
        <w:keepLines w:val="0"/>
        <w:pageBreakBefore w:val="0"/>
        <w:kinsoku/>
        <w:wordWrap/>
        <w:overflowPunct/>
        <w:topLinePunct w:val="0"/>
        <w:bidi w:val="0"/>
        <w:spacing w:line="436"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1EE4D38A">
      <w:pPr>
        <w:keepNext w:val="0"/>
        <w:keepLines w:val="0"/>
        <w:pageBreakBefore w:val="0"/>
        <w:kinsoku/>
        <w:wordWrap/>
        <w:overflowPunct/>
        <w:topLinePunct w:val="0"/>
        <w:bidi w:val="0"/>
        <w:spacing w:line="436"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 CA 登录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w:t>
      </w:r>
    </w:p>
    <w:p w14:paraId="1159F41E">
      <w:pPr>
        <w:keepNext w:val="0"/>
        <w:keepLines w:val="0"/>
        <w:pageBreakBefore w:val="0"/>
        <w:kinsoku/>
        <w:wordWrap/>
        <w:overflowPunct/>
        <w:topLinePunct w:val="0"/>
        <w:bidi w:val="0"/>
        <w:spacing w:line="436" w:lineRule="exact"/>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售价：0元。</w:t>
      </w:r>
    </w:p>
    <w:p w14:paraId="232F892A">
      <w:pPr>
        <w:keepNext w:val="0"/>
        <w:keepLines w:val="0"/>
        <w:pageBreakBefore w:val="0"/>
        <w:kinsoku/>
        <w:wordWrap/>
        <w:overflowPunct/>
        <w:topLinePunct w:val="0"/>
        <w:bidi w:val="0"/>
        <w:spacing w:line="436" w:lineRule="exact"/>
        <w:outlineLvl w:val="1"/>
        <w:rPr>
          <w:rFonts w:ascii="宋体" w:hAnsi="宋体" w:cs="宋体"/>
          <w:b/>
          <w:bCs/>
          <w:color w:val="auto"/>
          <w:szCs w:val="21"/>
          <w:highlight w:val="none"/>
        </w:rPr>
      </w:pPr>
      <w:r>
        <w:rPr>
          <w:rFonts w:hint="eastAsia" w:ascii="宋体" w:hAnsi="宋体" w:cs="宋体"/>
          <w:b/>
          <w:bCs/>
          <w:color w:val="auto"/>
          <w:szCs w:val="21"/>
          <w:highlight w:val="none"/>
        </w:rPr>
        <w:t>四、响应文件</w:t>
      </w:r>
      <w:bookmarkEnd w:id="53"/>
      <w:bookmarkEnd w:id="54"/>
      <w:r>
        <w:rPr>
          <w:rFonts w:hint="eastAsia" w:ascii="宋体" w:hAnsi="宋体" w:cs="宋体"/>
          <w:b/>
          <w:bCs/>
          <w:color w:val="auto"/>
          <w:szCs w:val="21"/>
          <w:highlight w:val="none"/>
        </w:rPr>
        <w:t>提交时间和地点</w:t>
      </w:r>
      <w:bookmarkEnd w:id="55"/>
      <w:bookmarkEnd w:id="56"/>
      <w:bookmarkEnd w:id="57"/>
      <w:bookmarkEnd w:id="58"/>
    </w:p>
    <w:p w14:paraId="735BBCE0">
      <w:pPr>
        <w:keepNext w:val="0"/>
        <w:keepLines w:val="0"/>
        <w:pageBreakBefore w:val="0"/>
        <w:kinsoku/>
        <w:wordWrap/>
        <w:overflowPunct/>
        <w:topLinePunct w:val="0"/>
        <w:bidi w:val="0"/>
        <w:spacing w:line="436" w:lineRule="exact"/>
        <w:ind w:firstLine="420" w:firstLineChars="200"/>
        <w:rPr>
          <w:rFonts w:ascii="宋体" w:hAnsi="宋体"/>
          <w:color w:val="auto"/>
          <w:szCs w:val="21"/>
          <w:highlight w:val="none"/>
        </w:rPr>
      </w:pPr>
      <w:bookmarkStart w:id="59" w:name="_Toc2847"/>
      <w:bookmarkStart w:id="60" w:name="_Toc4557"/>
      <w:r>
        <w:rPr>
          <w:rFonts w:hint="eastAsia" w:ascii="宋体" w:hAnsi="宋体" w:cs="宋体"/>
          <w:bCs/>
          <w:color w:val="auto"/>
          <w:szCs w:val="21"/>
          <w:highlight w:val="none"/>
        </w:rPr>
        <w:t>1.</w:t>
      </w:r>
      <w:r>
        <w:rPr>
          <w:rFonts w:hint="eastAsia" w:ascii="宋体" w:hAnsi="宋体" w:cs="宋体"/>
          <w:color w:val="auto"/>
          <w:szCs w:val="21"/>
          <w:highlight w:val="none"/>
        </w:rPr>
        <w:t>首次响应文件提交</w:t>
      </w:r>
      <w:r>
        <w:rPr>
          <w:rFonts w:hint="eastAsia" w:ascii="宋体" w:hAnsi="宋体"/>
          <w:color w:val="auto"/>
          <w:szCs w:val="21"/>
          <w:highlight w:val="none"/>
        </w:rPr>
        <w:t>截止时间：</w:t>
      </w:r>
      <w:r>
        <w:rPr>
          <w:rFonts w:hint="eastAsia" w:ascii="宋体" w:hAnsi="宋体" w:cs="宋体"/>
          <w:color w:val="auto"/>
          <w:highlight w:val="none"/>
        </w:rPr>
        <w:t>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06</w:t>
      </w:r>
      <w:r>
        <w:rPr>
          <w:rFonts w:hint="eastAsia" w:ascii="宋体" w:hAnsi="宋体" w:cs="宋体"/>
          <w:color w:val="auto"/>
          <w:highlight w:val="none"/>
        </w:rPr>
        <w:t>月</w:t>
      </w:r>
      <w:r>
        <w:rPr>
          <w:rFonts w:hint="eastAsia" w:ascii="宋体" w:hAnsi="宋体" w:cs="宋体"/>
          <w:color w:val="auto"/>
          <w:highlight w:val="none"/>
          <w:lang w:val="en-US" w:eastAsia="zh-CN"/>
        </w:rPr>
        <w:t>13</w:t>
      </w:r>
      <w:r>
        <w:rPr>
          <w:rFonts w:hint="eastAsia" w:ascii="宋体" w:hAnsi="宋体" w:cs="宋体"/>
          <w:color w:val="auto"/>
          <w:highlight w:val="none"/>
        </w:rPr>
        <w:t>日</w:t>
      </w:r>
      <w:r>
        <w:rPr>
          <w:rFonts w:hint="eastAsia" w:ascii="宋体" w:hAnsi="宋体" w:cs="宋体"/>
          <w:color w:val="auto"/>
          <w:highlight w:val="none"/>
          <w:lang w:val="en-US" w:eastAsia="zh-CN"/>
        </w:rPr>
        <w:t>13</w:t>
      </w:r>
      <w:r>
        <w:rPr>
          <w:rFonts w:hint="eastAsia" w:ascii="宋体" w:hAnsi="宋体" w:cs="宋体"/>
          <w:color w:val="auto"/>
          <w:highlight w:val="none"/>
        </w:rPr>
        <w:t>时</w:t>
      </w:r>
      <w:r>
        <w:rPr>
          <w:rFonts w:hint="eastAsia" w:ascii="宋体" w:hAnsi="宋体" w:cs="宋体"/>
          <w:color w:val="auto"/>
          <w:highlight w:val="none"/>
          <w:lang w:val="en-US" w:eastAsia="zh-CN"/>
        </w:rPr>
        <w:t>30</w:t>
      </w:r>
      <w:r>
        <w:rPr>
          <w:rFonts w:hint="eastAsia" w:ascii="宋体" w:hAnsi="宋体" w:cs="宋体"/>
          <w:color w:val="auto"/>
          <w:highlight w:val="none"/>
        </w:rPr>
        <w:t>分</w:t>
      </w:r>
      <w:r>
        <w:rPr>
          <w:rFonts w:hint="eastAsia" w:ascii="宋体" w:hAnsi="宋体"/>
          <w:color w:val="auto"/>
          <w:szCs w:val="21"/>
          <w:highlight w:val="none"/>
        </w:rPr>
        <w:t>（北京时间）</w:t>
      </w:r>
    </w:p>
    <w:p w14:paraId="1ACDB06B">
      <w:pPr>
        <w:keepNext w:val="0"/>
        <w:keepLines w:val="0"/>
        <w:pageBreakBefore w:val="0"/>
        <w:kinsoku/>
        <w:wordWrap/>
        <w:overflowPunct/>
        <w:topLinePunct w:val="0"/>
        <w:bidi w:val="0"/>
        <w:spacing w:line="436" w:lineRule="exact"/>
        <w:ind w:firstLine="420" w:firstLineChars="200"/>
        <w:rPr>
          <w:rFonts w:ascii="宋体" w:hAnsi="宋体"/>
          <w:b/>
          <w:bCs/>
          <w:color w:val="auto"/>
          <w:szCs w:val="21"/>
          <w:highlight w:val="none"/>
        </w:rPr>
      </w:pPr>
      <w:r>
        <w:rPr>
          <w:rFonts w:hint="eastAsia" w:ascii="宋体" w:hAnsi="宋体"/>
          <w:color w:val="auto"/>
          <w:szCs w:val="21"/>
          <w:highlight w:val="none"/>
        </w:rPr>
        <w:t>2.首次响应文件提交地点：</w:t>
      </w:r>
      <w:r>
        <w:rPr>
          <w:rFonts w:hint="eastAsia" w:ascii="宋体" w:hAnsi="宋体"/>
          <w:b/>
          <w:bCs/>
          <w:color w:val="auto"/>
          <w:szCs w:val="21"/>
          <w:highlight w:val="none"/>
        </w:rPr>
        <w:t>通过广西政府采购云平台在线解密开启</w:t>
      </w:r>
    </w:p>
    <w:p w14:paraId="6C4CA7B7">
      <w:pPr>
        <w:keepNext w:val="0"/>
        <w:keepLines w:val="0"/>
        <w:pageBreakBefore w:val="0"/>
        <w:kinsoku/>
        <w:wordWrap/>
        <w:overflowPunct/>
        <w:topLinePunct w:val="0"/>
        <w:bidi w:val="0"/>
        <w:spacing w:line="436" w:lineRule="exact"/>
        <w:outlineLvl w:val="1"/>
        <w:rPr>
          <w:rFonts w:ascii="宋体" w:hAnsi="宋体" w:cs="宋体"/>
          <w:b/>
          <w:bCs/>
          <w:color w:val="auto"/>
          <w:szCs w:val="21"/>
          <w:highlight w:val="none"/>
        </w:rPr>
      </w:pPr>
      <w:r>
        <w:rPr>
          <w:rFonts w:hint="eastAsia" w:ascii="宋体" w:hAnsi="宋体" w:cs="宋体"/>
          <w:b/>
          <w:bCs/>
          <w:color w:val="auto"/>
          <w:szCs w:val="21"/>
          <w:highlight w:val="none"/>
        </w:rPr>
        <w:t>五、开启</w:t>
      </w:r>
      <w:bookmarkEnd w:id="59"/>
      <w:bookmarkEnd w:id="60"/>
    </w:p>
    <w:p w14:paraId="513230B1">
      <w:pPr>
        <w:keepNext w:val="0"/>
        <w:keepLines w:val="0"/>
        <w:pageBreakBefore w:val="0"/>
        <w:kinsoku/>
        <w:wordWrap/>
        <w:overflowPunct/>
        <w:topLinePunct w:val="0"/>
        <w:bidi w:val="0"/>
        <w:spacing w:line="436" w:lineRule="exact"/>
        <w:ind w:firstLine="420" w:firstLineChars="200"/>
        <w:rPr>
          <w:rFonts w:ascii="宋体" w:hAnsi="宋体" w:cs="宋体"/>
          <w:color w:val="auto"/>
          <w:szCs w:val="21"/>
          <w:highlight w:val="none"/>
        </w:rPr>
      </w:pPr>
      <w:bookmarkStart w:id="61" w:name="_Toc28359084"/>
      <w:bookmarkStart w:id="62" w:name="_Toc35393794"/>
      <w:bookmarkStart w:id="63" w:name="_Toc28359007"/>
      <w:bookmarkStart w:id="64" w:name="_Toc19362"/>
      <w:bookmarkStart w:id="65" w:name="_Toc35393625"/>
      <w:bookmarkStart w:id="66" w:name="_Toc11721"/>
      <w:r>
        <w:rPr>
          <w:rFonts w:hint="eastAsia" w:ascii="宋体" w:hAnsi="宋体" w:cs="宋体"/>
          <w:color w:val="auto"/>
          <w:szCs w:val="21"/>
          <w:highlight w:val="none"/>
        </w:rPr>
        <w:t>1、首次响应文件开启时间：</w:t>
      </w:r>
      <w:r>
        <w:rPr>
          <w:rFonts w:hint="eastAsia" w:ascii="宋体" w:hAnsi="宋体" w:cs="宋体"/>
          <w:color w:val="auto"/>
          <w:highlight w:val="none"/>
        </w:rPr>
        <w:t>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06</w:t>
      </w:r>
      <w:r>
        <w:rPr>
          <w:rFonts w:hint="eastAsia" w:ascii="宋体" w:hAnsi="宋体" w:cs="宋体"/>
          <w:color w:val="auto"/>
          <w:highlight w:val="none"/>
        </w:rPr>
        <w:t>月</w:t>
      </w:r>
      <w:r>
        <w:rPr>
          <w:rFonts w:hint="eastAsia" w:ascii="宋体" w:hAnsi="宋体" w:cs="宋体"/>
          <w:color w:val="auto"/>
          <w:highlight w:val="none"/>
          <w:lang w:val="en-US" w:eastAsia="zh-CN"/>
        </w:rPr>
        <w:t>13</w:t>
      </w:r>
      <w:r>
        <w:rPr>
          <w:rFonts w:hint="eastAsia" w:ascii="宋体" w:hAnsi="宋体" w:cs="宋体"/>
          <w:color w:val="auto"/>
          <w:highlight w:val="none"/>
        </w:rPr>
        <w:t>日</w:t>
      </w:r>
      <w:r>
        <w:rPr>
          <w:rFonts w:hint="eastAsia" w:ascii="宋体" w:hAnsi="宋体" w:cs="宋体"/>
          <w:color w:val="auto"/>
          <w:highlight w:val="none"/>
          <w:lang w:val="en-US" w:eastAsia="zh-CN"/>
        </w:rPr>
        <w:t>13</w:t>
      </w:r>
      <w:r>
        <w:rPr>
          <w:rFonts w:hint="eastAsia" w:ascii="宋体" w:hAnsi="宋体" w:cs="宋体"/>
          <w:color w:val="auto"/>
          <w:highlight w:val="none"/>
        </w:rPr>
        <w:t>时</w:t>
      </w:r>
      <w:r>
        <w:rPr>
          <w:rFonts w:hint="eastAsia" w:ascii="宋体" w:hAnsi="宋体" w:cs="宋体"/>
          <w:color w:val="auto"/>
          <w:highlight w:val="none"/>
          <w:lang w:val="en-US" w:eastAsia="zh-CN"/>
        </w:rPr>
        <w:t>30</w:t>
      </w:r>
      <w:r>
        <w:rPr>
          <w:rFonts w:hint="eastAsia" w:ascii="宋体" w:hAnsi="宋体" w:cs="宋体"/>
          <w:color w:val="auto"/>
          <w:highlight w:val="none"/>
        </w:rPr>
        <w:t>分</w:t>
      </w:r>
      <w:r>
        <w:rPr>
          <w:rFonts w:hint="eastAsia" w:ascii="宋体" w:hAnsi="宋体" w:cs="宋体"/>
          <w:color w:val="auto"/>
          <w:szCs w:val="21"/>
          <w:highlight w:val="none"/>
        </w:rPr>
        <w:t>（北京时间）</w:t>
      </w:r>
    </w:p>
    <w:p w14:paraId="59CECE63">
      <w:pPr>
        <w:keepNext w:val="0"/>
        <w:keepLines w:val="0"/>
        <w:pageBreakBefore w:val="0"/>
        <w:kinsoku/>
        <w:wordWrap/>
        <w:overflowPunct/>
        <w:topLinePunct w:val="0"/>
        <w:bidi w:val="0"/>
        <w:spacing w:line="436"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2、地点：广西壮族自治区防城港市开标室1政府采购开标室1</w:t>
      </w:r>
    </w:p>
    <w:p w14:paraId="718BE5C1">
      <w:pPr>
        <w:keepNext w:val="0"/>
        <w:keepLines w:val="0"/>
        <w:pageBreakBefore w:val="0"/>
        <w:kinsoku/>
        <w:wordWrap/>
        <w:overflowPunct/>
        <w:topLinePunct w:val="0"/>
        <w:bidi w:val="0"/>
        <w:spacing w:line="436" w:lineRule="exact"/>
        <w:outlineLvl w:val="1"/>
        <w:rPr>
          <w:rFonts w:ascii="宋体" w:hAnsi="宋体" w:cs="宋体"/>
          <w:b/>
          <w:bCs/>
          <w:color w:val="auto"/>
          <w:szCs w:val="21"/>
          <w:highlight w:val="none"/>
        </w:rPr>
      </w:pPr>
      <w:r>
        <w:rPr>
          <w:rFonts w:hint="eastAsia" w:ascii="宋体" w:hAnsi="宋体" w:cs="宋体"/>
          <w:b/>
          <w:bCs/>
          <w:color w:val="auto"/>
          <w:szCs w:val="21"/>
          <w:highlight w:val="none"/>
        </w:rPr>
        <w:t>六、公告期限</w:t>
      </w:r>
      <w:bookmarkEnd w:id="61"/>
      <w:bookmarkEnd w:id="62"/>
      <w:bookmarkEnd w:id="63"/>
      <w:bookmarkEnd w:id="64"/>
      <w:bookmarkEnd w:id="65"/>
      <w:bookmarkEnd w:id="66"/>
    </w:p>
    <w:p w14:paraId="6D35184B">
      <w:pPr>
        <w:keepNext w:val="0"/>
        <w:keepLines w:val="0"/>
        <w:pageBreakBefore w:val="0"/>
        <w:kinsoku/>
        <w:wordWrap/>
        <w:overflowPunct/>
        <w:topLinePunct w:val="0"/>
        <w:bidi w:val="0"/>
        <w:spacing w:line="436"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4AB8EC66">
      <w:pPr>
        <w:keepNext w:val="0"/>
        <w:keepLines w:val="0"/>
        <w:pageBreakBefore w:val="0"/>
        <w:kinsoku/>
        <w:wordWrap/>
        <w:overflowPunct/>
        <w:topLinePunct w:val="0"/>
        <w:bidi w:val="0"/>
        <w:spacing w:line="436" w:lineRule="exact"/>
        <w:outlineLvl w:val="1"/>
        <w:rPr>
          <w:rFonts w:ascii="宋体" w:hAnsi="宋体" w:cs="宋体"/>
          <w:b/>
          <w:bCs/>
          <w:color w:val="auto"/>
          <w:szCs w:val="21"/>
          <w:highlight w:val="none"/>
        </w:rPr>
      </w:pPr>
      <w:bookmarkStart w:id="67" w:name="_Toc17380"/>
      <w:bookmarkStart w:id="68" w:name="_Toc35393626"/>
      <w:bookmarkStart w:id="69" w:name="_Toc35393795"/>
      <w:bookmarkStart w:id="70" w:name="_Toc16359"/>
      <w:r>
        <w:rPr>
          <w:rFonts w:hint="eastAsia" w:ascii="宋体" w:hAnsi="宋体" w:cs="宋体"/>
          <w:b/>
          <w:bCs/>
          <w:color w:val="auto"/>
          <w:szCs w:val="21"/>
          <w:highlight w:val="none"/>
        </w:rPr>
        <w:t>七、其他补充事宜</w:t>
      </w:r>
      <w:bookmarkEnd w:id="67"/>
      <w:bookmarkEnd w:id="68"/>
      <w:bookmarkEnd w:id="69"/>
      <w:bookmarkEnd w:id="70"/>
    </w:p>
    <w:p w14:paraId="54D49481">
      <w:pPr>
        <w:keepNext w:val="0"/>
        <w:keepLines w:val="0"/>
        <w:pageBreakBefore w:val="0"/>
        <w:kinsoku/>
        <w:wordWrap/>
        <w:overflowPunct/>
        <w:topLinePunct w:val="0"/>
        <w:bidi w:val="0"/>
        <w:spacing w:line="436" w:lineRule="exact"/>
        <w:ind w:firstLine="420" w:firstLineChars="200"/>
        <w:rPr>
          <w:rFonts w:ascii="宋体" w:hAnsi="宋体" w:cs="宋体"/>
          <w:color w:val="auto"/>
          <w:kern w:val="0"/>
          <w:szCs w:val="21"/>
          <w:highlight w:val="none"/>
        </w:rPr>
      </w:pPr>
      <w:bookmarkStart w:id="71" w:name="_Toc5677"/>
      <w:bookmarkStart w:id="72" w:name="_Toc14525"/>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磋商保证金：本项目不收取磋商保证金。</w:t>
      </w:r>
    </w:p>
    <w:p w14:paraId="7E9852C9">
      <w:pPr>
        <w:keepNext w:val="0"/>
        <w:keepLines w:val="0"/>
        <w:pageBreakBefore w:val="0"/>
        <w:kinsoku/>
        <w:wordWrap/>
        <w:overflowPunct/>
        <w:topLinePunct w:val="0"/>
        <w:bidi w:val="0"/>
        <w:spacing w:line="436"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71175177">
      <w:pPr>
        <w:keepNext w:val="0"/>
        <w:keepLines w:val="0"/>
        <w:pageBreakBefore w:val="0"/>
        <w:kinsoku/>
        <w:wordWrap/>
        <w:overflowPunct/>
        <w:topLinePunct w:val="0"/>
        <w:bidi w:val="0"/>
        <w:spacing w:line="436"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中国政府采购网、广西壮族自治区政府采购网、全国公共资源交易平台（广西•防城港）。</w:t>
      </w:r>
    </w:p>
    <w:p w14:paraId="13EBBE8D">
      <w:pPr>
        <w:keepNext w:val="0"/>
        <w:keepLines w:val="0"/>
        <w:pageBreakBefore w:val="0"/>
        <w:kinsoku/>
        <w:wordWrap/>
        <w:overflowPunct/>
        <w:topLinePunct w:val="0"/>
        <w:bidi w:val="0"/>
        <w:spacing w:line="436" w:lineRule="exact"/>
        <w:ind w:firstLine="420" w:firstLineChars="200"/>
        <w:rPr>
          <w:rFonts w:ascii="宋体" w:hAnsi="宋体" w:cs="宋体"/>
          <w:color w:val="auto"/>
          <w:kern w:val="0"/>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14:paraId="52ECAE7D">
      <w:pPr>
        <w:keepNext w:val="0"/>
        <w:keepLines w:val="0"/>
        <w:pageBreakBefore w:val="0"/>
        <w:kinsoku/>
        <w:wordWrap/>
        <w:overflowPunct/>
        <w:topLinePunct w:val="0"/>
        <w:bidi w:val="0"/>
        <w:spacing w:line="436"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4DCAFACC">
      <w:pPr>
        <w:keepNext w:val="0"/>
        <w:keepLines w:val="0"/>
        <w:pageBreakBefore w:val="0"/>
        <w:kinsoku/>
        <w:wordWrap/>
        <w:overflowPunct/>
        <w:topLinePunct w:val="0"/>
        <w:bidi w:val="0"/>
        <w:spacing w:line="436"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5B05E052">
      <w:pPr>
        <w:keepNext w:val="0"/>
        <w:keepLines w:val="0"/>
        <w:pageBreakBefore w:val="0"/>
        <w:kinsoku/>
        <w:wordWrap/>
        <w:overflowPunct/>
        <w:topLinePunct w:val="0"/>
        <w:bidi w:val="0"/>
        <w:spacing w:line="436"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0B24F607">
      <w:pPr>
        <w:keepNext w:val="0"/>
        <w:keepLines w:val="0"/>
        <w:pageBreakBefore w:val="0"/>
        <w:kinsoku/>
        <w:wordWrap/>
        <w:overflowPunct/>
        <w:topLinePunct w:val="0"/>
        <w:bidi w:val="0"/>
        <w:spacing w:line="436"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6BD36F51">
      <w:pPr>
        <w:keepNext w:val="0"/>
        <w:keepLines w:val="0"/>
        <w:pageBreakBefore w:val="0"/>
        <w:kinsoku/>
        <w:wordWrap/>
        <w:overflowPunct/>
        <w:topLinePunct w:val="0"/>
        <w:bidi w:val="0"/>
        <w:spacing w:line="436"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29FADB4D">
      <w:pPr>
        <w:pStyle w:val="30"/>
        <w:keepNext w:val="0"/>
        <w:keepLines w:val="0"/>
        <w:pageBreakBefore w:val="0"/>
        <w:kinsoku/>
        <w:wordWrap/>
        <w:overflowPunct/>
        <w:topLinePunct w:val="0"/>
        <w:bidi w:val="0"/>
        <w:spacing w:line="436" w:lineRule="exact"/>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4</w:t>
      </w:r>
      <w:r>
        <w:rPr>
          <w:rFonts w:ascii="宋体" w:hAnsi="宋体" w:cs="宋体"/>
          <w:color w:val="auto"/>
          <w:kern w:val="2"/>
          <w:sz w:val="21"/>
          <w:szCs w:val="21"/>
          <w:highlight w:val="none"/>
        </w:rPr>
        <w:t>.</w:t>
      </w:r>
      <w:r>
        <w:rPr>
          <w:rFonts w:hint="eastAsia" w:ascii="宋体" w:hAnsi="宋体" w:cs="宋体"/>
          <w:color w:val="auto"/>
          <w:kern w:val="2"/>
          <w:sz w:val="21"/>
          <w:szCs w:val="21"/>
          <w:highlight w:val="none"/>
        </w:rPr>
        <w:t>响应文件</w:t>
      </w:r>
      <w:r>
        <w:rPr>
          <w:rFonts w:ascii="宋体" w:hAnsi="宋体" w:cs="宋体"/>
          <w:color w:val="auto"/>
          <w:kern w:val="2"/>
          <w:sz w:val="21"/>
          <w:szCs w:val="21"/>
          <w:highlight w:val="none"/>
        </w:rPr>
        <w:t>解密：</w:t>
      </w:r>
    </w:p>
    <w:p w14:paraId="05620DD5">
      <w:pPr>
        <w:keepNext w:val="0"/>
        <w:keepLines w:val="0"/>
        <w:pageBreakBefore w:val="0"/>
        <w:kinsoku/>
        <w:wordWrap/>
        <w:overflowPunct/>
        <w:topLinePunct w:val="0"/>
        <w:bidi w:val="0"/>
        <w:spacing w:line="436" w:lineRule="exact"/>
        <w:ind w:firstLine="420" w:firstLineChars="200"/>
        <w:rPr>
          <w:rFonts w:ascii="宋体" w:hAnsi="宋体" w:cs="宋体"/>
          <w:color w:val="auto"/>
          <w:szCs w:val="21"/>
          <w:highlight w:val="none"/>
        </w:rPr>
      </w:pPr>
      <w:r>
        <w:rPr>
          <w:rFonts w:ascii="宋体" w:hAnsi="宋体" w:cs="宋体"/>
          <w:color w:val="auto"/>
          <w:szCs w:val="21"/>
          <w:highlight w:val="none"/>
        </w:rPr>
        <w:t>供应商的法定代表人或其委托代理人须携带加密时所用的CA锁按平台提示和采购文件的规定登录到“</w:t>
      </w:r>
      <w:r>
        <w:rPr>
          <w:rFonts w:hint="eastAsia" w:ascii="宋体" w:hAnsi="宋体" w:cs="宋体"/>
          <w:color w:val="auto"/>
          <w:szCs w:val="21"/>
          <w:highlight w:val="none"/>
        </w:rPr>
        <w:t>广西政府采购云平台</w:t>
      </w:r>
      <w:r>
        <w:rPr>
          <w:rFonts w:ascii="宋体" w:hAnsi="宋体" w:cs="宋体"/>
          <w:color w:val="auto"/>
          <w:szCs w:val="21"/>
          <w:highlight w:val="none"/>
        </w:rPr>
        <w:t>”平台电子开标大厅签到并在发起解密指令之时起30分钟内完成对电子响应文件在线解密。若供应商在规定时间内无法解密或解密失败，视为响应文件撤回。</w:t>
      </w:r>
    </w:p>
    <w:p w14:paraId="3AC608D4">
      <w:pPr>
        <w:keepNext w:val="0"/>
        <w:keepLines w:val="0"/>
        <w:pageBreakBefore w:val="0"/>
        <w:kinsoku/>
        <w:wordWrap/>
        <w:overflowPunct/>
        <w:topLinePunct w:val="0"/>
        <w:bidi w:val="0"/>
        <w:spacing w:line="436" w:lineRule="exact"/>
        <w:ind w:firstLine="420" w:firstLineChars="200"/>
        <w:outlineLvl w:val="1"/>
        <w:rPr>
          <w:rFonts w:ascii="宋体" w:hAnsi="宋体" w:cs="宋体"/>
          <w:color w:val="auto"/>
          <w:szCs w:val="21"/>
          <w:highlight w:val="none"/>
        </w:rPr>
      </w:pPr>
      <w:bookmarkStart w:id="73" w:name="_Toc10383"/>
      <w:r>
        <w:rPr>
          <w:rFonts w:hint="eastAsia" w:ascii="宋体" w:hAnsi="宋体" w:cs="宋体"/>
          <w:color w:val="auto"/>
          <w:szCs w:val="21"/>
          <w:highlight w:val="none"/>
        </w:rPr>
        <w:t>5.在线响应（电子响应）说明</w:t>
      </w:r>
      <w:bookmarkEnd w:id="73"/>
      <w:r>
        <w:rPr>
          <w:rFonts w:hint="eastAsia" w:ascii="宋体" w:hAnsi="宋体" w:cs="宋体"/>
          <w:color w:val="auto"/>
          <w:szCs w:val="21"/>
          <w:highlight w:val="none"/>
        </w:rPr>
        <w:t>：</w:t>
      </w:r>
    </w:p>
    <w:p w14:paraId="73AD1D2B">
      <w:pPr>
        <w:keepNext w:val="0"/>
        <w:keepLines w:val="0"/>
        <w:pageBreakBefore w:val="0"/>
        <w:kinsoku/>
        <w:wordWrap/>
        <w:overflowPunct/>
        <w:topLinePunct w:val="0"/>
        <w:bidi w:val="0"/>
        <w:spacing w:line="436"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项目通过广西政府采购云平台实行在线响应（电子响应），供应商需要先安装“广西政府采购云平台客户端”，并按照本磋商文件和广西政府采购云平台的要求，通过“广西政府采购云平台客户端”编制并加密响应文件。供应商未按规定编制并加密的响应文件，广西政府采购云平台将予以拒收。</w:t>
      </w:r>
    </w:p>
    <w:p w14:paraId="4C0C1C72">
      <w:pPr>
        <w:pStyle w:val="30"/>
        <w:keepNext w:val="0"/>
        <w:keepLines w:val="0"/>
        <w:pageBreakBefore w:val="0"/>
        <w:kinsoku/>
        <w:wordWrap/>
        <w:overflowPunct/>
        <w:topLinePunct w:val="0"/>
        <w:bidi w:val="0"/>
        <w:spacing w:line="436"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广西政府采购云平台客户端”请自行前往广西壮族自治区政府采购网下载并安装；电子响应具体操作流程参考《政府采购项目电子交易管理操作指南-供应商》；在使用广西政府采购云平台投标客户端时，建议使用WIN7及以上操作系统，通过广西政府采购云平台参与在线响应时如遇平台技术问题详询95763。</w:t>
      </w:r>
    </w:p>
    <w:p w14:paraId="3CB8F942">
      <w:pPr>
        <w:keepNext w:val="0"/>
        <w:keepLines w:val="0"/>
        <w:pageBreakBefore w:val="0"/>
        <w:kinsoku/>
        <w:wordWrap/>
        <w:overflowPunct/>
        <w:topLinePunct w:val="0"/>
        <w:bidi w:val="0"/>
        <w:spacing w:line="436"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（2）为确保网上操作合法、有效和安全，磋商供应商应当在</w:t>
      </w:r>
      <w:r>
        <w:rPr>
          <w:rFonts w:hint="eastAsia" w:ascii="宋体" w:hAnsi="宋体" w:cs="宋体"/>
          <w:bCs/>
          <w:color w:val="auto"/>
          <w:szCs w:val="21"/>
          <w:highlight w:val="none"/>
        </w:rPr>
        <w:t>首次响应文件提交截止时间前</w:t>
      </w:r>
      <w:r>
        <w:rPr>
          <w:rFonts w:hint="eastAsia" w:ascii="宋体" w:hAnsi="宋体" w:cs="宋体"/>
          <w:color w:val="auto"/>
          <w:szCs w:val="21"/>
          <w:highlight w:val="none"/>
        </w:rPr>
        <w:t>完成在“政府采购云平台”的身份认证，确保在电子响应过程中能够对相关数据电文进行加密和使用电子签章。使用“广西政府采购云平台客户端”需要提前申领CA数字证书，申领流程请自行前往广西政府采购云平台网站进行查阅；</w:t>
      </w:r>
      <w:r>
        <w:rPr>
          <w:rFonts w:hint="eastAsia" w:ascii="宋体" w:hAnsi="宋体" w:cs="宋体"/>
          <w:b/>
          <w:bCs/>
          <w:color w:val="auto"/>
          <w:szCs w:val="21"/>
          <w:highlight w:val="none"/>
        </w:rPr>
        <w:t>（完成CA数字证书办理预计一周左右，建议供应商获取竞争性磋商文件后立即办理。）</w:t>
      </w:r>
    </w:p>
    <w:p w14:paraId="69498F9B">
      <w:pPr>
        <w:keepNext w:val="0"/>
        <w:keepLines w:val="0"/>
        <w:pageBreakBefore w:val="0"/>
        <w:kinsoku/>
        <w:wordWrap/>
        <w:overflowPunct/>
        <w:topLinePunct w:val="0"/>
        <w:bidi w:val="0"/>
        <w:spacing w:line="436"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磋商供应商应当在首次响应文件提交截止时间前，将生成的“电子响应文件”上传递交至广西政府采购云平台。响应文件递交截止时间前可以撤回电子响应文件。补充或者修改电子响应文件的，应当先行撤回原文件，补充、修改后重新传输递交，响应文件递交截止时间前未完成传输的，视为撤回响应文件。</w:t>
      </w:r>
    </w:p>
    <w:p w14:paraId="7C163DE0">
      <w:pPr>
        <w:pStyle w:val="30"/>
        <w:keepNext w:val="0"/>
        <w:keepLines w:val="0"/>
        <w:pageBreakBefore w:val="0"/>
        <w:kinsoku/>
        <w:wordWrap/>
        <w:overflowPunct/>
        <w:topLinePunct w:val="0"/>
        <w:bidi w:val="0"/>
        <w:spacing w:line="436" w:lineRule="exact"/>
        <w:ind w:firstLine="480" w:firstLineChars="200"/>
        <w:rPr>
          <w:rFonts w:ascii="宋体" w:hAnsi="宋体" w:cs="宋体"/>
          <w:b/>
          <w:bCs/>
          <w:color w:val="auto"/>
          <w:sz w:val="21"/>
          <w:szCs w:val="21"/>
          <w:highlight w:val="none"/>
        </w:rPr>
      </w:pPr>
      <w:r>
        <w:rPr>
          <w:rFonts w:hint="eastAsia" w:ascii="宋体" w:hAnsi="宋体" w:cs="宋体"/>
          <w:color w:val="auto"/>
          <w:szCs w:val="21"/>
          <w:highlight w:val="none"/>
        </w:rPr>
        <w:t>（</w:t>
      </w:r>
      <w:r>
        <w:rPr>
          <w:rFonts w:hint="eastAsia" w:ascii="宋体" w:hAnsi="宋体" w:cs="宋体"/>
          <w:b/>
          <w:bCs/>
          <w:color w:val="auto"/>
          <w:sz w:val="21"/>
          <w:szCs w:val="21"/>
          <w:highlight w:val="none"/>
        </w:rPr>
        <w:t>4）本项目需要磋商供应商代表在截标当天截标后，按磋商小组要求及时登陆广西政府采购云平台等候在线磋商及提交最后报价。</w:t>
      </w:r>
    </w:p>
    <w:p w14:paraId="2295D567">
      <w:pPr>
        <w:pStyle w:val="30"/>
        <w:keepNext w:val="0"/>
        <w:keepLines w:val="0"/>
        <w:pageBreakBefore w:val="0"/>
        <w:kinsoku/>
        <w:wordWrap/>
        <w:overflowPunct/>
        <w:topLinePunct w:val="0"/>
        <w:bidi w:val="0"/>
        <w:spacing w:line="436" w:lineRule="exact"/>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本采购项目为广西政府采购云平台全流程电子化操作，参与磋商的供应商需自备计算机和网络设备（设备需可视频通话和读取广西政府采购云平台CA数字证书），确保磋商过程顺利进行；因供应商自身设备或网络原因造成的一切后果，由供应商自行承担。</w:t>
      </w:r>
    </w:p>
    <w:p w14:paraId="30C1B6EB">
      <w:pPr>
        <w:keepNext w:val="0"/>
        <w:keepLines w:val="0"/>
        <w:pageBreakBefore w:val="0"/>
        <w:kinsoku/>
        <w:wordWrap/>
        <w:overflowPunct/>
        <w:topLinePunct w:val="0"/>
        <w:bidi w:val="0"/>
        <w:spacing w:line="436"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6.监督部门：</w:t>
      </w:r>
    </w:p>
    <w:p w14:paraId="631B6659">
      <w:pPr>
        <w:keepNext w:val="0"/>
        <w:keepLines w:val="0"/>
        <w:pageBreakBefore w:val="0"/>
        <w:kinsoku/>
        <w:wordWrap/>
        <w:overflowPunct/>
        <w:topLinePunct w:val="0"/>
        <w:bidi w:val="0"/>
        <w:spacing w:line="436"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名称：</w:t>
      </w:r>
      <w:r>
        <w:rPr>
          <w:rFonts w:hint="eastAsia" w:ascii="宋体" w:hAnsi="宋体"/>
          <w:color w:val="auto"/>
          <w:kern w:val="0"/>
          <w:szCs w:val="21"/>
          <w:highlight w:val="none"/>
        </w:rPr>
        <w:t>防城港市财政局财政监督检查科</w:t>
      </w:r>
    </w:p>
    <w:p w14:paraId="363FE888">
      <w:pPr>
        <w:keepNext w:val="0"/>
        <w:keepLines w:val="0"/>
        <w:pageBreakBefore w:val="0"/>
        <w:kinsoku/>
        <w:wordWrap/>
        <w:overflowPunct/>
        <w:topLinePunct w:val="0"/>
        <w:bidi w:val="0"/>
        <w:spacing w:line="436"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电 话：</w:t>
      </w:r>
      <w:r>
        <w:rPr>
          <w:rFonts w:hint="eastAsia" w:ascii="宋体" w:hAnsi="宋体"/>
          <w:color w:val="auto"/>
          <w:kern w:val="0"/>
          <w:szCs w:val="21"/>
          <w:highlight w:val="none"/>
          <w:lang w:eastAsia="zh-CN"/>
        </w:rPr>
        <w:t>0770-6102323</w:t>
      </w:r>
    </w:p>
    <w:p w14:paraId="0DB29062">
      <w:pPr>
        <w:keepNext w:val="0"/>
        <w:keepLines w:val="0"/>
        <w:pageBreakBefore w:val="0"/>
        <w:kinsoku/>
        <w:wordWrap/>
        <w:overflowPunct/>
        <w:topLinePunct w:val="0"/>
        <w:bidi w:val="0"/>
        <w:spacing w:line="436" w:lineRule="exact"/>
        <w:outlineLvl w:val="1"/>
        <w:rPr>
          <w:rFonts w:ascii="宋体" w:hAnsi="宋体" w:cs="宋体"/>
          <w:b/>
          <w:bCs/>
          <w:color w:val="auto"/>
          <w:szCs w:val="21"/>
          <w:highlight w:val="none"/>
        </w:rPr>
      </w:pPr>
      <w:r>
        <w:rPr>
          <w:rFonts w:hint="eastAsia"/>
          <w:b/>
          <w:bCs/>
          <w:color w:val="auto"/>
          <w:highlight w:val="none"/>
        </w:rPr>
        <w:t>八</w:t>
      </w:r>
      <w:r>
        <w:rPr>
          <w:rFonts w:hint="eastAsia" w:ascii="宋体" w:hAnsi="宋体" w:cs="宋体"/>
          <w:b/>
          <w:bCs/>
          <w:color w:val="auto"/>
          <w:szCs w:val="21"/>
          <w:highlight w:val="none"/>
        </w:rPr>
        <w:t>、凡对本次采购提出询问，请按以下方式联系。</w:t>
      </w:r>
      <w:bookmarkEnd w:id="49"/>
      <w:bookmarkEnd w:id="50"/>
      <w:bookmarkEnd w:id="51"/>
      <w:bookmarkEnd w:id="52"/>
      <w:bookmarkEnd w:id="71"/>
      <w:bookmarkEnd w:id="72"/>
    </w:p>
    <w:p w14:paraId="63C3070D">
      <w:pPr>
        <w:keepNext w:val="0"/>
        <w:keepLines w:val="0"/>
        <w:pageBreakBefore w:val="0"/>
        <w:kinsoku/>
        <w:wordWrap/>
        <w:overflowPunct/>
        <w:topLinePunct w:val="0"/>
        <w:bidi w:val="0"/>
        <w:spacing w:line="436" w:lineRule="exact"/>
        <w:ind w:firstLine="420" w:firstLineChars="200"/>
        <w:jc w:val="left"/>
        <w:rPr>
          <w:rFonts w:ascii="宋体" w:hAnsi="宋体"/>
          <w:color w:val="auto"/>
          <w:szCs w:val="21"/>
          <w:highlight w:val="none"/>
        </w:rPr>
      </w:pPr>
      <w:bookmarkStart w:id="74" w:name="_Toc25786"/>
      <w:bookmarkStart w:id="75" w:name="_Toc20363"/>
      <w:bookmarkStart w:id="76" w:name="_Toc2568"/>
      <w:bookmarkStart w:id="77" w:name="_Toc12451"/>
      <w:bookmarkStart w:id="78" w:name="_Toc12722"/>
      <w:bookmarkStart w:id="79" w:name="_Toc23917"/>
      <w:r>
        <w:rPr>
          <w:rFonts w:hint="eastAsia" w:ascii="宋体" w:hAnsi="宋体"/>
          <w:color w:val="auto"/>
          <w:szCs w:val="21"/>
          <w:highlight w:val="none"/>
        </w:rPr>
        <w:t>1.名    称：防城港职业技术学院</w:t>
      </w:r>
    </w:p>
    <w:p w14:paraId="0716A01A">
      <w:pPr>
        <w:keepNext w:val="0"/>
        <w:keepLines w:val="0"/>
        <w:pageBreakBefore w:val="0"/>
        <w:kinsoku/>
        <w:wordWrap/>
        <w:overflowPunct/>
        <w:topLinePunct w:val="0"/>
        <w:bidi w:val="0"/>
        <w:spacing w:line="436"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    址：防城港市江山半岛科教园区</w:t>
      </w:r>
    </w:p>
    <w:p w14:paraId="63E60936">
      <w:pPr>
        <w:keepNext w:val="0"/>
        <w:keepLines w:val="0"/>
        <w:pageBreakBefore w:val="0"/>
        <w:kinsoku/>
        <w:wordWrap/>
        <w:overflowPunct/>
        <w:topLinePunct w:val="0"/>
        <w:bidi w:val="0"/>
        <w:spacing w:line="436" w:lineRule="exact"/>
        <w:ind w:firstLine="420" w:firstLineChars="200"/>
        <w:jc w:val="left"/>
        <w:rPr>
          <w:color w:val="auto"/>
          <w:szCs w:val="21"/>
          <w:highlight w:val="none"/>
        </w:rPr>
      </w:pPr>
      <w:r>
        <w:rPr>
          <w:rFonts w:hint="eastAsia" w:ascii="宋体" w:hAnsi="宋体"/>
          <w:color w:val="auto"/>
          <w:szCs w:val="21"/>
          <w:highlight w:val="none"/>
        </w:rPr>
        <w:t>联系方式：刘老师 0770-2076107</w:t>
      </w:r>
    </w:p>
    <w:p w14:paraId="275F295B">
      <w:pPr>
        <w:pStyle w:val="31"/>
        <w:keepNext w:val="0"/>
        <w:keepLines w:val="0"/>
        <w:pageBreakBefore w:val="0"/>
        <w:kinsoku/>
        <w:wordWrap/>
        <w:overflowPunct/>
        <w:topLinePunct w:val="0"/>
        <w:bidi w:val="0"/>
        <w:spacing w:line="436" w:lineRule="exact"/>
        <w:ind w:firstLine="420" w:firstLineChars="200"/>
        <w:outlineLvl w:val="2"/>
        <w:rPr>
          <w:color w:val="auto"/>
          <w:sz w:val="21"/>
          <w:szCs w:val="21"/>
          <w:highlight w:val="none"/>
        </w:rPr>
      </w:pPr>
      <w:bookmarkStart w:id="80" w:name="_Toc19740"/>
      <w:r>
        <w:rPr>
          <w:color w:val="auto"/>
          <w:sz w:val="21"/>
          <w:szCs w:val="21"/>
          <w:highlight w:val="none"/>
        </w:rPr>
        <w:t>2</w:t>
      </w:r>
      <w:r>
        <w:rPr>
          <w:rFonts w:hint="eastAsia"/>
          <w:color w:val="auto"/>
          <w:sz w:val="21"/>
          <w:szCs w:val="21"/>
          <w:highlight w:val="none"/>
        </w:rPr>
        <w:t>、</w:t>
      </w:r>
      <w:r>
        <w:rPr>
          <w:color w:val="auto"/>
          <w:sz w:val="21"/>
          <w:szCs w:val="21"/>
          <w:highlight w:val="none"/>
        </w:rPr>
        <w:t>采购代理机构信息</w:t>
      </w:r>
      <w:bookmarkEnd w:id="74"/>
      <w:bookmarkEnd w:id="75"/>
      <w:bookmarkEnd w:id="76"/>
      <w:bookmarkEnd w:id="77"/>
      <w:bookmarkEnd w:id="78"/>
      <w:bookmarkEnd w:id="79"/>
      <w:bookmarkEnd w:id="80"/>
    </w:p>
    <w:p w14:paraId="0F9D6B40">
      <w:pPr>
        <w:pStyle w:val="31"/>
        <w:keepNext w:val="0"/>
        <w:keepLines w:val="0"/>
        <w:pageBreakBefore w:val="0"/>
        <w:kinsoku/>
        <w:wordWrap/>
        <w:overflowPunct/>
        <w:topLinePunct w:val="0"/>
        <w:bidi w:val="0"/>
        <w:spacing w:line="436" w:lineRule="exact"/>
        <w:ind w:firstLine="420" w:firstLineChars="200"/>
        <w:rPr>
          <w:rFonts w:hint="eastAsia" w:ascii="宋体" w:hAnsi="宋体" w:eastAsia="宋体"/>
          <w:color w:val="auto"/>
          <w:kern w:val="2"/>
          <w:sz w:val="21"/>
          <w:szCs w:val="21"/>
          <w:highlight w:val="none"/>
          <w:lang w:eastAsia="zh-CN"/>
        </w:rPr>
      </w:pPr>
      <w:r>
        <w:rPr>
          <w:rFonts w:hint="eastAsia" w:ascii="宋体" w:hAnsi="宋体"/>
          <w:color w:val="auto"/>
          <w:kern w:val="2"/>
          <w:sz w:val="21"/>
          <w:szCs w:val="21"/>
          <w:highlight w:val="none"/>
        </w:rPr>
        <w:t>名称：</w:t>
      </w:r>
      <w:r>
        <w:rPr>
          <w:rFonts w:hint="eastAsia" w:ascii="宋体" w:hAnsi="宋体"/>
          <w:color w:val="auto"/>
          <w:kern w:val="2"/>
          <w:sz w:val="21"/>
          <w:szCs w:val="21"/>
          <w:highlight w:val="none"/>
          <w:lang w:eastAsia="zh-CN"/>
        </w:rPr>
        <w:t>广西建通工程咨询有限责任公司</w:t>
      </w:r>
    </w:p>
    <w:p w14:paraId="3CDCD639">
      <w:pPr>
        <w:pStyle w:val="31"/>
        <w:keepNext w:val="0"/>
        <w:keepLines w:val="0"/>
        <w:pageBreakBefore w:val="0"/>
        <w:kinsoku/>
        <w:wordWrap/>
        <w:overflowPunct/>
        <w:topLinePunct w:val="0"/>
        <w:bidi w:val="0"/>
        <w:spacing w:line="436" w:lineRule="exact"/>
        <w:ind w:firstLine="420" w:firstLineChars="200"/>
        <w:rPr>
          <w:rFonts w:hint="eastAsia" w:ascii="宋体" w:hAnsi="宋体" w:eastAsia="宋体"/>
          <w:color w:val="auto"/>
          <w:kern w:val="2"/>
          <w:sz w:val="21"/>
          <w:szCs w:val="21"/>
          <w:highlight w:val="none"/>
          <w:lang w:eastAsia="zh-CN"/>
        </w:rPr>
      </w:pPr>
      <w:r>
        <w:rPr>
          <w:rFonts w:hint="eastAsia" w:ascii="宋体" w:hAnsi="宋体"/>
          <w:color w:val="auto"/>
          <w:kern w:val="2"/>
          <w:sz w:val="21"/>
          <w:szCs w:val="21"/>
          <w:highlight w:val="none"/>
        </w:rPr>
        <w:t>地址：</w:t>
      </w:r>
      <w:r>
        <w:rPr>
          <w:rFonts w:hint="eastAsia" w:ascii="宋体" w:hAnsi="宋体"/>
          <w:color w:val="auto"/>
          <w:kern w:val="2"/>
          <w:sz w:val="21"/>
          <w:szCs w:val="21"/>
          <w:highlight w:val="none"/>
          <w:lang w:eastAsia="zh-CN"/>
        </w:rPr>
        <w:t>南宁市江南区金凯路26号广西建通中心12楼1213室</w:t>
      </w:r>
    </w:p>
    <w:p w14:paraId="5DF6F321">
      <w:pPr>
        <w:keepNext w:val="0"/>
        <w:keepLines w:val="0"/>
        <w:pageBreakBefore w:val="0"/>
        <w:kinsoku/>
        <w:wordWrap/>
        <w:overflowPunct/>
        <w:topLinePunct w:val="0"/>
        <w:bidi w:val="0"/>
        <w:spacing w:line="436"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联系方式：</w:t>
      </w:r>
      <w:r>
        <w:rPr>
          <w:rFonts w:hint="eastAsia" w:ascii="宋体" w:hAnsi="宋体" w:cs="宋体"/>
          <w:color w:val="auto"/>
          <w:kern w:val="0"/>
          <w:szCs w:val="21"/>
          <w:highlight w:val="none"/>
          <w:lang w:eastAsia="zh-CN"/>
        </w:rPr>
        <w:t>0771-2863138</w:t>
      </w:r>
    </w:p>
    <w:p w14:paraId="5DD55F63">
      <w:pPr>
        <w:keepNext w:val="0"/>
        <w:keepLines w:val="0"/>
        <w:pageBreakBefore w:val="0"/>
        <w:kinsoku/>
        <w:wordWrap/>
        <w:overflowPunct/>
        <w:topLinePunct w:val="0"/>
        <w:bidi w:val="0"/>
        <w:spacing w:line="436"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3.项目联系方式</w:t>
      </w:r>
    </w:p>
    <w:p w14:paraId="56ADB670">
      <w:pPr>
        <w:keepNext w:val="0"/>
        <w:keepLines w:val="0"/>
        <w:pageBreakBefore w:val="0"/>
        <w:kinsoku/>
        <w:wordWrap/>
        <w:overflowPunct/>
        <w:topLinePunct w:val="0"/>
        <w:bidi w:val="0"/>
        <w:spacing w:line="436"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eastAsia="zh-CN"/>
        </w:rPr>
        <w:t>莫雅鑫</w:t>
      </w:r>
    </w:p>
    <w:p w14:paraId="6191E6AA">
      <w:pPr>
        <w:keepNext w:val="0"/>
        <w:keepLines w:val="0"/>
        <w:pageBreakBefore w:val="0"/>
        <w:kinsoku/>
        <w:wordWrap/>
        <w:overflowPunct/>
        <w:topLinePunct w:val="0"/>
        <w:bidi w:val="0"/>
        <w:spacing w:line="436"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电　话：</w:t>
      </w:r>
      <w:r>
        <w:rPr>
          <w:rFonts w:hint="eastAsia" w:ascii="宋体" w:hAnsi="宋体" w:cs="宋体"/>
          <w:color w:val="auto"/>
          <w:kern w:val="0"/>
          <w:szCs w:val="21"/>
          <w:highlight w:val="none"/>
          <w:lang w:eastAsia="zh-CN"/>
        </w:rPr>
        <w:t>0771-2863138</w:t>
      </w:r>
      <w:r>
        <w:rPr>
          <w:rFonts w:hint="eastAsia" w:ascii="宋体" w:hAnsi="宋体" w:cs="宋体"/>
          <w:color w:val="auto"/>
          <w:kern w:val="0"/>
          <w:szCs w:val="21"/>
          <w:highlight w:val="none"/>
        </w:rPr>
        <w:t xml:space="preserve"> </w:t>
      </w:r>
    </w:p>
    <w:p w14:paraId="1F3C13FA">
      <w:pPr>
        <w:pStyle w:val="31"/>
        <w:keepNext w:val="0"/>
        <w:keepLines w:val="0"/>
        <w:pageBreakBefore w:val="0"/>
        <w:kinsoku/>
        <w:wordWrap/>
        <w:overflowPunct/>
        <w:topLinePunct w:val="0"/>
        <w:bidi w:val="0"/>
        <w:spacing w:line="436" w:lineRule="exact"/>
        <w:jc w:val="right"/>
        <w:rPr>
          <w:color w:val="auto"/>
          <w:sz w:val="21"/>
          <w:szCs w:val="21"/>
          <w:highlight w:val="none"/>
        </w:rPr>
      </w:pPr>
      <w:r>
        <w:rPr>
          <w:rFonts w:hint="eastAsia"/>
          <w:color w:val="auto"/>
          <w:sz w:val="21"/>
          <w:szCs w:val="21"/>
          <w:highlight w:val="none"/>
        </w:rPr>
        <w:t>采购人：防城港职业技术学院</w:t>
      </w:r>
    </w:p>
    <w:p w14:paraId="75C6D7C8">
      <w:pPr>
        <w:pStyle w:val="31"/>
        <w:keepNext w:val="0"/>
        <w:keepLines w:val="0"/>
        <w:pageBreakBefore w:val="0"/>
        <w:kinsoku/>
        <w:wordWrap/>
        <w:overflowPunct/>
        <w:topLinePunct w:val="0"/>
        <w:bidi w:val="0"/>
        <w:spacing w:line="436" w:lineRule="exact"/>
        <w:jc w:val="right"/>
        <w:rPr>
          <w:rFonts w:hint="eastAsia" w:eastAsia="宋体"/>
          <w:color w:val="auto"/>
          <w:sz w:val="21"/>
          <w:szCs w:val="21"/>
          <w:highlight w:val="none"/>
          <w:lang w:eastAsia="zh-CN"/>
        </w:rPr>
      </w:pPr>
      <w:r>
        <w:rPr>
          <w:rFonts w:hint="eastAsia"/>
          <w:color w:val="auto"/>
          <w:sz w:val="21"/>
          <w:szCs w:val="21"/>
          <w:highlight w:val="none"/>
        </w:rPr>
        <w:t>采购代理机构：</w:t>
      </w:r>
      <w:r>
        <w:rPr>
          <w:rFonts w:hint="eastAsia"/>
          <w:color w:val="auto"/>
          <w:sz w:val="21"/>
          <w:szCs w:val="21"/>
          <w:highlight w:val="none"/>
          <w:lang w:eastAsia="zh-CN"/>
        </w:rPr>
        <w:t>广西建通工程咨询有限责任公司</w:t>
      </w:r>
    </w:p>
    <w:p w14:paraId="6CF9C9BB">
      <w:pPr>
        <w:pStyle w:val="31"/>
        <w:keepNext w:val="0"/>
        <w:keepLines w:val="0"/>
        <w:pageBreakBefore w:val="0"/>
        <w:kinsoku/>
        <w:wordWrap/>
        <w:overflowPunct/>
        <w:topLinePunct w:val="0"/>
        <w:bidi w:val="0"/>
        <w:spacing w:line="436" w:lineRule="exact"/>
        <w:jc w:val="right"/>
        <w:rPr>
          <w:rFonts w:hint="eastAsia" w:asciiTheme="minorEastAsia" w:hAnsiTheme="minorEastAsia" w:eastAsiaTheme="minorEastAsia" w:cstheme="minorEastAsia"/>
          <w:color w:val="auto"/>
          <w:sz w:val="21"/>
          <w:szCs w:val="21"/>
          <w:highlight w:val="none"/>
        </w:rPr>
        <w:sectPr>
          <w:footerReference r:id="rId4" w:type="default"/>
          <w:pgSz w:w="11906" w:h="16838"/>
          <w:pgMar w:top="1440" w:right="1083" w:bottom="1440" w:left="1083" w:header="851" w:footer="992" w:gutter="0"/>
          <w:pgNumType w:start="1"/>
          <w:cols w:space="720" w:num="1"/>
          <w:docGrid w:type="lines" w:linePitch="312" w:charSpace="0"/>
        </w:sectPr>
      </w:pPr>
      <w:r>
        <w:rPr>
          <w:rFonts w:hint="eastAsia" w:asciiTheme="minorEastAsia" w:hAnsiTheme="minorEastAsia" w:eastAsiaTheme="minorEastAsia" w:cstheme="minorEastAsia"/>
          <w:color w:val="auto"/>
          <w:sz w:val="21"/>
          <w:szCs w:val="21"/>
          <w:highlight w:val="none"/>
        </w:rPr>
        <w:t>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日</w:t>
      </w:r>
    </w:p>
    <w:p w14:paraId="6EB204B8">
      <w:pPr>
        <w:pStyle w:val="3"/>
        <w:spacing w:before="0" w:after="0" w:line="360" w:lineRule="auto"/>
        <w:jc w:val="center"/>
        <w:rPr>
          <w:rFonts w:hint="eastAsia" w:asciiTheme="minorEastAsia" w:hAnsiTheme="minorEastAsia" w:eastAsiaTheme="minorEastAsia" w:cstheme="minorEastAsia"/>
          <w:b/>
          <w:bCs/>
          <w:color w:val="auto"/>
          <w:kern w:val="0"/>
          <w:sz w:val="32"/>
          <w:szCs w:val="32"/>
          <w:highlight w:val="none"/>
          <w:lang w:val="en-US" w:eastAsia="zh-CN" w:bidi="ar-SA"/>
        </w:rPr>
      </w:pPr>
      <w:bookmarkStart w:id="81" w:name="_Toc32397"/>
      <w:bookmarkStart w:id="82" w:name="_Toc8446"/>
      <w:r>
        <w:rPr>
          <w:rFonts w:hint="eastAsia" w:asciiTheme="minorEastAsia" w:hAnsiTheme="minorEastAsia" w:eastAsiaTheme="minorEastAsia" w:cstheme="minorEastAsia"/>
          <w:b/>
          <w:bCs/>
          <w:color w:val="auto"/>
          <w:kern w:val="0"/>
          <w:sz w:val="32"/>
          <w:szCs w:val="32"/>
          <w:highlight w:val="none"/>
          <w:lang w:val="en-US" w:eastAsia="zh-CN" w:bidi="ar-SA"/>
        </w:rPr>
        <w:t>第二章 采购需求</w:t>
      </w:r>
      <w:bookmarkEnd w:id="81"/>
      <w:bookmarkEnd w:id="82"/>
    </w:p>
    <w:p w14:paraId="6FC8EB3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15E47D71">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1.为落实政府采购政策需满足的要求</w:t>
      </w:r>
    </w:p>
    <w:p w14:paraId="0FFF7C57">
      <w:pPr>
        <w:spacing w:line="360" w:lineRule="auto"/>
        <w:ind w:firstLine="420" w:firstLineChars="200"/>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）本竞争性磋商文件所称中小企业必须符合《政府采购促进中小企业发展管理办法》（财库〔2020〕46号）的规定。</w:t>
      </w:r>
    </w:p>
    <w:p w14:paraId="2A619CA2">
      <w:pPr>
        <w:spacing w:line="360" w:lineRule="auto"/>
        <w:ind w:firstLine="420" w:firstLineChars="200"/>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w:t>
      </w:r>
    </w:p>
    <w:p w14:paraId="78978CF0">
      <w:pPr>
        <w:spacing w:line="360" w:lineRule="auto"/>
        <w:ind w:firstLine="411" w:firstLineChars="196"/>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2.“实质性要求”是指采购需求中带“▲”的条款或者不能负偏离的条款或者已经指明不满足按响应文件作无效处理的条款。</w:t>
      </w:r>
    </w:p>
    <w:p w14:paraId="62F3FA9E">
      <w:pPr>
        <w:spacing w:line="360" w:lineRule="auto"/>
        <w:ind w:firstLine="411" w:firstLineChars="196"/>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3.不需要供应商对采购需求响应为具体数值的，此采购需求的数值后将以◆号标注。</w:t>
      </w:r>
    </w:p>
    <w:p w14:paraId="4FBFB8AA">
      <w:pPr>
        <w:pStyle w:val="8"/>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4.</w:t>
      </w:r>
      <w:r>
        <w:rPr>
          <w:rFonts w:hint="eastAsia" w:ascii="宋体" w:hAnsi="宋体" w:cs="宋体"/>
          <w:b w:val="0"/>
          <w:bCs w:val="0"/>
          <w:color w:val="auto"/>
          <w:highlight w:val="none"/>
        </w:rPr>
        <w:t>供应商必须自行为其磋商产品侵犯他人的知识产权或者专利成果的行为承担相应法律责任。</w:t>
      </w:r>
    </w:p>
    <w:p w14:paraId="3155AF6F">
      <w:pPr>
        <w:pStyle w:val="8"/>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5.</w:t>
      </w:r>
      <w:r>
        <w:rPr>
          <w:rFonts w:hint="eastAsia" w:ascii="宋体" w:hAnsi="宋体" w:eastAsia="宋体" w:cs="宋体"/>
          <w:b w:val="0"/>
          <w:bCs w:val="0"/>
          <w:color w:val="auto"/>
          <w:szCs w:val="21"/>
          <w:highlight w:val="none"/>
          <w:lang w:val="en-US" w:eastAsia="zh-CN"/>
        </w:rPr>
        <w:t>本项目中小企业划分标准所属行业名称（行业名称及划分见本章附件2）：建筑业。</w:t>
      </w:r>
    </w:p>
    <w:p w14:paraId="5F9A07D6">
      <w:pPr>
        <w:tabs>
          <w:tab w:val="left" w:pos="180"/>
          <w:tab w:val="left" w:pos="1620"/>
        </w:tabs>
        <w:spacing w:line="360" w:lineRule="auto"/>
        <w:rPr>
          <w:rFonts w:hint="eastAsia" w:ascii="宋体" w:hAnsi="宋体" w:cs="宋体"/>
          <w:b/>
          <w:bCs/>
          <w:color w:val="auto"/>
          <w:sz w:val="24"/>
          <w:highlight w:val="none"/>
        </w:rPr>
      </w:pPr>
    </w:p>
    <w:p w14:paraId="345000D9">
      <w:pPr>
        <w:tabs>
          <w:tab w:val="left" w:pos="180"/>
          <w:tab w:val="left" w:pos="1620"/>
        </w:tabs>
        <w:spacing w:line="360" w:lineRule="auto"/>
        <w:rPr>
          <w:rFonts w:hint="eastAsia" w:ascii="宋体" w:hAnsi="宋体" w:cs="宋体"/>
          <w:b/>
          <w:bCs/>
          <w:color w:val="auto"/>
          <w:sz w:val="24"/>
          <w:highlight w:val="none"/>
        </w:rPr>
      </w:pPr>
    </w:p>
    <w:p w14:paraId="4964BF7F">
      <w:pPr>
        <w:tabs>
          <w:tab w:val="left" w:pos="180"/>
          <w:tab w:val="left" w:pos="1620"/>
        </w:tabs>
        <w:spacing w:line="360" w:lineRule="auto"/>
        <w:rPr>
          <w:rFonts w:hint="eastAsia" w:ascii="宋体" w:hAnsi="宋体" w:cs="宋体"/>
          <w:b/>
          <w:bCs/>
          <w:color w:val="auto"/>
          <w:sz w:val="24"/>
          <w:highlight w:val="none"/>
        </w:rPr>
      </w:pPr>
    </w:p>
    <w:p w14:paraId="32968BCA">
      <w:pPr>
        <w:tabs>
          <w:tab w:val="left" w:pos="180"/>
          <w:tab w:val="left" w:pos="1620"/>
        </w:tabs>
        <w:spacing w:line="360" w:lineRule="auto"/>
        <w:rPr>
          <w:rFonts w:hint="eastAsia" w:ascii="宋体" w:hAnsi="宋体" w:cs="宋体"/>
          <w:b/>
          <w:bCs/>
          <w:color w:val="auto"/>
          <w:sz w:val="24"/>
          <w:highlight w:val="none"/>
        </w:rPr>
      </w:pPr>
    </w:p>
    <w:p w14:paraId="4DE436C1">
      <w:pPr>
        <w:tabs>
          <w:tab w:val="left" w:pos="180"/>
          <w:tab w:val="left" w:pos="1620"/>
        </w:tabs>
        <w:spacing w:line="360" w:lineRule="auto"/>
        <w:rPr>
          <w:rFonts w:hint="eastAsia" w:ascii="宋体" w:hAnsi="宋体" w:cs="宋体"/>
          <w:b/>
          <w:bCs/>
          <w:color w:val="auto"/>
          <w:sz w:val="24"/>
          <w:highlight w:val="none"/>
        </w:rPr>
      </w:pPr>
    </w:p>
    <w:p w14:paraId="0AE46042">
      <w:pPr>
        <w:tabs>
          <w:tab w:val="left" w:pos="180"/>
          <w:tab w:val="left" w:pos="1620"/>
        </w:tabs>
        <w:spacing w:line="360" w:lineRule="auto"/>
        <w:rPr>
          <w:rFonts w:hint="eastAsia" w:ascii="宋体" w:hAnsi="宋体" w:cs="宋体"/>
          <w:b/>
          <w:bCs/>
          <w:color w:val="auto"/>
          <w:sz w:val="24"/>
          <w:highlight w:val="none"/>
        </w:rPr>
      </w:pPr>
    </w:p>
    <w:p w14:paraId="772932A3">
      <w:pPr>
        <w:tabs>
          <w:tab w:val="left" w:pos="180"/>
          <w:tab w:val="left" w:pos="1620"/>
        </w:tabs>
        <w:spacing w:line="360" w:lineRule="auto"/>
        <w:rPr>
          <w:rFonts w:hint="eastAsia" w:ascii="宋体" w:hAnsi="宋体" w:cs="宋体"/>
          <w:b/>
          <w:bCs/>
          <w:color w:val="auto"/>
          <w:sz w:val="24"/>
          <w:highlight w:val="none"/>
        </w:rPr>
      </w:pPr>
    </w:p>
    <w:p w14:paraId="6B3986E6">
      <w:pPr>
        <w:tabs>
          <w:tab w:val="left" w:pos="180"/>
          <w:tab w:val="left" w:pos="1620"/>
        </w:tabs>
        <w:spacing w:line="360" w:lineRule="auto"/>
        <w:rPr>
          <w:rFonts w:hint="eastAsia" w:ascii="宋体" w:hAnsi="宋体" w:cs="宋体"/>
          <w:b/>
          <w:bCs/>
          <w:color w:val="auto"/>
          <w:sz w:val="24"/>
          <w:highlight w:val="none"/>
        </w:rPr>
      </w:pPr>
    </w:p>
    <w:p w14:paraId="3E3FC1C9">
      <w:pPr>
        <w:tabs>
          <w:tab w:val="left" w:pos="180"/>
          <w:tab w:val="left" w:pos="1620"/>
        </w:tabs>
        <w:spacing w:line="360" w:lineRule="auto"/>
        <w:rPr>
          <w:rFonts w:hint="eastAsia" w:ascii="宋体" w:hAnsi="宋体" w:cs="宋体"/>
          <w:b/>
          <w:bCs/>
          <w:color w:val="auto"/>
          <w:sz w:val="24"/>
          <w:highlight w:val="none"/>
        </w:rPr>
      </w:pPr>
    </w:p>
    <w:p w14:paraId="11F266D1">
      <w:pPr>
        <w:tabs>
          <w:tab w:val="left" w:pos="180"/>
          <w:tab w:val="left" w:pos="1620"/>
        </w:tabs>
        <w:spacing w:line="360" w:lineRule="auto"/>
        <w:ind w:firstLine="482" w:firstLineChars="200"/>
        <w:rPr>
          <w:rFonts w:hint="eastAsia" w:ascii="宋体" w:hAnsi="宋体" w:cs="宋体"/>
          <w:b/>
          <w:bCs/>
          <w:color w:val="auto"/>
          <w:sz w:val="24"/>
          <w:highlight w:val="none"/>
        </w:rPr>
      </w:pPr>
    </w:p>
    <w:p w14:paraId="723B772F">
      <w:pPr>
        <w:tabs>
          <w:tab w:val="left" w:pos="180"/>
          <w:tab w:val="left" w:pos="1620"/>
        </w:tabs>
        <w:spacing w:line="360" w:lineRule="auto"/>
        <w:ind w:firstLine="482" w:firstLineChars="200"/>
        <w:rPr>
          <w:rFonts w:hint="eastAsia" w:ascii="宋体" w:hAnsi="宋体" w:cs="宋体"/>
          <w:b/>
          <w:bCs/>
          <w:color w:val="auto"/>
          <w:sz w:val="24"/>
          <w:highlight w:val="none"/>
        </w:rPr>
      </w:pPr>
    </w:p>
    <w:tbl>
      <w:tblPr>
        <w:tblStyle w:val="22"/>
        <w:tblW w:w="99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3"/>
        <w:gridCol w:w="1125"/>
        <w:gridCol w:w="720"/>
        <w:gridCol w:w="645"/>
        <w:gridCol w:w="4350"/>
        <w:gridCol w:w="1316"/>
        <w:gridCol w:w="1142"/>
      </w:tblGrid>
      <w:tr w14:paraId="3A23F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01" w:type="dxa"/>
            <w:gridSpan w:val="7"/>
            <w:tcBorders>
              <w:top w:val="single" w:color="auto" w:sz="4" w:space="0"/>
              <w:left w:val="single" w:color="auto" w:sz="4" w:space="0"/>
              <w:right w:val="single" w:color="auto" w:sz="4" w:space="0"/>
            </w:tcBorders>
            <w:noWrap w:val="0"/>
            <w:vAlign w:val="center"/>
          </w:tcPr>
          <w:p w14:paraId="133D2C39">
            <w:pPr>
              <w:pStyle w:val="30"/>
              <w:jc w:val="center"/>
              <w:rPr>
                <w:rFonts w:hint="eastAsia" w:ascii="宋体" w:hAnsi="宋体" w:eastAsia="宋体" w:cs="宋体"/>
                <w:b/>
                <w:color w:val="auto"/>
                <w:szCs w:val="21"/>
                <w:highlight w:val="none"/>
              </w:rPr>
            </w:pPr>
            <w:r>
              <w:rPr>
                <w:rFonts w:hint="eastAsia" w:ascii="宋体" w:hAnsi="宋体" w:cs="宋体"/>
                <w:b/>
                <w:bCs/>
                <w:color w:val="auto"/>
                <w:sz w:val="24"/>
                <w:highlight w:val="none"/>
              </w:rPr>
              <w:br w:type="page"/>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需求一览表</w:t>
            </w:r>
          </w:p>
        </w:tc>
      </w:tr>
      <w:tr w14:paraId="0D890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14:paraId="5B029F0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2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0D8CF7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标的</w:t>
            </w:r>
            <w:r>
              <w:rPr>
                <w:rFonts w:hint="eastAsia" w:ascii="宋体" w:hAnsi="宋体" w:eastAsia="宋体" w:cs="宋体"/>
                <w:color w:val="auto"/>
                <w:sz w:val="21"/>
                <w:szCs w:val="21"/>
                <w:highlight w:val="none"/>
              </w:rPr>
              <w:t>名称</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0E96F0C">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701056F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4350" w:type="dxa"/>
            <w:tcBorders>
              <w:top w:val="single" w:color="auto" w:sz="4" w:space="0"/>
              <w:left w:val="single" w:color="auto" w:sz="4" w:space="0"/>
              <w:bottom w:val="single" w:color="auto" w:sz="4" w:space="0"/>
              <w:right w:val="single" w:color="auto" w:sz="4" w:space="0"/>
            </w:tcBorders>
            <w:noWrap w:val="0"/>
            <w:vAlign w:val="center"/>
          </w:tcPr>
          <w:p w14:paraId="0E8486A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项目要求</w:t>
            </w:r>
          </w:p>
        </w:tc>
        <w:tc>
          <w:tcPr>
            <w:tcW w:w="1316" w:type="dxa"/>
            <w:tcBorders>
              <w:top w:val="single" w:color="auto" w:sz="4" w:space="0"/>
              <w:left w:val="single" w:color="auto" w:sz="4" w:space="0"/>
              <w:bottom w:val="single" w:color="auto" w:sz="4" w:space="0"/>
              <w:right w:val="single" w:color="auto" w:sz="4" w:space="0"/>
            </w:tcBorders>
            <w:noWrap w:val="0"/>
            <w:vAlign w:val="center"/>
          </w:tcPr>
          <w:p w14:paraId="718B8FE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预算最高限价</w:t>
            </w:r>
            <w:r>
              <w:rPr>
                <w:rFonts w:hint="eastAsia" w:ascii="宋体" w:hAnsi="宋体" w:eastAsia="宋体" w:cs="宋体"/>
                <w:color w:val="auto"/>
                <w:sz w:val="21"/>
                <w:szCs w:val="21"/>
                <w:highlight w:val="none"/>
              </w:rPr>
              <w:t>（元）</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F4AD2BE">
            <w:pPr>
              <w:spacing w:line="240" w:lineRule="auto"/>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中小企业划分标准所属行业名称（行业名称及划分见本章附件）</w:t>
            </w:r>
          </w:p>
        </w:tc>
      </w:tr>
      <w:tr w14:paraId="0A12C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14:paraId="4DDA825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p>
        </w:tc>
        <w:tc>
          <w:tcPr>
            <w:tcW w:w="1125" w:type="dxa"/>
            <w:tcBorders>
              <w:top w:val="single" w:color="auto" w:sz="4" w:space="0"/>
              <w:left w:val="single" w:color="auto" w:sz="4" w:space="0"/>
              <w:right w:val="single" w:color="auto" w:sz="4" w:space="0"/>
            </w:tcBorders>
            <w:noWrap w:val="0"/>
            <w:vAlign w:val="center"/>
          </w:tcPr>
          <w:p w14:paraId="2274A7B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eastAsia="zh-CN"/>
              </w:rPr>
              <w:t>防城港职业技术学院供水管道维修工程（二期）</w:t>
            </w:r>
          </w:p>
        </w:tc>
        <w:tc>
          <w:tcPr>
            <w:tcW w:w="720" w:type="dxa"/>
            <w:tcBorders>
              <w:top w:val="single" w:color="auto" w:sz="4" w:space="0"/>
              <w:left w:val="single" w:color="auto" w:sz="4" w:space="0"/>
              <w:right w:val="single" w:color="auto" w:sz="4" w:space="0"/>
            </w:tcBorders>
            <w:noWrap w:val="0"/>
            <w:vAlign w:val="center"/>
          </w:tcPr>
          <w:p w14:paraId="13AC3E1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45" w:type="dxa"/>
            <w:tcBorders>
              <w:top w:val="single" w:color="auto" w:sz="4" w:space="0"/>
              <w:left w:val="single" w:color="auto" w:sz="4" w:space="0"/>
              <w:right w:val="single" w:color="auto" w:sz="4" w:space="0"/>
            </w:tcBorders>
            <w:noWrap w:val="0"/>
            <w:vAlign w:val="center"/>
          </w:tcPr>
          <w:p w14:paraId="3F1E900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4350" w:type="dxa"/>
            <w:tcBorders>
              <w:top w:val="single" w:color="auto" w:sz="4" w:space="0"/>
              <w:left w:val="single" w:color="auto" w:sz="4" w:space="0"/>
              <w:right w:val="single" w:color="auto" w:sz="4" w:space="0"/>
            </w:tcBorders>
            <w:noWrap w:val="0"/>
            <w:vAlign w:val="top"/>
          </w:tcPr>
          <w:p w14:paraId="4D870FB6">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Times New Roman" w:hAnsi="宋体" w:eastAsia="宋体" w:cs="宋体"/>
                <w:b/>
                <w:bCs/>
                <w:color w:val="auto"/>
                <w:sz w:val="21"/>
                <w:szCs w:val="21"/>
                <w:highlight w:val="none"/>
                <w:lang w:eastAsia="zh-CN"/>
              </w:rPr>
            </w:pPr>
            <w:r>
              <w:rPr>
                <w:rFonts w:hint="eastAsia" w:hAnsi="宋体" w:cs="宋体"/>
                <w:b/>
                <w:bCs/>
                <w:color w:val="auto"/>
                <w:sz w:val="21"/>
                <w:szCs w:val="21"/>
                <w:highlight w:val="none"/>
                <w:lang w:val="en-US" w:eastAsia="zh-CN"/>
              </w:rPr>
              <w:t>一</w:t>
            </w:r>
            <w:r>
              <w:rPr>
                <w:rFonts w:hint="eastAsia" w:ascii="Times New Roman" w:hAnsi="宋体" w:eastAsia="宋体" w:cs="宋体"/>
                <w:b/>
                <w:bCs/>
                <w:color w:val="auto"/>
                <w:sz w:val="21"/>
                <w:szCs w:val="21"/>
                <w:highlight w:val="none"/>
                <w:lang w:eastAsia="zh-CN"/>
              </w:rPr>
              <w:t>、工程概况</w:t>
            </w:r>
          </w:p>
          <w:p w14:paraId="4279992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jc w:val="left"/>
              <w:textAlignment w:val="auto"/>
              <w:rPr>
                <w:rFonts w:hint="eastAsia" w:ascii="Times New Roman" w:hAnsi="宋体" w:eastAsia="宋体" w:cs="宋体"/>
                <w:color w:val="auto"/>
                <w:sz w:val="21"/>
                <w:szCs w:val="21"/>
                <w:highlight w:val="none"/>
              </w:rPr>
            </w:pPr>
            <w:r>
              <w:rPr>
                <w:rFonts w:hint="eastAsia" w:ascii="Times New Roman" w:hAnsi="宋体" w:eastAsia="宋体" w:cs="宋体"/>
                <w:color w:val="auto"/>
                <w:sz w:val="21"/>
                <w:szCs w:val="21"/>
                <w:highlight w:val="none"/>
              </w:rPr>
              <w:t>本工程为防城港职业技术学院供水管道维修工程（二期），建设地点：防城港职业技术学院。主要建设内容：1#2#3#7#宿舍楼室外供水管钢丝网骨架塑料复合给水管更换，土方的开挖及回填，室内衬塑钢管、塑料管PP-R管及其它配件的更换；购买水泵房供水设备（变频给水设备2套）安装和配件；水泵房供水电气（配电箱-ATS-SHB配电柜1台；电力电缆等配件及拆除原水泵房设备。）等，具体内容详见施工图纸和工程量清单。</w:t>
            </w:r>
          </w:p>
          <w:p w14:paraId="6747EC4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Times New Roman" w:hAnsi="宋体" w:eastAsia="宋体" w:cs="宋体"/>
                <w:color w:val="auto"/>
                <w:sz w:val="21"/>
                <w:szCs w:val="21"/>
                <w:highlight w:val="none"/>
              </w:rPr>
            </w:pPr>
            <w:r>
              <w:rPr>
                <w:rFonts w:hint="eastAsia" w:hAnsi="宋体" w:cs="宋体"/>
                <w:b/>
                <w:bCs/>
                <w:color w:val="auto"/>
                <w:sz w:val="21"/>
                <w:szCs w:val="21"/>
                <w:highlight w:val="none"/>
                <w:lang w:val="en-US" w:eastAsia="zh-CN"/>
              </w:rPr>
              <w:t>二</w:t>
            </w:r>
            <w:r>
              <w:rPr>
                <w:rFonts w:hint="eastAsia" w:ascii="Times New Roman" w:hAnsi="宋体" w:eastAsia="宋体" w:cs="宋体"/>
                <w:b/>
                <w:bCs/>
                <w:color w:val="auto"/>
                <w:sz w:val="21"/>
                <w:szCs w:val="21"/>
                <w:highlight w:val="none"/>
                <w:lang w:val="en-US" w:eastAsia="zh-CN"/>
              </w:rPr>
              <w:t>、</w:t>
            </w:r>
            <w:r>
              <w:rPr>
                <w:rFonts w:hint="eastAsia" w:ascii="Times New Roman" w:hAnsi="宋体" w:eastAsia="宋体" w:cs="宋体"/>
                <w:b/>
                <w:bCs/>
                <w:color w:val="auto"/>
                <w:sz w:val="21"/>
                <w:szCs w:val="21"/>
                <w:highlight w:val="none"/>
              </w:rPr>
              <w:t>招标范围：</w:t>
            </w:r>
            <w:r>
              <w:rPr>
                <w:rFonts w:hint="eastAsia" w:ascii="Times New Roman" w:hAnsi="宋体" w:eastAsia="宋体" w:cs="宋体"/>
                <w:color w:val="auto"/>
                <w:sz w:val="21"/>
                <w:szCs w:val="21"/>
                <w:highlight w:val="none"/>
              </w:rPr>
              <w:t>工程量清单及施工图纸范围内的工程施工</w:t>
            </w:r>
          </w:p>
          <w:p w14:paraId="3DEED8D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en-US" w:eastAsia="zh-CN"/>
              </w:rPr>
              <w:t>、工程建设地点的现场条件：</w:t>
            </w:r>
          </w:p>
          <w:p w14:paraId="5244302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（1）现场自然条件：满足施工要求。</w:t>
            </w:r>
          </w:p>
          <w:p w14:paraId="3D58807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（2）现场施工条件：符合施工要求。</w:t>
            </w:r>
          </w:p>
          <w:p w14:paraId="7B9F464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四、工程要求</w:t>
            </w:r>
          </w:p>
          <w:p w14:paraId="33D3F60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(一)施工要求</w:t>
            </w:r>
          </w:p>
          <w:p w14:paraId="2798FFA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1.供应商应根据学校的情况制定好施工方案，对施工班组做好技术交底，严格按照施工标准技术规范及设计图纸要求做好现场的施工。</w:t>
            </w:r>
          </w:p>
          <w:p w14:paraId="0F1D5B9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2.施工过程的安全管理要科学规划、严格监督和有效执行，确保施工过程中人员、设备及环境的安全，杜绝安全事故的发生，保障工程高质量、高效率完成。</w:t>
            </w:r>
          </w:p>
          <w:p w14:paraId="6CDDD0F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施工单位购买的材料、设备质量必须符合现行的相关国家规范标准、环境检测合格标准及满足院方的要求。如施工单位提供的材料、设备需要检测，施工单位负责检测并承担费用，向院方和监理单位移交材质合格证明等相关资料。</w:t>
            </w:r>
          </w:p>
          <w:p w14:paraId="7CC09E7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4.施工单位人员应严格按章办事，按规范施工，凡是由施工单位人员、机械违章作业造成的任何事故及损失，以及由此而发生的一切费用，概由施工单位负责。</w:t>
            </w:r>
          </w:p>
          <w:p w14:paraId="201E568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属隐蔽工程等后期无法现场核量的变更及签证，必须在覆盖之前进行现场工程量确认，并留存影像资料；工程量现场确认单上必须注明工程内容的具体位置和部位，必要时需附图及照片标注，以满足计量、计价要求。工程量的具体位置和部位必须详细。施工单位上报签证金额确认单时，需将施工前、施工中及施工完成的影像资料及相关证明文件(带拍摄时间、地点)一并报送，证据资料不充分的签证费用不予认可。</w:t>
            </w:r>
          </w:p>
          <w:p w14:paraId="39C1906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6.施工工程如有管道堵塞和施工范围内水管损坏，供应商要及时维修和恢复，包括学生宿舍的水管、水龙头等用设施设备。</w:t>
            </w:r>
          </w:p>
          <w:p w14:paraId="3A0501E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凡应由施工单位完成的工程内容，院方及监理单位发现施工单位在规定的时间内不能按时完成的，院方及监理可给予口头或书面提示，责令其按期完成。如施工单位在规定时间内未开始行动，或在应完成时间内未完成，或完成后不能令院方满意的，院方可对其违约行为进行罚款。</w:t>
            </w:r>
          </w:p>
          <w:p w14:paraId="0EC07A8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(二)售后服务</w:t>
            </w:r>
          </w:p>
          <w:p w14:paraId="565E612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1.施工项目质量保修期按相关建设项目的法律法规规定约定，质保期不少于1年。</w:t>
            </w:r>
          </w:p>
          <w:p w14:paraId="226AE44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2.保修期内出现质量问题的，供应商提供24小时紧急维修服务，确保突发情况(如管道爆裂、大面积停水等)能够及时处理。其他的质量问题，在接到通知后3天内容修复完毕，保修期自验收合格之日起计。</w:t>
            </w:r>
          </w:p>
          <w:p w14:paraId="2362FD3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3.违约责任</w:t>
            </w:r>
          </w:p>
          <w:p w14:paraId="6202F50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cs="宋体"/>
                <w:color w:val="auto"/>
                <w:sz w:val="22"/>
                <w:highlight w:val="none"/>
                <w:u w:val="single"/>
                <w:lang w:eastAsia="zh-CN"/>
              </w:rPr>
            </w:pPr>
            <w:r>
              <w:rPr>
                <w:rFonts w:hint="eastAsia" w:ascii="宋体" w:hAnsi="宋体" w:cs="宋体"/>
                <w:color w:val="auto"/>
                <w:sz w:val="21"/>
                <w:szCs w:val="21"/>
                <w:highlight w:val="none"/>
                <w:lang w:val="en-US" w:eastAsia="zh-CN"/>
              </w:rPr>
              <w:t>(1)如因供应商原因造成工期延误，每延误1天，供应商</w:t>
            </w:r>
            <w:r>
              <w:rPr>
                <w:rFonts w:hint="eastAsia" w:ascii="宋体" w:hAnsi="宋体" w:cs="宋体"/>
                <w:color w:val="auto"/>
                <w:sz w:val="21"/>
                <w:szCs w:val="21"/>
                <w:highlight w:val="none"/>
                <w:u w:val="none"/>
                <w:lang w:val="en-US" w:eastAsia="zh-CN"/>
              </w:rPr>
              <w:t>应</w:t>
            </w:r>
            <w:r>
              <w:rPr>
                <w:rFonts w:hint="eastAsia" w:ascii="宋体" w:hAnsi="宋体" w:cs="宋体"/>
                <w:color w:val="auto"/>
                <w:sz w:val="22"/>
                <w:highlight w:val="none"/>
                <w:u w:val="none"/>
              </w:rPr>
              <w:t>按照合同签约总价万分之六计算违约金，违约金可直接在工程结算款中抵扣或另行扣除</w:t>
            </w:r>
            <w:r>
              <w:rPr>
                <w:rFonts w:hint="eastAsia" w:ascii="宋体" w:hAnsi="宋体" w:cs="宋体"/>
                <w:color w:val="auto"/>
                <w:sz w:val="22"/>
                <w:highlight w:val="none"/>
                <w:u w:val="none"/>
                <w:lang w:eastAsia="zh-CN"/>
              </w:rPr>
              <w:t>。</w:t>
            </w:r>
          </w:p>
          <w:p w14:paraId="5CCE26F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(2)如售后施工质量不合格，供应商无条件修复后还须供应商以未合格部分工程量结算价的10%向采购人支付违约金，违约金可直接在工程质保金中抵扣或另行扣除。</w:t>
            </w:r>
          </w:p>
          <w:p w14:paraId="4912A68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(3)供应商接到维修通知没有在承诺时间到达现场，每次扣罚500元，年度累计5次未按承诺时间到达现场或供应商3次以上不能按采购人要求开展工作的，采购人有权解除合同并上报财政监管部门进行处理。</w:t>
            </w:r>
          </w:p>
          <w:p w14:paraId="1554E02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val="en-US" w:eastAsia="zh-CN"/>
              </w:rPr>
              <w:t>、工程质量要求：</w:t>
            </w:r>
            <w:r>
              <w:rPr>
                <w:rFonts w:hint="eastAsia" w:ascii="宋体" w:hAnsi="宋体" w:eastAsia="宋体" w:cs="宋体"/>
                <w:color w:val="auto"/>
                <w:kern w:val="0"/>
                <w:sz w:val="21"/>
                <w:szCs w:val="21"/>
                <w:highlight w:val="none"/>
              </w:rPr>
              <w:t>合格</w:t>
            </w:r>
            <w:r>
              <w:rPr>
                <w:rFonts w:hint="eastAsia" w:ascii="宋体" w:hAnsi="宋体" w:eastAsia="宋体" w:cs="宋体"/>
                <w:color w:val="auto"/>
                <w:kern w:val="0"/>
                <w:sz w:val="21"/>
                <w:szCs w:val="21"/>
                <w:highlight w:val="none"/>
                <w:lang w:eastAsia="zh-CN"/>
              </w:rPr>
              <w:t>。</w:t>
            </w:r>
          </w:p>
        </w:tc>
        <w:tc>
          <w:tcPr>
            <w:tcW w:w="1316" w:type="dxa"/>
            <w:tcBorders>
              <w:top w:val="single" w:color="auto" w:sz="4" w:space="0"/>
              <w:left w:val="single" w:color="auto" w:sz="4" w:space="0"/>
              <w:bottom w:val="single" w:color="auto" w:sz="4" w:space="0"/>
              <w:right w:val="single" w:color="auto" w:sz="4" w:space="0"/>
            </w:tcBorders>
            <w:noWrap w:val="0"/>
            <w:vAlign w:val="center"/>
          </w:tcPr>
          <w:p w14:paraId="6D6315F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1494432.60</w:t>
            </w:r>
          </w:p>
        </w:tc>
        <w:tc>
          <w:tcPr>
            <w:tcW w:w="1142" w:type="dxa"/>
            <w:tcBorders>
              <w:top w:val="single" w:color="auto" w:sz="4" w:space="0"/>
              <w:left w:val="single" w:color="auto" w:sz="4" w:space="0"/>
              <w:right w:val="single" w:color="auto" w:sz="4" w:space="0"/>
            </w:tcBorders>
            <w:noWrap w:val="0"/>
            <w:vAlign w:val="center"/>
          </w:tcPr>
          <w:p w14:paraId="2121369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建筑业</w:t>
            </w:r>
          </w:p>
        </w:tc>
      </w:tr>
      <w:tr w14:paraId="3C6A9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6569CE8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w:t>
            </w:r>
          </w:p>
        </w:tc>
        <w:tc>
          <w:tcPr>
            <w:tcW w:w="8173" w:type="dxa"/>
            <w:gridSpan w:val="5"/>
            <w:tcBorders>
              <w:top w:val="single" w:color="auto" w:sz="4" w:space="0"/>
              <w:left w:val="single" w:color="auto" w:sz="4" w:space="0"/>
              <w:bottom w:val="single" w:color="auto" w:sz="4" w:space="0"/>
              <w:right w:val="single" w:color="auto" w:sz="4" w:space="0"/>
            </w:tcBorders>
            <w:noWrap w:val="0"/>
            <w:vAlign w:val="center"/>
          </w:tcPr>
          <w:p w14:paraId="78871648">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1"/>
                <w:szCs w:val="21"/>
                <w:highlight w:val="none"/>
              </w:rPr>
            </w:pPr>
            <w:bookmarkStart w:id="83" w:name="_top"/>
            <w:bookmarkEnd w:id="83"/>
            <w:r>
              <w:rPr>
                <w:rFonts w:hint="eastAsia" w:ascii="宋体" w:hAnsi="宋体" w:eastAsia="宋体" w:cs="宋体"/>
                <w:color w:val="auto"/>
                <w:sz w:val="21"/>
                <w:szCs w:val="21"/>
                <w:highlight w:val="none"/>
              </w:rPr>
              <w:t>一、合同签订期：自成交通知书发出之日起</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日内。</w:t>
            </w:r>
          </w:p>
          <w:p w14:paraId="22FCD9D0">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工期</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lang w:val="en-US" w:eastAsia="zh-CN"/>
              </w:rPr>
              <w:t>日历天。</w:t>
            </w:r>
          </w:p>
          <w:p w14:paraId="1D72E08C">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▲三、验收标准、规范：达到国家施工验收规范</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合格</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标准。</w:t>
            </w:r>
          </w:p>
          <w:p w14:paraId="4E684B67">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▲四、工程质量保修期：工程完工验收</w:t>
            </w:r>
            <w:r>
              <w:rPr>
                <w:rFonts w:hint="eastAsia" w:ascii="宋体" w:hAnsi="宋体" w:eastAsia="宋体" w:cs="宋体"/>
                <w:color w:val="auto"/>
                <w:sz w:val="21"/>
                <w:szCs w:val="21"/>
                <w:highlight w:val="none"/>
                <w:lang w:eastAsia="zh-CN"/>
              </w:rPr>
              <w:t>合格之日起</w:t>
            </w:r>
            <w:r>
              <w:rPr>
                <w:rFonts w:hint="eastAsia" w:ascii="宋体" w:hAnsi="宋体" w:cs="宋体"/>
                <w:color w:val="auto"/>
                <w:sz w:val="21"/>
                <w:szCs w:val="21"/>
                <w:highlight w:val="none"/>
                <w:lang w:eastAsia="zh-CN"/>
              </w:rPr>
              <w:t>不少于</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rPr>
              <w:t>。</w:t>
            </w:r>
          </w:p>
          <w:p w14:paraId="5B69E617">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五、其他要求：</w:t>
            </w:r>
          </w:p>
          <w:p w14:paraId="0BB38B9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olor w:val="auto"/>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olor w:val="auto"/>
                <w:szCs w:val="21"/>
                <w:highlight w:val="none"/>
              </w:rPr>
              <w:t>本项目采用工程量清单报价方式，发包方式：固定综合单价，包工包料。工程结算价款以审计部门或中介机构核定的造价为准。报价必须包含以下部分，包括：</w:t>
            </w:r>
          </w:p>
          <w:p w14:paraId="69EEFF9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rPr>
              <w:t>满足本次竞标全部采购需求工程的成本、调试、检验、技术服务、培训、税费等所有费用。</w:t>
            </w:r>
          </w:p>
          <w:p w14:paraId="0036F14B">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必要的保险费和各项税金（成交供应商需为该工程购买工程一切险）。</w:t>
            </w:r>
          </w:p>
          <w:p w14:paraId="489B248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付款方式：</w:t>
            </w:r>
          </w:p>
          <w:p w14:paraId="14F4D780">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hAnsi="宋体" w:cs="宋体"/>
                <w:color w:val="auto"/>
                <w:highlight w:val="none"/>
              </w:rPr>
            </w:pPr>
            <w:r>
              <w:rPr>
                <w:rFonts w:hint="default" w:ascii="宋体" w:hAnsi="宋体" w:cs="宋体"/>
                <w:b w:val="0"/>
                <w:bCs/>
                <w:color w:val="auto"/>
                <w:szCs w:val="21"/>
                <w:highlight w:val="none"/>
                <w:lang w:val="en-US" w:eastAsia="zh-CN"/>
              </w:rPr>
              <w:t>合同签订后，发包人在防城港市财政局下达资金使用计划且项目具备支付条件之日起 10 个工作日内，向承包人支付合同总金额的30%作为预付款；本工程按月工程施工进度支付工程进度款,合同内进度款支付限额为已完成工程量的80%(工程变更部分进度款支付限额为已完成工程量的80%)，待工程完工验收达到质量要求，验收合格后，支付至合同总价的80%(含已支付的)，竣工结算经财政部门审定后，支付至审定结算价的97%(含已支付的)，发包人按结算总额的3%预留工程质量保修金，待约定的工程质量保修期(承包人按要求完成保修责任，并经发包人验收合格)满后支付至结算价100%。</w:t>
            </w:r>
          </w:p>
        </w:tc>
      </w:tr>
      <w:tr w14:paraId="0D0CB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48C6BC2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其他说明</w:t>
            </w:r>
          </w:p>
        </w:tc>
        <w:tc>
          <w:tcPr>
            <w:tcW w:w="8173" w:type="dxa"/>
            <w:gridSpan w:val="5"/>
            <w:tcBorders>
              <w:top w:val="single" w:color="auto" w:sz="4" w:space="0"/>
              <w:left w:val="single" w:color="auto" w:sz="4" w:space="0"/>
              <w:bottom w:val="single" w:color="auto" w:sz="4" w:space="0"/>
              <w:right w:val="single" w:color="auto" w:sz="4" w:space="0"/>
            </w:tcBorders>
            <w:noWrap w:val="0"/>
            <w:vAlign w:val="center"/>
          </w:tcPr>
          <w:p w14:paraId="038E7810">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一、进口产品说明</w:t>
            </w:r>
          </w:p>
          <w:p w14:paraId="3DA35260">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本项目不涉及进口产品。</w:t>
            </w:r>
          </w:p>
          <w:p w14:paraId="7CF80072">
            <w:pPr>
              <w:keepNext w:val="0"/>
              <w:keepLines w:val="0"/>
              <w:pageBreakBefore w:val="0"/>
              <w:widowControl w:val="0"/>
              <w:numPr>
                <w:ilvl w:val="0"/>
                <w:numId w:val="1"/>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其</w:t>
            </w:r>
            <w:r>
              <w:rPr>
                <w:rFonts w:hint="eastAsia" w:ascii="宋体" w:hAnsi="宋体" w:eastAsia="宋体" w:cs="宋体"/>
                <w:color w:val="auto"/>
                <w:sz w:val="21"/>
                <w:szCs w:val="21"/>
                <w:highlight w:val="none"/>
                <w:lang w:val="en-US" w:eastAsia="zh-CN"/>
              </w:rPr>
              <w:t>他：具备响应资格的磋商供应商自行到项目所在地进行现场勘察，否则由于对现场情况不了解或了解不透彻导致响应失误的后果由磋商供应商自行承担。</w:t>
            </w:r>
          </w:p>
          <w:p w14:paraId="696CAF3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lang w:val="en-US" w:eastAsia="zh-CN"/>
              </w:rPr>
            </w:pPr>
            <w:r>
              <w:rPr>
                <w:rFonts w:hint="eastAsia" w:ascii="宋体" w:hAnsi="Courier New" w:cs="Courier New"/>
                <w:b/>
                <w:bCs/>
                <w:color w:val="auto"/>
                <w:szCs w:val="21"/>
                <w:highlight w:val="none"/>
                <w:lang w:eastAsia="zh-CN"/>
              </w:rPr>
              <w:t>三、</w:t>
            </w:r>
            <w:r>
              <w:rPr>
                <w:rFonts w:hint="eastAsia" w:ascii="宋体" w:hAnsi="宋体" w:eastAsia="宋体" w:cs="宋体"/>
                <w:color w:val="auto"/>
                <w:sz w:val="21"/>
                <w:szCs w:val="21"/>
                <w:highlight w:val="none"/>
              </w:rPr>
              <w:t>与本项目有关的设计图纸、</w:t>
            </w:r>
            <w:r>
              <w:rPr>
                <w:rFonts w:hint="eastAsia" w:ascii="宋体" w:hAnsi="宋体" w:eastAsia="宋体" w:cs="宋体"/>
                <w:color w:val="auto"/>
                <w:sz w:val="21"/>
                <w:szCs w:val="21"/>
                <w:highlight w:val="none"/>
                <w:lang w:eastAsia="zh-CN"/>
              </w:rPr>
              <w:t>工程量清单</w:t>
            </w:r>
            <w:r>
              <w:rPr>
                <w:rFonts w:hint="eastAsia" w:ascii="宋体" w:hAnsi="宋体" w:eastAsia="宋体" w:cs="宋体"/>
                <w:color w:val="auto"/>
                <w:sz w:val="21"/>
                <w:szCs w:val="21"/>
                <w:highlight w:val="none"/>
              </w:rPr>
              <w:t>等附件资料及其获取方式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网上下载。供应商可自行在</w:t>
            </w:r>
            <w:r>
              <w:rPr>
                <w:rFonts w:hint="eastAsia" w:ascii="宋体" w:hAnsi="宋体" w:eastAsia="宋体" w:cs="宋体"/>
                <w:color w:val="auto"/>
                <w:sz w:val="21"/>
                <w:szCs w:val="21"/>
                <w:highlight w:val="none"/>
                <w:lang w:eastAsia="zh-CN"/>
              </w:rPr>
              <w:t>“广西政府采购云平台”平台</w:t>
            </w:r>
            <w:r>
              <w:rPr>
                <w:rFonts w:hint="eastAsia" w:ascii="宋体" w:hAnsi="宋体" w:eastAsia="宋体" w:cs="宋体"/>
                <w:color w:val="auto"/>
                <w:sz w:val="21"/>
                <w:szCs w:val="21"/>
                <w:highlight w:val="none"/>
              </w:rPr>
              <w:t>下载。</w:t>
            </w:r>
          </w:p>
        </w:tc>
      </w:tr>
    </w:tbl>
    <w:p w14:paraId="6397877F">
      <w:pPr>
        <w:tabs>
          <w:tab w:val="left" w:pos="180"/>
          <w:tab w:val="left" w:pos="1620"/>
        </w:tabs>
        <w:spacing w:line="360" w:lineRule="auto"/>
        <w:rPr>
          <w:rFonts w:hint="eastAsia" w:ascii="宋体" w:hAnsi="宋体" w:eastAsia="宋体" w:cs="宋体"/>
          <w:b/>
          <w:bCs/>
          <w:color w:val="auto"/>
          <w:sz w:val="18"/>
          <w:szCs w:val="18"/>
          <w:highlight w:val="none"/>
        </w:rPr>
        <w:sectPr>
          <w:footerReference r:id="rId5" w:type="default"/>
          <w:pgSz w:w="11905" w:h="16838"/>
          <w:pgMar w:top="1134" w:right="1474" w:bottom="1134" w:left="1474" w:header="720" w:footer="720" w:gutter="0"/>
          <w:pgNumType w:fmt="decimal"/>
          <w:cols w:space="720" w:num="1"/>
          <w:docGrid w:type="lines" w:linePitch="331" w:charSpace="0"/>
        </w:sectPr>
      </w:pPr>
    </w:p>
    <w:p w14:paraId="28F82514">
      <w:pPr>
        <w:spacing w:line="428" w:lineRule="exact"/>
        <w:ind w:left="119"/>
        <w:rPr>
          <w:rFonts w:ascii="宋体" w:hAnsi="宋体" w:cs="宋体"/>
          <w:color w:val="auto"/>
          <w:sz w:val="32"/>
          <w:szCs w:val="32"/>
          <w:highlight w:val="none"/>
        </w:rPr>
      </w:pPr>
      <w:r>
        <w:rPr>
          <w:rFonts w:hint="eastAsia" w:ascii="宋体" w:hAnsi="宋体" w:cs="宋体"/>
          <w:color w:val="auto"/>
          <w:sz w:val="32"/>
          <w:szCs w:val="32"/>
          <w:highlight w:val="none"/>
        </w:rPr>
        <w:t>附件1：</w:t>
      </w:r>
    </w:p>
    <w:p w14:paraId="73F7465F">
      <w:pPr>
        <w:spacing w:before="7"/>
        <w:rPr>
          <w:rFonts w:hint="eastAsia" w:ascii="宋体" w:hAnsi="宋体" w:eastAsia="宋体" w:cs="宋体"/>
          <w:color w:val="auto"/>
          <w:sz w:val="17"/>
          <w:szCs w:val="17"/>
          <w:highlight w:val="none"/>
        </w:rPr>
      </w:pPr>
    </w:p>
    <w:p w14:paraId="121C6751">
      <w:pPr>
        <w:spacing w:line="528" w:lineRule="exact"/>
        <w:ind w:left="1868" w:leftChars="0" w:hanging="1868" w:hangingChars="467"/>
        <w:jc w:val="center"/>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2"/>
        <w:tblW w:w="0" w:type="auto"/>
        <w:jc w:val="center"/>
        <w:tblLayout w:type="fixed"/>
        <w:tblCellMar>
          <w:top w:w="0" w:type="dxa"/>
          <w:left w:w="108" w:type="dxa"/>
          <w:bottom w:w="0" w:type="dxa"/>
          <w:right w:w="108" w:type="dxa"/>
        </w:tblCellMar>
      </w:tblPr>
      <w:tblGrid>
        <w:gridCol w:w="1702"/>
        <w:gridCol w:w="1384"/>
        <w:gridCol w:w="913"/>
        <w:gridCol w:w="1620"/>
        <w:gridCol w:w="1440"/>
        <w:gridCol w:w="1231"/>
      </w:tblGrid>
      <w:tr w14:paraId="7F9BD155">
        <w:tblPrEx>
          <w:tblCellMar>
            <w:top w:w="0" w:type="dxa"/>
            <w:left w:w="108" w:type="dxa"/>
            <w:bottom w:w="0" w:type="dxa"/>
            <w:right w:w="108" w:type="dxa"/>
          </w:tblCellMar>
        </w:tblPrEx>
        <w:trPr>
          <w:trHeight w:val="285" w:hRule="atLeast"/>
          <w:jc w:val="center"/>
        </w:trPr>
        <w:tc>
          <w:tcPr>
            <w:tcW w:w="1702" w:type="dxa"/>
            <w:tcBorders>
              <w:top w:val="single" w:color="auto" w:sz="4" w:space="0"/>
              <w:left w:val="single" w:color="auto" w:sz="4" w:space="0"/>
              <w:bottom w:val="single" w:color="auto" w:sz="4" w:space="0"/>
              <w:right w:val="single" w:color="auto" w:sz="4" w:space="0"/>
            </w:tcBorders>
            <w:noWrap w:val="0"/>
            <w:vAlign w:val="center"/>
          </w:tcPr>
          <w:p w14:paraId="35F10479">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noWrap w:val="0"/>
            <w:vAlign w:val="center"/>
          </w:tcPr>
          <w:p w14:paraId="1BADF250">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noWrap w:val="0"/>
            <w:vAlign w:val="center"/>
          </w:tcPr>
          <w:p w14:paraId="504889FC">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noWrap w:val="0"/>
            <w:vAlign w:val="center"/>
          </w:tcPr>
          <w:p w14:paraId="7E04B8CC">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noWrap w:val="0"/>
            <w:vAlign w:val="center"/>
          </w:tcPr>
          <w:p w14:paraId="253CAF8C">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231" w:type="dxa"/>
            <w:tcBorders>
              <w:top w:val="single" w:color="auto" w:sz="4" w:space="0"/>
              <w:left w:val="nil"/>
              <w:bottom w:val="single" w:color="auto" w:sz="4" w:space="0"/>
              <w:right w:val="single" w:color="auto" w:sz="4" w:space="0"/>
            </w:tcBorders>
            <w:noWrap w:val="0"/>
            <w:vAlign w:val="center"/>
          </w:tcPr>
          <w:p w14:paraId="653BE28E">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2A448DCA">
        <w:tblPrEx>
          <w:tblCellMar>
            <w:top w:w="0" w:type="dxa"/>
            <w:left w:w="108" w:type="dxa"/>
            <w:bottom w:w="0" w:type="dxa"/>
            <w:right w:w="108" w:type="dxa"/>
          </w:tblCellMar>
        </w:tblPrEx>
        <w:trPr>
          <w:trHeight w:val="225" w:hRule="atLeast"/>
          <w:jc w:val="center"/>
        </w:trPr>
        <w:tc>
          <w:tcPr>
            <w:tcW w:w="1702" w:type="dxa"/>
            <w:tcBorders>
              <w:top w:val="nil"/>
              <w:left w:val="single" w:color="auto" w:sz="4" w:space="0"/>
              <w:bottom w:val="single" w:color="auto" w:sz="4" w:space="0"/>
              <w:right w:val="single" w:color="auto" w:sz="4" w:space="0"/>
            </w:tcBorders>
            <w:noWrap w:val="0"/>
            <w:vAlign w:val="bottom"/>
          </w:tcPr>
          <w:p w14:paraId="3A245D9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noWrap w:val="0"/>
            <w:vAlign w:val="center"/>
          </w:tcPr>
          <w:p w14:paraId="108DAF1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6B0AEF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1039DC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noWrap w:val="0"/>
            <w:vAlign w:val="center"/>
          </w:tcPr>
          <w:p w14:paraId="0D3F676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231" w:type="dxa"/>
            <w:tcBorders>
              <w:top w:val="nil"/>
              <w:left w:val="nil"/>
              <w:bottom w:val="single" w:color="auto" w:sz="4" w:space="0"/>
              <w:right w:val="single" w:color="auto" w:sz="4" w:space="0"/>
            </w:tcBorders>
            <w:noWrap w:val="0"/>
            <w:vAlign w:val="center"/>
          </w:tcPr>
          <w:p w14:paraId="5FBFE4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B46B1C9">
        <w:tblPrEx>
          <w:tblCellMar>
            <w:top w:w="0" w:type="dxa"/>
            <w:left w:w="108" w:type="dxa"/>
            <w:bottom w:w="0" w:type="dxa"/>
            <w:right w:w="108" w:type="dxa"/>
          </w:tblCellMar>
        </w:tblPrEx>
        <w:trPr>
          <w:trHeight w:val="225" w:hRule="atLeast"/>
          <w:jc w:val="center"/>
        </w:trPr>
        <w:tc>
          <w:tcPr>
            <w:tcW w:w="1702" w:type="dxa"/>
            <w:vMerge w:val="restart"/>
            <w:tcBorders>
              <w:top w:val="nil"/>
              <w:left w:val="single" w:color="auto" w:sz="4" w:space="0"/>
              <w:bottom w:val="single" w:color="auto" w:sz="4" w:space="0"/>
              <w:right w:val="single" w:color="auto" w:sz="4" w:space="0"/>
            </w:tcBorders>
            <w:noWrap w:val="0"/>
            <w:vAlign w:val="center"/>
          </w:tcPr>
          <w:p w14:paraId="5B79035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noWrap w:val="0"/>
            <w:vAlign w:val="center"/>
          </w:tcPr>
          <w:p w14:paraId="02F8013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56D31A7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72C4CFC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4B35959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231" w:type="dxa"/>
            <w:tcBorders>
              <w:top w:val="nil"/>
              <w:left w:val="nil"/>
              <w:bottom w:val="single" w:color="auto" w:sz="4" w:space="0"/>
              <w:right w:val="single" w:color="auto" w:sz="4" w:space="0"/>
            </w:tcBorders>
            <w:noWrap w:val="0"/>
            <w:vAlign w:val="center"/>
          </w:tcPr>
          <w:p w14:paraId="73FC9AC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77BCA07">
        <w:tblPrEx>
          <w:tblCellMar>
            <w:top w:w="0" w:type="dxa"/>
            <w:left w:w="108" w:type="dxa"/>
            <w:bottom w:w="0" w:type="dxa"/>
            <w:right w:w="108" w:type="dxa"/>
          </w:tblCellMar>
        </w:tblPrEx>
        <w:trPr>
          <w:trHeight w:val="225" w:hRule="atLeast"/>
          <w:jc w:val="center"/>
        </w:trPr>
        <w:tc>
          <w:tcPr>
            <w:tcW w:w="1702" w:type="dxa"/>
            <w:vMerge w:val="continue"/>
            <w:tcBorders>
              <w:top w:val="nil"/>
              <w:left w:val="single" w:color="auto" w:sz="4" w:space="0"/>
              <w:bottom w:val="single" w:color="auto" w:sz="4" w:space="0"/>
              <w:right w:val="single" w:color="auto" w:sz="4" w:space="0"/>
            </w:tcBorders>
            <w:noWrap w:val="0"/>
            <w:vAlign w:val="center"/>
          </w:tcPr>
          <w:p w14:paraId="6F8D8D1C">
            <w:pPr>
              <w:jc w:val="center"/>
              <w:rPr>
                <w:color w:val="auto"/>
                <w:sz w:val="20"/>
                <w:szCs w:val="20"/>
                <w:highlight w:val="none"/>
              </w:rPr>
            </w:pPr>
          </w:p>
        </w:tc>
        <w:tc>
          <w:tcPr>
            <w:tcW w:w="1384" w:type="dxa"/>
            <w:tcBorders>
              <w:top w:val="nil"/>
              <w:left w:val="nil"/>
              <w:bottom w:val="single" w:color="auto" w:sz="4" w:space="0"/>
              <w:right w:val="single" w:color="auto" w:sz="4" w:space="0"/>
            </w:tcBorders>
            <w:noWrap w:val="0"/>
            <w:vAlign w:val="center"/>
          </w:tcPr>
          <w:p w14:paraId="5EC97B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22EDB0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3E2D50D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40" w:type="dxa"/>
            <w:tcBorders>
              <w:top w:val="nil"/>
              <w:left w:val="nil"/>
              <w:bottom w:val="single" w:color="auto" w:sz="4" w:space="0"/>
              <w:right w:val="single" w:color="auto" w:sz="4" w:space="0"/>
            </w:tcBorders>
            <w:noWrap w:val="0"/>
            <w:vAlign w:val="center"/>
          </w:tcPr>
          <w:p w14:paraId="320202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231" w:type="dxa"/>
            <w:tcBorders>
              <w:top w:val="nil"/>
              <w:left w:val="nil"/>
              <w:bottom w:val="single" w:color="auto" w:sz="4" w:space="0"/>
              <w:right w:val="single" w:color="auto" w:sz="4" w:space="0"/>
            </w:tcBorders>
            <w:noWrap w:val="0"/>
            <w:vAlign w:val="center"/>
          </w:tcPr>
          <w:p w14:paraId="5352E85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8C74C2A">
        <w:tblPrEx>
          <w:tblCellMar>
            <w:top w:w="0" w:type="dxa"/>
            <w:left w:w="108" w:type="dxa"/>
            <w:bottom w:w="0" w:type="dxa"/>
            <w:right w:w="108" w:type="dxa"/>
          </w:tblCellMar>
        </w:tblPrEx>
        <w:trPr>
          <w:trHeight w:val="225" w:hRule="atLeast"/>
          <w:jc w:val="center"/>
        </w:trPr>
        <w:tc>
          <w:tcPr>
            <w:tcW w:w="1702" w:type="dxa"/>
            <w:vMerge w:val="restart"/>
            <w:tcBorders>
              <w:top w:val="nil"/>
              <w:left w:val="single" w:color="auto" w:sz="4" w:space="0"/>
              <w:bottom w:val="single" w:color="auto" w:sz="4" w:space="0"/>
              <w:right w:val="single" w:color="auto" w:sz="4" w:space="0"/>
            </w:tcBorders>
            <w:noWrap w:val="0"/>
            <w:vAlign w:val="center"/>
          </w:tcPr>
          <w:p w14:paraId="215A80C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noWrap w:val="0"/>
            <w:vAlign w:val="center"/>
          </w:tcPr>
          <w:p w14:paraId="1ADC123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023F971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457AD0F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40" w:type="dxa"/>
            <w:tcBorders>
              <w:top w:val="nil"/>
              <w:left w:val="nil"/>
              <w:bottom w:val="single" w:color="auto" w:sz="4" w:space="0"/>
              <w:right w:val="single" w:color="auto" w:sz="4" w:space="0"/>
            </w:tcBorders>
            <w:noWrap w:val="0"/>
            <w:vAlign w:val="center"/>
          </w:tcPr>
          <w:p w14:paraId="4D27A3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231" w:type="dxa"/>
            <w:tcBorders>
              <w:top w:val="nil"/>
              <w:left w:val="nil"/>
              <w:bottom w:val="single" w:color="auto" w:sz="4" w:space="0"/>
              <w:right w:val="single" w:color="auto" w:sz="4" w:space="0"/>
            </w:tcBorders>
            <w:noWrap w:val="0"/>
            <w:vAlign w:val="center"/>
          </w:tcPr>
          <w:p w14:paraId="1046E34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E5C4E89">
        <w:tblPrEx>
          <w:tblCellMar>
            <w:top w:w="0" w:type="dxa"/>
            <w:left w:w="108" w:type="dxa"/>
            <w:bottom w:w="0" w:type="dxa"/>
            <w:right w:w="108" w:type="dxa"/>
          </w:tblCellMar>
        </w:tblPrEx>
        <w:trPr>
          <w:trHeight w:val="225" w:hRule="atLeast"/>
          <w:jc w:val="center"/>
        </w:trPr>
        <w:tc>
          <w:tcPr>
            <w:tcW w:w="1702" w:type="dxa"/>
            <w:vMerge w:val="continue"/>
            <w:tcBorders>
              <w:top w:val="nil"/>
              <w:left w:val="single" w:color="auto" w:sz="4" w:space="0"/>
              <w:bottom w:val="single" w:color="auto" w:sz="4" w:space="0"/>
              <w:right w:val="single" w:color="auto" w:sz="4" w:space="0"/>
            </w:tcBorders>
            <w:noWrap w:val="0"/>
            <w:vAlign w:val="center"/>
          </w:tcPr>
          <w:p w14:paraId="04FB5DD2">
            <w:pPr>
              <w:jc w:val="center"/>
              <w:rPr>
                <w:color w:val="auto"/>
                <w:sz w:val="20"/>
                <w:szCs w:val="20"/>
                <w:highlight w:val="none"/>
              </w:rPr>
            </w:pPr>
          </w:p>
        </w:tc>
        <w:tc>
          <w:tcPr>
            <w:tcW w:w="1384" w:type="dxa"/>
            <w:tcBorders>
              <w:top w:val="nil"/>
              <w:left w:val="nil"/>
              <w:bottom w:val="single" w:color="auto" w:sz="4" w:space="0"/>
              <w:right w:val="single" w:color="auto" w:sz="4" w:space="0"/>
            </w:tcBorders>
            <w:noWrap w:val="0"/>
            <w:vAlign w:val="center"/>
          </w:tcPr>
          <w:p w14:paraId="091428F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02397FA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1A1168C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40" w:type="dxa"/>
            <w:tcBorders>
              <w:top w:val="nil"/>
              <w:left w:val="nil"/>
              <w:bottom w:val="single" w:color="auto" w:sz="4" w:space="0"/>
              <w:right w:val="single" w:color="auto" w:sz="4" w:space="0"/>
            </w:tcBorders>
            <w:noWrap w:val="0"/>
            <w:vAlign w:val="center"/>
          </w:tcPr>
          <w:p w14:paraId="384A78A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231" w:type="dxa"/>
            <w:tcBorders>
              <w:top w:val="nil"/>
              <w:left w:val="nil"/>
              <w:bottom w:val="single" w:color="auto" w:sz="4" w:space="0"/>
              <w:right w:val="single" w:color="auto" w:sz="4" w:space="0"/>
            </w:tcBorders>
            <w:noWrap w:val="0"/>
            <w:vAlign w:val="center"/>
          </w:tcPr>
          <w:p w14:paraId="3F87777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EBC3EC1">
        <w:tblPrEx>
          <w:tblCellMar>
            <w:top w:w="0" w:type="dxa"/>
            <w:left w:w="108" w:type="dxa"/>
            <w:bottom w:w="0" w:type="dxa"/>
            <w:right w:w="108" w:type="dxa"/>
          </w:tblCellMar>
        </w:tblPrEx>
        <w:trPr>
          <w:trHeight w:val="225" w:hRule="atLeast"/>
          <w:jc w:val="center"/>
        </w:trPr>
        <w:tc>
          <w:tcPr>
            <w:tcW w:w="1702" w:type="dxa"/>
            <w:vMerge w:val="restart"/>
            <w:tcBorders>
              <w:top w:val="nil"/>
              <w:left w:val="single" w:color="auto" w:sz="4" w:space="0"/>
              <w:bottom w:val="single" w:color="auto" w:sz="4" w:space="0"/>
              <w:right w:val="single" w:color="auto" w:sz="4" w:space="0"/>
            </w:tcBorders>
            <w:noWrap w:val="0"/>
            <w:vAlign w:val="center"/>
          </w:tcPr>
          <w:p w14:paraId="1844A03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noWrap w:val="0"/>
            <w:vAlign w:val="center"/>
          </w:tcPr>
          <w:p w14:paraId="40108F4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6CAF34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34F9D3D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40" w:type="dxa"/>
            <w:tcBorders>
              <w:top w:val="nil"/>
              <w:left w:val="nil"/>
              <w:bottom w:val="single" w:color="auto" w:sz="4" w:space="0"/>
              <w:right w:val="single" w:color="auto" w:sz="4" w:space="0"/>
            </w:tcBorders>
            <w:noWrap w:val="0"/>
            <w:vAlign w:val="center"/>
          </w:tcPr>
          <w:p w14:paraId="098A97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231" w:type="dxa"/>
            <w:tcBorders>
              <w:top w:val="nil"/>
              <w:left w:val="nil"/>
              <w:bottom w:val="single" w:color="auto" w:sz="4" w:space="0"/>
              <w:right w:val="single" w:color="auto" w:sz="4" w:space="0"/>
            </w:tcBorders>
            <w:noWrap w:val="0"/>
            <w:vAlign w:val="center"/>
          </w:tcPr>
          <w:p w14:paraId="3374A99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1D5590FF">
        <w:tblPrEx>
          <w:tblCellMar>
            <w:top w:w="0" w:type="dxa"/>
            <w:left w:w="108" w:type="dxa"/>
            <w:bottom w:w="0" w:type="dxa"/>
            <w:right w:w="108" w:type="dxa"/>
          </w:tblCellMar>
        </w:tblPrEx>
        <w:trPr>
          <w:trHeight w:val="225" w:hRule="atLeast"/>
          <w:jc w:val="center"/>
        </w:trPr>
        <w:tc>
          <w:tcPr>
            <w:tcW w:w="1702" w:type="dxa"/>
            <w:vMerge w:val="continue"/>
            <w:tcBorders>
              <w:top w:val="nil"/>
              <w:left w:val="single" w:color="auto" w:sz="4" w:space="0"/>
              <w:bottom w:val="single" w:color="auto" w:sz="4" w:space="0"/>
              <w:right w:val="single" w:color="auto" w:sz="4" w:space="0"/>
            </w:tcBorders>
            <w:noWrap w:val="0"/>
            <w:vAlign w:val="center"/>
          </w:tcPr>
          <w:p w14:paraId="77F57526">
            <w:pPr>
              <w:jc w:val="center"/>
              <w:rPr>
                <w:color w:val="auto"/>
                <w:sz w:val="20"/>
                <w:szCs w:val="20"/>
                <w:highlight w:val="none"/>
              </w:rPr>
            </w:pPr>
          </w:p>
        </w:tc>
        <w:tc>
          <w:tcPr>
            <w:tcW w:w="1384" w:type="dxa"/>
            <w:tcBorders>
              <w:top w:val="nil"/>
              <w:left w:val="nil"/>
              <w:bottom w:val="single" w:color="auto" w:sz="4" w:space="0"/>
              <w:right w:val="single" w:color="auto" w:sz="4" w:space="0"/>
            </w:tcBorders>
            <w:noWrap w:val="0"/>
            <w:vAlign w:val="center"/>
          </w:tcPr>
          <w:p w14:paraId="3AB8815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21B72BA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56926F5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40" w:type="dxa"/>
            <w:tcBorders>
              <w:top w:val="nil"/>
              <w:left w:val="nil"/>
              <w:bottom w:val="single" w:color="auto" w:sz="4" w:space="0"/>
              <w:right w:val="single" w:color="auto" w:sz="4" w:space="0"/>
            </w:tcBorders>
            <w:noWrap w:val="0"/>
            <w:vAlign w:val="center"/>
          </w:tcPr>
          <w:p w14:paraId="6BA002A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231" w:type="dxa"/>
            <w:tcBorders>
              <w:top w:val="nil"/>
              <w:left w:val="nil"/>
              <w:bottom w:val="single" w:color="auto" w:sz="4" w:space="0"/>
              <w:right w:val="single" w:color="auto" w:sz="4" w:space="0"/>
            </w:tcBorders>
            <w:noWrap w:val="0"/>
            <w:vAlign w:val="center"/>
          </w:tcPr>
          <w:p w14:paraId="0EA723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6977C470">
        <w:tblPrEx>
          <w:tblCellMar>
            <w:top w:w="0" w:type="dxa"/>
            <w:left w:w="108" w:type="dxa"/>
            <w:bottom w:w="0" w:type="dxa"/>
            <w:right w:w="108" w:type="dxa"/>
          </w:tblCellMar>
        </w:tblPrEx>
        <w:trPr>
          <w:trHeight w:val="225" w:hRule="atLeast"/>
          <w:jc w:val="center"/>
        </w:trPr>
        <w:tc>
          <w:tcPr>
            <w:tcW w:w="1702" w:type="dxa"/>
            <w:vMerge w:val="restart"/>
            <w:tcBorders>
              <w:top w:val="nil"/>
              <w:left w:val="single" w:color="auto" w:sz="4" w:space="0"/>
              <w:bottom w:val="single" w:color="auto" w:sz="4" w:space="0"/>
              <w:right w:val="single" w:color="auto" w:sz="4" w:space="0"/>
            </w:tcBorders>
            <w:noWrap w:val="0"/>
            <w:vAlign w:val="center"/>
          </w:tcPr>
          <w:p w14:paraId="294C8EC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noWrap w:val="0"/>
            <w:vAlign w:val="center"/>
          </w:tcPr>
          <w:p w14:paraId="0D35A53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5476CD2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406B70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40" w:type="dxa"/>
            <w:tcBorders>
              <w:top w:val="nil"/>
              <w:left w:val="nil"/>
              <w:bottom w:val="single" w:color="auto" w:sz="4" w:space="0"/>
              <w:right w:val="single" w:color="auto" w:sz="4" w:space="0"/>
            </w:tcBorders>
            <w:noWrap w:val="0"/>
            <w:vAlign w:val="center"/>
          </w:tcPr>
          <w:p w14:paraId="7909A72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231" w:type="dxa"/>
            <w:tcBorders>
              <w:top w:val="nil"/>
              <w:left w:val="nil"/>
              <w:bottom w:val="single" w:color="auto" w:sz="4" w:space="0"/>
              <w:right w:val="single" w:color="auto" w:sz="4" w:space="0"/>
            </w:tcBorders>
            <w:noWrap w:val="0"/>
            <w:vAlign w:val="center"/>
          </w:tcPr>
          <w:p w14:paraId="71BA2B1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C6B381E">
        <w:tblPrEx>
          <w:tblCellMar>
            <w:top w:w="0" w:type="dxa"/>
            <w:left w:w="108" w:type="dxa"/>
            <w:bottom w:w="0" w:type="dxa"/>
            <w:right w:w="108" w:type="dxa"/>
          </w:tblCellMar>
        </w:tblPrEx>
        <w:trPr>
          <w:trHeight w:val="225" w:hRule="atLeast"/>
          <w:jc w:val="center"/>
        </w:trPr>
        <w:tc>
          <w:tcPr>
            <w:tcW w:w="1702" w:type="dxa"/>
            <w:vMerge w:val="continue"/>
            <w:tcBorders>
              <w:top w:val="nil"/>
              <w:left w:val="single" w:color="auto" w:sz="4" w:space="0"/>
              <w:bottom w:val="single" w:color="auto" w:sz="4" w:space="0"/>
              <w:right w:val="single" w:color="auto" w:sz="4" w:space="0"/>
            </w:tcBorders>
            <w:noWrap w:val="0"/>
            <w:vAlign w:val="center"/>
          </w:tcPr>
          <w:p w14:paraId="37596481">
            <w:pPr>
              <w:jc w:val="center"/>
              <w:rPr>
                <w:color w:val="auto"/>
                <w:sz w:val="20"/>
                <w:szCs w:val="20"/>
                <w:highlight w:val="none"/>
              </w:rPr>
            </w:pPr>
          </w:p>
        </w:tc>
        <w:tc>
          <w:tcPr>
            <w:tcW w:w="1384" w:type="dxa"/>
            <w:tcBorders>
              <w:top w:val="nil"/>
              <w:left w:val="nil"/>
              <w:bottom w:val="single" w:color="auto" w:sz="4" w:space="0"/>
              <w:right w:val="single" w:color="auto" w:sz="4" w:space="0"/>
            </w:tcBorders>
            <w:noWrap w:val="0"/>
            <w:vAlign w:val="center"/>
          </w:tcPr>
          <w:p w14:paraId="039CFA2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268A0F3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2B8B7D0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noWrap w:val="0"/>
            <w:vAlign w:val="center"/>
          </w:tcPr>
          <w:p w14:paraId="1B2DE91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231" w:type="dxa"/>
            <w:tcBorders>
              <w:top w:val="nil"/>
              <w:left w:val="nil"/>
              <w:bottom w:val="single" w:color="auto" w:sz="4" w:space="0"/>
              <w:right w:val="single" w:color="auto" w:sz="4" w:space="0"/>
            </w:tcBorders>
            <w:noWrap w:val="0"/>
            <w:vAlign w:val="center"/>
          </w:tcPr>
          <w:p w14:paraId="66FBE3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87A10C6">
        <w:tblPrEx>
          <w:tblCellMar>
            <w:top w:w="0" w:type="dxa"/>
            <w:left w:w="108" w:type="dxa"/>
            <w:bottom w:w="0" w:type="dxa"/>
            <w:right w:w="108" w:type="dxa"/>
          </w:tblCellMar>
        </w:tblPrEx>
        <w:trPr>
          <w:trHeight w:val="225" w:hRule="atLeast"/>
          <w:jc w:val="center"/>
        </w:trPr>
        <w:tc>
          <w:tcPr>
            <w:tcW w:w="1702" w:type="dxa"/>
            <w:vMerge w:val="restart"/>
            <w:tcBorders>
              <w:top w:val="nil"/>
              <w:left w:val="single" w:color="auto" w:sz="4" w:space="0"/>
              <w:bottom w:val="single" w:color="auto" w:sz="4" w:space="0"/>
              <w:right w:val="single" w:color="auto" w:sz="4" w:space="0"/>
            </w:tcBorders>
            <w:noWrap w:val="0"/>
            <w:vAlign w:val="center"/>
          </w:tcPr>
          <w:p w14:paraId="3C42433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noWrap w:val="0"/>
            <w:vAlign w:val="center"/>
          </w:tcPr>
          <w:p w14:paraId="47A227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15BC0B3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0CB27F1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5BDA68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231" w:type="dxa"/>
            <w:tcBorders>
              <w:top w:val="nil"/>
              <w:left w:val="nil"/>
              <w:bottom w:val="single" w:color="auto" w:sz="4" w:space="0"/>
              <w:right w:val="single" w:color="auto" w:sz="4" w:space="0"/>
            </w:tcBorders>
            <w:noWrap w:val="0"/>
            <w:vAlign w:val="center"/>
          </w:tcPr>
          <w:p w14:paraId="4EC5EF2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C5FDA14">
        <w:tblPrEx>
          <w:tblCellMar>
            <w:top w:w="0" w:type="dxa"/>
            <w:left w:w="108" w:type="dxa"/>
            <w:bottom w:w="0" w:type="dxa"/>
            <w:right w:w="108" w:type="dxa"/>
          </w:tblCellMar>
        </w:tblPrEx>
        <w:trPr>
          <w:trHeight w:val="225" w:hRule="atLeast"/>
          <w:jc w:val="center"/>
        </w:trPr>
        <w:tc>
          <w:tcPr>
            <w:tcW w:w="1702" w:type="dxa"/>
            <w:vMerge w:val="continue"/>
            <w:tcBorders>
              <w:top w:val="nil"/>
              <w:left w:val="single" w:color="auto" w:sz="4" w:space="0"/>
              <w:bottom w:val="single" w:color="auto" w:sz="4" w:space="0"/>
              <w:right w:val="single" w:color="auto" w:sz="4" w:space="0"/>
            </w:tcBorders>
            <w:noWrap w:val="0"/>
            <w:vAlign w:val="center"/>
          </w:tcPr>
          <w:p w14:paraId="510FC6BD">
            <w:pPr>
              <w:jc w:val="center"/>
              <w:rPr>
                <w:color w:val="auto"/>
                <w:sz w:val="20"/>
                <w:szCs w:val="20"/>
                <w:highlight w:val="none"/>
              </w:rPr>
            </w:pPr>
          </w:p>
        </w:tc>
        <w:tc>
          <w:tcPr>
            <w:tcW w:w="1384" w:type="dxa"/>
            <w:tcBorders>
              <w:top w:val="nil"/>
              <w:left w:val="nil"/>
              <w:bottom w:val="single" w:color="auto" w:sz="4" w:space="0"/>
              <w:right w:val="single" w:color="auto" w:sz="4" w:space="0"/>
            </w:tcBorders>
            <w:noWrap w:val="0"/>
            <w:vAlign w:val="center"/>
          </w:tcPr>
          <w:p w14:paraId="0310075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1FFE041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14C2649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40" w:type="dxa"/>
            <w:tcBorders>
              <w:top w:val="nil"/>
              <w:left w:val="nil"/>
              <w:bottom w:val="single" w:color="auto" w:sz="4" w:space="0"/>
              <w:right w:val="single" w:color="auto" w:sz="4" w:space="0"/>
            </w:tcBorders>
            <w:noWrap w:val="0"/>
            <w:vAlign w:val="center"/>
          </w:tcPr>
          <w:p w14:paraId="2DCEB05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231" w:type="dxa"/>
            <w:tcBorders>
              <w:top w:val="nil"/>
              <w:left w:val="nil"/>
              <w:bottom w:val="single" w:color="auto" w:sz="4" w:space="0"/>
              <w:right w:val="single" w:color="auto" w:sz="4" w:space="0"/>
            </w:tcBorders>
            <w:noWrap w:val="0"/>
            <w:vAlign w:val="center"/>
          </w:tcPr>
          <w:p w14:paraId="70CFE1E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63222E16">
        <w:tblPrEx>
          <w:tblCellMar>
            <w:top w:w="0" w:type="dxa"/>
            <w:left w:w="108" w:type="dxa"/>
            <w:bottom w:w="0" w:type="dxa"/>
            <w:right w:w="108" w:type="dxa"/>
          </w:tblCellMar>
        </w:tblPrEx>
        <w:trPr>
          <w:trHeight w:val="225" w:hRule="atLeast"/>
          <w:jc w:val="center"/>
        </w:trPr>
        <w:tc>
          <w:tcPr>
            <w:tcW w:w="1702" w:type="dxa"/>
            <w:vMerge w:val="restart"/>
            <w:tcBorders>
              <w:top w:val="nil"/>
              <w:left w:val="single" w:color="auto" w:sz="4" w:space="0"/>
              <w:bottom w:val="single" w:color="auto" w:sz="4" w:space="0"/>
              <w:right w:val="single" w:color="auto" w:sz="4" w:space="0"/>
            </w:tcBorders>
            <w:noWrap w:val="0"/>
            <w:vAlign w:val="center"/>
          </w:tcPr>
          <w:p w14:paraId="0071893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noWrap w:val="0"/>
            <w:vAlign w:val="center"/>
          </w:tcPr>
          <w:p w14:paraId="7F6DC77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0A2EB8B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6D853A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40" w:type="dxa"/>
            <w:tcBorders>
              <w:top w:val="nil"/>
              <w:left w:val="nil"/>
              <w:bottom w:val="single" w:color="auto" w:sz="4" w:space="0"/>
              <w:right w:val="single" w:color="auto" w:sz="4" w:space="0"/>
            </w:tcBorders>
            <w:noWrap w:val="0"/>
            <w:vAlign w:val="center"/>
          </w:tcPr>
          <w:p w14:paraId="0B9F03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231" w:type="dxa"/>
            <w:tcBorders>
              <w:top w:val="nil"/>
              <w:left w:val="nil"/>
              <w:bottom w:val="single" w:color="auto" w:sz="4" w:space="0"/>
              <w:right w:val="single" w:color="auto" w:sz="4" w:space="0"/>
            </w:tcBorders>
            <w:noWrap w:val="0"/>
            <w:vAlign w:val="center"/>
          </w:tcPr>
          <w:p w14:paraId="436745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FD2F7EA">
        <w:tblPrEx>
          <w:tblCellMar>
            <w:top w:w="0" w:type="dxa"/>
            <w:left w:w="108" w:type="dxa"/>
            <w:bottom w:w="0" w:type="dxa"/>
            <w:right w:w="108" w:type="dxa"/>
          </w:tblCellMar>
        </w:tblPrEx>
        <w:trPr>
          <w:trHeight w:val="225" w:hRule="atLeast"/>
          <w:jc w:val="center"/>
        </w:trPr>
        <w:tc>
          <w:tcPr>
            <w:tcW w:w="1702" w:type="dxa"/>
            <w:vMerge w:val="continue"/>
            <w:tcBorders>
              <w:top w:val="nil"/>
              <w:left w:val="single" w:color="auto" w:sz="4" w:space="0"/>
              <w:bottom w:val="single" w:color="auto" w:sz="4" w:space="0"/>
              <w:right w:val="single" w:color="auto" w:sz="4" w:space="0"/>
            </w:tcBorders>
            <w:noWrap w:val="0"/>
            <w:vAlign w:val="center"/>
          </w:tcPr>
          <w:p w14:paraId="219CB188">
            <w:pPr>
              <w:jc w:val="center"/>
              <w:rPr>
                <w:color w:val="auto"/>
                <w:sz w:val="20"/>
                <w:szCs w:val="20"/>
                <w:highlight w:val="none"/>
              </w:rPr>
            </w:pPr>
          </w:p>
        </w:tc>
        <w:tc>
          <w:tcPr>
            <w:tcW w:w="1384" w:type="dxa"/>
            <w:tcBorders>
              <w:top w:val="nil"/>
              <w:left w:val="nil"/>
              <w:bottom w:val="single" w:color="auto" w:sz="4" w:space="0"/>
              <w:right w:val="single" w:color="auto" w:sz="4" w:space="0"/>
            </w:tcBorders>
            <w:noWrap w:val="0"/>
            <w:vAlign w:val="center"/>
          </w:tcPr>
          <w:p w14:paraId="786AE94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5B1B006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7D46785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40" w:type="dxa"/>
            <w:tcBorders>
              <w:top w:val="nil"/>
              <w:left w:val="nil"/>
              <w:bottom w:val="single" w:color="auto" w:sz="4" w:space="0"/>
              <w:right w:val="single" w:color="auto" w:sz="4" w:space="0"/>
            </w:tcBorders>
            <w:noWrap w:val="0"/>
            <w:vAlign w:val="center"/>
          </w:tcPr>
          <w:p w14:paraId="4AE4B65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231" w:type="dxa"/>
            <w:tcBorders>
              <w:top w:val="nil"/>
              <w:left w:val="nil"/>
              <w:bottom w:val="single" w:color="auto" w:sz="4" w:space="0"/>
              <w:right w:val="single" w:color="auto" w:sz="4" w:space="0"/>
            </w:tcBorders>
            <w:noWrap w:val="0"/>
            <w:vAlign w:val="center"/>
          </w:tcPr>
          <w:p w14:paraId="47BCE7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AABCC1D">
        <w:tblPrEx>
          <w:tblCellMar>
            <w:top w:w="0" w:type="dxa"/>
            <w:left w:w="108" w:type="dxa"/>
            <w:bottom w:w="0" w:type="dxa"/>
            <w:right w:w="108" w:type="dxa"/>
          </w:tblCellMar>
        </w:tblPrEx>
        <w:trPr>
          <w:trHeight w:val="225" w:hRule="atLeast"/>
          <w:jc w:val="center"/>
        </w:trPr>
        <w:tc>
          <w:tcPr>
            <w:tcW w:w="1702" w:type="dxa"/>
            <w:vMerge w:val="restart"/>
            <w:tcBorders>
              <w:top w:val="nil"/>
              <w:left w:val="single" w:color="auto" w:sz="4" w:space="0"/>
              <w:bottom w:val="single" w:color="auto" w:sz="4" w:space="0"/>
              <w:right w:val="single" w:color="auto" w:sz="4" w:space="0"/>
            </w:tcBorders>
            <w:noWrap w:val="0"/>
            <w:vAlign w:val="center"/>
          </w:tcPr>
          <w:p w14:paraId="489C028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noWrap w:val="0"/>
            <w:vAlign w:val="center"/>
          </w:tcPr>
          <w:p w14:paraId="2A32711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4A196C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7AB5FE0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03452D8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231" w:type="dxa"/>
            <w:tcBorders>
              <w:top w:val="nil"/>
              <w:left w:val="nil"/>
              <w:bottom w:val="single" w:color="auto" w:sz="4" w:space="0"/>
              <w:right w:val="single" w:color="auto" w:sz="4" w:space="0"/>
            </w:tcBorders>
            <w:noWrap w:val="0"/>
            <w:vAlign w:val="center"/>
          </w:tcPr>
          <w:p w14:paraId="720C9E0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96C68AC">
        <w:tblPrEx>
          <w:tblCellMar>
            <w:top w:w="0" w:type="dxa"/>
            <w:left w:w="108" w:type="dxa"/>
            <w:bottom w:w="0" w:type="dxa"/>
            <w:right w:w="108" w:type="dxa"/>
          </w:tblCellMar>
        </w:tblPrEx>
        <w:trPr>
          <w:trHeight w:val="225" w:hRule="atLeast"/>
          <w:jc w:val="center"/>
        </w:trPr>
        <w:tc>
          <w:tcPr>
            <w:tcW w:w="1702" w:type="dxa"/>
            <w:vMerge w:val="continue"/>
            <w:tcBorders>
              <w:top w:val="nil"/>
              <w:left w:val="single" w:color="auto" w:sz="4" w:space="0"/>
              <w:bottom w:val="single" w:color="auto" w:sz="4" w:space="0"/>
              <w:right w:val="single" w:color="auto" w:sz="4" w:space="0"/>
            </w:tcBorders>
            <w:noWrap w:val="0"/>
            <w:vAlign w:val="center"/>
          </w:tcPr>
          <w:p w14:paraId="08BC818D">
            <w:pPr>
              <w:jc w:val="center"/>
              <w:rPr>
                <w:color w:val="auto"/>
                <w:sz w:val="20"/>
                <w:szCs w:val="20"/>
                <w:highlight w:val="none"/>
              </w:rPr>
            </w:pPr>
          </w:p>
        </w:tc>
        <w:tc>
          <w:tcPr>
            <w:tcW w:w="1384" w:type="dxa"/>
            <w:tcBorders>
              <w:top w:val="nil"/>
              <w:left w:val="nil"/>
              <w:bottom w:val="single" w:color="auto" w:sz="4" w:space="0"/>
              <w:right w:val="single" w:color="auto" w:sz="4" w:space="0"/>
            </w:tcBorders>
            <w:noWrap w:val="0"/>
            <w:vAlign w:val="center"/>
          </w:tcPr>
          <w:p w14:paraId="6DB8742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4DE05A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7507A43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40" w:type="dxa"/>
            <w:tcBorders>
              <w:top w:val="nil"/>
              <w:left w:val="nil"/>
              <w:bottom w:val="single" w:color="auto" w:sz="4" w:space="0"/>
              <w:right w:val="single" w:color="auto" w:sz="4" w:space="0"/>
            </w:tcBorders>
            <w:noWrap w:val="0"/>
            <w:vAlign w:val="center"/>
          </w:tcPr>
          <w:p w14:paraId="1FE04C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231" w:type="dxa"/>
            <w:tcBorders>
              <w:top w:val="nil"/>
              <w:left w:val="nil"/>
              <w:bottom w:val="single" w:color="auto" w:sz="4" w:space="0"/>
              <w:right w:val="single" w:color="auto" w:sz="4" w:space="0"/>
            </w:tcBorders>
            <w:noWrap w:val="0"/>
            <w:vAlign w:val="center"/>
          </w:tcPr>
          <w:p w14:paraId="5F58F56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BA9EA36">
        <w:tblPrEx>
          <w:tblCellMar>
            <w:top w:w="0" w:type="dxa"/>
            <w:left w:w="108" w:type="dxa"/>
            <w:bottom w:w="0" w:type="dxa"/>
            <w:right w:w="108" w:type="dxa"/>
          </w:tblCellMar>
        </w:tblPrEx>
        <w:trPr>
          <w:trHeight w:val="225" w:hRule="atLeast"/>
          <w:jc w:val="center"/>
        </w:trPr>
        <w:tc>
          <w:tcPr>
            <w:tcW w:w="1702" w:type="dxa"/>
            <w:vMerge w:val="restart"/>
            <w:tcBorders>
              <w:top w:val="nil"/>
              <w:left w:val="single" w:color="auto" w:sz="4" w:space="0"/>
              <w:bottom w:val="single" w:color="auto" w:sz="4" w:space="0"/>
              <w:right w:val="single" w:color="auto" w:sz="4" w:space="0"/>
            </w:tcBorders>
            <w:noWrap w:val="0"/>
            <w:vAlign w:val="center"/>
          </w:tcPr>
          <w:p w14:paraId="0848583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noWrap w:val="0"/>
            <w:vAlign w:val="center"/>
          </w:tcPr>
          <w:p w14:paraId="7280209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5310019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45BA35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24826A9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231" w:type="dxa"/>
            <w:tcBorders>
              <w:top w:val="nil"/>
              <w:left w:val="nil"/>
              <w:bottom w:val="single" w:color="auto" w:sz="4" w:space="0"/>
              <w:right w:val="single" w:color="auto" w:sz="4" w:space="0"/>
            </w:tcBorders>
            <w:noWrap w:val="0"/>
            <w:vAlign w:val="center"/>
          </w:tcPr>
          <w:p w14:paraId="2DDF508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98A861D">
        <w:tblPrEx>
          <w:tblCellMar>
            <w:top w:w="0" w:type="dxa"/>
            <w:left w:w="108" w:type="dxa"/>
            <w:bottom w:w="0" w:type="dxa"/>
            <w:right w:w="108" w:type="dxa"/>
          </w:tblCellMar>
        </w:tblPrEx>
        <w:trPr>
          <w:trHeight w:val="225" w:hRule="atLeast"/>
          <w:jc w:val="center"/>
        </w:trPr>
        <w:tc>
          <w:tcPr>
            <w:tcW w:w="1702" w:type="dxa"/>
            <w:vMerge w:val="continue"/>
            <w:tcBorders>
              <w:top w:val="nil"/>
              <w:left w:val="single" w:color="auto" w:sz="4" w:space="0"/>
              <w:bottom w:val="single" w:color="auto" w:sz="4" w:space="0"/>
              <w:right w:val="single" w:color="auto" w:sz="4" w:space="0"/>
            </w:tcBorders>
            <w:noWrap w:val="0"/>
            <w:vAlign w:val="center"/>
          </w:tcPr>
          <w:p w14:paraId="1F10116E">
            <w:pPr>
              <w:jc w:val="center"/>
              <w:rPr>
                <w:color w:val="auto"/>
                <w:sz w:val="20"/>
                <w:szCs w:val="20"/>
                <w:highlight w:val="none"/>
              </w:rPr>
            </w:pPr>
          </w:p>
        </w:tc>
        <w:tc>
          <w:tcPr>
            <w:tcW w:w="1384" w:type="dxa"/>
            <w:tcBorders>
              <w:top w:val="nil"/>
              <w:left w:val="nil"/>
              <w:bottom w:val="single" w:color="auto" w:sz="4" w:space="0"/>
              <w:right w:val="single" w:color="auto" w:sz="4" w:space="0"/>
            </w:tcBorders>
            <w:noWrap w:val="0"/>
            <w:vAlign w:val="center"/>
          </w:tcPr>
          <w:p w14:paraId="45CE780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0613A01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27431CE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0"/>
            <w:vAlign w:val="center"/>
          </w:tcPr>
          <w:p w14:paraId="28BD48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231" w:type="dxa"/>
            <w:tcBorders>
              <w:top w:val="nil"/>
              <w:left w:val="nil"/>
              <w:bottom w:val="single" w:color="auto" w:sz="4" w:space="0"/>
              <w:right w:val="single" w:color="auto" w:sz="4" w:space="0"/>
            </w:tcBorders>
            <w:noWrap w:val="0"/>
            <w:vAlign w:val="center"/>
          </w:tcPr>
          <w:p w14:paraId="1B1DBD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B22BF1F">
        <w:tblPrEx>
          <w:tblCellMar>
            <w:top w:w="0" w:type="dxa"/>
            <w:left w:w="108" w:type="dxa"/>
            <w:bottom w:w="0" w:type="dxa"/>
            <w:right w:w="108" w:type="dxa"/>
          </w:tblCellMar>
        </w:tblPrEx>
        <w:trPr>
          <w:trHeight w:val="225" w:hRule="atLeast"/>
          <w:jc w:val="center"/>
        </w:trPr>
        <w:tc>
          <w:tcPr>
            <w:tcW w:w="1702" w:type="dxa"/>
            <w:vMerge w:val="restart"/>
            <w:tcBorders>
              <w:top w:val="nil"/>
              <w:left w:val="single" w:color="auto" w:sz="4" w:space="0"/>
              <w:bottom w:val="single" w:color="auto" w:sz="4" w:space="0"/>
              <w:right w:val="single" w:color="auto" w:sz="4" w:space="0"/>
            </w:tcBorders>
            <w:noWrap w:val="0"/>
            <w:vAlign w:val="center"/>
          </w:tcPr>
          <w:p w14:paraId="5D31156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noWrap w:val="0"/>
            <w:vAlign w:val="center"/>
          </w:tcPr>
          <w:p w14:paraId="08E6467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66CDCD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4FEFDD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4473FA2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231" w:type="dxa"/>
            <w:tcBorders>
              <w:top w:val="nil"/>
              <w:left w:val="nil"/>
              <w:bottom w:val="single" w:color="auto" w:sz="4" w:space="0"/>
              <w:right w:val="single" w:color="auto" w:sz="4" w:space="0"/>
            </w:tcBorders>
            <w:noWrap w:val="0"/>
            <w:vAlign w:val="center"/>
          </w:tcPr>
          <w:p w14:paraId="67D22A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87E3BF9">
        <w:tblPrEx>
          <w:tblCellMar>
            <w:top w:w="0" w:type="dxa"/>
            <w:left w:w="108" w:type="dxa"/>
            <w:bottom w:w="0" w:type="dxa"/>
            <w:right w:w="108" w:type="dxa"/>
          </w:tblCellMar>
        </w:tblPrEx>
        <w:trPr>
          <w:trHeight w:val="225" w:hRule="atLeast"/>
          <w:jc w:val="center"/>
        </w:trPr>
        <w:tc>
          <w:tcPr>
            <w:tcW w:w="1702" w:type="dxa"/>
            <w:vMerge w:val="continue"/>
            <w:tcBorders>
              <w:top w:val="nil"/>
              <w:left w:val="single" w:color="auto" w:sz="4" w:space="0"/>
              <w:bottom w:val="single" w:color="auto" w:sz="4" w:space="0"/>
              <w:right w:val="single" w:color="auto" w:sz="4" w:space="0"/>
            </w:tcBorders>
            <w:noWrap w:val="0"/>
            <w:vAlign w:val="center"/>
          </w:tcPr>
          <w:p w14:paraId="0B5E59A9">
            <w:pPr>
              <w:jc w:val="center"/>
              <w:rPr>
                <w:color w:val="auto"/>
                <w:sz w:val="20"/>
                <w:szCs w:val="20"/>
                <w:highlight w:val="none"/>
              </w:rPr>
            </w:pPr>
          </w:p>
        </w:tc>
        <w:tc>
          <w:tcPr>
            <w:tcW w:w="1384" w:type="dxa"/>
            <w:tcBorders>
              <w:top w:val="nil"/>
              <w:left w:val="nil"/>
              <w:bottom w:val="single" w:color="auto" w:sz="4" w:space="0"/>
              <w:right w:val="single" w:color="auto" w:sz="4" w:space="0"/>
            </w:tcBorders>
            <w:noWrap w:val="0"/>
            <w:vAlign w:val="center"/>
          </w:tcPr>
          <w:p w14:paraId="19B299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53EEE1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3E26AC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0"/>
            <w:vAlign w:val="center"/>
          </w:tcPr>
          <w:p w14:paraId="247C73F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231" w:type="dxa"/>
            <w:tcBorders>
              <w:top w:val="nil"/>
              <w:left w:val="nil"/>
              <w:bottom w:val="single" w:color="auto" w:sz="4" w:space="0"/>
              <w:right w:val="single" w:color="auto" w:sz="4" w:space="0"/>
            </w:tcBorders>
            <w:noWrap w:val="0"/>
            <w:vAlign w:val="center"/>
          </w:tcPr>
          <w:p w14:paraId="75B1E4C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B3372AD">
        <w:tblPrEx>
          <w:tblCellMar>
            <w:top w:w="0" w:type="dxa"/>
            <w:left w:w="108" w:type="dxa"/>
            <w:bottom w:w="0" w:type="dxa"/>
            <w:right w:w="108" w:type="dxa"/>
          </w:tblCellMar>
        </w:tblPrEx>
        <w:trPr>
          <w:trHeight w:val="225" w:hRule="atLeast"/>
          <w:jc w:val="center"/>
        </w:trPr>
        <w:tc>
          <w:tcPr>
            <w:tcW w:w="1702" w:type="dxa"/>
            <w:vMerge w:val="restart"/>
            <w:tcBorders>
              <w:top w:val="nil"/>
              <w:left w:val="single" w:color="auto" w:sz="4" w:space="0"/>
              <w:bottom w:val="single" w:color="auto" w:sz="4" w:space="0"/>
              <w:right w:val="single" w:color="auto" w:sz="4" w:space="0"/>
            </w:tcBorders>
            <w:noWrap w:val="0"/>
            <w:vAlign w:val="center"/>
          </w:tcPr>
          <w:p w14:paraId="01889DB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noWrap w:val="0"/>
            <w:vAlign w:val="center"/>
          </w:tcPr>
          <w:p w14:paraId="25A13BE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334511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68F8CE2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40" w:type="dxa"/>
            <w:tcBorders>
              <w:top w:val="nil"/>
              <w:left w:val="nil"/>
              <w:bottom w:val="single" w:color="auto" w:sz="4" w:space="0"/>
              <w:right w:val="single" w:color="auto" w:sz="4" w:space="0"/>
            </w:tcBorders>
            <w:noWrap w:val="0"/>
            <w:vAlign w:val="center"/>
          </w:tcPr>
          <w:p w14:paraId="436CFA8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231" w:type="dxa"/>
            <w:tcBorders>
              <w:top w:val="nil"/>
              <w:left w:val="nil"/>
              <w:bottom w:val="single" w:color="auto" w:sz="4" w:space="0"/>
              <w:right w:val="single" w:color="auto" w:sz="4" w:space="0"/>
            </w:tcBorders>
            <w:noWrap w:val="0"/>
            <w:vAlign w:val="center"/>
          </w:tcPr>
          <w:p w14:paraId="002A9C3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E4E9A3C">
        <w:tblPrEx>
          <w:tblCellMar>
            <w:top w:w="0" w:type="dxa"/>
            <w:left w:w="108" w:type="dxa"/>
            <w:bottom w:w="0" w:type="dxa"/>
            <w:right w:w="108" w:type="dxa"/>
          </w:tblCellMar>
        </w:tblPrEx>
        <w:trPr>
          <w:trHeight w:val="225" w:hRule="atLeast"/>
          <w:jc w:val="center"/>
        </w:trPr>
        <w:tc>
          <w:tcPr>
            <w:tcW w:w="1702" w:type="dxa"/>
            <w:vMerge w:val="continue"/>
            <w:tcBorders>
              <w:top w:val="nil"/>
              <w:left w:val="single" w:color="auto" w:sz="4" w:space="0"/>
              <w:bottom w:val="single" w:color="auto" w:sz="4" w:space="0"/>
              <w:right w:val="single" w:color="auto" w:sz="4" w:space="0"/>
            </w:tcBorders>
            <w:noWrap w:val="0"/>
            <w:vAlign w:val="center"/>
          </w:tcPr>
          <w:p w14:paraId="2C827A8D">
            <w:pPr>
              <w:jc w:val="center"/>
              <w:rPr>
                <w:color w:val="auto"/>
                <w:sz w:val="20"/>
                <w:szCs w:val="20"/>
                <w:highlight w:val="none"/>
              </w:rPr>
            </w:pPr>
          </w:p>
        </w:tc>
        <w:tc>
          <w:tcPr>
            <w:tcW w:w="1384" w:type="dxa"/>
            <w:tcBorders>
              <w:top w:val="nil"/>
              <w:left w:val="nil"/>
              <w:bottom w:val="single" w:color="auto" w:sz="4" w:space="0"/>
              <w:right w:val="single" w:color="auto" w:sz="4" w:space="0"/>
            </w:tcBorders>
            <w:noWrap w:val="0"/>
            <w:vAlign w:val="center"/>
          </w:tcPr>
          <w:p w14:paraId="13C2F3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3CF5E1B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1960C2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noWrap w:val="0"/>
            <w:vAlign w:val="center"/>
          </w:tcPr>
          <w:p w14:paraId="7F96FB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231" w:type="dxa"/>
            <w:tcBorders>
              <w:top w:val="nil"/>
              <w:left w:val="nil"/>
              <w:bottom w:val="single" w:color="auto" w:sz="4" w:space="0"/>
              <w:right w:val="single" w:color="auto" w:sz="4" w:space="0"/>
            </w:tcBorders>
            <w:noWrap w:val="0"/>
            <w:vAlign w:val="center"/>
          </w:tcPr>
          <w:p w14:paraId="6C5682C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9F6BE01">
        <w:tblPrEx>
          <w:tblCellMar>
            <w:top w:w="0" w:type="dxa"/>
            <w:left w:w="108" w:type="dxa"/>
            <w:bottom w:w="0" w:type="dxa"/>
            <w:right w:w="108" w:type="dxa"/>
          </w:tblCellMar>
        </w:tblPrEx>
        <w:trPr>
          <w:trHeight w:val="225" w:hRule="atLeast"/>
          <w:jc w:val="center"/>
        </w:trPr>
        <w:tc>
          <w:tcPr>
            <w:tcW w:w="1702" w:type="dxa"/>
            <w:vMerge w:val="restart"/>
            <w:tcBorders>
              <w:top w:val="nil"/>
              <w:left w:val="single" w:color="auto" w:sz="4" w:space="0"/>
              <w:bottom w:val="single" w:color="auto" w:sz="4" w:space="0"/>
              <w:right w:val="single" w:color="auto" w:sz="4" w:space="0"/>
            </w:tcBorders>
            <w:noWrap w:val="0"/>
            <w:vAlign w:val="center"/>
          </w:tcPr>
          <w:p w14:paraId="777728C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noWrap w:val="0"/>
            <w:vAlign w:val="center"/>
          </w:tcPr>
          <w:p w14:paraId="54116C5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6127013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655A09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1DAC57D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231" w:type="dxa"/>
            <w:tcBorders>
              <w:top w:val="nil"/>
              <w:left w:val="nil"/>
              <w:bottom w:val="single" w:color="auto" w:sz="4" w:space="0"/>
              <w:right w:val="single" w:color="auto" w:sz="4" w:space="0"/>
            </w:tcBorders>
            <w:noWrap w:val="0"/>
            <w:vAlign w:val="center"/>
          </w:tcPr>
          <w:p w14:paraId="3E33C8D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C48BFEB">
        <w:tblPrEx>
          <w:tblCellMar>
            <w:top w:w="0" w:type="dxa"/>
            <w:left w:w="108" w:type="dxa"/>
            <w:bottom w:w="0" w:type="dxa"/>
            <w:right w:w="108" w:type="dxa"/>
          </w:tblCellMar>
        </w:tblPrEx>
        <w:trPr>
          <w:trHeight w:val="225" w:hRule="atLeast"/>
          <w:jc w:val="center"/>
        </w:trPr>
        <w:tc>
          <w:tcPr>
            <w:tcW w:w="1702" w:type="dxa"/>
            <w:vMerge w:val="continue"/>
            <w:tcBorders>
              <w:top w:val="nil"/>
              <w:left w:val="single" w:color="auto" w:sz="4" w:space="0"/>
              <w:bottom w:val="single" w:color="auto" w:sz="4" w:space="0"/>
              <w:right w:val="single" w:color="auto" w:sz="4" w:space="0"/>
            </w:tcBorders>
            <w:noWrap w:val="0"/>
            <w:vAlign w:val="center"/>
          </w:tcPr>
          <w:p w14:paraId="23DD5693">
            <w:pPr>
              <w:jc w:val="center"/>
              <w:rPr>
                <w:color w:val="auto"/>
                <w:sz w:val="20"/>
                <w:szCs w:val="20"/>
                <w:highlight w:val="none"/>
              </w:rPr>
            </w:pPr>
          </w:p>
        </w:tc>
        <w:tc>
          <w:tcPr>
            <w:tcW w:w="1384" w:type="dxa"/>
            <w:tcBorders>
              <w:top w:val="nil"/>
              <w:left w:val="nil"/>
              <w:bottom w:val="single" w:color="auto" w:sz="4" w:space="0"/>
              <w:right w:val="single" w:color="auto" w:sz="4" w:space="0"/>
            </w:tcBorders>
            <w:noWrap w:val="0"/>
            <w:vAlign w:val="center"/>
          </w:tcPr>
          <w:p w14:paraId="171A44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2302416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64DC5C7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40" w:type="dxa"/>
            <w:tcBorders>
              <w:top w:val="nil"/>
              <w:left w:val="nil"/>
              <w:bottom w:val="single" w:color="auto" w:sz="4" w:space="0"/>
              <w:right w:val="single" w:color="auto" w:sz="4" w:space="0"/>
            </w:tcBorders>
            <w:noWrap w:val="0"/>
            <w:vAlign w:val="center"/>
          </w:tcPr>
          <w:p w14:paraId="7C5B5C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231" w:type="dxa"/>
            <w:tcBorders>
              <w:top w:val="nil"/>
              <w:left w:val="nil"/>
              <w:bottom w:val="single" w:color="auto" w:sz="4" w:space="0"/>
              <w:right w:val="single" w:color="auto" w:sz="4" w:space="0"/>
            </w:tcBorders>
            <w:noWrap w:val="0"/>
            <w:vAlign w:val="center"/>
          </w:tcPr>
          <w:p w14:paraId="1A2063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203F624">
        <w:tblPrEx>
          <w:tblCellMar>
            <w:top w:w="0" w:type="dxa"/>
            <w:left w:w="108" w:type="dxa"/>
            <w:bottom w:w="0" w:type="dxa"/>
            <w:right w:w="108" w:type="dxa"/>
          </w:tblCellMar>
        </w:tblPrEx>
        <w:trPr>
          <w:trHeight w:val="225" w:hRule="atLeast"/>
          <w:jc w:val="center"/>
        </w:trPr>
        <w:tc>
          <w:tcPr>
            <w:tcW w:w="1702" w:type="dxa"/>
            <w:vMerge w:val="restart"/>
            <w:tcBorders>
              <w:top w:val="nil"/>
              <w:left w:val="single" w:color="auto" w:sz="4" w:space="0"/>
              <w:bottom w:val="single" w:color="auto" w:sz="4" w:space="0"/>
              <w:right w:val="single" w:color="auto" w:sz="4" w:space="0"/>
            </w:tcBorders>
            <w:noWrap w:val="0"/>
            <w:vAlign w:val="center"/>
          </w:tcPr>
          <w:p w14:paraId="3D1227C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noWrap w:val="0"/>
            <w:vAlign w:val="center"/>
          </w:tcPr>
          <w:p w14:paraId="265E1F7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04D6C0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1E437C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noWrap w:val="0"/>
            <w:vAlign w:val="center"/>
          </w:tcPr>
          <w:p w14:paraId="452E853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231" w:type="dxa"/>
            <w:tcBorders>
              <w:top w:val="nil"/>
              <w:left w:val="nil"/>
              <w:bottom w:val="single" w:color="auto" w:sz="4" w:space="0"/>
              <w:right w:val="single" w:color="auto" w:sz="4" w:space="0"/>
            </w:tcBorders>
            <w:noWrap w:val="0"/>
            <w:vAlign w:val="center"/>
          </w:tcPr>
          <w:p w14:paraId="7D0459C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297C6AA">
        <w:tblPrEx>
          <w:tblCellMar>
            <w:top w:w="0" w:type="dxa"/>
            <w:left w:w="108" w:type="dxa"/>
            <w:bottom w:w="0" w:type="dxa"/>
            <w:right w:w="108" w:type="dxa"/>
          </w:tblCellMar>
        </w:tblPrEx>
        <w:trPr>
          <w:trHeight w:val="225" w:hRule="atLeast"/>
          <w:jc w:val="center"/>
        </w:trPr>
        <w:tc>
          <w:tcPr>
            <w:tcW w:w="1702" w:type="dxa"/>
            <w:vMerge w:val="continue"/>
            <w:tcBorders>
              <w:top w:val="nil"/>
              <w:left w:val="single" w:color="auto" w:sz="4" w:space="0"/>
              <w:bottom w:val="single" w:color="auto" w:sz="4" w:space="0"/>
              <w:right w:val="single" w:color="auto" w:sz="4" w:space="0"/>
            </w:tcBorders>
            <w:noWrap w:val="0"/>
            <w:vAlign w:val="center"/>
          </w:tcPr>
          <w:p w14:paraId="7855056C">
            <w:pPr>
              <w:jc w:val="center"/>
              <w:rPr>
                <w:color w:val="auto"/>
                <w:sz w:val="20"/>
                <w:szCs w:val="20"/>
                <w:highlight w:val="none"/>
              </w:rPr>
            </w:pPr>
          </w:p>
        </w:tc>
        <w:tc>
          <w:tcPr>
            <w:tcW w:w="1384" w:type="dxa"/>
            <w:tcBorders>
              <w:top w:val="nil"/>
              <w:left w:val="nil"/>
              <w:bottom w:val="single" w:color="auto" w:sz="4" w:space="0"/>
              <w:right w:val="single" w:color="auto" w:sz="4" w:space="0"/>
            </w:tcBorders>
            <w:noWrap w:val="0"/>
            <w:vAlign w:val="center"/>
          </w:tcPr>
          <w:p w14:paraId="53BBD28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1E390C3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2C184E9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40" w:type="dxa"/>
            <w:tcBorders>
              <w:top w:val="nil"/>
              <w:left w:val="nil"/>
              <w:bottom w:val="single" w:color="auto" w:sz="4" w:space="0"/>
              <w:right w:val="single" w:color="auto" w:sz="4" w:space="0"/>
            </w:tcBorders>
            <w:noWrap w:val="0"/>
            <w:vAlign w:val="center"/>
          </w:tcPr>
          <w:p w14:paraId="08C4011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231" w:type="dxa"/>
            <w:tcBorders>
              <w:top w:val="nil"/>
              <w:left w:val="nil"/>
              <w:bottom w:val="single" w:color="auto" w:sz="4" w:space="0"/>
              <w:right w:val="single" w:color="auto" w:sz="4" w:space="0"/>
            </w:tcBorders>
            <w:noWrap w:val="0"/>
            <w:vAlign w:val="center"/>
          </w:tcPr>
          <w:p w14:paraId="225C229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2FAFE0CF">
        <w:tblPrEx>
          <w:tblCellMar>
            <w:top w:w="0" w:type="dxa"/>
            <w:left w:w="108" w:type="dxa"/>
            <w:bottom w:w="0" w:type="dxa"/>
            <w:right w:w="108" w:type="dxa"/>
          </w:tblCellMar>
        </w:tblPrEx>
        <w:trPr>
          <w:trHeight w:val="225" w:hRule="atLeast"/>
          <w:jc w:val="center"/>
        </w:trPr>
        <w:tc>
          <w:tcPr>
            <w:tcW w:w="1702" w:type="dxa"/>
            <w:vMerge w:val="restart"/>
            <w:tcBorders>
              <w:top w:val="nil"/>
              <w:left w:val="single" w:color="auto" w:sz="4" w:space="0"/>
              <w:bottom w:val="single" w:color="auto" w:sz="4" w:space="0"/>
              <w:right w:val="single" w:color="auto" w:sz="4" w:space="0"/>
            </w:tcBorders>
            <w:noWrap w:val="0"/>
            <w:vAlign w:val="center"/>
          </w:tcPr>
          <w:p w14:paraId="5EF46BB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noWrap w:val="0"/>
            <w:vAlign w:val="center"/>
          </w:tcPr>
          <w:p w14:paraId="1FEE66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791A38E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3B8416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5277AAA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231" w:type="dxa"/>
            <w:tcBorders>
              <w:top w:val="nil"/>
              <w:left w:val="nil"/>
              <w:bottom w:val="single" w:color="auto" w:sz="4" w:space="0"/>
              <w:right w:val="single" w:color="auto" w:sz="4" w:space="0"/>
            </w:tcBorders>
            <w:noWrap w:val="0"/>
            <w:vAlign w:val="center"/>
          </w:tcPr>
          <w:p w14:paraId="09050B3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7992CF6A">
        <w:tblPrEx>
          <w:tblCellMar>
            <w:top w:w="0" w:type="dxa"/>
            <w:left w:w="108" w:type="dxa"/>
            <w:bottom w:w="0" w:type="dxa"/>
            <w:right w:w="108" w:type="dxa"/>
          </w:tblCellMar>
        </w:tblPrEx>
        <w:trPr>
          <w:trHeight w:val="225" w:hRule="atLeast"/>
          <w:jc w:val="center"/>
        </w:trPr>
        <w:tc>
          <w:tcPr>
            <w:tcW w:w="1702" w:type="dxa"/>
            <w:vMerge w:val="continue"/>
            <w:tcBorders>
              <w:top w:val="nil"/>
              <w:left w:val="single" w:color="auto" w:sz="4" w:space="0"/>
              <w:bottom w:val="single" w:color="auto" w:sz="4" w:space="0"/>
              <w:right w:val="single" w:color="auto" w:sz="4" w:space="0"/>
            </w:tcBorders>
            <w:noWrap w:val="0"/>
            <w:vAlign w:val="center"/>
          </w:tcPr>
          <w:p w14:paraId="1AC10E78">
            <w:pPr>
              <w:jc w:val="center"/>
              <w:rPr>
                <w:color w:val="auto"/>
                <w:sz w:val="20"/>
                <w:szCs w:val="20"/>
                <w:highlight w:val="none"/>
              </w:rPr>
            </w:pPr>
          </w:p>
        </w:tc>
        <w:tc>
          <w:tcPr>
            <w:tcW w:w="1384" w:type="dxa"/>
            <w:tcBorders>
              <w:top w:val="nil"/>
              <w:left w:val="nil"/>
              <w:bottom w:val="single" w:color="auto" w:sz="4" w:space="0"/>
              <w:right w:val="single" w:color="auto" w:sz="4" w:space="0"/>
            </w:tcBorders>
            <w:noWrap w:val="0"/>
            <w:vAlign w:val="center"/>
          </w:tcPr>
          <w:p w14:paraId="7FD039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13F996A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499D31B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40" w:type="dxa"/>
            <w:tcBorders>
              <w:top w:val="nil"/>
              <w:left w:val="nil"/>
              <w:bottom w:val="single" w:color="auto" w:sz="4" w:space="0"/>
              <w:right w:val="single" w:color="auto" w:sz="4" w:space="0"/>
            </w:tcBorders>
            <w:noWrap w:val="0"/>
            <w:vAlign w:val="center"/>
          </w:tcPr>
          <w:p w14:paraId="098C23E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231" w:type="dxa"/>
            <w:tcBorders>
              <w:top w:val="nil"/>
              <w:left w:val="nil"/>
              <w:bottom w:val="single" w:color="auto" w:sz="4" w:space="0"/>
              <w:right w:val="single" w:color="auto" w:sz="4" w:space="0"/>
            </w:tcBorders>
            <w:noWrap w:val="0"/>
            <w:vAlign w:val="center"/>
          </w:tcPr>
          <w:p w14:paraId="3BC0F4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768786DA">
        <w:tblPrEx>
          <w:tblCellMar>
            <w:top w:w="0" w:type="dxa"/>
            <w:left w:w="108" w:type="dxa"/>
            <w:bottom w:w="0" w:type="dxa"/>
            <w:right w:w="108" w:type="dxa"/>
          </w:tblCellMar>
        </w:tblPrEx>
        <w:trPr>
          <w:trHeight w:val="225" w:hRule="atLeast"/>
          <w:jc w:val="center"/>
        </w:trPr>
        <w:tc>
          <w:tcPr>
            <w:tcW w:w="1702" w:type="dxa"/>
            <w:vMerge w:val="restart"/>
            <w:tcBorders>
              <w:top w:val="nil"/>
              <w:left w:val="single" w:color="auto" w:sz="4" w:space="0"/>
              <w:bottom w:val="single" w:color="auto" w:sz="4" w:space="0"/>
              <w:right w:val="single" w:color="auto" w:sz="4" w:space="0"/>
            </w:tcBorders>
            <w:noWrap w:val="0"/>
            <w:vAlign w:val="center"/>
          </w:tcPr>
          <w:p w14:paraId="3431A76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noWrap w:val="0"/>
            <w:vAlign w:val="center"/>
          </w:tcPr>
          <w:p w14:paraId="73C6EB4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165DC56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2158916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2207100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231" w:type="dxa"/>
            <w:tcBorders>
              <w:top w:val="nil"/>
              <w:left w:val="nil"/>
              <w:bottom w:val="single" w:color="auto" w:sz="4" w:space="0"/>
              <w:right w:val="single" w:color="auto" w:sz="4" w:space="0"/>
            </w:tcBorders>
            <w:noWrap w:val="0"/>
            <w:vAlign w:val="center"/>
          </w:tcPr>
          <w:p w14:paraId="10FFA37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37C6B71">
        <w:tblPrEx>
          <w:tblCellMar>
            <w:top w:w="0" w:type="dxa"/>
            <w:left w:w="108" w:type="dxa"/>
            <w:bottom w:w="0" w:type="dxa"/>
            <w:right w:w="108" w:type="dxa"/>
          </w:tblCellMar>
        </w:tblPrEx>
        <w:trPr>
          <w:trHeight w:val="225" w:hRule="atLeast"/>
          <w:jc w:val="center"/>
        </w:trPr>
        <w:tc>
          <w:tcPr>
            <w:tcW w:w="1702" w:type="dxa"/>
            <w:vMerge w:val="continue"/>
            <w:tcBorders>
              <w:top w:val="nil"/>
              <w:left w:val="single" w:color="auto" w:sz="4" w:space="0"/>
              <w:bottom w:val="single" w:color="auto" w:sz="4" w:space="0"/>
              <w:right w:val="single" w:color="auto" w:sz="4" w:space="0"/>
            </w:tcBorders>
            <w:noWrap w:val="0"/>
            <w:vAlign w:val="center"/>
          </w:tcPr>
          <w:p w14:paraId="381D5E63">
            <w:pPr>
              <w:jc w:val="center"/>
              <w:rPr>
                <w:color w:val="auto"/>
                <w:sz w:val="20"/>
                <w:szCs w:val="20"/>
                <w:highlight w:val="none"/>
              </w:rPr>
            </w:pPr>
          </w:p>
        </w:tc>
        <w:tc>
          <w:tcPr>
            <w:tcW w:w="1384" w:type="dxa"/>
            <w:tcBorders>
              <w:top w:val="nil"/>
              <w:left w:val="nil"/>
              <w:bottom w:val="single" w:color="auto" w:sz="4" w:space="0"/>
              <w:right w:val="single" w:color="auto" w:sz="4" w:space="0"/>
            </w:tcBorders>
            <w:noWrap w:val="0"/>
            <w:vAlign w:val="center"/>
          </w:tcPr>
          <w:p w14:paraId="5F4939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5AA0AD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77BA201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noWrap w:val="0"/>
            <w:vAlign w:val="center"/>
          </w:tcPr>
          <w:p w14:paraId="5E42A9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231" w:type="dxa"/>
            <w:tcBorders>
              <w:top w:val="nil"/>
              <w:left w:val="nil"/>
              <w:bottom w:val="single" w:color="auto" w:sz="4" w:space="0"/>
              <w:right w:val="single" w:color="auto" w:sz="4" w:space="0"/>
            </w:tcBorders>
            <w:noWrap w:val="0"/>
            <w:vAlign w:val="center"/>
          </w:tcPr>
          <w:p w14:paraId="5716B9D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A34C22F">
        <w:tblPrEx>
          <w:tblCellMar>
            <w:top w:w="0" w:type="dxa"/>
            <w:left w:w="108" w:type="dxa"/>
            <w:bottom w:w="0" w:type="dxa"/>
            <w:right w:w="108" w:type="dxa"/>
          </w:tblCellMar>
        </w:tblPrEx>
        <w:trPr>
          <w:trHeight w:val="225" w:hRule="atLeast"/>
          <w:jc w:val="center"/>
        </w:trPr>
        <w:tc>
          <w:tcPr>
            <w:tcW w:w="1702" w:type="dxa"/>
            <w:tcBorders>
              <w:top w:val="nil"/>
              <w:left w:val="single" w:color="auto" w:sz="4" w:space="0"/>
              <w:bottom w:val="single" w:color="auto" w:sz="4" w:space="0"/>
              <w:right w:val="single" w:color="auto" w:sz="4" w:space="0"/>
            </w:tcBorders>
            <w:noWrap w:val="0"/>
            <w:vAlign w:val="center"/>
          </w:tcPr>
          <w:p w14:paraId="6CD6512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noWrap w:val="0"/>
            <w:vAlign w:val="center"/>
          </w:tcPr>
          <w:p w14:paraId="56FB186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546E53B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46AFDE9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0FF746F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231" w:type="dxa"/>
            <w:tcBorders>
              <w:top w:val="nil"/>
              <w:left w:val="nil"/>
              <w:bottom w:val="single" w:color="auto" w:sz="4" w:space="0"/>
              <w:right w:val="single" w:color="auto" w:sz="4" w:space="0"/>
            </w:tcBorders>
            <w:noWrap w:val="0"/>
            <w:vAlign w:val="center"/>
          </w:tcPr>
          <w:p w14:paraId="6EEFA84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2E103A30">
      <w:pPr>
        <w:spacing w:line="360" w:lineRule="auto"/>
        <w:ind w:firstLine="525" w:firstLineChars="250"/>
        <w:rPr>
          <w:color w:val="auto"/>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3174523">
      <w:pPr>
        <w:pStyle w:val="31"/>
        <w:spacing w:line="440" w:lineRule="exact"/>
        <w:jc w:val="right"/>
        <w:rPr>
          <w:rFonts w:hint="eastAsia" w:asciiTheme="minorEastAsia" w:hAnsiTheme="minorEastAsia" w:eastAsiaTheme="minorEastAsia" w:cstheme="minorEastAsia"/>
          <w:color w:val="auto"/>
          <w:sz w:val="21"/>
          <w:szCs w:val="21"/>
          <w:highlight w:val="none"/>
        </w:rPr>
      </w:pPr>
    </w:p>
    <w:p w14:paraId="3482157D">
      <w:pPr>
        <w:pStyle w:val="31"/>
        <w:spacing w:line="460" w:lineRule="exact"/>
        <w:ind w:firstLine="420" w:firstLineChars="200"/>
        <w:jc w:val="center"/>
        <w:outlineLvl w:val="0"/>
        <w:rPr>
          <w:rFonts w:asciiTheme="minorEastAsia" w:hAnsiTheme="minorEastAsia" w:eastAsiaTheme="minorEastAsia" w:cstheme="minorEastAsia"/>
          <w:b/>
          <w:bCs/>
          <w:color w:val="auto"/>
          <w:sz w:val="32"/>
          <w:szCs w:val="32"/>
          <w:highlight w:val="none"/>
        </w:rPr>
      </w:pPr>
      <w:r>
        <w:rPr>
          <w:rFonts w:hint="eastAsia"/>
          <w:color w:val="auto"/>
          <w:sz w:val="21"/>
          <w:szCs w:val="21"/>
          <w:highlight w:val="none"/>
        </w:rPr>
        <w:br w:type="page"/>
      </w:r>
      <w:bookmarkStart w:id="84" w:name="_Toc26671"/>
      <w:bookmarkStart w:id="85" w:name="_Toc6246"/>
      <w:bookmarkStart w:id="86" w:name="_Toc13283"/>
      <w:r>
        <w:rPr>
          <w:rFonts w:hint="eastAsia" w:asciiTheme="minorEastAsia" w:hAnsiTheme="minorEastAsia" w:eastAsiaTheme="minorEastAsia" w:cstheme="minorEastAsia"/>
          <w:b/>
          <w:bCs/>
          <w:color w:val="auto"/>
          <w:sz w:val="32"/>
          <w:szCs w:val="32"/>
          <w:highlight w:val="none"/>
        </w:rPr>
        <w:t>第</w:t>
      </w:r>
      <w:r>
        <w:rPr>
          <w:rFonts w:hint="eastAsia" w:asciiTheme="minorEastAsia" w:hAnsiTheme="minorEastAsia" w:eastAsiaTheme="minorEastAsia" w:cstheme="minorEastAsia"/>
          <w:b/>
          <w:bCs/>
          <w:color w:val="auto"/>
          <w:sz w:val="32"/>
          <w:szCs w:val="32"/>
          <w:highlight w:val="none"/>
          <w:lang w:eastAsia="zh-CN"/>
        </w:rPr>
        <w:t>三</w:t>
      </w:r>
      <w:r>
        <w:rPr>
          <w:rFonts w:hint="eastAsia" w:asciiTheme="minorEastAsia" w:hAnsiTheme="minorEastAsia" w:eastAsiaTheme="minorEastAsia" w:cstheme="minorEastAsia"/>
          <w:b/>
          <w:bCs/>
          <w:color w:val="auto"/>
          <w:sz w:val="32"/>
          <w:szCs w:val="32"/>
          <w:highlight w:val="none"/>
        </w:rPr>
        <w:t>章  供应商须知</w:t>
      </w:r>
      <w:bookmarkEnd w:id="0"/>
      <w:bookmarkEnd w:id="1"/>
      <w:bookmarkEnd w:id="84"/>
      <w:bookmarkEnd w:id="85"/>
      <w:bookmarkEnd w:id="86"/>
    </w:p>
    <w:p w14:paraId="2A4D33BA">
      <w:pPr>
        <w:pStyle w:val="4"/>
        <w:spacing w:line="460" w:lineRule="exact"/>
        <w:jc w:val="center"/>
        <w:rPr>
          <w:color w:val="auto"/>
          <w:highlight w:val="none"/>
        </w:rPr>
      </w:pPr>
      <w:bookmarkStart w:id="87" w:name="_Toc25063"/>
      <w:bookmarkStart w:id="88" w:name="_Toc15649"/>
      <w:bookmarkStart w:id="89" w:name="_Toc3253"/>
      <w:bookmarkStart w:id="90" w:name="_Toc13547"/>
      <w:bookmarkStart w:id="91" w:name="_Toc9508"/>
      <w:r>
        <w:rPr>
          <w:rFonts w:hint="eastAsia" w:ascii="宋体" w:hAnsi="宋体" w:cs="宋体"/>
          <w:b/>
          <w:bCs w:val="0"/>
          <w:color w:val="auto"/>
          <w:sz w:val="24"/>
          <w:szCs w:val="24"/>
          <w:highlight w:val="none"/>
        </w:rPr>
        <w:t>供应商须知前附表</w:t>
      </w:r>
      <w:bookmarkEnd w:id="87"/>
      <w:bookmarkEnd w:id="88"/>
      <w:bookmarkEnd w:id="89"/>
      <w:bookmarkEnd w:id="90"/>
      <w:bookmarkEnd w:id="91"/>
    </w:p>
    <w:tbl>
      <w:tblPr>
        <w:tblStyle w:val="22"/>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57"/>
        <w:gridCol w:w="1560"/>
        <w:gridCol w:w="6405"/>
      </w:tblGrid>
      <w:tr w14:paraId="700B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jc w:val="center"/>
        </w:trPr>
        <w:tc>
          <w:tcPr>
            <w:tcW w:w="662" w:type="dxa"/>
            <w:shd w:val="clear" w:color="auto" w:fill="FFFFFF" w:themeFill="background1"/>
            <w:vAlign w:val="center"/>
          </w:tcPr>
          <w:p w14:paraId="11CF48D5">
            <w:pPr>
              <w:spacing w:line="46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157" w:type="dxa"/>
            <w:shd w:val="clear" w:color="auto" w:fill="FFFFFF" w:themeFill="background1"/>
            <w:vAlign w:val="center"/>
          </w:tcPr>
          <w:p w14:paraId="2C73FEEE">
            <w:pPr>
              <w:spacing w:line="4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条款号</w:t>
            </w:r>
          </w:p>
        </w:tc>
        <w:tc>
          <w:tcPr>
            <w:tcW w:w="1560" w:type="dxa"/>
            <w:shd w:val="clear" w:color="auto" w:fill="FFFFFF" w:themeFill="background1"/>
            <w:vAlign w:val="center"/>
          </w:tcPr>
          <w:p w14:paraId="4C2025D9">
            <w:pPr>
              <w:spacing w:line="4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条款名称</w:t>
            </w:r>
          </w:p>
        </w:tc>
        <w:tc>
          <w:tcPr>
            <w:tcW w:w="6405" w:type="dxa"/>
            <w:shd w:val="clear" w:color="auto" w:fill="FFFFFF" w:themeFill="background1"/>
            <w:vAlign w:val="center"/>
          </w:tcPr>
          <w:p w14:paraId="6621D7C1">
            <w:pPr>
              <w:spacing w:line="460" w:lineRule="exact"/>
              <w:jc w:val="center"/>
              <w:rPr>
                <w:rFonts w:ascii="宋体" w:hAnsi="宋体" w:cs="宋体"/>
                <w:b/>
                <w:bCs/>
                <w:color w:val="auto"/>
                <w:szCs w:val="21"/>
                <w:highlight w:val="none"/>
              </w:rPr>
            </w:pPr>
            <w:r>
              <w:rPr>
                <w:rFonts w:hint="eastAsia" w:ascii="宋体" w:hAnsi="宋体" w:cs="宋体"/>
                <w:b/>
                <w:bCs/>
                <w:color w:val="auto"/>
                <w:szCs w:val="21"/>
                <w:highlight w:val="none"/>
              </w:rPr>
              <w:t>内容、要求</w:t>
            </w:r>
          </w:p>
        </w:tc>
      </w:tr>
      <w:tr w14:paraId="40B5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14:paraId="39FE2440">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157" w:type="dxa"/>
            <w:vAlign w:val="center"/>
          </w:tcPr>
          <w:p w14:paraId="70C0888D">
            <w:pPr>
              <w:spacing w:line="460" w:lineRule="exact"/>
              <w:jc w:val="center"/>
              <w:rPr>
                <w:rFonts w:ascii="宋体" w:hAnsi="宋体" w:cs="宋体"/>
                <w:color w:val="auto"/>
                <w:szCs w:val="21"/>
                <w:highlight w:val="none"/>
              </w:rPr>
            </w:pPr>
          </w:p>
        </w:tc>
        <w:tc>
          <w:tcPr>
            <w:tcW w:w="1560" w:type="dxa"/>
            <w:vAlign w:val="center"/>
          </w:tcPr>
          <w:p w14:paraId="41F4C648">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项目名称及项目编号</w:t>
            </w:r>
          </w:p>
        </w:tc>
        <w:tc>
          <w:tcPr>
            <w:tcW w:w="6405" w:type="dxa"/>
            <w:vAlign w:val="center"/>
          </w:tcPr>
          <w:p w14:paraId="2ADC7A23">
            <w:pPr>
              <w:spacing w:line="460" w:lineRule="exact"/>
              <w:rPr>
                <w:rFonts w:hint="eastAsia" w:ascii="宋体" w:hAnsi="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防城港职业技术学院供水管道维修工程（二期）</w:t>
            </w:r>
          </w:p>
          <w:p w14:paraId="5BA5E83B">
            <w:pPr>
              <w:spacing w:line="460" w:lineRule="exact"/>
              <w:rPr>
                <w:rFonts w:hint="eastAsia" w:ascii="宋体" w:hAnsi="宋体" w:eastAsia="宋体" w:cs="宋体"/>
                <w:color w:val="auto"/>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FCZC2025-C2-990043-GXJT</w:t>
            </w:r>
          </w:p>
        </w:tc>
      </w:tr>
      <w:tr w14:paraId="7DDB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2AACCC50">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157" w:type="dxa"/>
            <w:vAlign w:val="center"/>
          </w:tcPr>
          <w:p w14:paraId="4DBF2C47">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560" w:type="dxa"/>
            <w:vAlign w:val="center"/>
          </w:tcPr>
          <w:p w14:paraId="757A8A4E">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供应商资格</w:t>
            </w:r>
          </w:p>
        </w:tc>
        <w:tc>
          <w:tcPr>
            <w:tcW w:w="6405" w:type="dxa"/>
            <w:vAlign w:val="center"/>
          </w:tcPr>
          <w:p w14:paraId="19EBFF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5035C9FA">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2、落实政府采购政策需满足的资格要求：</w:t>
            </w:r>
            <w:r>
              <w:rPr>
                <w:rFonts w:hint="eastAsia" w:ascii="宋体" w:hAnsi="宋体"/>
                <w:color w:val="auto"/>
                <w:szCs w:val="21"/>
                <w:highlight w:val="none"/>
              </w:rPr>
              <w:t>本项目为专门面向</w:t>
            </w:r>
            <w:r>
              <w:rPr>
                <w:rFonts w:hint="eastAsia" w:ascii="宋体" w:hAnsi="宋体"/>
                <w:color w:val="auto"/>
                <w:szCs w:val="21"/>
                <w:highlight w:val="none"/>
                <w:lang w:eastAsia="zh-CN"/>
              </w:rPr>
              <w:t>小微</w:t>
            </w:r>
            <w:r>
              <w:rPr>
                <w:rFonts w:hint="eastAsia" w:ascii="宋体" w:hAnsi="宋体"/>
                <w:color w:val="auto"/>
                <w:szCs w:val="21"/>
                <w:highlight w:val="none"/>
              </w:rPr>
              <w:t>企业采购的项目【供应商应为小微企业（所属行业为：建筑业）或监狱企业或残疾人福利性单位】；</w:t>
            </w:r>
          </w:p>
          <w:p w14:paraId="3CBA2B41">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3、本项目的特定资格要求：</w:t>
            </w:r>
            <w:r>
              <w:rPr>
                <w:rFonts w:hint="eastAsia" w:ascii="宋体" w:hAnsi="宋体" w:cs="宋体"/>
                <w:bCs/>
                <w:color w:val="auto"/>
                <w:szCs w:val="21"/>
                <w:highlight w:val="none"/>
              </w:rPr>
              <w:t>具备“市政</w:t>
            </w:r>
            <w:r>
              <w:rPr>
                <w:rFonts w:hint="eastAsia" w:ascii="宋体" w:hAnsi="宋体" w:cs="宋体"/>
                <w:bCs/>
                <w:color w:val="auto"/>
                <w:szCs w:val="21"/>
                <w:highlight w:val="none"/>
                <w:lang w:val="en-US" w:eastAsia="zh-CN"/>
              </w:rPr>
              <w:t>公用</w:t>
            </w:r>
            <w:r>
              <w:rPr>
                <w:rFonts w:hint="eastAsia" w:ascii="宋体" w:hAnsi="宋体" w:cs="宋体"/>
                <w:bCs/>
                <w:color w:val="auto"/>
                <w:szCs w:val="21"/>
                <w:highlight w:val="none"/>
              </w:rPr>
              <w:t>工程施工总承包”三级以上（含三级）资质，</w:t>
            </w:r>
            <w:r>
              <w:rPr>
                <w:rFonts w:hint="eastAsia" w:ascii="宋体" w:hAnsi="宋体" w:cs="宋体"/>
                <w:color w:val="auto"/>
                <w:highlight w:val="none"/>
              </w:rPr>
              <w:t>且在人员、设备、资金等方面具备相应的施工能力。项目经理要求为:市政</w:t>
            </w:r>
            <w:r>
              <w:rPr>
                <w:rFonts w:hint="eastAsia" w:ascii="宋体" w:hAnsi="宋体" w:cs="宋体"/>
                <w:color w:val="auto"/>
                <w:highlight w:val="none"/>
                <w:lang w:val="en-US" w:eastAsia="zh-CN"/>
              </w:rPr>
              <w:t>公用</w:t>
            </w:r>
            <w:r>
              <w:rPr>
                <w:rFonts w:hint="eastAsia" w:ascii="宋体" w:hAnsi="宋体" w:cs="宋体"/>
                <w:color w:val="auto"/>
                <w:highlight w:val="none"/>
              </w:rPr>
              <w:t>工程专业注册建造师二级以上(含二级)资格，具备有效的考核合格证书(B类)。</w:t>
            </w:r>
          </w:p>
          <w:p w14:paraId="3030B7FC">
            <w:pPr>
              <w:spacing w:line="360" w:lineRule="auto"/>
              <w:ind w:firstLine="539" w:firstLineChars="257"/>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 单位负责人为同一人或者存在直接控股、管理关系的不同供应商，不得参加同一合同项下的政府采购活动。</w:t>
            </w:r>
            <w:r>
              <w:rPr>
                <w:rFonts w:hint="eastAsia" w:ascii="宋体" w:hAnsi="宋体" w:cs="宋体"/>
                <w:color w:val="auto"/>
                <w:highlight w:val="none"/>
              </w:rPr>
              <w:t>除单一来源采购项目外，</w:t>
            </w:r>
            <w:r>
              <w:rPr>
                <w:rFonts w:ascii="宋体" w:hAnsi="宋体" w:cs="宋体"/>
                <w:color w:val="auto"/>
                <w:szCs w:val="21"/>
                <w:highlight w:val="none"/>
              </w:rPr>
              <w:t>为本项目提供过整体设计、规范编制或者项目管理、监理、检测等服务的供应商，不得再参加本项目上述服务以外的</w:t>
            </w:r>
            <w:r>
              <w:rPr>
                <w:rFonts w:hint="eastAsia" w:ascii="宋体" w:hAnsi="宋体" w:cs="宋体"/>
                <w:color w:val="auto"/>
                <w:szCs w:val="21"/>
                <w:highlight w:val="none"/>
              </w:rPr>
              <w:t>其他</w:t>
            </w:r>
            <w:r>
              <w:rPr>
                <w:rFonts w:ascii="宋体" w:hAnsi="宋体" w:cs="宋体"/>
                <w:color w:val="auto"/>
                <w:szCs w:val="21"/>
                <w:highlight w:val="none"/>
              </w:rPr>
              <w:t>采购活动。</w:t>
            </w:r>
          </w:p>
          <w:p w14:paraId="23821F08">
            <w:pPr>
              <w:spacing w:line="360" w:lineRule="auto"/>
              <w:ind w:firstLine="539" w:firstLineChars="257"/>
              <w:rPr>
                <w:color w:val="auto"/>
                <w:highlight w:val="none"/>
              </w:rPr>
            </w:pPr>
            <w:r>
              <w:rPr>
                <w:rFonts w:hint="eastAsia" w:ascii="宋体" w:hAnsi="宋体" w:cs="宋体"/>
                <w:color w:val="auto"/>
                <w:szCs w:val="21"/>
                <w:highlight w:val="none"/>
              </w:rPr>
              <w:t>5</w:t>
            </w:r>
            <w:r>
              <w:rPr>
                <w:rFonts w:ascii="宋体" w:hAnsi="宋体" w:cs="宋体"/>
                <w:color w:val="auto"/>
                <w:szCs w:val="21"/>
                <w:highlight w:val="none"/>
              </w:rPr>
              <w:t>. 对在“信用中国”网站、中国政府采购网被列入失信被执行人、重大税收违法案件当事人名单、政府采购严重违法失信行为记录名单及</w:t>
            </w:r>
            <w:r>
              <w:rPr>
                <w:rFonts w:hint="eastAsia" w:ascii="宋体" w:hAnsi="宋体" w:cs="宋体"/>
                <w:color w:val="auto"/>
                <w:szCs w:val="21"/>
                <w:highlight w:val="none"/>
              </w:rPr>
              <w:t>其他</w:t>
            </w:r>
            <w:r>
              <w:rPr>
                <w:rFonts w:ascii="宋体" w:hAnsi="宋体" w:cs="宋体"/>
                <w:color w:val="auto"/>
                <w:szCs w:val="21"/>
                <w:highlight w:val="none"/>
              </w:rPr>
              <w:t>不符合《中华人民共和国政府采购法》第二十二条规定条件的供应商，不得参与政府采购活动。</w:t>
            </w:r>
          </w:p>
        </w:tc>
      </w:tr>
      <w:tr w14:paraId="6743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14:paraId="3E808B36">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157" w:type="dxa"/>
            <w:vAlign w:val="center"/>
          </w:tcPr>
          <w:p w14:paraId="6C78C961">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560" w:type="dxa"/>
            <w:vAlign w:val="center"/>
          </w:tcPr>
          <w:p w14:paraId="57DB3FF7">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磋商费用</w:t>
            </w:r>
          </w:p>
        </w:tc>
        <w:tc>
          <w:tcPr>
            <w:tcW w:w="6405" w:type="dxa"/>
            <w:vAlign w:val="center"/>
          </w:tcPr>
          <w:p w14:paraId="53C24A99">
            <w:pPr>
              <w:spacing w:line="460" w:lineRule="exact"/>
              <w:rPr>
                <w:rFonts w:ascii="宋体" w:hAnsi="宋体" w:cs="宋体"/>
                <w:color w:val="auto"/>
                <w:szCs w:val="21"/>
                <w:highlight w:val="none"/>
              </w:rPr>
            </w:pPr>
            <w:r>
              <w:rPr>
                <w:rFonts w:hint="eastAsia" w:ascii="宋体" w:hAnsi="宋体" w:cs="宋体"/>
                <w:color w:val="auto"/>
                <w:szCs w:val="21"/>
                <w:highlight w:val="none"/>
              </w:rPr>
              <w:t xml:space="preserve">不论磋商结果如何，供应商均应自行承担所有与磋商有关的全部费用。 </w:t>
            </w:r>
          </w:p>
        </w:tc>
      </w:tr>
      <w:tr w14:paraId="0245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14:paraId="7E7ED87A">
            <w:pPr>
              <w:spacing w:line="4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157" w:type="dxa"/>
            <w:vAlign w:val="center"/>
          </w:tcPr>
          <w:p w14:paraId="723C63ED">
            <w:pPr>
              <w:spacing w:line="4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11.2.1.1</w:t>
            </w:r>
          </w:p>
        </w:tc>
        <w:tc>
          <w:tcPr>
            <w:tcW w:w="1560" w:type="dxa"/>
            <w:vAlign w:val="center"/>
          </w:tcPr>
          <w:p w14:paraId="6D9AF2CC">
            <w:pPr>
              <w:spacing w:line="460" w:lineRule="exact"/>
              <w:jc w:val="center"/>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资格证明</w:t>
            </w:r>
            <w:r>
              <w:rPr>
                <w:rFonts w:hint="eastAsia" w:ascii="宋体" w:hAnsi="宋体" w:cs="宋体"/>
                <w:b/>
                <w:bCs/>
                <w:color w:val="auto"/>
                <w:szCs w:val="21"/>
                <w:highlight w:val="none"/>
                <w:lang w:eastAsia="zh-CN"/>
              </w:rPr>
              <w:t>文件</w:t>
            </w:r>
          </w:p>
        </w:tc>
        <w:tc>
          <w:tcPr>
            <w:tcW w:w="6405" w:type="dxa"/>
            <w:vAlign w:val="center"/>
          </w:tcPr>
          <w:p w14:paraId="0C759C2E">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）供应商的法人或者其他组织营业执照等证明文件复印件</w:t>
            </w:r>
            <w:r>
              <w:rPr>
                <w:rFonts w:hint="eastAsia" w:ascii="宋体" w:hAnsi="宋体" w:cs="宋体"/>
                <w:b/>
                <w:bCs/>
                <w:color w:val="auto"/>
                <w:szCs w:val="21"/>
                <w:highlight w:val="none"/>
              </w:rPr>
              <w:t>（必须提供，自然人除外）；</w:t>
            </w:r>
          </w:p>
          <w:p w14:paraId="68934FBA">
            <w:pPr>
              <w:spacing w:line="46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EB88DAB">
            <w:pPr>
              <w:numPr>
                <w:ilvl w:val="0"/>
                <w:numId w:val="0"/>
              </w:numPr>
              <w:spacing w:line="360" w:lineRule="auto"/>
              <w:ind w:firstLine="420" w:firstLineChars="200"/>
              <w:jc w:val="left"/>
              <w:rPr>
                <w:rFonts w:hint="eastAsia" w:ascii="宋体" w:cs="宋体"/>
                <w:b/>
                <w:bCs/>
                <w:color w:val="auto"/>
                <w:szCs w:val="21"/>
                <w:highlight w:val="none"/>
              </w:rPr>
            </w:pPr>
            <w:r>
              <w:rPr>
                <w:rFonts w:hint="eastAsia" w:ascii="宋体" w:hAnsi="Times New Roman" w:eastAsia="宋体" w:cs="宋体"/>
                <w:b w:val="0"/>
                <w:bCs w:val="0"/>
                <w:color w:val="auto"/>
                <w:kern w:val="2"/>
                <w:sz w:val="21"/>
                <w:szCs w:val="21"/>
                <w:highlight w:val="none"/>
                <w:lang w:val="en-US" w:eastAsia="zh-CN" w:bidi="ar-SA"/>
              </w:rPr>
              <w:t>（2）</w:t>
            </w:r>
            <w:r>
              <w:rPr>
                <w:rFonts w:hint="eastAsia" w:ascii="宋体" w:cs="宋体"/>
                <w:color w:val="auto"/>
                <w:szCs w:val="21"/>
                <w:highlight w:val="none"/>
              </w:rPr>
              <w:t>防城港市政府采购供应商信用承诺函（格式后附）；</w:t>
            </w:r>
            <w:r>
              <w:rPr>
                <w:rFonts w:hint="eastAsia" w:ascii="宋体" w:cs="宋体"/>
                <w:b/>
                <w:bCs/>
                <w:color w:val="auto"/>
                <w:szCs w:val="21"/>
                <w:highlight w:val="none"/>
              </w:rPr>
              <w:t>（必须提供，否则响应文件作无效响应处理）</w:t>
            </w:r>
          </w:p>
          <w:p w14:paraId="2CFB448F">
            <w:pPr>
              <w:numPr>
                <w:ilvl w:val="0"/>
                <w:numId w:val="0"/>
              </w:numPr>
              <w:spacing w:line="360" w:lineRule="auto"/>
              <w:ind w:firstLine="420" w:firstLineChars="200"/>
              <w:jc w:val="left"/>
              <w:rPr>
                <w:rFonts w:hint="eastAsia" w:ascii="宋体" w:cs="宋体"/>
                <w:b/>
                <w:bCs/>
                <w:color w:val="auto"/>
                <w:szCs w:val="21"/>
                <w:highlight w:val="none"/>
              </w:rPr>
            </w:pPr>
            <w:r>
              <w:rPr>
                <w:rFonts w:hint="eastAsia" w:ascii="宋体" w:hAnsi="Times New Roman" w:eastAsia="宋体" w:cs="宋体"/>
                <w:b w:val="0"/>
                <w:bCs w:val="0"/>
                <w:color w:val="auto"/>
                <w:kern w:val="2"/>
                <w:sz w:val="21"/>
                <w:szCs w:val="21"/>
                <w:highlight w:val="none"/>
                <w:lang w:val="en-US" w:eastAsia="zh-CN" w:bidi="ar-SA"/>
              </w:rPr>
              <w:t>（3）</w:t>
            </w:r>
            <w:r>
              <w:rPr>
                <w:rFonts w:hint="eastAsia" w:ascii="宋体" w:cs="宋体"/>
                <w:b w:val="0"/>
                <w:bCs w:val="0"/>
                <w:color w:val="auto"/>
                <w:szCs w:val="21"/>
                <w:highlight w:val="none"/>
              </w:rPr>
              <w:t>供应商直接控股、管理关系信息表；</w:t>
            </w:r>
            <w:r>
              <w:rPr>
                <w:rFonts w:hint="eastAsia" w:ascii="宋体" w:cs="宋体"/>
                <w:b/>
                <w:bCs/>
                <w:color w:val="auto"/>
                <w:szCs w:val="21"/>
                <w:highlight w:val="none"/>
              </w:rPr>
              <w:t>（必须提供，否则响应文件按无效响应处理）</w:t>
            </w:r>
          </w:p>
          <w:p w14:paraId="3E27120D">
            <w:pPr>
              <w:numPr>
                <w:ilvl w:val="0"/>
                <w:numId w:val="0"/>
              </w:numPr>
              <w:spacing w:line="360" w:lineRule="auto"/>
              <w:ind w:firstLine="420" w:firstLineChars="200"/>
              <w:jc w:val="left"/>
              <w:rPr>
                <w:rFonts w:hint="eastAsia" w:ascii="宋体" w:eastAsia="宋体" w:cs="宋体"/>
                <w:b/>
                <w:bCs/>
                <w:color w:val="auto"/>
                <w:szCs w:val="21"/>
                <w:highlight w:val="none"/>
                <w:lang w:eastAsia="zh-CN"/>
              </w:rPr>
            </w:pPr>
            <w:r>
              <w:rPr>
                <w:rFonts w:hint="eastAsia" w:ascii="宋体" w:cs="宋体"/>
                <w:b w:val="0"/>
                <w:bCs w:val="0"/>
                <w:color w:val="auto"/>
                <w:szCs w:val="21"/>
                <w:highlight w:val="none"/>
                <w:lang w:eastAsia="zh-CN"/>
              </w:rPr>
              <w:t>（</w:t>
            </w:r>
            <w:r>
              <w:rPr>
                <w:rFonts w:hint="eastAsia" w:ascii="宋体" w:cs="宋体"/>
                <w:b w:val="0"/>
                <w:bCs w:val="0"/>
                <w:color w:val="auto"/>
                <w:szCs w:val="21"/>
                <w:highlight w:val="none"/>
                <w:lang w:val="en-US" w:eastAsia="zh-CN"/>
              </w:rPr>
              <w:t>4</w:t>
            </w:r>
            <w:r>
              <w:rPr>
                <w:rFonts w:hint="eastAsia" w:ascii="宋体" w:cs="宋体"/>
                <w:b w:val="0"/>
                <w:bCs w:val="0"/>
                <w:color w:val="auto"/>
                <w:szCs w:val="21"/>
                <w:highlight w:val="none"/>
                <w:lang w:eastAsia="zh-CN"/>
              </w:rPr>
              <w:t>）资格声明函；</w:t>
            </w:r>
            <w:r>
              <w:rPr>
                <w:rFonts w:hint="eastAsia" w:ascii="宋体" w:cs="宋体"/>
                <w:b/>
                <w:bCs/>
                <w:color w:val="auto"/>
                <w:szCs w:val="21"/>
                <w:highlight w:val="none"/>
                <w:lang w:eastAsia="zh-CN"/>
              </w:rPr>
              <w:t>（必须提供，否则响应文件按无效响应处理）</w:t>
            </w:r>
          </w:p>
          <w:p w14:paraId="2110AE7B">
            <w:pPr>
              <w:tabs>
                <w:tab w:val="left" w:pos="1305"/>
              </w:tabs>
              <w:spacing w:line="500" w:lineRule="exact"/>
              <w:ind w:firstLine="420" w:firstLineChars="200"/>
              <w:rPr>
                <w:rFonts w:hint="eastAsia" w:ascii="宋体" w:hAnsi="宋体" w:eastAsia="宋体" w:cs="宋体"/>
                <w:b/>
                <w:bCs/>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）建设工程项目管理承诺书；</w:t>
            </w:r>
            <w:r>
              <w:rPr>
                <w:rFonts w:hint="eastAsia" w:ascii="宋体" w:hAnsi="宋体" w:cs="宋体"/>
                <w:b/>
                <w:bCs/>
                <w:color w:val="auto"/>
                <w:szCs w:val="21"/>
                <w:highlight w:val="none"/>
                <w:lang w:eastAsia="zh-CN"/>
              </w:rPr>
              <w:t>(必须提供，否则按无效投标处理)</w:t>
            </w:r>
          </w:p>
          <w:p w14:paraId="6D150030">
            <w:pPr>
              <w:spacing w:line="460" w:lineRule="exact"/>
              <w:ind w:firstLine="420" w:firstLineChars="200"/>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）供应商有效的资质证书及安全生产许可证副本复印件</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必须提供，否则按无效投标处理</w:t>
            </w:r>
            <w:r>
              <w:rPr>
                <w:rFonts w:hint="eastAsia" w:ascii="宋体" w:hAnsi="宋体" w:cs="宋体"/>
                <w:b/>
                <w:bCs/>
                <w:color w:val="auto"/>
                <w:szCs w:val="21"/>
                <w:highlight w:val="none"/>
              </w:rPr>
              <w:t>）</w:t>
            </w:r>
          </w:p>
          <w:p w14:paraId="76F48AFB">
            <w:pPr>
              <w:tabs>
                <w:tab w:val="left" w:pos="1305"/>
              </w:tabs>
              <w:spacing w:line="50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highlight w:val="none"/>
              </w:rPr>
              <w:t>中小企业声明函或者残疾人福利性单位声明函或者供应商属于监狱企业的证明材料</w:t>
            </w:r>
            <w:r>
              <w:rPr>
                <w:rFonts w:hint="eastAsia" w:ascii="宋体" w:hAnsi="宋体" w:cs="宋体"/>
                <w:color w:val="auto"/>
                <w:highlight w:val="none"/>
                <w:lang w:eastAsia="zh-CN"/>
              </w:rPr>
              <w:t>；</w:t>
            </w:r>
            <w:r>
              <w:rPr>
                <w:rFonts w:hint="eastAsia" w:ascii="宋体" w:hAnsi="宋体" w:cs="宋体"/>
                <w:b/>
                <w:bCs/>
                <w:color w:val="auto"/>
                <w:highlight w:val="none"/>
                <w:lang w:eastAsia="zh-CN"/>
              </w:rPr>
              <w:t>（本项目属于专门面向小微企业采购的项目，供应商必须为小微企业</w:t>
            </w:r>
            <w:r>
              <w:rPr>
                <w:rFonts w:hint="eastAsia" w:ascii="宋体" w:hAnsi="宋体" w:cs="宋体"/>
                <w:b/>
                <w:bCs/>
                <w:color w:val="auto"/>
                <w:highlight w:val="none"/>
              </w:rPr>
              <w:t>或者残疾人福利性单位或者监狱企业</w:t>
            </w:r>
            <w:r>
              <w:rPr>
                <w:rFonts w:hint="eastAsia" w:ascii="宋体" w:hAnsi="宋体" w:cs="宋体"/>
                <w:b/>
                <w:bCs/>
                <w:color w:val="auto"/>
                <w:highlight w:val="none"/>
                <w:lang w:eastAsia="zh-CN"/>
              </w:rPr>
              <w:t>，否则响应文件按无效响应处理）</w:t>
            </w:r>
            <w:r>
              <w:rPr>
                <w:rFonts w:hint="eastAsia" w:hAnsi="宋体" w:cs="宋体"/>
                <w:b/>
                <w:bCs/>
                <w:color w:val="auto"/>
                <w:highlight w:val="none"/>
              </w:rPr>
              <w:t>（必须提供）</w:t>
            </w:r>
          </w:p>
          <w:p w14:paraId="6F2A92BA">
            <w:pPr>
              <w:spacing w:line="460" w:lineRule="exact"/>
              <w:ind w:firstLine="420" w:firstLineChars="200"/>
              <w:rPr>
                <w:rFonts w:hint="eastAsia" w:ascii="宋体" w:hAnsi="宋体" w:cs="宋体"/>
                <w:b w:val="0"/>
                <w:bCs/>
                <w:color w:val="auto"/>
                <w:szCs w:val="21"/>
                <w:highlight w:val="none"/>
                <w:lang w:eastAsia="zh-CN"/>
              </w:rPr>
            </w:pP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8</w:t>
            </w:r>
            <w:r>
              <w:rPr>
                <w:rFonts w:hint="eastAsia" w:ascii="宋体" w:hAnsi="宋体" w:cs="宋体"/>
                <w:b w:val="0"/>
                <w:bCs/>
                <w:color w:val="auto"/>
                <w:szCs w:val="21"/>
                <w:highlight w:val="none"/>
                <w:lang w:eastAsia="zh-CN"/>
              </w:rPr>
              <w:t>）除磋商文件规定必须提供以外，供应商认为需要提供的其他证明材料。</w:t>
            </w:r>
          </w:p>
          <w:p w14:paraId="24493A5B">
            <w:pPr>
              <w:spacing w:line="460" w:lineRule="exact"/>
              <w:ind w:firstLine="422" w:firstLineChars="200"/>
              <w:rPr>
                <w:rFonts w:hint="eastAsia" w:ascii="宋体" w:hAnsi="宋体" w:cs="宋体"/>
                <w:b/>
                <w:color w:val="auto"/>
                <w:szCs w:val="21"/>
                <w:highlight w:val="none"/>
                <w:lang w:eastAsia="zh-CN"/>
              </w:rPr>
            </w:pPr>
            <w:r>
              <w:rPr>
                <w:rFonts w:hint="eastAsia" w:ascii="宋体" w:hAnsi="宋体" w:cs="宋体"/>
                <w:b/>
                <w:bCs/>
                <w:color w:val="auto"/>
                <w:szCs w:val="21"/>
                <w:highlight w:val="none"/>
              </w:rPr>
              <w:t>供应商</w:t>
            </w:r>
            <w:r>
              <w:rPr>
                <w:rFonts w:hint="eastAsia" w:ascii="宋体" w:hAnsi="宋体" w:cs="宋体"/>
                <w:b/>
                <w:bCs/>
                <w:color w:val="auto"/>
                <w:highlight w:val="none"/>
              </w:rPr>
              <w:t>提供的以上相关证明材料属于“必须提供”的文件应加盖磋商供应商公章（CA签章）/自然人签字或个人CA签章，否则响应无效。</w:t>
            </w:r>
          </w:p>
        </w:tc>
      </w:tr>
      <w:tr w14:paraId="2A52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14:paraId="7891AD04">
            <w:pPr>
              <w:spacing w:line="4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157" w:type="dxa"/>
            <w:vAlign w:val="center"/>
          </w:tcPr>
          <w:p w14:paraId="6E51BA65">
            <w:pPr>
              <w:spacing w:line="460" w:lineRule="exact"/>
              <w:jc w:val="center"/>
              <w:rPr>
                <w:rFonts w:hint="eastAsia" w:ascii="宋体" w:hAnsi="宋体" w:cs="宋体"/>
                <w:color w:val="auto"/>
                <w:szCs w:val="21"/>
                <w:highlight w:val="none"/>
                <w:lang w:val="en-US" w:eastAsia="zh-CN"/>
              </w:rPr>
            </w:pPr>
            <w:r>
              <w:rPr>
                <w:rFonts w:hint="eastAsia" w:ascii="宋体" w:hAnsi="宋体" w:cs="宋体"/>
                <w:b/>
                <w:bCs/>
                <w:color w:val="auto"/>
                <w:szCs w:val="21"/>
                <w:highlight w:val="none"/>
              </w:rPr>
              <w:t>11.2.1.2</w:t>
            </w:r>
          </w:p>
        </w:tc>
        <w:tc>
          <w:tcPr>
            <w:tcW w:w="1560" w:type="dxa"/>
            <w:vAlign w:val="center"/>
          </w:tcPr>
          <w:p w14:paraId="2675CD72">
            <w:pPr>
              <w:spacing w:line="46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商务技术文件</w:t>
            </w:r>
          </w:p>
        </w:tc>
        <w:tc>
          <w:tcPr>
            <w:tcW w:w="6405" w:type="dxa"/>
            <w:vAlign w:val="center"/>
          </w:tcPr>
          <w:p w14:paraId="6B9FED58">
            <w:pPr>
              <w:tabs>
                <w:tab w:val="left" w:pos="1305"/>
              </w:tabs>
              <w:spacing w:line="500" w:lineRule="exact"/>
              <w:ind w:firstLine="420" w:firstLineChars="200"/>
              <w:rPr>
                <w:rFonts w:ascii="宋体" w:hAnsi="宋体" w:cs="宋体"/>
                <w:b/>
                <w:bCs w:val="0"/>
                <w:color w:val="auto"/>
                <w:szCs w:val="21"/>
                <w:highlight w:val="none"/>
              </w:rPr>
            </w:pPr>
            <w:r>
              <w:rPr>
                <w:rFonts w:hint="eastAsia" w:ascii="宋体" w:hAnsi="宋体" w:cs="宋体"/>
                <w:bCs/>
                <w:color w:val="auto"/>
                <w:szCs w:val="21"/>
                <w:highlight w:val="none"/>
              </w:rPr>
              <w:t>（1）无串通竞标行为的承诺函；</w:t>
            </w:r>
            <w:r>
              <w:rPr>
                <w:rFonts w:hint="eastAsia" w:ascii="宋体" w:hAnsi="宋体" w:cs="宋体"/>
                <w:b/>
                <w:bCs w:val="0"/>
                <w:color w:val="auto"/>
                <w:szCs w:val="21"/>
                <w:highlight w:val="none"/>
              </w:rPr>
              <w:t>（必须提供，否则响应文件按无效响应处理）</w:t>
            </w:r>
          </w:p>
          <w:p w14:paraId="23ADE9E7">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）供应商相应的法定代表人</w:t>
            </w:r>
            <w:r>
              <w:rPr>
                <w:rFonts w:hint="eastAsia" w:ascii="宋体" w:hAnsi="宋体" w:cs="宋体"/>
                <w:color w:val="auto"/>
                <w:szCs w:val="21"/>
                <w:highlight w:val="none"/>
                <w:lang w:eastAsia="zh-CN"/>
              </w:rPr>
              <w:t>或</w:t>
            </w:r>
            <w:r>
              <w:rPr>
                <w:rFonts w:hint="eastAsia" w:ascii="宋体" w:hAnsi="宋体" w:cs="宋体"/>
                <w:color w:val="auto"/>
                <w:szCs w:val="21"/>
                <w:highlight w:val="none"/>
              </w:rPr>
              <w:t>负责人</w:t>
            </w:r>
            <w:r>
              <w:rPr>
                <w:rFonts w:hint="eastAsia" w:ascii="宋体" w:hAnsi="宋体" w:cs="宋体"/>
                <w:color w:val="auto"/>
                <w:szCs w:val="21"/>
                <w:highlight w:val="none"/>
                <w:lang w:eastAsia="zh-CN"/>
              </w:rPr>
              <w:t>或</w:t>
            </w:r>
            <w:r>
              <w:rPr>
                <w:rFonts w:hint="eastAsia" w:ascii="宋体" w:hAnsi="宋体" w:cs="宋体"/>
                <w:color w:val="auto"/>
                <w:szCs w:val="21"/>
                <w:highlight w:val="none"/>
              </w:rPr>
              <w:t>自然人身份证正反两面复印件</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4BF3BDBE">
            <w:pPr>
              <w:spacing w:line="46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）供应商的授权委托书原件、委托代理人身份证正反面复印件</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（如有委托，必须提供）</w:t>
            </w:r>
          </w:p>
          <w:p w14:paraId="130B1530">
            <w:pPr>
              <w:spacing w:line="460" w:lineRule="exact"/>
              <w:ind w:firstLine="420" w:firstLineChars="200"/>
              <w:rPr>
                <w:rFonts w:hint="eastAsia" w:ascii="宋体" w:hAnsi="宋体" w:cs="宋体"/>
                <w:b/>
                <w:bCs/>
                <w:color w:val="auto"/>
                <w:szCs w:val="21"/>
                <w:highlight w:val="none"/>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4</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商务条款偏离表；</w:t>
            </w:r>
            <w:r>
              <w:rPr>
                <w:rFonts w:hint="eastAsia" w:ascii="宋体" w:hAnsi="宋体" w:cs="宋体"/>
                <w:b/>
                <w:bCs/>
                <w:color w:val="auto"/>
                <w:szCs w:val="21"/>
                <w:highlight w:val="none"/>
              </w:rPr>
              <w:t>（必须提供，否则响应文件按无效响应处理）</w:t>
            </w:r>
          </w:p>
          <w:p w14:paraId="1752A79B">
            <w:pPr>
              <w:spacing w:line="460" w:lineRule="exact"/>
              <w:ind w:firstLine="420" w:firstLineChars="200"/>
              <w:rPr>
                <w:rFonts w:hint="eastAsia" w:ascii="宋体" w:hAnsi="宋体" w:eastAsia="宋体" w:cs="宋体"/>
                <w:b w:val="0"/>
                <w:bCs w:val="0"/>
                <w:color w:val="auto"/>
                <w:szCs w:val="21"/>
                <w:highlight w:val="none"/>
                <w:lang w:eastAsia="zh-CN"/>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lang w:eastAsia="zh-CN"/>
              </w:rPr>
              <w:t>）竞标人情况介绍；</w:t>
            </w:r>
          </w:p>
          <w:p w14:paraId="44684537">
            <w:pPr>
              <w:tabs>
                <w:tab w:val="left" w:pos="1305"/>
              </w:tabs>
              <w:spacing w:line="50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）技术方案（格式自拟）</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（必须提供，否则响应文件按无效响应处理）</w:t>
            </w:r>
          </w:p>
          <w:p w14:paraId="48C79576">
            <w:pPr>
              <w:spacing w:line="460" w:lineRule="exact"/>
              <w:ind w:firstLine="420" w:firstLineChars="200"/>
              <w:rPr>
                <w:rFonts w:hint="eastAsia" w:ascii="宋体" w:hAnsi="宋体" w:cs="宋体"/>
                <w:b/>
                <w:bCs w:val="0"/>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）技术需求偏离表；</w:t>
            </w:r>
            <w:r>
              <w:rPr>
                <w:rFonts w:hint="eastAsia" w:ascii="宋体" w:hAnsi="宋体" w:cs="宋体"/>
                <w:b/>
                <w:bCs w:val="0"/>
                <w:color w:val="auto"/>
                <w:szCs w:val="21"/>
                <w:highlight w:val="none"/>
              </w:rPr>
              <w:t>（必须提供，否则响应文件按无效响应处理）</w:t>
            </w:r>
          </w:p>
          <w:p w14:paraId="705BBD1C">
            <w:pPr>
              <w:spacing w:line="460" w:lineRule="exact"/>
              <w:ind w:firstLine="420" w:firstLineChars="200"/>
              <w:rPr>
                <w:rFonts w:hint="eastAsia" w:ascii="宋体" w:hAnsi="宋体" w:cs="宋体"/>
                <w:b/>
                <w:bCs w:val="0"/>
                <w:color w:val="auto"/>
                <w:szCs w:val="21"/>
                <w:highlight w:val="none"/>
                <w:lang w:eastAsia="zh-CN"/>
              </w:rPr>
            </w:pP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8</w:t>
            </w:r>
            <w:r>
              <w:rPr>
                <w:rFonts w:hint="eastAsia" w:ascii="宋体" w:hAnsi="宋体" w:cs="宋体"/>
                <w:b w:val="0"/>
                <w:bCs/>
                <w:color w:val="auto"/>
                <w:szCs w:val="21"/>
                <w:highlight w:val="none"/>
                <w:lang w:eastAsia="zh-CN"/>
              </w:rPr>
              <w:t>）项目管理机构；</w:t>
            </w:r>
            <w:r>
              <w:rPr>
                <w:rFonts w:hint="eastAsia" w:ascii="宋体" w:hAnsi="宋体" w:cs="宋体"/>
                <w:b/>
                <w:bCs w:val="0"/>
                <w:color w:val="auto"/>
                <w:szCs w:val="21"/>
                <w:highlight w:val="none"/>
                <w:lang w:eastAsia="zh-CN"/>
              </w:rPr>
              <w:t>（必须提供，否则响应文件按无效响应处理）</w:t>
            </w:r>
          </w:p>
          <w:p w14:paraId="57A8DACB">
            <w:pPr>
              <w:spacing w:line="460" w:lineRule="exact"/>
              <w:ind w:firstLine="420" w:firstLineChars="200"/>
              <w:rPr>
                <w:rFonts w:hint="eastAsia" w:ascii="宋体" w:hAnsi="宋体" w:cs="宋体"/>
                <w:b w:val="0"/>
                <w:bCs/>
                <w:color w:val="auto"/>
                <w:szCs w:val="21"/>
                <w:highlight w:val="none"/>
                <w:lang w:eastAsia="zh-CN"/>
              </w:rPr>
            </w:pP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9</w:t>
            </w:r>
            <w:r>
              <w:rPr>
                <w:rFonts w:hint="eastAsia" w:ascii="宋体" w:hAnsi="宋体" w:cs="宋体"/>
                <w:b w:val="0"/>
                <w:bCs/>
                <w:color w:val="auto"/>
                <w:szCs w:val="21"/>
                <w:highlight w:val="none"/>
                <w:lang w:eastAsia="zh-CN"/>
              </w:rPr>
              <w:t>）供应商认为需要提供的其他有关资料。</w:t>
            </w:r>
          </w:p>
          <w:p w14:paraId="2F580E63">
            <w:pPr>
              <w:spacing w:line="4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供应商</w:t>
            </w:r>
            <w:r>
              <w:rPr>
                <w:rFonts w:hint="eastAsia" w:ascii="宋体" w:hAnsi="宋体" w:cs="宋体"/>
                <w:b/>
                <w:bCs/>
                <w:color w:val="auto"/>
                <w:highlight w:val="none"/>
              </w:rPr>
              <w:t>提供的以上相关证明材料属于“必须提供”的文件应加盖磋商供应商公章（CA签章）/自然人签字或个人CA签章，否则响应无效。</w:t>
            </w:r>
          </w:p>
        </w:tc>
      </w:tr>
      <w:tr w14:paraId="6741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14:paraId="71D6D020">
            <w:pPr>
              <w:spacing w:line="4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1157" w:type="dxa"/>
            <w:vAlign w:val="center"/>
          </w:tcPr>
          <w:p w14:paraId="3E2DA66B">
            <w:pPr>
              <w:spacing w:line="46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11.2.1.3</w:t>
            </w:r>
          </w:p>
        </w:tc>
        <w:tc>
          <w:tcPr>
            <w:tcW w:w="1560" w:type="dxa"/>
            <w:vAlign w:val="center"/>
          </w:tcPr>
          <w:p w14:paraId="005194AE">
            <w:pPr>
              <w:spacing w:line="46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报价文件</w:t>
            </w:r>
          </w:p>
        </w:tc>
        <w:tc>
          <w:tcPr>
            <w:tcW w:w="6405" w:type="dxa"/>
            <w:vAlign w:val="center"/>
          </w:tcPr>
          <w:p w14:paraId="49E963FA">
            <w:pPr>
              <w:spacing w:line="4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响应函；</w:t>
            </w:r>
            <w:r>
              <w:rPr>
                <w:rFonts w:hint="eastAsia" w:ascii="宋体" w:hAnsi="宋体" w:cs="宋体"/>
                <w:b/>
                <w:bCs w:val="0"/>
                <w:color w:val="auto"/>
                <w:szCs w:val="21"/>
                <w:highlight w:val="none"/>
              </w:rPr>
              <w:t>（必须提供，否则作无效响应处理）</w:t>
            </w:r>
          </w:p>
          <w:p w14:paraId="571AF7F8">
            <w:pPr>
              <w:spacing w:line="460" w:lineRule="exact"/>
              <w:ind w:firstLine="420" w:firstLineChars="200"/>
              <w:rPr>
                <w:rFonts w:hint="eastAsia" w:ascii="宋体" w:hAnsi="宋体" w:cs="宋体"/>
                <w:b/>
                <w:bCs w:val="0"/>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响应报价表；</w:t>
            </w:r>
            <w:r>
              <w:rPr>
                <w:rFonts w:hint="eastAsia" w:ascii="宋体" w:hAnsi="宋体" w:cs="宋体"/>
                <w:b/>
                <w:bCs w:val="0"/>
                <w:color w:val="auto"/>
                <w:szCs w:val="21"/>
                <w:highlight w:val="none"/>
              </w:rPr>
              <w:t>（必须提供，否则作无效响应处理）</w:t>
            </w:r>
          </w:p>
          <w:p w14:paraId="4790F9E6">
            <w:pPr>
              <w:spacing w:line="460" w:lineRule="exact"/>
              <w:ind w:firstLine="420" w:firstLineChars="200"/>
              <w:rPr>
                <w:rFonts w:hint="eastAsia" w:ascii="宋体" w:hAnsi="宋体" w:cs="宋体"/>
                <w:b/>
                <w:bCs w:val="0"/>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已标价工程量清单。</w:t>
            </w:r>
            <w:r>
              <w:rPr>
                <w:rFonts w:hint="eastAsia" w:ascii="宋体" w:hAnsi="宋体" w:cs="宋体"/>
                <w:b/>
                <w:bCs w:val="0"/>
                <w:color w:val="auto"/>
                <w:szCs w:val="21"/>
                <w:highlight w:val="none"/>
              </w:rPr>
              <w:t>（必须提供，否则响应文件按无效响应处理）</w:t>
            </w:r>
          </w:p>
          <w:p w14:paraId="29BD00CD">
            <w:pPr>
              <w:spacing w:line="4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供应商认为需要提供的其他有关资料。</w:t>
            </w:r>
          </w:p>
          <w:p w14:paraId="6B377EFE">
            <w:pPr>
              <w:spacing w:line="460" w:lineRule="exact"/>
              <w:ind w:firstLine="422" w:firstLineChars="200"/>
              <w:rPr>
                <w:rFonts w:hint="eastAsia" w:ascii="宋体" w:hAnsi="宋体" w:cs="宋体"/>
                <w:bCs/>
                <w:color w:val="auto"/>
                <w:szCs w:val="21"/>
                <w:highlight w:val="none"/>
              </w:rPr>
            </w:pPr>
            <w:r>
              <w:rPr>
                <w:rFonts w:hint="eastAsia" w:ascii="宋体" w:hAnsi="宋体" w:cs="宋体"/>
                <w:b/>
                <w:bCs/>
                <w:color w:val="auto"/>
                <w:szCs w:val="21"/>
                <w:highlight w:val="none"/>
              </w:rPr>
              <w:t>供应商</w:t>
            </w:r>
            <w:r>
              <w:rPr>
                <w:rFonts w:hint="eastAsia" w:ascii="宋体" w:hAnsi="宋体" w:cs="宋体"/>
                <w:b/>
                <w:bCs/>
                <w:color w:val="auto"/>
                <w:highlight w:val="none"/>
              </w:rPr>
              <w:t>提供的以上相关证明材料属于“必须提供”的文件应加盖磋商供应商公章（CA签章）/自然人签字或个人CA签章，否则响应无效。</w:t>
            </w:r>
          </w:p>
        </w:tc>
      </w:tr>
      <w:tr w14:paraId="6DFC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5BAE529F">
            <w:pPr>
              <w:spacing w:line="4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157" w:type="dxa"/>
            <w:vAlign w:val="center"/>
          </w:tcPr>
          <w:p w14:paraId="26ECD4E6">
            <w:pPr>
              <w:spacing w:line="46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13</w:t>
            </w:r>
          </w:p>
        </w:tc>
        <w:tc>
          <w:tcPr>
            <w:tcW w:w="1560" w:type="dxa"/>
            <w:vAlign w:val="center"/>
          </w:tcPr>
          <w:p w14:paraId="420EBB78">
            <w:pPr>
              <w:spacing w:line="460" w:lineRule="exact"/>
              <w:jc w:val="center"/>
              <w:rPr>
                <w:rFonts w:ascii="宋体" w:hAnsi="宋体" w:cs="宋体"/>
                <w:color w:val="auto"/>
                <w:position w:val="-2"/>
                <w:szCs w:val="21"/>
                <w:highlight w:val="none"/>
              </w:rPr>
            </w:pPr>
            <w:r>
              <w:rPr>
                <w:rFonts w:hint="eastAsia" w:ascii="宋体" w:hAnsi="宋体" w:cs="宋体"/>
                <w:color w:val="auto"/>
                <w:szCs w:val="21"/>
                <w:highlight w:val="none"/>
              </w:rPr>
              <w:t>磋商报价及采购预算金额</w:t>
            </w:r>
          </w:p>
        </w:tc>
        <w:tc>
          <w:tcPr>
            <w:tcW w:w="6405" w:type="dxa"/>
            <w:vAlign w:val="center"/>
          </w:tcPr>
          <w:p w14:paraId="09BD42B3">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13.1 磋商报价应按磋商文件中相关附表格式填写。采购预算金额（人民币）：</w:t>
            </w:r>
            <w:r>
              <w:rPr>
                <w:rFonts w:hint="eastAsia" w:ascii="宋体" w:hAnsi="宋体" w:cs="宋体"/>
                <w:color w:val="auto"/>
                <w:szCs w:val="21"/>
                <w:highlight w:val="none"/>
                <w:lang w:eastAsia="zh-CN"/>
              </w:rPr>
              <w:t>人民币壹佰肆拾玖万肆仟肆佰叁拾贰元陆角整（¥1494432.60元）</w:t>
            </w:r>
          </w:p>
          <w:p w14:paraId="66DAEC6A">
            <w:pPr>
              <w:spacing w:line="460" w:lineRule="exact"/>
              <w:rPr>
                <w:rFonts w:ascii="宋体" w:hAnsi="宋体" w:cs="宋体"/>
                <w:color w:val="auto"/>
                <w:szCs w:val="21"/>
                <w:highlight w:val="none"/>
              </w:rPr>
            </w:pPr>
            <w:r>
              <w:rPr>
                <w:rFonts w:hint="eastAsia" w:ascii="宋体" w:hAnsi="宋体" w:cs="宋体"/>
                <w:color w:val="auto"/>
                <w:szCs w:val="21"/>
                <w:highlight w:val="none"/>
              </w:rPr>
              <w:t>报价超过相应采购预算金额的，响应文件按无效处理。</w:t>
            </w:r>
          </w:p>
          <w:p w14:paraId="7005840D">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13.2供应商必须就“工程量清单”中所有内容作完整唯一报价，否则，其响应文件无效；响应文件只允许有一个报价，有选择的或有条件的报价将不予接受。</w:t>
            </w:r>
          </w:p>
          <w:p w14:paraId="1A05CF0E">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13.4</w:t>
            </w:r>
            <w:r>
              <w:rPr>
                <w:rFonts w:hint="eastAsia" w:ascii="宋体" w:hAnsi="宋体" w:cs="宋体"/>
                <w:b/>
                <w:bCs/>
                <w:color w:val="auto"/>
                <w:kern w:val="0"/>
                <w:szCs w:val="21"/>
                <w:highlight w:val="none"/>
              </w:rPr>
              <w:t>供应商应在规定时间内在广西政府采购云平台系统上提交最后报价，超出磋商小组设定的最后报价时限或其最后报价超出采购预算导致已通过评审的响应文件无效的，按供应商在提交响应文件截止时间后撤回响应文件处理。</w:t>
            </w:r>
          </w:p>
        </w:tc>
      </w:tr>
      <w:tr w14:paraId="3434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087DE19D">
            <w:pPr>
              <w:spacing w:line="4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157" w:type="dxa"/>
            <w:vAlign w:val="center"/>
          </w:tcPr>
          <w:p w14:paraId="1F0C187A">
            <w:pPr>
              <w:spacing w:line="46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14.1</w:t>
            </w:r>
          </w:p>
        </w:tc>
        <w:tc>
          <w:tcPr>
            <w:tcW w:w="1560" w:type="dxa"/>
            <w:vAlign w:val="center"/>
          </w:tcPr>
          <w:p w14:paraId="048D3DB1">
            <w:pPr>
              <w:spacing w:line="46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响应文件有效期</w:t>
            </w:r>
          </w:p>
        </w:tc>
        <w:tc>
          <w:tcPr>
            <w:tcW w:w="6405" w:type="dxa"/>
          </w:tcPr>
          <w:p w14:paraId="24BA76D9">
            <w:pPr>
              <w:tabs>
                <w:tab w:val="left" w:pos="1305"/>
              </w:tabs>
              <w:spacing w:line="460" w:lineRule="exact"/>
              <w:rPr>
                <w:rFonts w:ascii="宋体" w:hAnsi="宋体" w:cs="宋体"/>
                <w:color w:val="auto"/>
                <w:szCs w:val="21"/>
                <w:highlight w:val="none"/>
              </w:rPr>
            </w:pPr>
            <w:r>
              <w:rPr>
                <w:rFonts w:hint="eastAsia" w:ascii="宋体" w:hAnsi="宋体" w:cs="宋体"/>
                <w:color w:val="auto"/>
                <w:szCs w:val="21"/>
                <w:highlight w:val="none"/>
              </w:rPr>
              <w:t>响应文件递交截止时间之日起</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0天，有效期不足的响应文件将被拒绝。</w:t>
            </w:r>
          </w:p>
        </w:tc>
      </w:tr>
      <w:tr w14:paraId="035C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60D7FD6F">
            <w:pPr>
              <w:spacing w:line="4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157" w:type="dxa"/>
            <w:vAlign w:val="center"/>
          </w:tcPr>
          <w:p w14:paraId="39D9BF7C">
            <w:pPr>
              <w:spacing w:line="46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15</w:t>
            </w:r>
          </w:p>
        </w:tc>
        <w:tc>
          <w:tcPr>
            <w:tcW w:w="1560" w:type="dxa"/>
            <w:vAlign w:val="center"/>
          </w:tcPr>
          <w:p w14:paraId="018298DF">
            <w:pPr>
              <w:spacing w:line="46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保证金</w:t>
            </w:r>
          </w:p>
        </w:tc>
        <w:tc>
          <w:tcPr>
            <w:tcW w:w="6405" w:type="dxa"/>
          </w:tcPr>
          <w:p w14:paraId="4CC0523A">
            <w:pPr>
              <w:tabs>
                <w:tab w:val="left" w:pos="1305"/>
              </w:tabs>
              <w:spacing w:line="460" w:lineRule="exact"/>
              <w:rPr>
                <w:rFonts w:ascii="宋体" w:hAnsi="宋体" w:cs="宋体"/>
                <w:color w:val="auto"/>
                <w:szCs w:val="21"/>
                <w:highlight w:val="none"/>
              </w:rPr>
            </w:pPr>
            <w:r>
              <w:rPr>
                <w:rFonts w:hint="eastAsia" w:ascii="宋体" w:hAnsi="宋体" w:cs="宋体"/>
                <w:color w:val="auto"/>
                <w:szCs w:val="21"/>
                <w:highlight w:val="none"/>
              </w:rPr>
              <w:t>本项目无需交纳磋商保证金。</w:t>
            </w:r>
          </w:p>
        </w:tc>
      </w:tr>
      <w:tr w14:paraId="7EB4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2D5846B2">
            <w:pPr>
              <w:spacing w:line="4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1157" w:type="dxa"/>
            <w:vAlign w:val="center"/>
          </w:tcPr>
          <w:p w14:paraId="626EF349">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1560" w:type="dxa"/>
            <w:vAlign w:val="center"/>
          </w:tcPr>
          <w:p w14:paraId="7AC33AF9">
            <w:pPr>
              <w:keepNext/>
              <w:keepLines/>
              <w:spacing w:line="460" w:lineRule="exact"/>
              <w:jc w:val="center"/>
              <w:rPr>
                <w:rFonts w:ascii="宋体" w:hAnsi="宋体" w:cs="宋体"/>
                <w:color w:val="auto"/>
                <w:szCs w:val="21"/>
                <w:highlight w:val="none"/>
              </w:rPr>
            </w:pPr>
            <w:bookmarkStart w:id="92" w:name="_Toc19911"/>
            <w:bookmarkStart w:id="93" w:name="_Toc27452"/>
            <w:bookmarkStart w:id="94" w:name="_Toc20646"/>
            <w:r>
              <w:rPr>
                <w:rFonts w:hint="eastAsia" w:ascii="宋体" w:hAnsi="宋体" w:cs="宋体"/>
                <w:bCs/>
                <w:color w:val="auto"/>
                <w:szCs w:val="21"/>
                <w:highlight w:val="none"/>
              </w:rPr>
              <w:t>竞争性磋商响应文件的制作</w:t>
            </w:r>
            <w:bookmarkEnd w:id="92"/>
            <w:bookmarkEnd w:id="93"/>
            <w:bookmarkEnd w:id="94"/>
          </w:p>
        </w:tc>
        <w:tc>
          <w:tcPr>
            <w:tcW w:w="6405" w:type="dxa"/>
            <w:vAlign w:val="center"/>
          </w:tcPr>
          <w:p w14:paraId="189DC546">
            <w:pPr>
              <w:spacing w:line="460" w:lineRule="exact"/>
              <w:rPr>
                <w:rFonts w:ascii="宋体" w:hAnsi="宋体" w:cs="宋体"/>
                <w:color w:val="auto"/>
                <w:szCs w:val="21"/>
                <w:highlight w:val="none"/>
              </w:rPr>
            </w:pPr>
            <w:r>
              <w:rPr>
                <w:rFonts w:hint="eastAsia" w:ascii="宋体" w:hAnsi="宋体" w:cs="宋体"/>
                <w:color w:val="auto"/>
                <w:szCs w:val="21"/>
                <w:highlight w:val="none"/>
              </w:rPr>
              <w:t>16.1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35145C9B">
            <w:pPr>
              <w:spacing w:line="460" w:lineRule="exact"/>
              <w:rPr>
                <w:rFonts w:ascii="宋体" w:hAnsi="宋体" w:cs="宋体"/>
                <w:color w:val="auto"/>
                <w:szCs w:val="21"/>
                <w:highlight w:val="none"/>
              </w:rPr>
            </w:pPr>
            <w:r>
              <w:rPr>
                <w:rFonts w:hint="eastAsia" w:ascii="宋体" w:hAnsi="宋体" w:cs="宋体"/>
                <w:color w:val="auto"/>
                <w:szCs w:val="21"/>
                <w:highlight w:val="none"/>
              </w:rPr>
              <w:t>16.2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14:paraId="39034B9F">
            <w:pPr>
              <w:spacing w:line="460" w:lineRule="exact"/>
              <w:rPr>
                <w:rFonts w:ascii="宋体" w:hAnsi="宋体" w:cs="宋体"/>
                <w:color w:val="auto"/>
                <w:szCs w:val="21"/>
                <w:highlight w:val="none"/>
              </w:rPr>
            </w:pPr>
            <w:r>
              <w:rPr>
                <w:rFonts w:hint="eastAsia" w:ascii="宋体" w:hAnsi="宋体" w:cs="宋体"/>
                <w:color w:val="auto"/>
                <w:szCs w:val="21"/>
                <w:highlight w:val="none"/>
              </w:rPr>
              <w:t>16.3 磋商响应文件不得涂改，若有修改错漏处，须法定代表人（负责人）或授权委托人签字（或个人CA签章）。磋商响应文件因字迹潦草或表达不清所引起的后果由供应商负责。</w:t>
            </w:r>
          </w:p>
          <w:p w14:paraId="3E6A6713">
            <w:pPr>
              <w:spacing w:line="460" w:lineRule="exact"/>
              <w:rPr>
                <w:rFonts w:ascii="宋体" w:hAnsi="宋体" w:cs="宋体"/>
                <w:color w:val="auto"/>
                <w:szCs w:val="21"/>
                <w:highlight w:val="none"/>
              </w:rPr>
            </w:pPr>
            <w:r>
              <w:rPr>
                <w:rFonts w:hint="eastAsia" w:ascii="宋体" w:hAnsi="宋体" w:cs="宋体"/>
                <w:color w:val="auto"/>
                <w:szCs w:val="21"/>
                <w:highlight w:val="none"/>
              </w:rPr>
              <w:t xml:space="preserve">16.4磋商前准备 </w:t>
            </w:r>
          </w:p>
          <w:p w14:paraId="6A5D5B1F">
            <w:pPr>
              <w:spacing w:line="460" w:lineRule="exact"/>
              <w:rPr>
                <w:rFonts w:ascii="宋体" w:hAnsi="宋体" w:cs="宋体"/>
                <w:color w:val="auto"/>
                <w:szCs w:val="21"/>
                <w:highlight w:val="none"/>
              </w:rPr>
            </w:pPr>
            <w:r>
              <w:rPr>
                <w:rFonts w:hint="eastAsia" w:ascii="宋体" w:hAnsi="宋体" w:cs="宋体"/>
                <w:color w:val="auto"/>
                <w:szCs w:val="21"/>
                <w:highlight w:val="none"/>
              </w:rPr>
              <w:t xml:space="preserve">16.4.1本项目实行在线磋商，采用电子磋商响应文件。若供应商参与磋商，自行承担磋商一切费用。 </w:t>
            </w:r>
          </w:p>
          <w:p w14:paraId="1ABFB29E">
            <w:pPr>
              <w:spacing w:line="460" w:lineRule="exact"/>
              <w:rPr>
                <w:rFonts w:ascii="宋体" w:hAnsi="宋体" w:cs="宋体"/>
                <w:color w:val="auto"/>
                <w:szCs w:val="21"/>
                <w:highlight w:val="none"/>
              </w:rPr>
            </w:pPr>
            <w:r>
              <w:rPr>
                <w:rFonts w:hint="eastAsia" w:ascii="宋体" w:hAnsi="宋体" w:cs="宋体"/>
                <w:color w:val="auto"/>
                <w:szCs w:val="21"/>
                <w:highlight w:val="none"/>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14:paraId="6EBA7B5E">
            <w:pPr>
              <w:spacing w:line="460" w:lineRule="exact"/>
              <w:rPr>
                <w:rFonts w:ascii="宋体" w:hAnsi="宋体" w:cs="宋体"/>
                <w:color w:val="auto"/>
                <w:szCs w:val="21"/>
                <w:highlight w:val="none"/>
              </w:rPr>
            </w:pPr>
            <w:r>
              <w:rPr>
                <w:rFonts w:hint="eastAsia" w:ascii="宋体" w:hAnsi="宋体" w:cs="宋体"/>
                <w:color w:val="auto"/>
                <w:szCs w:val="21"/>
                <w:highlight w:val="none"/>
              </w:rPr>
              <w:t>16.4.3供应商将广西政府采购云平台客户端下载、安装完成后，可通过账号密码或 CA 登录客户端进行响应文件制作。客户端请至网站下载专区查看，如有问题可拨打广西政府采购云平台客户服务热线 95763 进行咨询。</w:t>
            </w:r>
          </w:p>
        </w:tc>
      </w:tr>
      <w:tr w14:paraId="3A39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14:paraId="320187BE">
            <w:pPr>
              <w:spacing w:line="4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1157" w:type="dxa"/>
            <w:vAlign w:val="center"/>
          </w:tcPr>
          <w:p w14:paraId="189DBF51">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18.1</w:t>
            </w:r>
          </w:p>
        </w:tc>
        <w:tc>
          <w:tcPr>
            <w:tcW w:w="1560" w:type="dxa"/>
            <w:vAlign w:val="center"/>
          </w:tcPr>
          <w:p w14:paraId="24206331">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响应文件递交截止时间</w:t>
            </w:r>
          </w:p>
        </w:tc>
        <w:tc>
          <w:tcPr>
            <w:tcW w:w="6405" w:type="dxa"/>
            <w:vAlign w:val="center"/>
          </w:tcPr>
          <w:p w14:paraId="451578DB">
            <w:pPr>
              <w:spacing w:line="460" w:lineRule="exact"/>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14:paraId="5642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14:paraId="68346A25">
            <w:pPr>
              <w:spacing w:line="460" w:lineRule="exact"/>
              <w:jc w:val="center"/>
              <w:rPr>
                <w:rFonts w:hint="default" w:ascii="宋体" w:hAnsi="宋体" w:eastAsia="宋体" w:cs="宋体"/>
                <w:color w:val="auto"/>
                <w:position w:val="-2"/>
                <w:szCs w:val="21"/>
                <w:highlight w:val="none"/>
                <w:lang w:val="en-US" w:eastAsia="zh-CN"/>
              </w:rPr>
            </w:pPr>
            <w:r>
              <w:rPr>
                <w:rFonts w:hint="eastAsia" w:ascii="宋体" w:hAnsi="宋体" w:cs="宋体"/>
                <w:color w:val="auto"/>
                <w:position w:val="-2"/>
                <w:szCs w:val="21"/>
                <w:highlight w:val="none"/>
                <w:lang w:val="en-US" w:eastAsia="zh-CN"/>
              </w:rPr>
              <w:t>12</w:t>
            </w:r>
          </w:p>
        </w:tc>
        <w:tc>
          <w:tcPr>
            <w:tcW w:w="1157" w:type="dxa"/>
            <w:vAlign w:val="center"/>
          </w:tcPr>
          <w:p w14:paraId="7DF17103">
            <w:pPr>
              <w:spacing w:line="46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18.2</w:t>
            </w:r>
          </w:p>
        </w:tc>
        <w:tc>
          <w:tcPr>
            <w:tcW w:w="1560" w:type="dxa"/>
            <w:vAlign w:val="center"/>
          </w:tcPr>
          <w:p w14:paraId="1AF61884">
            <w:pPr>
              <w:spacing w:line="460" w:lineRule="exact"/>
              <w:jc w:val="center"/>
              <w:rPr>
                <w:rFonts w:ascii="宋体" w:hAnsi="宋体" w:cs="宋体"/>
                <w:color w:val="auto"/>
                <w:position w:val="-2"/>
                <w:szCs w:val="21"/>
                <w:highlight w:val="none"/>
              </w:rPr>
            </w:pPr>
            <w:r>
              <w:rPr>
                <w:rFonts w:hint="eastAsia" w:ascii="宋体" w:hAnsi="宋体" w:cs="宋体"/>
                <w:color w:val="auto"/>
                <w:szCs w:val="21"/>
                <w:highlight w:val="none"/>
              </w:rPr>
              <w:t>磋商响应文件解密时间</w:t>
            </w:r>
          </w:p>
        </w:tc>
        <w:tc>
          <w:tcPr>
            <w:tcW w:w="6405" w:type="dxa"/>
            <w:vAlign w:val="center"/>
          </w:tcPr>
          <w:p w14:paraId="15493249">
            <w:pPr>
              <w:pStyle w:val="8"/>
              <w:spacing w:line="460" w:lineRule="exact"/>
              <w:rPr>
                <w:rFonts w:ascii="宋体" w:hAnsi="宋体" w:cs="宋体"/>
                <w:color w:val="auto"/>
                <w:szCs w:val="21"/>
                <w:highlight w:val="none"/>
              </w:rPr>
            </w:pPr>
            <w:r>
              <w:rPr>
                <w:rFonts w:hint="eastAsia" w:ascii="宋体" w:hAnsi="宋体" w:cs="宋体"/>
                <w:color w:val="auto"/>
                <w:szCs w:val="21"/>
                <w:highlight w:val="none"/>
              </w:rPr>
              <w:t>磋商响应文件解密时间</w:t>
            </w:r>
            <w:r>
              <w:rPr>
                <w:rFonts w:hint="eastAsia" w:ascii="宋体" w:hAnsi="宋体" w:cs="宋体"/>
                <w:color w:val="auto"/>
                <w:highlight w:val="none"/>
              </w:rPr>
              <w:t>：</w:t>
            </w:r>
            <w:r>
              <w:rPr>
                <w:rFonts w:ascii="宋体" w:hAnsi="宋体" w:cs="宋体"/>
                <w:color w:val="auto"/>
                <w:szCs w:val="21"/>
                <w:highlight w:val="none"/>
              </w:rPr>
              <w:t>发起解密指令之时起30分钟内</w:t>
            </w:r>
            <w:r>
              <w:rPr>
                <w:rFonts w:hint="eastAsia" w:ascii="宋体" w:hAnsi="宋体" w:cs="宋体"/>
                <w:color w:val="auto"/>
                <w:highlight w:val="none"/>
              </w:rPr>
              <w:t>磋商供应商可以登录广西政府采购云平台，用“项目采购-开标评标”功能进行解密磋商响应文件。若磋商供应商在规定时间内无法解密或解密失败，视为无效响应。</w:t>
            </w:r>
          </w:p>
        </w:tc>
      </w:tr>
      <w:tr w14:paraId="6DFE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14:paraId="1D6C6D21">
            <w:pPr>
              <w:spacing w:line="4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p>
        </w:tc>
        <w:tc>
          <w:tcPr>
            <w:tcW w:w="1157" w:type="dxa"/>
            <w:vAlign w:val="center"/>
          </w:tcPr>
          <w:p w14:paraId="25D49F83">
            <w:pPr>
              <w:spacing w:line="460" w:lineRule="exact"/>
              <w:ind w:firstLine="105" w:firstLineChars="50"/>
              <w:jc w:val="center"/>
              <w:rPr>
                <w:rFonts w:ascii="宋体" w:hAnsi="宋体" w:cs="宋体"/>
                <w:color w:val="auto"/>
                <w:position w:val="-2"/>
                <w:szCs w:val="21"/>
                <w:highlight w:val="none"/>
              </w:rPr>
            </w:pPr>
            <w:r>
              <w:rPr>
                <w:rFonts w:hint="eastAsia" w:ascii="宋体" w:hAnsi="宋体" w:cs="宋体"/>
                <w:color w:val="auto"/>
                <w:position w:val="-2"/>
                <w:szCs w:val="21"/>
                <w:highlight w:val="none"/>
              </w:rPr>
              <w:t>19.1</w:t>
            </w:r>
          </w:p>
        </w:tc>
        <w:tc>
          <w:tcPr>
            <w:tcW w:w="1560" w:type="dxa"/>
            <w:vAlign w:val="center"/>
          </w:tcPr>
          <w:p w14:paraId="04D5A4D7">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磋商小组</w:t>
            </w:r>
          </w:p>
        </w:tc>
        <w:tc>
          <w:tcPr>
            <w:tcW w:w="6405" w:type="dxa"/>
            <w:vAlign w:val="center"/>
          </w:tcPr>
          <w:p w14:paraId="27237678">
            <w:pPr>
              <w:spacing w:line="460" w:lineRule="exact"/>
              <w:ind w:left="15" w:hanging="14" w:hangingChars="7"/>
              <w:rPr>
                <w:rFonts w:ascii="宋体" w:hAnsi="宋体" w:cs="宋体"/>
                <w:color w:val="auto"/>
                <w:szCs w:val="21"/>
                <w:highlight w:val="none"/>
              </w:rPr>
            </w:pPr>
            <w:r>
              <w:rPr>
                <w:rFonts w:hint="eastAsia" w:ascii="宋体" w:hAnsi="宋体" w:cs="宋体"/>
                <w:color w:val="auto"/>
                <w:szCs w:val="21"/>
                <w:highlight w:val="none"/>
              </w:rPr>
              <w:t>磋商小组人数：</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人。</w:t>
            </w:r>
          </w:p>
        </w:tc>
      </w:tr>
      <w:tr w14:paraId="4054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14:paraId="76C2FBDE">
            <w:pPr>
              <w:spacing w:line="4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p>
        </w:tc>
        <w:tc>
          <w:tcPr>
            <w:tcW w:w="1157" w:type="dxa"/>
            <w:vAlign w:val="center"/>
          </w:tcPr>
          <w:p w14:paraId="19384E3A">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19.2</w:t>
            </w:r>
          </w:p>
        </w:tc>
        <w:tc>
          <w:tcPr>
            <w:tcW w:w="1560" w:type="dxa"/>
            <w:vAlign w:val="center"/>
          </w:tcPr>
          <w:p w14:paraId="2B816F6D">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磋商时间、地点</w:t>
            </w:r>
          </w:p>
        </w:tc>
        <w:tc>
          <w:tcPr>
            <w:tcW w:w="6405" w:type="dxa"/>
          </w:tcPr>
          <w:p w14:paraId="2A083BB4">
            <w:pPr>
              <w:spacing w:line="460" w:lineRule="exact"/>
              <w:ind w:left="315" w:hanging="315" w:hangingChars="150"/>
              <w:jc w:val="left"/>
              <w:rPr>
                <w:rFonts w:ascii="宋体" w:hAnsi="宋体" w:cs="宋体"/>
                <w:color w:val="auto"/>
                <w:szCs w:val="21"/>
                <w:highlight w:val="none"/>
              </w:rPr>
            </w:pPr>
            <w:r>
              <w:rPr>
                <w:rFonts w:hint="eastAsia" w:ascii="宋体" w:hAnsi="宋体" w:cs="宋体"/>
                <w:color w:val="auto"/>
                <w:szCs w:val="21"/>
                <w:highlight w:val="none"/>
              </w:rPr>
              <w:t>19.2.1磋商时间：响应文件递交截止时间后。</w:t>
            </w:r>
          </w:p>
          <w:p w14:paraId="584A024E">
            <w:pPr>
              <w:spacing w:line="460" w:lineRule="exact"/>
              <w:jc w:val="left"/>
              <w:rPr>
                <w:rFonts w:ascii="宋体" w:hAnsi="宋体" w:cs="宋体"/>
                <w:color w:val="auto"/>
                <w:szCs w:val="21"/>
                <w:highlight w:val="none"/>
              </w:rPr>
            </w:pPr>
            <w:r>
              <w:rPr>
                <w:rFonts w:hint="eastAsia" w:ascii="宋体" w:hAnsi="宋体" w:cs="宋体"/>
                <w:color w:val="auto"/>
                <w:szCs w:val="21"/>
                <w:highlight w:val="none"/>
              </w:rPr>
              <w:t>19.2.2磋商地点：本项目需要磋商供应商代表在截标当天截标后，按磋商小组要求及时登陆广西政府采购云平台等候在线磋商。</w:t>
            </w:r>
          </w:p>
          <w:p w14:paraId="120ACEA0">
            <w:pPr>
              <w:tabs>
                <w:tab w:val="left" w:pos="1140"/>
              </w:tabs>
              <w:spacing w:line="460" w:lineRule="exact"/>
              <w:jc w:val="left"/>
              <w:rPr>
                <w:rFonts w:ascii="宋体" w:hAnsi="宋体" w:cs="宋体"/>
                <w:color w:val="auto"/>
                <w:szCs w:val="21"/>
                <w:highlight w:val="none"/>
              </w:rPr>
            </w:pPr>
            <w:r>
              <w:rPr>
                <w:rFonts w:hint="eastAsia" w:ascii="宋体" w:hAnsi="宋体" w:cs="宋体"/>
                <w:color w:val="auto"/>
                <w:szCs w:val="21"/>
                <w:highlight w:val="none"/>
              </w:rPr>
              <w:t>19.2.3响应文件递交截止时间后，由磋商小组在评标室内线上开启响应文件。</w:t>
            </w:r>
          </w:p>
        </w:tc>
      </w:tr>
      <w:tr w14:paraId="2D11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64EF1E65">
            <w:pPr>
              <w:spacing w:line="460" w:lineRule="exact"/>
              <w:jc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1157" w:type="dxa"/>
            <w:vAlign w:val="center"/>
          </w:tcPr>
          <w:p w14:paraId="675815BD">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20.2</w:t>
            </w:r>
          </w:p>
        </w:tc>
        <w:tc>
          <w:tcPr>
            <w:tcW w:w="1560" w:type="dxa"/>
            <w:vAlign w:val="center"/>
          </w:tcPr>
          <w:p w14:paraId="20C459D2">
            <w:pPr>
              <w:pStyle w:val="13"/>
              <w:spacing w:line="460" w:lineRule="exact"/>
              <w:jc w:val="center"/>
              <w:rPr>
                <w:rFonts w:hAnsi="宋体" w:cs="宋体"/>
                <w:color w:val="auto"/>
                <w:kern w:val="0"/>
                <w:szCs w:val="21"/>
                <w:highlight w:val="none"/>
              </w:rPr>
            </w:pPr>
            <w:r>
              <w:rPr>
                <w:rFonts w:hint="eastAsia" w:hAnsi="宋体" w:cs="宋体"/>
                <w:color w:val="auto"/>
                <w:kern w:val="0"/>
                <w:szCs w:val="21"/>
                <w:highlight w:val="none"/>
              </w:rPr>
              <w:t>评审办法</w:t>
            </w:r>
          </w:p>
        </w:tc>
        <w:tc>
          <w:tcPr>
            <w:tcW w:w="6405" w:type="dxa"/>
            <w:vAlign w:val="center"/>
          </w:tcPr>
          <w:p w14:paraId="4436CBB6">
            <w:pPr>
              <w:tabs>
                <w:tab w:val="left" w:pos="1140"/>
              </w:tabs>
              <w:spacing w:line="460" w:lineRule="exact"/>
              <w:rPr>
                <w:rFonts w:ascii="宋体" w:hAnsi="宋体" w:cs="宋体"/>
                <w:color w:val="auto"/>
                <w:szCs w:val="21"/>
                <w:highlight w:val="none"/>
              </w:rPr>
            </w:pPr>
            <w:r>
              <w:rPr>
                <w:rFonts w:hint="eastAsia" w:ascii="宋体" w:hAnsi="宋体" w:cs="宋体"/>
                <w:color w:val="auto"/>
                <w:szCs w:val="21"/>
                <w:highlight w:val="none"/>
              </w:rPr>
              <w:t>具体详见第</w:t>
            </w:r>
            <w:r>
              <w:rPr>
                <w:rFonts w:hint="eastAsia" w:ascii="宋体" w:hAnsi="宋体" w:cs="宋体"/>
                <w:color w:val="auto"/>
                <w:szCs w:val="21"/>
                <w:highlight w:val="none"/>
                <w:lang w:eastAsia="zh-CN"/>
              </w:rPr>
              <w:t>八</w:t>
            </w:r>
            <w:r>
              <w:rPr>
                <w:rFonts w:hint="eastAsia" w:ascii="宋体" w:hAnsi="宋体" w:cs="宋体"/>
                <w:color w:val="auto"/>
                <w:szCs w:val="21"/>
                <w:highlight w:val="none"/>
              </w:rPr>
              <w:t>章评审办法。</w:t>
            </w:r>
          </w:p>
        </w:tc>
      </w:tr>
      <w:tr w14:paraId="4AEB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56C0E778">
            <w:pPr>
              <w:spacing w:line="4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p>
        </w:tc>
        <w:tc>
          <w:tcPr>
            <w:tcW w:w="1157" w:type="dxa"/>
            <w:vAlign w:val="center"/>
          </w:tcPr>
          <w:p w14:paraId="417A0A25">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26</w:t>
            </w:r>
          </w:p>
        </w:tc>
        <w:tc>
          <w:tcPr>
            <w:tcW w:w="1560" w:type="dxa"/>
            <w:vAlign w:val="center"/>
          </w:tcPr>
          <w:p w14:paraId="0CA60BCC">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信用查询</w:t>
            </w:r>
          </w:p>
        </w:tc>
        <w:tc>
          <w:tcPr>
            <w:tcW w:w="6405" w:type="dxa"/>
            <w:vAlign w:val="center"/>
          </w:tcPr>
          <w:p w14:paraId="156EDC0D">
            <w:pPr>
              <w:spacing w:line="4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（1）查询渠道：“信用中国”网站(www.creditchina.gov.cn)、中国政府采购网(www.ccgp.gov.cn)等；</w:t>
            </w:r>
          </w:p>
          <w:p w14:paraId="430FAE58">
            <w:pPr>
              <w:spacing w:line="4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（2）信用信息查询记录和证据留存方式：在查询网站中直接打印查询记录，打印材料作为采购活动资料保存。</w:t>
            </w:r>
          </w:p>
          <w:p w14:paraId="567DBD12">
            <w:pPr>
              <w:spacing w:line="460" w:lineRule="exact"/>
              <w:ind w:left="15" w:hanging="14" w:hangingChars="7"/>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14:paraId="2BFD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14:paraId="4A4ADF80">
            <w:pPr>
              <w:spacing w:line="4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p>
        </w:tc>
        <w:tc>
          <w:tcPr>
            <w:tcW w:w="1157" w:type="dxa"/>
            <w:vAlign w:val="center"/>
          </w:tcPr>
          <w:p w14:paraId="3675E28A">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27</w:t>
            </w:r>
          </w:p>
        </w:tc>
        <w:tc>
          <w:tcPr>
            <w:tcW w:w="1560" w:type="dxa"/>
            <w:vAlign w:val="center"/>
          </w:tcPr>
          <w:p w14:paraId="7A47A4B1">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成交结果公告</w:t>
            </w:r>
          </w:p>
          <w:p w14:paraId="5720F771">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及成交通知书</w:t>
            </w:r>
          </w:p>
        </w:tc>
        <w:tc>
          <w:tcPr>
            <w:tcW w:w="6405" w:type="dxa"/>
          </w:tcPr>
          <w:p w14:paraId="2F698C57">
            <w:pPr>
              <w:spacing w:line="460" w:lineRule="exact"/>
              <w:rPr>
                <w:rFonts w:ascii="宋体" w:hAnsi="宋体" w:cs="宋体"/>
                <w:color w:val="auto"/>
                <w:szCs w:val="21"/>
                <w:highlight w:val="none"/>
              </w:rPr>
            </w:pPr>
            <w:r>
              <w:rPr>
                <w:rFonts w:hint="eastAsia" w:ascii="宋体" w:hAnsi="宋体" w:cs="宋体"/>
                <w:color w:val="auto"/>
                <w:szCs w:val="21"/>
                <w:highlight w:val="none"/>
              </w:rPr>
              <w:t>27.1采购代理机构于磋商结束后两个工作日内将评审报告送交采购人，采购人应当自收到评审报告两个工作日内在评审报告推荐的成交候选人中按顺序确定成交供应商，采购代理机构在成交供应商确定之日起两个工作日内发出成交通知书，并在指定媒体上公告成交信息。</w:t>
            </w:r>
          </w:p>
          <w:p w14:paraId="274D28C4">
            <w:pPr>
              <w:spacing w:line="460" w:lineRule="exact"/>
              <w:rPr>
                <w:rFonts w:ascii="宋体" w:hAnsi="宋体" w:cs="宋体"/>
                <w:color w:val="auto"/>
                <w:szCs w:val="21"/>
                <w:highlight w:val="none"/>
              </w:rPr>
            </w:pPr>
            <w:r>
              <w:rPr>
                <w:rFonts w:hint="eastAsia" w:ascii="宋体" w:hAnsi="宋体" w:cs="宋体"/>
                <w:color w:val="auto"/>
                <w:szCs w:val="21"/>
                <w:highlight w:val="none"/>
              </w:rPr>
              <w:t>27.2在发布成交公告的同时，采购代理机构向成交供应商发出成交通知书。</w:t>
            </w:r>
          </w:p>
        </w:tc>
      </w:tr>
      <w:tr w14:paraId="2E55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62" w:type="dxa"/>
            <w:vAlign w:val="center"/>
          </w:tcPr>
          <w:p w14:paraId="5FDFA21A">
            <w:pPr>
              <w:spacing w:line="4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p>
        </w:tc>
        <w:tc>
          <w:tcPr>
            <w:tcW w:w="1157" w:type="dxa"/>
            <w:vAlign w:val="center"/>
          </w:tcPr>
          <w:p w14:paraId="1823A640">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28</w:t>
            </w:r>
          </w:p>
        </w:tc>
        <w:tc>
          <w:tcPr>
            <w:tcW w:w="1560" w:type="dxa"/>
            <w:vAlign w:val="center"/>
          </w:tcPr>
          <w:p w14:paraId="0EB4D927">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405" w:type="dxa"/>
            <w:vAlign w:val="center"/>
          </w:tcPr>
          <w:p w14:paraId="15BD6A8A">
            <w:pPr>
              <w:spacing w:line="460" w:lineRule="exact"/>
              <w:rPr>
                <w:rFonts w:ascii="宋体" w:hAnsi="宋体" w:cs="宋体"/>
                <w:color w:val="auto"/>
                <w:szCs w:val="21"/>
                <w:highlight w:val="none"/>
              </w:rPr>
            </w:pPr>
            <w:r>
              <w:rPr>
                <w:rFonts w:hint="eastAsia" w:ascii="宋体" w:hAnsi="宋体" w:cs="宋体"/>
                <w:color w:val="auto"/>
                <w:szCs w:val="21"/>
                <w:highlight w:val="none"/>
              </w:rPr>
              <w:t>本项目不收取履约保证金</w:t>
            </w:r>
          </w:p>
        </w:tc>
      </w:tr>
      <w:tr w14:paraId="2C1F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25290340">
            <w:pPr>
              <w:spacing w:line="4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p>
        </w:tc>
        <w:tc>
          <w:tcPr>
            <w:tcW w:w="1157" w:type="dxa"/>
            <w:vAlign w:val="center"/>
          </w:tcPr>
          <w:p w14:paraId="2D69903B">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29.1</w:t>
            </w:r>
          </w:p>
        </w:tc>
        <w:tc>
          <w:tcPr>
            <w:tcW w:w="1560" w:type="dxa"/>
            <w:vAlign w:val="center"/>
          </w:tcPr>
          <w:p w14:paraId="0DD5F752">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签订合同时间</w:t>
            </w:r>
          </w:p>
        </w:tc>
        <w:tc>
          <w:tcPr>
            <w:tcW w:w="6405" w:type="dxa"/>
          </w:tcPr>
          <w:p w14:paraId="6EB1D211">
            <w:pPr>
              <w:spacing w:line="460" w:lineRule="exact"/>
              <w:rPr>
                <w:rFonts w:ascii="宋体" w:hAnsi="宋体" w:cs="宋体"/>
                <w:color w:val="auto"/>
                <w:szCs w:val="21"/>
                <w:highlight w:val="none"/>
              </w:rPr>
            </w:pPr>
            <w:r>
              <w:rPr>
                <w:rFonts w:hint="eastAsia" w:ascii="宋体" w:hAnsi="宋体" w:cs="宋体"/>
                <w:bCs/>
                <w:color w:val="auto"/>
                <w:kern w:val="0"/>
                <w:szCs w:val="21"/>
                <w:highlight w:val="none"/>
              </w:rPr>
              <w:t>成交通知书发出之日起25天内签订合同</w:t>
            </w:r>
            <w:r>
              <w:rPr>
                <w:rFonts w:hint="eastAsia" w:ascii="宋体" w:hAnsi="宋体" w:cs="宋体"/>
                <w:color w:val="auto"/>
                <w:highlight w:val="none"/>
              </w:rPr>
              <w:t>。</w:t>
            </w:r>
            <w:r>
              <w:rPr>
                <w:rFonts w:hint="eastAsia" w:ascii="宋体" w:hAnsi="宋体" w:cs="宋体"/>
                <w:color w:val="auto"/>
                <w:szCs w:val="21"/>
                <w:highlight w:val="none"/>
              </w:rPr>
              <w:t>成交供应商领取成交通知书后，应按规定与采购人签订合同。</w:t>
            </w:r>
          </w:p>
        </w:tc>
      </w:tr>
      <w:tr w14:paraId="5B8D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664BE9B7">
            <w:pPr>
              <w:spacing w:line="4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1157" w:type="dxa"/>
            <w:vAlign w:val="center"/>
          </w:tcPr>
          <w:p w14:paraId="7AA50E28">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29.3</w:t>
            </w:r>
          </w:p>
        </w:tc>
        <w:tc>
          <w:tcPr>
            <w:tcW w:w="1560" w:type="dxa"/>
            <w:vAlign w:val="center"/>
          </w:tcPr>
          <w:p w14:paraId="7145E6F3">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合同备案存档</w:t>
            </w:r>
          </w:p>
        </w:tc>
        <w:tc>
          <w:tcPr>
            <w:tcW w:w="6405" w:type="dxa"/>
            <w:vAlign w:val="center"/>
          </w:tcPr>
          <w:p w14:paraId="431168E6">
            <w:pPr>
              <w:spacing w:line="460" w:lineRule="exact"/>
              <w:rPr>
                <w:rFonts w:ascii="宋体" w:hAnsi="宋体" w:cs="宋体"/>
                <w:color w:val="auto"/>
                <w:szCs w:val="21"/>
                <w:highlight w:val="none"/>
              </w:rPr>
            </w:pPr>
            <w:r>
              <w:rPr>
                <w:rFonts w:hint="eastAsia" w:ascii="宋体" w:hAnsi="宋体" w:cs="宋体"/>
                <w:bCs/>
                <w:color w:val="auto"/>
                <w:kern w:val="0"/>
                <w:szCs w:val="21"/>
                <w:highlight w:val="none"/>
              </w:rPr>
              <w:t>政府采购合同双方自签订之日起1个工作日内将合同原件1份交采购代理机构。采购代理机构将政府采购合同在财政部门指定媒体上公告。</w:t>
            </w:r>
          </w:p>
        </w:tc>
      </w:tr>
      <w:tr w14:paraId="2D9B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58F79E1E">
            <w:pPr>
              <w:spacing w:line="4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21</w:t>
            </w:r>
          </w:p>
        </w:tc>
        <w:tc>
          <w:tcPr>
            <w:tcW w:w="1157" w:type="dxa"/>
            <w:vAlign w:val="center"/>
          </w:tcPr>
          <w:p w14:paraId="4703B1DF">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30</w:t>
            </w:r>
          </w:p>
        </w:tc>
        <w:tc>
          <w:tcPr>
            <w:tcW w:w="1560" w:type="dxa"/>
            <w:vAlign w:val="center"/>
          </w:tcPr>
          <w:p w14:paraId="283678B1">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采购代理服务费</w:t>
            </w:r>
          </w:p>
        </w:tc>
        <w:tc>
          <w:tcPr>
            <w:tcW w:w="6405" w:type="dxa"/>
          </w:tcPr>
          <w:p w14:paraId="5D36D1B6">
            <w:pPr>
              <w:pStyle w:val="13"/>
              <w:snapToGrid w:val="0"/>
              <w:spacing w:line="360" w:lineRule="auto"/>
              <w:rPr>
                <w:rFonts w:hAnsi="宋体" w:cs="宋体"/>
                <w:color w:val="auto"/>
                <w:highlight w:val="none"/>
              </w:rPr>
            </w:pPr>
            <w:r>
              <w:rPr>
                <w:rFonts w:hint="eastAsia" w:hAnsi="宋体" w:cs="宋体"/>
                <w:color w:val="auto"/>
                <w:highlight w:val="none"/>
              </w:rPr>
              <w:t>1.采购代理费支付方式：</w:t>
            </w:r>
          </w:p>
          <w:p w14:paraId="6B269329">
            <w:pPr>
              <w:pStyle w:val="13"/>
              <w:snapToGrid w:val="0"/>
              <w:spacing w:line="360" w:lineRule="auto"/>
              <w:rPr>
                <w:rFonts w:hAnsi="宋体" w:cs="宋体"/>
                <w:color w:val="auto"/>
                <w:highlight w:val="none"/>
              </w:rPr>
            </w:pPr>
            <w:r>
              <w:rPr>
                <w:rFonts w:hint="eastAsia" w:hAnsi="宋体" w:cs="宋体"/>
                <w:color w:val="auto"/>
                <w:highlight w:val="none"/>
              </w:rPr>
              <w:t>本项目采购代理服务费按如下规定由</w:t>
            </w:r>
            <w:r>
              <w:rPr>
                <w:rFonts w:hint="eastAsia" w:hAnsi="宋体" w:cs="宋体"/>
                <w:color w:val="auto"/>
                <w:highlight w:val="none"/>
                <w:u w:val="single"/>
              </w:rPr>
              <w:t>成交供应商</w:t>
            </w:r>
            <w:r>
              <w:rPr>
                <w:rFonts w:hint="eastAsia" w:hAnsi="宋体" w:cs="宋体"/>
                <w:color w:val="auto"/>
                <w:highlight w:val="none"/>
              </w:rPr>
              <w:t>在签订合同前，以银行转账、电汇等方式一次性向采购代理机构支付。</w:t>
            </w:r>
          </w:p>
          <w:p w14:paraId="026BE100">
            <w:pPr>
              <w:pStyle w:val="13"/>
              <w:snapToGrid w:val="0"/>
              <w:spacing w:line="360" w:lineRule="auto"/>
              <w:rPr>
                <w:rFonts w:hAnsi="宋体" w:cs="宋体"/>
                <w:color w:val="auto"/>
                <w:highlight w:val="none"/>
              </w:rPr>
            </w:pPr>
            <w:r>
              <w:rPr>
                <w:rFonts w:hint="eastAsia" w:hAnsi="宋体" w:cs="宋体"/>
                <w:color w:val="auto"/>
                <w:highlight w:val="none"/>
              </w:rPr>
              <w:t>2.采购代理费收取标准：</w:t>
            </w:r>
          </w:p>
          <w:p w14:paraId="50D658AF">
            <w:pPr>
              <w:pStyle w:val="13"/>
              <w:snapToGrid w:val="0"/>
              <w:spacing w:line="360" w:lineRule="auto"/>
              <w:rPr>
                <w:rFonts w:hAnsi="宋体" w:cs="宋体"/>
                <w:color w:val="auto"/>
                <w:highlight w:val="none"/>
              </w:rPr>
            </w:pPr>
            <w:r>
              <w:rPr>
                <w:rFonts w:hint="eastAsia" w:hAnsi="宋体" w:cs="宋体"/>
                <w:color w:val="auto"/>
                <w:highlight w:val="none"/>
              </w:rPr>
              <w:t>参照国家发展计划委员会《招标代理服务费管理暂行办法》（计价格〔2002〕1980号）及发改价格[2011]534号、桂价费[2011]55号文的规定计取。</w:t>
            </w:r>
          </w:p>
          <w:p w14:paraId="5ECCD628">
            <w:pPr>
              <w:pStyle w:val="13"/>
              <w:snapToGrid w:val="0"/>
              <w:spacing w:line="360" w:lineRule="auto"/>
              <w:rPr>
                <w:rFonts w:hAnsi="宋体" w:cs="宋体"/>
                <w:color w:val="auto"/>
                <w:highlight w:val="none"/>
              </w:rPr>
            </w:pPr>
            <w:r>
              <w:rPr>
                <w:rFonts w:hint="eastAsia" w:hAnsi="宋体" w:cs="宋体"/>
                <w:color w:val="auto"/>
                <w:highlight w:val="none"/>
              </w:rPr>
              <w:t>3</w:t>
            </w:r>
            <w:r>
              <w:rPr>
                <w:rFonts w:hAnsi="宋体" w:cs="宋体"/>
                <w:color w:val="auto"/>
                <w:highlight w:val="none"/>
              </w:rPr>
              <w:t>.</w:t>
            </w:r>
            <w:r>
              <w:rPr>
                <w:rFonts w:hint="eastAsia" w:hAnsi="宋体" w:cs="宋体"/>
                <w:color w:val="auto"/>
                <w:highlight w:val="none"/>
              </w:rPr>
              <w:t>缴纳采购代理服务费账户的信息：</w:t>
            </w:r>
          </w:p>
          <w:p w14:paraId="361D5A95">
            <w:pPr>
              <w:pStyle w:val="13"/>
              <w:snapToGrid w:val="0"/>
              <w:spacing w:line="360" w:lineRule="auto"/>
              <w:rPr>
                <w:rFonts w:hint="eastAsia" w:hAnsi="宋体" w:eastAsia="宋体" w:cs="宋体"/>
                <w:color w:val="auto"/>
                <w:highlight w:val="none"/>
                <w:lang w:eastAsia="zh-CN"/>
              </w:rPr>
            </w:pPr>
            <w:r>
              <w:rPr>
                <w:rFonts w:hint="eastAsia" w:hAnsi="宋体" w:cs="宋体"/>
                <w:color w:val="auto"/>
                <w:highlight w:val="none"/>
              </w:rPr>
              <w:t>开户名称：</w:t>
            </w:r>
            <w:r>
              <w:rPr>
                <w:rFonts w:hint="eastAsia" w:hAnsi="宋体" w:cs="宋体"/>
                <w:color w:val="auto"/>
                <w:highlight w:val="none"/>
                <w:lang w:eastAsia="zh-CN"/>
              </w:rPr>
              <w:t>广西建通工程咨询有限责任公司第六分公司</w:t>
            </w:r>
          </w:p>
          <w:p w14:paraId="78271421">
            <w:pPr>
              <w:pStyle w:val="13"/>
              <w:snapToGrid w:val="0"/>
              <w:spacing w:line="360" w:lineRule="auto"/>
              <w:rPr>
                <w:rFonts w:hAnsi="宋体" w:cs="宋体"/>
                <w:color w:val="auto"/>
                <w:highlight w:val="none"/>
              </w:rPr>
            </w:pPr>
            <w:r>
              <w:rPr>
                <w:rFonts w:hint="eastAsia" w:hAnsi="宋体" w:cs="宋体"/>
                <w:color w:val="auto"/>
                <w:highlight w:val="none"/>
              </w:rPr>
              <w:t>开户银行：中国农业银行股份有限公司南宁金凯支行</w:t>
            </w:r>
          </w:p>
          <w:p w14:paraId="0D1229D8">
            <w:pPr>
              <w:pStyle w:val="13"/>
              <w:snapToGrid w:val="0"/>
              <w:spacing w:line="360" w:lineRule="auto"/>
              <w:rPr>
                <w:rFonts w:hint="eastAsia" w:hAnsi="宋体" w:eastAsia="宋体" w:cs="宋体"/>
                <w:color w:val="auto"/>
                <w:highlight w:val="none"/>
                <w:u w:val="single"/>
                <w:lang w:eastAsia="zh-CN"/>
              </w:rPr>
            </w:pPr>
            <w:r>
              <w:rPr>
                <w:rFonts w:hint="eastAsia" w:hAnsi="宋体" w:cs="宋体"/>
                <w:color w:val="auto"/>
                <w:highlight w:val="none"/>
              </w:rPr>
              <w:t>帐号：20019501040011203</w:t>
            </w:r>
          </w:p>
        </w:tc>
      </w:tr>
      <w:tr w14:paraId="6B66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4365C52C">
            <w:pPr>
              <w:spacing w:line="4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22</w:t>
            </w:r>
          </w:p>
        </w:tc>
        <w:tc>
          <w:tcPr>
            <w:tcW w:w="9122" w:type="dxa"/>
            <w:gridSpan w:val="3"/>
            <w:vAlign w:val="center"/>
          </w:tcPr>
          <w:p w14:paraId="1C0F08F6">
            <w:pPr>
              <w:pStyle w:val="13"/>
              <w:snapToGrid w:val="0"/>
              <w:spacing w:line="360" w:lineRule="auto"/>
              <w:rPr>
                <w:rFonts w:hAnsi="宋体"/>
                <w:color w:val="auto"/>
                <w:highlight w:val="none"/>
              </w:rPr>
            </w:pPr>
            <w:r>
              <w:rPr>
                <w:rFonts w:hint="eastAsia" w:hAnsi="宋体"/>
                <w:color w:val="auto"/>
                <w:highlight w:val="none"/>
              </w:rPr>
              <w:t>1.本竞争性磋商文件中描述供应商的“公章”是指供应商通过指定电子化政府采购平台办理数字证书（CA 认证证书）获得的以法定主体行为名称制作的电子印章。</w:t>
            </w:r>
          </w:p>
          <w:p w14:paraId="0293A8B7">
            <w:pPr>
              <w:pStyle w:val="13"/>
              <w:snapToGrid w:val="0"/>
              <w:spacing w:line="360" w:lineRule="auto"/>
              <w:rPr>
                <w:rFonts w:hAnsi="宋体"/>
                <w:color w:val="auto"/>
                <w:highlight w:val="none"/>
              </w:rPr>
            </w:pPr>
            <w:r>
              <w:rPr>
                <w:rFonts w:hint="eastAsia" w:hAnsi="宋体"/>
                <w:color w:val="auto"/>
                <w:highlight w:val="none"/>
              </w:rPr>
              <w:t>2.本竞争性磋商文件中要求供应商对其电子响应文件的相关内容加盖公章的，均指采用 CA 证书签章。</w:t>
            </w:r>
          </w:p>
          <w:p w14:paraId="5FA02973">
            <w:pPr>
              <w:pStyle w:val="13"/>
              <w:snapToGrid w:val="0"/>
              <w:spacing w:line="360" w:lineRule="auto"/>
              <w:rPr>
                <w:rFonts w:hAnsi="宋体"/>
                <w:color w:val="auto"/>
                <w:highlight w:val="none"/>
              </w:rPr>
            </w:pPr>
            <w:r>
              <w:rPr>
                <w:rFonts w:hint="eastAsia" w:hAnsi="宋体"/>
                <w:color w:val="auto"/>
                <w:highlight w:val="none"/>
              </w:rPr>
              <w:t>3.本竞争性磋商文件中描述供应商的“签字”是指供应商通过指定电子化政府采购平台办理数字证书（CA 认证证书）获得的以供应商法定代表人（自负责人、自然人）或者委托代理人姓名制作的个人电子印章或手写签字。没有办理个人 CA 证书的，可以为手写签字的形式。</w:t>
            </w:r>
          </w:p>
          <w:p w14:paraId="11A43CB4">
            <w:pPr>
              <w:pStyle w:val="13"/>
              <w:snapToGrid w:val="0"/>
              <w:spacing w:line="360" w:lineRule="auto"/>
              <w:rPr>
                <w:rFonts w:hAnsi="宋体"/>
                <w:color w:val="auto"/>
                <w:highlight w:val="none"/>
              </w:rPr>
            </w:pPr>
            <w:r>
              <w:rPr>
                <w:rFonts w:hint="eastAsia" w:hAnsi="宋体"/>
                <w:color w:val="auto"/>
                <w:highlight w:val="none"/>
              </w:rPr>
              <w:t>4.供应商为其他组织或者自然人时，本采购文件规定的法定代表人指负责人或者自然人。本采购文件所称负责人是指参加磋商的其他组织营业执照上的负责人，本采购文件所称自然人指参与磋商的自然人本人。</w:t>
            </w:r>
          </w:p>
          <w:p w14:paraId="6E1F5DFE">
            <w:pPr>
              <w:spacing w:line="460" w:lineRule="exact"/>
              <w:rPr>
                <w:rFonts w:ascii="宋体" w:hAnsi="宋体" w:cs="宋体"/>
                <w:color w:val="auto"/>
                <w:szCs w:val="21"/>
                <w:highlight w:val="none"/>
              </w:rPr>
            </w:pPr>
            <w:r>
              <w:rPr>
                <w:rFonts w:hint="eastAsia" w:hAnsi="宋体"/>
                <w:color w:val="auto"/>
                <w:highlight w:val="none"/>
              </w:rPr>
              <w:cr/>
            </w:r>
            <w:r>
              <w:rPr>
                <w:rFonts w:hint="eastAsia" w:hAnsi="宋体"/>
                <w:color w:val="auto"/>
                <w:highlight w:val="none"/>
              </w:rPr>
              <w:t>5.本竞争性磋商文件所称的“以上”“以下”“以内”“届满”，包括本数；所称的“不满”“超过”“以外”，不包括本数。</w:t>
            </w:r>
          </w:p>
        </w:tc>
      </w:tr>
      <w:tr w14:paraId="098F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3FE07C57">
            <w:pPr>
              <w:spacing w:line="4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p>
        </w:tc>
        <w:tc>
          <w:tcPr>
            <w:tcW w:w="9122" w:type="dxa"/>
            <w:gridSpan w:val="3"/>
            <w:vAlign w:val="center"/>
          </w:tcPr>
          <w:p w14:paraId="69AD7D1C">
            <w:pPr>
              <w:pStyle w:val="13"/>
              <w:snapToGrid w:val="0"/>
              <w:spacing w:line="360" w:lineRule="auto"/>
              <w:rPr>
                <w:rFonts w:hAnsi="宋体"/>
                <w:color w:val="auto"/>
                <w:highlight w:val="none"/>
              </w:rPr>
            </w:pPr>
            <w:r>
              <w:rPr>
                <w:rFonts w:hint="eastAsia" w:hAnsi="宋体"/>
                <w:color w:val="auto"/>
                <w:highlight w:val="none"/>
              </w:rPr>
              <w:t>解释：</w:t>
            </w:r>
            <w:r>
              <w:rPr>
                <w:rFonts w:hAnsi="宋体"/>
                <w:color w:val="auto"/>
                <w:highlight w:val="none"/>
              </w:rPr>
              <w:t>构成本</w:t>
            </w:r>
            <w:r>
              <w:rPr>
                <w:rFonts w:hint="eastAsia" w:hAnsi="宋体"/>
                <w:color w:val="auto"/>
                <w:highlight w:val="none"/>
              </w:rPr>
              <w:t>竞争性磋商文件</w:t>
            </w:r>
            <w:r>
              <w:rPr>
                <w:rFonts w:hAnsi="宋体"/>
                <w:color w:val="auto"/>
                <w:highlight w:val="none"/>
              </w:rPr>
              <w:t>的各个组成文件应互为解释，互为说明；除</w:t>
            </w:r>
            <w:r>
              <w:rPr>
                <w:rFonts w:hint="eastAsia" w:hAnsi="宋体"/>
                <w:color w:val="auto"/>
                <w:highlight w:val="none"/>
              </w:rPr>
              <w:t>竞争性磋商文件</w:t>
            </w:r>
            <w:r>
              <w:rPr>
                <w:rFonts w:hAnsi="宋体"/>
                <w:color w:val="auto"/>
                <w:highlight w:val="none"/>
              </w:rPr>
              <w:t>中有特别规定外，仅适用于</w:t>
            </w:r>
            <w:r>
              <w:rPr>
                <w:rFonts w:hint="eastAsia" w:hAnsi="宋体"/>
                <w:color w:val="auto"/>
                <w:highlight w:val="none"/>
              </w:rPr>
              <w:t>竞标</w:t>
            </w:r>
            <w:r>
              <w:rPr>
                <w:rFonts w:hAnsi="宋体"/>
                <w:color w:val="auto"/>
                <w:highlight w:val="none"/>
              </w:rPr>
              <w:t>阶段的规定，按</w:t>
            </w:r>
            <w:r>
              <w:rPr>
                <w:rFonts w:hint="eastAsia" w:hAnsi="宋体"/>
                <w:color w:val="auto"/>
                <w:highlight w:val="none"/>
              </w:rPr>
              <w:t>更正公告（澄清公告）</w:t>
            </w:r>
            <w:r>
              <w:rPr>
                <w:rFonts w:hAnsi="宋体"/>
                <w:color w:val="auto"/>
                <w:highlight w:val="none"/>
              </w:rPr>
              <w:t>、</w:t>
            </w:r>
            <w:r>
              <w:rPr>
                <w:rFonts w:hint="eastAsia" w:hAnsi="宋体"/>
                <w:color w:val="auto"/>
                <w:highlight w:val="none"/>
              </w:rPr>
              <w:t>竞争性磋商</w:t>
            </w:r>
            <w:r>
              <w:rPr>
                <w:rFonts w:hAnsi="宋体"/>
                <w:color w:val="auto"/>
                <w:highlight w:val="none"/>
              </w:rPr>
              <w:t>公告、</w:t>
            </w:r>
            <w:r>
              <w:rPr>
                <w:rFonts w:hint="eastAsia" w:hAnsi="宋体"/>
                <w:color w:val="auto"/>
                <w:highlight w:val="none"/>
              </w:rPr>
              <w:t>供应商</w:t>
            </w:r>
            <w:r>
              <w:rPr>
                <w:rFonts w:hAnsi="宋体"/>
                <w:color w:val="auto"/>
                <w:highlight w:val="none"/>
              </w:rPr>
              <w:t>须知</w:t>
            </w:r>
            <w:r>
              <w:rPr>
                <w:rFonts w:hint="eastAsia" w:hAnsi="宋体"/>
                <w:color w:val="auto"/>
                <w:highlight w:val="none"/>
              </w:rPr>
              <w:t>、采购需求</w:t>
            </w:r>
            <w:r>
              <w:rPr>
                <w:rFonts w:hAnsi="宋体"/>
                <w:color w:val="auto"/>
                <w:highlight w:val="none"/>
              </w:rPr>
              <w:t>、</w:t>
            </w:r>
            <w:r>
              <w:rPr>
                <w:rFonts w:hint="eastAsia"/>
                <w:color w:val="auto"/>
                <w:highlight w:val="none"/>
              </w:rPr>
              <w:t>评审程序、评审方法和评审标准</w:t>
            </w:r>
            <w:r>
              <w:rPr>
                <w:rFonts w:hAnsi="宋体"/>
                <w:color w:val="auto"/>
                <w:highlight w:val="none"/>
              </w:rPr>
              <w:t>、</w:t>
            </w:r>
            <w:r>
              <w:rPr>
                <w:rFonts w:hint="eastAsia" w:hAnsi="宋体"/>
                <w:color w:val="auto"/>
                <w:highlight w:val="none"/>
              </w:rPr>
              <w:t>响应</w:t>
            </w:r>
            <w:r>
              <w:rPr>
                <w:rFonts w:hAnsi="宋体"/>
                <w:color w:val="auto"/>
                <w:highlight w:val="none"/>
              </w:rPr>
              <w:t>文件格式</w:t>
            </w:r>
            <w:r>
              <w:rPr>
                <w:rFonts w:hint="eastAsia" w:hAnsi="宋体"/>
                <w:color w:val="auto"/>
                <w:highlight w:val="none"/>
              </w:rPr>
              <w:t>、拟定的合同文本</w:t>
            </w:r>
            <w:r>
              <w:rPr>
                <w:rFonts w:hAnsi="宋体"/>
                <w:color w:val="auto"/>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highlight w:val="none"/>
              </w:rPr>
              <w:t>更正公告（澄清公告）</w:t>
            </w:r>
            <w:r>
              <w:rPr>
                <w:rFonts w:hAnsi="宋体"/>
                <w:color w:val="auto"/>
                <w:highlight w:val="none"/>
              </w:rPr>
              <w:t>与同步更新的</w:t>
            </w:r>
            <w:r>
              <w:rPr>
                <w:rFonts w:hint="eastAsia" w:hAnsi="宋体"/>
                <w:color w:val="auto"/>
                <w:highlight w:val="none"/>
              </w:rPr>
              <w:t>竞争性磋商文件</w:t>
            </w:r>
            <w:r>
              <w:rPr>
                <w:rFonts w:hAnsi="宋体"/>
                <w:color w:val="auto"/>
                <w:highlight w:val="none"/>
              </w:rPr>
              <w:t>不一致时以</w:t>
            </w:r>
            <w:r>
              <w:rPr>
                <w:rFonts w:hint="eastAsia" w:hAnsi="宋体"/>
                <w:color w:val="auto"/>
                <w:highlight w:val="none"/>
              </w:rPr>
              <w:t>更正公告（澄清公告）</w:t>
            </w:r>
            <w:r>
              <w:rPr>
                <w:rFonts w:hAnsi="宋体"/>
                <w:color w:val="auto"/>
                <w:highlight w:val="none"/>
              </w:rPr>
              <w:t>为准。按本款前述规定仍不能形成结论的，由</w:t>
            </w:r>
            <w:r>
              <w:rPr>
                <w:rFonts w:hint="eastAsia" w:hAnsi="宋体"/>
                <w:color w:val="auto"/>
                <w:highlight w:val="none"/>
              </w:rPr>
              <w:t>采购</w:t>
            </w:r>
            <w:r>
              <w:rPr>
                <w:rFonts w:hAnsi="宋体"/>
                <w:color w:val="auto"/>
                <w:highlight w:val="none"/>
              </w:rPr>
              <w:t>人</w:t>
            </w:r>
            <w:r>
              <w:rPr>
                <w:rFonts w:hint="eastAsia" w:hAnsi="宋体"/>
                <w:color w:val="auto"/>
                <w:highlight w:val="none"/>
              </w:rPr>
              <w:t>或者采购代理机构</w:t>
            </w:r>
            <w:r>
              <w:rPr>
                <w:rFonts w:hAnsi="宋体"/>
                <w:color w:val="auto"/>
                <w:highlight w:val="none"/>
              </w:rPr>
              <w:t>负责解释。</w:t>
            </w:r>
          </w:p>
        </w:tc>
      </w:tr>
      <w:tr w14:paraId="7378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14:paraId="60E84D76">
            <w:pPr>
              <w:spacing w:line="4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p>
        </w:tc>
        <w:tc>
          <w:tcPr>
            <w:tcW w:w="9122" w:type="dxa"/>
            <w:gridSpan w:val="3"/>
            <w:vAlign w:val="center"/>
          </w:tcPr>
          <w:p w14:paraId="74208E2B">
            <w:pPr>
              <w:snapToGrid w:val="0"/>
              <w:spacing w:line="360" w:lineRule="auto"/>
              <w:rPr>
                <w:color w:val="auto"/>
                <w:highlight w:val="none"/>
              </w:rPr>
            </w:pPr>
            <w:r>
              <w:rPr>
                <w:rFonts w:hint="eastAsia"/>
                <w:color w:val="auto"/>
                <w:highlight w:val="none"/>
              </w:rPr>
              <w:t>接收质疑函方式：以书面形式。</w:t>
            </w:r>
          </w:p>
          <w:p w14:paraId="686575C6">
            <w:pPr>
              <w:spacing w:line="360" w:lineRule="auto"/>
              <w:jc w:val="left"/>
              <w:rPr>
                <w:color w:val="auto"/>
                <w:highlight w:val="none"/>
              </w:rPr>
            </w:pPr>
            <w:r>
              <w:rPr>
                <w:rFonts w:hint="eastAsia"/>
                <w:color w:val="auto"/>
                <w:highlight w:val="none"/>
              </w:rPr>
              <w:t>质疑联系部门及联系方式：</w:t>
            </w:r>
          </w:p>
          <w:p w14:paraId="2FD1C62B">
            <w:pPr>
              <w:spacing w:line="360" w:lineRule="auto"/>
              <w:jc w:val="left"/>
              <w:rPr>
                <w:color w:val="auto"/>
                <w:highlight w:val="none"/>
              </w:rPr>
            </w:pPr>
            <w:r>
              <w:rPr>
                <w:rFonts w:hint="eastAsia"/>
                <w:color w:val="auto"/>
                <w:highlight w:val="none"/>
                <w:lang w:eastAsia="zh-CN"/>
              </w:rPr>
              <w:t>广西建通工程咨询有限责任公司</w:t>
            </w:r>
            <w:r>
              <w:rPr>
                <w:rFonts w:hint="eastAsia"/>
                <w:color w:val="auto"/>
                <w:highlight w:val="none"/>
              </w:rPr>
              <w:t>（采购代理机构）</w:t>
            </w:r>
          </w:p>
          <w:p w14:paraId="72492957">
            <w:pPr>
              <w:pStyle w:val="10"/>
              <w:rPr>
                <w:rFonts w:hint="eastAsia" w:eastAsia="宋体"/>
                <w:color w:val="auto"/>
                <w:highlight w:val="none"/>
                <w:lang w:eastAsia="zh-CN"/>
              </w:rPr>
            </w:pPr>
            <w:r>
              <w:rPr>
                <w:rFonts w:hint="eastAsia"/>
                <w:color w:val="auto"/>
                <w:highlight w:val="none"/>
              </w:rPr>
              <w:t>通讯地址：</w:t>
            </w:r>
            <w:r>
              <w:rPr>
                <w:rFonts w:hint="eastAsia" w:ascii="宋体" w:hAnsi="宋体"/>
                <w:color w:val="auto"/>
                <w:szCs w:val="21"/>
                <w:highlight w:val="none"/>
                <w:lang w:eastAsia="zh-CN"/>
              </w:rPr>
              <w:t>南宁市江南区金凯路26号广西建通中心12楼1213室</w:t>
            </w:r>
          </w:p>
          <w:p w14:paraId="0C2CDB7E">
            <w:pPr>
              <w:spacing w:line="360" w:lineRule="auto"/>
              <w:jc w:val="left"/>
              <w:rPr>
                <w:rFonts w:hint="eastAsia" w:eastAsia="宋体"/>
                <w:color w:val="auto"/>
                <w:highlight w:val="none"/>
                <w:lang w:eastAsia="zh-CN"/>
              </w:rPr>
            </w:pPr>
            <w:r>
              <w:rPr>
                <w:rFonts w:hint="eastAsia"/>
                <w:color w:val="auto"/>
                <w:highlight w:val="none"/>
              </w:rPr>
              <w:t>联系电话：</w:t>
            </w:r>
            <w:r>
              <w:rPr>
                <w:rFonts w:hint="eastAsia"/>
                <w:color w:val="auto"/>
                <w:highlight w:val="none"/>
                <w:lang w:eastAsia="zh-CN"/>
              </w:rPr>
              <w:t>0771-2863138</w:t>
            </w:r>
          </w:p>
          <w:p w14:paraId="33DBB6A5">
            <w:pPr>
              <w:spacing w:line="360" w:lineRule="auto"/>
              <w:jc w:val="left"/>
              <w:rPr>
                <w:color w:val="auto"/>
                <w:highlight w:val="none"/>
              </w:rPr>
            </w:pPr>
            <w:r>
              <w:rPr>
                <w:rFonts w:hint="eastAsia"/>
                <w:color w:val="auto"/>
                <w:highlight w:val="none"/>
              </w:rPr>
              <w:t>现场提交质疑办理业务时间（北京时间）：上午</w:t>
            </w:r>
            <w:r>
              <w:rPr>
                <w:rFonts w:hint="eastAsia"/>
                <w:color w:val="auto"/>
                <w:highlight w:val="none"/>
                <w:lang w:val="en-US" w:eastAsia="zh-CN"/>
              </w:rPr>
              <w:t>9</w:t>
            </w:r>
            <w:r>
              <w:rPr>
                <w:rFonts w:hint="eastAsia"/>
                <w:color w:val="auto"/>
                <w:highlight w:val="none"/>
              </w:rPr>
              <w:t>时00分到12时00分，下午15时00分到18时00分，业务时间以外、双休日和法定节假日不办理业务。</w:t>
            </w:r>
          </w:p>
          <w:p w14:paraId="7BD49DC9">
            <w:pPr>
              <w:pStyle w:val="8"/>
              <w:rPr>
                <w:rFonts w:ascii="Calibri" w:hAnsi="Calibri" w:cs="宋体"/>
                <w:color w:val="auto"/>
                <w:szCs w:val="21"/>
                <w:highlight w:val="none"/>
              </w:rPr>
            </w:pPr>
            <w:r>
              <w:rPr>
                <w:rFonts w:hint="eastAsia" w:ascii="Calibri" w:hAnsi="Calibri" w:cs="宋体"/>
                <w:color w:val="auto"/>
                <w:szCs w:val="21"/>
                <w:highlight w:val="none"/>
              </w:rPr>
              <w:t>受理投诉方式：</w:t>
            </w:r>
          </w:p>
          <w:p w14:paraId="1F1E8348">
            <w:pPr>
              <w:snapToGrid w:val="0"/>
              <w:spacing w:line="380" w:lineRule="exact"/>
              <w:rPr>
                <w:color w:val="auto"/>
                <w:highlight w:val="none"/>
              </w:rPr>
            </w:pPr>
            <w:r>
              <w:rPr>
                <w:rFonts w:hint="eastAsia"/>
                <w:color w:val="auto"/>
                <w:highlight w:val="none"/>
              </w:rPr>
              <w:t>1、受理方式：纸质方式受理，投诉书正、副本（经过质疑的事项才可投诉）。</w:t>
            </w:r>
          </w:p>
          <w:p w14:paraId="59F5AF35">
            <w:pPr>
              <w:snapToGrid w:val="0"/>
              <w:spacing w:line="380" w:lineRule="exact"/>
              <w:rPr>
                <w:color w:val="auto"/>
                <w:highlight w:val="none"/>
              </w:rPr>
            </w:pPr>
            <w:r>
              <w:rPr>
                <w:rFonts w:hint="eastAsia"/>
                <w:color w:val="auto"/>
                <w:highlight w:val="none"/>
              </w:rPr>
              <w:t>2、</w:t>
            </w:r>
            <w:r>
              <w:rPr>
                <w:color w:val="auto"/>
                <w:szCs w:val="21"/>
                <w:highlight w:val="none"/>
              </w:rPr>
              <w:t>通讯</w:t>
            </w:r>
            <w:r>
              <w:rPr>
                <w:rFonts w:hint="eastAsia"/>
                <w:color w:val="auto"/>
                <w:highlight w:val="none"/>
              </w:rPr>
              <w:t>方式：</w:t>
            </w:r>
          </w:p>
          <w:p w14:paraId="3C8F034B">
            <w:pPr>
              <w:snapToGrid w:val="0"/>
              <w:spacing w:line="380" w:lineRule="exact"/>
              <w:rPr>
                <w:color w:val="auto"/>
                <w:highlight w:val="none"/>
              </w:rPr>
            </w:pPr>
            <w:r>
              <w:rPr>
                <w:rFonts w:hint="eastAsia"/>
                <w:color w:val="auto"/>
                <w:highlight w:val="none"/>
              </w:rPr>
              <w:t xml:space="preserve">名称：防城港市财政局财政监督检查科 </w:t>
            </w:r>
          </w:p>
          <w:p w14:paraId="352A82ED">
            <w:pPr>
              <w:spacing w:line="460" w:lineRule="exact"/>
              <w:rPr>
                <w:rFonts w:hint="eastAsia" w:ascii="宋体" w:hAnsi="宋体" w:eastAsia="宋体" w:cs="宋体"/>
                <w:color w:val="auto"/>
                <w:szCs w:val="21"/>
                <w:highlight w:val="none"/>
                <w:lang w:eastAsia="zh-CN"/>
              </w:rPr>
            </w:pPr>
            <w:r>
              <w:rPr>
                <w:rFonts w:hint="eastAsia" w:ascii="Calibri" w:hAnsi="Calibri"/>
                <w:color w:val="auto"/>
                <w:highlight w:val="none"/>
              </w:rPr>
              <w:t>联系电话：</w:t>
            </w:r>
            <w:r>
              <w:rPr>
                <w:rFonts w:hint="eastAsia" w:ascii="Calibri" w:hAnsi="Calibri"/>
                <w:color w:val="auto"/>
                <w:highlight w:val="none"/>
                <w:lang w:eastAsia="zh-CN"/>
              </w:rPr>
              <w:t>0770-6102323</w:t>
            </w:r>
          </w:p>
        </w:tc>
      </w:tr>
      <w:tr w14:paraId="15D0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379" w:type="dxa"/>
            <w:gridSpan w:val="3"/>
            <w:vAlign w:val="center"/>
          </w:tcPr>
          <w:p w14:paraId="377E9407">
            <w:pPr>
              <w:spacing w:line="460" w:lineRule="exact"/>
              <w:jc w:val="center"/>
              <w:rPr>
                <w:rFonts w:ascii="宋体" w:hAnsi="宋体" w:cs="宋体"/>
                <w:color w:val="auto"/>
                <w:szCs w:val="21"/>
                <w:highlight w:val="none"/>
              </w:rPr>
            </w:pPr>
            <w:bookmarkStart w:id="95" w:name="_Toc22792"/>
            <w:bookmarkStart w:id="96" w:name="_Toc9480"/>
            <w:r>
              <w:rPr>
                <w:rFonts w:hint="eastAsia" w:ascii="宋体" w:hAnsi="宋体" w:cs="宋体"/>
                <w:color w:val="auto"/>
                <w:szCs w:val="21"/>
                <w:highlight w:val="none"/>
              </w:rPr>
              <w:t>质量要求</w:t>
            </w:r>
          </w:p>
        </w:tc>
        <w:tc>
          <w:tcPr>
            <w:tcW w:w="6405" w:type="dxa"/>
            <w:vAlign w:val="center"/>
          </w:tcPr>
          <w:p w14:paraId="315AAF89">
            <w:pPr>
              <w:spacing w:line="460" w:lineRule="exact"/>
              <w:rPr>
                <w:color w:val="auto"/>
                <w:szCs w:val="21"/>
                <w:highlight w:val="none"/>
              </w:rPr>
            </w:pPr>
            <w:r>
              <w:rPr>
                <w:rFonts w:hint="eastAsia"/>
                <w:color w:val="auto"/>
                <w:szCs w:val="21"/>
                <w:highlight w:val="none"/>
              </w:rPr>
              <w:t>本项目质量要求达到合格标准</w:t>
            </w:r>
          </w:p>
        </w:tc>
      </w:tr>
      <w:tr w14:paraId="4558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784" w:type="dxa"/>
            <w:gridSpan w:val="4"/>
            <w:vAlign w:val="center"/>
          </w:tcPr>
          <w:p w14:paraId="61357047">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广西线上“政采贷”政策告知函</w:t>
            </w:r>
          </w:p>
          <w:p w14:paraId="0FF34D2B">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各供应商：</w:t>
            </w:r>
          </w:p>
          <w:p w14:paraId="4CA6BB7A">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7D42D548">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5D3D8F35">
            <w:pPr>
              <w:autoSpaceDE w:val="0"/>
              <w:autoSpaceDN w:val="0"/>
              <w:snapToGrid w:val="0"/>
              <w:spacing w:line="360" w:lineRule="auto"/>
              <w:textAlignment w:val="bottom"/>
              <w:rPr>
                <w:color w:val="auto"/>
                <w:szCs w:val="21"/>
                <w:highlight w:val="none"/>
              </w:rPr>
            </w:pPr>
            <w:r>
              <w:rPr>
                <w:rFonts w:hint="eastAsia" w:ascii="宋体" w:hAnsi="宋体" w:cs="宋体"/>
                <w:color w:val="auto"/>
                <w:szCs w:val="21"/>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Fonts w:hint="eastAsia" w:ascii="宋体" w:hAnsi="宋体" w:cs="宋体"/>
                <w:color w:val="auto"/>
                <w:highlight w:val="none"/>
              </w:rPr>
              <w:t>https://www.crcrfsp.com/</w:t>
            </w:r>
            <w:r>
              <w:rPr>
                <w:rFonts w:hint="eastAsia" w:ascii="宋体" w:hAnsi="宋体" w:cs="宋体"/>
                <w:color w:val="auto"/>
                <w:highlight w:val="none"/>
              </w:rPr>
              <w:fldChar w:fldCharType="end"/>
            </w:r>
            <w:r>
              <w:rPr>
                <w:rFonts w:hint="eastAsia" w:ascii="宋体" w:hAnsi="宋体" w:cs="宋体"/>
                <w:color w:val="auto"/>
                <w:szCs w:val="21"/>
                <w:highlight w:val="none"/>
              </w:rPr>
              <w:t>，客服电话：400-009-0001）。</w:t>
            </w:r>
          </w:p>
        </w:tc>
      </w:tr>
    </w:tbl>
    <w:p w14:paraId="1D584BEC">
      <w:pPr>
        <w:spacing w:line="460" w:lineRule="exact"/>
        <w:outlineLvl w:val="9"/>
        <w:rPr>
          <w:b/>
          <w:bCs/>
          <w:color w:val="auto"/>
          <w:sz w:val="28"/>
          <w:szCs w:val="28"/>
          <w:highlight w:val="none"/>
        </w:rPr>
      </w:pPr>
      <w:bookmarkStart w:id="97" w:name="_Toc32566"/>
    </w:p>
    <w:p w14:paraId="5849B239">
      <w:pPr>
        <w:rPr>
          <w:rFonts w:hint="eastAsia"/>
          <w:b/>
          <w:bCs/>
          <w:color w:val="auto"/>
          <w:sz w:val="28"/>
          <w:szCs w:val="28"/>
          <w:highlight w:val="none"/>
        </w:rPr>
      </w:pPr>
      <w:r>
        <w:rPr>
          <w:rFonts w:hint="eastAsia"/>
          <w:b/>
          <w:bCs/>
          <w:color w:val="auto"/>
          <w:sz w:val="28"/>
          <w:szCs w:val="28"/>
          <w:highlight w:val="none"/>
        </w:rPr>
        <w:br w:type="page"/>
      </w:r>
    </w:p>
    <w:p w14:paraId="2BDAC5BC">
      <w:pPr>
        <w:spacing w:line="460" w:lineRule="exact"/>
        <w:jc w:val="center"/>
        <w:outlineLvl w:val="1"/>
        <w:rPr>
          <w:rFonts w:hint="eastAsia"/>
          <w:b/>
          <w:bCs/>
          <w:color w:val="auto"/>
          <w:sz w:val="28"/>
          <w:szCs w:val="28"/>
          <w:highlight w:val="none"/>
        </w:rPr>
      </w:pPr>
      <w:r>
        <w:rPr>
          <w:rFonts w:hint="eastAsia"/>
          <w:b/>
          <w:bCs/>
          <w:color w:val="auto"/>
          <w:sz w:val="28"/>
          <w:szCs w:val="28"/>
          <w:highlight w:val="none"/>
        </w:rPr>
        <w:t>供应商须知正文</w:t>
      </w:r>
    </w:p>
    <w:p w14:paraId="58214AB0">
      <w:pPr>
        <w:spacing w:line="460" w:lineRule="exact"/>
        <w:jc w:val="center"/>
        <w:outlineLvl w:val="1"/>
        <w:rPr>
          <w:b/>
          <w:bCs/>
          <w:color w:val="auto"/>
          <w:sz w:val="28"/>
          <w:szCs w:val="28"/>
          <w:highlight w:val="none"/>
        </w:rPr>
      </w:pPr>
      <w:r>
        <w:rPr>
          <w:rFonts w:hint="eastAsia"/>
          <w:b/>
          <w:bCs/>
          <w:color w:val="auto"/>
          <w:sz w:val="28"/>
          <w:szCs w:val="28"/>
          <w:highlight w:val="none"/>
        </w:rPr>
        <w:t>一、总则</w:t>
      </w:r>
      <w:bookmarkEnd w:id="95"/>
      <w:bookmarkEnd w:id="96"/>
      <w:bookmarkEnd w:id="97"/>
    </w:p>
    <w:p w14:paraId="5FF0A402">
      <w:pPr>
        <w:pStyle w:val="5"/>
        <w:spacing w:line="460" w:lineRule="exact"/>
        <w:ind w:firstLine="422" w:firstLineChars="200"/>
        <w:rPr>
          <w:rFonts w:ascii="宋体" w:hAnsi="宋体" w:cs="宋体"/>
          <w:color w:val="auto"/>
          <w:sz w:val="21"/>
          <w:szCs w:val="21"/>
          <w:highlight w:val="none"/>
        </w:rPr>
      </w:pPr>
      <w:bookmarkStart w:id="98" w:name="_Toc923"/>
      <w:bookmarkStart w:id="99" w:name="_Toc25853"/>
      <w:bookmarkStart w:id="100" w:name="_Toc6626"/>
      <w:r>
        <w:rPr>
          <w:rFonts w:hint="eastAsia" w:ascii="宋体" w:hAnsi="宋体" w:cs="宋体"/>
          <w:color w:val="auto"/>
          <w:sz w:val="21"/>
          <w:szCs w:val="21"/>
          <w:highlight w:val="none"/>
        </w:rPr>
        <w:t>1. 适应范围</w:t>
      </w:r>
      <w:bookmarkEnd w:id="98"/>
      <w:bookmarkEnd w:id="99"/>
      <w:bookmarkEnd w:id="100"/>
    </w:p>
    <w:p w14:paraId="23402AE8">
      <w:pPr>
        <w:spacing w:line="4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330498C3">
      <w:pPr>
        <w:spacing w:line="4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1.2本竞争性磋商文件（以下简称磋商文件）适用于本项目的所有采购程序和环节（法律、法规另有规定的，从其规定）。</w:t>
      </w:r>
    </w:p>
    <w:p w14:paraId="08469AB3">
      <w:pPr>
        <w:pStyle w:val="5"/>
        <w:spacing w:line="460" w:lineRule="exact"/>
        <w:ind w:firstLine="422" w:firstLineChars="200"/>
        <w:rPr>
          <w:rFonts w:ascii="宋体" w:hAnsi="宋体" w:cs="宋体"/>
          <w:color w:val="auto"/>
          <w:sz w:val="21"/>
          <w:szCs w:val="21"/>
          <w:highlight w:val="none"/>
        </w:rPr>
      </w:pPr>
      <w:bookmarkStart w:id="101" w:name="_Toc28671"/>
      <w:bookmarkStart w:id="102" w:name="_Toc17438"/>
      <w:bookmarkStart w:id="103" w:name="_Toc28336"/>
      <w:r>
        <w:rPr>
          <w:rFonts w:hint="eastAsia" w:ascii="宋体" w:hAnsi="宋体" w:cs="宋体"/>
          <w:color w:val="auto"/>
          <w:sz w:val="21"/>
          <w:szCs w:val="21"/>
          <w:highlight w:val="none"/>
        </w:rPr>
        <w:t>2. 定义</w:t>
      </w:r>
      <w:bookmarkEnd w:id="101"/>
      <w:bookmarkEnd w:id="102"/>
      <w:bookmarkEnd w:id="103"/>
    </w:p>
    <w:p w14:paraId="47B34DFF">
      <w:pPr>
        <w:spacing w:line="500" w:lineRule="exact"/>
        <w:ind w:firstLine="435"/>
        <w:rPr>
          <w:rFonts w:ascii="宋体" w:hAnsi="宋体" w:cs="宋体"/>
          <w:color w:val="auto"/>
          <w:szCs w:val="21"/>
          <w:highlight w:val="none"/>
        </w:rPr>
      </w:pPr>
      <w:r>
        <w:rPr>
          <w:rFonts w:hint="eastAsia" w:ascii="宋体" w:hAnsi="宋体" w:cs="宋体"/>
          <w:color w:val="auto"/>
          <w:szCs w:val="21"/>
          <w:highlight w:val="none"/>
        </w:rPr>
        <w:t xml:space="preserve">2.1“供应商”是指符合本次采购项目的供应商资格并提交响应文件、参加磋商的供应商。如果该供应商在本次磋商中中标，即成为“成交供应商”。 </w:t>
      </w:r>
    </w:p>
    <w:p w14:paraId="1F8D5985">
      <w:pPr>
        <w:spacing w:line="500" w:lineRule="exact"/>
        <w:ind w:firstLine="435"/>
        <w:rPr>
          <w:rFonts w:ascii="宋体" w:hAnsi="宋体" w:cs="宋体"/>
          <w:color w:val="auto"/>
          <w:szCs w:val="21"/>
          <w:highlight w:val="none"/>
        </w:rPr>
      </w:pPr>
      <w:r>
        <w:rPr>
          <w:rFonts w:hint="eastAsia" w:ascii="宋体" w:hAnsi="宋体" w:cs="宋体"/>
          <w:color w:val="auto"/>
          <w:szCs w:val="21"/>
          <w:highlight w:val="none"/>
        </w:rPr>
        <w:t>2.2“书面形式”包括信函、传真、电报等。</w:t>
      </w:r>
    </w:p>
    <w:p w14:paraId="72AFB2FB">
      <w:pPr>
        <w:spacing w:line="460" w:lineRule="exact"/>
        <w:ind w:firstLine="435"/>
        <w:rPr>
          <w:rFonts w:ascii="宋体" w:hAnsi="宋体" w:cs="宋体"/>
          <w:color w:val="auto"/>
          <w:szCs w:val="21"/>
          <w:highlight w:val="none"/>
        </w:rPr>
      </w:pPr>
      <w:r>
        <w:rPr>
          <w:rFonts w:hint="eastAsia" w:ascii="宋体" w:hAnsi="宋体" w:cs="宋体"/>
          <w:color w:val="auto"/>
          <w:szCs w:val="21"/>
          <w:highlight w:val="none"/>
        </w:rPr>
        <w:t>2.3“项目”系指供应商按磋商文件规定向采购人提供</w:t>
      </w:r>
      <w:r>
        <w:rPr>
          <w:rFonts w:hint="eastAsia" w:ascii="宋体" w:hAnsi="宋体" w:cs="宋体"/>
          <w:color w:val="auto"/>
          <w:highlight w:val="none"/>
        </w:rPr>
        <w:t>施工图纸及工程量清单等所包含的施工内容</w:t>
      </w:r>
      <w:r>
        <w:rPr>
          <w:rFonts w:hint="eastAsia" w:ascii="宋体" w:hAnsi="宋体" w:cs="宋体"/>
          <w:color w:val="auto"/>
          <w:szCs w:val="21"/>
          <w:highlight w:val="none"/>
        </w:rPr>
        <w:t>。</w:t>
      </w:r>
    </w:p>
    <w:p w14:paraId="1416E937">
      <w:pPr>
        <w:spacing w:line="460" w:lineRule="exact"/>
        <w:ind w:firstLine="435"/>
        <w:rPr>
          <w:rFonts w:ascii="宋体" w:hAnsi="宋体" w:cs="宋体"/>
          <w:color w:val="auto"/>
          <w:szCs w:val="21"/>
          <w:highlight w:val="none"/>
        </w:rPr>
      </w:pPr>
      <w:r>
        <w:rPr>
          <w:rFonts w:hint="eastAsia" w:ascii="宋体" w:hAnsi="宋体" w:cs="宋体"/>
          <w:color w:val="auto"/>
          <w:szCs w:val="21"/>
          <w:highlight w:val="none"/>
        </w:rPr>
        <w:t>2.4“书面形式”包括信函、传真、电报等。</w:t>
      </w:r>
    </w:p>
    <w:p w14:paraId="2E5039F5">
      <w:pPr>
        <w:pStyle w:val="5"/>
        <w:spacing w:line="460" w:lineRule="exact"/>
        <w:ind w:firstLine="422" w:firstLineChars="200"/>
        <w:rPr>
          <w:rFonts w:ascii="宋体" w:hAnsi="宋体" w:cs="宋体"/>
          <w:color w:val="auto"/>
          <w:sz w:val="21"/>
          <w:szCs w:val="21"/>
          <w:highlight w:val="none"/>
        </w:rPr>
      </w:pPr>
      <w:bookmarkStart w:id="104" w:name="_Toc10187"/>
      <w:bookmarkStart w:id="105" w:name="_Toc25441"/>
      <w:bookmarkStart w:id="106" w:name="_Toc13613"/>
      <w:r>
        <w:rPr>
          <w:rFonts w:hint="eastAsia" w:ascii="宋体" w:hAnsi="宋体" w:cs="宋体"/>
          <w:color w:val="auto"/>
          <w:sz w:val="21"/>
          <w:szCs w:val="21"/>
          <w:highlight w:val="none"/>
        </w:rPr>
        <w:t>3. 供应商资格</w:t>
      </w:r>
      <w:bookmarkEnd w:id="104"/>
      <w:bookmarkEnd w:id="105"/>
      <w:bookmarkEnd w:id="106"/>
    </w:p>
    <w:p w14:paraId="384A0407">
      <w:pPr>
        <w:spacing w:line="500" w:lineRule="exact"/>
        <w:ind w:firstLine="420" w:firstLineChars="200"/>
        <w:rPr>
          <w:rFonts w:ascii="宋体" w:hAnsi="宋体" w:cs="宋体"/>
          <w:color w:val="auto"/>
          <w:szCs w:val="21"/>
          <w:highlight w:val="none"/>
        </w:rPr>
      </w:pPr>
      <w:bookmarkStart w:id="107" w:name="_Toc16496"/>
      <w:r>
        <w:rPr>
          <w:rFonts w:hint="eastAsia" w:ascii="宋体" w:hAnsi="宋体" w:cs="宋体"/>
          <w:color w:val="auto"/>
          <w:szCs w:val="21"/>
          <w:highlight w:val="none"/>
        </w:rPr>
        <w:t>详见“供应商须知前附表”</w:t>
      </w:r>
      <w:r>
        <w:rPr>
          <w:rFonts w:hint="eastAsia" w:ascii="宋体" w:hAnsi="宋体" w:cs="宋体"/>
          <w:bCs/>
          <w:color w:val="auto"/>
          <w:highlight w:val="none"/>
        </w:rPr>
        <w:t>。</w:t>
      </w:r>
    </w:p>
    <w:p w14:paraId="3480450F">
      <w:pPr>
        <w:pStyle w:val="5"/>
        <w:spacing w:line="460" w:lineRule="exact"/>
        <w:ind w:firstLine="422" w:firstLineChars="200"/>
        <w:rPr>
          <w:rFonts w:ascii="宋体" w:hAnsi="宋体" w:cs="宋体"/>
          <w:color w:val="auto"/>
          <w:sz w:val="21"/>
          <w:szCs w:val="21"/>
          <w:highlight w:val="none"/>
        </w:rPr>
      </w:pPr>
      <w:bookmarkStart w:id="108" w:name="_Toc19795"/>
      <w:bookmarkStart w:id="109" w:name="_Toc14124"/>
      <w:r>
        <w:rPr>
          <w:rFonts w:hint="eastAsia" w:ascii="宋体" w:hAnsi="宋体" w:cs="宋体"/>
          <w:color w:val="auto"/>
          <w:sz w:val="21"/>
          <w:szCs w:val="21"/>
          <w:highlight w:val="none"/>
        </w:rPr>
        <w:t>4. 磋商费用</w:t>
      </w:r>
      <w:bookmarkEnd w:id="107"/>
      <w:bookmarkEnd w:id="108"/>
      <w:bookmarkEnd w:id="109"/>
    </w:p>
    <w:p w14:paraId="372AF652">
      <w:pPr>
        <w:tabs>
          <w:tab w:val="left" w:pos="1635"/>
        </w:tabs>
        <w:spacing w:line="460" w:lineRule="exact"/>
        <w:ind w:firstLine="435"/>
        <w:rPr>
          <w:rFonts w:ascii="宋体" w:hAnsi="宋体" w:cs="宋体"/>
          <w:color w:val="auto"/>
          <w:szCs w:val="21"/>
          <w:highlight w:val="none"/>
        </w:rPr>
      </w:pPr>
      <w:r>
        <w:rPr>
          <w:rFonts w:hint="eastAsia" w:ascii="宋体" w:hAnsi="宋体" w:cs="宋体"/>
          <w:color w:val="auto"/>
          <w:szCs w:val="21"/>
          <w:highlight w:val="none"/>
        </w:rPr>
        <w:t>不论磋商结果如何，供应商均应自行承担所有与磋商有关的全部费用。</w:t>
      </w:r>
    </w:p>
    <w:p w14:paraId="4BB3053C">
      <w:pPr>
        <w:pStyle w:val="5"/>
        <w:spacing w:line="460" w:lineRule="exact"/>
        <w:ind w:firstLine="422" w:firstLineChars="200"/>
        <w:rPr>
          <w:rFonts w:ascii="宋体" w:hAnsi="宋体" w:cs="宋体"/>
          <w:color w:val="auto"/>
          <w:sz w:val="21"/>
          <w:szCs w:val="21"/>
          <w:highlight w:val="none"/>
        </w:rPr>
      </w:pPr>
      <w:bookmarkStart w:id="110" w:name="_Toc30661"/>
      <w:bookmarkStart w:id="111" w:name="_Toc31376"/>
      <w:bookmarkStart w:id="112" w:name="_Toc10971"/>
      <w:r>
        <w:rPr>
          <w:rFonts w:hint="eastAsia" w:ascii="宋体" w:hAnsi="宋体" w:cs="宋体"/>
          <w:color w:val="auto"/>
          <w:sz w:val="21"/>
          <w:szCs w:val="21"/>
          <w:highlight w:val="none"/>
        </w:rPr>
        <w:t>5. 联合体要求</w:t>
      </w:r>
      <w:bookmarkEnd w:id="110"/>
      <w:bookmarkEnd w:id="111"/>
      <w:bookmarkEnd w:id="112"/>
    </w:p>
    <w:p w14:paraId="02B3209A">
      <w:pPr>
        <w:spacing w:line="4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本项目不接受联合体参与磋商</w:t>
      </w:r>
    </w:p>
    <w:p w14:paraId="3C95DC07">
      <w:pPr>
        <w:pStyle w:val="5"/>
        <w:spacing w:line="460" w:lineRule="exact"/>
        <w:ind w:firstLine="422" w:firstLineChars="200"/>
        <w:rPr>
          <w:rFonts w:ascii="宋体" w:hAnsi="宋体" w:cs="宋体"/>
          <w:color w:val="auto"/>
          <w:sz w:val="21"/>
          <w:szCs w:val="21"/>
          <w:highlight w:val="none"/>
        </w:rPr>
      </w:pPr>
      <w:bookmarkStart w:id="113" w:name="_Toc17501"/>
      <w:bookmarkStart w:id="114" w:name="_Toc4152"/>
      <w:bookmarkStart w:id="115" w:name="_Toc14142"/>
      <w:r>
        <w:rPr>
          <w:rFonts w:hint="eastAsia" w:ascii="宋体" w:hAnsi="宋体" w:cs="宋体"/>
          <w:color w:val="auto"/>
          <w:sz w:val="21"/>
          <w:szCs w:val="21"/>
          <w:highlight w:val="none"/>
        </w:rPr>
        <w:t>6. 质疑和投诉</w:t>
      </w:r>
      <w:bookmarkEnd w:id="113"/>
      <w:bookmarkEnd w:id="114"/>
      <w:bookmarkEnd w:id="115"/>
    </w:p>
    <w:p w14:paraId="60831A47">
      <w:pPr>
        <w:tabs>
          <w:tab w:val="left" w:pos="2190"/>
        </w:tabs>
        <w:spacing w:line="460" w:lineRule="exact"/>
        <w:ind w:firstLine="435"/>
        <w:rPr>
          <w:rFonts w:ascii="宋体" w:hAnsi="宋体" w:cs="宋体"/>
          <w:color w:val="auto"/>
          <w:szCs w:val="21"/>
          <w:highlight w:val="none"/>
        </w:rPr>
      </w:pPr>
      <w:bookmarkStart w:id="116" w:name="_Toc8195"/>
      <w:bookmarkStart w:id="117" w:name="_Toc26087"/>
      <w:r>
        <w:rPr>
          <w:rFonts w:hint="eastAsia" w:ascii="宋体" w:hAnsi="宋体" w:cs="宋体"/>
          <w:color w:val="auto"/>
          <w:szCs w:val="21"/>
          <w:highlight w:val="none"/>
        </w:rPr>
        <w:t>6.1供应对政府采购活动事项有疑问的，可以向采购人提出询问。采购人应当及时作出答复，但答复的内容不得涉及商业秘密。</w:t>
      </w:r>
    </w:p>
    <w:p w14:paraId="6B0C6C7D">
      <w:pPr>
        <w:tabs>
          <w:tab w:val="left" w:pos="2190"/>
        </w:tabs>
        <w:spacing w:line="460" w:lineRule="exact"/>
        <w:ind w:firstLine="435"/>
        <w:rPr>
          <w:rFonts w:ascii="宋体" w:hAnsi="宋体" w:cs="宋体"/>
          <w:color w:val="auto"/>
          <w:szCs w:val="21"/>
          <w:highlight w:val="none"/>
        </w:rPr>
      </w:pPr>
      <w:r>
        <w:rPr>
          <w:rFonts w:hint="eastAsia" w:ascii="宋体" w:hAnsi="宋体" w:cs="宋体"/>
          <w:color w:val="auto"/>
          <w:szCs w:val="21"/>
          <w:highlight w:val="none"/>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w:t>
      </w:r>
      <w:r>
        <w:rPr>
          <w:rFonts w:hint="eastAsia"/>
          <w:color w:val="auto"/>
          <w:highlight w:val="none"/>
        </w:rPr>
        <w:t>供应商在法定的质疑期内一次性提出针对同一采购程序环节的质疑，</w:t>
      </w:r>
      <w:r>
        <w:rPr>
          <w:rFonts w:hint="eastAsia" w:ascii="宋体" w:hAnsi="宋体" w:cs="宋体"/>
          <w:color w:val="auto"/>
          <w:szCs w:val="21"/>
          <w:highlight w:val="none"/>
        </w:rPr>
        <w:t>采购代理机构应认真做好质疑处理工作。</w:t>
      </w:r>
    </w:p>
    <w:p w14:paraId="232E6605">
      <w:pPr>
        <w:tabs>
          <w:tab w:val="left" w:pos="2190"/>
        </w:tabs>
        <w:spacing w:line="460" w:lineRule="exact"/>
        <w:ind w:firstLine="435"/>
        <w:rPr>
          <w:rFonts w:ascii="宋体" w:hAnsi="宋体" w:cs="宋体"/>
          <w:color w:val="auto"/>
          <w:szCs w:val="21"/>
          <w:highlight w:val="none"/>
        </w:rPr>
      </w:pPr>
      <w:r>
        <w:rPr>
          <w:rFonts w:hint="eastAsia" w:ascii="宋体" w:hAnsi="宋体" w:cs="宋体"/>
          <w:color w:val="auto"/>
          <w:szCs w:val="21"/>
          <w:highlight w:val="none"/>
        </w:rPr>
        <w:t>6.3供应商对采购代理机构的质疑答复不满意或者采购代理机构未在规定的时间内作出答复的，可以在答复期满后十五个工作日内向相关监管部门投诉。</w:t>
      </w:r>
    </w:p>
    <w:p w14:paraId="03CD48CF">
      <w:pPr>
        <w:tabs>
          <w:tab w:val="left" w:pos="2190"/>
        </w:tabs>
        <w:spacing w:line="460" w:lineRule="exact"/>
        <w:ind w:firstLine="435"/>
        <w:rPr>
          <w:rFonts w:ascii="宋体" w:hAnsi="宋体" w:cs="宋体"/>
          <w:color w:val="auto"/>
          <w:szCs w:val="21"/>
          <w:highlight w:val="none"/>
        </w:rPr>
      </w:pPr>
      <w:r>
        <w:rPr>
          <w:rFonts w:hint="eastAsia" w:ascii="宋体" w:hAnsi="宋体" w:cs="宋体"/>
          <w:color w:val="auto"/>
          <w:szCs w:val="21"/>
          <w:highlight w:val="none"/>
        </w:rPr>
        <w:t>6.4质疑、投诉应当采用书面形式，质疑书、投诉书实行实名制，均应明确阐述磋商文件、采购过程或成交结果中使自己合法权益受到损害的实质性内容，提供相关事实、明确的请求，并提供必要的证明材料。质疑函和投诉书格式详见附件。</w:t>
      </w:r>
    </w:p>
    <w:p w14:paraId="38B85F19">
      <w:pPr>
        <w:tabs>
          <w:tab w:val="left" w:pos="2190"/>
        </w:tabs>
        <w:spacing w:line="460" w:lineRule="exact"/>
        <w:ind w:firstLine="420" w:firstLineChars="200"/>
        <w:rPr>
          <w:color w:val="auto"/>
          <w:highlight w:val="none"/>
        </w:rPr>
      </w:pPr>
      <w:r>
        <w:rPr>
          <w:rFonts w:hint="eastAsia" w:ascii="宋体" w:hAnsi="宋体" w:cs="宋体"/>
          <w:color w:val="auto"/>
          <w:szCs w:val="21"/>
          <w:highlight w:val="none"/>
        </w:rPr>
        <w:t>6.5</w:t>
      </w:r>
      <w:r>
        <w:rPr>
          <w:rFonts w:hint="eastAsia"/>
          <w:color w:val="auto"/>
          <w:highlight w:val="none"/>
        </w:rPr>
        <w:t>质疑联系部门及联系方式：</w:t>
      </w:r>
    </w:p>
    <w:p w14:paraId="08932A81">
      <w:pPr>
        <w:tabs>
          <w:tab w:val="left" w:pos="2190"/>
        </w:tabs>
        <w:spacing w:line="460" w:lineRule="exact"/>
        <w:ind w:firstLine="435"/>
        <w:rPr>
          <w:color w:val="auto"/>
          <w:highlight w:val="none"/>
        </w:rPr>
      </w:pPr>
      <w:r>
        <w:rPr>
          <w:rFonts w:hint="eastAsia"/>
          <w:color w:val="auto"/>
          <w:highlight w:val="none"/>
          <w:lang w:eastAsia="zh-CN"/>
        </w:rPr>
        <w:t>广西建通工程咨询有限责任公司</w:t>
      </w:r>
      <w:r>
        <w:rPr>
          <w:rFonts w:hint="eastAsia"/>
          <w:color w:val="auto"/>
          <w:highlight w:val="none"/>
        </w:rPr>
        <w:t>（采购代理机构）</w:t>
      </w:r>
    </w:p>
    <w:p w14:paraId="7083D54E">
      <w:pPr>
        <w:tabs>
          <w:tab w:val="left" w:pos="2190"/>
        </w:tabs>
        <w:spacing w:line="460" w:lineRule="exact"/>
        <w:ind w:firstLine="435"/>
        <w:rPr>
          <w:rFonts w:hint="eastAsia" w:eastAsia="宋体"/>
          <w:color w:val="auto"/>
          <w:highlight w:val="none"/>
          <w:lang w:eastAsia="zh-CN"/>
        </w:rPr>
      </w:pPr>
      <w:r>
        <w:rPr>
          <w:rFonts w:hint="eastAsia"/>
          <w:color w:val="auto"/>
          <w:highlight w:val="none"/>
        </w:rPr>
        <w:t>通讯地址：</w:t>
      </w:r>
      <w:r>
        <w:rPr>
          <w:rFonts w:hint="eastAsia"/>
          <w:color w:val="auto"/>
          <w:highlight w:val="none"/>
          <w:lang w:eastAsia="zh-CN"/>
        </w:rPr>
        <w:t>南宁市江南区金凯路26号广西建通中心12楼1213室</w:t>
      </w:r>
    </w:p>
    <w:p w14:paraId="538B7AC2">
      <w:pPr>
        <w:tabs>
          <w:tab w:val="left" w:pos="2190"/>
        </w:tabs>
        <w:spacing w:line="460" w:lineRule="exact"/>
        <w:ind w:firstLine="435"/>
        <w:rPr>
          <w:rFonts w:hint="eastAsia" w:eastAsia="宋体"/>
          <w:color w:val="auto"/>
          <w:highlight w:val="none"/>
          <w:lang w:eastAsia="zh-CN"/>
        </w:rPr>
      </w:pPr>
      <w:r>
        <w:rPr>
          <w:rFonts w:hint="eastAsia"/>
          <w:color w:val="auto"/>
          <w:highlight w:val="none"/>
        </w:rPr>
        <w:t>联系电话：</w:t>
      </w:r>
      <w:r>
        <w:rPr>
          <w:rFonts w:hint="eastAsia"/>
          <w:color w:val="auto"/>
          <w:highlight w:val="none"/>
          <w:lang w:eastAsia="zh-CN"/>
        </w:rPr>
        <w:t>0771-2863138</w:t>
      </w:r>
    </w:p>
    <w:p w14:paraId="3EF8F5F9">
      <w:pPr>
        <w:tabs>
          <w:tab w:val="left" w:pos="2190"/>
        </w:tabs>
        <w:spacing w:line="460" w:lineRule="exact"/>
        <w:ind w:firstLine="435"/>
        <w:rPr>
          <w:rFonts w:ascii="宋体" w:hAnsi="宋体" w:cs="宋体"/>
          <w:color w:val="auto"/>
          <w:highlight w:val="none"/>
        </w:rPr>
      </w:pPr>
      <w:r>
        <w:rPr>
          <w:rFonts w:hint="eastAsia" w:ascii="宋体" w:hAnsi="宋体" w:cs="宋体"/>
          <w:color w:val="auto"/>
          <w:highlight w:val="none"/>
        </w:rPr>
        <w:t>现场提交质疑办理业务时间（北京时间）：</w:t>
      </w:r>
      <w:r>
        <w:rPr>
          <w:rFonts w:hint="eastAsia" w:ascii="宋体" w:hAnsi="宋体" w:cs="宋体"/>
          <w:color w:val="auto"/>
          <w:highlight w:val="none"/>
          <w:lang w:val="en-US" w:eastAsia="zh-CN"/>
        </w:rPr>
        <w:t>9</w:t>
      </w:r>
      <w:r>
        <w:rPr>
          <w:rFonts w:hint="eastAsia" w:ascii="宋体" w:hAnsi="宋体" w:cs="宋体"/>
          <w:color w:val="auto"/>
          <w:highlight w:val="none"/>
        </w:rPr>
        <w:t>时00分到12时00分，15时00分到18时00分，业务时间以外、双休日和法定节假日不办理业务。</w:t>
      </w:r>
    </w:p>
    <w:bookmarkEnd w:id="116"/>
    <w:bookmarkEnd w:id="117"/>
    <w:p w14:paraId="1DEA68B5">
      <w:pPr>
        <w:pStyle w:val="5"/>
        <w:spacing w:line="460" w:lineRule="exact"/>
        <w:ind w:firstLine="422" w:firstLineChars="200"/>
        <w:rPr>
          <w:rFonts w:ascii="宋体" w:hAnsi="宋体" w:cs="宋体"/>
          <w:color w:val="auto"/>
          <w:sz w:val="21"/>
          <w:szCs w:val="21"/>
          <w:highlight w:val="none"/>
        </w:rPr>
      </w:pPr>
      <w:bookmarkStart w:id="118" w:name="_Toc13690"/>
      <w:bookmarkStart w:id="119" w:name="_Toc6998"/>
      <w:bookmarkStart w:id="120" w:name="_Toc7795"/>
      <w:r>
        <w:rPr>
          <w:rFonts w:hint="eastAsia" w:ascii="宋体" w:hAnsi="宋体" w:cs="宋体"/>
          <w:color w:val="auto"/>
          <w:sz w:val="21"/>
          <w:szCs w:val="21"/>
          <w:highlight w:val="none"/>
        </w:rPr>
        <w:t>7. 转包与分包</w:t>
      </w:r>
      <w:bookmarkEnd w:id="118"/>
      <w:bookmarkEnd w:id="119"/>
      <w:bookmarkEnd w:id="120"/>
    </w:p>
    <w:p w14:paraId="3F94BD68">
      <w:pPr>
        <w:tabs>
          <w:tab w:val="left" w:pos="2190"/>
        </w:tabs>
        <w:spacing w:line="460" w:lineRule="exact"/>
        <w:ind w:firstLine="435"/>
        <w:rPr>
          <w:rFonts w:ascii="宋体" w:hAnsi="宋体" w:cs="宋体"/>
          <w:color w:val="auto"/>
          <w:szCs w:val="21"/>
          <w:highlight w:val="none"/>
        </w:rPr>
      </w:pPr>
      <w:r>
        <w:rPr>
          <w:rFonts w:hint="eastAsia" w:ascii="宋体" w:hAnsi="宋体" w:cs="宋体"/>
          <w:color w:val="auto"/>
          <w:szCs w:val="21"/>
          <w:highlight w:val="none"/>
        </w:rPr>
        <w:t>7.1 本项目不允许转包。</w:t>
      </w:r>
    </w:p>
    <w:p w14:paraId="1790E43C">
      <w:pPr>
        <w:tabs>
          <w:tab w:val="left" w:pos="2190"/>
        </w:tabs>
        <w:spacing w:line="460" w:lineRule="exact"/>
        <w:ind w:firstLine="435"/>
        <w:rPr>
          <w:rFonts w:ascii="宋体" w:hAnsi="宋体" w:cs="宋体"/>
          <w:color w:val="auto"/>
          <w:szCs w:val="21"/>
          <w:highlight w:val="none"/>
        </w:rPr>
      </w:pPr>
      <w:r>
        <w:rPr>
          <w:rFonts w:hint="eastAsia" w:ascii="宋体" w:hAnsi="宋体" w:cs="宋体"/>
          <w:color w:val="auto"/>
          <w:szCs w:val="21"/>
          <w:highlight w:val="none"/>
        </w:rPr>
        <w:t>7.2 本项目不可以分包。</w:t>
      </w:r>
    </w:p>
    <w:p w14:paraId="21A69A12">
      <w:pPr>
        <w:pStyle w:val="5"/>
        <w:spacing w:line="460" w:lineRule="exact"/>
        <w:ind w:firstLine="422" w:firstLineChars="200"/>
        <w:rPr>
          <w:rFonts w:ascii="宋体" w:hAnsi="宋体" w:cs="宋体"/>
          <w:color w:val="auto"/>
          <w:sz w:val="21"/>
          <w:szCs w:val="21"/>
          <w:highlight w:val="none"/>
        </w:rPr>
      </w:pPr>
      <w:bookmarkStart w:id="121" w:name="_Toc28010"/>
      <w:bookmarkStart w:id="122" w:name="_Toc3368"/>
      <w:bookmarkStart w:id="123" w:name="_Toc15275"/>
      <w:r>
        <w:rPr>
          <w:rFonts w:hint="eastAsia" w:ascii="宋体" w:hAnsi="宋体" w:cs="宋体"/>
          <w:color w:val="auto"/>
          <w:sz w:val="21"/>
          <w:szCs w:val="21"/>
          <w:highlight w:val="none"/>
        </w:rPr>
        <w:t>8. 特别说明</w:t>
      </w:r>
      <w:bookmarkEnd w:id="121"/>
      <w:bookmarkEnd w:id="122"/>
      <w:bookmarkEnd w:id="123"/>
    </w:p>
    <w:p w14:paraId="2FDF0F90">
      <w:pPr>
        <w:tabs>
          <w:tab w:val="left" w:pos="1635"/>
        </w:tabs>
        <w:spacing w:line="4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8.1关联供应商不得参加同一合同项下政府采购活动，否则响应文件将被视为无效：</w:t>
      </w:r>
    </w:p>
    <w:p w14:paraId="25C0B0D6">
      <w:pPr>
        <w:tabs>
          <w:tab w:val="left" w:pos="1635"/>
        </w:tabs>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（1）单位负责人为同一人或者存在直接控股、管理关系的，不得参加同一合同项下的政府采购活动。</w:t>
      </w:r>
    </w:p>
    <w:p w14:paraId="6CB98B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（2）为本采购项目提供整体设计、规范编制或者项目管理、监理、检测等服务的供应商，不得再参加本次采购活动。</w:t>
      </w:r>
      <w:bookmarkStart w:id="124" w:name="_Toc254970673"/>
      <w:bookmarkStart w:id="125" w:name="_Toc254970532"/>
    </w:p>
    <w:bookmarkEnd w:id="124"/>
    <w:bookmarkEnd w:id="125"/>
    <w:p w14:paraId="5703C78D">
      <w:pPr>
        <w:spacing w:line="360" w:lineRule="auto"/>
        <w:ind w:firstLine="420" w:firstLineChars="200"/>
        <w:rPr>
          <w:rFonts w:ascii="宋体" w:hAnsi="宋体" w:cs="宋体"/>
          <w:color w:val="auto"/>
          <w:szCs w:val="21"/>
          <w:highlight w:val="none"/>
        </w:rPr>
      </w:pPr>
      <w:bookmarkStart w:id="126" w:name="_8.1提供相同品牌产品且通过资格审查、符合性审查的不同投标人参加同一合"/>
      <w:bookmarkEnd w:id="126"/>
      <w:r>
        <w:rPr>
          <w:rFonts w:hint="eastAsia" w:ascii="宋体" w:hAnsi="宋体" w:cs="宋体"/>
          <w:color w:val="auto"/>
          <w:szCs w:val="21"/>
          <w:highlight w:val="none"/>
        </w:rPr>
        <w:t>8.2</w:t>
      </w:r>
      <w:r>
        <w:rPr>
          <w:rFonts w:hint="eastAsia" w:ascii="宋体" w:hAnsi="宋体"/>
          <w:color w:val="auto"/>
          <w:szCs w:val="21"/>
          <w:highlight w:val="none"/>
        </w:rPr>
        <w:t>如果本磋商文件要求供应商提供资格、信誉、荣誉、业绩与企业认证等材料的，则供应商所提供的以上材料必须为本供应商所拥有</w:t>
      </w:r>
      <w:r>
        <w:rPr>
          <w:rFonts w:hint="eastAsia" w:ascii="宋体" w:hAnsi="宋体" w:cs="宋体"/>
          <w:color w:val="auto"/>
          <w:szCs w:val="21"/>
          <w:highlight w:val="none"/>
        </w:rPr>
        <w:t>。</w:t>
      </w:r>
    </w:p>
    <w:p w14:paraId="536E31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8.3供应商应仔细阅读磋商文件的所有内容，按照磋商文件的要求提交响应文件，并对所提供的全部资料的真实性承担法律责任。</w:t>
      </w:r>
    </w:p>
    <w:p w14:paraId="31C532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8.4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4B3A2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8.5在政府采购活动中，采购人员及相关人员与供应商有下列利害关系之一的，应当回避：</w:t>
      </w:r>
    </w:p>
    <w:p w14:paraId="4FC9D0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2BCA18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783EC0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3A2991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000D2C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1A18D5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6AA08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8.6有下列情形之一的视为供应商相互串通竞标，响应文件将被视为无效：</w:t>
      </w:r>
    </w:p>
    <w:p w14:paraId="3B999F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（1）不同供应商的响应文件由同一单位或者个人编制；或者不同供应商报名的IP地址一致的；</w:t>
      </w:r>
    </w:p>
    <w:p w14:paraId="474C61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5F50E1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（3）不同的供应商的响应文件载明的项目管理员或者联系人员为同一个人；</w:t>
      </w:r>
    </w:p>
    <w:p w14:paraId="372B47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0A878F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r>
        <w:rPr>
          <w:rFonts w:ascii="宋体" w:hAnsi="宋体" w:cs="宋体"/>
          <w:color w:val="auto"/>
          <w:szCs w:val="21"/>
          <w:highlight w:val="none"/>
        </w:rPr>
        <w:tab/>
      </w:r>
    </w:p>
    <w:p w14:paraId="7CCCB2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8.7供应商有下列情形之一的，属于恶意串通行为，将报同级监督管理部门：</w:t>
      </w:r>
    </w:p>
    <w:p w14:paraId="22647B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4C317A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59EC16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16BE8F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50745F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57C7E9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05EE4A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49035D35">
      <w:pPr>
        <w:tabs>
          <w:tab w:val="left" w:pos="1635"/>
        </w:tabs>
        <w:spacing w:line="460" w:lineRule="exact"/>
        <w:ind w:firstLine="420" w:firstLineChars="200"/>
        <w:rPr>
          <w:rFonts w:ascii="宋体" w:hAnsi="宋体" w:cs="宋体"/>
          <w:color w:val="auto"/>
          <w:szCs w:val="21"/>
          <w:highlight w:val="none"/>
        </w:rPr>
      </w:pPr>
    </w:p>
    <w:p w14:paraId="58236230">
      <w:pPr>
        <w:pStyle w:val="10"/>
        <w:spacing w:line="460" w:lineRule="exact"/>
        <w:rPr>
          <w:rFonts w:ascii="宋体" w:hAnsi="宋体" w:cs="宋体"/>
          <w:color w:val="auto"/>
          <w:highlight w:val="none"/>
        </w:rPr>
      </w:pPr>
    </w:p>
    <w:p w14:paraId="003808A8">
      <w:pPr>
        <w:spacing w:line="460" w:lineRule="exact"/>
        <w:jc w:val="center"/>
        <w:outlineLvl w:val="1"/>
        <w:rPr>
          <w:b/>
          <w:bCs/>
          <w:color w:val="auto"/>
          <w:sz w:val="28"/>
          <w:szCs w:val="28"/>
          <w:highlight w:val="none"/>
        </w:rPr>
      </w:pPr>
      <w:bookmarkStart w:id="127" w:name="_Toc22498"/>
      <w:bookmarkStart w:id="128" w:name="_Toc17322"/>
      <w:bookmarkStart w:id="129" w:name="_Toc13302"/>
      <w:r>
        <w:rPr>
          <w:rFonts w:hint="eastAsia"/>
          <w:b/>
          <w:bCs/>
          <w:color w:val="auto"/>
          <w:sz w:val="28"/>
          <w:szCs w:val="28"/>
          <w:highlight w:val="none"/>
        </w:rPr>
        <w:t>二、磋商文件</w:t>
      </w:r>
      <w:bookmarkEnd w:id="127"/>
      <w:bookmarkEnd w:id="128"/>
      <w:bookmarkEnd w:id="129"/>
    </w:p>
    <w:p w14:paraId="37859345">
      <w:pPr>
        <w:pStyle w:val="5"/>
        <w:spacing w:line="460" w:lineRule="exact"/>
        <w:ind w:firstLine="422" w:firstLineChars="200"/>
        <w:rPr>
          <w:rFonts w:ascii="宋体" w:hAnsi="宋体" w:cs="宋体"/>
          <w:color w:val="auto"/>
          <w:sz w:val="21"/>
          <w:szCs w:val="21"/>
          <w:highlight w:val="none"/>
          <w:lang w:val="pt-BR"/>
        </w:rPr>
      </w:pPr>
      <w:bookmarkStart w:id="130" w:name="_Toc17448"/>
      <w:bookmarkStart w:id="131" w:name="_Toc9387"/>
      <w:bookmarkStart w:id="132" w:name="_Toc18964"/>
      <w:r>
        <w:rPr>
          <w:rFonts w:hint="eastAsia" w:ascii="宋体" w:hAnsi="宋体" w:cs="宋体"/>
          <w:color w:val="auto"/>
          <w:sz w:val="21"/>
          <w:szCs w:val="21"/>
          <w:highlight w:val="none"/>
          <w:lang w:val="pt-BR"/>
        </w:rPr>
        <w:t xml:space="preserve">9. </w:t>
      </w:r>
      <w:r>
        <w:rPr>
          <w:rFonts w:hint="eastAsia" w:ascii="宋体" w:hAnsi="宋体" w:cs="宋体"/>
          <w:color w:val="auto"/>
          <w:sz w:val="21"/>
          <w:szCs w:val="21"/>
          <w:highlight w:val="none"/>
        </w:rPr>
        <w:t>磋商文件的构成</w:t>
      </w:r>
      <w:bookmarkEnd w:id="130"/>
      <w:bookmarkEnd w:id="131"/>
      <w:bookmarkEnd w:id="132"/>
    </w:p>
    <w:p w14:paraId="1B02A650">
      <w:pPr>
        <w:tabs>
          <w:tab w:val="left" w:pos="2190"/>
        </w:tabs>
        <w:spacing w:line="500" w:lineRule="exact"/>
        <w:ind w:firstLine="437"/>
        <w:rPr>
          <w:rFonts w:ascii="宋体" w:hAnsi="宋体" w:cs="宋体"/>
          <w:color w:val="auto"/>
          <w:szCs w:val="21"/>
          <w:highlight w:val="none"/>
        </w:rPr>
      </w:pPr>
      <w:r>
        <w:rPr>
          <w:rFonts w:hint="eastAsia" w:ascii="宋体" w:hAnsi="宋体" w:cs="宋体"/>
          <w:color w:val="auto"/>
          <w:szCs w:val="21"/>
          <w:highlight w:val="none"/>
        </w:rPr>
        <w:t>（1）竞争性磋商公告；</w:t>
      </w:r>
    </w:p>
    <w:p w14:paraId="3DC6EF35">
      <w:pPr>
        <w:tabs>
          <w:tab w:val="left" w:pos="2190"/>
        </w:tabs>
        <w:spacing w:line="500" w:lineRule="exact"/>
        <w:ind w:firstLine="437"/>
        <w:rPr>
          <w:rFonts w:ascii="宋体" w:hAnsi="宋体" w:cs="宋体"/>
          <w:color w:val="auto"/>
          <w:szCs w:val="21"/>
          <w:highlight w:val="none"/>
        </w:rPr>
      </w:pPr>
      <w:r>
        <w:rPr>
          <w:rFonts w:hint="eastAsia" w:ascii="宋体" w:hAnsi="宋体" w:cs="宋体"/>
          <w:color w:val="auto"/>
          <w:szCs w:val="21"/>
          <w:highlight w:val="none"/>
        </w:rPr>
        <w:t>（2）供应商须知；</w:t>
      </w:r>
    </w:p>
    <w:p w14:paraId="5DE6536D">
      <w:pPr>
        <w:tabs>
          <w:tab w:val="left" w:pos="2190"/>
        </w:tabs>
        <w:spacing w:line="500" w:lineRule="exact"/>
        <w:ind w:firstLine="437"/>
        <w:rPr>
          <w:rFonts w:ascii="宋体" w:hAnsi="宋体" w:cs="宋体"/>
          <w:color w:val="auto"/>
          <w:szCs w:val="21"/>
          <w:highlight w:val="none"/>
        </w:rPr>
      </w:pPr>
      <w:r>
        <w:rPr>
          <w:rFonts w:hint="eastAsia" w:ascii="宋体" w:hAnsi="宋体" w:cs="宋体"/>
          <w:color w:val="auto"/>
          <w:szCs w:val="21"/>
          <w:highlight w:val="none"/>
        </w:rPr>
        <w:t>（3）评标办法；</w:t>
      </w:r>
    </w:p>
    <w:p w14:paraId="4A9AA820">
      <w:pPr>
        <w:tabs>
          <w:tab w:val="left" w:pos="2190"/>
        </w:tabs>
        <w:spacing w:line="500" w:lineRule="exact"/>
        <w:ind w:firstLine="437"/>
        <w:rPr>
          <w:rFonts w:ascii="宋体" w:hAnsi="宋体" w:cs="宋体"/>
          <w:color w:val="auto"/>
          <w:szCs w:val="21"/>
          <w:highlight w:val="none"/>
        </w:rPr>
      </w:pPr>
      <w:r>
        <w:rPr>
          <w:rFonts w:hint="eastAsia" w:ascii="宋体" w:hAnsi="宋体" w:cs="宋体"/>
          <w:color w:val="auto"/>
          <w:szCs w:val="21"/>
          <w:highlight w:val="none"/>
        </w:rPr>
        <w:t>（4）采购合同（合同主要条款及格式）；</w:t>
      </w:r>
    </w:p>
    <w:p w14:paraId="44C8F78E">
      <w:pPr>
        <w:tabs>
          <w:tab w:val="left" w:pos="2190"/>
        </w:tabs>
        <w:spacing w:line="500" w:lineRule="exact"/>
        <w:ind w:firstLine="437"/>
        <w:rPr>
          <w:rFonts w:ascii="宋体" w:hAnsi="宋体" w:cs="宋体"/>
          <w:color w:val="auto"/>
          <w:szCs w:val="21"/>
          <w:highlight w:val="none"/>
        </w:rPr>
      </w:pPr>
      <w:r>
        <w:rPr>
          <w:rFonts w:hint="eastAsia" w:ascii="宋体" w:hAnsi="宋体" w:cs="宋体"/>
          <w:color w:val="auto"/>
          <w:szCs w:val="21"/>
          <w:highlight w:val="none"/>
        </w:rPr>
        <w:t>（5）工程量清单；</w:t>
      </w:r>
    </w:p>
    <w:p w14:paraId="1DCB99AF">
      <w:pPr>
        <w:tabs>
          <w:tab w:val="left" w:pos="2190"/>
        </w:tabs>
        <w:spacing w:line="500" w:lineRule="exact"/>
        <w:ind w:firstLine="437"/>
        <w:rPr>
          <w:rFonts w:ascii="宋体" w:hAnsi="宋体" w:cs="宋体"/>
          <w:color w:val="auto"/>
          <w:szCs w:val="21"/>
          <w:highlight w:val="none"/>
        </w:rPr>
      </w:pPr>
      <w:r>
        <w:rPr>
          <w:rFonts w:hint="eastAsia" w:ascii="宋体" w:hAnsi="宋体" w:cs="宋体"/>
          <w:color w:val="auto"/>
          <w:szCs w:val="21"/>
          <w:highlight w:val="none"/>
        </w:rPr>
        <w:t>（6）图纸（如有另附）；</w:t>
      </w:r>
    </w:p>
    <w:p w14:paraId="117813AD">
      <w:pPr>
        <w:tabs>
          <w:tab w:val="left" w:pos="2190"/>
        </w:tabs>
        <w:spacing w:line="500" w:lineRule="exact"/>
        <w:ind w:firstLine="437"/>
        <w:rPr>
          <w:rFonts w:ascii="宋体" w:hAnsi="宋体" w:cs="宋体"/>
          <w:color w:val="auto"/>
          <w:szCs w:val="21"/>
          <w:highlight w:val="none"/>
        </w:rPr>
      </w:pPr>
      <w:r>
        <w:rPr>
          <w:rFonts w:hint="eastAsia" w:ascii="宋体" w:hAnsi="宋体" w:cs="宋体"/>
          <w:color w:val="auto"/>
          <w:szCs w:val="21"/>
          <w:highlight w:val="none"/>
        </w:rPr>
        <w:t>（7）技术标准；</w:t>
      </w:r>
    </w:p>
    <w:p w14:paraId="4243AB2C">
      <w:pPr>
        <w:tabs>
          <w:tab w:val="left" w:pos="2190"/>
        </w:tabs>
        <w:spacing w:line="500" w:lineRule="exact"/>
        <w:ind w:firstLine="437"/>
        <w:rPr>
          <w:rFonts w:ascii="宋体" w:hAnsi="宋体" w:cs="宋体"/>
          <w:color w:val="auto"/>
          <w:szCs w:val="21"/>
          <w:highlight w:val="none"/>
        </w:rPr>
      </w:pPr>
      <w:r>
        <w:rPr>
          <w:rFonts w:hint="eastAsia" w:ascii="宋体" w:hAnsi="宋体" w:cs="宋体"/>
          <w:color w:val="auto"/>
          <w:szCs w:val="21"/>
          <w:highlight w:val="none"/>
        </w:rPr>
        <w:t>（8）响应文件（格式）。</w:t>
      </w:r>
    </w:p>
    <w:p w14:paraId="6A47D7CD">
      <w:pPr>
        <w:pStyle w:val="5"/>
        <w:spacing w:line="460" w:lineRule="exact"/>
        <w:ind w:firstLine="422" w:firstLineChars="200"/>
        <w:rPr>
          <w:rFonts w:ascii="宋体" w:hAnsi="宋体" w:cs="宋体"/>
          <w:color w:val="auto"/>
          <w:sz w:val="21"/>
          <w:szCs w:val="21"/>
          <w:highlight w:val="none"/>
        </w:rPr>
      </w:pPr>
      <w:bookmarkStart w:id="133" w:name="_Toc5939"/>
      <w:bookmarkStart w:id="134" w:name="_Toc9103"/>
      <w:bookmarkStart w:id="135" w:name="_Toc4844"/>
      <w:r>
        <w:rPr>
          <w:rFonts w:hint="eastAsia" w:ascii="宋体" w:hAnsi="宋体" w:cs="宋体"/>
          <w:color w:val="auto"/>
          <w:sz w:val="21"/>
          <w:szCs w:val="21"/>
          <w:highlight w:val="none"/>
        </w:rPr>
        <w:t>10. 磋商文件的澄清与修改</w:t>
      </w:r>
      <w:bookmarkEnd w:id="133"/>
      <w:bookmarkEnd w:id="134"/>
      <w:bookmarkEnd w:id="135"/>
    </w:p>
    <w:p w14:paraId="3756D0D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提交首次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应当顺延提交首次响应文件截止时间。澄清或者更正公告在竞争性磋商公告发布媒体上发布，一经发布，视作已以书面形式通知所有获取竞争性磋商采购文件的潜在供应商，所有潜在供应商应密切关注原竞争性磋商公告发布媒体，因未能及时获知，由此产生的后果均应自行承担。</w:t>
      </w:r>
    </w:p>
    <w:p w14:paraId="41D4B4FB">
      <w:pPr>
        <w:spacing w:line="460" w:lineRule="exact"/>
        <w:outlineLvl w:val="9"/>
        <w:rPr>
          <w:b/>
          <w:bCs/>
          <w:color w:val="auto"/>
          <w:sz w:val="28"/>
          <w:szCs w:val="28"/>
          <w:highlight w:val="none"/>
        </w:rPr>
      </w:pPr>
      <w:bookmarkStart w:id="136" w:name="_Toc20830"/>
      <w:bookmarkStart w:id="137" w:name="_Toc31896"/>
    </w:p>
    <w:p w14:paraId="7E3420DD">
      <w:pPr>
        <w:spacing w:line="460" w:lineRule="exact"/>
        <w:jc w:val="center"/>
        <w:outlineLvl w:val="1"/>
        <w:rPr>
          <w:b/>
          <w:bCs/>
          <w:color w:val="auto"/>
          <w:sz w:val="28"/>
          <w:szCs w:val="28"/>
          <w:highlight w:val="none"/>
        </w:rPr>
      </w:pPr>
      <w:bookmarkStart w:id="138" w:name="_Toc10449"/>
      <w:r>
        <w:rPr>
          <w:rFonts w:hint="eastAsia"/>
          <w:b/>
          <w:bCs/>
          <w:color w:val="auto"/>
          <w:sz w:val="28"/>
          <w:szCs w:val="28"/>
          <w:highlight w:val="none"/>
        </w:rPr>
        <w:t>三、竞争性磋商响应文件的编制</w:t>
      </w:r>
      <w:bookmarkEnd w:id="136"/>
      <w:bookmarkEnd w:id="137"/>
      <w:bookmarkEnd w:id="138"/>
    </w:p>
    <w:p w14:paraId="56B6FF03">
      <w:pPr>
        <w:pStyle w:val="5"/>
        <w:spacing w:line="460" w:lineRule="exact"/>
        <w:ind w:firstLine="422" w:firstLineChars="200"/>
        <w:rPr>
          <w:rFonts w:ascii="宋体" w:hAnsi="宋体" w:cs="宋体"/>
          <w:color w:val="auto"/>
          <w:sz w:val="21"/>
          <w:szCs w:val="21"/>
          <w:highlight w:val="none"/>
        </w:rPr>
      </w:pPr>
      <w:bookmarkStart w:id="139" w:name="_Toc18371"/>
      <w:bookmarkStart w:id="140" w:name="_Toc13470"/>
      <w:r>
        <w:rPr>
          <w:rFonts w:hint="eastAsia" w:ascii="宋体" w:hAnsi="宋体" w:cs="宋体"/>
          <w:color w:val="auto"/>
          <w:sz w:val="21"/>
          <w:szCs w:val="21"/>
          <w:highlight w:val="none"/>
        </w:rPr>
        <w:t>11.竞争性磋商响应文件编制基本要求</w:t>
      </w:r>
      <w:bookmarkEnd w:id="139"/>
      <w:bookmarkEnd w:id="140"/>
    </w:p>
    <w:p w14:paraId="258EE2DB">
      <w:pPr>
        <w:spacing w:line="4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11.1 本项目实行电子响应，供应商应准备电子磋商响应文件：</w:t>
      </w:r>
    </w:p>
    <w:p w14:paraId="3D8E5461">
      <w:pPr>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11.1.1 电子响应文件按广西政府采购云平台要求及本磋商文件要求制作、加密并递交。具体操作流程可参考《政府采购项目电子交易管理操作指南-供应商》，指南可在“http://www.ccgp-guangxi.gov.cn/PurchaseAdvisory/ImportantNotice/2866753.html”下载。</w:t>
      </w:r>
    </w:p>
    <w:p w14:paraId="42C99B05">
      <w:pPr>
        <w:spacing w:line="4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11.2竞争性磋商响应文件（以下简称响应文件）的组成及要求</w:t>
      </w:r>
    </w:p>
    <w:p w14:paraId="30BE998B">
      <w:pPr>
        <w:spacing w:line="4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11.2.1响应文件组成【部分格式见第</w:t>
      </w:r>
      <w:r>
        <w:rPr>
          <w:rFonts w:hint="eastAsia" w:ascii="宋体" w:hAnsi="宋体" w:cs="宋体"/>
          <w:b/>
          <w:bCs/>
          <w:color w:val="auto"/>
          <w:szCs w:val="21"/>
          <w:highlight w:val="none"/>
          <w:lang w:eastAsia="zh-CN"/>
        </w:rPr>
        <w:t>七</w:t>
      </w:r>
      <w:r>
        <w:rPr>
          <w:rFonts w:hint="eastAsia" w:ascii="宋体" w:hAnsi="宋体" w:cs="宋体"/>
          <w:b/>
          <w:bCs/>
          <w:color w:val="auto"/>
          <w:szCs w:val="21"/>
          <w:highlight w:val="none"/>
        </w:rPr>
        <w:t>章“响应文件（格式）”】</w:t>
      </w:r>
    </w:p>
    <w:p w14:paraId="7636EE26">
      <w:pPr>
        <w:spacing w:line="46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11.2.1.1资格证明</w:t>
      </w:r>
      <w:r>
        <w:rPr>
          <w:rFonts w:hint="eastAsia" w:ascii="宋体" w:hAnsi="宋体" w:cs="宋体"/>
          <w:b/>
          <w:bCs/>
          <w:color w:val="auto"/>
          <w:szCs w:val="21"/>
          <w:highlight w:val="none"/>
          <w:lang w:eastAsia="zh-CN"/>
        </w:rPr>
        <w:t>文件</w:t>
      </w:r>
      <w:r>
        <w:rPr>
          <w:rFonts w:hint="eastAsia" w:ascii="宋体" w:hAnsi="宋体" w:cs="宋体"/>
          <w:b/>
          <w:bCs/>
          <w:color w:val="auto"/>
          <w:szCs w:val="21"/>
          <w:highlight w:val="none"/>
        </w:rPr>
        <w:t>：</w:t>
      </w:r>
    </w:p>
    <w:p w14:paraId="7F258BF9">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）供应商的法人或者其他组织营业执照等证明文件复印件</w:t>
      </w:r>
      <w:r>
        <w:rPr>
          <w:rFonts w:hint="eastAsia" w:ascii="宋体" w:hAnsi="宋体" w:cs="宋体"/>
          <w:b/>
          <w:bCs/>
          <w:color w:val="auto"/>
          <w:szCs w:val="21"/>
          <w:highlight w:val="none"/>
        </w:rPr>
        <w:t>（必须提供，自然人除外）；</w:t>
      </w:r>
    </w:p>
    <w:p w14:paraId="67D21F83">
      <w:pPr>
        <w:spacing w:line="46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DD48E72">
      <w:pPr>
        <w:numPr>
          <w:ilvl w:val="0"/>
          <w:numId w:val="0"/>
        </w:numPr>
        <w:spacing w:line="360" w:lineRule="auto"/>
        <w:ind w:firstLine="420" w:firstLineChars="200"/>
        <w:jc w:val="left"/>
        <w:rPr>
          <w:rFonts w:hint="eastAsia" w:ascii="宋体" w:cs="宋体"/>
          <w:b/>
          <w:bCs/>
          <w:color w:val="auto"/>
          <w:szCs w:val="21"/>
          <w:highlight w:val="none"/>
        </w:rPr>
      </w:pPr>
      <w:r>
        <w:rPr>
          <w:rFonts w:hint="eastAsia" w:ascii="宋体" w:hAnsi="Times New Roman" w:eastAsia="宋体" w:cs="宋体"/>
          <w:b w:val="0"/>
          <w:bCs w:val="0"/>
          <w:color w:val="auto"/>
          <w:kern w:val="2"/>
          <w:sz w:val="21"/>
          <w:szCs w:val="21"/>
          <w:highlight w:val="none"/>
          <w:lang w:val="en-US" w:eastAsia="zh-CN" w:bidi="ar-SA"/>
        </w:rPr>
        <w:t>（2）</w:t>
      </w:r>
      <w:r>
        <w:rPr>
          <w:rFonts w:hint="eastAsia" w:ascii="宋体" w:cs="宋体"/>
          <w:color w:val="auto"/>
          <w:szCs w:val="21"/>
          <w:highlight w:val="none"/>
        </w:rPr>
        <w:t>防城港市政府采购供应商信用承诺函（格式后附）；</w:t>
      </w:r>
      <w:r>
        <w:rPr>
          <w:rFonts w:hint="eastAsia" w:ascii="宋体" w:cs="宋体"/>
          <w:b/>
          <w:bCs/>
          <w:color w:val="auto"/>
          <w:szCs w:val="21"/>
          <w:highlight w:val="none"/>
        </w:rPr>
        <w:t>（必须提供，否则响应文件作无效响应处理）</w:t>
      </w:r>
    </w:p>
    <w:p w14:paraId="7D8EA65F">
      <w:pPr>
        <w:numPr>
          <w:ilvl w:val="0"/>
          <w:numId w:val="0"/>
        </w:numPr>
        <w:spacing w:line="360" w:lineRule="auto"/>
        <w:ind w:firstLine="420" w:firstLineChars="200"/>
        <w:jc w:val="left"/>
        <w:rPr>
          <w:rFonts w:hint="eastAsia" w:ascii="宋体" w:cs="宋体"/>
          <w:b/>
          <w:bCs/>
          <w:color w:val="auto"/>
          <w:szCs w:val="21"/>
          <w:highlight w:val="none"/>
        </w:rPr>
      </w:pPr>
      <w:r>
        <w:rPr>
          <w:rFonts w:hint="eastAsia" w:ascii="宋体" w:hAnsi="Times New Roman" w:eastAsia="宋体" w:cs="宋体"/>
          <w:b w:val="0"/>
          <w:bCs w:val="0"/>
          <w:color w:val="auto"/>
          <w:kern w:val="2"/>
          <w:sz w:val="21"/>
          <w:szCs w:val="21"/>
          <w:highlight w:val="none"/>
          <w:lang w:val="en-US" w:eastAsia="zh-CN" w:bidi="ar-SA"/>
        </w:rPr>
        <w:t>（3）</w:t>
      </w:r>
      <w:r>
        <w:rPr>
          <w:rFonts w:hint="eastAsia" w:ascii="宋体" w:cs="宋体"/>
          <w:b w:val="0"/>
          <w:bCs w:val="0"/>
          <w:color w:val="auto"/>
          <w:szCs w:val="21"/>
          <w:highlight w:val="none"/>
        </w:rPr>
        <w:t>供应商直接控股、管理关系信息表；</w:t>
      </w:r>
      <w:r>
        <w:rPr>
          <w:rFonts w:hint="eastAsia" w:ascii="宋体" w:cs="宋体"/>
          <w:b/>
          <w:bCs/>
          <w:color w:val="auto"/>
          <w:szCs w:val="21"/>
          <w:highlight w:val="none"/>
        </w:rPr>
        <w:t>（必须提供，否则响应文件按无效响应处理）</w:t>
      </w:r>
    </w:p>
    <w:p w14:paraId="758E09D7">
      <w:pPr>
        <w:numPr>
          <w:ilvl w:val="0"/>
          <w:numId w:val="0"/>
        </w:numPr>
        <w:spacing w:line="360" w:lineRule="auto"/>
        <w:ind w:firstLine="420" w:firstLineChars="200"/>
        <w:jc w:val="left"/>
        <w:rPr>
          <w:rFonts w:hint="eastAsia" w:ascii="宋体" w:eastAsia="宋体" w:cs="宋体"/>
          <w:b/>
          <w:bCs/>
          <w:color w:val="auto"/>
          <w:szCs w:val="21"/>
          <w:highlight w:val="none"/>
          <w:lang w:eastAsia="zh-CN"/>
        </w:rPr>
      </w:pPr>
      <w:r>
        <w:rPr>
          <w:rFonts w:hint="eastAsia" w:ascii="宋体" w:cs="宋体"/>
          <w:b w:val="0"/>
          <w:bCs w:val="0"/>
          <w:color w:val="auto"/>
          <w:szCs w:val="21"/>
          <w:highlight w:val="none"/>
          <w:lang w:eastAsia="zh-CN"/>
        </w:rPr>
        <w:t>（</w:t>
      </w:r>
      <w:r>
        <w:rPr>
          <w:rFonts w:hint="eastAsia" w:ascii="宋体" w:cs="宋体"/>
          <w:b w:val="0"/>
          <w:bCs w:val="0"/>
          <w:color w:val="auto"/>
          <w:szCs w:val="21"/>
          <w:highlight w:val="none"/>
          <w:lang w:val="en-US" w:eastAsia="zh-CN"/>
        </w:rPr>
        <w:t>4</w:t>
      </w:r>
      <w:r>
        <w:rPr>
          <w:rFonts w:hint="eastAsia" w:ascii="宋体" w:cs="宋体"/>
          <w:b w:val="0"/>
          <w:bCs w:val="0"/>
          <w:color w:val="auto"/>
          <w:szCs w:val="21"/>
          <w:highlight w:val="none"/>
          <w:lang w:eastAsia="zh-CN"/>
        </w:rPr>
        <w:t>）资格声明函；</w:t>
      </w:r>
      <w:r>
        <w:rPr>
          <w:rFonts w:hint="eastAsia" w:ascii="宋体" w:cs="宋体"/>
          <w:b/>
          <w:bCs/>
          <w:color w:val="auto"/>
          <w:szCs w:val="21"/>
          <w:highlight w:val="none"/>
          <w:lang w:eastAsia="zh-CN"/>
        </w:rPr>
        <w:t>（必须提供，否则响应文件按无效响应处理）</w:t>
      </w:r>
    </w:p>
    <w:p w14:paraId="7C5855B3">
      <w:pPr>
        <w:tabs>
          <w:tab w:val="left" w:pos="1305"/>
        </w:tabs>
        <w:spacing w:line="500" w:lineRule="exact"/>
        <w:ind w:firstLine="420" w:firstLineChars="200"/>
        <w:rPr>
          <w:rFonts w:hint="eastAsia" w:ascii="宋体" w:hAnsi="宋体" w:eastAsia="宋体" w:cs="宋体"/>
          <w:b/>
          <w:bCs/>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）建设工程项目管理承诺书；</w:t>
      </w:r>
      <w:r>
        <w:rPr>
          <w:rFonts w:hint="eastAsia" w:ascii="宋体" w:hAnsi="宋体" w:cs="宋体"/>
          <w:b/>
          <w:bCs/>
          <w:color w:val="auto"/>
          <w:szCs w:val="21"/>
          <w:highlight w:val="none"/>
          <w:lang w:eastAsia="zh-CN"/>
        </w:rPr>
        <w:t>(必须提供，否则按无效投标处理)</w:t>
      </w:r>
    </w:p>
    <w:p w14:paraId="183C0CF9">
      <w:pPr>
        <w:spacing w:line="460" w:lineRule="exact"/>
        <w:ind w:firstLine="420" w:firstLineChars="200"/>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）供应商有效的资质证书及安全生产许可证副本复印件</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必须提供，否则按无效投标处理</w:t>
      </w:r>
      <w:r>
        <w:rPr>
          <w:rFonts w:hint="eastAsia" w:ascii="宋体" w:hAnsi="宋体" w:cs="宋体"/>
          <w:b/>
          <w:bCs/>
          <w:color w:val="auto"/>
          <w:szCs w:val="21"/>
          <w:highlight w:val="none"/>
        </w:rPr>
        <w:t>）</w:t>
      </w:r>
    </w:p>
    <w:p w14:paraId="4A01537F">
      <w:pPr>
        <w:tabs>
          <w:tab w:val="left" w:pos="1305"/>
        </w:tabs>
        <w:spacing w:line="50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highlight w:val="none"/>
        </w:rPr>
        <w:t>中小企业声明函或者残疾人福利性单位声明函或者供应商属于监狱企业的证明材料</w:t>
      </w:r>
      <w:r>
        <w:rPr>
          <w:rFonts w:hint="eastAsia" w:hAnsi="宋体" w:cs="宋体"/>
          <w:color w:val="auto"/>
          <w:highlight w:val="none"/>
        </w:rPr>
        <w:t>；</w:t>
      </w:r>
      <w:r>
        <w:rPr>
          <w:rFonts w:hint="eastAsia" w:hAnsi="宋体" w:cs="宋体"/>
          <w:b/>
          <w:bCs/>
          <w:color w:val="auto"/>
          <w:highlight w:val="none"/>
        </w:rPr>
        <w:t>（必须提供）</w:t>
      </w:r>
    </w:p>
    <w:p w14:paraId="6B44ACA7">
      <w:pPr>
        <w:tabs>
          <w:tab w:val="left" w:pos="1305"/>
        </w:tabs>
        <w:spacing w:line="500" w:lineRule="exact"/>
        <w:ind w:firstLine="420" w:firstLineChars="200"/>
        <w:rPr>
          <w:rFonts w:ascii="宋体" w:hAnsi="宋体" w:cs="宋体"/>
          <w:bCs/>
          <w:color w:val="auto"/>
          <w:szCs w:val="21"/>
          <w:highlight w:val="none"/>
        </w:rPr>
      </w:pP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8</w:t>
      </w:r>
      <w:r>
        <w:rPr>
          <w:rFonts w:hint="eastAsia" w:ascii="宋体" w:hAnsi="宋体" w:cs="宋体"/>
          <w:b w:val="0"/>
          <w:bCs/>
          <w:color w:val="auto"/>
          <w:szCs w:val="21"/>
          <w:highlight w:val="none"/>
          <w:lang w:eastAsia="zh-CN"/>
        </w:rPr>
        <w:t>）除磋商文件规定必须提供以外，供应商认为需要提供的其他证明材料。</w:t>
      </w:r>
    </w:p>
    <w:p w14:paraId="7870FB77">
      <w:pPr>
        <w:pStyle w:val="21"/>
        <w:spacing w:after="0" w:line="460" w:lineRule="exact"/>
        <w:ind w:left="0" w:leftChars="0" w:firstLine="422"/>
        <w:rPr>
          <w:rFonts w:ascii="宋体" w:hAnsi="宋体" w:cs="宋体"/>
          <w:color w:val="auto"/>
          <w:highlight w:val="none"/>
        </w:rPr>
      </w:pPr>
      <w:r>
        <w:rPr>
          <w:rFonts w:hint="eastAsia" w:ascii="宋体" w:hAnsi="宋体" w:cs="宋体"/>
          <w:b/>
          <w:bCs/>
          <w:color w:val="auto"/>
          <w:szCs w:val="21"/>
          <w:highlight w:val="none"/>
        </w:rPr>
        <w:t>11.2.1.2</w:t>
      </w:r>
      <w:r>
        <w:rPr>
          <w:rFonts w:hint="eastAsia" w:ascii="宋体" w:hAnsi="宋体" w:cs="宋体"/>
          <w:b/>
          <w:bCs/>
          <w:color w:val="auto"/>
          <w:szCs w:val="21"/>
          <w:highlight w:val="none"/>
          <w:lang w:eastAsia="zh-CN"/>
        </w:rPr>
        <w:t>商务技术文件</w:t>
      </w:r>
      <w:r>
        <w:rPr>
          <w:rFonts w:hint="eastAsia" w:ascii="宋体" w:hAnsi="宋体" w:cs="宋体"/>
          <w:b/>
          <w:bCs/>
          <w:color w:val="auto"/>
          <w:szCs w:val="21"/>
          <w:highlight w:val="none"/>
        </w:rPr>
        <w:t>：</w:t>
      </w:r>
    </w:p>
    <w:p w14:paraId="2D780A95">
      <w:pPr>
        <w:tabs>
          <w:tab w:val="left" w:pos="1305"/>
        </w:tabs>
        <w:spacing w:line="500" w:lineRule="exact"/>
        <w:ind w:firstLine="420" w:firstLineChars="200"/>
        <w:rPr>
          <w:rFonts w:ascii="宋体" w:hAnsi="宋体" w:cs="宋体"/>
          <w:b/>
          <w:bCs w:val="0"/>
          <w:color w:val="auto"/>
          <w:szCs w:val="21"/>
          <w:highlight w:val="none"/>
        </w:rPr>
      </w:pPr>
      <w:r>
        <w:rPr>
          <w:rFonts w:hint="eastAsia" w:ascii="宋体" w:hAnsi="宋体" w:cs="宋体"/>
          <w:bCs/>
          <w:color w:val="auto"/>
          <w:szCs w:val="21"/>
          <w:highlight w:val="none"/>
        </w:rPr>
        <w:t>（1）无串通竞标行为的承诺函；</w:t>
      </w:r>
      <w:r>
        <w:rPr>
          <w:rFonts w:hint="eastAsia" w:ascii="宋体" w:hAnsi="宋体" w:cs="宋体"/>
          <w:b/>
          <w:bCs w:val="0"/>
          <w:color w:val="auto"/>
          <w:szCs w:val="21"/>
          <w:highlight w:val="none"/>
        </w:rPr>
        <w:t>（必须提供，否则响应文件按无效响应处理）</w:t>
      </w:r>
    </w:p>
    <w:p w14:paraId="0420B424">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）供应商相应的法定代表人</w:t>
      </w:r>
      <w:r>
        <w:rPr>
          <w:rFonts w:hint="eastAsia" w:ascii="宋体" w:hAnsi="宋体" w:cs="宋体"/>
          <w:color w:val="auto"/>
          <w:szCs w:val="21"/>
          <w:highlight w:val="none"/>
          <w:lang w:eastAsia="zh-CN"/>
        </w:rPr>
        <w:t>或</w:t>
      </w:r>
      <w:r>
        <w:rPr>
          <w:rFonts w:hint="eastAsia" w:ascii="宋体" w:hAnsi="宋体" w:cs="宋体"/>
          <w:color w:val="auto"/>
          <w:szCs w:val="21"/>
          <w:highlight w:val="none"/>
        </w:rPr>
        <w:t>负责人</w:t>
      </w:r>
      <w:r>
        <w:rPr>
          <w:rFonts w:hint="eastAsia" w:ascii="宋体" w:hAnsi="宋体" w:cs="宋体"/>
          <w:color w:val="auto"/>
          <w:szCs w:val="21"/>
          <w:highlight w:val="none"/>
          <w:lang w:eastAsia="zh-CN"/>
        </w:rPr>
        <w:t>或</w:t>
      </w:r>
      <w:r>
        <w:rPr>
          <w:rFonts w:hint="eastAsia" w:ascii="宋体" w:hAnsi="宋体" w:cs="宋体"/>
          <w:color w:val="auto"/>
          <w:szCs w:val="21"/>
          <w:highlight w:val="none"/>
        </w:rPr>
        <w:t>自然人身份证正反两面复印件</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5E589A58">
      <w:pPr>
        <w:spacing w:line="46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）供应商的授权委托书原件、委托代理人身份证正反面复印件</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（如有委托，必须提供）</w:t>
      </w:r>
    </w:p>
    <w:p w14:paraId="666C20B1">
      <w:pPr>
        <w:spacing w:line="460" w:lineRule="exact"/>
        <w:ind w:firstLine="420" w:firstLineChars="200"/>
        <w:rPr>
          <w:rFonts w:hint="eastAsia" w:ascii="宋体" w:hAnsi="宋体" w:cs="宋体"/>
          <w:b/>
          <w:bCs/>
          <w:color w:val="auto"/>
          <w:szCs w:val="21"/>
          <w:highlight w:val="none"/>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4</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商务条款偏离表；</w:t>
      </w:r>
      <w:r>
        <w:rPr>
          <w:rFonts w:hint="eastAsia" w:ascii="宋体" w:hAnsi="宋体" w:cs="宋体"/>
          <w:b/>
          <w:bCs/>
          <w:color w:val="auto"/>
          <w:szCs w:val="21"/>
          <w:highlight w:val="none"/>
        </w:rPr>
        <w:t>（必须提供，否则响应文件按无效响应处理）</w:t>
      </w:r>
    </w:p>
    <w:p w14:paraId="7F4E5FDD">
      <w:pPr>
        <w:spacing w:line="460" w:lineRule="exact"/>
        <w:ind w:firstLine="420" w:firstLineChars="200"/>
        <w:rPr>
          <w:rFonts w:hint="eastAsia" w:ascii="宋体" w:hAnsi="宋体" w:eastAsia="宋体" w:cs="宋体"/>
          <w:b w:val="0"/>
          <w:bCs w:val="0"/>
          <w:color w:val="auto"/>
          <w:szCs w:val="21"/>
          <w:highlight w:val="none"/>
          <w:lang w:eastAsia="zh-CN"/>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lang w:eastAsia="zh-CN"/>
        </w:rPr>
        <w:t>）竞标人情况介绍；</w:t>
      </w:r>
    </w:p>
    <w:p w14:paraId="1409836A">
      <w:pPr>
        <w:tabs>
          <w:tab w:val="left" w:pos="1305"/>
        </w:tabs>
        <w:spacing w:line="50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）技术方案（格式自拟）</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（必须提供，否则响应文件按无效响应处理）</w:t>
      </w:r>
    </w:p>
    <w:p w14:paraId="3C7B2FA2">
      <w:pPr>
        <w:spacing w:line="460" w:lineRule="exact"/>
        <w:ind w:firstLine="420" w:firstLineChars="200"/>
        <w:rPr>
          <w:rFonts w:hint="eastAsia" w:ascii="宋体" w:hAnsi="宋体" w:cs="宋体"/>
          <w:b/>
          <w:bCs w:val="0"/>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）技术需求偏离表；</w:t>
      </w:r>
      <w:r>
        <w:rPr>
          <w:rFonts w:hint="eastAsia" w:ascii="宋体" w:hAnsi="宋体" w:cs="宋体"/>
          <w:b/>
          <w:bCs w:val="0"/>
          <w:color w:val="auto"/>
          <w:szCs w:val="21"/>
          <w:highlight w:val="none"/>
        </w:rPr>
        <w:t>（必须提供，否则响应文件按无效响应处理）</w:t>
      </w:r>
    </w:p>
    <w:p w14:paraId="2CE4835E">
      <w:pPr>
        <w:spacing w:line="460" w:lineRule="exact"/>
        <w:ind w:firstLine="420" w:firstLineChars="200"/>
        <w:rPr>
          <w:rFonts w:hint="eastAsia" w:ascii="宋体" w:hAnsi="宋体" w:cs="宋体"/>
          <w:b/>
          <w:bCs w:val="0"/>
          <w:color w:val="auto"/>
          <w:szCs w:val="21"/>
          <w:highlight w:val="none"/>
          <w:lang w:eastAsia="zh-CN"/>
        </w:rPr>
      </w:pP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8</w:t>
      </w:r>
      <w:r>
        <w:rPr>
          <w:rFonts w:hint="eastAsia" w:ascii="宋体" w:hAnsi="宋体" w:cs="宋体"/>
          <w:b w:val="0"/>
          <w:bCs/>
          <w:color w:val="auto"/>
          <w:szCs w:val="21"/>
          <w:highlight w:val="none"/>
          <w:lang w:eastAsia="zh-CN"/>
        </w:rPr>
        <w:t>）项目管理机构；</w:t>
      </w:r>
      <w:r>
        <w:rPr>
          <w:rFonts w:hint="eastAsia" w:ascii="宋体" w:hAnsi="宋体" w:cs="宋体"/>
          <w:b/>
          <w:bCs w:val="0"/>
          <w:color w:val="auto"/>
          <w:szCs w:val="21"/>
          <w:highlight w:val="none"/>
          <w:lang w:eastAsia="zh-CN"/>
        </w:rPr>
        <w:t>（必须提供，否则响应文件按无效响应处理）</w:t>
      </w:r>
    </w:p>
    <w:p w14:paraId="3D03F931">
      <w:pPr>
        <w:spacing w:line="460" w:lineRule="exact"/>
        <w:ind w:firstLine="420" w:firstLineChars="200"/>
        <w:rPr>
          <w:rFonts w:hint="eastAsia" w:ascii="宋体" w:hAnsi="宋体" w:cs="宋体"/>
          <w:b w:val="0"/>
          <w:bCs/>
          <w:color w:val="auto"/>
          <w:szCs w:val="21"/>
          <w:highlight w:val="none"/>
          <w:lang w:eastAsia="zh-CN"/>
        </w:rPr>
      </w:pP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9</w:t>
      </w:r>
      <w:r>
        <w:rPr>
          <w:rFonts w:hint="eastAsia" w:ascii="宋体" w:hAnsi="宋体" w:cs="宋体"/>
          <w:b w:val="0"/>
          <w:bCs/>
          <w:color w:val="auto"/>
          <w:szCs w:val="21"/>
          <w:highlight w:val="none"/>
          <w:lang w:eastAsia="zh-CN"/>
        </w:rPr>
        <w:t>）供应商认为需要提供的其他有关资料。</w:t>
      </w:r>
    </w:p>
    <w:p w14:paraId="5E6A8C4A">
      <w:pPr>
        <w:pStyle w:val="21"/>
        <w:spacing w:after="0" w:line="460" w:lineRule="exact"/>
        <w:ind w:left="0" w:leftChars="0" w:firstLine="422"/>
        <w:rPr>
          <w:rFonts w:ascii="宋体" w:hAnsi="宋体" w:cs="宋体"/>
          <w:b/>
          <w:bCs/>
          <w:color w:val="auto"/>
          <w:szCs w:val="21"/>
          <w:highlight w:val="none"/>
        </w:rPr>
      </w:pPr>
      <w:r>
        <w:rPr>
          <w:rFonts w:hint="eastAsia" w:ascii="宋体" w:hAnsi="宋体" w:cs="宋体"/>
          <w:b/>
          <w:bCs/>
          <w:color w:val="auto"/>
          <w:szCs w:val="21"/>
          <w:highlight w:val="none"/>
        </w:rPr>
        <w:t>11.2.1.3报价文件</w:t>
      </w:r>
    </w:p>
    <w:p w14:paraId="43D8CA41">
      <w:pPr>
        <w:spacing w:line="4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响应函；</w:t>
      </w:r>
      <w:r>
        <w:rPr>
          <w:rFonts w:hint="eastAsia" w:ascii="宋体" w:hAnsi="宋体" w:cs="宋体"/>
          <w:b/>
          <w:bCs w:val="0"/>
          <w:color w:val="auto"/>
          <w:szCs w:val="21"/>
          <w:highlight w:val="none"/>
        </w:rPr>
        <w:t>（必须提供，否则作无效响应处理）</w:t>
      </w:r>
    </w:p>
    <w:p w14:paraId="7551164D">
      <w:pPr>
        <w:spacing w:line="460" w:lineRule="exact"/>
        <w:ind w:firstLine="420" w:firstLineChars="200"/>
        <w:rPr>
          <w:rFonts w:hint="eastAsia" w:ascii="宋体" w:hAnsi="宋体" w:cs="宋体"/>
          <w:b/>
          <w:bCs w:val="0"/>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响应报价表；</w:t>
      </w:r>
      <w:r>
        <w:rPr>
          <w:rFonts w:hint="eastAsia" w:ascii="宋体" w:hAnsi="宋体" w:cs="宋体"/>
          <w:b/>
          <w:bCs w:val="0"/>
          <w:color w:val="auto"/>
          <w:szCs w:val="21"/>
          <w:highlight w:val="none"/>
        </w:rPr>
        <w:t>（必须提供，否则作无效响应处理）</w:t>
      </w:r>
    </w:p>
    <w:p w14:paraId="4009365B">
      <w:pPr>
        <w:spacing w:line="460" w:lineRule="exact"/>
        <w:ind w:firstLine="420" w:firstLineChars="200"/>
        <w:rPr>
          <w:rFonts w:hint="eastAsia" w:ascii="宋体" w:hAnsi="宋体" w:cs="宋体"/>
          <w:b/>
          <w:bCs w:val="0"/>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已标价工程量清单。</w:t>
      </w:r>
      <w:r>
        <w:rPr>
          <w:rFonts w:hint="eastAsia" w:ascii="宋体" w:hAnsi="宋体" w:cs="宋体"/>
          <w:b/>
          <w:bCs w:val="0"/>
          <w:color w:val="auto"/>
          <w:szCs w:val="21"/>
          <w:highlight w:val="none"/>
        </w:rPr>
        <w:t>（必须提供，否则响应文件按无效响应处理）</w:t>
      </w:r>
    </w:p>
    <w:p w14:paraId="78A46295">
      <w:pPr>
        <w:spacing w:line="46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供应商认为需要提供的其他有关资料。</w:t>
      </w:r>
    </w:p>
    <w:p w14:paraId="681611DB">
      <w:pPr>
        <w:spacing w:line="460" w:lineRule="exact"/>
        <w:ind w:firstLine="420"/>
        <w:rPr>
          <w:rFonts w:ascii="宋体" w:hAnsi="宋体" w:cs="宋体"/>
          <w:color w:val="auto"/>
          <w:szCs w:val="21"/>
          <w:highlight w:val="none"/>
        </w:rPr>
      </w:pPr>
      <w:r>
        <w:rPr>
          <w:rFonts w:hint="eastAsia" w:ascii="宋体" w:hAnsi="宋体" w:cs="宋体"/>
          <w:b/>
          <w:bCs/>
          <w:color w:val="auto"/>
          <w:szCs w:val="21"/>
          <w:highlight w:val="none"/>
        </w:rPr>
        <w:t>供应商</w:t>
      </w:r>
      <w:r>
        <w:rPr>
          <w:rFonts w:hint="eastAsia" w:ascii="宋体" w:hAnsi="宋体" w:cs="宋体"/>
          <w:b/>
          <w:bCs/>
          <w:color w:val="auto"/>
          <w:highlight w:val="none"/>
        </w:rPr>
        <w:t>提供的以上相关证明材料属于“必须提供”的文件应加盖磋商供应商公章（CA签章）/自然人签字或个人CA签章，否则响应无效。</w:t>
      </w:r>
    </w:p>
    <w:p w14:paraId="498A66E1">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 供应商应按竞争性磋商文件第</w:t>
      </w:r>
      <w:r>
        <w:rPr>
          <w:rFonts w:hint="eastAsia" w:ascii="宋体" w:hAnsi="宋体" w:cs="宋体"/>
          <w:color w:val="auto"/>
          <w:szCs w:val="21"/>
          <w:highlight w:val="none"/>
          <w:lang w:eastAsia="zh-CN"/>
        </w:rPr>
        <w:t>七</w:t>
      </w:r>
      <w:r>
        <w:rPr>
          <w:rFonts w:hint="eastAsia" w:ascii="宋体" w:hAnsi="宋体" w:cs="宋体"/>
          <w:color w:val="auto"/>
          <w:szCs w:val="21"/>
          <w:highlight w:val="none"/>
        </w:rPr>
        <w:t>章“响应文件（格式）”编制响应文件。</w:t>
      </w:r>
    </w:p>
    <w:p w14:paraId="066E73F2">
      <w:pPr>
        <w:spacing w:line="4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特别说明：</w:t>
      </w:r>
    </w:p>
    <w:p w14:paraId="02039A4F">
      <w:pPr>
        <w:spacing w:line="460" w:lineRule="exact"/>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（1）响</w:t>
      </w:r>
      <w:r>
        <w:rPr>
          <w:rFonts w:hint="eastAsia" w:ascii="宋体" w:hAnsi="宋体" w:cs="宋体"/>
          <w:b/>
          <w:color w:val="auto"/>
          <w:szCs w:val="21"/>
          <w:highlight w:val="none"/>
        </w:rPr>
        <w:t>应文件（电子响应文件），其中电子响应文件中所须加盖公章部分均采用CA签章。若磋商文件中有专门标注的某关联点，并要求供应商在电子响应系统中作出磋商响应的，如供应商未对关联点进行响应或者在响应文件其它内容进行描述，造成电子评审不能查询的责任由供应商自行承担。</w:t>
      </w:r>
    </w:p>
    <w:p w14:paraId="0B57B04B">
      <w:pPr>
        <w:numPr>
          <w:ilvl w:val="0"/>
          <w:numId w:val="2"/>
        </w:numPr>
        <w:spacing w:line="460" w:lineRule="exact"/>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磋商文件要求法定代表人（负责人）或委托代理人签字的部分必须签字然后扫描或者拍照做成.pdf格式上传（签字可以以加盖个人CA签章代替），无签字的视为响应无效。</w:t>
      </w:r>
    </w:p>
    <w:p w14:paraId="5A2CA6ED">
      <w:pPr>
        <w:pStyle w:val="5"/>
        <w:spacing w:line="460" w:lineRule="exact"/>
        <w:ind w:firstLine="422" w:firstLineChars="200"/>
        <w:rPr>
          <w:rFonts w:ascii="宋体" w:hAnsi="宋体" w:cs="宋体"/>
          <w:color w:val="auto"/>
          <w:sz w:val="21"/>
          <w:szCs w:val="21"/>
          <w:highlight w:val="none"/>
        </w:rPr>
      </w:pPr>
      <w:bookmarkStart w:id="141" w:name="_Toc2180"/>
      <w:bookmarkStart w:id="142" w:name="_Toc21373"/>
      <w:bookmarkStart w:id="143" w:name="_Toc13916"/>
      <w:r>
        <w:rPr>
          <w:rFonts w:hint="eastAsia" w:ascii="宋体" w:hAnsi="宋体" w:cs="宋体"/>
          <w:color w:val="auto"/>
          <w:sz w:val="21"/>
          <w:szCs w:val="21"/>
          <w:highlight w:val="none"/>
        </w:rPr>
        <w:t>12. 响应文件的语言及计量</w:t>
      </w:r>
      <w:bookmarkEnd w:id="141"/>
      <w:bookmarkEnd w:id="142"/>
      <w:bookmarkEnd w:id="143"/>
    </w:p>
    <w:p w14:paraId="0989F6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3A1E96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 磋商计量单位，磋商文件已有明确规定的，使用磋商文件规定的计量单位；磋商文件没有规定的，应采用中华人民共和国法定计量单位（货币单位：人民币元），否则视同未响应。</w:t>
      </w:r>
    </w:p>
    <w:p w14:paraId="4A267CF6">
      <w:pPr>
        <w:pStyle w:val="5"/>
        <w:spacing w:line="360" w:lineRule="auto"/>
        <w:ind w:firstLine="422" w:firstLineChars="200"/>
        <w:rPr>
          <w:rFonts w:ascii="宋体" w:hAnsi="宋体" w:cs="宋体"/>
          <w:color w:val="auto"/>
          <w:sz w:val="21"/>
          <w:szCs w:val="21"/>
          <w:highlight w:val="none"/>
        </w:rPr>
      </w:pPr>
      <w:bookmarkStart w:id="144" w:name="_Toc10838"/>
      <w:bookmarkStart w:id="145" w:name="_Toc5966"/>
      <w:bookmarkStart w:id="146" w:name="_Toc19558"/>
      <w:r>
        <w:rPr>
          <w:rFonts w:hint="eastAsia" w:ascii="宋体" w:hAnsi="宋体" w:cs="宋体"/>
          <w:color w:val="auto"/>
          <w:sz w:val="21"/>
          <w:szCs w:val="21"/>
          <w:highlight w:val="none"/>
        </w:rPr>
        <w:t>13. 磋商报价及采购预算金额</w:t>
      </w:r>
      <w:bookmarkEnd w:id="144"/>
      <w:bookmarkEnd w:id="145"/>
      <w:bookmarkEnd w:id="146"/>
    </w:p>
    <w:p w14:paraId="50DD6310">
      <w:pPr>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13.1  磋商报价（</w:t>
      </w:r>
      <w:r>
        <w:rPr>
          <w:rFonts w:hint="eastAsia" w:ascii="宋体" w:hAnsi="宋体" w:cs="宋体"/>
          <w:bCs/>
          <w:color w:val="auto"/>
          <w:szCs w:val="21"/>
          <w:highlight w:val="none"/>
        </w:rPr>
        <w:t>本项目采用多次报价方式，作最终报价时采购人将书面告知供应商，</w:t>
      </w:r>
      <w:r>
        <w:rPr>
          <w:rFonts w:hint="eastAsia" w:ascii="宋体" w:hAnsi="宋体" w:cs="宋体"/>
          <w:b/>
          <w:color w:val="auto"/>
          <w:szCs w:val="21"/>
          <w:highlight w:val="none"/>
        </w:rPr>
        <w:t>供应商的最终报价如有变动，则必须以工程量清单报价表的格式编制，不得以总价下浮的方式作最终报价，供应商须提前做好相关准备并按时递交最终报价文件</w:t>
      </w:r>
      <w:r>
        <w:rPr>
          <w:rFonts w:hint="eastAsia" w:ascii="宋体" w:hAnsi="宋体" w:cs="宋体"/>
          <w:bCs/>
          <w:color w:val="auto"/>
          <w:szCs w:val="21"/>
          <w:highlight w:val="none"/>
        </w:rPr>
        <w:t>。）</w:t>
      </w:r>
    </w:p>
    <w:p w14:paraId="1A4ED0E0">
      <w:pPr>
        <w:tabs>
          <w:tab w:val="left" w:pos="2160"/>
        </w:tabs>
        <w:autoSpaceDE w:val="0"/>
        <w:autoSpaceDN w:val="0"/>
        <w:adjustRightInd w:val="0"/>
        <w:spacing w:line="360" w:lineRule="auto"/>
        <w:ind w:right="84" w:firstLine="420" w:firstLineChars="200"/>
        <w:rPr>
          <w:rFonts w:ascii="宋体" w:hAnsi="宋体" w:cs="宋体"/>
          <w:color w:val="auto"/>
          <w:szCs w:val="21"/>
          <w:highlight w:val="none"/>
        </w:rPr>
      </w:pPr>
      <w:r>
        <w:rPr>
          <w:rFonts w:hint="eastAsia" w:ascii="宋体" w:hAnsi="宋体" w:cs="宋体"/>
          <w:color w:val="auto"/>
          <w:szCs w:val="21"/>
          <w:highlight w:val="none"/>
        </w:rPr>
        <w:t>13.1.1 本工程采用</w:t>
      </w:r>
      <w:r>
        <w:rPr>
          <w:rFonts w:hint="eastAsia" w:ascii="宋体" w:hAnsi="宋体" w:cs="宋体"/>
          <w:b/>
          <w:bCs/>
          <w:color w:val="auto"/>
          <w:szCs w:val="21"/>
          <w:highlight w:val="none"/>
          <w:u w:val="single"/>
        </w:rPr>
        <w:t>工程量清单报价，固定综合单价</w:t>
      </w:r>
      <w:r>
        <w:rPr>
          <w:rFonts w:hint="eastAsia" w:ascii="宋体" w:hAnsi="宋体" w:cs="宋体"/>
          <w:color w:val="auto"/>
          <w:szCs w:val="21"/>
          <w:highlight w:val="none"/>
        </w:rPr>
        <w:t>合同方式。</w:t>
      </w:r>
    </w:p>
    <w:p w14:paraId="747CAAD1">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13.1.2  磋商报价为供应商在响应文件中提出的各项支付金额的总和。</w:t>
      </w:r>
    </w:p>
    <w:p w14:paraId="6BBEB7F4">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13.1.3  供应商的磋商报价，应以在要求工期内完成本工程施工图纸及工程量清单范围的全部内容为依据，施工过程中，除设计变更、强制执行的政策性调整，以及在施工合同或工程量清单中规定为工程暂定价（包括暂定数量或暂定单价项目）部分外，不得以其他任何理由提出增加费用签证。</w:t>
      </w:r>
    </w:p>
    <w:p w14:paraId="74EDF290">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13.1.4  供应商应根据施工图纸等资料，认真核对采购人发出的工程量清单，如发现该工程量清单中存在错项、漏（缺）项应在提交响应文件截止时间前3日内提出，否则，视为认同该工程量清单中所有内容。在施工过程中，采购人将不对任何错项、漏（缺）项造成的工程费用增加进行签证补偿。</w:t>
      </w:r>
    </w:p>
    <w:p w14:paraId="48C15237">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13.1.5  供应商的磋商报价，应以在要求工期内完成本采购工程范围的全部内容为依据，不得以任何理由重复计算。</w:t>
      </w:r>
    </w:p>
    <w:p w14:paraId="7C9A4550">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13.1.6  除非采购人对竞争性磋商文件进行修改，供应商应按采购人提供的工程量清单中列出工程项目和工程量填报单价和合价。每一项目只允许有一个报价。任何有选择的报价将不予接受。供应商未填报单价或合价的工程项目，承包人必须实施且在实施后，采购人将不予支付，并视为该项费用已包括在其他有价款的单价或合价内。无工程量的项目不能报价，否则作废标处理。</w:t>
      </w:r>
    </w:p>
    <w:p w14:paraId="4D8187C1">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13.1.7 采购代理机构所提供的工程量清单，应认为已包括完成本工程的所有项目。凡施工图纸已指明的工程或完成图纸所示的附属工程、相关工程、衔接与后续工程所需的费用，竞标单位应计入相关项目的单价中。</w:t>
      </w:r>
    </w:p>
    <w:p w14:paraId="7F11FF24">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13.1.8 供应商的临时占地（项目部驻地等）租用费（含拆迁补偿）、临时用地的环保、恢复及地面附着物发生的费用均由供应商负责；由于供应商原因引起工期延长造成供应商临时占地的租用费增加由供应商负责。以上费用在竞标价中自行考虑。</w:t>
      </w:r>
    </w:p>
    <w:p w14:paraId="1E71B17E">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13.1.9  供应商工程量清单总报价应包括完成该工程项目的成本、利润、税金、技术措施费、大型机械进出场费、风险费、政策性文件规定费用等所有费用。</w:t>
      </w:r>
    </w:p>
    <w:p w14:paraId="7A281ACB">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13.1.10  与本采购工程项目有关的技术规范要求的费用应包括在磋商报价中。</w:t>
      </w:r>
    </w:p>
    <w:p w14:paraId="145E4768">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13.1.11  供应商应按照采购人提供的工程量清单进行报价。</w:t>
      </w:r>
    </w:p>
    <w:p w14:paraId="63A9906D">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13.1.12  供应商应采用工程量清单报价方式，不得采用总价让利或以百分比让利等形式报价。工程量清单总造价与磋商函中文字表示的磋商报价应一致。</w:t>
      </w:r>
    </w:p>
    <w:p w14:paraId="439B7531">
      <w:pPr>
        <w:spacing w:line="46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13.1.12供应商应在规定时间内在广西政府采购云平台系统上提交最后报价，超出磋商小组设定的最后报价时限或其最后报价超出采购预算导致已通过评审的响应文件无效的，按供应商在提交响应文件截止时间后撤回响应文件处理。</w:t>
      </w:r>
    </w:p>
    <w:p w14:paraId="272F71DB">
      <w:pPr>
        <w:pStyle w:val="5"/>
        <w:spacing w:line="460" w:lineRule="exact"/>
        <w:ind w:firstLine="422" w:firstLineChars="200"/>
        <w:rPr>
          <w:rFonts w:ascii="宋体" w:hAnsi="宋体" w:cs="宋体"/>
          <w:color w:val="auto"/>
          <w:sz w:val="21"/>
          <w:szCs w:val="21"/>
          <w:highlight w:val="none"/>
        </w:rPr>
      </w:pPr>
      <w:bookmarkStart w:id="147" w:name="_Toc11881"/>
      <w:bookmarkStart w:id="148" w:name="_Toc26881"/>
      <w:bookmarkStart w:id="149" w:name="_Toc29902"/>
      <w:r>
        <w:rPr>
          <w:rFonts w:hint="eastAsia" w:ascii="宋体" w:hAnsi="宋体" w:cs="宋体"/>
          <w:color w:val="auto"/>
          <w:sz w:val="21"/>
          <w:szCs w:val="21"/>
          <w:highlight w:val="none"/>
        </w:rPr>
        <w:t>14. 响应文件有效期</w:t>
      </w:r>
      <w:bookmarkEnd w:id="147"/>
      <w:bookmarkEnd w:id="148"/>
      <w:bookmarkEnd w:id="149"/>
    </w:p>
    <w:p w14:paraId="15E55CBA">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14.1 响应文件有效期：响应文件递交截止时间之日起90天，有效期不足的响应文件将被拒绝。</w:t>
      </w:r>
    </w:p>
    <w:p w14:paraId="0874F819">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14.2 出现特殊情况下，需要延长响应文件有效期的，采购代理机构书面通知供应商延长响应文件有效期。供应商同意延长的，但不能修改响应文件。供应商拒绝延长的，其响应文件无效。</w:t>
      </w:r>
    </w:p>
    <w:p w14:paraId="3B12B25E">
      <w:pPr>
        <w:pStyle w:val="5"/>
        <w:spacing w:line="460" w:lineRule="exact"/>
        <w:ind w:firstLine="422" w:firstLineChars="200"/>
        <w:rPr>
          <w:rFonts w:ascii="宋体" w:hAnsi="宋体" w:cs="宋体"/>
          <w:color w:val="auto"/>
          <w:sz w:val="21"/>
          <w:szCs w:val="21"/>
          <w:highlight w:val="none"/>
        </w:rPr>
      </w:pPr>
      <w:bookmarkStart w:id="150" w:name="_Toc31274"/>
      <w:bookmarkStart w:id="151" w:name="_Toc22602"/>
      <w:bookmarkStart w:id="152" w:name="_Toc1954"/>
      <w:r>
        <w:rPr>
          <w:rFonts w:hint="eastAsia" w:ascii="宋体" w:hAnsi="宋体" w:cs="宋体"/>
          <w:color w:val="auto"/>
          <w:sz w:val="21"/>
          <w:szCs w:val="21"/>
          <w:highlight w:val="none"/>
        </w:rPr>
        <w:t>15. 保证金</w:t>
      </w:r>
      <w:bookmarkEnd w:id="150"/>
      <w:bookmarkEnd w:id="151"/>
      <w:bookmarkEnd w:id="152"/>
    </w:p>
    <w:p w14:paraId="6AA9143B">
      <w:pPr>
        <w:spacing w:line="46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本项目无需交纳磋商保证金。</w:t>
      </w:r>
    </w:p>
    <w:p w14:paraId="76E24942">
      <w:pPr>
        <w:pStyle w:val="5"/>
        <w:spacing w:line="460" w:lineRule="exact"/>
        <w:ind w:firstLine="422" w:firstLineChars="200"/>
        <w:rPr>
          <w:rFonts w:ascii="宋体" w:hAnsi="宋体" w:cs="宋体"/>
          <w:color w:val="auto"/>
          <w:sz w:val="21"/>
          <w:szCs w:val="21"/>
          <w:highlight w:val="none"/>
        </w:rPr>
      </w:pPr>
      <w:bookmarkStart w:id="153" w:name="_Toc387"/>
      <w:bookmarkStart w:id="154" w:name="_Toc6809"/>
      <w:bookmarkStart w:id="155" w:name="_Toc26360"/>
      <w:r>
        <w:rPr>
          <w:rFonts w:hint="eastAsia" w:ascii="宋体" w:hAnsi="宋体" w:cs="宋体"/>
          <w:color w:val="auto"/>
          <w:sz w:val="21"/>
          <w:szCs w:val="21"/>
          <w:highlight w:val="none"/>
        </w:rPr>
        <w:t>16. 竞争性磋商响应文件的</w:t>
      </w:r>
      <w:bookmarkEnd w:id="153"/>
      <w:r>
        <w:rPr>
          <w:rFonts w:hint="eastAsia" w:ascii="宋体" w:hAnsi="宋体" w:cs="宋体"/>
          <w:color w:val="auto"/>
          <w:sz w:val="21"/>
          <w:szCs w:val="21"/>
          <w:highlight w:val="none"/>
        </w:rPr>
        <w:t>制作</w:t>
      </w:r>
      <w:bookmarkEnd w:id="154"/>
      <w:bookmarkEnd w:id="155"/>
    </w:p>
    <w:p w14:paraId="1B6AB0A8">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5EDFAF7F">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14:paraId="4345022C">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 磋商响应文件不得涂改，若有修改错漏处，须法定代表人（负责人）或授权委托人签字（或个人CA签章）。磋商响应文件因字迹潦草或表达不清所引起的后果由供应商负责。</w:t>
      </w:r>
    </w:p>
    <w:p w14:paraId="5B9D7C7F">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16.4磋商前准备 </w:t>
      </w:r>
    </w:p>
    <w:p w14:paraId="078A994A">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16.4.1本项目实行在线磋商，采用电子磋商响应文件。若供应商参与磋商，自行承担磋商一切费用。 </w:t>
      </w:r>
    </w:p>
    <w:p w14:paraId="7FD5C04A">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14:paraId="70D2F10F">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16.4.3供应商将广西政府采购云平台客户端下载、安装完成后，可通过账号密码或 CA 登录客户端进行响应文件制作。客户端请至网站下载专区查看，如有问题可拨打广西政府采购云平台客户服务热线 95763 进行咨询。</w:t>
      </w:r>
    </w:p>
    <w:p w14:paraId="1E8D5459">
      <w:pPr>
        <w:pStyle w:val="5"/>
        <w:spacing w:line="460" w:lineRule="exact"/>
        <w:ind w:firstLine="422" w:firstLineChars="200"/>
        <w:rPr>
          <w:rFonts w:ascii="宋体" w:hAnsi="宋体" w:cs="宋体"/>
          <w:color w:val="auto"/>
          <w:sz w:val="21"/>
          <w:szCs w:val="21"/>
          <w:highlight w:val="none"/>
        </w:rPr>
      </w:pPr>
      <w:bookmarkStart w:id="156" w:name="_Toc12"/>
      <w:bookmarkStart w:id="157" w:name="_Toc22287"/>
      <w:r>
        <w:rPr>
          <w:rFonts w:hint="eastAsia" w:ascii="宋体" w:hAnsi="宋体" w:cs="宋体"/>
          <w:color w:val="auto"/>
          <w:sz w:val="21"/>
          <w:szCs w:val="21"/>
          <w:highlight w:val="none"/>
        </w:rPr>
        <w:t>17. 响应文件的修改和撤回</w:t>
      </w:r>
      <w:bookmarkEnd w:id="156"/>
      <w:bookmarkEnd w:id="157"/>
    </w:p>
    <w:p w14:paraId="3A6D2636">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4CEA0A92">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17.2 在响应文件递交截止时间后的响应文件有效期内，供应商不得撤回其响应文件。</w:t>
      </w:r>
    </w:p>
    <w:p w14:paraId="3EA0E21C">
      <w:pPr>
        <w:pStyle w:val="5"/>
        <w:spacing w:line="460" w:lineRule="exact"/>
        <w:ind w:firstLine="422" w:firstLineChars="200"/>
        <w:rPr>
          <w:rFonts w:ascii="宋体" w:hAnsi="宋体" w:cs="宋体"/>
          <w:color w:val="auto"/>
          <w:sz w:val="21"/>
          <w:szCs w:val="21"/>
          <w:highlight w:val="none"/>
        </w:rPr>
      </w:pPr>
      <w:bookmarkStart w:id="158" w:name="_Toc26434"/>
      <w:bookmarkStart w:id="159" w:name="_Toc31374"/>
      <w:bookmarkStart w:id="160" w:name="_Toc30156"/>
      <w:r>
        <w:rPr>
          <w:rFonts w:hint="eastAsia" w:ascii="宋体" w:hAnsi="宋体" w:cs="宋体"/>
          <w:color w:val="auto"/>
          <w:sz w:val="21"/>
          <w:szCs w:val="21"/>
          <w:highlight w:val="none"/>
        </w:rPr>
        <w:t>18. 响应文件的递交和解密</w:t>
      </w:r>
      <w:bookmarkEnd w:id="158"/>
      <w:bookmarkEnd w:id="159"/>
      <w:bookmarkEnd w:id="160"/>
    </w:p>
    <w:p w14:paraId="5F086EF5">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18.1响应文件递交截止时间：详见竞争性磋商公告。</w:t>
      </w:r>
    </w:p>
    <w:p w14:paraId="4CF336AC">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18.2磋商响应文件解密时间：详见竞争性磋商公告。</w:t>
      </w:r>
    </w:p>
    <w:p w14:paraId="46DF57B9">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18.3 除竞争性磋商文件另有规定外，供应商所递交的响应文件不予退还。</w:t>
      </w:r>
    </w:p>
    <w:p w14:paraId="6E2C891E">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18.4 电子响应文件的相关说明</w:t>
      </w:r>
    </w:p>
    <w:p w14:paraId="374B45C5">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供应商进行电子响应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14:paraId="52BC6A11">
      <w:pPr>
        <w:spacing w:line="460" w:lineRule="exact"/>
        <w:ind w:firstLine="420" w:firstLineChars="200"/>
        <w:rPr>
          <w:rFonts w:ascii="宋体" w:hAnsi="宋体" w:cs="宋体"/>
          <w:color w:val="auto"/>
          <w:highlight w:val="none"/>
        </w:rPr>
      </w:pPr>
      <w:r>
        <w:rPr>
          <w:rFonts w:hint="eastAsia" w:ascii="宋体" w:hAnsi="宋体" w:cs="宋体"/>
          <w:color w:val="auto"/>
          <w:szCs w:val="21"/>
          <w:highlight w:val="none"/>
        </w:rPr>
        <w:t>（2）如有特殊情况，采购代理机构延长截止时间和开标时间，采购代理机构和供应商的权利和义务将受到新的截止时间和开标时间的约束。</w:t>
      </w:r>
    </w:p>
    <w:p w14:paraId="5E016F8B">
      <w:pPr>
        <w:spacing w:line="460" w:lineRule="exact"/>
        <w:ind w:firstLine="422" w:firstLineChars="200"/>
        <w:rPr>
          <w:rFonts w:ascii="宋体" w:hAnsi="宋体" w:cs="宋体"/>
          <w:b/>
          <w:color w:val="auto"/>
          <w:szCs w:val="28"/>
          <w:highlight w:val="none"/>
        </w:rPr>
      </w:pPr>
      <w:bookmarkStart w:id="161" w:name="_Toc2433"/>
    </w:p>
    <w:p w14:paraId="0362B7B2">
      <w:pPr>
        <w:spacing w:line="460" w:lineRule="exact"/>
        <w:jc w:val="center"/>
        <w:outlineLvl w:val="1"/>
        <w:rPr>
          <w:b/>
          <w:bCs/>
          <w:color w:val="auto"/>
          <w:sz w:val="28"/>
          <w:szCs w:val="28"/>
          <w:highlight w:val="none"/>
        </w:rPr>
      </w:pPr>
      <w:bookmarkStart w:id="162" w:name="_Toc6807"/>
      <w:bookmarkStart w:id="163" w:name="_Toc26492"/>
      <w:r>
        <w:rPr>
          <w:rFonts w:hint="eastAsia"/>
          <w:b/>
          <w:bCs/>
          <w:color w:val="auto"/>
          <w:sz w:val="28"/>
          <w:szCs w:val="28"/>
          <w:highlight w:val="none"/>
        </w:rPr>
        <w:t>四、竞争性磋商（简称磋商）与评审</w:t>
      </w:r>
      <w:bookmarkEnd w:id="161"/>
      <w:bookmarkEnd w:id="162"/>
      <w:bookmarkEnd w:id="163"/>
    </w:p>
    <w:p w14:paraId="717E5758">
      <w:pPr>
        <w:pStyle w:val="5"/>
        <w:spacing w:line="460" w:lineRule="exact"/>
        <w:ind w:firstLine="422" w:firstLineChars="200"/>
        <w:rPr>
          <w:rFonts w:ascii="宋体" w:hAnsi="宋体" w:cs="宋体"/>
          <w:color w:val="auto"/>
          <w:sz w:val="21"/>
          <w:szCs w:val="21"/>
          <w:highlight w:val="none"/>
        </w:rPr>
      </w:pPr>
      <w:bookmarkStart w:id="164" w:name="_Toc7595"/>
      <w:bookmarkStart w:id="165" w:name="_Toc31588"/>
      <w:bookmarkStart w:id="166" w:name="_Toc7004"/>
      <w:r>
        <w:rPr>
          <w:rFonts w:hint="eastAsia" w:ascii="宋体" w:hAnsi="宋体" w:cs="宋体"/>
          <w:color w:val="auto"/>
          <w:sz w:val="21"/>
          <w:szCs w:val="21"/>
          <w:highlight w:val="none"/>
        </w:rPr>
        <w:t>19. 磋商小组组成及磋商时间、地点、人员</w:t>
      </w:r>
      <w:bookmarkEnd w:id="164"/>
      <w:bookmarkEnd w:id="165"/>
      <w:bookmarkEnd w:id="166"/>
    </w:p>
    <w:p w14:paraId="18D07BA4">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19.1 磋商小组组成：</w:t>
      </w:r>
    </w:p>
    <w:p w14:paraId="0C120089">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人。</w:t>
      </w:r>
    </w:p>
    <w:p w14:paraId="66B3352B">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19.2 磋商时间、地点、人员：</w:t>
      </w:r>
    </w:p>
    <w:p w14:paraId="73D9FBA5">
      <w:pPr>
        <w:spacing w:line="460" w:lineRule="exact"/>
        <w:ind w:firstLine="420" w:firstLineChars="200"/>
        <w:rPr>
          <w:rFonts w:ascii="宋体" w:hAnsi="宋体" w:cs="宋体"/>
          <w:color w:val="auto"/>
          <w:szCs w:val="21"/>
          <w:highlight w:val="none"/>
        </w:rPr>
      </w:pPr>
      <w:bookmarkStart w:id="167" w:name="_Toc9878"/>
      <w:r>
        <w:rPr>
          <w:rFonts w:hint="eastAsia" w:ascii="宋体" w:hAnsi="宋体" w:cs="宋体"/>
          <w:color w:val="auto"/>
          <w:szCs w:val="21"/>
          <w:highlight w:val="none"/>
        </w:rPr>
        <w:t>19.2.1磋商时间：响应文件递交截止时间后。</w:t>
      </w:r>
      <w:bookmarkEnd w:id="167"/>
    </w:p>
    <w:p w14:paraId="57AB5473">
      <w:pPr>
        <w:spacing w:line="460" w:lineRule="exact"/>
        <w:ind w:firstLine="420" w:firstLineChars="200"/>
        <w:rPr>
          <w:rFonts w:ascii="宋体" w:hAnsi="宋体" w:cs="宋体"/>
          <w:bCs/>
          <w:color w:val="auto"/>
          <w:szCs w:val="21"/>
          <w:highlight w:val="none"/>
        </w:rPr>
      </w:pPr>
      <w:bookmarkStart w:id="168" w:name="_Toc29268"/>
      <w:r>
        <w:rPr>
          <w:rFonts w:hint="eastAsia" w:ascii="宋体" w:hAnsi="宋体" w:cs="宋体"/>
          <w:color w:val="auto"/>
          <w:szCs w:val="21"/>
          <w:highlight w:val="none"/>
        </w:rPr>
        <w:t>19.2.2磋商地点：</w:t>
      </w:r>
      <w:bookmarkEnd w:id="168"/>
      <w:r>
        <w:rPr>
          <w:rFonts w:hint="eastAsia" w:ascii="宋体" w:hAnsi="宋体" w:cs="宋体"/>
          <w:color w:val="auto"/>
          <w:szCs w:val="21"/>
          <w:highlight w:val="none"/>
        </w:rPr>
        <w:t>按磋商小组要求及时登陆广西政府采购云平台等候在线磋商。</w:t>
      </w:r>
    </w:p>
    <w:p w14:paraId="68FC1905">
      <w:pPr>
        <w:spacing w:line="460" w:lineRule="exact"/>
        <w:ind w:firstLine="420" w:firstLineChars="200"/>
        <w:rPr>
          <w:rFonts w:ascii="宋体" w:hAnsi="宋体" w:cs="宋体"/>
          <w:bCs/>
          <w:color w:val="auto"/>
          <w:szCs w:val="21"/>
          <w:highlight w:val="none"/>
        </w:rPr>
      </w:pPr>
      <w:bookmarkStart w:id="169" w:name="_Toc6288"/>
      <w:r>
        <w:rPr>
          <w:rFonts w:hint="eastAsia" w:ascii="宋体" w:hAnsi="宋体" w:cs="宋体"/>
          <w:bCs/>
          <w:color w:val="auto"/>
          <w:szCs w:val="21"/>
          <w:highlight w:val="none"/>
        </w:rPr>
        <w:t>19.2.3响应文件递交截止时间后，由磋商小组在评标室内线上开启响应文件。</w:t>
      </w:r>
      <w:bookmarkEnd w:id="169"/>
    </w:p>
    <w:p w14:paraId="3DB5487A">
      <w:pPr>
        <w:pStyle w:val="5"/>
        <w:spacing w:line="460" w:lineRule="exact"/>
        <w:ind w:firstLine="422" w:firstLineChars="200"/>
        <w:rPr>
          <w:rFonts w:ascii="宋体" w:hAnsi="宋体" w:cs="宋体"/>
          <w:color w:val="auto"/>
          <w:sz w:val="21"/>
          <w:szCs w:val="21"/>
          <w:highlight w:val="none"/>
        </w:rPr>
      </w:pPr>
      <w:bookmarkStart w:id="170" w:name="_Toc13598"/>
      <w:bookmarkStart w:id="171" w:name="_Toc3381"/>
      <w:bookmarkStart w:id="172" w:name="_Toc25258"/>
      <w:r>
        <w:rPr>
          <w:rFonts w:hint="eastAsia" w:ascii="宋体" w:hAnsi="宋体" w:cs="宋体"/>
          <w:color w:val="auto"/>
          <w:sz w:val="21"/>
          <w:szCs w:val="21"/>
          <w:highlight w:val="none"/>
        </w:rPr>
        <w:t>20. 评审原则</w:t>
      </w:r>
      <w:bookmarkEnd w:id="170"/>
      <w:bookmarkEnd w:id="171"/>
      <w:bookmarkEnd w:id="172"/>
    </w:p>
    <w:p w14:paraId="70F777EF">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20.1 磋商小组必须坚持公平、公正、科学和择优的原则。</w:t>
      </w:r>
    </w:p>
    <w:p w14:paraId="62583737">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20.2 评审办法：综合评分法，具体详见第</w:t>
      </w:r>
      <w:r>
        <w:rPr>
          <w:rFonts w:hint="eastAsia" w:ascii="宋体" w:hAnsi="宋体" w:cs="宋体"/>
          <w:color w:val="auto"/>
          <w:szCs w:val="21"/>
          <w:highlight w:val="none"/>
          <w:lang w:eastAsia="zh-CN"/>
        </w:rPr>
        <w:t>八</w:t>
      </w:r>
      <w:r>
        <w:rPr>
          <w:rFonts w:hint="eastAsia" w:ascii="宋体" w:hAnsi="宋体" w:cs="宋体"/>
          <w:color w:val="auto"/>
          <w:szCs w:val="21"/>
          <w:highlight w:val="none"/>
        </w:rPr>
        <w:t>章评审办法。</w:t>
      </w:r>
    </w:p>
    <w:p w14:paraId="3CFABC75">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20.3 磋商小组应按磋商文件进行评审，不得擅自更改评审办法。</w:t>
      </w:r>
    </w:p>
    <w:p w14:paraId="1FE48FF3">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20.4 在评审过程中，磋商小组任何人不得对某个供应商发表任何倾向性意见，不得向其他磋商小组成员明示或者暗示自己的评审意见。</w:t>
      </w:r>
    </w:p>
    <w:p w14:paraId="15DCDB07">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20.5 磋商小组成员对需要共同认定的事项存在争议的，按照少数服从多数的原则作出结论。持不同意见的磋商小组成员应当在评审报告上签署不同意见并说明理由，否则视为同意。</w:t>
      </w:r>
    </w:p>
    <w:p w14:paraId="6F423C8E">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20.6 响应文件最后报价出现前后不一致的，除竞争性磋商文件另有规定外，按照下列规定修正：</w:t>
      </w:r>
    </w:p>
    <w:p w14:paraId="7AC92048">
      <w:pPr>
        <w:pStyle w:val="32"/>
        <w:tabs>
          <w:tab w:val="left" w:pos="1099"/>
        </w:tabs>
        <w:spacing w:before="130" w:line="460" w:lineRule="exact"/>
        <w:ind w:left="420" w:leftChars="200" w:firstLine="0" w:firstLineChars="0"/>
        <w:jc w:val="left"/>
        <w:rPr>
          <w:rFonts w:ascii="宋体" w:hAnsi="宋体" w:cs="宋体"/>
          <w:color w:val="auto"/>
          <w:highlight w:val="none"/>
        </w:rPr>
      </w:pPr>
      <w:r>
        <w:rPr>
          <w:rFonts w:hint="eastAsia" w:ascii="宋体" w:hAnsi="宋体" w:cs="宋体"/>
          <w:color w:val="auto"/>
          <w:szCs w:val="21"/>
          <w:highlight w:val="none"/>
        </w:rPr>
        <w:t xml:space="preserve">(1) </w:t>
      </w:r>
      <w:r>
        <w:rPr>
          <w:rFonts w:hint="eastAsia" w:ascii="宋体" w:hAnsi="宋体" w:cs="宋体"/>
          <w:color w:val="auto"/>
          <w:highlight w:val="none"/>
        </w:rPr>
        <w:t>响应文件中磋商报价表内容与响应文件中相应内容不一致的，以最后磋商报价表为准；</w:t>
      </w:r>
    </w:p>
    <w:p w14:paraId="232D766D">
      <w:pPr>
        <w:pStyle w:val="32"/>
        <w:tabs>
          <w:tab w:val="left" w:pos="1099"/>
        </w:tabs>
        <w:spacing w:before="130" w:line="460" w:lineRule="exact"/>
        <w:ind w:left="420" w:leftChars="200" w:firstLine="0" w:firstLineChars="0"/>
        <w:jc w:val="left"/>
        <w:rPr>
          <w:rFonts w:ascii="宋体" w:hAnsi="宋体" w:cs="宋体"/>
          <w:color w:val="auto"/>
          <w:highlight w:val="none"/>
        </w:rPr>
      </w:pPr>
      <w:r>
        <w:rPr>
          <w:rFonts w:hint="eastAsia" w:ascii="宋体" w:hAnsi="宋体" w:cs="宋体"/>
          <w:color w:val="auto"/>
          <w:szCs w:val="21"/>
          <w:highlight w:val="none"/>
        </w:rPr>
        <w:t>(2)</w:t>
      </w:r>
      <w:r>
        <w:rPr>
          <w:rFonts w:hint="eastAsia" w:ascii="宋体" w:hAnsi="宋体" w:cs="宋体"/>
          <w:color w:val="auto"/>
          <w:highlight w:val="none"/>
        </w:rPr>
        <w:t xml:space="preserve"> 大写金额和小写金额不一致的，以大写金额为准；</w:t>
      </w:r>
    </w:p>
    <w:p w14:paraId="6C669C67">
      <w:pPr>
        <w:pStyle w:val="32"/>
        <w:tabs>
          <w:tab w:val="left" w:pos="1099"/>
        </w:tabs>
        <w:spacing w:before="130" w:line="460" w:lineRule="exact"/>
        <w:ind w:left="420" w:leftChars="200" w:firstLine="0" w:firstLineChars="0"/>
        <w:jc w:val="left"/>
        <w:rPr>
          <w:rFonts w:ascii="宋体" w:hAnsi="宋体" w:cs="宋体"/>
          <w:color w:val="auto"/>
          <w:highlight w:val="none"/>
        </w:rPr>
      </w:pPr>
      <w:r>
        <w:rPr>
          <w:rFonts w:hint="eastAsia" w:ascii="宋体" w:hAnsi="宋体" w:cs="宋体"/>
          <w:color w:val="auto"/>
          <w:szCs w:val="21"/>
          <w:highlight w:val="none"/>
        </w:rPr>
        <w:t>(3)</w:t>
      </w:r>
      <w:r>
        <w:rPr>
          <w:rFonts w:hint="eastAsia" w:ascii="宋体" w:hAnsi="宋体" w:cs="宋体"/>
          <w:color w:val="auto"/>
          <w:highlight w:val="none"/>
        </w:rPr>
        <w:t xml:space="preserve"> 单价金额小数点或者百分比有明显错位的，以报价表的总价为准，并修改单价；</w:t>
      </w:r>
    </w:p>
    <w:p w14:paraId="4EEFF179">
      <w:pPr>
        <w:pStyle w:val="32"/>
        <w:tabs>
          <w:tab w:val="left" w:pos="1099"/>
        </w:tabs>
        <w:spacing w:before="130" w:line="460" w:lineRule="exact"/>
        <w:ind w:left="420" w:leftChars="200" w:firstLine="0" w:firstLineChars="0"/>
        <w:jc w:val="left"/>
        <w:rPr>
          <w:rFonts w:ascii="宋体" w:hAnsi="宋体" w:cs="宋体"/>
          <w:color w:val="auto"/>
          <w:highlight w:val="none"/>
        </w:rPr>
      </w:pPr>
      <w:r>
        <w:rPr>
          <w:rFonts w:hint="eastAsia" w:ascii="宋体" w:hAnsi="宋体" w:cs="宋体"/>
          <w:color w:val="auto"/>
          <w:szCs w:val="21"/>
          <w:highlight w:val="none"/>
        </w:rPr>
        <w:t xml:space="preserve">(4) </w:t>
      </w:r>
      <w:r>
        <w:rPr>
          <w:rFonts w:hint="eastAsia" w:ascii="宋体" w:hAnsi="宋体" w:cs="宋体"/>
          <w:color w:val="auto"/>
          <w:highlight w:val="none"/>
        </w:rPr>
        <w:t>总价金额与按单价汇总金额不一致的，以单价金额计算结果为准。</w:t>
      </w:r>
    </w:p>
    <w:p w14:paraId="48A88E4C">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56A5B70D">
      <w:pPr>
        <w:pStyle w:val="5"/>
        <w:spacing w:line="460" w:lineRule="exact"/>
        <w:ind w:firstLine="422" w:firstLineChars="200"/>
        <w:rPr>
          <w:rFonts w:ascii="宋体" w:hAnsi="宋体" w:cs="宋体"/>
          <w:color w:val="auto"/>
          <w:sz w:val="21"/>
          <w:szCs w:val="21"/>
          <w:highlight w:val="none"/>
        </w:rPr>
      </w:pPr>
      <w:bookmarkStart w:id="173" w:name="_Toc6041"/>
      <w:bookmarkStart w:id="174" w:name="_Toc27193"/>
      <w:bookmarkStart w:id="175" w:name="_Toc9284"/>
      <w:r>
        <w:rPr>
          <w:rFonts w:hint="eastAsia" w:ascii="宋体" w:hAnsi="宋体" w:cs="宋体"/>
          <w:color w:val="auto"/>
          <w:sz w:val="21"/>
          <w:szCs w:val="21"/>
          <w:highlight w:val="none"/>
        </w:rPr>
        <w:t>21. 评审程序及磋商要求</w:t>
      </w:r>
      <w:bookmarkEnd w:id="173"/>
      <w:bookmarkEnd w:id="174"/>
      <w:bookmarkEnd w:id="175"/>
    </w:p>
    <w:p w14:paraId="3BFA0BFB">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21.1磋商小组成员的通讯工具或相关电子设备交由防城港市公共资源交易中心统一保管后到达评标室，采购代理机构核实磋商小组成员身份，告知回避要求，宣布评审工作纪律和程序，推选磋商小组组长。</w:t>
      </w:r>
    </w:p>
    <w:p w14:paraId="6A53845A">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038B7E5C">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21.3磋商小组依据竞争性磋商文件的规定，首先对响应文件进行资格性审查，以确定供应商是否具备本项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38757E7E">
      <w:pPr>
        <w:spacing w:line="460" w:lineRule="exact"/>
        <w:ind w:firstLine="420" w:firstLineChars="200"/>
        <w:rPr>
          <w:rFonts w:ascii="宋体" w:hAnsi="宋体" w:cs="宋体"/>
          <w:b/>
          <w:bCs/>
          <w:color w:val="auto"/>
          <w:szCs w:val="21"/>
          <w:highlight w:val="none"/>
        </w:rPr>
      </w:pPr>
      <w:r>
        <w:rPr>
          <w:rFonts w:hint="eastAsia" w:ascii="宋体" w:hAnsi="宋体" w:cs="宋体"/>
          <w:b w:val="0"/>
          <w:bCs w:val="0"/>
          <w:color w:val="auto"/>
          <w:szCs w:val="21"/>
          <w:highlight w:val="none"/>
        </w:rPr>
        <w:t>21.4 磋</w:t>
      </w:r>
      <w:r>
        <w:rPr>
          <w:rFonts w:hint="eastAsia" w:ascii="宋体" w:hAnsi="宋体" w:cs="宋体"/>
          <w:color w:val="auto"/>
          <w:szCs w:val="21"/>
          <w:highlight w:val="none"/>
        </w:rPr>
        <w:t>商小组如发现供应商提供的证明文件不齐全或不符合规定格式的，应一次性告知供应商，供应商应在规定的时间内线上补正或更正</w:t>
      </w:r>
      <w:r>
        <w:rPr>
          <w:rFonts w:hint="eastAsia" w:ascii="宋体" w:hAnsi="宋体" w:cs="宋体"/>
          <w:b w:val="0"/>
          <w:bCs w:val="0"/>
          <w:color w:val="auto"/>
          <w:szCs w:val="21"/>
          <w:highlight w:val="none"/>
        </w:rPr>
        <w:t>。</w:t>
      </w:r>
    </w:p>
    <w:p w14:paraId="6F9C5EE2">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21.5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w:t>
      </w:r>
      <w:r>
        <w:rPr>
          <w:rFonts w:hint="eastAsia" w:ascii="宋体" w:hAnsi="宋体" w:cs="宋体"/>
          <w:color w:val="auto"/>
          <w:highlight w:val="none"/>
        </w:rPr>
        <w:t>个人CA签章)</w:t>
      </w:r>
      <w:r>
        <w:rPr>
          <w:rFonts w:hint="eastAsia" w:ascii="宋体" w:hAnsi="宋体" w:cs="宋体"/>
          <w:color w:val="auto"/>
          <w:szCs w:val="21"/>
          <w:highlight w:val="none"/>
        </w:rPr>
        <w:t>或者加盖供应商公章(CA签章)。</w:t>
      </w:r>
    </w:p>
    <w:p w14:paraId="62DAB778">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根据磋商文件规定的程序、评定成交的标准等事项与实质性响应竞争性磋商文件要求的供应商进行磋商。</w:t>
      </w:r>
    </w:p>
    <w:p w14:paraId="19B7C35B">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未实质性响应磋商文件的响应文件按无效处理，磋商小组应当告知有关供应商。 </w:t>
      </w:r>
    </w:p>
    <w:p w14:paraId="4175B445">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磋商小组所有成员应当按已确定的磋商顺序集中与单一供应商分别进行磋商，并给予所有实质性响应竞争性磋商文件要求的供应商平等的磋商机会。</w:t>
      </w:r>
    </w:p>
    <w:p w14:paraId="5DC9902E">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磋商中，磋商小组不得透露与磋商有关的其他供应商的技术资料、价格和其他信息。 </w:t>
      </w:r>
    </w:p>
    <w:p w14:paraId="25004B4C">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磋商小组对磋商过程和重要磋商内容进行记录，磋商双方在记录上签字确认（</w:t>
      </w:r>
      <w:r>
        <w:rPr>
          <w:rFonts w:hint="eastAsia" w:ascii="宋体" w:hAnsi="宋体" w:cs="宋体"/>
          <w:color w:val="auto"/>
          <w:highlight w:val="none"/>
        </w:rPr>
        <w:t>个人CA签章)</w:t>
      </w:r>
      <w:r>
        <w:rPr>
          <w:rFonts w:hint="eastAsia" w:ascii="宋体" w:hAnsi="宋体" w:cs="宋体"/>
          <w:color w:val="auto"/>
          <w:szCs w:val="21"/>
          <w:highlight w:val="none"/>
        </w:rPr>
        <w:t>或者加盖供应商公章(CA签章)。</w:t>
      </w:r>
    </w:p>
    <w:p w14:paraId="251F4C73">
      <w:pPr>
        <w:spacing w:line="460" w:lineRule="exact"/>
        <w:ind w:firstLine="420" w:firstLineChars="200"/>
        <w:rPr>
          <w:rFonts w:ascii="宋体" w:hAnsi="宋体" w:cs="宋体"/>
          <w:color w:val="auto"/>
          <w:highlight w:val="none"/>
        </w:rPr>
      </w:pPr>
      <w:r>
        <w:rPr>
          <w:rFonts w:hint="eastAsia" w:ascii="宋体" w:hAnsi="宋体" w:cs="宋体"/>
          <w:color w:val="auto"/>
          <w:szCs w:val="21"/>
          <w:highlight w:val="none"/>
        </w:rPr>
        <w:t>21.6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1692134B">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21.7在磋商过程中，磋商小组可以根据磋商文件和磋商情况实质性变动项目需求中的技术、服务要求以及合同草案条款，但不得变动磋商文件中的其他内容。实质性变动的内容，须经采购人代表确认。 </w:t>
      </w:r>
    </w:p>
    <w:p w14:paraId="1C9938F4">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对磋商文件作出的实质性变动是磋商文件的有效组成部分，磋商小组应当及时通过广西政府采购云平台同时通知所有参加磋商的供应商。 </w:t>
      </w:r>
    </w:p>
    <w:p w14:paraId="4E104D42">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14:paraId="72DC7764">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21.8 第二轮磋商</w:t>
      </w:r>
    </w:p>
    <w:p w14:paraId="1840CEF4">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磋商小组集中就重新提交的响应文件或磋商小组提出的磋商意见与单一响应供应商分别进行磋商。磋商小组对磋商过程和重要磋商内容进行记录，磋商双方在记录上签字确认（CA签章确认）。</w:t>
      </w:r>
    </w:p>
    <w:p w14:paraId="75E7DB3C">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磋商后，供应商根据磋商小组统一整理的书面磋商记录要求做出书面承诺，并由其法定代表人或授权代表签字或者加盖公章（CA签章）后按时线上提交。</w:t>
      </w:r>
    </w:p>
    <w:p w14:paraId="449B30DC">
      <w:pPr>
        <w:spacing w:line="460" w:lineRule="exact"/>
        <w:ind w:firstLine="420" w:firstLineChars="200"/>
        <w:rPr>
          <w:rFonts w:ascii="宋体" w:hAnsi="宋体" w:cs="宋体"/>
          <w:color w:val="auto"/>
          <w:highlight w:val="none"/>
        </w:rPr>
      </w:pPr>
      <w:r>
        <w:rPr>
          <w:rFonts w:hint="eastAsia" w:ascii="宋体" w:hAnsi="宋体" w:cs="宋体"/>
          <w:color w:val="auto"/>
          <w:szCs w:val="21"/>
          <w:highlight w:val="none"/>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76A97723">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21.9 在采购过程中符合竞争要求的供应商或者报价未超过采购预算的供应商不足3家的，采购人或者采购代理机构应当终止竞争性磋商采购活动。 </w:t>
      </w:r>
    </w:p>
    <w:p w14:paraId="00C85678">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21.10 最后报价 </w:t>
      </w:r>
    </w:p>
    <w:p w14:paraId="3B0C5BD0">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21.10.1 磋商文件能够详细列明采购标的的技术、服务要求的，磋商结束后，磋商小组应当要求所有继续参加磋商的供应商在规定时间内线上提交最后报价，提交最后报价的供应商不得少于3家。 </w:t>
      </w:r>
    </w:p>
    <w:p w14:paraId="4426BBFC">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21.10.2 磋商文件不能详细列明采购标的的技术、服务要求的，需由磋商供应商提供最终设计方案或解决方案的，磋商结束后，磋商小组应当按照少数服从多数的原则投票推荐3家以上（含3家）供应商的设计方案或者解决方案，并要求其在规定时间内线上提交最后报价。 </w:t>
      </w:r>
    </w:p>
    <w:p w14:paraId="731DCD4D">
      <w:pPr>
        <w:spacing w:line="460" w:lineRule="exact"/>
        <w:ind w:firstLine="420" w:firstLineChars="200"/>
        <w:rPr>
          <w:rFonts w:ascii="宋体" w:hAnsi="宋体" w:cs="宋体"/>
          <w:color w:val="auto"/>
          <w:highlight w:val="none"/>
        </w:rPr>
      </w:pPr>
      <w:r>
        <w:rPr>
          <w:rFonts w:hint="eastAsia" w:ascii="宋体" w:hAnsi="宋体" w:cs="宋体"/>
          <w:color w:val="auto"/>
          <w:szCs w:val="21"/>
          <w:highlight w:val="none"/>
        </w:rPr>
        <w:t>21.10.3 根据《财政部关于政府采购竞争性磋商采购方式管理暂行办法有关问题的补充通知》(财库〔2014〕214号)的规定，如采购项目为政府购买服务项目（含政府和社会资本合作项目），在采购过程中符合要求的供应商（社会资本）只有2家的，竞争性磋商采购活动可以继续进行，并要求其在规定时间内线上提交最后报价；采购过程中符合要求的供应商（社会资本）只有1家的，采购人或者采购代理机构应当终止竞争性磋商采购活动，发布项目终止公告并说明原因，重新开展采购活动。</w:t>
      </w:r>
    </w:p>
    <w:p w14:paraId="634CC681">
      <w:pPr>
        <w:spacing w:line="46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21.10.4 根据《政府采购竞争性磋商采购方式管理暂行办法》(财库〔2014〕214号)的规定：</w:t>
      </w:r>
      <w:r>
        <w:rPr>
          <w:rFonts w:hint="eastAsia" w:ascii="宋体" w:hAnsi="宋体" w:cs="宋体"/>
          <w:b/>
          <w:bCs/>
          <w:color w:val="auto"/>
          <w:szCs w:val="21"/>
          <w:highlight w:val="none"/>
        </w:rPr>
        <w:t>最后报价是供应商响应文件的有效组成部分。</w:t>
      </w:r>
      <w:r>
        <w:rPr>
          <w:rFonts w:hint="eastAsia" w:ascii="宋体" w:hAnsi="宋体" w:cs="宋体"/>
          <w:color w:val="auto"/>
          <w:szCs w:val="21"/>
          <w:highlight w:val="none"/>
        </w:rPr>
        <w:t>符合本办法(财库〔2014〕214号文)第三条第四项情形的，提交最后报价的供应商可以为2家。</w:t>
      </w:r>
      <w:r>
        <w:rPr>
          <w:rFonts w:hint="eastAsia" w:ascii="宋体" w:hAnsi="宋体" w:cs="宋体"/>
          <w:b/>
          <w:bCs/>
          <w:color w:val="auto"/>
          <w:szCs w:val="21"/>
          <w:highlight w:val="none"/>
        </w:rPr>
        <w:t>（财库〔2014〕214号文第三条第四项：市场竞争不充分的科研项目，以及需要扶持的科技成果转化项目。）</w:t>
      </w:r>
    </w:p>
    <w:p w14:paraId="1E31D87D">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21.11 已提交响应文件的供应商，在提交最后报价之前，可以根据磋商情况书面退出磋商。</w:t>
      </w:r>
    </w:p>
    <w:p w14:paraId="71F4463E">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未书面退出磋商的供应商在规定时间内线上提交最后报价，其最后报价超出采购预算导致已通过评审的响应文件无效的，按供应商在提交响应文件截止时间后撤回响应文件处理。</w:t>
      </w:r>
    </w:p>
    <w:p w14:paraId="700662B8">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21.12 评审报告</w:t>
      </w:r>
    </w:p>
    <w:p w14:paraId="197CC627">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磋商小组应当从质量和服务均能满足磋商文件全部实质性响应要求的供应商中，按照最后综合得分由高到低的顺序提出3名以上（含3名）成交候选人，并编写评审报告。</w:t>
      </w:r>
    </w:p>
    <w:p w14:paraId="089BAEF6">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21.13 在评审过程中出现法律法规和磋商文件均没有明确规定的情形时，由磋商小组现场协商解决，协商不一致的，由全体磋商小组投票表决，以得票率二分之一以上磋商小组成员的意见为准。</w:t>
      </w:r>
    </w:p>
    <w:p w14:paraId="6C8B1E0A">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21.14 采购代理机构发现磋商小组有明显的违规倾向或歧视现象，或不按评审办法进行，或其他不正常行为的，应当及时制止。如制止无效，应及时向政府采购监督管理部门报告。</w:t>
      </w:r>
    </w:p>
    <w:p w14:paraId="503AB4DC">
      <w:pPr>
        <w:spacing w:line="460" w:lineRule="exact"/>
        <w:ind w:firstLine="420" w:firstLineChars="200"/>
        <w:rPr>
          <w:rFonts w:ascii="宋体" w:hAnsi="宋体" w:cs="宋体"/>
          <w:b/>
          <w:bCs/>
          <w:color w:val="auto"/>
          <w:highlight w:val="none"/>
        </w:rPr>
      </w:pPr>
      <w:r>
        <w:rPr>
          <w:rFonts w:hint="eastAsia" w:ascii="宋体" w:hAnsi="宋体" w:cs="宋体"/>
          <w:color w:val="auto"/>
          <w:szCs w:val="21"/>
          <w:highlight w:val="none"/>
        </w:rPr>
        <w:t>21.15 本采购项目的评审依据为竞争性磋商文件和竞争性磋商响应文件，采用的评审方法为</w:t>
      </w:r>
      <w:r>
        <w:rPr>
          <w:rFonts w:hint="eastAsia" w:ascii="宋体" w:hAnsi="宋体" w:cs="宋体"/>
          <w:b/>
          <w:bCs/>
          <w:color w:val="auto"/>
          <w:szCs w:val="21"/>
          <w:highlight w:val="none"/>
        </w:rPr>
        <w:t>综合评分法。</w:t>
      </w:r>
    </w:p>
    <w:p w14:paraId="2FBBFC05">
      <w:pPr>
        <w:pStyle w:val="5"/>
        <w:spacing w:line="460" w:lineRule="exact"/>
        <w:ind w:firstLine="422" w:firstLineChars="200"/>
        <w:rPr>
          <w:rFonts w:ascii="宋体" w:hAnsi="宋体" w:cs="宋体"/>
          <w:color w:val="auto"/>
          <w:sz w:val="21"/>
          <w:szCs w:val="21"/>
          <w:highlight w:val="none"/>
        </w:rPr>
      </w:pPr>
      <w:bookmarkStart w:id="176" w:name="_Toc32470"/>
      <w:bookmarkStart w:id="177" w:name="_Toc6719"/>
      <w:bookmarkStart w:id="178" w:name="_Toc5402"/>
      <w:r>
        <w:rPr>
          <w:rFonts w:hint="eastAsia" w:ascii="宋体" w:hAnsi="宋体" w:cs="宋体"/>
          <w:color w:val="auto"/>
          <w:sz w:val="21"/>
          <w:szCs w:val="21"/>
          <w:highlight w:val="none"/>
        </w:rPr>
        <w:t>22. 确定成交供应商</w:t>
      </w:r>
      <w:bookmarkEnd w:id="176"/>
      <w:bookmarkEnd w:id="177"/>
      <w:bookmarkEnd w:id="178"/>
    </w:p>
    <w:p w14:paraId="7C96CBCB">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14:paraId="73B94C9D">
      <w:pPr>
        <w:spacing w:line="460" w:lineRule="exact"/>
        <w:ind w:firstLine="420" w:firstLineChars="200"/>
        <w:rPr>
          <w:rFonts w:ascii="宋体" w:hAnsi="宋体" w:cs="宋体"/>
          <w:color w:val="auto"/>
          <w:highlight w:val="none"/>
        </w:rPr>
      </w:pPr>
      <w:r>
        <w:rPr>
          <w:rFonts w:hint="eastAsia" w:ascii="宋体" w:hAnsi="宋体" w:cs="宋体"/>
          <w:color w:val="auto"/>
          <w:szCs w:val="21"/>
          <w:highlight w:val="none"/>
        </w:rPr>
        <w:t>22.2采购单位应当确定磋商小组推荐排名第一的成交候选人为成交供应商。</w:t>
      </w:r>
    </w:p>
    <w:p w14:paraId="7D93BF0A">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22.3排名第一的成交候选人放弃成交、因不可抗力提出不能履行合同，或信用信息记录不符合相关规定的，或者磋商文件规定应当提交履约保证金而在规定的期限内未能提交的，采购单位可以依法确定排名第二的成交候选人为成交供应商。</w:t>
      </w:r>
    </w:p>
    <w:p w14:paraId="5D70F48E">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22.4排名第二的成交候选人因前款规定的同样原因不能签订合同的，采购单位可以依法确定排名第三的成交候选人为成交供应商。</w:t>
      </w:r>
    </w:p>
    <w:p w14:paraId="62EFEADB">
      <w:pPr>
        <w:pStyle w:val="5"/>
        <w:spacing w:line="460" w:lineRule="exact"/>
        <w:ind w:firstLine="422" w:firstLineChars="200"/>
        <w:rPr>
          <w:rFonts w:ascii="宋体" w:hAnsi="宋体" w:cs="宋体"/>
          <w:color w:val="auto"/>
          <w:sz w:val="21"/>
          <w:szCs w:val="21"/>
          <w:highlight w:val="none"/>
        </w:rPr>
      </w:pPr>
      <w:bookmarkStart w:id="179" w:name="_Toc20784"/>
      <w:bookmarkStart w:id="180" w:name="_Toc582"/>
      <w:bookmarkStart w:id="181" w:name="_Toc21715"/>
      <w:r>
        <w:rPr>
          <w:rFonts w:hint="eastAsia" w:ascii="宋体" w:hAnsi="宋体" w:cs="宋体"/>
          <w:color w:val="auto"/>
          <w:sz w:val="21"/>
          <w:szCs w:val="21"/>
          <w:highlight w:val="none"/>
        </w:rPr>
        <w:t>23. 属于下列情况之一者，响应文件无效</w:t>
      </w:r>
      <w:bookmarkEnd w:id="179"/>
      <w:bookmarkEnd w:id="180"/>
      <w:bookmarkEnd w:id="181"/>
    </w:p>
    <w:p w14:paraId="3FF207A2">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（1）未按磋商文件规定完整线上提交响应文件或未按规定要求线上签字、签章的；</w:t>
      </w:r>
    </w:p>
    <w:p w14:paraId="0F41F012">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（2）不具备磋商文件规定的资格要求的；</w:t>
      </w:r>
    </w:p>
    <w:p w14:paraId="13E44F13">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（3）响应文件未按磋商文件的内容和要求编制，或提供虚假材料的；</w:t>
      </w:r>
    </w:p>
    <w:p w14:paraId="1E133AB8">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（4）响应文件有效期、交货时间、免费保修期（升级、维护）期/维护期、售后服务不能满足磋商文件要求的；</w:t>
      </w:r>
    </w:p>
    <w:p w14:paraId="40CB1198">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（5）供应商未就“采购需求”中的所有内容作完整唯一报价的，或报价超出采购预算总金额的；</w:t>
      </w:r>
    </w:p>
    <w:p w14:paraId="476DBE2A">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（6）未在磋商小组规定的时间内提交响应文件(包括最后报价)的；</w:t>
      </w:r>
    </w:p>
    <w:p w14:paraId="7676FC17">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（7）超越了按照法律法规规定必须获得行政许可或者行政审批的经营范围的；</w:t>
      </w:r>
    </w:p>
    <w:p w14:paraId="6E15B06B">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（8）未满足磋商文件实质性要求的或者响应文件有采购人不能接受的附加条件的；</w:t>
      </w:r>
    </w:p>
    <w:p w14:paraId="350F4923">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（9）不符合法律、法规和磋商文件规定的其他实质性要求和条件的。</w:t>
      </w:r>
    </w:p>
    <w:p w14:paraId="20EAA611">
      <w:pPr>
        <w:spacing w:line="4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供应商有下列情形之一的视为供应商相互串通磋商，响应文件将被视为无效</w:t>
      </w:r>
    </w:p>
    <w:p w14:paraId="0042692B">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（1）不同供应商的响应文件由同一单位或者个人编制；或不同供应商报名的IP地址一致的；</w:t>
      </w:r>
    </w:p>
    <w:p w14:paraId="11533083">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（2）不同供应商委托同一单位或者个人办理磋商事宜；</w:t>
      </w:r>
    </w:p>
    <w:p w14:paraId="780C4F45">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33B12BE2">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（4）不同供应商的响应文件异常一致或竞标报价呈规律性差异；</w:t>
      </w:r>
    </w:p>
    <w:p w14:paraId="3D278E1A">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（5）不同供应商的响应文件相互混编。</w:t>
      </w:r>
    </w:p>
    <w:p w14:paraId="0A20F209">
      <w:pPr>
        <w:pStyle w:val="5"/>
        <w:spacing w:line="460" w:lineRule="exact"/>
        <w:ind w:firstLine="422" w:firstLineChars="200"/>
        <w:rPr>
          <w:rFonts w:ascii="宋体" w:hAnsi="宋体" w:cs="宋体"/>
          <w:color w:val="auto"/>
          <w:sz w:val="21"/>
          <w:szCs w:val="21"/>
          <w:highlight w:val="none"/>
        </w:rPr>
      </w:pPr>
      <w:bookmarkStart w:id="182" w:name="_Toc21712"/>
      <w:bookmarkStart w:id="183" w:name="_Toc14842"/>
      <w:bookmarkStart w:id="184" w:name="_Toc5714"/>
      <w:r>
        <w:rPr>
          <w:rFonts w:hint="eastAsia" w:ascii="宋体" w:hAnsi="宋体" w:cs="宋体"/>
          <w:color w:val="auto"/>
          <w:sz w:val="21"/>
          <w:szCs w:val="21"/>
          <w:highlight w:val="none"/>
        </w:rPr>
        <w:t>24. 出现下列情形之一的，采购人或者采购代理机构应当终止竞争性磋商采购活动，发布项目终止公告并说明原因，重新开展采购活动</w:t>
      </w:r>
      <w:bookmarkEnd w:id="182"/>
      <w:bookmarkEnd w:id="183"/>
      <w:bookmarkEnd w:id="184"/>
    </w:p>
    <w:p w14:paraId="2EB86CBB">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（1）因情况变化，不再符合规定的竞争性磋商采购方式适用情形的；</w:t>
      </w:r>
    </w:p>
    <w:p w14:paraId="7F5BFD82">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（2）出现影响采购公正的违法、违规行为的； </w:t>
      </w:r>
    </w:p>
    <w:p w14:paraId="341D5723">
      <w:pPr>
        <w:spacing w:line="46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（3）在采购过程中符合竞争要求的供应商或者报价未超过采购预算的供应商不足3家的。</w:t>
      </w:r>
      <w:r>
        <w:rPr>
          <w:rFonts w:hint="eastAsia" w:ascii="宋体" w:hAnsi="宋体" w:cs="宋体"/>
          <w:b/>
          <w:bCs/>
          <w:color w:val="auto"/>
          <w:szCs w:val="21"/>
          <w:highlight w:val="none"/>
        </w:rPr>
        <w:t xml:space="preserve">（除财库〔2014〕214 号《政府采购竞争性磋商采购方式管理暂行办法》第二十一条第三款规定的情形外） </w:t>
      </w:r>
    </w:p>
    <w:p w14:paraId="3081BD80">
      <w:pPr>
        <w:pStyle w:val="5"/>
        <w:spacing w:line="460" w:lineRule="exact"/>
        <w:ind w:firstLine="422" w:firstLineChars="200"/>
        <w:rPr>
          <w:rFonts w:ascii="宋体" w:hAnsi="宋体" w:cs="宋体"/>
          <w:color w:val="auto"/>
          <w:sz w:val="21"/>
          <w:szCs w:val="21"/>
          <w:highlight w:val="none"/>
        </w:rPr>
      </w:pPr>
      <w:bookmarkStart w:id="185" w:name="_Toc19105"/>
      <w:bookmarkStart w:id="186" w:name="_Toc6771"/>
      <w:bookmarkStart w:id="187" w:name="_Toc24887"/>
      <w:r>
        <w:rPr>
          <w:rFonts w:hint="eastAsia" w:ascii="宋体" w:hAnsi="宋体" w:cs="宋体"/>
          <w:color w:val="auto"/>
          <w:sz w:val="21"/>
          <w:szCs w:val="21"/>
          <w:highlight w:val="none"/>
        </w:rPr>
        <w:t>25. 磋商过程的监控</w:t>
      </w:r>
      <w:bookmarkEnd w:id="185"/>
      <w:bookmarkEnd w:id="186"/>
      <w:bookmarkEnd w:id="187"/>
    </w:p>
    <w:p w14:paraId="094DED30">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本项目磋商过程实行全程录音、录像监控，供应商在磋商过程中所进行的试图影响磋商结果的不公正活动，可能导致其磋商被拒绝。</w:t>
      </w:r>
    </w:p>
    <w:p w14:paraId="0FD988C5">
      <w:pPr>
        <w:pStyle w:val="5"/>
        <w:spacing w:line="460" w:lineRule="exact"/>
        <w:ind w:firstLine="422" w:firstLineChars="200"/>
        <w:rPr>
          <w:rFonts w:ascii="宋体" w:hAnsi="宋体" w:cs="宋体"/>
          <w:color w:val="auto"/>
          <w:szCs w:val="21"/>
          <w:highlight w:val="none"/>
        </w:rPr>
      </w:pPr>
      <w:bookmarkStart w:id="188" w:name="_Toc7544"/>
      <w:bookmarkStart w:id="189" w:name="_Toc31070"/>
      <w:bookmarkStart w:id="190" w:name="_Toc14787"/>
      <w:r>
        <w:rPr>
          <w:rFonts w:hint="eastAsia" w:ascii="宋体" w:hAnsi="宋体" w:cs="宋体"/>
          <w:color w:val="auto"/>
          <w:sz w:val="21"/>
          <w:szCs w:val="21"/>
          <w:highlight w:val="none"/>
        </w:rPr>
        <w:t>26. 信用查询</w:t>
      </w:r>
      <w:bookmarkEnd w:id="188"/>
      <w:bookmarkEnd w:id="189"/>
      <w:bookmarkEnd w:id="190"/>
    </w:p>
    <w:p w14:paraId="547EE429">
      <w:pPr>
        <w:spacing w:line="460" w:lineRule="exact"/>
        <w:ind w:firstLine="210" w:firstLineChars="100"/>
        <w:rPr>
          <w:rFonts w:ascii="宋体" w:hAnsi="宋体" w:cs="宋体"/>
          <w:color w:val="auto"/>
          <w:szCs w:val="21"/>
          <w:highlight w:val="none"/>
        </w:rPr>
      </w:pPr>
      <w:bookmarkStart w:id="191" w:name="_Toc9438"/>
      <w:bookmarkStart w:id="192" w:name="_Toc13703"/>
      <w:bookmarkStart w:id="193" w:name="_Toc12103"/>
      <w:r>
        <w:rPr>
          <w:rFonts w:hint="eastAsia" w:ascii="宋体" w:hAnsi="宋体" w:cs="宋体"/>
          <w:color w:val="auto"/>
          <w:szCs w:val="21"/>
          <w:highlight w:val="none"/>
        </w:rPr>
        <w:t>（1）查询渠道：“信用中国”网站(www.creditchina.gov.cn)、中国政府采购网(www.ccgp.gov.cn)等；</w:t>
      </w:r>
    </w:p>
    <w:p w14:paraId="1C1A4BC7">
      <w:pPr>
        <w:spacing w:line="4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（2）信用信息查询记录和证据留存方式：在查询网站中直接打印查询记录，打印材料作为采购活动资料保存。</w:t>
      </w:r>
    </w:p>
    <w:p w14:paraId="2BB54C11">
      <w:pPr>
        <w:spacing w:line="4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3AC2E8BF">
      <w:pPr>
        <w:pStyle w:val="5"/>
        <w:spacing w:line="460" w:lineRule="exact"/>
        <w:ind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27. 成交结果公告及成交通知书</w:t>
      </w:r>
      <w:bookmarkEnd w:id="191"/>
      <w:bookmarkEnd w:id="192"/>
      <w:bookmarkEnd w:id="193"/>
    </w:p>
    <w:p w14:paraId="1F7E0712">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27.1 采购代理机构于磋商结束后两个工作日内将评审报告送交采购人，采购人应当自收到评审报告两个工作日内在评审报告推荐的成交候选人中按顺序确定成交供应商，采购代理机构在成交供应商确定之日起两个工作日内发出成交通知书，并在指定媒体上公告成交信息。</w:t>
      </w:r>
    </w:p>
    <w:p w14:paraId="60AF1085">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27.2 在发布成交公告的同时，采购代理机构向成交供应商发出成交通知书。成交供应商自接到通知之日起七个工作日内，办理成交通知书领取手续。</w:t>
      </w:r>
    </w:p>
    <w:p w14:paraId="509097AE">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27.3 采购代理机构无义务向未成交的供应商解释未成交原因和退还响应文件。</w:t>
      </w:r>
    </w:p>
    <w:p w14:paraId="186D25A8">
      <w:pPr>
        <w:pStyle w:val="30"/>
        <w:rPr>
          <w:b/>
          <w:bCs/>
          <w:color w:val="auto"/>
          <w:sz w:val="28"/>
          <w:szCs w:val="28"/>
          <w:highlight w:val="none"/>
        </w:rPr>
      </w:pPr>
      <w:bookmarkStart w:id="194" w:name="_Toc25593"/>
      <w:bookmarkStart w:id="195" w:name="_Toc7859"/>
    </w:p>
    <w:p w14:paraId="7E42354B">
      <w:pPr>
        <w:spacing w:line="460" w:lineRule="exact"/>
        <w:jc w:val="center"/>
        <w:outlineLvl w:val="1"/>
        <w:rPr>
          <w:b/>
          <w:bCs/>
          <w:color w:val="auto"/>
          <w:sz w:val="28"/>
          <w:szCs w:val="28"/>
          <w:highlight w:val="none"/>
        </w:rPr>
      </w:pPr>
      <w:bookmarkStart w:id="196" w:name="_Toc12061"/>
      <w:r>
        <w:rPr>
          <w:rFonts w:hint="eastAsia"/>
          <w:b/>
          <w:bCs/>
          <w:color w:val="auto"/>
          <w:sz w:val="28"/>
          <w:szCs w:val="28"/>
          <w:highlight w:val="none"/>
        </w:rPr>
        <w:t>五、签订合同</w:t>
      </w:r>
      <w:bookmarkEnd w:id="194"/>
      <w:bookmarkEnd w:id="195"/>
      <w:bookmarkEnd w:id="196"/>
    </w:p>
    <w:p w14:paraId="5513E82F">
      <w:pPr>
        <w:pStyle w:val="5"/>
        <w:spacing w:line="460" w:lineRule="exact"/>
        <w:ind w:firstLine="422" w:firstLineChars="200"/>
        <w:rPr>
          <w:rFonts w:ascii="宋体" w:hAnsi="宋体" w:cs="宋体"/>
          <w:color w:val="auto"/>
          <w:szCs w:val="21"/>
          <w:highlight w:val="none"/>
        </w:rPr>
      </w:pPr>
      <w:bookmarkStart w:id="197" w:name="_Toc26520"/>
      <w:bookmarkStart w:id="198" w:name="_Toc13527"/>
      <w:bookmarkStart w:id="199" w:name="_Toc20760"/>
      <w:r>
        <w:rPr>
          <w:rFonts w:hint="eastAsia" w:ascii="宋体" w:hAnsi="宋体" w:cs="宋体"/>
          <w:color w:val="auto"/>
          <w:sz w:val="21"/>
          <w:szCs w:val="21"/>
          <w:highlight w:val="none"/>
        </w:rPr>
        <w:t>28. 履约保证金</w:t>
      </w:r>
      <w:bookmarkEnd w:id="197"/>
      <w:bookmarkEnd w:id="198"/>
      <w:bookmarkEnd w:id="199"/>
    </w:p>
    <w:p w14:paraId="74CCB9CE">
      <w:pPr>
        <w:pStyle w:val="5"/>
        <w:spacing w:line="460" w:lineRule="exact"/>
        <w:ind w:firstLine="420" w:firstLineChars="200"/>
        <w:rPr>
          <w:rFonts w:ascii="宋体" w:hAnsi="宋体" w:cs="宋体"/>
          <w:b w:val="0"/>
          <w:bCs/>
          <w:color w:val="auto"/>
          <w:sz w:val="21"/>
          <w:szCs w:val="21"/>
          <w:highlight w:val="none"/>
        </w:rPr>
      </w:pPr>
      <w:bookmarkStart w:id="200" w:name="_Toc21541"/>
      <w:bookmarkStart w:id="201" w:name="_Toc10846"/>
      <w:bookmarkStart w:id="202" w:name="_Toc4956"/>
      <w:r>
        <w:rPr>
          <w:rFonts w:hint="eastAsia" w:ascii="宋体" w:hAnsi="宋体" w:cs="宋体"/>
          <w:b w:val="0"/>
          <w:bCs/>
          <w:color w:val="auto"/>
          <w:sz w:val="21"/>
          <w:szCs w:val="21"/>
          <w:highlight w:val="none"/>
        </w:rPr>
        <w:t>本项目不收取履约保证金</w:t>
      </w:r>
    </w:p>
    <w:p w14:paraId="054F7DCE">
      <w:pPr>
        <w:pStyle w:val="5"/>
        <w:spacing w:line="460" w:lineRule="exact"/>
        <w:ind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29. 签订合同</w:t>
      </w:r>
      <w:bookmarkEnd w:id="200"/>
      <w:bookmarkEnd w:id="201"/>
      <w:bookmarkEnd w:id="202"/>
    </w:p>
    <w:p w14:paraId="58199CFC">
      <w:pPr>
        <w:spacing w:line="4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29.1 签订合同时间：成交通知书发出之日起二十五日内签订合同。成交供应商领取成交通知书后，应按规定与采购人签订合同。</w:t>
      </w:r>
    </w:p>
    <w:p w14:paraId="7BF5720F">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15452D71">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（1）成交后不与采购人签订合同的（不可抗力除外）；</w:t>
      </w:r>
    </w:p>
    <w:p w14:paraId="061DCDF2">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（2）将成交项目转让给他人，或者在响应文件中未说明，且未经采购人同意，将成交项目分包给他人的；</w:t>
      </w:r>
    </w:p>
    <w:p w14:paraId="611D28F2">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（3）拒绝履行合同义务的。</w:t>
      </w:r>
    </w:p>
    <w:p w14:paraId="14D07F71">
      <w:pPr>
        <w:spacing w:line="460" w:lineRule="exact"/>
        <w:ind w:firstLine="420" w:firstLineChars="200"/>
        <w:rPr>
          <w:rFonts w:ascii="宋体" w:hAnsi="宋体" w:cs="宋体"/>
          <w:color w:val="auto"/>
          <w:sz w:val="36"/>
          <w:szCs w:val="36"/>
          <w:highlight w:val="none"/>
        </w:rPr>
      </w:pPr>
      <w:r>
        <w:rPr>
          <w:rFonts w:hint="eastAsia" w:ascii="宋体" w:hAnsi="宋体" w:cs="宋体"/>
          <w:color w:val="auto"/>
          <w:szCs w:val="21"/>
          <w:highlight w:val="none"/>
        </w:rPr>
        <w:t>29.3 合同备案存档：合同备案存档：</w:t>
      </w:r>
      <w:r>
        <w:rPr>
          <w:rFonts w:hint="eastAsia" w:ascii="宋体" w:hAnsi="宋体" w:cs="宋体"/>
          <w:bCs/>
          <w:color w:val="auto"/>
          <w:kern w:val="0"/>
          <w:szCs w:val="21"/>
          <w:highlight w:val="none"/>
        </w:rPr>
        <w:t>政府采购合同双方自签订之日起1个工作日内将合同原件两份交采购代理机构。采购代理机构将政府采购合同在财政部门指定媒体上公告。</w:t>
      </w:r>
    </w:p>
    <w:p w14:paraId="0EA8D101">
      <w:pPr>
        <w:spacing w:line="460" w:lineRule="exact"/>
        <w:ind w:firstLine="422" w:firstLineChars="200"/>
        <w:rPr>
          <w:rFonts w:ascii="宋体" w:hAnsi="宋体" w:cs="宋体"/>
          <w:b/>
          <w:color w:val="auto"/>
          <w:szCs w:val="28"/>
          <w:highlight w:val="none"/>
        </w:rPr>
      </w:pPr>
      <w:bookmarkStart w:id="203" w:name="_Toc16348"/>
    </w:p>
    <w:p w14:paraId="1EBB7769">
      <w:pPr>
        <w:spacing w:line="460" w:lineRule="exact"/>
        <w:jc w:val="center"/>
        <w:outlineLvl w:val="1"/>
        <w:rPr>
          <w:b/>
          <w:bCs/>
          <w:color w:val="auto"/>
          <w:sz w:val="28"/>
          <w:szCs w:val="28"/>
          <w:highlight w:val="none"/>
        </w:rPr>
      </w:pPr>
      <w:bookmarkStart w:id="204" w:name="_Toc24218"/>
      <w:bookmarkStart w:id="205" w:name="_Toc2060"/>
      <w:r>
        <w:rPr>
          <w:rFonts w:hint="eastAsia"/>
          <w:b/>
          <w:bCs/>
          <w:color w:val="auto"/>
          <w:sz w:val="28"/>
          <w:szCs w:val="28"/>
          <w:highlight w:val="none"/>
        </w:rPr>
        <w:t>六、其他事项</w:t>
      </w:r>
      <w:bookmarkEnd w:id="203"/>
      <w:bookmarkEnd w:id="204"/>
      <w:bookmarkEnd w:id="205"/>
    </w:p>
    <w:p w14:paraId="34415478">
      <w:pPr>
        <w:spacing w:line="360" w:lineRule="auto"/>
        <w:ind w:firstLine="482" w:firstLineChars="200"/>
        <w:rPr>
          <w:rFonts w:ascii="黑体" w:hAnsi="黑体" w:eastAsia="黑体" w:cs="宋体"/>
          <w:b/>
          <w:bCs/>
          <w:color w:val="auto"/>
          <w:sz w:val="24"/>
          <w:highlight w:val="none"/>
        </w:rPr>
      </w:pPr>
      <w:bookmarkStart w:id="206" w:name="_Toc30995"/>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0.其他内容</w:t>
      </w:r>
    </w:p>
    <w:p w14:paraId="5CCE8F54">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0.1采购代理服务费收费标准及缴纳账户详见“供应商须知前附表”。</w:t>
      </w:r>
    </w:p>
    <w:p w14:paraId="7159A27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31</w:t>
      </w:r>
      <w:r>
        <w:rPr>
          <w:rFonts w:ascii="黑体" w:hAnsi="黑体" w:eastAsia="黑体" w:cs="宋体"/>
          <w:b/>
          <w:bCs/>
          <w:color w:val="auto"/>
          <w:sz w:val="24"/>
          <w:highlight w:val="none"/>
        </w:rPr>
        <w:t>.需要补充的</w:t>
      </w:r>
      <w:r>
        <w:rPr>
          <w:rFonts w:hint="eastAsia" w:ascii="黑体" w:hAnsi="黑体" w:eastAsia="黑体" w:cs="宋体"/>
          <w:b/>
          <w:bCs/>
          <w:color w:val="auto"/>
          <w:sz w:val="24"/>
          <w:highlight w:val="none"/>
        </w:rPr>
        <w:t>其他</w:t>
      </w:r>
      <w:r>
        <w:rPr>
          <w:rFonts w:ascii="黑体" w:hAnsi="黑体" w:eastAsia="黑体" w:cs="宋体"/>
          <w:b/>
          <w:bCs/>
          <w:color w:val="auto"/>
          <w:sz w:val="24"/>
          <w:highlight w:val="none"/>
        </w:rPr>
        <w:t>内容</w:t>
      </w:r>
    </w:p>
    <w:p w14:paraId="4FA60E8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w:t>
      </w:r>
      <w:r>
        <w:rPr>
          <w:rFonts w:ascii="宋体" w:hAnsi="宋体" w:cs="宋体"/>
          <w:color w:val="auto"/>
          <w:highlight w:val="none"/>
        </w:rPr>
        <w:t>.1</w:t>
      </w:r>
      <w:r>
        <w:rPr>
          <w:rFonts w:hint="eastAsia" w:ascii="宋体" w:hAnsi="宋体" w:cs="宋体"/>
          <w:color w:val="auto"/>
          <w:highlight w:val="none"/>
        </w:rPr>
        <w:t>本磋商文件解释规则详见“供应商须知前附表”。</w:t>
      </w:r>
    </w:p>
    <w:p w14:paraId="109D39BC">
      <w:pPr>
        <w:spacing w:line="460" w:lineRule="exact"/>
        <w:ind w:firstLine="420" w:firstLineChars="200"/>
        <w:rPr>
          <w:rFonts w:ascii="宋体" w:hAnsi="宋体" w:cs="宋体"/>
          <w:b/>
          <w:bCs/>
          <w:color w:val="auto"/>
          <w:sz w:val="32"/>
          <w:szCs w:val="32"/>
          <w:highlight w:val="none"/>
        </w:rPr>
      </w:pPr>
      <w:r>
        <w:rPr>
          <w:rFonts w:ascii="宋体" w:hAnsi="宋体" w:cs="宋体"/>
          <w:color w:val="auto"/>
          <w:highlight w:val="none"/>
        </w:rPr>
        <w:t>3</w:t>
      </w:r>
      <w:r>
        <w:rPr>
          <w:rFonts w:hint="eastAsia" w:ascii="宋体" w:hAnsi="宋体" w:cs="宋体"/>
          <w:color w:val="auto"/>
          <w:highlight w:val="none"/>
        </w:rPr>
        <w:t>1</w:t>
      </w:r>
      <w:r>
        <w:rPr>
          <w:rFonts w:ascii="宋体" w:hAnsi="宋体" w:cs="宋体"/>
          <w:color w:val="auto"/>
          <w:highlight w:val="none"/>
        </w:rPr>
        <w:t>.2</w:t>
      </w:r>
      <w:r>
        <w:rPr>
          <w:rFonts w:hint="eastAsia" w:ascii="宋体" w:hAnsi="宋体" w:cs="宋体"/>
          <w:color w:val="auto"/>
          <w:highlight w:val="none"/>
        </w:rPr>
        <w:t>其他事项详见“供应商须知前附表”。</w:t>
      </w:r>
      <w:r>
        <w:rPr>
          <w:rFonts w:hint="eastAsia" w:ascii="宋体" w:hAnsi="宋体" w:cs="宋体"/>
          <w:b/>
          <w:bCs/>
          <w:color w:val="auto"/>
          <w:sz w:val="32"/>
          <w:szCs w:val="32"/>
          <w:highlight w:val="none"/>
        </w:rPr>
        <w:br w:type="page"/>
      </w:r>
    </w:p>
    <w:p w14:paraId="7C3FDE8D">
      <w:pPr>
        <w:spacing w:line="460" w:lineRule="exact"/>
        <w:outlineLvl w:val="2"/>
        <w:rPr>
          <w:rFonts w:ascii="宋体" w:hAnsi="宋体" w:cs="宋体"/>
          <w:b/>
          <w:bCs/>
          <w:color w:val="auto"/>
          <w:sz w:val="32"/>
          <w:szCs w:val="32"/>
          <w:highlight w:val="none"/>
        </w:rPr>
      </w:pPr>
      <w:bookmarkStart w:id="207" w:name="_Toc12767"/>
      <w:bookmarkStart w:id="208" w:name="_Toc6571"/>
      <w:r>
        <w:rPr>
          <w:rFonts w:hint="eastAsia" w:ascii="宋体" w:hAnsi="宋体" w:cs="宋体"/>
          <w:b/>
          <w:bCs/>
          <w:color w:val="auto"/>
          <w:sz w:val="32"/>
          <w:szCs w:val="32"/>
          <w:highlight w:val="none"/>
        </w:rPr>
        <w:t>附件：</w:t>
      </w:r>
      <w:bookmarkEnd w:id="207"/>
      <w:bookmarkEnd w:id="208"/>
    </w:p>
    <w:p w14:paraId="7750A0B5">
      <w:pPr>
        <w:spacing w:line="460" w:lineRule="exact"/>
        <w:jc w:val="center"/>
        <w:outlineLvl w:val="2"/>
        <w:rPr>
          <w:rFonts w:ascii="宋体" w:hAnsi="宋体" w:cs="宋体"/>
          <w:b/>
          <w:bCs/>
          <w:color w:val="auto"/>
          <w:sz w:val="32"/>
          <w:szCs w:val="32"/>
          <w:highlight w:val="none"/>
        </w:rPr>
      </w:pPr>
      <w:bookmarkStart w:id="209" w:name="_Toc3471"/>
      <w:bookmarkStart w:id="210" w:name="_Toc20460"/>
      <w:r>
        <w:rPr>
          <w:rFonts w:hint="eastAsia" w:ascii="宋体" w:hAnsi="宋体" w:cs="宋体"/>
          <w:b/>
          <w:bCs/>
          <w:color w:val="auto"/>
          <w:sz w:val="32"/>
          <w:szCs w:val="32"/>
          <w:highlight w:val="none"/>
        </w:rPr>
        <w:t>质疑函（格式）</w:t>
      </w:r>
      <w:bookmarkEnd w:id="206"/>
      <w:bookmarkEnd w:id="209"/>
      <w:bookmarkEnd w:id="210"/>
    </w:p>
    <w:p w14:paraId="5D0A7EA7">
      <w:pPr>
        <w:pStyle w:val="13"/>
        <w:snapToGrid w:val="0"/>
        <w:spacing w:line="460" w:lineRule="exact"/>
        <w:ind w:firstLine="422" w:firstLineChars="200"/>
        <w:rPr>
          <w:rFonts w:hAnsi="宋体" w:cs="宋体"/>
          <w:b/>
          <w:bCs/>
          <w:color w:val="auto"/>
          <w:highlight w:val="none"/>
        </w:rPr>
      </w:pPr>
      <w:r>
        <w:rPr>
          <w:rFonts w:hint="eastAsia" w:hAnsi="宋体" w:cs="宋体"/>
          <w:b/>
          <w:bCs/>
          <w:color w:val="auto"/>
          <w:highlight w:val="none"/>
        </w:rPr>
        <w:t>一、质疑供应商基本信息：</w:t>
      </w:r>
    </w:p>
    <w:p w14:paraId="2FBE7738">
      <w:pPr>
        <w:pStyle w:val="13"/>
        <w:snapToGrid w:val="0"/>
        <w:spacing w:line="460" w:lineRule="exact"/>
        <w:ind w:firstLine="420" w:firstLineChars="200"/>
        <w:rPr>
          <w:rFonts w:hAnsi="宋体" w:cs="宋体"/>
          <w:bCs/>
          <w:color w:val="auto"/>
          <w:highlight w:val="none"/>
          <w:u w:val="single"/>
        </w:rPr>
      </w:pPr>
      <w:r>
        <w:rPr>
          <w:rFonts w:hint="eastAsia" w:hAnsi="宋体" w:cs="宋体"/>
          <w:bCs/>
          <w:color w:val="auto"/>
          <w:highlight w:val="none"/>
        </w:rPr>
        <w:t>质疑供应商：</w:t>
      </w:r>
    </w:p>
    <w:p w14:paraId="4CFCEC3A">
      <w:pPr>
        <w:pStyle w:val="13"/>
        <w:snapToGrid w:val="0"/>
        <w:spacing w:line="460" w:lineRule="exact"/>
        <w:ind w:firstLine="420" w:firstLineChars="200"/>
        <w:rPr>
          <w:rFonts w:hAnsi="宋体" w:cs="宋体"/>
          <w:bCs/>
          <w:color w:val="auto"/>
          <w:highlight w:val="none"/>
        </w:rPr>
      </w:pPr>
      <w:r>
        <w:rPr>
          <w:rFonts w:hint="eastAsia" w:hAnsi="宋体" w:cs="宋体"/>
          <w:bCs/>
          <w:color w:val="auto"/>
          <w:highlight w:val="none"/>
        </w:rPr>
        <w:t>地址：邮编：</w:t>
      </w:r>
    </w:p>
    <w:p w14:paraId="4983E95F">
      <w:pPr>
        <w:pStyle w:val="13"/>
        <w:snapToGrid w:val="0"/>
        <w:spacing w:line="460" w:lineRule="exact"/>
        <w:ind w:firstLine="420" w:firstLineChars="200"/>
        <w:rPr>
          <w:rFonts w:hAnsi="宋体" w:cs="宋体"/>
          <w:bCs/>
          <w:color w:val="auto"/>
          <w:highlight w:val="none"/>
        </w:rPr>
      </w:pPr>
      <w:r>
        <w:rPr>
          <w:rFonts w:hint="eastAsia" w:hAnsi="宋体" w:cs="宋体"/>
          <w:bCs/>
          <w:color w:val="auto"/>
          <w:highlight w:val="none"/>
        </w:rPr>
        <w:t>联系人：联系电话：</w:t>
      </w:r>
    </w:p>
    <w:p w14:paraId="21DE9C63">
      <w:pPr>
        <w:pStyle w:val="13"/>
        <w:snapToGrid w:val="0"/>
        <w:spacing w:line="460" w:lineRule="exact"/>
        <w:ind w:firstLine="420" w:firstLineChars="200"/>
        <w:rPr>
          <w:rFonts w:hAnsi="宋体" w:cs="宋体"/>
          <w:bCs/>
          <w:color w:val="auto"/>
          <w:highlight w:val="none"/>
        </w:rPr>
      </w:pPr>
      <w:r>
        <w:rPr>
          <w:rFonts w:hint="eastAsia" w:hAnsi="宋体" w:cs="宋体"/>
          <w:bCs/>
          <w:color w:val="auto"/>
          <w:highlight w:val="none"/>
        </w:rPr>
        <w:t>授权代表：</w:t>
      </w:r>
    </w:p>
    <w:p w14:paraId="35D4DDA5">
      <w:pPr>
        <w:pStyle w:val="13"/>
        <w:snapToGrid w:val="0"/>
        <w:spacing w:line="460" w:lineRule="exact"/>
        <w:ind w:firstLine="420" w:firstLineChars="200"/>
        <w:rPr>
          <w:rFonts w:hAnsi="宋体" w:cs="宋体"/>
          <w:bCs/>
          <w:color w:val="auto"/>
          <w:highlight w:val="none"/>
          <w:u w:val="single"/>
        </w:rPr>
      </w:pPr>
      <w:r>
        <w:rPr>
          <w:rFonts w:hint="eastAsia" w:hAnsi="宋体" w:cs="宋体"/>
          <w:bCs/>
          <w:color w:val="auto"/>
          <w:highlight w:val="none"/>
        </w:rPr>
        <w:t>联系电话：</w:t>
      </w:r>
    </w:p>
    <w:p w14:paraId="7E8DA4D0">
      <w:pPr>
        <w:pStyle w:val="13"/>
        <w:snapToGrid w:val="0"/>
        <w:spacing w:line="460" w:lineRule="exact"/>
        <w:ind w:firstLine="420" w:firstLineChars="200"/>
        <w:rPr>
          <w:rFonts w:hAnsi="宋体" w:cs="宋体"/>
          <w:bCs/>
          <w:color w:val="auto"/>
          <w:highlight w:val="none"/>
        </w:rPr>
      </w:pPr>
      <w:r>
        <w:rPr>
          <w:rFonts w:hint="eastAsia" w:hAnsi="宋体" w:cs="宋体"/>
          <w:bCs/>
          <w:color w:val="auto"/>
          <w:highlight w:val="none"/>
        </w:rPr>
        <w:t>地址：邮编：</w:t>
      </w:r>
    </w:p>
    <w:p w14:paraId="3784EC7E">
      <w:pPr>
        <w:pStyle w:val="13"/>
        <w:snapToGrid w:val="0"/>
        <w:spacing w:line="460" w:lineRule="exact"/>
        <w:ind w:firstLine="422" w:firstLineChars="200"/>
        <w:rPr>
          <w:rFonts w:hAnsi="宋体" w:cs="宋体"/>
          <w:b/>
          <w:bCs/>
          <w:color w:val="auto"/>
          <w:highlight w:val="none"/>
        </w:rPr>
      </w:pPr>
      <w:r>
        <w:rPr>
          <w:rFonts w:hint="eastAsia" w:hAnsi="宋体" w:cs="宋体"/>
          <w:b/>
          <w:bCs/>
          <w:color w:val="auto"/>
          <w:highlight w:val="none"/>
        </w:rPr>
        <w:t>二、质疑项目基本情况：</w:t>
      </w:r>
    </w:p>
    <w:p w14:paraId="66A99DF0">
      <w:pPr>
        <w:pStyle w:val="13"/>
        <w:spacing w:line="460" w:lineRule="exact"/>
        <w:ind w:left="25" w:leftChars="12" w:firstLine="413" w:firstLineChars="197"/>
        <w:rPr>
          <w:rFonts w:hAnsi="宋体" w:cs="宋体"/>
          <w:color w:val="auto"/>
          <w:highlight w:val="none"/>
        </w:rPr>
      </w:pPr>
      <w:r>
        <w:rPr>
          <w:rFonts w:hint="eastAsia" w:hAnsi="宋体" w:cs="宋体"/>
          <w:bCs/>
          <w:color w:val="auto"/>
          <w:highlight w:val="none"/>
        </w:rPr>
        <w:t>质疑</w:t>
      </w:r>
      <w:r>
        <w:rPr>
          <w:rFonts w:hint="eastAsia" w:hAnsi="宋体" w:cs="宋体"/>
          <w:color w:val="auto"/>
          <w:highlight w:val="none"/>
        </w:rPr>
        <w:t>项目的名称：</w:t>
      </w:r>
    </w:p>
    <w:p w14:paraId="7E6E4FEE">
      <w:pPr>
        <w:pStyle w:val="13"/>
        <w:spacing w:line="460" w:lineRule="exact"/>
        <w:ind w:left="25" w:leftChars="12" w:firstLine="413" w:firstLineChars="197"/>
        <w:rPr>
          <w:rFonts w:hAnsi="宋体" w:cs="宋体"/>
          <w:color w:val="auto"/>
          <w:highlight w:val="none"/>
        </w:rPr>
      </w:pPr>
      <w:r>
        <w:rPr>
          <w:rFonts w:hint="eastAsia" w:hAnsi="宋体" w:cs="宋体"/>
          <w:bCs/>
          <w:color w:val="auto"/>
          <w:highlight w:val="none"/>
        </w:rPr>
        <w:t>质疑</w:t>
      </w:r>
      <w:r>
        <w:rPr>
          <w:rFonts w:hint="eastAsia" w:hAnsi="宋体" w:cs="宋体"/>
          <w:color w:val="auto"/>
          <w:highlight w:val="none"/>
        </w:rPr>
        <w:t>项目的编号：</w:t>
      </w:r>
    </w:p>
    <w:p w14:paraId="44ACB76F">
      <w:pPr>
        <w:pStyle w:val="13"/>
        <w:spacing w:line="460" w:lineRule="exact"/>
        <w:ind w:left="25" w:leftChars="12" w:firstLine="413" w:firstLineChars="197"/>
        <w:rPr>
          <w:rFonts w:hAnsi="宋体" w:cs="宋体"/>
          <w:color w:val="auto"/>
          <w:highlight w:val="none"/>
        </w:rPr>
      </w:pPr>
      <w:r>
        <w:rPr>
          <w:rFonts w:hint="eastAsia" w:hAnsi="宋体" w:cs="宋体"/>
          <w:color w:val="auto"/>
          <w:highlight w:val="none"/>
        </w:rPr>
        <w:t>采购人名称：</w:t>
      </w:r>
    </w:p>
    <w:p w14:paraId="2293C46E">
      <w:pPr>
        <w:pStyle w:val="13"/>
        <w:spacing w:line="460" w:lineRule="exact"/>
        <w:ind w:left="25" w:leftChars="12" w:firstLine="413" w:firstLineChars="197"/>
        <w:rPr>
          <w:rFonts w:hAnsi="宋体" w:cs="宋体"/>
          <w:color w:val="auto"/>
          <w:highlight w:val="none"/>
        </w:rPr>
      </w:pPr>
      <w:r>
        <w:rPr>
          <w:rFonts w:hint="eastAsia" w:hAnsi="宋体" w:cs="宋体"/>
          <w:color w:val="auto"/>
          <w:highlight w:val="none"/>
        </w:rPr>
        <w:t>质疑事项：</w:t>
      </w:r>
    </w:p>
    <w:p w14:paraId="12EF58F6">
      <w:pPr>
        <w:pStyle w:val="13"/>
        <w:spacing w:line="460" w:lineRule="exact"/>
        <w:ind w:left="25" w:leftChars="12" w:firstLine="413" w:firstLineChars="197"/>
        <w:rPr>
          <w:rFonts w:hAnsi="宋体" w:cs="宋体"/>
          <w:color w:val="auto"/>
          <w:highlight w:val="none"/>
        </w:rPr>
      </w:pPr>
      <w:r>
        <w:rPr>
          <w:rFonts w:hint="eastAsia" w:hAnsi="宋体" w:cs="宋体"/>
          <w:color w:val="auto"/>
          <w:highlight w:val="none"/>
        </w:rPr>
        <w:t>□采购</w:t>
      </w:r>
      <w:r>
        <w:rPr>
          <w:rFonts w:hint="eastAsia" w:hAnsi="宋体" w:cs="宋体"/>
          <w:bCs/>
          <w:color w:val="auto"/>
          <w:highlight w:val="none"/>
        </w:rPr>
        <w:t>文件</w:t>
      </w:r>
      <w:r>
        <w:rPr>
          <w:rFonts w:hint="eastAsia" w:hAnsi="宋体" w:cs="宋体"/>
          <w:color w:val="auto"/>
          <w:highlight w:val="none"/>
        </w:rPr>
        <w:t xml:space="preserve">   采购文件获取日期：</w:t>
      </w:r>
    </w:p>
    <w:p w14:paraId="58C9E620">
      <w:pPr>
        <w:pStyle w:val="13"/>
        <w:spacing w:line="460" w:lineRule="exact"/>
        <w:ind w:left="25" w:leftChars="12" w:firstLine="413" w:firstLineChars="197"/>
        <w:rPr>
          <w:rFonts w:hAnsi="宋体" w:cs="宋体"/>
          <w:color w:val="auto"/>
          <w:highlight w:val="none"/>
        </w:rPr>
      </w:pPr>
      <w:r>
        <w:rPr>
          <w:rFonts w:hint="eastAsia" w:hAnsi="宋体" w:cs="宋体"/>
          <w:color w:val="auto"/>
          <w:highlight w:val="none"/>
        </w:rPr>
        <w:t xml:space="preserve">□采购过程   </w:t>
      </w:r>
    </w:p>
    <w:p w14:paraId="7F9F30AE">
      <w:pPr>
        <w:pStyle w:val="13"/>
        <w:spacing w:line="460" w:lineRule="exact"/>
        <w:ind w:left="25" w:leftChars="12" w:firstLine="413" w:firstLineChars="197"/>
        <w:rPr>
          <w:rFonts w:hAnsi="宋体" w:cs="宋体"/>
          <w:bCs/>
          <w:color w:val="auto"/>
          <w:highlight w:val="none"/>
          <w:u w:val="single"/>
        </w:rPr>
      </w:pPr>
      <w:r>
        <w:rPr>
          <w:rFonts w:hint="eastAsia" w:hAnsi="宋体" w:cs="宋体"/>
          <w:color w:val="auto"/>
          <w:highlight w:val="none"/>
        </w:rPr>
        <w:t xml:space="preserve">□中标（成交）结果   </w:t>
      </w:r>
    </w:p>
    <w:p w14:paraId="188C5568">
      <w:pPr>
        <w:pStyle w:val="13"/>
        <w:spacing w:line="460" w:lineRule="exact"/>
        <w:ind w:left="25" w:leftChars="12" w:firstLine="413" w:firstLineChars="196"/>
        <w:rPr>
          <w:rFonts w:hAnsi="宋体" w:cs="宋体"/>
          <w:b/>
          <w:color w:val="auto"/>
          <w:highlight w:val="none"/>
        </w:rPr>
      </w:pPr>
      <w:r>
        <w:rPr>
          <w:rFonts w:hint="eastAsia" w:hAnsi="宋体" w:cs="宋体"/>
          <w:b/>
          <w:color w:val="auto"/>
          <w:highlight w:val="none"/>
        </w:rPr>
        <w:t>三、质疑事项具体内容</w:t>
      </w:r>
    </w:p>
    <w:p w14:paraId="6696787C">
      <w:pPr>
        <w:pStyle w:val="13"/>
        <w:spacing w:line="460" w:lineRule="exact"/>
        <w:ind w:left="25" w:leftChars="12" w:firstLine="413" w:firstLineChars="197"/>
        <w:rPr>
          <w:rFonts w:hAnsi="宋体" w:cs="宋体"/>
          <w:color w:val="auto"/>
          <w:highlight w:val="none"/>
        </w:rPr>
      </w:pPr>
      <w:r>
        <w:rPr>
          <w:rFonts w:hint="eastAsia" w:hAnsi="宋体" w:cs="宋体"/>
          <w:color w:val="auto"/>
          <w:highlight w:val="none"/>
        </w:rPr>
        <w:t>质疑事项1：</w:t>
      </w:r>
    </w:p>
    <w:p w14:paraId="6F5BD9F0">
      <w:pPr>
        <w:pStyle w:val="13"/>
        <w:spacing w:line="460" w:lineRule="exact"/>
        <w:ind w:left="25" w:leftChars="12" w:firstLine="413" w:firstLineChars="197"/>
        <w:rPr>
          <w:rFonts w:hAnsi="宋体" w:cs="宋体"/>
          <w:color w:val="auto"/>
          <w:highlight w:val="none"/>
        </w:rPr>
      </w:pPr>
      <w:r>
        <w:rPr>
          <w:rFonts w:hint="eastAsia" w:hAnsi="宋体" w:cs="宋体"/>
          <w:color w:val="auto"/>
          <w:highlight w:val="none"/>
        </w:rPr>
        <w:t>事实依据：</w:t>
      </w:r>
    </w:p>
    <w:p w14:paraId="1E8BF13E">
      <w:pPr>
        <w:pStyle w:val="13"/>
        <w:spacing w:line="460" w:lineRule="exact"/>
        <w:ind w:left="25" w:leftChars="12" w:firstLine="413" w:firstLineChars="197"/>
        <w:rPr>
          <w:rFonts w:hAnsi="宋体" w:cs="宋体"/>
          <w:color w:val="auto"/>
          <w:highlight w:val="none"/>
        </w:rPr>
      </w:pPr>
      <w:r>
        <w:rPr>
          <w:rFonts w:hint="eastAsia" w:hAnsi="宋体" w:cs="宋体"/>
          <w:color w:val="auto"/>
          <w:highlight w:val="none"/>
        </w:rPr>
        <w:t>法律依据：</w:t>
      </w:r>
    </w:p>
    <w:p w14:paraId="588B967E">
      <w:pPr>
        <w:pStyle w:val="13"/>
        <w:spacing w:line="460" w:lineRule="exact"/>
        <w:ind w:left="25" w:leftChars="12" w:firstLine="413" w:firstLineChars="197"/>
        <w:rPr>
          <w:rFonts w:hAnsi="宋体" w:cs="宋体"/>
          <w:color w:val="auto"/>
          <w:highlight w:val="none"/>
        </w:rPr>
      </w:pPr>
      <w:r>
        <w:rPr>
          <w:rFonts w:hint="eastAsia" w:hAnsi="宋体" w:cs="宋体"/>
          <w:color w:val="auto"/>
          <w:highlight w:val="none"/>
        </w:rPr>
        <w:t>质疑事项2</w:t>
      </w:r>
    </w:p>
    <w:p w14:paraId="59C4FFC1">
      <w:pPr>
        <w:pStyle w:val="13"/>
        <w:spacing w:line="460" w:lineRule="exact"/>
        <w:ind w:left="25" w:leftChars="12" w:firstLine="413" w:firstLineChars="197"/>
        <w:rPr>
          <w:rFonts w:hAnsi="宋体" w:cs="宋体"/>
          <w:color w:val="auto"/>
          <w:highlight w:val="none"/>
        </w:rPr>
      </w:pPr>
      <w:r>
        <w:rPr>
          <w:rFonts w:hint="eastAsia" w:hAnsi="宋体" w:cs="宋体"/>
          <w:color w:val="auto"/>
          <w:highlight w:val="none"/>
        </w:rPr>
        <w:t>……</w:t>
      </w:r>
    </w:p>
    <w:p w14:paraId="75CE5704">
      <w:pPr>
        <w:pStyle w:val="13"/>
        <w:spacing w:line="460" w:lineRule="exact"/>
        <w:ind w:left="25" w:leftChars="12" w:firstLine="413" w:firstLineChars="197"/>
        <w:rPr>
          <w:rFonts w:hAnsi="宋体" w:cs="宋体"/>
          <w:color w:val="auto"/>
          <w:highlight w:val="none"/>
        </w:rPr>
      </w:pPr>
      <w:r>
        <w:rPr>
          <w:rFonts w:hint="eastAsia" w:hAnsi="宋体" w:cs="宋体"/>
          <w:color w:val="auto"/>
          <w:highlight w:val="none"/>
        </w:rPr>
        <w:t>四、与质疑事项相关的质疑请求：</w:t>
      </w:r>
    </w:p>
    <w:p w14:paraId="0234BE2F">
      <w:pPr>
        <w:pStyle w:val="13"/>
        <w:spacing w:line="460" w:lineRule="exact"/>
        <w:ind w:left="25" w:leftChars="12" w:firstLine="413" w:firstLineChars="197"/>
        <w:rPr>
          <w:rFonts w:hAnsi="宋体" w:cs="宋体"/>
          <w:color w:val="auto"/>
          <w:highlight w:val="none"/>
        </w:rPr>
      </w:pPr>
      <w:r>
        <w:rPr>
          <w:rFonts w:hint="eastAsia" w:hAnsi="宋体" w:cs="宋体"/>
          <w:color w:val="auto"/>
          <w:highlight w:val="none"/>
        </w:rPr>
        <w:t>请求：</w:t>
      </w:r>
    </w:p>
    <w:p w14:paraId="3AA1DE29">
      <w:pPr>
        <w:pStyle w:val="13"/>
        <w:spacing w:line="460" w:lineRule="exact"/>
        <w:ind w:left="25" w:leftChars="12" w:firstLine="308" w:firstLineChars="147"/>
        <w:rPr>
          <w:rFonts w:hAnsi="宋体" w:cs="宋体"/>
          <w:color w:val="auto"/>
          <w:highlight w:val="none"/>
        </w:rPr>
      </w:pPr>
    </w:p>
    <w:p w14:paraId="2C21C6C3">
      <w:pPr>
        <w:pStyle w:val="13"/>
        <w:spacing w:line="460" w:lineRule="exact"/>
        <w:ind w:left="25" w:leftChars="12" w:firstLine="413" w:firstLineChars="197"/>
        <w:rPr>
          <w:rFonts w:hAnsi="宋体" w:cs="宋体"/>
          <w:color w:val="auto"/>
          <w:highlight w:val="none"/>
        </w:rPr>
      </w:pPr>
      <w:r>
        <w:rPr>
          <w:rFonts w:hint="eastAsia" w:hAnsi="宋体" w:cs="宋体"/>
          <w:color w:val="auto"/>
          <w:highlight w:val="none"/>
        </w:rPr>
        <w:t>签字（签章）：                                       公章：</w:t>
      </w:r>
    </w:p>
    <w:p w14:paraId="1446958C">
      <w:pPr>
        <w:pStyle w:val="13"/>
        <w:spacing w:line="460" w:lineRule="exact"/>
        <w:ind w:left="25" w:leftChars="12" w:firstLine="308" w:firstLineChars="147"/>
        <w:rPr>
          <w:rFonts w:hAnsi="宋体" w:cs="宋体"/>
          <w:color w:val="auto"/>
          <w:highlight w:val="none"/>
        </w:rPr>
      </w:pPr>
    </w:p>
    <w:p w14:paraId="1A1197EE">
      <w:pPr>
        <w:pStyle w:val="13"/>
        <w:spacing w:line="460" w:lineRule="exact"/>
        <w:ind w:left="25" w:leftChars="12" w:firstLine="413" w:firstLineChars="197"/>
        <w:rPr>
          <w:rFonts w:hAnsi="宋体" w:cs="宋体"/>
          <w:color w:val="auto"/>
          <w:highlight w:val="none"/>
        </w:rPr>
      </w:pPr>
      <w:r>
        <w:rPr>
          <w:rFonts w:hint="eastAsia" w:hAnsi="宋体" w:cs="宋体"/>
          <w:color w:val="auto"/>
          <w:highlight w:val="none"/>
        </w:rPr>
        <w:t>日期：</w:t>
      </w:r>
    </w:p>
    <w:p w14:paraId="06666F4B">
      <w:pPr>
        <w:pStyle w:val="13"/>
        <w:snapToGrid w:val="0"/>
        <w:spacing w:line="460" w:lineRule="exact"/>
        <w:rPr>
          <w:rFonts w:hAnsi="宋体" w:cs="宋体"/>
          <w:b/>
          <w:color w:val="auto"/>
          <w:highlight w:val="none"/>
        </w:rPr>
      </w:pPr>
    </w:p>
    <w:p w14:paraId="76DEAE38">
      <w:pPr>
        <w:pStyle w:val="13"/>
        <w:snapToGrid w:val="0"/>
        <w:spacing w:line="460" w:lineRule="exact"/>
        <w:rPr>
          <w:rFonts w:hAnsi="宋体" w:cs="宋体"/>
          <w:b/>
          <w:color w:val="auto"/>
          <w:highlight w:val="none"/>
        </w:rPr>
      </w:pPr>
      <w:r>
        <w:rPr>
          <w:rFonts w:hint="eastAsia" w:hAnsi="宋体" w:cs="宋体"/>
          <w:b/>
          <w:color w:val="auto"/>
          <w:highlight w:val="none"/>
        </w:rPr>
        <w:t>说明：</w:t>
      </w:r>
    </w:p>
    <w:p w14:paraId="6C5BD378">
      <w:pPr>
        <w:pStyle w:val="13"/>
        <w:spacing w:line="460" w:lineRule="exact"/>
        <w:ind w:left="25" w:leftChars="12" w:firstLine="310" w:firstLineChars="147"/>
        <w:rPr>
          <w:rFonts w:hAnsi="宋体" w:cs="宋体"/>
          <w:b/>
          <w:bCs/>
          <w:color w:val="auto"/>
          <w:highlight w:val="none"/>
        </w:rPr>
      </w:pPr>
      <w:r>
        <w:rPr>
          <w:rFonts w:hint="eastAsia" w:hAnsi="宋体" w:cs="宋体"/>
          <w:b/>
          <w:color w:val="auto"/>
          <w:highlight w:val="none"/>
        </w:rPr>
        <w:t>1.供应商提出质疑时，应提交质疑函和必要的证明材料</w:t>
      </w:r>
      <w:r>
        <w:rPr>
          <w:rFonts w:hint="eastAsia" w:hAnsi="宋体" w:cs="宋体"/>
          <w:b/>
          <w:bCs/>
          <w:color w:val="auto"/>
          <w:highlight w:val="none"/>
        </w:rPr>
        <w:t>。</w:t>
      </w:r>
    </w:p>
    <w:p w14:paraId="349643BB">
      <w:pPr>
        <w:pStyle w:val="13"/>
        <w:spacing w:line="460" w:lineRule="exact"/>
        <w:ind w:left="25" w:leftChars="12" w:firstLine="310" w:firstLineChars="147"/>
        <w:rPr>
          <w:rFonts w:hAnsi="宋体" w:cs="宋体"/>
          <w:b/>
          <w:color w:val="auto"/>
          <w:highlight w:val="none"/>
        </w:rPr>
      </w:pPr>
      <w:r>
        <w:rPr>
          <w:rFonts w:hint="eastAsia" w:hAnsi="宋体" w:cs="宋体"/>
          <w:b/>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51058AD">
      <w:pPr>
        <w:pStyle w:val="13"/>
        <w:spacing w:line="460" w:lineRule="exact"/>
        <w:ind w:left="25" w:leftChars="12" w:firstLine="310" w:firstLineChars="147"/>
        <w:rPr>
          <w:rFonts w:hAnsi="宋体" w:cs="宋体"/>
          <w:b/>
          <w:color w:val="auto"/>
          <w:highlight w:val="none"/>
        </w:rPr>
      </w:pPr>
      <w:r>
        <w:rPr>
          <w:rFonts w:hint="eastAsia" w:hAnsi="宋体" w:cs="宋体"/>
          <w:b/>
          <w:color w:val="auto"/>
          <w:highlight w:val="none"/>
        </w:rPr>
        <w:t>3.质疑函的质疑事项应具体、明确，并有必要的事实依据和法律依据。</w:t>
      </w:r>
    </w:p>
    <w:p w14:paraId="28D2059A">
      <w:pPr>
        <w:pStyle w:val="13"/>
        <w:spacing w:line="460" w:lineRule="exact"/>
        <w:ind w:left="25" w:leftChars="12" w:firstLine="310" w:firstLineChars="147"/>
        <w:rPr>
          <w:rFonts w:hAnsi="宋体" w:cs="宋体"/>
          <w:b/>
          <w:color w:val="auto"/>
          <w:highlight w:val="none"/>
        </w:rPr>
      </w:pPr>
      <w:r>
        <w:rPr>
          <w:rFonts w:hint="eastAsia" w:hAnsi="宋体" w:cs="宋体"/>
          <w:b/>
          <w:color w:val="auto"/>
          <w:highlight w:val="none"/>
        </w:rPr>
        <w:t>4.质疑函的质疑请求应与质疑事项相关。</w:t>
      </w:r>
    </w:p>
    <w:p w14:paraId="3C9F420D">
      <w:pPr>
        <w:pStyle w:val="13"/>
        <w:spacing w:line="460" w:lineRule="exact"/>
        <w:ind w:left="25" w:leftChars="12" w:firstLine="310" w:firstLineChars="147"/>
        <w:rPr>
          <w:rFonts w:hAnsi="宋体" w:cs="宋体"/>
          <w:b/>
          <w:color w:val="auto"/>
          <w:highlight w:val="none"/>
        </w:rPr>
      </w:pPr>
      <w:r>
        <w:rPr>
          <w:rFonts w:hint="eastAsia" w:hAnsi="宋体" w:cs="宋体"/>
          <w:b/>
          <w:color w:val="auto"/>
          <w:highlight w:val="none"/>
        </w:rPr>
        <w:t>5.质疑供应商为法人或者其他组织的，质疑函应由法定代表人、主要负责人，或者其授权代表签字或者盖章，并加盖公章。</w:t>
      </w:r>
    </w:p>
    <w:p w14:paraId="4D78BC51">
      <w:pPr>
        <w:pStyle w:val="13"/>
        <w:snapToGrid w:val="0"/>
        <w:spacing w:line="460" w:lineRule="exact"/>
        <w:rPr>
          <w:rFonts w:hAnsi="宋体" w:cs="宋体"/>
          <w:b/>
          <w:color w:val="auto"/>
          <w:sz w:val="24"/>
          <w:szCs w:val="24"/>
          <w:highlight w:val="none"/>
        </w:rPr>
      </w:pPr>
    </w:p>
    <w:p w14:paraId="328000AF">
      <w:pPr>
        <w:spacing w:line="460" w:lineRule="exact"/>
        <w:jc w:val="center"/>
        <w:rPr>
          <w:rFonts w:ascii="宋体" w:hAnsi="宋体" w:cs="宋体"/>
          <w:color w:val="auto"/>
          <w:sz w:val="44"/>
          <w:highlight w:val="none"/>
        </w:rPr>
      </w:pPr>
      <w:r>
        <w:rPr>
          <w:rFonts w:hint="eastAsia" w:ascii="宋体" w:hAnsi="宋体" w:cs="宋体"/>
          <w:color w:val="auto"/>
          <w:sz w:val="44"/>
          <w:highlight w:val="none"/>
        </w:rPr>
        <w:br w:type="page"/>
      </w:r>
    </w:p>
    <w:p w14:paraId="40528564">
      <w:pPr>
        <w:spacing w:line="460" w:lineRule="exact"/>
        <w:jc w:val="center"/>
        <w:outlineLvl w:val="2"/>
        <w:rPr>
          <w:rFonts w:ascii="宋体" w:hAnsi="宋体" w:cs="宋体"/>
          <w:b/>
          <w:bCs/>
          <w:color w:val="auto"/>
          <w:sz w:val="32"/>
          <w:szCs w:val="32"/>
          <w:highlight w:val="none"/>
        </w:rPr>
      </w:pPr>
      <w:bookmarkStart w:id="211" w:name="_Toc23100"/>
      <w:bookmarkStart w:id="212" w:name="_Toc20130"/>
      <w:bookmarkStart w:id="213" w:name="_Toc5461"/>
      <w:r>
        <w:rPr>
          <w:rFonts w:hint="eastAsia" w:ascii="宋体" w:hAnsi="宋体" w:cs="宋体"/>
          <w:b/>
          <w:bCs/>
          <w:color w:val="auto"/>
          <w:sz w:val="32"/>
          <w:szCs w:val="32"/>
          <w:highlight w:val="none"/>
        </w:rPr>
        <w:t>投诉书（格式）</w:t>
      </w:r>
      <w:bookmarkEnd w:id="211"/>
      <w:bookmarkEnd w:id="212"/>
      <w:bookmarkEnd w:id="213"/>
    </w:p>
    <w:p w14:paraId="085C86CF">
      <w:pPr>
        <w:pStyle w:val="13"/>
        <w:snapToGrid w:val="0"/>
        <w:spacing w:line="460" w:lineRule="exact"/>
        <w:ind w:firstLine="422" w:firstLineChars="200"/>
        <w:rPr>
          <w:rFonts w:hAnsi="宋体" w:cs="宋体"/>
          <w:b/>
          <w:bCs/>
          <w:color w:val="auto"/>
          <w:highlight w:val="none"/>
        </w:rPr>
      </w:pPr>
      <w:r>
        <w:rPr>
          <w:rFonts w:hint="eastAsia" w:hAnsi="宋体" w:cs="宋体"/>
          <w:b/>
          <w:bCs/>
          <w:color w:val="auto"/>
          <w:highlight w:val="none"/>
        </w:rPr>
        <w:t>一、投诉相关主体基本情况：</w:t>
      </w:r>
    </w:p>
    <w:p w14:paraId="326C20DE">
      <w:pPr>
        <w:pStyle w:val="13"/>
        <w:snapToGrid w:val="0"/>
        <w:spacing w:line="460" w:lineRule="exact"/>
        <w:ind w:firstLine="420" w:firstLineChars="200"/>
        <w:rPr>
          <w:rFonts w:hAnsi="宋体" w:cs="宋体"/>
          <w:bCs/>
          <w:color w:val="auto"/>
          <w:highlight w:val="none"/>
          <w:u w:val="single"/>
        </w:rPr>
      </w:pPr>
      <w:r>
        <w:rPr>
          <w:rFonts w:hint="eastAsia" w:hAnsi="宋体" w:cs="宋体"/>
          <w:bCs/>
          <w:color w:val="auto"/>
          <w:highlight w:val="none"/>
        </w:rPr>
        <w:t>供应商：</w:t>
      </w:r>
    </w:p>
    <w:p w14:paraId="7C38732C">
      <w:pPr>
        <w:pStyle w:val="13"/>
        <w:snapToGrid w:val="0"/>
        <w:spacing w:line="460" w:lineRule="exact"/>
        <w:ind w:firstLine="420" w:firstLineChars="200"/>
        <w:rPr>
          <w:rFonts w:hAnsi="宋体" w:cs="宋体"/>
          <w:bCs/>
          <w:color w:val="auto"/>
          <w:highlight w:val="none"/>
          <w:u w:val="single"/>
        </w:rPr>
      </w:pPr>
      <w:r>
        <w:rPr>
          <w:rFonts w:hint="eastAsia" w:hAnsi="宋体" w:cs="宋体"/>
          <w:bCs/>
          <w:color w:val="auto"/>
          <w:highlight w:val="none"/>
        </w:rPr>
        <w:t>地址：邮编：</w:t>
      </w:r>
    </w:p>
    <w:p w14:paraId="18DBAD61">
      <w:pPr>
        <w:pStyle w:val="13"/>
        <w:snapToGrid w:val="0"/>
        <w:spacing w:line="460" w:lineRule="exact"/>
        <w:ind w:firstLine="420" w:firstLineChars="200"/>
        <w:rPr>
          <w:rFonts w:hAnsi="宋体" w:cs="宋体"/>
          <w:bCs/>
          <w:color w:val="auto"/>
          <w:highlight w:val="none"/>
          <w:u w:val="single"/>
        </w:rPr>
      </w:pPr>
      <w:r>
        <w:rPr>
          <w:rFonts w:hint="eastAsia" w:hAnsi="宋体" w:cs="宋体"/>
          <w:bCs/>
          <w:color w:val="auto"/>
          <w:highlight w:val="none"/>
        </w:rPr>
        <w:t>法定代表人/主要负责人：联系电话：</w:t>
      </w:r>
    </w:p>
    <w:p w14:paraId="45B2F958">
      <w:pPr>
        <w:pStyle w:val="13"/>
        <w:snapToGrid w:val="0"/>
        <w:spacing w:line="460" w:lineRule="exact"/>
        <w:ind w:firstLine="420" w:firstLineChars="200"/>
        <w:rPr>
          <w:rFonts w:hAnsi="宋体" w:cs="宋体"/>
          <w:bCs/>
          <w:color w:val="auto"/>
          <w:highlight w:val="none"/>
          <w:u w:val="single"/>
        </w:rPr>
      </w:pPr>
      <w:r>
        <w:rPr>
          <w:rFonts w:hint="eastAsia" w:hAnsi="宋体" w:cs="宋体"/>
          <w:bCs/>
          <w:color w:val="auto"/>
          <w:highlight w:val="none"/>
        </w:rPr>
        <w:t>授权代表：联系电话：</w:t>
      </w:r>
    </w:p>
    <w:p w14:paraId="45A86E86">
      <w:pPr>
        <w:pStyle w:val="13"/>
        <w:snapToGrid w:val="0"/>
        <w:spacing w:line="460" w:lineRule="exact"/>
        <w:ind w:firstLine="367" w:firstLineChars="175"/>
        <w:rPr>
          <w:rFonts w:hAnsi="宋体" w:cs="宋体"/>
          <w:bCs/>
          <w:color w:val="auto"/>
          <w:highlight w:val="none"/>
        </w:rPr>
      </w:pPr>
      <w:r>
        <w:rPr>
          <w:rFonts w:hint="eastAsia" w:hAnsi="宋体" w:cs="宋体"/>
          <w:bCs/>
          <w:color w:val="auto"/>
          <w:highlight w:val="none"/>
        </w:rPr>
        <w:t>地址：邮编：</w:t>
      </w:r>
    </w:p>
    <w:p w14:paraId="3D61626C">
      <w:pPr>
        <w:pStyle w:val="13"/>
        <w:snapToGrid w:val="0"/>
        <w:spacing w:line="460" w:lineRule="exact"/>
        <w:ind w:firstLine="420" w:firstLineChars="200"/>
        <w:rPr>
          <w:rFonts w:hAnsi="宋体" w:cs="宋体"/>
          <w:bCs/>
          <w:color w:val="auto"/>
          <w:highlight w:val="none"/>
        </w:rPr>
      </w:pPr>
      <w:r>
        <w:rPr>
          <w:rFonts w:hint="eastAsia" w:hAnsi="宋体" w:cs="宋体"/>
          <w:bCs/>
          <w:color w:val="auto"/>
          <w:highlight w:val="none"/>
        </w:rPr>
        <w:t>被投诉人1：</w:t>
      </w:r>
    </w:p>
    <w:p w14:paraId="363209FD">
      <w:pPr>
        <w:pStyle w:val="13"/>
        <w:snapToGrid w:val="0"/>
        <w:spacing w:line="460" w:lineRule="exact"/>
        <w:ind w:firstLine="420" w:firstLineChars="200"/>
        <w:rPr>
          <w:rFonts w:hAnsi="宋体" w:cs="宋体"/>
          <w:bCs/>
          <w:color w:val="auto"/>
          <w:highlight w:val="none"/>
        </w:rPr>
      </w:pPr>
      <w:r>
        <w:rPr>
          <w:rFonts w:hint="eastAsia" w:hAnsi="宋体" w:cs="宋体"/>
          <w:bCs/>
          <w:color w:val="auto"/>
          <w:highlight w:val="none"/>
        </w:rPr>
        <w:t>地址：邮编：</w:t>
      </w:r>
    </w:p>
    <w:p w14:paraId="29D1DDFF">
      <w:pPr>
        <w:pStyle w:val="13"/>
        <w:snapToGrid w:val="0"/>
        <w:spacing w:line="460" w:lineRule="exact"/>
        <w:ind w:firstLine="420" w:firstLineChars="200"/>
        <w:rPr>
          <w:rFonts w:hAnsi="宋体" w:cs="宋体"/>
          <w:bCs/>
          <w:color w:val="auto"/>
          <w:highlight w:val="none"/>
          <w:u w:val="single"/>
        </w:rPr>
      </w:pPr>
      <w:r>
        <w:rPr>
          <w:rFonts w:hint="eastAsia" w:hAnsi="宋体" w:cs="宋体"/>
          <w:bCs/>
          <w:color w:val="auto"/>
          <w:highlight w:val="none"/>
        </w:rPr>
        <w:t>联系人：联系电话：</w:t>
      </w:r>
    </w:p>
    <w:p w14:paraId="557B8EBF">
      <w:pPr>
        <w:pStyle w:val="13"/>
        <w:snapToGrid w:val="0"/>
        <w:spacing w:line="460" w:lineRule="exact"/>
        <w:ind w:firstLine="420" w:firstLineChars="200"/>
        <w:rPr>
          <w:rFonts w:hAnsi="宋体" w:cs="宋体"/>
          <w:bCs/>
          <w:color w:val="auto"/>
          <w:highlight w:val="none"/>
        </w:rPr>
      </w:pPr>
      <w:r>
        <w:rPr>
          <w:rFonts w:hint="eastAsia" w:hAnsi="宋体" w:cs="宋体"/>
          <w:bCs/>
          <w:color w:val="auto"/>
          <w:highlight w:val="none"/>
        </w:rPr>
        <w:t>被投诉人2：</w:t>
      </w:r>
    </w:p>
    <w:p w14:paraId="56751413">
      <w:pPr>
        <w:pStyle w:val="13"/>
        <w:snapToGrid w:val="0"/>
        <w:spacing w:line="460" w:lineRule="exact"/>
        <w:ind w:firstLine="420" w:firstLineChars="200"/>
        <w:rPr>
          <w:rFonts w:hAnsi="宋体" w:cs="宋体"/>
          <w:bCs/>
          <w:color w:val="auto"/>
          <w:highlight w:val="none"/>
        </w:rPr>
      </w:pPr>
      <w:r>
        <w:rPr>
          <w:rFonts w:hint="eastAsia" w:hAnsi="宋体" w:cs="宋体"/>
          <w:bCs/>
          <w:color w:val="auto"/>
          <w:highlight w:val="none"/>
        </w:rPr>
        <w:t>……</w:t>
      </w:r>
    </w:p>
    <w:p w14:paraId="5CCA703C">
      <w:pPr>
        <w:pStyle w:val="13"/>
        <w:snapToGrid w:val="0"/>
        <w:spacing w:line="460" w:lineRule="exact"/>
        <w:ind w:firstLine="420" w:firstLineChars="200"/>
        <w:rPr>
          <w:rFonts w:hAnsi="宋体" w:cs="宋体"/>
          <w:bCs/>
          <w:color w:val="auto"/>
          <w:highlight w:val="none"/>
          <w:u w:val="single"/>
        </w:rPr>
      </w:pPr>
      <w:r>
        <w:rPr>
          <w:rFonts w:hint="eastAsia" w:hAnsi="宋体" w:cs="宋体"/>
          <w:bCs/>
          <w:color w:val="auto"/>
          <w:highlight w:val="none"/>
        </w:rPr>
        <w:t>相关供应商：</w:t>
      </w:r>
    </w:p>
    <w:p w14:paraId="436708B5">
      <w:pPr>
        <w:pStyle w:val="13"/>
        <w:snapToGrid w:val="0"/>
        <w:spacing w:line="460" w:lineRule="exact"/>
        <w:ind w:firstLine="420" w:firstLineChars="200"/>
        <w:rPr>
          <w:rFonts w:hAnsi="宋体" w:cs="宋体"/>
          <w:bCs/>
          <w:color w:val="auto"/>
          <w:highlight w:val="none"/>
          <w:u w:val="single"/>
        </w:rPr>
      </w:pPr>
      <w:r>
        <w:rPr>
          <w:rFonts w:hint="eastAsia" w:hAnsi="宋体" w:cs="宋体"/>
          <w:bCs/>
          <w:color w:val="auto"/>
          <w:highlight w:val="none"/>
        </w:rPr>
        <w:t>地址：邮编：</w:t>
      </w:r>
    </w:p>
    <w:p w14:paraId="1A3518AF">
      <w:pPr>
        <w:pStyle w:val="13"/>
        <w:snapToGrid w:val="0"/>
        <w:spacing w:line="460" w:lineRule="exact"/>
        <w:ind w:firstLine="420" w:firstLineChars="200"/>
        <w:rPr>
          <w:rFonts w:hAnsi="宋体" w:cs="宋体"/>
          <w:bCs/>
          <w:color w:val="auto"/>
          <w:highlight w:val="none"/>
          <w:u w:val="single"/>
        </w:rPr>
      </w:pPr>
      <w:r>
        <w:rPr>
          <w:rFonts w:hint="eastAsia" w:hAnsi="宋体" w:cs="宋体"/>
          <w:bCs/>
          <w:color w:val="auto"/>
          <w:highlight w:val="none"/>
        </w:rPr>
        <w:t>联系人：联系电话：</w:t>
      </w:r>
    </w:p>
    <w:p w14:paraId="6C2E422F">
      <w:pPr>
        <w:pStyle w:val="13"/>
        <w:snapToGrid w:val="0"/>
        <w:spacing w:line="460" w:lineRule="exact"/>
        <w:ind w:firstLine="422" w:firstLineChars="200"/>
        <w:rPr>
          <w:rFonts w:hAnsi="宋体" w:cs="宋体"/>
          <w:b/>
          <w:bCs/>
          <w:color w:val="auto"/>
          <w:highlight w:val="none"/>
        </w:rPr>
      </w:pPr>
      <w:r>
        <w:rPr>
          <w:rFonts w:hint="eastAsia" w:hAnsi="宋体" w:cs="宋体"/>
          <w:b/>
          <w:bCs/>
          <w:color w:val="auto"/>
          <w:highlight w:val="none"/>
        </w:rPr>
        <w:t>二、投诉项目基本情况：</w:t>
      </w:r>
    </w:p>
    <w:p w14:paraId="1503B5E6">
      <w:pPr>
        <w:pStyle w:val="13"/>
        <w:spacing w:line="460" w:lineRule="exact"/>
        <w:ind w:left="25" w:leftChars="12" w:firstLine="413" w:firstLineChars="197"/>
        <w:rPr>
          <w:rFonts w:hAnsi="宋体" w:cs="宋体"/>
          <w:bCs/>
          <w:color w:val="auto"/>
          <w:highlight w:val="none"/>
          <w:u w:val="single"/>
        </w:rPr>
      </w:pPr>
      <w:r>
        <w:rPr>
          <w:rFonts w:hint="eastAsia" w:hAnsi="宋体" w:cs="宋体"/>
          <w:bCs/>
          <w:color w:val="auto"/>
          <w:highlight w:val="none"/>
        </w:rPr>
        <w:t>采购</w:t>
      </w:r>
      <w:r>
        <w:rPr>
          <w:rFonts w:hint="eastAsia" w:hAnsi="宋体" w:cs="宋体"/>
          <w:color w:val="auto"/>
          <w:highlight w:val="none"/>
        </w:rPr>
        <w:t>项目的名称：</w:t>
      </w:r>
    </w:p>
    <w:p w14:paraId="0D641584">
      <w:pPr>
        <w:pStyle w:val="13"/>
        <w:spacing w:line="460" w:lineRule="exact"/>
        <w:ind w:left="25" w:leftChars="12" w:firstLine="413" w:firstLineChars="197"/>
        <w:rPr>
          <w:rFonts w:hAnsi="宋体" w:cs="宋体"/>
          <w:color w:val="auto"/>
          <w:highlight w:val="none"/>
        </w:rPr>
      </w:pPr>
      <w:r>
        <w:rPr>
          <w:rFonts w:hint="eastAsia" w:hAnsi="宋体" w:cs="宋体"/>
          <w:bCs/>
          <w:color w:val="auto"/>
          <w:highlight w:val="none"/>
        </w:rPr>
        <w:t>采购</w:t>
      </w:r>
      <w:r>
        <w:rPr>
          <w:rFonts w:hint="eastAsia" w:hAnsi="宋体" w:cs="宋体"/>
          <w:color w:val="auto"/>
          <w:highlight w:val="none"/>
        </w:rPr>
        <w:t>项目的编号：</w:t>
      </w:r>
    </w:p>
    <w:p w14:paraId="4A8FA2E1">
      <w:pPr>
        <w:pStyle w:val="13"/>
        <w:spacing w:line="460" w:lineRule="exact"/>
        <w:ind w:left="25" w:leftChars="12" w:firstLine="413" w:firstLineChars="197"/>
        <w:rPr>
          <w:rFonts w:hAnsi="宋体" w:cs="宋体"/>
          <w:bCs/>
          <w:color w:val="auto"/>
          <w:highlight w:val="none"/>
          <w:u w:val="single"/>
        </w:rPr>
      </w:pPr>
      <w:r>
        <w:rPr>
          <w:rFonts w:hint="eastAsia" w:hAnsi="宋体" w:cs="宋体"/>
          <w:color w:val="auto"/>
          <w:highlight w:val="none"/>
        </w:rPr>
        <w:t>采购人名称：</w:t>
      </w:r>
    </w:p>
    <w:p w14:paraId="01D6BFEA">
      <w:pPr>
        <w:pStyle w:val="13"/>
        <w:spacing w:line="460" w:lineRule="exact"/>
        <w:ind w:left="25" w:leftChars="12" w:firstLine="413" w:firstLineChars="197"/>
        <w:rPr>
          <w:rFonts w:hAnsi="宋体" w:cs="宋体"/>
          <w:bCs/>
          <w:color w:val="auto"/>
          <w:highlight w:val="none"/>
          <w:u w:val="single"/>
        </w:rPr>
      </w:pPr>
      <w:r>
        <w:rPr>
          <w:rFonts w:hint="eastAsia" w:hAnsi="宋体" w:cs="宋体"/>
          <w:color w:val="auto"/>
          <w:highlight w:val="none"/>
        </w:rPr>
        <w:t>代理机构名称：</w:t>
      </w:r>
    </w:p>
    <w:p w14:paraId="790331BC">
      <w:pPr>
        <w:pStyle w:val="13"/>
        <w:spacing w:line="460" w:lineRule="exact"/>
        <w:ind w:left="25" w:leftChars="12" w:firstLine="413" w:firstLineChars="197"/>
        <w:rPr>
          <w:rFonts w:hAnsi="宋体" w:cs="宋体"/>
          <w:bCs/>
          <w:color w:val="auto"/>
          <w:highlight w:val="none"/>
          <w:u w:val="single"/>
        </w:rPr>
      </w:pPr>
      <w:r>
        <w:rPr>
          <w:rFonts w:hint="eastAsia" w:hAnsi="宋体" w:cs="宋体"/>
          <w:bCs/>
          <w:color w:val="auto"/>
          <w:highlight w:val="none"/>
        </w:rPr>
        <w:t>采购文件公告：</w:t>
      </w:r>
      <w:r>
        <w:rPr>
          <w:rFonts w:hint="eastAsia" w:hAnsi="宋体" w:cs="宋体"/>
          <w:bCs/>
          <w:color w:val="auto"/>
          <w:highlight w:val="none"/>
          <w:u w:val="single"/>
        </w:rPr>
        <w:t>是/否</w:t>
      </w:r>
      <w:r>
        <w:rPr>
          <w:rFonts w:hint="eastAsia" w:hAnsi="宋体" w:cs="宋体"/>
          <w:bCs/>
          <w:color w:val="auto"/>
          <w:highlight w:val="none"/>
        </w:rPr>
        <w:t>公告期限：</w:t>
      </w:r>
    </w:p>
    <w:p w14:paraId="519B56B0">
      <w:pPr>
        <w:pStyle w:val="13"/>
        <w:spacing w:line="460" w:lineRule="exact"/>
        <w:ind w:left="25" w:leftChars="12" w:firstLine="413" w:firstLineChars="197"/>
        <w:rPr>
          <w:rFonts w:hAnsi="宋体" w:cs="宋体"/>
          <w:bCs/>
          <w:color w:val="auto"/>
          <w:highlight w:val="none"/>
          <w:u w:val="single"/>
        </w:rPr>
      </w:pPr>
      <w:r>
        <w:rPr>
          <w:rFonts w:hint="eastAsia" w:hAnsi="宋体" w:cs="宋体"/>
          <w:bCs/>
          <w:color w:val="auto"/>
          <w:highlight w:val="none"/>
        </w:rPr>
        <w:t>采购结果公告：</w:t>
      </w:r>
      <w:r>
        <w:rPr>
          <w:rFonts w:hint="eastAsia" w:hAnsi="宋体" w:cs="宋体"/>
          <w:bCs/>
          <w:color w:val="auto"/>
          <w:highlight w:val="none"/>
          <w:u w:val="single"/>
        </w:rPr>
        <w:t>是/否</w:t>
      </w:r>
      <w:r>
        <w:rPr>
          <w:rFonts w:hint="eastAsia" w:hAnsi="宋体" w:cs="宋体"/>
          <w:bCs/>
          <w:color w:val="auto"/>
          <w:highlight w:val="none"/>
        </w:rPr>
        <w:t>公告期限：</w:t>
      </w:r>
    </w:p>
    <w:p w14:paraId="7BB20325">
      <w:pPr>
        <w:pStyle w:val="13"/>
        <w:spacing w:line="460" w:lineRule="exact"/>
        <w:ind w:left="25" w:leftChars="12" w:firstLine="413" w:firstLineChars="196"/>
        <w:rPr>
          <w:rFonts w:hAnsi="宋体" w:cs="宋体"/>
          <w:b/>
          <w:color w:val="auto"/>
          <w:highlight w:val="none"/>
        </w:rPr>
      </w:pPr>
      <w:r>
        <w:rPr>
          <w:rFonts w:hint="eastAsia" w:hAnsi="宋体" w:cs="宋体"/>
          <w:b/>
          <w:color w:val="auto"/>
          <w:highlight w:val="none"/>
        </w:rPr>
        <w:t>三、质疑基本情况</w:t>
      </w:r>
    </w:p>
    <w:p w14:paraId="387B3600">
      <w:pPr>
        <w:pStyle w:val="13"/>
        <w:spacing w:line="460" w:lineRule="exact"/>
        <w:ind w:left="25" w:leftChars="12" w:firstLine="413" w:firstLineChars="197"/>
        <w:rPr>
          <w:rFonts w:hAnsi="宋体" w:cs="宋体"/>
          <w:color w:val="auto"/>
          <w:highlight w:val="none"/>
        </w:rPr>
      </w:pPr>
      <w:r>
        <w:rPr>
          <w:rFonts w:hint="eastAsia" w:hAnsi="宋体" w:cs="宋体"/>
          <w:color w:val="auto"/>
          <w:highlight w:val="none"/>
        </w:rPr>
        <w:t>投诉人于年月日，向提出质疑，质疑事项为：</w:t>
      </w:r>
    </w:p>
    <w:p w14:paraId="1113BD3A">
      <w:pPr>
        <w:pStyle w:val="13"/>
        <w:spacing w:line="460" w:lineRule="exact"/>
        <w:ind w:firstLine="241"/>
        <w:rPr>
          <w:rFonts w:hAnsi="宋体" w:cs="宋体"/>
          <w:bCs/>
          <w:color w:val="auto"/>
          <w:highlight w:val="none"/>
          <w:u w:val="single"/>
        </w:rPr>
      </w:pPr>
    </w:p>
    <w:p w14:paraId="65AEDF21">
      <w:pPr>
        <w:pStyle w:val="13"/>
        <w:spacing w:line="460" w:lineRule="exact"/>
        <w:ind w:firstLine="241"/>
        <w:rPr>
          <w:rFonts w:hAnsi="宋体" w:cs="宋体"/>
          <w:bCs/>
          <w:color w:val="auto"/>
          <w:highlight w:val="none"/>
          <w:u w:val="single"/>
        </w:rPr>
      </w:pPr>
    </w:p>
    <w:p w14:paraId="47112E37">
      <w:pPr>
        <w:pStyle w:val="13"/>
        <w:spacing w:line="460" w:lineRule="exact"/>
        <w:ind w:left="1" w:leftChars="-95" w:hanging="200"/>
        <w:rPr>
          <w:rFonts w:hAnsi="宋体" w:cs="宋体"/>
          <w:bCs/>
          <w:color w:val="auto"/>
          <w:highlight w:val="none"/>
        </w:rPr>
      </w:pPr>
      <w:r>
        <w:rPr>
          <w:rFonts w:hint="eastAsia" w:hAnsi="宋体" w:cs="宋体"/>
          <w:bCs/>
          <w:color w:val="auto"/>
          <w:highlight w:val="none"/>
          <w:u w:val="single"/>
        </w:rPr>
        <w:t>采购人/采购代理机构</w:t>
      </w:r>
      <w:r>
        <w:rPr>
          <w:rFonts w:hint="eastAsia" w:hAnsi="宋体" w:cs="宋体"/>
          <w:bCs/>
          <w:color w:val="auto"/>
          <w:highlight w:val="none"/>
        </w:rPr>
        <w:t>于</w:t>
      </w:r>
      <w:r>
        <w:rPr>
          <w:rFonts w:hint="eastAsia" w:hAnsi="宋体" w:cs="宋体"/>
          <w:color w:val="auto"/>
          <w:highlight w:val="none"/>
        </w:rPr>
        <w:t>年月日，</w:t>
      </w:r>
      <w:r>
        <w:rPr>
          <w:rFonts w:hint="eastAsia" w:hAnsi="宋体" w:cs="宋体"/>
          <w:bCs/>
          <w:color w:val="auto"/>
          <w:highlight w:val="none"/>
        </w:rPr>
        <w:t>就质疑事项作出了答复/没有在法定期限内作出答复。</w:t>
      </w:r>
    </w:p>
    <w:p w14:paraId="1B1605B9">
      <w:pPr>
        <w:pStyle w:val="13"/>
        <w:spacing w:line="460" w:lineRule="exact"/>
        <w:ind w:left="25" w:leftChars="12" w:firstLine="413" w:firstLineChars="196"/>
        <w:rPr>
          <w:rFonts w:hAnsi="宋体" w:cs="宋体"/>
          <w:b/>
          <w:color w:val="auto"/>
          <w:highlight w:val="none"/>
        </w:rPr>
      </w:pPr>
      <w:r>
        <w:rPr>
          <w:rFonts w:hint="eastAsia" w:hAnsi="宋体" w:cs="宋体"/>
          <w:b/>
          <w:color w:val="auto"/>
          <w:highlight w:val="none"/>
        </w:rPr>
        <w:t>四、投诉事项具体内容</w:t>
      </w:r>
    </w:p>
    <w:p w14:paraId="6D0B0336">
      <w:pPr>
        <w:pStyle w:val="13"/>
        <w:spacing w:line="460" w:lineRule="exact"/>
        <w:ind w:left="25" w:leftChars="12" w:firstLine="413" w:firstLineChars="197"/>
        <w:rPr>
          <w:rFonts w:hAnsi="宋体" w:cs="宋体"/>
          <w:bCs/>
          <w:color w:val="auto"/>
          <w:highlight w:val="none"/>
          <w:u w:val="single"/>
        </w:rPr>
      </w:pPr>
      <w:r>
        <w:rPr>
          <w:rFonts w:hint="eastAsia" w:hAnsi="宋体" w:cs="宋体"/>
          <w:color w:val="auto"/>
          <w:highlight w:val="none"/>
        </w:rPr>
        <w:t>投诉事项1：</w:t>
      </w:r>
    </w:p>
    <w:p w14:paraId="537BDF48">
      <w:pPr>
        <w:pStyle w:val="13"/>
        <w:spacing w:line="460" w:lineRule="exact"/>
        <w:ind w:firstLine="420" w:firstLineChars="200"/>
        <w:rPr>
          <w:rFonts w:hAnsi="宋体" w:cs="宋体"/>
          <w:bCs/>
          <w:color w:val="auto"/>
          <w:highlight w:val="none"/>
          <w:u w:val="single"/>
        </w:rPr>
      </w:pPr>
      <w:r>
        <w:rPr>
          <w:rFonts w:hint="eastAsia" w:hAnsi="宋体" w:cs="宋体"/>
          <w:bCs/>
          <w:color w:val="auto"/>
          <w:highlight w:val="none"/>
        </w:rPr>
        <w:t>事实依据：</w:t>
      </w:r>
    </w:p>
    <w:p w14:paraId="3DEEF4D1">
      <w:pPr>
        <w:pStyle w:val="13"/>
        <w:spacing w:line="460" w:lineRule="exact"/>
        <w:ind w:left="25" w:leftChars="12" w:firstLine="413" w:firstLineChars="197"/>
        <w:rPr>
          <w:rFonts w:hAnsi="宋体" w:cs="宋体"/>
          <w:bCs/>
          <w:color w:val="auto"/>
          <w:highlight w:val="none"/>
          <w:u w:val="single"/>
        </w:rPr>
      </w:pPr>
    </w:p>
    <w:p w14:paraId="7C7C2043">
      <w:pPr>
        <w:pStyle w:val="13"/>
        <w:spacing w:line="460" w:lineRule="exact"/>
        <w:ind w:firstLine="420" w:firstLineChars="200"/>
        <w:rPr>
          <w:rFonts w:hAnsi="宋体" w:cs="宋体"/>
          <w:bCs/>
          <w:color w:val="auto"/>
          <w:highlight w:val="none"/>
          <w:u w:val="single"/>
        </w:rPr>
      </w:pPr>
      <w:r>
        <w:rPr>
          <w:rFonts w:hint="eastAsia" w:hAnsi="宋体" w:cs="宋体"/>
          <w:bCs/>
          <w:color w:val="auto"/>
          <w:highlight w:val="none"/>
        </w:rPr>
        <w:t>法律依据：</w:t>
      </w:r>
    </w:p>
    <w:p w14:paraId="70301C3A">
      <w:pPr>
        <w:pStyle w:val="13"/>
        <w:spacing w:line="460" w:lineRule="exact"/>
        <w:ind w:left="25" w:leftChars="12" w:firstLine="308" w:firstLineChars="147"/>
        <w:rPr>
          <w:rFonts w:hAnsi="宋体" w:cs="宋体"/>
          <w:bCs/>
          <w:color w:val="auto"/>
          <w:highlight w:val="none"/>
          <w:u w:val="single"/>
        </w:rPr>
      </w:pPr>
    </w:p>
    <w:p w14:paraId="11A52477">
      <w:pPr>
        <w:pStyle w:val="13"/>
        <w:spacing w:line="460" w:lineRule="exact"/>
        <w:ind w:left="25" w:leftChars="12" w:firstLine="413" w:firstLineChars="197"/>
        <w:rPr>
          <w:rFonts w:hAnsi="宋体" w:cs="宋体"/>
          <w:bCs/>
          <w:color w:val="auto"/>
          <w:highlight w:val="none"/>
        </w:rPr>
      </w:pPr>
      <w:r>
        <w:rPr>
          <w:rFonts w:hint="eastAsia" w:hAnsi="宋体" w:cs="宋体"/>
          <w:color w:val="auto"/>
          <w:highlight w:val="none"/>
        </w:rPr>
        <w:t xml:space="preserve">投诉事项2  </w:t>
      </w:r>
    </w:p>
    <w:p w14:paraId="5A23CD33">
      <w:pPr>
        <w:pStyle w:val="13"/>
        <w:spacing w:line="460" w:lineRule="exact"/>
        <w:ind w:left="25" w:leftChars="12" w:firstLine="413" w:firstLineChars="197"/>
        <w:rPr>
          <w:rFonts w:hAnsi="宋体" w:cs="宋体"/>
          <w:bCs/>
          <w:color w:val="auto"/>
          <w:highlight w:val="none"/>
        </w:rPr>
      </w:pPr>
      <w:r>
        <w:rPr>
          <w:rFonts w:hint="eastAsia" w:hAnsi="宋体" w:cs="宋体"/>
          <w:bCs/>
          <w:color w:val="auto"/>
          <w:highlight w:val="none"/>
        </w:rPr>
        <w:t>……</w:t>
      </w:r>
    </w:p>
    <w:p w14:paraId="214A9B07">
      <w:pPr>
        <w:pStyle w:val="13"/>
        <w:spacing w:line="460" w:lineRule="exact"/>
        <w:ind w:left="25" w:leftChars="12" w:firstLine="413" w:firstLineChars="196"/>
        <w:rPr>
          <w:rFonts w:hAnsi="宋体" w:cs="宋体"/>
          <w:b/>
          <w:color w:val="auto"/>
          <w:highlight w:val="none"/>
        </w:rPr>
      </w:pPr>
      <w:r>
        <w:rPr>
          <w:rFonts w:hint="eastAsia" w:hAnsi="宋体" w:cs="宋体"/>
          <w:b/>
          <w:color w:val="auto"/>
          <w:highlight w:val="none"/>
        </w:rPr>
        <w:t>五、与投诉事项相关的投诉请求：</w:t>
      </w:r>
    </w:p>
    <w:p w14:paraId="17EB84E4">
      <w:pPr>
        <w:pStyle w:val="13"/>
        <w:spacing w:line="460" w:lineRule="exact"/>
        <w:ind w:left="25" w:leftChars="12" w:firstLine="413" w:firstLineChars="197"/>
        <w:rPr>
          <w:rFonts w:hAnsi="宋体" w:cs="宋体"/>
          <w:bCs/>
          <w:color w:val="auto"/>
          <w:highlight w:val="none"/>
          <w:u w:val="single"/>
        </w:rPr>
      </w:pPr>
      <w:r>
        <w:rPr>
          <w:rFonts w:hint="eastAsia" w:hAnsi="宋体" w:cs="宋体"/>
          <w:color w:val="auto"/>
          <w:highlight w:val="none"/>
        </w:rPr>
        <w:t>请求：</w:t>
      </w:r>
    </w:p>
    <w:p w14:paraId="58CC2B00">
      <w:pPr>
        <w:pStyle w:val="13"/>
        <w:spacing w:line="460" w:lineRule="exact"/>
        <w:ind w:left="25" w:leftChars="12" w:firstLine="308" w:firstLineChars="147"/>
        <w:rPr>
          <w:rFonts w:hAnsi="宋体" w:cs="宋体"/>
          <w:color w:val="auto"/>
          <w:highlight w:val="none"/>
        </w:rPr>
      </w:pPr>
    </w:p>
    <w:p w14:paraId="0A9CC22D">
      <w:pPr>
        <w:pStyle w:val="13"/>
        <w:spacing w:line="460" w:lineRule="exact"/>
        <w:ind w:left="25" w:leftChars="12" w:firstLine="413" w:firstLineChars="197"/>
        <w:rPr>
          <w:rFonts w:hAnsi="宋体" w:cs="宋体"/>
          <w:color w:val="auto"/>
          <w:highlight w:val="none"/>
        </w:rPr>
      </w:pPr>
      <w:r>
        <w:rPr>
          <w:rFonts w:hint="eastAsia" w:hAnsi="宋体" w:cs="宋体"/>
          <w:color w:val="auto"/>
          <w:highlight w:val="none"/>
        </w:rPr>
        <w:t>签字（签章）：                                       公章：</w:t>
      </w:r>
    </w:p>
    <w:p w14:paraId="3535180C">
      <w:pPr>
        <w:pStyle w:val="13"/>
        <w:spacing w:line="460" w:lineRule="exact"/>
        <w:ind w:left="25" w:leftChars="12" w:firstLine="308" w:firstLineChars="147"/>
        <w:rPr>
          <w:rFonts w:hAnsi="宋体" w:cs="宋体"/>
          <w:color w:val="auto"/>
          <w:highlight w:val="none"/>
        </w:rPr>
      </w:pPr>
    </w:p>
    <w:p w14:paraId="4A875CBF">
      <w:pPr>
        <w:pStyle w:val="13"/>
        <w:spacing w:line="460" w:lineRule="exact"/>
        <w:ind w:left="25" w:leftChars="12" w:firstLine="413" w:firstLineChars="197"/>
        <w:rPr>
          <w:rFonts w:hAnsi="宋体" w:cs="宋体"/>
          <w:color w:val="auto"/>
          <w:highlight w:val="none"/>
        </w:rPr>
      </w:pPr>
      <w:r>
        <w:rPr>
          <w:rFonts w:hint="eastAsia" w:hAnsi="宋体" w:cs="宋体"/>
          <w:color w:val="auto"/>
          <w:highlight w:val="none"/>
        </w:rPr>
        <w:t>日期：</w:t>
      </w:r>
    </w:p>
    <w:p w14:paraId="6065F57A">
      <w:pPr>
        <w:pStyle w:val="13"/>
        <w:snapToGrid w:val="0"/>
        <w:spacing w:line="460" w:lineRule="exact"/>
        <w:rPr>
          <w:rFonts w:hAnsi="宋体" w:cs="宋体"/>
          <w:b/>
          <w:color w:val="auto"/>
          <w:sz w:val="24"/>
          <w:szCs w:val="24"/>
          <w:highlight w:val="none"/>
        </w:rPr>
      </w:pPr>
    </w:p>
    <w:p w14:paraId="5F61D7C2">
      <w:pPr>
        <w:pStyle w:val="13"/>
        <w:snapToGrid w:val="0"/>
        <w:spacing w:line="460" w:lineRule="exact"/>
        <w:rPr>
          <w:rFonts w:ascii="华文中宋" w:hAnsi="华文中宋" w:eastAsia="华文中宋" w:cs="华文中宋"/>
          <w:bCs/>
          <w:color w:val="auto"/>
          <w:highlight w:val="none"/>
        </w:rPr>
      </w:pPr>
      <w:r>
        <w:rPr>
          <w:rFonts w:hint="eastAsia" w:ascii="华文中宋" w:hAnsi="华文中宋" w:eastAsia="华文中宋" w:cs="华文中宋"/>
          <w:bCs/>
          <w:color w:val="auto"/>
          <w:highlight w:val="none"/>
        </w:rPr>
        <w:t>说明：</w:t>
      </w:r>
    </w:p>
    <w:p w14:paraId="4E35747F">
      <w:pPr>
        <w:pStyle w:val="13"/>
        <w:spacing w:line="460" w:lineRule="exact"/>
        <w:ind w:left="25" w:leftChars="12" w:firstLine="308" w:firstLineChars="147"/>
        <w:rPr>
          <w:rFonts w:ascii="华文中宋" w:hAnsi="华文中宋" w:eastAsia="华文中宋" w:cs="华文中宋"/>
          <w:bCs/>
          <w:color w:val="auto"/>
          <w:highlight w:val="none"/>
        </w:rPr>
      </w:pPr>
      <w:r>
        <w:rPr>
          <w:rFonts w:hint="eastAsia" w:ascii="华文中宋" w:hAnsi="华文中宋" w:eastAsia="华文中宋" w:cs="华文中宋"/>
          <w:bCs/>
          <w:color w:val="auto"/>
          <w:highlight w:val="none"/>
        </w:rPr>
        <w:t>1.投诉人提起投诉时，应当提交投诉书和必要的证明材料，并按照被投诉人和与投诉事项有关的供应商数量提供投诉书副本。</w:t>
      </w:r>
    </w:p>
    <w:p w14:paraId="17F555BF">
      <w:pPr>
        <w:pStyle w:val="13"/>
        <w:spacing w:line="460" w:lineRule="exact"/>
        <w:ind w:left="25" w:leftChars="12" w:firstLine="308" w:firstLineChars="147"/>
        <w:rPr>
          <w:rFonts w:ascii="华文中宋" w:hAnsi="华文中宋" w:eastAsia="华文中宋" w:cs="华文中宋"/>
          <w:bCs/>
          <w:color w:val="auto"/>
          <w:highlight w:val="none"/>
        </w:rPr>
      </w:pPr>
      <w:r>
        <w:rPr>
          <w:rFonts w:hint="eastAsia" w:ascii="华文中宋" w:hAnsi="华文中宋" w:eastAsia="华文中宋" w:cs="华文中宋"/>
          <w:bCs/>
          <w:color w:val="auto"/>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6EDA1F5">
      <w:pPr>
        <w:pStyle w:val="13"/>
        <w:spacing w:line="460" w:lineRule="exact"/>
        <w:ind w:left="25" w:leftChars="12" w:firstLine="308" w:firstLineChars="147"/>
        <w:rPr>
          <w:rFonts w:ascii="华文中宋" w:hAnsi="华文中宋" w:eastAsia="华文中宋" w:cs="华文中宋"/>
          <w:bCs/>
          <w:color w:val="auto"/>
          <w:highlight w:val="none"/>
        </w:rPr>
      </w:pPr>
      <w:r>
        <w:rPr>
          <w:rFonts w:hint="eastAsia" w:ascii="华文中宋" w:hAnsi="华文中宋" w:eastAsia="华文中宋" w:cs="华文中宋"/>
          <w:bCs/>
          <w:color w:val="auto"/>
          <w:highlight w:val="none"/>
        </w:rPr>
        <w:t>3.投诉书应简要列明质疑事项，质疑函、质疑答复等作为附件材料提供。</w:t>
      </w:r>
    </w:p>
    <w:p w14:paraId="55FA8527">
      <w:pPr>
        <w:pStyle w:val="13"/>
        <w:spacing w:line="460" w:lineRule="exact"/>
        <w:ind w:left="25" w:leftChars="12" w:firstLine="308" w:firstLineChars="147"/>
        <w:rPr>
          <w:rFonts w:ascii="华文中宋" w:hAnsi="华文中宋" w:eastAsia="华文中宋" w:cs="华文中宋"/>
          <w:bCs/>
          <w:color w:val="auto"/>
          <w:highlight w:val="none"/>
        </w:rPr>
      </w:pPr>
      <w:r>
        <w:rPr>
          <w:rFonts w:hint="eastAsia" w:ascii="华文中宋" w:hAnsi="华文中宋" w:eastAsia="华文中宋" w:cs="华文中宋"/>
          <w:bCs/>
          <w:color w:val="auto"/>
          <w:highlight w:val="none"/>
        </w:rPr>
        <w:t>4.投诉书的投诉事项应具体、明确，并有必要的事实依据和法律依据。</w:t>
      </w:r>
    </w:p>
    <w:p w14:paraId="41634186">
      <w:pPr>
        <w:pStyle w:val="13"/>
        <w:spacing w:line="460" w:lineRule="exact"/>
        <w:ind w:left="25" w:leftChars="12" w:firstLine="308" w:firstLineChars="147"/>
        <w:rPr>
          <w:rFonts w:ascii="华文中宋" w:hAnsi="华文中宋" w:eastAsia="华文中宋" w:cs="华文中宋"/>
          <w:bCs/>
          <w:color w:val="auto"/>
          <w:highlight w:val="none"/>
        </w:rPr>
      </w:pPr>
      <w:r>
        <w:rPr>
          <w:rFonts w:hint="eastAsia" w:ascii="华文中宋" w:hAnsi="华文中宋" w:eastAsia="华文中宋" w:cs="华文中宋"/>
          <w:bCs/>
          <w:color w:val="auto"/>
          <w:highlight w:val="none"/>
        </w:rPr>
        <w:t>5.投诉书的投诉请求应与投诉事项相关。</w:t>
      </w:r>
    </w:p>
    <w:p w14:paraId="012B134B">
      <w:pPr>
        <w:spacing w:line="460" w:lineRule="exact"/>
        <w:rPr>
          <w:color w:val="auto"/>
          <w:highlight w:val="none"/>
        </w:rPr>
      </w:pPr>
      <w:r>
        <w:rPr>
          <w:rFonts w:hint="eastAsia" w:ascii="华文中宋" w:hAnsi="华文中宋" w:eastAsia="华文中宋" w:cs="华文中宋"/>
          <w:bCs/>
          <w:color w:val="auto"/>
          <w:highlight w:val="none"/>
        </w:rPr>
        <w:t>6.投诉人为法人或者其他组织的，投诉书应由法定代表人、主要负责人，或者其授权代表签字或者盖章，并加盖公章。</w:t>
      </w:r>
    </w:p>
    <w:p w14:paraId="16E2E2A8">
      <w:pPr>
        <w:spacing w:line="460" w:lineRule="exact"/>
        <w:rPr>
          <w:color w:val="auto"/>
          <w:highlight w:val="none"/>
        </w:rPr>
      </w:pPr>
    </w:p>
    <w:p w14:paraId="12AE2B67">
      <w:pPr>
        <w:spacing w:line="460" w:lineRule="exact"/>
        <w:rPr>
          <w:rFonts w:ascii="宋体" w:hAnsi="宋体" w:cs="宋体"/>
          <w:color w:val="auto"/>
          <w:sz w:val="32"/>
          <w:szCs w:val="32"/>
          <w:highlight w:val="none"/>
        </w:rPr>
      </w:pPr>
      <w:bookmarkStart w:id="214" w:name="_Toc8466"/>
      <w:bookmarkStart w:id="215" w:name="_Toc4774"/>
      <w:r>
        <w:rPr>
          <w:rFonts w:hint="eastAsia" w:ascii="宋体" w:hAnsi="宋体" w:cs="宋体"/>
          <w:color w:val="auto"/>
          <w:sz w:val="32"/>
          <w:szCs w:val="32"/>
          <w:highlight w:val="none"/>
        </w:rPr>
        <w:br w:type="page"/>
      </w:r>
    </w:p>
    <w:p w14:paraId="4F7E8AE9">
      <w:pPr>
        <w:pStyle w:val="3"/>
        <w:spacing w:line="500" w:lineRule="exact"/>
        <w:jc w:val="center"/>
        <w:rPr>
          <w:color w:val="auto"/>
          <w:sz w:val="32"/>
          <w:szCs w:val="32"/>
          <w:highlight w:val="none"/>
        </w:rPr>
      </w:pPr>
      <w:bookmarkStart w:id="216" w:name="_Toc73275790"/>
      <w:bookmarkStart w:id="217" w:name="_Toc21134"/>
      <w:bookmarkStart w:id="218" w:name="_Toc6733"/>
      <w:bookmarkStart w:id="219" w:name="_Toc16092"/>
      <w:r>
        <w:rPr>
          <w:rFonts w:hint="eastAsia" w:ascii="宋体" w:hAnsi="宋体" w:cs="宋体"/>
          <w:color w:val="auto"/>
          <w:sz w:val="32"/>
          <w:szCs w:val="32"/>
          <w:highlight w:val="none"/>
        </w:rPr>
        <w:t>第</w:t>
      </w:r>
      <w:r>
        <w:rPr>
          <w:rFonts w:hint="eastAsia" w:ascii="宋体" w:hAnsi="宋体" w:cs="宋体"/>
          <w:color w:val="auto"/>
          <w:sz w:val="32"/>
          <w:szCs w:val="32"/>
          <w:highlight w:val="none"/>
          <w:lang w:eastAsia="zh-CN"/>
        </w:rPr>
        <w:t>四</w:t>
      </w:r>
      <w:r>
        <w:rPr>
          <w:rFonts w:hint="eastAsia" w:ascii="宋体" w:hAnsi="宋体" w:cs="宋体"/>
          <w:color w:val="auto"/>
          <w:sz w:val="32"/>
          <w:szCs w:val="32"/>
          <w:highlight w:val="none"/>
        </w:rPr>
        <w:t>章  合同条款及格式</w:t>
      </w:r>
      <w:bookmarkEnd w:id="216"/>
      <w:bookmarkEnd w:id="217"/>
      <w:bookmarkEnd w:id="218"/>
    </w:p>
    <w:p w14:paraId="4DC82598">
      <w:pPr>
        <w:pStyle w:val="4"/>
        <w:outlineLvl w:val="9"/>
        <w:rPr>
          <w:color w:val="auto"/>
          <w:sz w:val="36"/>
          <w:szCs w:val="36"/>
          <w:highlight w:val="none"/>
        </w:rPr>
      </w:pPr>
      <w:bookmarkStart w:id="220" w:name="_Toc16062839"/>
      <w:bookmarkStart w:id="221" w:name="_Toc525051035"/>
    </w:p>
    <w:bookmarkEnd w:id="220"/>
    <w:bookmarkEnd w:id="221"/>
    <w:p w14:paraId="01C283D3">
      <w:pPr>
        <w:rPr>
          <w:rFonts w:ascii="宋体" w:hAnsi="宋体"/>
          <w:b/>
          <w:color w:val="auto"/>
          <w:sz w:val="24"/>
          <w:highlight w:val="none"/>
        </w:rPr>
      </w:pPr>
    </w:p>
    <w:p w14:paraId="732E4A8B">
      <w:pPr>
        <w:rPr>
          <w:rFonts w:ascii="宋体" w:hAnsi="宋体"/>
          <w:b/>
          <w:color w:val="auto"/>
          <w:sz w:val="30"/>
          <w:szCs w:val="30"/>
          <w:highlight w:val="none"/>
        </w:rPr>
      </w:pPr>
    </w:p>
    <w:p w14:paraId="2FAC44D9">
      <w:pPr>
        <w:ind w:firstLine="1800" w:firstLineChars="600"/>
        <w:rPr>
          <w:rFonts w:ascii="宋体" w:hAnsi="宋体"/>
          <w:b/>
          <w:color w:val="auto"/>
          <w:sz w:val="30"/>
          <w:szCs w:val="30"/>
          <w:highlight w:val="none"/>
        </w:rPr>
      </w:pPr>
      <w:r>
        <w:rPr>
          <w:rFonts w:hint="eastAsia" w:ascii="宋体" w:hAnsi="宋体"/>
          <w:color w:val="auto"/>
          <w:sz w:val="30"/>
          <w:szCs w:val="30"/>
          <w:highlight w:val="none"/>
          <w:u w:val="single"/>
        </w:rPr>
        <w:t xml:space="preserve">                          </w:t>
      </w:r>
      <w:r>
        <w:rPr>
          <w:rFonts w:hint="eastAsia" w:ascii="宋体" w:hAnsi="宋体"/>
          <w:b/>
          <w:color w:val="auto"/>
          <w:sz w:val="30"/>
          <w:szCs w:val="30"/>
          <w:highlight w:val="none"/>
        </w:rPr>
        <w:t>工程施工合同</w:t>
      </w:r>
    </w:p>
    <w:p w14:paraId="1D839FA1">
      <w:pPr>
        <w:rPr>
          <w:rFonts w:ascii="宋体" w:hAnsi="宋体"/>
          <w:color w:val="auto"/>
          <w:sz w:val="30"/>
          <w:szCs w:val="30"/>
          <w:highlight w:val="none"/>
        </w:rPr>
      </w:pPr>
    </w:p>
    <w:p w14:paraId="1012B845">
      <w:pPr>
        <w:rPr>
          <w:rFonts w:ascii="宋体" w:hAnsi="宋体"/>
          <w:color w:val="auto"/>
          <w:sz w:val="30"/>
          <w:szCs w:val="30"/>
          <w:highlight w:val="none"/>
        </w:rPr>
      </w:pPr>
    </w:p>
    <w:p w14:paraId="5C9D7165">
      <w:pPr>
        <w:jc w:val="center"/>
        <w:rPr>
          <w:rFonts w:ascii="宋体" w:hAnsi="宋体"/>
          <w:b/>
          <w:color w:val="auto"/>
          <w:sz w:val="30"/>
          <w:szCs w:val="30"/>
          <w:highlight w:val="none"/>
        </w:rPr>
      </w:pPr>
      <w:r>
        <w:rPr>
          <w:rFonts w:hint="eastAsia" w:ascii="宋体" w:hAnsi="宋体"/>
          <w:b/>
          <w:color w:val="auto"/>
          <w:sz w:val="30"/>
          <w:szCs w:val="30"/>
          <w:highlight w:val="none"/>
        </w:rPr>
        <w:t>（项目编号：</w:t>
      </w:r>
      <w:r>
        <w:rPr>
          <w:rFonts w:hint="eastAsia" w:ascii="宋体" w:hAnsi="宋体"/>
          <w:color w:val="auto"/>
          <w:sz w:val="30"/>
          <w:szCs w:val="30"/>
          <w:highlight w:val="none"/>
          <w:u w:val="single"/>
        </w:rPr>
        <w:t xml:space="preserve">                     </w:t>
      </w:r>
      <w:r>
        <w:rPr>
          <w:rFonts w:hint="eastAsia" w:ascii="宋体" w:hAnsi="宋体"/>
          <w:b/>
          <w:color w:val="auto"/>
          <w:sz w:val="30"/>
          <w:szCs w:val="30"/>
          <w:highlight w:val="none"/>
        </w:rPr>
        <w:t xml:space="preserve"> ）</w:t>
      </w:r>
    </w:p>
    <w:p w14:paraId="081D4C61">
      <w:pPr>
        <w:rPr>
          <w:rFonts w:ascii="宋体" w:hAnsi="宋体"/>
          <w:color w:val="auto"/>
          <w:sz w:val="30"/>
          <w:szCs w:val="30"/>
          <w:highlight w:val="none"/>
        </w:rPr>
      </w:pPr>
    </w:p>
    <w:p w14:paraId="0EB0AC89">
      <w:pPr>
        <w:rPr>
          <w:rFonts w:ascii="宋体" w:hAnsi="宋体"/>
          <w:color w:val="auto"/>
          <w:sz w:val="30"/>
          <w:szCs w:val="30"/>
          <w:highlight w:val="none"/>
        </w:rPr>
      </w:pPr>
    </w:p>
    <w:p w14:paraId="3F0C42E7">
      <w:pPr>
        <w:rPr>
          <w:rFonts w:ascii="宋体" w:hAnsi="宋体"/>
          <w:color w:val="auto"/>
          <w:sz w:val="30"/>
          <w:szCs w:val="30"/>
          <w:highlight w:val="none"/>
        </w:rPr>
      </w:pPr>
    </w:p>
    <w:p w14:paraId="1F23F10F">
      <w:pPr>
        <w:rPr>
          <w:rFonts w:ascii="宋体" w:hAnsi="宋体"/>
          <w:color w:val="auto"/>
          <w:sz w:val="30"/>
          <w:szCs w:val="30"/>
          <w:highlight w:val="none"/>
        </w:rPr>
      </w:pPr>
    </w:p>
    <w:p w14:paraId="6E438732">
      <w:pPr>
        <w:rPr>
          <w:rFonts w:ascii="宋体" w:hAnsi="宋体"/>
          <w:color w:val="auto"/>
          <w:sz w:val="30"/>
          <w:szCs w:val="30"/>
          <w:highlight w:val="none"/>
        </w:rPr>
      </w:pPr>
    </w:p>
    <w:p w14:paraId="3E7587AD">
      <w:pPr>
        <w:rPr>
          <w:rFonts w:ascii="宋体" w:hAnsi="宋体"/>
          <w:color w:val="auto"/>
          <w:sz w:val="30"/>
          <w:szCs w:val="30"/>
          <w:highlight w:val="none"/>
        </w:rPr>
      </w:pPr>
    </w:p>
    <w:p w14:paraId="7FFC91D7">
      <w:pPr>
        <w:ind w:firstLine="1350" w:firstLineChars="450"/>
        <w:rPr>
          <w:rFonts w:ascii="宋体" w:hAnsi="宋体"/>
          <w:color w:val="auto"/>
          <w:sz w:val="30"/>
          <w:szCs w:val="30"/>
          <w:highlight w:val="none"/>
          <w:u w:val="single"/>
        </w:rPr>
      </w:pPr>
      <w:r>
        <w:rPr>
          <w:rFonts w:hint="eastAsia" w:ascii="宋体" w:hAnsi="宋体"/>
          <w:color w:val="auto"/>
          <w:sz w:val="30"/>
          <w:szCs w:val="30"/>
          <w:highlight w:val="none"/>
        </w:rPr>
        <w:t>发 包 人：</w:t>
      </w:r>
      <w:r>
        <w:rPr>
          <w:rFonts w:hint="eastAsia" w:ascii="宋体" w:hAnsi="宋体"/>
          <w:color w:val="auto"/>
          <w:sz w:val="30"/>
          <w:szCs w:val="30"/>
          <w:highlight w:val="none"/>
          <w:u w:val="single"/>
        </w:rPr>
        <w:t xml:space="preserve">                               </w:t>
      </w:r>
    </w:p>
    <w:p w14:paraId="686C2BA9">
      <w:pPr>
        <w:rPr>
          <w:rFonts w:ascii="宋体" w:hAnsi="宋体"/>
          <w:color w:val="auto"/>
          <w:sz w:val="30"/>
          <w:szCs w:val="30"/>
          <w:highlight w:val="none"/>
        </w:rPr>
      </w:pPr>
    </w:p>
    <w:p w14:paraId="0652EEEA">
      <w:pPr>
        <w:ind w:firstLine="1350" w:firstLineChars="450"/>
        <w:rPr>
          <w:rFonts w:ascii="宋体" w:hAnsi="宋体"/>
          <w:color w:val="auto"/>
          <w:sz w:val="30"/>
          <w:szCs w:val="30"/>
          <w:highlight w:val="none"/>
          <w:u w:val="single"/>
        </w:rPr>
      </w:pPr>
      <w:r>
        <w:rPr>
          <w:rFonts w:hint="eastAsia" w:ascii="宋体" w:hAnsi="宋体"/>
          <w:color w:val="auto"/>
          <w:sz w:val="30"/>
          <w:szCs w:val="30"/>
          <w:highlight w:val="none"/>
        </w:rPr>
        <w:t>承 包 人：</w:t>
      </w:r>
      <w:r>
        <w:rPr>
          <w:rFonts w:hint="eastAsia" w:ascii="宋体" w:hAnsi="宋体"/>
          <w:color w:val="auto"/>
          <w:sz w:val="30"/>
          <w:szCs w:val="30"/>
          <w:highlight w:val="none"/>
          <w:u w:val="single"/>
        </w:rPr>
        <w:t xml:space="preserve">                               </w:t>
      </w:r>
    </w:p>
    <w:p w14:paraId="539EC8B3">
      <w:pPr>
        <w:jc w:val="center"/>
        <w:rPr>
          <w:rFonts w:ascii="宋体" w:hAnsi="宋体"/>
          <w:color w:val="auto"/>
          <w:sz w:val="30"/>
          <w:szCs w:val="30"/>
          <w:highlight w:val="none"/>
        </w:rPr>
      </w:pPr>
    </w:p>
    <w:p w14:paraId="5CADB26F">
      <w:pPr>
        <w:pStyle w:val="3"/>
        <w:jc w:val="center"/>
        <w:rPr>
          <w:color w:val="auto"/>
          <w:highlight w:val="none"/>
        </w:rPr>
      </w:pPr>
      <w:r>
        <w:rPr>
          <w:color w:val="auto"/>
          <w:highlight w:val="none"/>
        </w:rPr>
        <w:br w:type="page"/>
      </w:r>
      <w:bookmarkEnd w:id="214"/>
      <w:bookmarkEnd w:id="215"/>
      <w:bookmarkEnd w:id="219"/>
      <w:bookmarkStart w:id="222" w:name="_Toc256000099"/>
      <w:bookmarkStart w:id="223" w:name="_Toc373227552"/>
      <w:bookmarkStart w:id="224" w:name="_Toc296890982"/>
      <w:bookmarkStart w:id="225" w:name="_Toc296503025"/>
      <w:bookmarkStart w:id="226" w:name="_Toc407135191"/>
      <w:bookmarkStart w:id="227" w:name="_Toc373478199"/>
      <w:bookmarkStart w:id="228" w:name="_Toc389065255"/>
      <w:bookmarkStart w:id="229" w:name="_Toc16850"/>
      <w:bookmarkStart w:id="230" w:name="_Toc9850519"/>
      <w:bookmarkStart w:id="231" w:name="_Toc351203480"/>
      <w:bookmarkStart w:id="232" w:name="_Toc498945559"/>
      <w:bookmarkStart w:id="233" w:name="_Toc3054_WPSOffice_Level1"/>
      <w:bookmarkStart w:id="234" w:name="_Toc407135283"/>
      <w:bookmarkStart w:id="235" w:name="_Toc73275791"/>
      <w:bookmarkStart w:id="236" w:name="_Toc358569763"/>
      <w:bookmarkStart w:id="237" w:name="_Toc24269"/>
      <w:bookmarkStart w:id="238" w:name="_Toc23350"/>
      <w:bookmarkStart w:id="239" w:name="_Toc10014"/>
      <w:r>
        <w:rPr>
          <w:rFonts w:hint="eastAsia" w:cs="黑体"/>
          <w:color w:val="auto"/>
          <w:sz w:val="30"/>
          <w:szCs w:val="30"/>
          <w:highlight w:val="none"/>
        </w:rPr>
        <w:t>第一部分</w:t>
      </w:r>
      <w:r>
        <w:rPr>
          <w:color w:val="auto"/>
          <w:sz w:val="30"/>
          <w:szCs w:val="30"/>
          <w:highlight w:val="none"/>
        </w:rPr>
        <w:t xml:space="preserve"> </w:t>
      </w:r>
      <w:r>
        <w:rPr>
          <w:rFonts w:hint="eastAsia" w:cs="黑体"/>
          <w:color w:val="auto"/>
          <w:sz w:val="30"/>
          <w:szCs w:val="30"/>
          <w:highlight w:val="none"/>
        </w:rPr>
        <w:t>合同协议书</w:t>
      </w:r>
      <w:bookmarkEnd w:id="222"/>
      <w:bookmarkEnd w:id="223"/>
      <w:bookmarkEnd w:id="224"/>
      <w:bookmarkEnd w:id="225"/>
      <w:bookmarkEnd w:id="226"/>
      <w:bookmarkEnd w:id="227"/>
      <w:bookmarkEnd w:id="228"/>
      <w:bookmarkEnd w:id="229"/>
      <w:bookmarkEnd w:id="230"/>
      <w:bookmarkEnd w:id="231"/>
    </w:p>
    <w:p w14:paraId="7136F81E">
      <w:pPr>
        <w:pStyle w:val="41"/>
        <w:spacing w:line="300" w:lineRule="exact"/>
        <w:rPr>
          <w:color w:val="auto"/>
          <w:sz w:val="22"/>
          <w:highlight w:val="none"/>
          <w:u w:val="single"/>
        </w:rPr>
      </w:pPr>
      <w:bookmarkStart w:id="240" w:name="EBf5d8882b67eb450294403d6d9eac2034"/>
      <w:r>
        <w:rPr>
          <w:rFonts w:hAnsi="宋体"/>
          <w:color w:val="auto"/>
          <w:sz w:val="22"/>
          <w:highlight w:val="none"/>
        </w:rPr>
        <w:t>发包人（全称）：</w:t>
      </w:r>
      <w:r>
        <w:rPr>
          <w:rFonts w:hAnsi="宋体"/>
          <w:color w:val="auto"/>
          <w:sz w:val="22"/>
          <w:highlight w:val="none"/>
          <w:u w:val="single"/>
        </w:rPr>
        <w:t></w:t>
      </w:r>
      <w:r>
        <w:rPr>
          <w:rFonts w:hint="eastAsia" w:hAnsi="宋体"/>
          <w:color w:val="auto"/>
          <w:sz w:val="22"/>
          <w:highlight w:val="none"/>
          <w:u w:val="single"/>
        </w:rPr>
        <w:t xml:space="preserve">                                      </w:t>
      </w:r>
      <w:r>
        <w:rPr>
          <w:rFonts w:hAnsi="宋体"/>
          <w:color w:val="auto"/>
          <w:sz w:val="22"/>
          <w:highlight w:val="none"/>
          <w:u w:val="single"/>
        </w:rPr>
        <w:t></w:t>
      </w:r>
    </w:p>
    <w:p w14:paraId="7CF2AE3D">
      <w:pPr>
        <w:pStyle w:val="41"/>
        <w:spacing w:line="300" w:lineRule="exact"/>
        <w:rPr>
          <w:color w:val="auto"/>
          <w:sz w:val="22"/>
          <w:highlight w:val="none"/>
          <w:u w:val="single"/>
        </w:rPr>
      </w:pPr>
      <w:r>
        <w:rPr>
          <w:rFonts w:hAnsi="宋体"/>
          <w:color w:val="auto"/>
          <w:sz w:val="22"/>
          <w:highlight w:val="none"/>
        </w:rPr>
        <w:t>承包人（全称）：</w:t>
      </w:r>
      <w:r>
        <w:rPr>
          <w:rFonts w:hAnsi="宋体"/>
          <w:color w:val="auto"/>
          <w:sz w:val="22"/>
          <w:highlight w:val="none"/>
          <w:u w:val="single"/>
        </w:rPr>
        <w:t></w:t>
      </w:r>
      <w:r>
        <w:rPr>
          <w:rFonts w:hint="eastAsia" w:hAnsi="宋体"/>
          <w:color w:val="auto"/>
          <w:sz w:val="22"/>
          <w:highlight w:val="none"/>
          <w:u w:val="single"/>
        </w:rPr>
        <w:t xml:space="preserve">                              </w:t>
      </w:r>
      <w:r>
        <w:rPr>
          <w:rFonts w:hAnsi="宋体"/>
          <w:color w:val="auto"/>
          <w:sz w:val="22"/>
          <w:highlight w:val="none"/>
          <w:u w:val="single"/>
        </w:rPr>
        <w:t></w:t>
      </w:r>
    </w:p>
    <w:p w14:paraId="7CB30DA0">
      <w:pPr>
        <w:pStyle w:val="41"/>
        <w:spacing w:line="300" w:lineRule="exact"/>
        <w:ind w:firstLine="440" w:firstLineChars="200"/>
        <w:rPr>
          <w:rFonts w:hAnsi="宋体"/>
          <w:color w:val="auto"/>
          <w:sz w:val="22"/>
          <w:highlight w:val="none"/>
        </w:rPr>
      </w:pPr>
      <w:r>
        <w:rPr>
          <w:rFonts w:hAnsi="宋体"/>
          <w:color w:val="auto"/>
          <w:sz w:val="22"/>
          <w:highlight w:val="none"/>
        </w:rPr>
        <w:t>根据《中华人民共和国</w:t>
      </w:r>
      <w:r>
        <w:rPr>
          <w:rFonts w:hint="eastAsia" w:hAnsi="宋体"/>
          <w:color w:val="auto"/>
          <w:sz w:val="22"/>
          <w:highlight w:val="none"/>
        </w:rPr>
        <w:t>民法典</w:t>
      </w:r>
      <w:r>
        <w:rPr>
          <w:rFonts w:hAnsi="宋体"/>
          <w:color w:val="auto"/>
          <w:sz w:val="22"/>
          <w:highlight w:val="none"/>
        </w:rPr>
        <w:t>》、《中华人民共和国建筑法》及有关法律规定，遵循平等、自愿、公平和诚实信用的原则，双方就</w:t>
      </w:r>
      <w:r>
        <w:rPr>
          <w:color w:val="auto"/>
          <w:sz w:val="22"/>
          <w:highlight w:val="none"/>
          <w:u w:val="single"/>
        </w:rPr>
        <w:t xml:space="preserve">  </w:t>
      </w:r>
      <w:r>
        <w:rPr>
          <w:rFonts w:hint="eastAsia"/>
          <w:color w:val="auto"/>
          <w:sz w:val="22"/>
          <w:highlight w:val="none"/>
          <w:u w:val="single"/>
        </w:rPr>
        <w:t xml:space="preserve">             </w:t>
      </w:r>
      <w:r>
        <w:rPr>
          <w:color w:val="auto"/>
          <w:sz w:val="22"/>
          <w:highlight w:val="none"/>
          <w:u w:val="single"/>
        </w:rPr>
        <w:t xml:space="preserve"> </w:t>
      </w:r>
      <w:r>
        <w:rPr>
          <w:rFonts w:hAnsi="宋体"/>
          <w:color w:val="auto"/>
          <w:sz w:val="22"/>
          <w:highlight w:val="none"/>
        </w:rPr>
        <w:t>工程施工及有关事项协商一致，共同达成如下协议：</w:t>
      </w:r>
      <w:bookmarkStart w:id="241" w:name="_Toc351203481"/>
    </w:p>
    <w:p w14:paraId="400FCC3B">
      <w:pPr>
        <w:pStyle w:val="41"/>
        <w:spacing w:line="300" w:lineRule="exact"/>
        <w:ind w:firstLine="442" w:firstLineChars="200"/>
        <w:rPr>
          <w:b/>
          <w:bCs/>
          <w:color w:val="auto"/>
          <w:sz w:val="22"/>
          <w:highlight w:val="none"/>
        </w:rPr>
      </w:pPr>
      <w:r>
        <w:rPr>
          <w:rFonts w:hAnsi="宋体"/>
          <w:b/>
          <w:bCs/>
          <w:color w:val="auto"/>
          <w:sz w:val="22"/>
          <w:highlight w:val="none"/>
        </w:rPr>
        <w:t>一、工程概况</w:t>
      </w:r>
      <w:bookmarkEnd w:id="241"/>
    </w:p>
    <w:p w14:paraId="57816638">
      <w:pPr>
        <w:pStyle w:val="41"/>
        <w:spacing w:line="300" w:lineRule="exact"/>
        <w:ind w:firstLine="431" w:firstLineChars="196"/>
        <w:rPr>
          <w:color w:val="auto"/>
          <w:sz w:val="22"/>
          <w:highlight w:val="none"/>
          <w:u w:val="single"/>
        </w:rPr>
      </w:pPr>
      <w:r>
        <w:rPr>
          <w:bCs/>
          <w:color w:val="auto"/>
          <w:sz w:val="22"/>
          <w:highlight w:val="none"/>
        </w:rPr>
        <w:t>1.</w:t>
      </w:r>
      <w:r>
        <w:rPr>
          <w:rFonts w:hint="eastAsia"/>
          <w:bCs/>
          <w:color w:val="auto"/>
          <w:sz w:val="22"/>
          <w:highlight w:val="none"/>
        </w:rPr>
        <w:t xml:space="preserve"> </w:t>
      </w:r>
      <w:r>
        <w:rPr>
          <w:rFonts w:hAnsi="宋体"/>
          <w:bCs/>
          <w:color w:val="auto"/>
          <w:sz w:val="22"/>
          <w:highlight w:val="none"/>
        </w:rPr>
        <w:t>工程名称</w:t>
      </w:r>
      <w:r>
        <w:rPr>
          <w:rFonts w:hAnsi="宋体"/>
          <w:color w:val="auto"/>
          <w:sz w:val="22"/>
          <w:highlight w:val="none"/>
        </w:rPr>
        <w:t>：</w:t>
      </w:r>
      <w:r>
        <w:rPr>
          <w:rFonts w:hAnsi="宋体"/>
          <w:color w:val="auto"/>
          <w:sz w:val="22"/>
          <w:highlight w:val="none"/>
          <w:u w:val="single"/>
        </w:rPr>
        <w:t></w:t>
      </w:r>
      <w:r>
        <w:rPr>
          <w:rFonts w:hint="eastAsia"/>
          <w:color w:val="auto"/>
          <w:sz w:val="22"/>
          <w:highlight w:val="none"/>
          <w:u w:val="single"/>
        </w:rPr>
        <w:t xml:space="preserve">                           </w:t>
      </w:r>
      <w:r>
        <w:rPr>
          <w:color w:val="auto"/>
          <w:sz w:val="22"/>
          <w:highlight w:val="none"/>
          <w:u w:val="single"/>
        </w:rPr>
        <w:t xml:space="preserve"> </w:t>
      </w:r>
      <w:r>
        <w:rPr>
          <w:rFonts w:hAnsi="宋体"/>
          <w:color w:val="auto"/>
          <w:sz w:val="22"/>
          <w:highlight w:val="none"/>
        </w:rPr>
        <w:t>。</w:t>
      </w:r>
    </w:p>
    <w:p w14:paraId="5EE45CC2">
      <w:pPr>
        <w:pStyle w:val="41"/>
        <w:spacing w:line="300" w:lineRule="exact"/>
        <w:ind w:firstLine="431" w:firstLineChars="196"/>
        <w:rPr>
          <w:bCs/>
          <w:color w:val="auto"/>
          <w:sz w:val="22"/>
          <w:highlight w:val="none"/>
        </w:rPr>
      </w:pPr>
      <w:r>
        <w:rPr>
          <w:bCs/>
          <w:color w:val="auto"/>
          <w:sz w:val="22"/>
          <w:highlight w:val="none"/>
        </w:rPr>
        <w:t>2.</w:t>
      </w:r>
      <w:r>
        <w:rPr>
          <w:rFonts w:hint="eastAsia"/>
          <w:bCs/>
          <w:color w:val="auto"/>
          <w:sz w:val="22"/>
          <w:highlight w:val="none"/>
        </w:rPr>
        <w:t xml:space="preserve"> </w:t>
      </w:r>
      <w:r>
        <w:rPr>
          <w:rFonts w:hAnsi="宋体"/>
          <w:bCs/>
          <w:color w:val="auto"/>
          <w:sz w:val="22"/>
          <w:highlight w:val="none"/>
        </w:rPr>
        <w:t>工程地点：</w:t>
      </w:r>
      <w:r>
        <w:rPr>
          <w:rFonts w:hAnsi="宋体"/>
          <w:color w:val="auto"/>
          <w:sz w:val="22"/>
          <w:highlight w:val="none"/>
          <w:u w:val="single"/>
        </w:rPr>
        <w:t></w:t>
      </w:r>
      <w:r>
        <w:rPr>
          <w:rFonts w:hint="eastAsia" w:hAnsi="宋体"/>
          <w:color w:val="auto"/>
          <w:sz w:val="22"/>
          <w:highlight w:val="none"/>
          <w:u w:val="single"/>
        </w:rPr>
        <w:t xml:space="preserve">                     </w:t>
      </w:r>
      <w:r>
        <w:rPr>
          <w:color w:val="auto"/>
          <w:sz w:val="22"/>
          <w:highlight w:val="none"/>
          <w:u w:val="single"/>
        </w:rPr>
        <w:t xml:space="preserve"> </w:t>
      </w:r>
      <w:r>
        <w:rPr>
          <w:rFonts w:hAnsi="宋体"/>
          <w:color w:val="auto"/>
          <w:sz w:val="22"/>
          <w:highlight w:val="none"/>
        </w:rPr>
        <w:t>。</w:t>
      </w:r>
    </w:p>
    <w:p w14:paraId="0B404F81">
      <w:pPr>
        <w:pStyle w:val="41"/>
        <w:spacing w:line="300" w:lineRule="exact"/>
        <w:ind w:firstLine="431" w:firstLineChars="196"/>
        <w:rPr>
          <w:bCs/>
          <w:color w:val="auto"/>
          <w:sz w:val="22"/>
          <w:highlight w:val="none"/>
        </w:rPr>
      </w:pPr>
      <w:r>
        <w:rPr>
          <w:rFonts w:hint="eastAsia"/>
          <w:bCs/>
          <w:color w:val="auto"/>
          <w:sz w:val="22"/>
          <w:highlight w:val="none"/>
        </w:rPr>
        <w:t>3</w:t>
      </w:r>
      <w:r>
        <w:rPr>
          <w:bCs/>
          <w:color w:val="auto"/>
          <w:sz w:val="22"/>
          <w:highlight w:val="none"/>
        </w:rPr>
        <w:t>.</w:t>
      </w:r>
      <w:r>
        <w:rPr>
          <w:rFonts w:hint="eastAsia"/>
          <w:bCs/>
          <w:color w:val="auto"/>
          <w:sz w:val="22"/>
          <w:highlight w:val="none"/>
        </w:rPr>
        <w:t xml:space="preserve"> </w:t>
      </w:r>
      <w:r>
        <w:rPr>
          <w:rFonts w:hAnsi="宋体"/>
          <w:bCs/>
          <w:color w:val="auto"/>
          <w:sz w:val="22"/>
          <w:highlight w:val="none"/>
        </w:rPr>
        <w:t>资金来源：</w:t>
      </w:r>
      <w:r>
        <w:rPr>
          <w:rFonts w:hAnsi="宋体"/>
          <w:color w:val="auto"/>
          <w:sz w:val="22"/>
          <w:highlight w:val="none"/>
          <w:u w:val="single"/>
        </w:rPr>
        <w:t></w:t>
      </w:r>
      <w:r>
        <w:rPr>
          <w:rFonts w:hint="eastAsia" w:hAnsi="宋体"/>
          <w:color w:val="auto"/>
          <w:sz w:val="22"/>
          <w:highlight w:val="none"/>
          <w:u w:val="single"/>
        </w:rPr>
        <w:t xml:space="preserve">              </w:t>
      </w:r>
      <w:r>
        <w:rPr>
          <w:color w:val="auto"/>
          <w:sz w:val="22"/>
          <w:highlight w:val="none"/>
          <w:u w:val="single"/>
        </w:rPr>
        <w:t xml:space="preserve"> </w:t>
      </w:r>
      <w:r>
        <w:rPr>
          <w:rFonts w:hAnsi="宋体"/>
          <w:bCs/>
          <w:color w:val="auto"/>
          <w:sz w:val="22"/>
          <w:highlight w:val="none"/>
        </w:rPr>
        <w:t>。</w:t>
      </w:r>
    </w:p>
    <w:p w14:paraId="08D8D3C7">
      <w:pPr>
        <w:pStyle w:val="41"/>
        <w:spacing w:line="300" w:lineRule="exact"/>
        <w:ind w:firstLine="431" w:firstLineChars="196"/>
        <w:rPr>
          <w:bCs/>
          <w:color w:val="auto"/>
          <w:sz w:val="22"/>
          <w:highlight w:val="none"/>
        </w:rPr>
      </w:pPr>
      <w:r>
        <w:rPr>
          <w:bCs/>
          <w:color w:val="auto"/>
          <w:sz w:val="22"/>
          <w:highlight w:val="none"/>
        </w:rPr>
        <w:t>5.</w:t>
      </w:r>
      <w:r>
        <w:rPr>
          <w:rFonts w:hint="eastAsia"/>
          <w:bCs/>
          <w:color w:val="auto"/>
          <w:sz w:val="22"/>
          <w:highlight w:val="none"/>
        </w:rPr>
        <w:t xml:space="preserve"> </w:t>
      </w:r>
      <w:r>
        <w:rPr>
          <w:rFonts w:hAnsi="宋体"/>
          <w:bCs/>
          <w:color w:val="auto"/>
          <w:sz w:val="22"/>
          <w:highlight w:val="none"/>
        </w:rPr>
        <w:t>工程内容：</w:t>
      </w:r>
      <w:r>
        <w:rPr>
          <w:rFonts w:hAnsi="宋体"/>
          <w:color w:val="auto"/>
          <w:sz w:val="22"/>
          <w:highlight w:val="none"/>
          <w:u w:val="single"/>
        </w:rPr>
        <w:t></w:t>
      </w:r>
      <w:r>
        <w:rPr>
          <w:rFonts w:hint="eastAsia" w:hAnsi="宋体"/>
          <w:color w:val="auto"/>
          <w:sz w:val="22"/>
          <w:highlight w:val="none"/>
          <w:u w:val="single"/>
        </w:rPr>
        <w:t xml:space="preserve">                     </w:t>
      </w:r>
      <w:r>
        <w:rPr>
          <w:color w:val="auto"/>
          <w:sz w:val="22"/>
          <w:highlight w:val="none"/>
          <w:u w:val="single"/>
        </w:rPr>
        <w:t xml:space="preserve"> </w:t>
      </w:r>
      <w:r>
        <w:rPr>
          <w:rFonts w:hAnsi="宋体"/>
          <w:bCs/>
          <w:color w:val="auto"/>
          <w:sz w:val="22"/>
          <w:highlight w:val="none"/>
        </w:rPr>
        <w:t>。</w:t>
      </w:r>
    </w:p>
    <w:p w14:paraId="132C988A">
      <w:pPr>
        <w:pStyle w:val="41"/>
        <w:spacing w:line="300" w:lineRule="exact"/>
        <w:ind w:firstLine="431" w:firstLineChars="196"/>
        <w:rPr>
          <w:bCs/>
          <w:color w:val="auto"/>
          <w:sz w:val="22"/>
          <w:highlight w:val="none"/>
        </w:rPr>
      </w:pPr>
      <w:r>
        <w:rPr>
          <w:rFonts w:hAnsi="宋体"/>
          <w:color w:val="auto"/>
          <w:sz w:val="22"/>
          <w:highlight w:val="none"/>
        </w:rPr>
        <w:t>群体工程应附《承包人承揽工程项目一览表》（附件</w:t>
      </w:r>
      <w:r>
        <w:rPr>
          <w:color w:val="auto"/>
          <w:sz w:val="22"/>
          <w:highlight w:val="none"/>
        </w:rPr>
        <w:t>1</w:t>
      </w:r>
      <w:r>
        <w:rPr>
          <w:rFonts w:hAnsi="宋体"/>
          <w:color w:val="auto"/>
          <w:sz w:val="22"/>
          <w:highlight w:val="none"/>
        </w:rPr>
        <w:t>）。</w:t>
      </w:r>
    </w:p>
    <w:p w14:paraId="58DC9EA0">
      <w:pPr>
        <w:pStyle w:val="41"/>
        <w:spacing w:line="300" w:lineRule="exact"/>
        <w:ind w:firstLine="431" w:firstLineChars="196"/>
        <w:rPr>
          <w:bCs/>
          <w:color w:val="auto"/>
          <w:sz w:val="22"/>
          <w:highlight w:val="none"/>
        </w:rPr>
      </w:pPr>
      <w:r>
        <w:rPr>
          <w:bCs/>
          <w:color w:val="auto"/>
          <w:sz w:val="22"/>
          <w:highlight w:val="none"/>
        </w:rPr>
        <w:t>6.</w:t>
      </w:r>
      <w:r>
        <w:rPr>
          <w:rFonts w:hint="eastAsia"/>
          <w:bCs/>
          <w:color w:val="auto"/>
          <w:sz w:val="22"/>
          <w:highlight w:val="none"/>
        </w:rPr>
        <w:t xml:space="preserve"> </w:t>
      </w:r>
      <w:r>
        <w:rPr>
          <w:rFonts w:hAnsi="宋体"/>
          <w:bCs/>
          <w:color w:val="auto"/>
          <w:sz w:val="22"/>
          <w:highlight w:val="none"/>
        </w:rPr>
        <w:t>工程承包范围：</w:t>
      </w:r>
    </w:p>
    <w:p w14:paraId="17EE51A8">
      <w:pPr>
        <w:pStyle w:val="41"/>
        <w:spacing w:line="300" w:lineRule="exact"/>
        <w:ind w:firstLine="424" w:firstLineChars="193"/>
        <w:rPr>
          <w:rFonts w:hAnsi="宋体"/>
          <w:color w:val="auto"/>
          <w:sz w:val="22"/>
          <w:highlight w:val="none"/>
        </w:rPr>
      </w:pPr>
      <w:r>
        <w:rPr>
          <w:rFonts w:hAnsi="宋体"/>
          <w:color w:val="auto"/>
          <w:sz w:val="22"/>
          <w:highlight w:val="none"/>
          <w:u w:val="single"/>
        </w:rPr>
        <w:t></w:t>
      </w:r>
      <w:r>
        <w:rPr>
          <w:rFonts w:hint="eastAsia"/>
          <w:color w:val="auto"/>
          <w:sz w:val="22"/>
          <w:highlight w:val="none"/>
          <w:u w:val="single"/>
        </w:rPr>
        <w:t xml:space="preserve">                                </w:t>
      </w:r>
      <w:r>
        <w:rPr>
          <w:rFonts w:hAnsi="宋体"/>
          <w:color w:val="auto"/>
          <w:sz w:val="22"/>
          <w:highlight w:val="none"/>
          <w:u w:val="single"/>
        </w:rPr>
        <w:t></w:t>
      </w:r>
      <w:r>
        <w:rPr>
          <w:rFonts w:hAnsi="宋体"/>
          <w:color w:val="auto"/>
          <w:sz w:val="22"/>
          <w:highlight w:val="none"/>
        </w:rPr>
        <w:t>。</w:t>
      </w:r>
    </w:p>
    <w:p w14:paraId="39A94079">
      <w:pPr>
        <w:pStyle w:val="41"/>
        <w:spacing w:line="300" w:lineRule="exact"/>
        <w:ind w:firstLine="426" w:firstLineChars="193"/>
        <w:rPr>
          <w:b/>
          <w:bCs/>
          <w:color w:val="auto"/>
          <w:sz w:val="22"/>
          <w:highlight w:val="none"/>
        </w:rPr>
      </w:pPr>
      <w:bookmarkStart w:id="242" w:name="_Toc351203482"/>
      <w:r>
        <w:rPr>
          <w:rFonts w:hAnsi="宋体"/>
          <w:b/>
          <w:bCs/>
          <w:color w:val="auto"/>
          <w:sz w:val="22"/>
          <w:highlight w:val="none"/>
        </w:rPr>
        <w:t>二、合同工期</w:t>
      </w:r>
      <w:bookmarkEnd w:id="242"/>
    </w:p>
    <w:p w14:paraId="27F65761">
      <w:pPr>
        <w:pStyle w:val="41"/>
        <w:spacing w:line="300" w:lineRule="exact"/>
        <w:ind w:firstLine="459"/>
        <w:rPr>
          <w:color w:val="auto"/>
          <w:sz w:val="22"/>
          <w:highlight w:val="none"/>
        </w:rPr>
      </w:pPr>
      <w:r>
        <w:rPr>
          <w:rFonts w:hAnsi="宋体"/>
          <w:color w:val="auto"/>
          <w:sz w:val="22"/>
          <w:highlight w:val="none"/>
        </w:rPr>
        <w:t>计划开工日期：</w:t>
      </w:r>
      <w:r>
        <w:rPr>
          <w:rFonts w:hAnsi="宋体"/>
          <w:color w:val="auto"/>
          <w:sz w:val="22"/>
          <w:highlight w:val="none"/>
          <w:u w:val="single"/>
        </w:rPr>
        <w:t></w:t>
      </w:r>
      <w:r>
        <w:rPr>
          <w:rFonts w:hint="eastAsia" w:hAnsi="宋体"/>
          <w:color w:val="auto"/>
          <w:sz w:val="22"/>
          <w:highlight w:val="none"/>
          <w:u w:val="single"/>
        </w:rPr>
        <w:t xml:space="preserve">   </w:t>
      </w:r>
      <w:r>
        <w:rPr>
          <w:rFonts w:hAnsi="宋体"/>
          <w:color w:val="auto"/>
          <w:sz w:val="22"/>
          <w:highlight w:val="none"/>
          <w:u w:val="single"/>
        </w:rPr>
        <w:t></w:t>
      </w:r>
      <w:r>
        <w:rPr>
          <w:rFonts w:hAnsi="宋体"/>
          <w:color w:val="auto"/>
          <w:sz w:val="22"/>
          <w:highlight w:val="none"/>
        </w:rPr>
        <w:t>年</w:t>
      </w:r>
      <w:r>
        <w:rPr>
          <w:rFonts w:hAnsi="宋体"/>
          <w:color w:val="auto"/>
          <w:sz w:val="22"/>
          <w:highlight w:val="none"/>
          <w:u w:val="single"/>
        </w:rPr>
        <w:t></w:t>
      </w:r>
      <w:r>
        <w:rPr>
          <w:rFonts w:hint="eastAsia" w:hAnsi="宋体"/>
          <w:color w:val="auto"/>
          <w:sz w:val="22"/>
          <w:highlight w:val="none"/>
          <w:u w:val="single"/>
        </w:rPr>
        <w:t xml:space="preserve">  </w:t>
      </w:r>
      <w:r>
        <w:rPr>
          <w:rFonts w:hAnsi="宋体"/>
          <w:color w:val="auto"/>
          <w:sz w:val="22"/>
          <w:highlight w:val="none"/>
        </w:rPr>
        <w:t>月</w:t>
      </w:r>
      <w:r>
        <w:rPr>
          <w:rFonts w:hAnsi="宋体"/>
          <w:color w:val="auto"/>
          <w:sz w:val="22"/>
          <w:highlight w:val="none"/>
          <w:u w:val="single"/>
        </w:rPr>
        <w:t></w:t>
      </w:r>
      <w:r>
        <w:rPr>
          <w:rFonts w:hint="eastAsia" w:hAnsi="宋体"/>
          <w:color w:val="auto"/>
          <w:sz w:val="22"/>
          <w:highlight w:val="none"/>
          <w:u w:val="single"/>
        </w:rPr>
        <w:t xml:space="preserve">  </w:t>
      </w:r>
      <w:r>
        <w:rPr>
          <w:rFonts w:hAnsi="宋体"/>
          <w:color w:val="auto"/>
          <w:sz w:val="22"/>
          <w:highlight w:val="none"/>
          <w:u w:val="single"/>
        </w:rPr>
        <w:t></w:t>
      </w:r>
      <w:r>
        <w:rPr>
          <w:rFonts w:hAnsi="宋体"/>
          <w:color w:val="auto"/>
          <w:sz w:val="22"/>
          <w:highlight w:val="none"/>
        </w:rPr>
        <w:t>日。</w:t>
      </w:r>
    </w:p>
    <w:p w14:paraId="6F01BEB9">
      <w:pPr>
        <w:pStyle w:val="41"/>
        <w:spacing w:line="300" w:lineRule="exact"/>
        <w:ind w:firstLine="459"/>
        <w:rPr>
          <w:color w:val="auto"/>
          <w:sz w:val="22"/>
          <w:highlight w:val="none"/>
        </w:rPr>
      </w:pPr>
      <w:r>
        <w:rPr>
          <w:rFonts w:hAnsi="宋体"/>
          <w:color w:val="auto"/>
          <w:sz w:val="22"/>
          <w:highlight w:val="none"/>
        </w:rPr>
        <w:t>计划竣工日期：</w:t>
      </w:r>
      <w:r>
        <w:rPr>
          <w:rFonts w:hAnsi="宋体"/>
          <w:color w:val="auto"/>
          <w:sz w:val="22"/>
          <w:highlight w:val="none"/>
          <w:u w:val="single"/>
        </w:rPr>
        <w:t></w:t>
      </w:r>
      <w:r>
        <w:rPr>
          <w:rFonts w:hint="eastAsia" w:hAnsi="宋体"/>
          <w:color w:val="auto"/>
          <w:sz w:val="22"/>
          <w:highlight w:val="none"/>
          <w:u w:val="single"/>
        </w:rPr>
        <w:t xml:space="preserve">   </w:t>
      </w:r>
      <w:r>
        <w:rPr>
          <w:rFonts w:hAnsi="宋体"/>
          <w:color w:val="auto"/>
          <w:sz w:val="22"/>
          <w:highlight w:val="none"/>
          <w:u w:val="single"/>
        </w:rPr>
        <w:t></w:t>
      </w:r>
      <w:r>
        <w:rPr>
          <w:rFonts w:hAnsi="宋体"/>
          <w:color w:val="auto"/>
          <w:sz w:val="22"/>
          <w:highlight w:val="none"/>
        </w:rPr>
        <w:t>年</w:t>
      </w:r>
      <w:r>
        <w:rPr>
          <w:rFonts w:hAnsi="宋体"/>
          <w:color w:val="auto"/>
          <w:sz w:val="22"/>
          <w:highlight w:val="none"/>
          <w:u w:val="single"/>
        </w:rPr>
        <w:t></w:t>
      </w:r>
      <w:r>
        <w:rPr>
          <w:rFonts w:hint="eastAsia" w:hAnsi="宋体"/>
          <w:color w:val="auto"/>
          <w:sz w:val="22"/>
          <w:highlight w:val="none"/>
          <w:u w:val="single"/>
        </w:rPr>
        <w:t xml:space="preserve"> </w:t>
      </w:r>
      <w:r>
        <w:rPr>
          <w:rFonts w:hAnsi="宋体"/>
          <w:color w:val="auto"/>
          <w:sz w:val="22"/>
          <w:highlight w:val="none"/>
          <w:u w:val="single"/>
        </w:rPr>
        <w:t></w:t>
      </w:r>
      <w:r>
        <w:rPr>
          <w:rFonts w:hAnsi="宋体"/>
          <w:color w:val="auto"/>
          <w:sz w:val="22"/>
          <w:highlight w:val="none"/>
        </w:rPr>
        <w:t>月</w:t>
      </w:r>
      <w:r>
        <w:rPr>
          <w:rFonts w:hAnsi="宋体"/>
          <w:color w:val="auto"/>
          <w:sz w:val="22"/>
          <w:highlight w:val="none"/>
          <w:u w:val="single"/>
        </w:rPr>
        <w:t></w:t>
      </w:r>
      <w:r>
        <w:rPr>
          <w:rFonts w:hint="eastAsia" w:hAnsi="宋体"/>
          <w:color w:val="auto"/>
          <w:sz w:val="22"/>
          <w:highlight w:val="none"/>
          <w:u w:val="single"/>
        </w:rPr>
        <w:t xml:space="preserve">  </w:t>
      </w:r>
      <w:r>
        <w:rPr>
          <w:rFonts w:hAnsi="宋体"/>
          <w:color w:val="auto"/>
          <w:sz w:val="22"/>
          <w:highlight w:val="none"/>
          <w:u w:val="single"/>
        </w:rPr>
        <w:t></w:t>
      </w:r>
      <w:r>
        <w:rPr>
          <w:rFonts w:hAnsi="宋体"/>
          <w:color w:val="auto"/>
          <w:sz w:val="22"/>
          <w:highlight w:val="none"/>
        </w:rPr>
        <w:t>日。</w:t>
      </w:r>
    </w:p>
    <w:p w14:paraId="1D64E5FA">
      <w:pPr>
        <w:pStyle w:val="41"/>
        <w:spacing w:line="300" w:lineRule="exact"/>
        <w:ind w:firstLine="459"/>
        <w:rPr>
          <w:rFonts w:hAnsi="宋体"/>
          <w:color w:val="auto"/>
          <w:sz w:val="22"/>
          <w:highlight w:val="none"/>
        </w:rPr>
      </w:pPr>
      <w:r>
        <w:rPr>
          <w:rFonts w:hAnsi="宋体"/>
          <w:color w:val="auto"/>
          <w:sz w:val="22"/>
          <w:highlight w:val="none"/>
        </w:rPr>
        <w:t>工期总日历天数：</w:t>
      </w:r>
      <w:r>
        <w:rPr>
          <w:rFonts w:hAnsi="宋体"/>
          <w:color w:val="auto"/>
          <w:sz w:val="22"/>
          <w:highlight w:val="none"/>
          <w:u w:val="single"/>
        </w:rPr>
        <w:t></w:t>
      </w:r>
      <w:r>
        <w:rPr>
          <w:rFonts w:hint="eastAsia" w:hAnsi="宋体"/>
          <w:color w:val="auto"/>
          <w:sz w:val="22"/>
          <w:highlight w:val="none"/>
          <w:u w:val="single"/>
        </w:rPr>
        <w:t xml:space="preserve"> </w:t>
      </w:r>
      <w:r>
        <w:rPr>
          <w:rFonts w:hAnsi="宋体"/>
          <w:color w:val="auto"/>
          <w:sz w:val="22"/>
          <w:highlight w:val="none"/>
          <w:u w:val="single"/>
        </w:rPr>
        <w:t></w:t>
      </w:r>
      <w:r>
        <w:rPr>
          <w:rFonts w:hAnsi="宋体"/>
          <w:color w:val="auto"/>
          <w:sz w:val="22"/>
          <w:highlight w:val="none"/>
        </w:rPr>
        <w:t>天。工期总日历天数与根据前述计划开竣工日期计算的工期天数不一致的，以工期总日历天数为准。</w:t>
      </w:r>
    </w:p>
    <w:p w14:paraId="6FBB4CEA">
      <w:pPr>
        <w:pStyle w:val="41"/>
        <w:spacing w:line="300" w:lineRule="exact"/>
        <w:ind w:firstLine="459"/>
        <w:rPr>
          <w:b/>
          <w:bCs/>
          <w:color w:val="auto"/>
          <w:sz w:val="22"/>
          <w:highlight w:val="none"/>
        </w:rPr>
      </w:pPr>
      <w:bookmarkStart w:id="243" w:name="_Toc351203483"/>
      <w:r>
        <w:rPr>
          <w:rFonts w:hAnsi="宋体"/>
          <w:b/>
          <w:bCs/>
          <w:color w:val="auto"/>
          <w:sz w:val="22"/>
          <w:highlight w:val="none"/>
        </w:rPr>
        <w:t>三、质量标准</w:t>
      </w:r>
      <w:bookmarkEnd w:id="243"/>
    </w:p>
    <w:p w14:paraId="098BCE54">
      <w:pPr>
        <w:pStyle w:val="41"/>
        <w:spacing w:line="300" w:lineRule="exact"/>
        <w:ind w:firstLine="459"/>
        <w:rPr>
          <w:rFonts w:hAnsi="宋体"/>
          <w:color w:val="auto"/>
          <w:sz w:val="22"/>
          <w:highlight w:val="none"/>
        </w:rPr>
      </w:pPr>
      <w:r>
        <w:rPr>
          <w:rFonts w:hAnsi="宋体"/>
          <w:color w:val="auto"/>
          <w:sz w:val="22"/>
          <w:highlight w:val="none"/>
        </w:rPr>
        <w:t>工程质量</w:t>
      </w:r>
      <w:r>
        <w:rPr>
          <w:rFonts w:hAnsi="宋体"/>
          <w:color w:val="auto"/>
          <w:sz w:val="22"/>
          <w:highlight w:val="none"/>
          <w:u w:val="single"/>
        </w:rPr>
        <w:t></w:t>
      </w:r>
      <w:r>
        <w:rPr>
          <w:rFonts w:hint="eastAsia" w:hAnsi="宋体"/>
          <w:color w:val="auto"/>
          <w:sz w:val="22"/>
          <w:highlight w:val="none"/>
          <w:u w:val="single"/>
        </w:rPr>
        <w:t>达到国家建设工程施工质量验收规范合格</w:t>
      </w:r>
      <w:r>
        <w:rPr>
          <w:rFonts w:hAnsi="宋体"/>
          <w:color w:val="auto"/>
          <w:sz w:val="22"/>
          <w:highlight w:val="none"/>
          <w:u w:val="single"/>
        </w:rPr>
        <w:t></w:t>
      </w:r>
      <w:r>
        <w:rPr>
          <w:rFonts w:hAnsi="宋体"/>
          <w:color w:val="auto"/>
          <w:sz w:val="22"/>
          <w:highlight w:val="none"/>
        </w:rPr>
        <w:t>标准。</w:t>
      </w:r>
    </w:p>
    <w:p w14:paraId="4AD7D0D5">
      <w:pPr>
        <w:pStyle w:val="41"/>
        <w:spacing w:line="300" w:lineRule="exact"/>
        <w:ind w:firstLine="459"/>
        <w:rPr>
          <w:rFonts w:hAnsi="宋体"/>
          <w:b/>
          <w:bCs/>
          <w:color w:val="auto"/>
          <w:sz w:val="22"/>
          <w:highlight w:val="none"/>
        </w:rPr>
      </w:pPr>
      <w:bookmarkStart w:id="244" w:name="_Toc351203484"/>
      <w:r>
        <w:rPr>
          <w:rFonts w:hAnsi="宋体"/>
          <w:b/>
          <w:bCs/>
          <w:color w:val="auto"/>
          <w:sz w:val="22"/>
          <w:highlight w:val="none"/>
        </w:rPr>
        <w:t>四、签约合同价与合同价格形式</w:t>
      </w:r>
      <w:bookmarkEnd w:id="244"/>
    </w:p>
    <w:p w14:paraId="5513AD59">
      <w:pPr>
        <w:pStyle w:val="41"/>
        <w:spacing w:line="300" w:lineRule="exact"/>
        <w:ind w:firstLine="459"/>
        <w:rPr>
          <w:color w:val="auto"/>
          <w:sz w:val="22"/>
          <w:highlight w:val="none"/>
        </w:rPr>
      </w:pPr>
      <w:r>
        <w:rPr>
          <w:color w:val="auto"/>
          <w:sz w:val="22"/>
          <w:highlight w:val="none"/>
        </w:rPr>
        <w:t>1.</w:t>
      </w:r>
      <w:r>
        <w:rPr>
          <w:rFonts w:hint="eastAsia"/>
          <w:color w:val="auto"/>
          <w:sz w:val="22"/>
          <w:highlight w:val="none"/>
        </w:rPr>
        <w:t xml:space="preserve"> </w:t>
      </w:r>
      <w:r>
        <w:rPr>
          <w:rFonts w:hAnsi="宋体"/>
          <w:color w:val="auto"/>
          <w:sz w:val="22"/>
          <w:highlight w:val="none"/>
        </w:rPr>
        <w:t>签约合同价为：</w:t>
      </w:r>
    </w:p>
    <w:p w14:paraId="0E6127D8">
      <w:pPr>
        <w:pStyle w:val="41"/>
        <w:spacing w:line="300" w:lineRule="exact"/>
        <w:ind w:firstLine="550" w:firstLineChars="250"/>
        <w:rPr>
          <w:rFonts w:hAnsi="宋体"/>
          <w:color w:val="auto"/>
          <w:sz w:val="22"/>
          <w:highlight w:val="none"/>
        </w:rPr>
      </w:pPr>
      <w:r>
        <w:rPr>
          <w:rFonts w:hAnsi="宋体"/>
          <w:color w:val="auto"/>
          <w:sz w:val="22"/>
          <w:highlight w:val="none"/>
        </w:rPr>
        <w:t>人民币（大写）</w:t>
      </w:r>
      <w:r>
        <w:rPr>
          <w:color w:val="auto"/>
          <w:sz w:val="22"/>
          <w:highlight w:val="none"/>
          <w:u w:val="single"/>
        </w:rPr>
        <w:t xml:space="preserve">                 </w:t>
      </w:r>
      <w:r>
        <w:rPr>
          <w:rFonts w:hint="eastAsia"/>
          <w:color w:val="auto"/>
          <w:sz w:val="22"/>
          <w:highlight w:val="none"/>
        </w:rPr>
        <w:t>（</w:t>
      </w:r>
      <w:r>
        <w:rPr>
          <w:color w:val="auto"/>
          <w:sz w:val="22"/>
          <w:highlight w:val="none"/>
        </w:rPr>
        <w:t>¥</w:t>
      </w:r>
      <w:r>
        <w:rPr>
          <w:color w:val="auto"/>
          <w:sz w:val="22"/>
          <w:highlight w:val="none"/>
          <w:u w:val="single"/>
        </w:rPr>
        <w:t xml:space="preserve">            </w:t>
      </w:r>
      <w:r>
        <w:rPr>
          <w:rFonts w:hAnsi="宋体"/>
          <w:color w:val="auto"/>
          <w:sz w:val="22"/>
          <w:highlight w:val="none"/>
        </w:rPr>
        <w:t>元</w:t>
      </w:r>
      <w:r>
        <w:rPr>
          <w:rFonts w:hint="eastAsia"/>
          <w:color w:val="auto"/>
          <w:sz w:val="22"/>
          <w:highlight w:val="none"/>
        </w:rPr>
        <w:t>）</w:t>
      </w:r>
      <w:r>
        <w:rPr>
          <w:rFonts w:hAnsi="宋体"/>
          <w:color w:val="auto"/>
          <w:sz w:val="22"/>
          <w:highlight w:val="none"/>
        </w:rPr>
        <w:t>；</w:t>
      </w:r>
    </w:p>
    <w:p w14:paraId="1A408B3C">
      <w:pPr>
        <w:pStyle w:val="41"/>
        <w:spacing w:line="300" w:lineRule="exact"/>
        <w:ind w:firstLine="550" w:firstLineChars="250"/>
        <w:rPr>
          <w:rFonts w:hAnsi="宋体"/>
          <w:color w:val="auto"/>
          <w:sz w:val="22"/>
          <w:highlight w:val="none"/>
        </w:rPr>
      </w:pPr>
      <w:r>
        <w:rPr>
          <w:rFonts w:hAnsi="宋体"/>
          <w:color w:val="auto"/>
          <w:sz w:val="22"/>
          <w:highlight w:val="none"/>
        </w:rPr>
        <w:t>其中：</w:t>
      </w:r>
    </w:p>
    <w:p w14:paraId="09274E0B">
      <w:pPr>
        <w:pStyle w:val="41"/>
        <w:spacing w:line="300" w:lineRule="exact"/>
        <w:ind w:firstLine="440" w:firstLineChars="200"/>
        <w:rPr>
          <w:color w:val="auto"/>
          <w:sz w:val="22"/>
          <w:highlight w:val="none"/>
        </w:rPr>
      </w:pPr>
      <w:r>
        <w:rPr>
          <w:rFonts w:hint="eastAsia" w:hAnsi="宋体"/>
          <w:color w:val="auto"/>
          <w:sz w:val="22"/>
          <w:highlight w:val="none"/>
        </w:rPr>
        <w:t>（1）</w:t>
      </w:r>
      <w:r>
        <w:rPr>
          <w:rFonts w:hAnsi="宋体"/>
          <w:color w:val="auto"/>
          <w:sz w:val="22"/>
          <w:highlight w:val="none"/>
        </w:rPr>
        <w:t>安全文明施工费：</w:t>
      </w:r>
    </w:p>
    <w:p w14:paraId="69D41980">
      <w:pPr>
        <w:pStyle w:val="41"/>
        <w:spacing w:line="300" w:lineRule="exact"/>
        <w:ind w:firstLine="550" w:firstLineChars="250"/>
        <w:rPr>
          <w:rFonts w:hAnsi="宋体"/>
          <w:color w:val="auto"/>
          <w:sz w:val="22"/>
          <w:highlight w:val="none"/>
        </w:rPr>
      </w:pPr>
      <w:r>
        <w:rPr>
          <w:rFonts w:hAnsi="宋体"/>
          <w:color w:val="auto"/>
          <w:sz w:val="22"/>
          <w:highlight w:val="none"/>
        </w:rPr>
        <w:t>人民币（大写）</w:t>
      </w:r>
      <w:r>
        <w:rPr>
          <w:color w:val="auto"/>
          <w:sz w:val="22"/>
          <w:highlight w:val="none"/>
          <w:u w:val="single"/>
        </w:rPr>
        <w:t xml:space="preserve">              </w:t>
      </w:r>
      <w:r>
        <w:rPr>
          <w:color w:val="auto"/>
          <w:sz w:val="22"/>
          <w:highlight w:val="none"/>
        </w:rPr>
        <w:t xml:space="preserve"> </w:t>
      </w:r>
      <w:r>
        <w:rPr>
          <w:rFonts w:hint="eastAsia"/>
          <w:color w:val="auto"/>
          <w:sz w:val="22"/>
          <w:highlight w:val="none"/>
        </w:rPr>
        <w:t>（</w:t>
      </w:r>
      <w:r>
        <w:rPr>
          <w:color w:val="auto"/>
          <w:sz w:val="22"/>
          <w:highlight w:val="none"/>
        </w:rPr>
        <w:t>¥</w:t>
      </w:r>
      <w:r>
        <w:rPr>
          <w:color w:val="auto"/>
          <w:sz w:val="22"/>
          <w:highlight w:val="none"/>
          <w:u w:val="single"/>
        </w:rPr>
        <w:t xml:space="preserve">          </w:t>
      </w:r>
      <w:r>
        <w:rPr>
          <w:rFonts w:hAnsi="宋体"/>
          <w:color w:val="auto"/>
          <w:sz w:val="22"/>
          <w:highlight w:val="none"/>
        </w:rPr>
        <w:t>元</w:t>
      </w:r>
      <w:r>
        <w:rPr>
          <w:rFonts w:hint="eastAsia"/>
          <w:color w:val="auto"/>
          <w:sz w:val="22"/>
          <w:highlight w:val="none"/>
        </w:rPr>
        <w:t>）</w:t>
      </w:r>
      <w:r>
        <w:rPr>
          <w:rFonts w:hAnsi="宋体"/>
          <w:color w:val="auto"/>
          <w:sz w:val="22"/>
          <w:highlight w:val="none"/>
        </w:rPr>
        <w:t>；</w:t>
      </w:r>
    </w:p>
    <w:p w14:paraId="79A8340B">
      <w:pPr>
        <w:pStyle w:val="41"/>
        <w:spacing w:line="300" w:lineRule="exact"/>
        <w:ind w:firstLine="440" w:firstLineChars="200"/>
        <w:rPr>
          <w:rFonts w:hAnsi="宋体"/>
          <w:color w:val="auto"/>
          <w:sz w:val="22"/>
          <w:highlight w:val="none"/>
        </w:rPr>
      </w:pPr>
      <w:r>
        <w:rPr>
          <w:rFonts w:hAnsi="宋体"/>
          <w:color w:val="auto"/>
          <w:sz w:val="22"/>
          <w:highlight w:val="none"/>
        </w:rPr>
        <w:t>（</w:t>
      </w:r>
      <w:r>
        <w:rPr>
          <w:color w:val="auto"/>
          <w:sz w:val="22"/>
          <w:highlight w:val="none"/>
        </w:rPr>
        <w:t>2</w:t>
      </w:r>
      <w:r>
        <w:rPr>
          <w:rFonts w:hAnsi="宋体"/>
          <w:color w:val="auto"/>
          <w:sz w:val="22"/>
          <w:highlight w:val="none"/>
        </w:rPr>
        <w:t>）</w:t>
      </w:r>
      <w:r>
        <w:rPr>
          <w:rFonts w:hint="eastAsia" w:hAnsi="宋体"/>
          <w:color w:val="auto"/>
          <w:sz w:val="22"/>
          <w:highlight w:val="none"/>
        </w:rPr>
        <w:t>规费中按规定向建安劳保费管理机构缴纳的建安劳保费</w:t>
      </w:r>
      <w:r>
        <w:rPr>
          <w:rFonts w:hAnsi="宋体"/>
          <w:color w:val="auto"/>
          <w:sz w:val="22"/>
          <w:highlight w:val="none"/>
        </w:rPr>
        <w:t>：</w:t>
      </w:r>
    </w:p>
    <w:p w14:paraId="139428C9">
      <w:pPr>
        <w:pStyle w:val="41"/>
        <w:spacing w:line="300" w:lineRule="exact"/>
        <w:ind w:firstLine="550" w:firstLineChars="250"/>
        <w:rPr>
          <w:color w:val="auto"/>
          <w:sz w:val="22"/>
          <w:highlight w:val="none"/>
        </w:rPr>
      </w:pPr>
      <w:r>
        <w:rPr>
          <w:rFonts w:hAnsi="宋体"/>
          <w:color w:val="auto"/>
          <w:sz w:val="22"/>
          <w:highlight w:val="none"/>
        </w:rPr>
        <w:t>人民币（大写）</w:t>
      </w:r>
      <w:r>
        <w:rPr>
          <w:color w:val="auto"/>
          <w:sz w:val="22"/>
          <w:highlight w:val="none"/>
          <w:u w:val="single"/>
        </w:rPr>
        <w:t xml:space="preserve">              </w:t>
      </w:r>
      <w:r>
        <w:rPr>
          <w:color w:val="auto"/>
          <w:sz w:val="22"/>
          <w:highlight w:val="none"/>
        </w:rPr>
        <w:t xml:space="preserve"> </w:t>
      </w:r>
      <w:r>
        <w:rPr>
          <w:rFonts w:hint="eastAsia"/>
          <w:color w:val="auto"/>
          <w:sz w:val="22"/>
          <w:highlight w:val="none"/>
        </w:rPr>
        <w:t>（</w:t>
      </w:r>
      <w:r>
        <w:rPr>
          <w:color w:val="auto"/>
          <w:sz w:val="22"/>
          <w:highlight w:val="none"/>
        </w:rPr>
        <w:t>¥</w:t>
      </w:r>
      <w:r>
        <w:rPr>
          <w:color w:val="auto"/>
          <w:sz w:val="22"/>
          <w:highlight w:val="none"/>
          <w:u w:val="single"/>
        </w:rPr>
        <w:t xml:space="preserve">          </w:t>
      </w:r>
      <w:r>
        <w:rPr>
          <w:rFonts w:hAnsi="宋体"/>
          <w:color w:val="auto"/>
          <w:sz w:val="22"/>
          <w:highlight w:val="none"/>
        </w:rPr>
        <w:t>元</w:t>
      </w:r>
      <w:r>
        <w:rPr>
          <w:rFonts w:hint="eastAsia"/>
          <w:color w:val="auto"/>
          <w:sz w:val="22"/>
          <w:highlight w:val="none"/>
        </w:rPr>
        <w:t>）</w:t>
      </w:r>
      <w:r>
        <w:rPr>
          <w:rFonts w:hAnsi="宋体"/>
          <w:color w:val="auto"/>
          <w:sz w:val="22"/>
          <w:highlight w:val="none"/>
        </w:rPr>
        <w:t>；</w:t>
      </w:r>
    </w:p>
    <w:p w14:paraId="30D08F2E">
      <w:pPr>
        <w:pStyle w:val="41"/>
        <w:spacing w:line="300" w:lineRule="exact"/>
        <w:ind w:firstLine="440" w:firstLineChars="200"/>
        <w:rPr>
          <w:color w:val="auto"/>
          <w:sz w:val="22"/>
          <w:highlight w:val="none"/>
        </w:rPr>
      </w:pPr>
      <w:r>
        <w:rPr>
          <w:rFonts w:hAnsi="宋体"/>
          <w:color w:val="auto"/>
          <w:sz w:val="22"/>
          <w:highlight w:val="none"/>
        </w:rPr>
        <w:t>（</w:t>
      </w:r>
      <w:r>
        <w:rPr>
          <w:color w:val="auto"/>
          <w:sz w:val="22"/>
          <w:highlight w:val="none"/>
        </w:rPr>
        <w:t>3</w:t>
      </w:r>
      <w:r>
        <w:rPr>
          <w:rFonts w:hAnsi="宋体"/>
          <w:color w:val="auto"/>
          <w:sz w:val="22"/>
          <w:highlight w:val="none"/>
        </w:rPr>
        <w:t>）材料和工程设备暂估价金额：</w:t>
      </w:r>
    </w:p>
    <w:p w14:paraId="03482C33">
      <w:pPr>
        <w:pStyle w:val="41"/>
        <w:spacing w:line="300" w:lineRule="exact"/>
        <w:ind w:firstLine="990" w:firstLineChars="450"/>
        <w:rPr>
          <w:color w:val="auto"/>
          <w:sz w:val="22"/>
          <w:highlight w:val="none"/>
        </w:rPr>
      </w:pPr>
      <w:r>
        <w:rPr>
          <w:rFonts w:hAnsi="宋体"/>
          <w:color w:val="auto"/>
          <w:sz w:val="22"/>
          <w:highlight w:val="none"/>
        </w:rPr>
        <w:t>人民币（大写）</w:t>
      </w:r>
      <w:r>
        <w:rPr>
          <w:color w:val="auto"/>
          <w:sz w:val="22"/>
          <w:highlight w:val="none"/>
          <w:u w:val="single"/>
        </w:rPr>
        <w:t xml:space="preserve">              </w:t>
      </w:r>
      <w:r>
        <w:rPr>
          <w:color w:val="auto"/>
          <w:sz w:val="22"/>
          <w:highlight w:val="none"/>
        </w:rPr>
        <w:t xml:space="preserve"> </w:t>
      </w:r>
      <w:r>
        <w:rPr>
          <w:rFonts w:hint="eastAsia"/>
          <w:color w:val="auto"/>
          <w:sz w:val="22"/>
          <w:highlight w:val="none"/>
        </w:rPr>
        <w:t>（</w:t>
      </w:r>
      <w:r>
        <w:rPr>
          <w:color w:val="auto"/>
          <w:sz w:val="22"/>
          <w:highlight w:val="none"/>
        </w:rPr>
        <w:t>¥</w:t>
      </w:r>
      <w:r>
        <w:rPr>
          <w:color w:val="auto"/>
          <w:sz w:val="22"/>
          <w:highlight w:val="none"/>
          <w:u w:val="single"/>
        </w:rPr>
        <w:t xml:space="preserve">          </w:t>
      </w:r>
      <w:r>
        <w:rPr>
          <w:rFonts w:hAnsi="宋体"/>
          <w:color w:val="auto"/>
          <w:sz w:val="22"/>
          <w:highlight w:val="none"/>
        </w:rPr>
        <w:t>元</w:t>
      </w:r>
      <w:r>
        <w:rPr>
          <w:rFonts w:hint="eastAsia"/>
          <w:color w:val="auto"/>
          <w:sz w:val="22"/>
          <w:highlight w:val="none"/>
        </w:rPr>
        <w:t>）</w:t>
      </w:r>
      <w:r>
        <w:rPr>
          <w:rFonts w:hAnsi="宋体"/>
          <w:color w:val="auto"/>
          <w:sz w:val="22"/>
          <w:highlight w:val="none"/>
        </w:rPr>
        <w:t>；</w:t>
      </w:r>
    </w:p>
    <w:p w14:paraId="2DE6A2B3">
      <w:pPr>
        <w:pStyle w:val="41"/>
        <w:spacing w:line="300" w:lineRule="exact"/>
        <w:ind w:firstLine="440" w:firstLineChars="200"/>
        <w:rPr>
          <w:color w:val="auto"/>
          <w:sz w:val="22"/>
          <w:highlight w:val="none"/>
        </w:rPr>
      </w:pPr>
      <w:r>
        <w:rPr>
          <w:rFonts w:hAnsi="宋体"/>
          <w:color w:val="auto"/>
          <w:sz w:val="22"/>
          <w:highlight w:val="none"/>
        </w:rPr>
        <w:t>（</w:t>
      </w:r>
      <w:r>
        <w:rPr>
          <w:color w:val="auto"/>
          <w:sz w:val="22"/>
          <w:highlight w:val="none"/>
        </w:rPr>
        <w:t>4</w:t>
      </w:r>
      <w:r>
        <w:rPr>
          <w:rFonts w:hAnsi="宋体"/>
          <w:color w:val="auto"/>
          <w:sz w:val="22"/>
          <w:highlight w:val="none"/>
        </w:rPr>
        <w:t>）专业工程暂估价金额：</w:t>
      </w:r>
    </w:p>
    <w:p w14:paraId="58861962">
      <w:pPr>
        <w:pStyle w:val="41"/>
        <w:spacing w:line="300" w:lineRule="exact"/>
        <w:ind w:firstLine="990" w:firstLineChars="450"/>
        <w:rPr>
          <w:color w:val="auto"/>
          <w:sz w:val="22"/>
          <w:highlight w:val="none"/>
        </w:rPr>
      </w:pPr>
      <w:r>
        <w:rPr>
          <w:rFonts w:hAnsi="宋体"/>
          <w:color w:val="auto"/>
          <w:sz w:val="22"/>
          <w:highlight w:val="none"/>
        </w:rPr>
        <w:t>人民币（大写）</w:t>
      </w:r>
      <w:r>
        <w:rPr>
          <w:color w:val="auto"/>
          <w:sz w:val="22"/>
          <w:highlight w:val="none"/>
          <w:u w:val="single"/>
        </w:rPr>
        <w:t xml:space="preserve">              </w:t>
      </w:r>
      <w:r>
        <w:rPr>
          <w:color w:val="auto"/>
          <w:sz w:val="22"/>
          <w:highlight w:val="none"/>
        </w:rPr>
        <w:t xml:space="preserve"> </w:t>
      </w:r>
      <w:r>
        <w:rPr>
          <w:rFonts w:hint="eastAsia"/>
          <w:color w:val="auto"/>
          <w:sz w:val="22"/>
          <w:highlight w:val="none"/>
        </w:rPr>
        <w:t>（</w:t>
      </w:r>
      <w:r>
        <w:rPr>
          <w:color w:val="auto"/>
          <w:sz w:val="22"/>
          <w:highlight w:val="none"/>
        </w:rPr>
        <w:t>¥</w:t>
      </w:r>
      <w:r>
        <w:rPr>
          <w:color w:val="auto"/>
          <w:sz w:val="22"/>
          <w:highlight w:val="none"/>
          <w:u w:val="single"/>
        </w:rPr>
        <w:t xml:space="preserve">          </w:t>
      </w:r>
      <w:r>
        <w:rPr>
          <w:rFonts w:hAnsi="宋体"/>
          <w:color w:val="auto"/>
          <w:sz w:val="22"/>
          <w:highlight w:val="none"/>
        </w:rPr>
        <w:t>元</w:t>
      </w:r>
      <w:r>
        <w:rPr>
          <w:rFonts w:hint="eastAsia"/>
          <w:color w:val="auto"/>
          <w:sz w:val="22"/>
          <w:highlight w:val="none"/>
        </w:rPr>
        <w:t>）</w:t>
      </w:r>
      <w:r>
        <w:rPr>
          <w:rFonts w:hAnsi="宋体"/>
          <w:color w:val="auto"/>
          <w:sz w:val="22"/>
          <w:highlight w:val="none"/>
        </w:rPr>
        <w:t>；</w:t>
      </w:r>
    </w:p>
    <w:p w14:paraId="06CE067B">
      <w:pPr>
        <w:pStyle w:val="41"/>
        <w:spacing w:line="300" w:lineRule="exact"/>
        <w:ind w:firstLine="440" w:firstLineChars="200"/>
        <w:rPr>
          <w:color w:val="auto"/>
          <w:sz w:val="22"/>
          <w:highlight w:val="none"/>
        </w:rPr>
      </w:pPr>
      <w:r>
        <w:rPr>
          <w:rFonts w:hAnsi="宋体"/>
          <w:color w:val="auto"/>
          <w:sz w:val="22"/>
          <w:highlight w:val="none"/>
        </w:rPr>
        <w:t>（</w:t>
      </w:r>
      <w:r>
        <w:rPr>
          <w:color w:val="auto"/>
          <w:sz w:val="22"/>
          <w:highlight w:val="none"/>
        </w:rPr>
        <w:t>5</w:t>
      </w:r>
      <w:r>
        <w:rPr>
          <w:rFonts w:hAnsi="宋体"/>
          <w:color w:val="auto"/>
          <w:sz w:val="22"/>
          <w:highlight w:val="none"/>
        </w:rPr>
        <w:t>）暂列金额：</w:t>
      </w:r>
    </w:p>
    <w:p w14:paraId="1070F234">
      <w:pPr>
        <w:pStyle w:val="41"/>
        <w:spacing w:line="300" w:lineRule="exact"/>
        <w:ind w:firstLine="990" w:firstLineChars="450"/>
        <w:rPr>
          <w:color w:val="auto"/>
          <w:sz w:val="22"/>
          <w:highlight w:val="none"/>
        </w:rPr>
      </w:pPr>
      <w:r>
        <w:rPr>
          <w:rFonts w:hAnsi="宋体"/>
          <w:color w:val="auto"/>
          <w:sz w:val="22"/>
          <w:highlight w:val="none"/>
        </w:rPr>
        <w:t>人民币（大写）</w:t>
      </w:r>
      <w:r>
        <w:rPr>
          <w:color w:val="auto"/>
          <w:sz w:val="22"/>
          <w:highlight w:val="none"/>
          <w:u w:val="single"/>
        </w:rPr>
        <w:t xml:space="preserve">              </w:t>
      </w:r>
      <w:r>
        <w:rPr>
          <w:color w:val="auto"/>
          <w:sz w:val="22"/>
          <w:highlight w:val="none"/>
        </w:rPr>
        <w:t xml:space="preserve"> </w:t>
      </w:r>
      <w:r>
        <w:rPr>
          <w:rFonts w:hint="eastAsia"/>
          <w:color w:val="auto"/>
          <w:sz w:val="22"/>
          <w:highlight w:val="none"/>
        </w:rPr>
        <w:t>（</w:t>
      </w:r>
      <w:r>
        <w:rPr>
          <w:color w:val="auto"/>
          <w:sz w:val="22"/>
          <w:highlight w:val="none"/>
        </w:rPr>
        <w:t>¥</w:t>
      </w:r>
      <w:r>
        <w:rPr>
          <w:color w:val="auto"/>
          <w:sz w:val="22"/>
          <w:highlight w:val="none"/>
          <w:u w:val="single"/>
        </w:rPr>
        <w:t xml:space="preserve">          </w:t>
      </w:r>
      <w:r>
        <w:rPr>
          <w:rFonts w:hAnsi="宋体"/>
          <w:color w:val="auto"/>
          <w:sz w:val="22"/>
          <w:highlight w:val="none"/>
        </w:rPr>
        <w:t>元</w:t>
      </w:r>
      <w:r>
        <w:rPr>
          <w:rFonts w:hint="eastAsia"/>
          <w:color w:val="auto"/>
          <w:sz w:val="22"/>
          <w:highlight w:val="none"/>
        </w:rPr>
        <w:t>）</w:t>
      </w:r>
      <w:r>
        <w:rPr>
          <w:rFonts w:hAnsi="宋体"/>
          <w:color w:val="auto"/>
          <w:sz w:val="22"/>
          <w:highlight w:val="none"/>
        </w:rPr>
        <w:t>。</w:t>
      </w:r>
    </w:p>
    <w:p w14:paraId="27922C6D">
      <w:pPr>
        <w:pStyle w:val="41"/>
        <w:spacing w:line="300" w:lineRule="exact"/>
        <w:ind w:firstLine="440" w:firstLineChars="200"/>
        <w:rPr>
          <w:rFonts w:hAnsi="宋体"/>
          <w:color w:val="auto"/>
          <w:sz w:val="22"/>
          <w:highlight w:val="none"/>
        </w:rPr>
      </w:pPr>
      <w:r>
        <w:rPr>
          <w:color w:val="auto"/>
          <w:sz w:val="22"/>
          <w:highlight w:val="none"/>
        </w:rPr>
        <w:t>2.</w:t>
      </w:r>
      <w:r>
        <w:rPr>
          <w:rFonts w:hint="eastAsia"/>
          <w:color w:val="auto"/>
          <w:sz w:val="22"/>
          <w:highlight w:val="none"/>
        </w:rPr>
        <w:t xml:space="preserve"> </w:t>
      </w:r>
      <w:r>
        <w:rPr>
          <w:rFonts w:hAnsi="宋体"/>
          <w:color w:val="auto"/>
          <w:sz w:val="22"/>
          <w:highlight w:val="none"/>
        </w:rPr>
        <w:t>合同价格形式：</w:t>
      </w:r>
      <w:r>
        <w:rPr>
          <w:color w:val="auto"/>
          <w:sz w:val="22"/>
          <w:highlight w:val="none"/>
        </w:rPr>
        <w:t xml:space="preserve">   </w:t>
      </w:r>
      <w:r>
        <w:rPr>
          <w:rFonts w:hAnsi="宋体"/>
          <w:color w:val="auto"/>
          <w:sz w:val="22"/>
          <w:highlight w:val="none"/>
          <w:u w:val="single"/>
        </w:rPr>
        <w:t></w:t>
      </w:r>
      <w:r>
        <w:rPr>
          <w:color w:val="auto"/>
          <w:sz w:val="22"/>
          <w:highlight w:val="none"/>
          <w:u w:val="single"/>
        </w:rPr>
        <w:t xml:space="preserve">               </w:t>
      </w:r>
      <w:r>
        <w:rPr>
          <w:rFonts w:hAnsi="宋体"/>
          <w:color w:val="auto"/>
          <w:sz w:val="22"/>
          <w:highlight w:val="none"/>
        </w:rPr>
        <w:t>。</w:t>
      </w:r>
    </w:p>
    <w:p w14:paraId="2E36D706">
      <w:pPr>
        <w:pStyle w:val="41"/>
        <w:spacing w:line="300" w:lineRule="exact"/>
        <w:ind w:firstLine="442" w:firstLineChars="200"/>
        <w:rPr>
          <w:b/>
          <w:bCs/>
          <w:color w:val="auto"/>
          <w:sz w:val="22"/>
          <w:highlight w:val="none"/>
        </w:rPr>
      </w:pPr>
      <w:bookmarkStart w:id="245" w:name="_Toc351203485"/>
      <w:r>
        <w:rPr>
          <w:rFonts w:hAnsi="宋体"/>
          <w:b/>
          <w:bCs/>
          <w:color w:val="auto"/>
          <w:sz w:val="22"/>
          <w:highlight w:val="none"/>
        </w:rPr>
        <w:t>五、</w:t>
      </w:r>
      <w:bookmarkEnd w:id="245"/>
      <w:r>
        <w:rPr>
          <w:rFonts w:hAnsi="宋体"/>
          <w:b/>
          <w:bCs/>
          <w:color w:val="auto"/>
          <w:sz w:val="22"/>
          <w:highlight w:val="none"/>
        </w:rPr>
        <w:t>项目经理</w:t>
      </w:r>
    </w:p>
    <w:p w14:paraId="0D21FE53">
      <w:pPr>
        <w:pStyle w:val="41"/>
        <w:spacing w:line="300" w:lineRule="exact"/>
        <w:ind w:firstLine="440" w:firstLineChars="200"/>
        <w:rPr>
          <w:rFonts w:hAnsi="宋体"/>
          <w:color w:val="auto"/>
          <w:sz w:val="22"/>
          <w:highlight w:val="none"/>
        </w:rPr>
      </w:pPr>
      <w:r>
        <w:rPr>
          <w:rFonts w:hAnsi="宋体"/>
          <w:color w:val="auto"/>
          <w:sz w:val="22"/>
          <w:highlight w:val="none"/>
        </w:rPr>
        <w:t>承包人项目经理：</w:t>
      </w:r>
      <w:r>
        <w:rPr>
          <w:rFonts w:hAnsi="宋体"/>
          <w:color w:val="auto"/>
          <w:sz w:val="22"/>
          <w:highlight w:val="none"/>
          <w:u w:val="single"/>
        </w:rPr>
        <w:t></w:t>
      </w:r>
      <w:r>
        <w:rPr>
          <w:color w:val="auto"/>
          <w:sz w:val="22"/>
          <w:highlight w:val="none"/>
          <w:u w:val="single"/>
        </w:rPr>
        <w:t xml:space="preserve">                 </w:t>
      </w:r>
      <w:r>
        <w:rPr>
          <w:rFonts w:hAnsi="宋体"/>
          <w:color w:val="auto"/>
          <w:sz w:val="22"/>
          <w:highlight w:val="none"/>
          <w:u w:val="single"/>
        </w:rPr>
        <w:t></w:t>
      </w:r>
      <w:r>
        <w:rPr>
          <w:color w:val="auto"/>
          <w:sz w:val="22"/>
          <w:highlight w:val="none"/>
          <w:u w:val="single"/>
        </w:rPr>
        <w:t xml:space="preserve">    </w:t>
      </w:r>
      <w:r>
        <w:rPr>
          <w:rFonts w:hAnsi="宋体"/>
          <w:color w:val="auto"/>
          <w:sz w:val="22"/>
          <w:highlight w:val="none"/>
          <w:u w:val="single"/>
        </w:rPr>
        <w:t></w:t>
      </w:r>
      <w:r>
        <w:rPr>
          <w:rFonts w:hAnsi="宋体"/>
          <w:color w:val="auto"/>
          <w:sz w:val="22"/>
          <w:highlight w:val="none"/>
        </w:rPr>
        <w:t>。</w:t>
      </w:r>
    </w:p>
    <w:p w14:paraId="2A40645A">
      <w:pPr>
        <w:pStyle w:val="41"/>
        <w:spacing w:line="300" w:lineRule="exact"/>
        <w:ind w:firstLine="442" w:firstLineChars="200"/>
        <w:rPr>
          <w:b/>
          <w:bCs/>
          <w:color w:val="auto"/>
          <w:sz w:val="22"/>
          <w:highlight w:val="none"/>
        </w:rPr>
      </w:pPr>
      <w:bookmarkStart w:id="246" w:name="_Toc351203486"/>
      <w:r>
        <w:rPr>
          <w:rFonts w:hAnsi="宋体"/>
          <w:b/>
          <w:bCs/>
          <w:color w:val="auto"/>
          <w:sz w:val="22"/>
          <w:highlight w:val="none"/>
        </w:rPr>
        <w:t>六、合同文件构成</w:t>
      </w:r>
      <w:bookmarkEnd w:id="246"/>
    </w:p>
    <w:p w14:paraId="4EE5A804">
      <w:pPr>
        <w:pStyle w:val="41"/>
        <w:spacing w:line="300" w:lineRule="exact"/>
        <w:ind w:firstLine="440" w:firstLineChars="200"/>
        <w:rPr>
          <w:bCs/>
          <w:color w:val="auto"/>
          <w:sz w:val="22"/>
          <w:highlight w:val="none"/>
        </w:rPr>
      </w:pPr>
      <w:r>
        <w:rPr>
          <w:rFonts w:hAnsi="宋体"/>
          <w:bCs/>
          <w:color w:val="auto"/>
          <w:sz w:val="22"/>
          <w:highlight w:val="none"/>
        </w:rPr>
        <w:t>本协议书与下列文件一起构成合同文件：</w:t>
      </w:r>
    </w:p>
    <w:p w14:paraId="7211021C">
      <w:pPr>
        <w:pStyle w:val="41"/>
        <w:autoSpaceDE w:val="0"/>
        <w:autoSpaceDN w:val="0"/>
        <w:adjustRightInd w:val="0"/>
        <w:spacing w:line="300" w:lineRule="exact"/>
        <w:ind w:firstLine="440" w:firstLineChars="200"/>
        <w:jc w:val="left"/>
        <w:rPr>
          <w:color w:val="auto"/>
          <w:sz w:val="22"/>
          <w:highlight w:val="none"/>
        </w:rPr>
      </w:pPr>
      <w:r>
        <w:rPr>
          <w:rFonts w:hAnsi="宋体"/>
          <w:color w:val="auto"/>
          <w:sz w:val="22"/>
          <w:highlight w:val="none"/>
        </w:rPr>
        <w:t>（</w:t>
      </w:r>
      <w:r>
        <w:rPr>
          <w:color w:val="auto"/>
          <w:sz w:val="22"/>
          <w:highlight w:val="none"/>
        </w:rPr>
        <w:t>1</w:t>
      </w:r>
      <w:r>
        <w:rPr>
          <w:rFonts w:hAnsi="宋体"/>
          <w:color w:val="auto"/>
          <w:sz w:val="22"/>
          <w:highlight w:val="none"/>
        </w:rPr>
        <w:t>）</w:t>
      </w:r>
      <w:r>
        <w:rPr>
          <w:rFonts w:hint="eastAsia" w:hAnsi="宋体"/>
          <w:color w:val="auto"/>
          <w:sz w:val="22"/>
          <w:highlight w:val="none"/>
        </w:rPr>
        <w:t>成交</w:t>
      </w:r>
      <w:r>
        <w:rPr>
          <w:rFonts w:hint="eastAsia" w:hAnsi="宋体"/>
          <w:color w:val="auto"/>
          <w:sz w:val="22"/>
          <w:highlight w:val="none"/>
          <w:lang w:val="en-US" w:eastAsia="zh-CN"/>
        </w:rPr>
        <w:t>通</w:t>
      </w:r>
      <w:r>
        <w:rPr>
          <w:rFonts w:hAnsi="宋体"/>
          <w:color w:val="auto"/>
          <w:sz w:val="22"/>
          <w:highlight w:val="none"/>
        </w:rPr>
        <w:t>知书；</w:t>
      </w:r>
    </w:p>
    <w:p w14:paraId="542FA6FA">
      <w:pPr>
        <w:pStyle w:val="41"/>
        <w:autoSpaceDE w:val="0"/>
        <w:autoSpaceDN w:val="0"/>
        <w:adjustRightInd w:val="0"/>
        <w:spacing w:line="300" w:lineRule="exact"/>
        <w:ind w:firstLine="440" w:firstLineChars="200"/>
        <w:jc w:val="left"/>
        <w:rPr>
          <w:color w:val="auto"/>
          <w:sz w:val="22"/>
          <w:highlight w:val="none"/>
        </w:rPr>
      </w:pPr>
      <w:r>
        <w:rPr>
          <w:rFonts w:hAnsi="宋体"/>
          <w:color w:val="auto"/>
          <w:sz w:val="22"/>
          <w:highlight w:val="none"/>
        </w:rPr>
        <w:t>（</w:t>
      </w:r>
      <w:r>
        <w:rPr>
          <w:color w:val="auto"/>
          <w:sz w:val="22"/>
          <w:highlight w:val="none"/>
        </w:rPr>
        <w:t>2</w:t>
      </w:r>
      <w:r>
        <w:rPr>
          <w:rFonts w:hAnsi="宋体"/>
          <w:color w:val="auto"/>
          <w:sz w:val="22"/>
          <w:highlight w:val="none"/>
        </w:rPr>
        <w:t>）</w:t>
      </w:r>
      <w:r>
        <w:rPr>
          <w:rFonts w:hint="eastAsia" w:hAnsi="宋体"/>
          <w:color w:val="auto"/>
          <w:sz w:val="22"/>
          <w:highlight w:val="none"/>
        </w:rPr>
        <w:t>磋商</w:t>
      </w:r>
      <w:r>
        <w:rPr>
          <w:rFonts w:hAnsi="宋体"/>
          <w:color w:val="auto"/>
          <w:sz w:val="22"/>
          <w:highlight w:val="none"/>
        </w:rPr>
        <w:t>函及其附录；</w:t>
      </w:r>
      <w:r>
        <w:rPr>
          <w:color w:val="auto"/>
          <w:sz w:val="22"/>
          <w:highlight w:val="none"/>
        </w:rPr>
        <w:t xml:space="preserve"> </w:t>
      </w:r>
    </w:p>
    <w:p w14:paraId="0B8C416B">
      <w:pPr>
        <w:pStyle w:val="41"/>
        <w:autoSpaceDE w:val="0"/>
        <w:autoSpaceDN w:val="0"/>
        <w:adjustRightInd w:val="0"/>
        <w:spacing w:line="300" w:lineRule="exact"/>
        <w:ind w:firstLine="440" w:firstLineChars="200"/>
        <w:jc w:val="left"/>
        <w:rPr>
          <w:color w:val="auto"/>
          <w:sz w:val="22"/>
          <w:highlight w:val="none"/>
        </w:rPr>
      </w:pPr>
      <w:r>
        <w:rPr>
          <w:rFonts w:hAnsi="宋体"/>
          <w:color w:val="auto"/>
          <w:sz w:val="22"/>
          <w:highlight w:val="none"/>
        </w:rPr>
        <w:t>（</w:t>
      </w:r>
      <w:r>
        <w:rPr>
          <w:color w:val="auto"/>
          <w:sz w:val="22"/>
          <w:highlight w:val="none"/>
        </w:rPr>
        <w:t>3</w:t>
      </w:r>
      <w:r>
        <w:rPr>
          <w:rFonts w:hAnsi="宋体"/>
          <w:color w:val="auto"/>
          <w:sz w:val="22"/>
          <w:highlight w:val="none"/>
        </w:rPr>
        <w:t>）专用合同条款及其附件；</w:t>
      </w:r>
    </w:p>
    <w:p w14:paraId="0EDD2013">
      <w:pPr>
        <w:pStyle w:val="41"/>
        <w:autoSpaceDE w:val="0"/>
        <w:autoSpaceDN w:val="0"/>
        <w:adjustRightInd w:val="0"/>
        <w:spacing w:line="300" w:lineRule="exact"/>
        <w:ind w:firstLine="440" w:firstLineChars="200"/>
        <w:jc w:val="left"/>
        <w:rPr>
          <w:color w:val="auto"/>
          <w:sz w:val="22"/>
          <w:highlight w:val="none"/>
        </w:rPr>
      </w:pPr>
      <w:r>
        <w:rPr>
          <w:rFonts w:hAnsi="宋体"/>
          <w:color w:val="auto"/>
          <w:sz w:val="22"/>
          <w:highlight w:val="none"/>
        </w:rPr>
        <w:t>（</w:t>
      </w:r>
      <w:r>
        <w:rPr>
          <w:color w:val="auto"/>
          <w:sz w:val="22"/>
          <w:highlight w:val="none"/>
        </w:rPr>
        <w:t>4</w:t>
      </w:r>
      <w:r>
        <w:rPr>
          <w:rFonts w:hAnsi="宋体"/>
          <w:color w:val="auto"/>
          <w:sz w:val="22"/>
          <w:highlight w:val="none"/>
        </w:rPr>
        <w:t>）通用合同条款；</w:t>
      </w:r>
    </w:p>
    <w:p w14:paraId="4B0D8563">
      <w:pPr>
        <w:pStyle w:val="41"/>
        <w:autoSpaceDE w:val="0"/>
        <w:autoSpaceDN w:val="0"/>
        <w:adjustRightInd w:val="0"/>
        <w:spacing w:line="300" w:lineRule="exact"/>
        <w:ind w:firstLine="440" w:firstLineChars="200"/>
        <w:jc w:val="left"/>
        <w:rPr>
          <w:color w:val="auto"/>
          <w:sz w:val="22"/>
          <w:highlight w:val="none"/>
        </w:rPr>
      </w:pPr>
      <w:r>
        <w:rPr>
          <w:rFonts w:hAnsi="宋体"/>
          <w:color w:val="auto"/>
          <w:sz w:val="22"/>
          <w:highlight w:val="none"/>
        </w:rPr>
        <w:t>（</w:t>
      </w:r>
      <w:r>
        <w:rPr>
          <w:color w:val="auto"/>
          <w:sz w:val="22"/>
          <w:highlight w:val="none"/>
        </w:rPr>
        <w:t>5</w:t>
      </w:r>
      <w:r>
        <w:rPr>
          <w:rFonts w:hAnsi="宋体"/>
          <w:color w:val="auto"/>
          <w:sz w:val="22"/>
          <w:highlight w:val="none"/>
        </w:rPr>
        <w:t>）技术标准和要求；</w:t>
      </w:r>
    </w:p>
    <w:p w14:paraId="65758A8D">
      <w:pPr>
        <w:pStyle w:val="41"/>
        <w:autoSpaceDE w:val="0"/>
        <w:autoSpaceDN w:val="0"/>
        <w:adjustRightInd w:val="0"/>
        <w:spacing w:line="300" w:lineRule="exact"/>
        <w:ind w:firstLine="440" w:firstLineChars="200"/>
        <w:jc w:val="left"/>
        <w:rPr>
          <w:color w:val="auto"/>
          <w:sz w:val="22"/>
          <w:highlight w:val="none"/>
        </w:rPr>
      </w:pPr>
      <w:r>
        <w:rPr>
          <w:rFonts w:hAnsi="宋体"/>
          <w:color w:val="auto"/>
          <w:sz w:val="22"/>
          <w:highlight w:val="none"/>
        </w:rPr>
        <w:t>（</w:t>
      </w:r>
      <w:r>
        <w:rPr>
          <w:color w:val="auto"/>
          <w:sz w:val="22"/>
          <w:highlight w:val="none"/>
        </w:rPr>
        <w:t>6</w:t>
      </w:r>
      <w:r>
        <w:rPr>
          <w:rFonts w:hAnsi="宋体"/>
          <w:color w:val="auto"/>
          <w:sz w:val="22"/>
          <w:highlight w:val="none"/>
        </w:rPr>
        <w:t>）已标价工程量清单或预算书；</w:t>
      </w:r>
      <w:r>
        <w:rPr>
          <w:color w:val="auto"/>
          <w:sz w:val="22"/>
          <w:highlight w:val="none"/>
        </w:rPr>
        <w:t xml:space="preserve"> </w:t>
      </w:r>
    </w:p>
    <w:p w14:paraId="560BA4F0">
      <w:pPr>
        <w:pStyle w:val="41"/>
        <w:autoSpaceDE w:val="0"/>
        <w:autoSpaceDN w:val="0"/>
        <w:adjustRightInd w:val="0"/>
        <w:spacing w:line="300" w:lineRule="exact"/>
        <w:ind w:firstLine="440" w:firstLineChars="200"/>
        <w:jc w:val="left"/>
        <w:rPr>
          <w:color w:val="auto"/>
          <w:sz w:val="22"/>
          <w:highlight w:val="none"/>
        </w:rPr>
      </w:pPr>
      <w:r>
        <w:rPr>
          <w:rFonts w:hAnsi="宋体"/>
          <w:color w:val="auto"/>
          <w:sz w:val="22"/>
          <w:highlight w:val="none"/>
        </w:rPr>
        <w:t>（</w:t>
      </w:r>
      <w:r>
        <w:rPr>
          <w:color w:val="auto"/>
          <w:sz w:val="22"/>
          <w:highlight w:val="none"/>
        </w:rPr>
        <w:t>7</w:t>
      </w:r>
      <w:r>
        <w:rPr>
          <w:rFonts w:hAnsi="宋体"/>
          <w:color w:val="auto"/>
          <w:sz w:val="22"/>
          <w:highlight w:val="none"/>
        </w:rPr>
        <w:t>）图纸；</w:t>
      </w:r>
    </w:p>
    <w:p w14:paraId="379AE73C">
      <w:pPr>
        <w:pStyle w:val="41"/>
        <w:autoSpaceDE w:val="0"/>
        <w:autoSpaceDN w:val="0"/>
        <w:adjustRightInd w:val="0"/>
        <w:spacing w:line="300" w:lineRule="exact"/>
        <w:ind w:firstLine="440" w:firstLineChars="200"/>
        <w:jc w:val="left"/>
        <w:rPr>
          <w:color w:val="auto"/>
          <w:sz w:val="22"/>
          <w:highlight w:val="none"/>
        </w:rPr>
      </w:pPr>
      <w:r>
        <w:rPr>
          <w:rFonts w:hAnsi="宋体"/>
          <w:color w:val="auto"/>
          <w:sz w:val="22"/>
          <w:highlight w:val="none"/>
        </w:rPr>
        <w:t>（</w:t>
      </w:r>
      <w:r>
        <w:rPr>
          <w:color w:val="auto"/>
          <w:sz w:val="22"/>
          <w:highlight w:val="none"/>
        </w:rPr>
        <w:t>8</w:t>
      </w:r>
      <w:r>
        <w:rPr>
          <w:rFonts w:hAnsi="宋体"/>
          <w:color w:val="auto"/>
          <w:sz w:val="22"/>
          <w:highlight w:val="none"/>
        </w:rPr>
        <w:t>）其他合同文件。</w:t>
      </w:r>
    </w:p>
    <w:p w14:paraId="566A4F40">
      <w:pPr>
        <w:pStyle w:val="41"/>
        <w:autoSpaceDE w:val="0"/>
        <w:autoSpaceDN w:val="0"/>
        <w:adjustRightInd w:val="0"/>
        <w:spacing w:line="300" w:lineRule="exact"/>
        <w:ind w:firstLine="440" w:firstLineChars="200"/>
        <w:jc w:val="left"/>
        <w:rPr>
          <w:color w:val="auto"/>
          <w:sz w:val="22"/>
          <w:highlight w:val="none"/>
        </w:rPr>
      </w:pPr>
      <w:r>
        <w:rPr>
          <w:rFonts w:hAnsi="宋体"/>
          <w:color w:val="auto"/>
          <w:sz w:val="22"/>
          <w:highlight w:val="none"/>
        </w:rPr>
        <w:t>在合同订立及履行过程中形成的与合同有关的文件均构成合同文件组成部分。</w:t>
      </w:r>
    </w:p>
    <w:p w14:paraId="26106F94">
      <w:pPr>
        <w:pStyle w:val="41"/>
        <w:autoSpaceDE w:val="0"/>
        <w:autoSpaceDN w:val="0"/>
        <w:adjustRightInd w:val="0"/>
        <w:spacing w:line="300" w:lineRule="exact"/>
        <w:ind w:firstLine="440" w:firstLineChars="200"/>
        <w:jc w:val="left"/>
        <w:rPr>
          <w:rFonts w:hAnsi="宋体"/>
          <w:color w:val="auto"/>
          <w:sz w:val="22"/>
          <w:highlight w:val="none"/>
        </w:rPr>
      </w:pPr>
      <w:r>
        <w:rPr>
          <w:rFonts w:hAnsi="宋体"/>
          <w:color w:val="auto"/>
          <w:sz w:val="22"/>
          <w:highlight w:val="none"/>
        </w:rPr>
        <w:t>上述各项合同文件包括合同当事人就该项合同文件所作出的补充和修改，属于同一类内容的文件，应以最新签署的为准。专用合同条款及其附件须经合同当事人</w:t>
      </w:r>
      <w:r>
        <w:rPr>
          <w:rFonts w:hAnsi="宋体"/>
          <w:color w:val="auto"/>
          <w:sz w:val="22"/>
          <w:szCs w:val="22"/>
          <w:highlight w:val="none"/>
        </w:rPr>
        <w:t>签字</w:t>
      </w:r>
      <w:r>
        <w:rPr>
          <w:rFonts w:hint="eastAsia" w:hAnsi="宋体"/>
          <w:color w:val="auto"/>
          <w:sz w:val="22"/>
          <w:szCs w:val="22"/>
          <w:highlight w:val="none"/>
        </w:rPr>
        <w:t>并加</w:t>
      </w:r>
      <w:r>
        <w:rPr>
          <w:rFonts w:hAnsi="宋体"/>
          <w:color w:val="auto"/>
          <w:sz w:val="22"/>
          <w:szCs w:val="22"/>
          <w:highlight w:val="none"/>
        </w:rPr>
        <w:t>盖</w:t>
      </w:r>
      <w:r>
        <w:rPr>
          <w:rFonts w:hint="eastAsia" w:hAnsi="宋体"/>
          <w:color w:val="auto"/>
          <w:sz w:val="22"/>
          <w:szCs w:val="22"/>
          <w:highlight w:val="none"/>
        </w:rPr>
        <w:t>公</w:t>
      </w:r>
      <w:r>
        <w:rPr>
          <w:rFonts w:hAnsi="宋体"/>
          <w:color w:val="auto"/>
          <w:sz w:val="22"/>
          <w:szCs w:val="22"/>
          <w:highlight w:val="none"/>
        </w:rPr>
        <w:t>章</w:t>
      </w:r>
      <w:r>
        <w:rPr>
          <w:rFonts w:hAnsi="宋体"/>
          <w:color w:val="auto"/>
          <w:sz w:val="22"/>
          <w:highlight w:val="none"/>
        </w:rPr>
        <w:t>。</w:t>
      </w:r>
    </w:p>
    <w:p w14:paraId="1FDF872A">
      <w:pPr>
        <w:pStyle w:val="41"/>
        <w:autoSpaceDE w:val="0"/>
        <w:autoSpaceDN w:val="0"/>
        <w:adjustRightInd w:val="0"/>
        <w:spacing w:line="300" w:lineRule="exact"/>
        <w:ind w:firstLine="442" w:firstLineChars="200"/>
        <w:jc w:val="left"/>
        <w:rPr>
          <w:b/>
          <w:bCs/>
          <w:color w:val="auto"/>
          <w:sz w:val="22"/>
          <w:highlight w:val="none"/>
        </w:rPr>
      </w:pPr>
      <w:bookmarkStart w:id="247" w:name="_Toc351203487"/>
      <w:r>
        <w:rPr>
          <w:rFonts w:hAnsi="宋体"/>
          <w:b/>
          <w:bCs/>
          <w:color w:val="auto"/>
          <w:sz w:val="22"/>
          <w:highlight w:val="none"/>
        </w:rPr>
        <w:t>七、承诺</w:t>
      </w:r>
      <w:bookmarkEnd w:id="247"/>
    </w:p>
    <w:p w14:paraId="356DC7A2">
      <w:pPr>
        <w:pStyle w:val="41"/>
        <w:spacing w:line="300" w:lineRule="exact"/>
        <w:ind w:firstLine="440" w:firstLineChars="200"/>
        <w:rPr>
          <w:bCs/>
          <w:color w:val="auto"/>
          <w:sz w:val="22"/>
          <w:highlight w:val="none"/>
        </w:rPr>
      </w:pPr>
      <w:r>
        <w:rPr>
          <w:bCs/>
          <w:color w:val="auto"/>
          <w:sz w:val="22"/>
          <w:highlight w:val="none"/>
        </w:rPr>
        <w:t>1.</w:t>
      </w:r>
      <w:r>
        <w:rPr>
          <w:rFonts w:hint="eastAsia"/>
          <w:bCs/>
          <w:color w:val="auto"/>
          <w:sz w:val="22"/>
          <w:highlight w:val="none"/>
        </w:rPr>
        <w:t xml:space="preserve"> </w:t>
      </w:r>
      <w:r>
        <w:rPr>
          <w:rFonts w:hAnsi="宋体"/>
          <w:bCs/>
          <w:color w:val="auto"/>
          <w:sz w:val="22"/>
          <w:highlight w:val="none"/>
        </w:rPr>
        <w:t>发包人承诺按照法律规定履行项目审批手续、筹集工程建设资金并按照合同约定的期限和方式支付合同价款。</w:t>
      </w:r>
    </w:p>
    <w:p w14:paraId="6074DDC8">
      <w:pPr>
        <w:pStyle w:val="41"/>
        <w:spacing w:line="300" w:lineRule="exact"/>
        <w:ind w:firstLine="440" w:firstLineChars="200"/>
        <w:rPr>
          <w:bCs/>
          <w:color w:val="auto"/>
          <w:sz w:val="22"/>
          <w:highlight w:val="none"/>
        </w:rPr>
      </w:pPr>
      <w:r>
        <w:rPr>
          <w:bCs/>
          <w:color w:val="auto"/>
          <w:sz w:val="22"/>
          <w:highlight w:val="none"/>
        </w:rPr>
        <w:t>2.</w:t>
      </w:r>
      <w:r>
        <w:rPr>
          <w:rFonts w:hint="eastAsia"/>
          <w:bCs/>
          <w:color w:val="auto"/>
          <w:sz w:val="22"/>
          <w:highlight w:val="none"/>
        </w:rPr>
        <w:t xml:space="preserve"> </w:t>
      </w:r>
      <w:r>
        <w:rPr>
          <w:rFonts w:hAnsi="宋体"/>
          <w:bCs/>
          <w:color w:val="auto"/>
          <w:sz w:val="22"/>
          <w:highlight w:val="none"/>
        </w:rPr>
        <w:t>承包人承诺按照法律规定及合同约定组织完成工程施工，确保工程质量和安全，不进行转包及违法分包，并在缺陷责任期及保修期内承担相应的工程维修责任。</w:t>
      </w:r>
    </w:p>
    <w:p w14:paraId="2F5D2A97">
      <w:pPr>
        <w:pStyle w:val="41"/>
        <w:spacing w:line="300" w:lineRule="exact"/>
        <w:ind w:firstLine="440" w:firstLineChars="200"/>
        <w:rPr>
          <w:rFonts w:hAnsi="宋体"/>
          <w:bCs/>
          <w:color w:val="auto"/>
          <w:sz w:val="22"/>
          <w:highlight w:val="none"/>
        </w:rPr>
      </w:pPr>
      <w:r>
        <w:rPr>
          <w:bCs/>
          <w:color w:val="auto"/>
          <w:sz w:val="22"/>
          <w:highlight w:val="none"/>
        </w:rPr>
        <w:t>3.</w:t>
      </w:r>
      <w:r>
        <w:rPr>
          <w:rFonts w:hint="eastAsia"/>
          <w:bCs/>
          <w:color w:val="auto"/>
          <w:sz w:val="22"/>
          <w:highlight w:val="none"/>
        </w:rPr>
        <w:t xml:space="preserve"> </w:t>
      </w:r>
      <w:r>
        <w:rPr>
          <w:rFonts w:hAnsi="宋体"/>
          <w:bCs/>
          <w:color w:val="auto"/>
          <w:sz w:val="22"/>
          <w:highlight w:val="none"/>
        </w:rPr>
        <w:t>发包人和承包人通过招投标形式签订合同的，双方理解并承诺不再就同一工程另行签订与合同实质性内容相背离的协议。</w:t>
      </w:r>
      <w:bookmarkStart w:id="248" w:name="_Toc351203488"/>
    </w:p>
    <w:p w14:paraId="074372BA">
      <w:pPr>
        <w:pStyle w:val="41"/>
        <w:spacing w:line="300" w:lineRule="exact"/>
        <w:ind w:firstLine="442" w:firstLineChars="200"/>
        <w:rPr>
          <w:b/>
          <w:bCs/>
          <w:color w:val="auto"/>
          <w:sz w:val="22"/>
          <w:highlight w:val="none"/>
        </w:rPr>
      </w:pPr>
      <w:r>
        <w:rPr>
          <w:rFonts w:hAnsi="宋体"/>
          <w:b/>
          <w:bCs/>
          <w:color w:val="auto"/>
          <w:sz w:val="22"/>
          <w:highlight w:val="none"/>
        </w:rPr>
        <w:t>八、词语含义</w:t>
      </w:r>
      <w:bookmarkEnd w:id="248"/>
    </w:p>
    <w:p w14:paraId="5AADA151">
      <w:pPr>
        <w:pStyle w:val="41"/>
        <w:spacing w:line="300" w:lineRule="exact"/>
        <w:ind w:firstLine="440" w:firstLineChars="200"/>
        <w:rPr>
          <w:rFonts w:hAnsi="宋体"/>
          <w:bCs/>
          <w:color w:val="auto"/>
          <w:sz w:val="22"/>
          <w:highlight w:val="none"/>
        </w:rPr>
      </w:pPr>
      <w:r>
        <w:rPr>
          <w:rFonts w:hAnsi="宋体"/>
          <w:bCs/>
          <w:color w:val="auto"/>
          <w:sz w:val="22"/>
          <w:highlight w:val="none"/>
        </w:rPr>
        <w:t>本协议书中词语含义与第二部分通用合同条款中赋予的含义相同。</w:t>
      </w:r>
    </w:p>
    <w:p w14:paraId="548654D6">
      <w:pPr>
        <w:pStyle w:val="41"/>
        <w:spacing w:line="300" w:lineRule="exact"/>
        <w:ind w:firstLine="442" w:firstLineChars="200"/>
        <w:rPr>
          <w:b/>
          <w:bCs/>
          <w:color w:val="auto"/>
          <w:sz w:val="22"/>
          <w:highlight w:val="none"/>
        </w:rPr>
      </w:pPr>
      <w:bookmarkStart w:id="249" w:name="_Toc351203489"/>
      <w:r>
        <w:rPr>
          <w:rFonts w:hAnsi="宋体"/>
          <w:b/>
          <w:bCs/>
          <w:color w:val="auto"/>
          <w:sz w:val="22"/>
          <w:highlight w:val="none"/>
        </w:rPr>
        <w:t>九、签订时间</w:t>
      </w:r>
      <w:bookmarkEnd w:id="249"/>
    </w:p>
    <w:p w14:paraId="1749DF82">
      <w:pPr>
        <w:pStyle w:val="41"/>
        <w:spacing w:line="300" w:lineRule="exact"/>
        <w:ind w:firstLine="440" w:firstLineChars="200"/>
        <w:rPr>
          <w:rFonts w:hAnsi="宋体"/>
          <w:bCs/>
          <w:color w:val="auto"/>
          <w:sz w:val="22"/>
          <w:highlight w:val="none"/>
        </w:rPr>
      </w:pPr>
      <w:r>
        <w:rPr>
          <w:rFonts w:hAnsi="宋体"/>
          <w:bCs/>
          <w:color w:val="auto"/>
          <w:sz w:val="22"/>
          <w:highlight w:val="none"/>
        </w:rPr>
        <w:t>本合同于</w:t>
      </w:r>
      <w:r>
        <w:rPr>
          <w:bCs/>
          <w:color w:val="auto"/>
          <w:sz w:val="22"/>
          <w:highlight w:val="none"/>
          <w:u w:val="single"/>
        </w:rPr>
        <w:t xml:space="preserve">         </w:t>
      </w:r>
      <w:r>
        <w:rPr>
          <w:rFonts w:hAnsi="宋体"/>
          <w:bCs/>
          <w:color w:val="auto"/>
          <w:sz w:val="22"/>
          <w:highlight w:val="none"/>
        </w:rPr>
        <w:t>年</w:t>
      </w:r>
      <w:r>
        <w:rPr>
          <w:bCs/>
          <w:color w:val="auto"/>
          <w:sz w:val="22"/>
          <w:highlight w:val="none"/>
          <w:u w:val="single"/>
        </w:rPr>
        <w:t xml:space="preserve">    </w:t>
      </w:r>
      <w:r>
        <w:rPr>
          <w:rFonts w:hAnsi="宋体"/>
          <w:bCs/>
          <w:color w:val="auto"/>
          <w:sz w:val="22"/>
          <w:highlight w:val="none"/>
        </w:rPr>
        <w:t>月</w:t>
      </w:r>
      <w:r>
        <w:rPr>
          <w:bCs/>
          <w:color w:val="auto"/>
          <w:sz w:val="22"/>
          <w:highlight w:val="none"/>
          <w:u w:val="single"/>
        </w:rPr>
        <w:t xml:space="preserve">    </w:t>
      </w:r>
      <w:r>
        <w:rPr>
          <w:rFonts w:hAnsi="宋体"/>
          <w:bCs/>
          <w:color w:val="auto"/>
          <w:sz w:val="22"/>
          <w:highlight w:val="none"/>
        </w:rPr>
        <w:t>日签订。</w:t>
      </w:r>
    </w:p>
    <w:p w14:paraId="70DF7453">
      <w:pPr>
        <w:pStyle w:val="41"/>
        <w:spacing w:line="300" w:lineRule="exact"/>
        <w:ind w:firstLine="442" w:firstLineChars="200"/>
        <w:rPr>
          <w:b/>
          <w:bCs/>
          <w:color w:val="auto"/>
          <w:sz w:val="22"/>
          <w:highlight w:val="none"/>
        </w:rPr>
      </w:pPr>
      <w:bookmarkStart w:id="250" w:name="_Toc351203490"/>
      <w:r>
        <w:rPr>
          <w:rFonts w:hAnsi="宋体"/>
          <w:b/>
          <w:bCs/>
          <w:color w:val="auto"/>
          <w:sz w:val="22"/>
          <w:highlight w:val="none"/>
        </w:rPr>
        <w:t>十、签订地点</w:t>
      </w:r>
      <w:bookmarkEnd w:id="250"/>
    </w:p>
    <w:p w14:paraId="4F567AA8">
      <w:pPr>
        <w:pStyle w:val="41"/>
        <w:spacing w:line="300" w:lineRule="exact"/>
        <w:ind w:firstLine="440" w:firstLineChars="200"/>
        <w:rPr>
          <w:rFonts w:hAnsi="宋体"/>
          <w:bCs/>
          <w:color w:val="auto"/>
          <w:sz w:val="22"/>
          <w:highlight w:val="none"/>
        </w:rPr>
      </w:pPr>
      <w:r>
        <w:rPr>
          <w:rFonts w:hAnsi="宋体"/>
          <w:bCs/>
          <w:color w:val="auto"/>
          <w:sz w:val="22"/>
          <w:highlight w:val="none"/>
        </w:rPr>
        <w:t>本合同在</w:t>
      </w:r>
      <w:r>
        <w:rPr>
          <w:bCs/>
          <w:color w:val="auto"/>
          <w:sz w:val="22"/>
          <w:highlight w:val="none"/>
          <w:u w:val="single"/>
        </w:rPr>
        <w:t xml:space="preserve">                                    </w:t>
      </w:r>
      <w:r>
        <w:rPr>
          <w:rFonts w:hAnsi="宋体"/>
          <w:bCs/>
          <w:color w:val="auto"/>
          <w:sz w:val="22"/>
          <w:highlight w:val="none"/>
        </w:rPr>
        <w:t>签订。</w:t>
      </w:r>
    </w:p>
    <w:p w14:paraId="12CC3D14">
      <w:pPr>
        <w:pStyle w:val="41"/>
        <w:spacing w:line="300" w:lineRule="exact"/>
        <w:ind w:firstLine="442" w:firstLineChars="200"/>
        <w:rPr>
          <w:b/>
          <w:bCs/>
          <w:color w:val="auto"/>
          <w:sz w:val="22"/>
          <w:highlight w:val="none"/>
        </w:rPr>
      </w:pPr>
      <w:bookmarkStart w:id="251" w:name="_Toc351203491"/>
      <w:r>
        <w:rPr>
          <w:rFonts w:hAnsi="宋体"/>
          <w:b/>
          <w:bCs/>
          <w:color w:val="auto"/>
          <w:sz w:val="22"/>
          <w:highlight w:val="none"/>
        </w:rPr>
        <w:t>十一、补充协议</w:t>
      </w:r>
      <w:bookmarkEnd w:id="251"/>
    </w:p>
    <w:p w14:paraId="05324A98">
      <w:pPr>
        <w:pStyle w:val="41"/>
        <w:spacing w:line="300" w:lineRule="exact"/>
        <w:ind w:firstLine="440" w:firstLineChars="200"/>
        <w:rPr>
          <w:rFonts w:hAnsi="宋体"/>
          <w:bCs/>
          <w:color w:val="auto"/>
          <w:sz w:val="22"/>
          <w:highlight w:val="none"/>
        </w:rPr>
      </w:pPr>
      <w:r>
        <w:rPr>
          <w:rFonts w:hAnsi="宋体"/>
          <w:bCs/>
          <w:color w:val="auto"/>
          <w:sz w:val="22"/>
          <w:highlight w:val="none"/>
        </w:rPr>
        <w:t>合同未尽事宜，合同当事人另行签订补充协议，补充协议是合同的组成部分。</w:t>
      </w:r>
    </w:p>
    <w:p w14:paraId="23F7DB46">
      <w:pPr>
        <w:pStyle w:val="41"/>
        <w:spacing w:line="300" w:lineRule="exact"/>
        <w:ind w:firstLine="442" w:firstLineChars="200"/>
        <w:rPr>
          <w:b/>
          <w:bCs/>
          <w:color w:val="auto"/>
          <w:sz w:val="22"/>
          <w:highlight w:val="none"/>
        </w:rPr>
      </w:pPr>
      <w:bookmarkStart w:id="252" w:name="_Toc351203492"/>
      <w:r>
        <w:rPr>
          <w:rFonts w:hAnsi="宋体"/>
          <w:b/>
          <w:bCs/>
          <w:color w:val="auto"/>
          <w:sz w:val="22"/>
          <w:highlight w:val="none"/>
        </w:rPr>
        <w:t>十二、合同生效</w:t>
      </w:r>
      <w:bookmarkEnd w:id="252"/>
    </w:p>
    <w:p w14:paraId="1627A24E">
      <w:pPr>
        <w:pStyle w:val="41"/>
        <w:spacing w:line="300" w:lineRule="exact"/>
        <w:ind w:firstLine="440" w:firstLineChars="200"/>
        <w:rPr>
          <w:rFonts w:hAnsi="宋体"/>
          <w:bCs/>
          <w:color w:val="auto"/>
          <w:sz w:val="22"/>
          <w:highlight w:val="none"/>
        </w:rPr>
      </w:pPr>
      <w:r>
        <w:rPr>
          <w:rFonts w:hAnsi="宋体"/>
          <w:bCs/>
          <w:color w:val="auto"/>
          <w:sz w:val="22"/>
          <w:highlight w:val="none"/>
        </w:rPr>
        <w:t>本合同自</w:t>
      </w:r>
      <w:r>
        <w:rPr>
          <w:bCs/>
          <w:color w:val="auto"/>
          <w:sz w:val="22"/>
          <w:highlight w:val="none"/>
          <w:u w:val="single"/>
        </w:rPr>
        <w:t xml:space="preserve">                                   </w:t>
      </w:r>
      <w:r>
        <w:rPr>
          <w:rFonts w:hAnsi="宋体"/>
          <w:bCs/>
          <w:color w:val="auto"/>
          <w:sz w:val="22"/>
          <w:highlight w:val="none"/>
        </w:rPr>
        <w:t>生效。</w:t>
      </w:r>
    </w:p>
    <w:p w14:paraId="6856175F">
      <w:pPr>
        <w:pStyle w:val="41"/>
        <w:spacing w:line="300" w:lineRule="exact"/>
        <w:ind w:firstLine="442" w:firstLineChars="200"/>
        <w:rPr>
          <w:b/>
          <w:bCs/>
          <w:color w:val="auto"/>
          <w:sz w:val="22"/>
          <w:highlight w:val="none"/>
        </w:rPr>
      </w:pPr>
      <w:bookmarkStart w:id="253" w:name="_Toc351203493"/>
      <w:r>
        <w:rPr>
          <w:rFonts w:hAnsi="宋体"/>
          <w:b/>
          <w:bCs/>
          <w:color w:val="auto"/>
          <w:sz w:val="22"/>
          <w:highlight w:val="none"/>
        </w:rPr>
        <w:t>十三、合同份数</w:t>
      </w:r>
      <w:bookmarkEnd w:id="253"/>
    </w:p>
    <w:p w14:paraId="0DF30A69">
      <w:pPr>
        <w:pStyle w:val="41"/>
        <w:spacing w:line="300" w:lineRule="exact"/>
        <w:ind w:firstLine="440" w:firstLineChars="200"/>
        <w:rPr>
          <w:bCs/>
          <w:color w:val="auto"/>
          <w:sz w:val="22"/>
          <w:highlight w:val="none"/>
        </w:rPr>
      </w:pPr>
      <w:r>
        <w:rPr>
          <w:rFonts w:hAnsi="宋体"/>
          <w:bCs/>
          <w:color w:val="auto"/>
          <w:sz w:val="22"/>
          <w:highlight w:val="none"/>
        </w:rPr>
        <w:t>本合同一式</w:t>
      </w:r>
      <w:r>
        <w:rPr>
          <w:bCs/>
          <w:color w:val="auto"/>
          <w:sz w:val="22"/>
          <w:highlight w:val="none"/>
          <w:u w:val="single"/>
        </w:rPr>
        <w:t xml:space="preserve">    </w:t>
      </w:r>
      <w:r>
        <w:rPr>
          <w:rFonts w:hAnsi="宋体"/>
          <w:bCs/>
          <w:color w:val="auto"/>
          <w:sz w:val="22"/>
          <w:highlight w:val="none"/>
        </w:rPr>
        <w:t>份，均具有同等法律效力，发包人执</w:t>
      </w:r>
      <w:r>
        <w:rPr>
          <w:bCs/>
          <w:color w:val="auto"/>
          <w:sz w:val="22"/>
          <w:highlight w:val="none"/>
          <w:u w:val="single"/>
        </w:rPr>
        <w:t xml:space="preserve">    </w:t>
      </w:r>
      <w:r>
        <w:rPr>
          <w:rFonts w:hAnsi="宋体"/>
          <w:bCs/>
          <w:color w:val="auto"/>
          <w:sz w:val="22"/>
          <w:highlight w:val="none"/>
        </w:rPr>
        <w:t>份，承包人执</w:t>
      </w:r>
      <w:r>
        <w:rPr>
          <w:bCs/>
          <w:color w:val="auto"/>
          <w:sz w:val="22"/>
          <w:highlight w:val="none"/>
          <w:u w:val="single"/>
        </w:rPr>
        <w:t xml:space="preserve">    </w:t>
      </w:r>
      <w:r>
        <w:rPr>
          <w:rFonts w:hAnsi="宋体"/>
          <w:bCs/>
          <w:color w:val="auto"/>
          <w:sz w:val="22"/>
          <w:highlight w:val="none"/>
        </w:rPr>
        <w:t>份。</w:t>
      </w:r>
    </w:p>
    <w:p w14:paraId="65363515">
      <w:pPr>
        <w:pStyle w:val="41"/>
        <w:spacing w:line="300" w:lineRule="exact"/>
        <w:rPr>
          <w:bCs/>
          <w:color w:val="auto"/>
          <w:sz w:val="22"/>
          <w:highlight w:val="none"/>
        </w:rPr>
      </w:pPr>
    </w:p>
    <w:p w14:paraId="01250DE4">
      <w:pPr>
        <w:pStyle w:val="41"/>
        <w:spacing w:line="300" w:lineRule="exact"/>
        <w:rPr>
          <w:bCs/>
          <w:color w:val="auto"/>
          <w:sz w:val="22"/>
          <w:highlight w:val="none"/>
        </w:rPr>
      </w:pPr>
    </w:p>
    <w:p w14:paraId="39B59FEC">
      <w:pPr>
        <w:pStyle w:val="41"/>
        <w:spacing w:line="300" w:lineRule="exact"/>
        <w:rPr>
          <w:bCs/>
          <w:color w:val="auto"/>
          <w:sz w:val="22"/>
          <w:highlight w:val="none"/>
        </w:rPr>
      </w:pPr>
    </w:p>
    <w:p w14:paraId="7E846FF0">
      <w:pPr>
        <w:pStyle w:val="41"/>
        <w:spacing w:line="300" w:lineRule="exact"/>
        <w:rPr>
          <w:color w:val="auto"/>
          <w:sz w:val="22"/>
          <w:highlight w:val="none"/>
        </w:rPr>
      </w:pPr>
      <w:r>
        <w:rPr>
          <w:rFonts w:hAnsi="宋体"/>
          <w:color w:val="auto"/>
          <w:sz w:val="22"/>
          <w:highlight w:val="none"/>
        </w:rPr>
        <w:t>发包人：</w:t>
      </w:r>
      <w:r>
        <w:rPr>
          <w:color w:val="auto"/>
          <w:sz w:val="22"/>
          <w:highlight w:val="none"/>
        </w:rPr>
        <w:t xml:space="preserve">  </w:t>
      </w:r>
      <w:r>
        <w:rPr>
          <w:rFonts w:hint="eastAsia"/>
          <w:color w:val="auto"/>
          <w:sz w:val="22"/>
          <w:highlight w:val="none"/>
        </w:rPr>
        <w:t>（盖</w:t>
      </w:r>
      <w:r>
        <w:rPr>
          <w:rFonts w:hAnsi="宋体"/>
          <w:color w:val="auto"/>
          <w:sz w:val="22"/>
          <w:highlight w:val="none"/>
        </w:rPr>
        <w:t>章</w:t>
      </w:r>
      <w:r>
        <w:rPr>
          <w:rFonts w:hint="eastAsia"/>
          <w:color w:val="auto"/>
          <w:sz w:val="22"/>
          <w:highlight w:val="none"/>
        </w:rPr>
        <w:t>）</w:t>
      </w:r>
      <w:r>
        <w:rPr>
          <w:color w:val="auto"/>
          <w:sz w:val="22"/>
          <w:highlight w:val="none"/>
        </w:rPr>
        <w:t xml:space="preserve">                              </w:t>
      </w:r>
      <w:r>
        <w:rPr>
          <w:rFonts w:hAnsi="宋体"/>
          <w:color w:val="auto"/>
          <w:sz w:val="22"/>
          <w:highlight w:val="none"/>
        </w:rPr>
        <w:t>承包人：</w:t>
      </w:r>
      <w:r>
        <w:rPr>
          <w:color w:val="auto"/>
          <w:sz w:val="22"/>
          <w:highlight w:val="none"/>
        </w:rPr>
        <w:t xml:space="preserve">  </w:t>
      </w:r>
      <w:r>
        <w:rPr>
          <w:rFonts w:hint="eastAsia"/>
          <w:color w:val="auto"/>
          <w:sz w:val="22"/>
          <w:highlight w:val="none"/>
        </w:rPr>
        <w:t>（盖</w:t>
      </w:r>
      <w:r>
        <w:rPr>
          <w:rFonts w:hAnsi="宋体"/>
          <w:color w:val="auto"/>
          <w:sz w:val="22"/>
          <w:highlight w:val="none"/>
        </w:rPr>
        <w:t>章</w:t>
      </w:r>
      <w:r>
        <w:rPr>
          <w:rFonts w:hint="eastAsia"/>
          <w:color w:val="auto"/>
          <w:sz w:val="22"/>
          <w:highlight w:val="none"/>
        </w:rPr>
        <w:t>）</w:t>
      </w:r>
    </w:p>
    <w:p w14:paraId="20E2F693">
      <w:pPr>
        <w:pStyle w:val="41"/>
        <w:spacing w:line="300" w:lineRule="exact"/>
        <w:rPr>
          <w:color w:val="auto"/>
          <w:sz w:val="22"/>
          <w:highlight w:val="none"/>
          <w:u w:val="single"/>
        </w:rPr>
      </w:pPr>
      <w:r>
        <w:rPr>
          <w:color w:val="auto"/>
          <w:sz w:val="22"/>
          <w:highlight w:val="none"/>
        </w:rPr>
        <w:t xml:space="preserve">                                 </w:t>
      </w:r>
    </w:p>
    <w:p w14:paraId="66DCB757">
      <w:pPr>
        <w:pStyle w:val="41"/>
        <w:spacing w:line="300" w:lineRule="exact"/>
        <w:rPr>
          <w:color w:val="auto"/>
          <w:sz w:val="22"/>
          <w:highlight w:val="none"/>
        </w:rPr>
      </w:pPr>
      <w:r>
        <w:rPr>
          <w:rFonts w:hAnsi="宋体"/>
          <w:color w:val="auto"/>
          <w:sz w:val="22"/>
          <w:highlight w:val="none"/>
        </w:rPr>
        <w:t>法定代表人或其委托代理人：</w:t>
      </w:r>
      <w:r>
        <w:rPr>
          <w:color w:val="auto"/>
          <w:sz w:val="22"/>
          <w:highlight w:val="none"/>
        </w:rPr>
        <w:t xml:space="preserve">                    </w:t>
      </w:r>
      <w:r>
        <w:rPr>
          <w:rFonts w:hAnsi="宋体"/>
          <w:color w:val="auto"/>
          <w:sz w:val="22"/>
          <w:highlight w:val="none"/>
        </w:rPr>
        <w:t>法定代表人或其委托代理人：</w:t>
      </w:r>
    </w:p>
    <w:p w14:paraId="7EE5D357">
      <w:pPr>
        <w:pStyle w:val="41"/>
        <w:spacing w:line="300" w:lineRule="exact"/>
        <w:rPr>
          <w:color w:val="auto"/>
          <w:sz w:val="22"/>
          <w:highlight w:val="none"/>
        </w:rPr>
      </w:pPr>
      <w:r>
        <w:rPr>
          <w:rFonts w:hAnsi="宋体"/>
          <w:color w:val="auto"/>
          <w:sz w:val="22"/>
          <w:highlight w:val="none"/>
        </w:rPr>
        <w:t>（签字）</w:t>
      </w:r>
      <w:r>
        <w:rPr>
          <w:color w:val="auto"/>
          <w:sz w:val="22"/>
          <w:highlight w:val="none"/>
        </w:rPr>
        <w:t xml:space="preserve">                                     </w:t>
      </w:r>
      <w:r>
        <w:rPr>
          <w:rFonts w:hAnsi="宋体"/>
          <w:color w:val="auto"/>
          <w:sz w:val="22"/>
          <w:highlight w:val="none"/>
        </w:rPr>
        <w:t>（签字）</w:t>
      </w:r>
    </w:p>
    <w:p w14:paraId="6D05C247">
      <w:pPr>
        <w:pStyle w:val="41"/>
        <w:spacing w:line="300" w:lineRule="exact"/>
        <w:rPr>
          <w:color w:val="auto"/>
          <w:sz w:val="22"/>
          <w:highlight w:val="none"/>
          <w:u w:val="single"/>
        </w:rPr>
      </w:pPr>
    </w:p>
    <w:p w14:paraId="1CC809AB">
      <w:pPr>
        <w:pStyle w:val="41"/>
        <w:tabs>
          <w:tab w:val="left" w:pos="4410"/>
        </w:tabs>
        <w:spacing w:line="300" w:lineRule="exact"/>
        <w:rPr>
          <w:color w:val="auto"/>
          <w:sz w:val="22"/>
          <w:highlight w:val="none"/>
        </w:rPr>
      </w:pPr>
      <w:r>
        <w:rPr>
          <w:rFonts w:hAnsi="宋体"/>
          <w:color w:val="auto"/>
          <w:sz w:val="22"/>
          <w:highlight w:val="none"/>
        </w:rPr>
        <w:t>组织机构代码：</w:t>
      </w:r>
      <w:r>
        <w:rPr>
          <w:rFonts w:hAnsi="宋体"/>
          <w:color w:val="auto"/>
          <w:sz w:val="22"/>
          <w:highlight w:val="none"/>
          <w:u w:val="single"/>
        </w:rPr>
        <w:t></w:t>
      </w:r>
      <w:r>
        <w:rPr>
          <w:color w:val="auto"/>
          <w:sz w:val="22"/>
          <w:highlight w:val="none"/>
          <w:u w:val="single"/>
        </w:rPr>
        <w:t xml:space="preserve">  </w:t>
      </w:r>
      <w:r>
        <w:rPr>
          <w:rFonts w:hAnsi="宋体"/>
          <w:color w:val="auto"/>
          <w:sz w:val="22"/>
          <w:highlight w:val="none"/>
          <w:u w:val="single"/>
        </w:rPr>
        <w:t></w:t>
      </w:r>
      <w:r>
        <w:rPr>
          <w:color w:val="auto"/>
          <w:sz w:val="22"/>
          <w:highlight w:val="none"/>
          <w:u w:val="single"/>
        </w:rPr>
        <w:t xml:space="preserve">     </w:t>
      </w:r>
      <w:r>
        <w:rPr>
          <w:color w:val="auto"/>
          <w:sz w:val="22"/>
          <w:highlight w:val="none"/>
        </w:rPr>
        <w:t xml:space="preserve">                  </w:t>
      </w:r>
      <w:r>
        <w:rPr>
          <w:rFonts w:hAnsi="宋体"/>
          <w:color w:val="auto"/>
          <w:sz w:val="22"/>
          <w:highlight w:val="none"/>
        </w:rPr>
        <w:t>组织机构代码：</w:t>
      </w:r>
      <w:r>
        <w:rPr>
          <w:rFonts w:hAnsi="宋体"/>
          <w:color w:val="auto"/>
          <w:sz w:val="22"/>
          <w:highlight w:val="none"/>
          <w:u w:val="single"/>
        </w:rPr>
        <w:t></w:t>
      </w:r>
      <w:r>
        <w:rPr>
          <w:color w:val="auto"/>
          <w:sz w:val="22"/>
          <w:highlight w:val="none"/>
          <w:u w:val="single"/>
        </w:rPr>
        <w:t xml:space="preserve">  </w:t>
      </w:r>
      <w:r>
        <w:rPr>
          <w:rFonts w:hAnsi="宋体"/>
          <w:color w:val="auto"/>
          <w:sz w:val="22"/>
          <w:highlight w:val="none"/>
          <w:u w:val="single"/>
        </w:rPr>
        <w:t></w:t>
      </w:r>
      <w:r>
        <w:rPr>
          <w:color w:val="auto"/>
          <w:sz w:val="22"/>
          <w:highlight w:val="none"/>
          <w:u w:val="single"/>
        </w:rPr>
        <w:t xml:space="preserve">        </w:t>
      </w:r>
      <w:r>
        <w:rPr>
          <w:color w:val="auto"/>
          <w:sz w:val="22"/>
          <w:highlight w:val="none"/>
        </w:rPr>
        <w:t xml:space="preserve"> </w:t>
      </w:r>
    </w:p>
    <w:p w14:paraId="0231587D">
      <w:pPr>
        <w:pStyle w:val="41"/>
        <w:spacing w:line="300" w:lineRule="exact"/>
        <w:rPr>
          <w:color w:val="auto"/>
          <w:sz w:val="22"/>
          <w:highlight w:val="none"/>
        </w:rPr>
      </w:pPr>
      <w:r>
        <w:rPr>
          <w:rFonts w:hAnsi="宋体"/>
          <w:color w:val="auto"/>
          <w:sz w:val="22"/>
          <w:highlight w:val="none"/>
        </w:rPr>
        <w:t>地</w:t>
      </w:r>
      <w:r>
        <w:rPr>
          <w:color w:val="auto"/>
          <w:sz w:val="22"/>
          <w:highlight w:val="none"/>
        </w:rPr>
        <w:t xml:space="preserve">  </w:t>
      </w:r>
      <w:r>
        <w:rPr>
          <w:rFonts w:hAnsi="宋体"/>
          <w:color w:val="auto"/>
          <w:sz w:val="22"/>
          <w:highlight w:val="none"/>
        </w:rPr>
        <w:t>址：</w:t>
      </w:r>
      <w:r>
        <w:rPr>
          <w:color w:val="auto"/>
          <w:sz w:val="22"/>
          <w:highlight w:val="none"/>
          <w:u w:val="single"/>
        </w:rPr>
        <w:t xml:space="preserve"> </w:t>
      </w:r>
      <w:r>
        <w:rPr>
          <w:rFonts w:hAnsi="宋体"/>
          <w:color w:val="auto"/>
          <w:sz w:val="22"/>
          <w:highlight w:val="none"/>
          <w:u w:val="single"/>
        </w:rPr>
        <w:t></w:t>
      </w:r>
      <w:r>
        <w:rPr>
          <w:color w:val="auto"/>
          <w:sz w:val="22"/>
          <w:highlight w:val="none"/>
          <w:u w:val="single"/>
        </w:rPr>
        <w:t xml:space="preserve">    </w:t>
      </w:r>
      <w:r>
        <w:rPr>
          <w:color w:val="auto"/>
          <w:sz w:val="22"/>
          <w:highlight w:val="none"/>
        </w:rPr>
        <w:t xml:space="preserve">                  </w:t>
      </w:r>
      <w:r>
        <w:rPr>
          <w:rFonts w:hAnsi="宋体"/>
          <w:color w:val="auto"/>
          <w:sz w:val="22"/>
          <w:highlight w:val="none"/>
        </w:rPr>
        <w:t>地</w:t>
      </w:r>
      <w:r>
        <w:rPr>
          <w:color w:val="auto"/>
          <w:sz w:val="22"/>
          <w:highlight w:val="none"/>
        </w:rPr>
        <w:t xml:space="preserve">  </w:t>
      </w:r>
      <w:r>
        <w:rPr>
          <w:rFonts w:hAnsi="宋体"/>
          <w:color w:val="auto"/>
          <w:sz w:val="22"/>
          <w:highlight w:val="none"/>
        </w:rPr>
        <w:t>址：</w:t>
      </w:r>
      <w:r>
        <w:rPr>
          <w:rFonts w:hAnsi="宋体"/>
          <w:color w:val="auto"/>
          <w:sz w:val="22"/>
          <w:highlight w:val="none"/>
          <w:u w:val="single"/>
        </w:rPr>
        <w:t></w:t>
      </w:r>
      <w:r>
        <w:rPr>
          <w:color w:val="auto"/>
          <w:sz w:val="22"/>
          <w:highlight w:val="none"/>
          <w:u w:val="single"/>
        </w:rPr>
        <w:t xml:space="preserve"> </w:t>
      </w:r>
      <w:r>
        <w:rPr>
          <w:rFonts w:hAnsi="宋体"/>
          <w:color w:val="auto"/>
          <w:sz w:val="22"/>
          <w:highlight w:val="none"/>
          <w:u w:val="single"/>
        </w:rPr>
        <w:t></w:t>
      </w:r>
      <w:r>
        <w:rPr>
          <w:color w:val="auto"/>
          <w:sz w:val="22"/>
          <w:highlight w:val="none"/>
          <w:u w:val="single"/>
        </w:rPr>
        <w:t xml:space="preserve"> </w:t>
      </w:r>
      <w:r>
        <w:rPr>
          <w:rFonts w:hAnsi="宋体"/>
          <w:color w:val="auto"/>
          <w:sz w:val="22"/>
          <w:highlight w:val="none"/>
          <w:u w:val="single"/>
        </w:rPr>
        <w:t></w:t>
      </w:r>
      <w:r>
        <w:rPr>
          <w:color w:val="auto"/>
          <w:sz w:val="22"/>
          <w:highlight w:val="none"/>
          <w:u w:val="single"/>
        </w:rPr>
        <w:t xml:space="preserve">      </w:t>
      </w:r>
    </w:p>
    <w:p w14:paraId="3EA95F0D">
      <w:pPr>
        <w:pStyle w:val="41"/>
        <w:spacing w:line="300" w:lineRule="exact"/>
        <w:rPr>
          <w:color w:val="auto"/>
          <w:sz w:val="22"/>
          <w:highlight w:val="none"/>
        </w:rPr>
      </w:pPr>
      <w:r>
        <w:rPr>
          <w:rFonts w:hAnsi="宋体"/>
          <w:color w:val="auto"/>
          <w:sz w:val="22"/>
          <w:highlight w:val="none"/>
        </w:rPr>
        <w:t>邮政编码：</w:t>
      </w:r>
      <w:r>
        <w:rPr>
          <w:color w:val="auto"/>
          <w:sz w:val="22"/>
          <w:highlight w:val="none"/>
          <w:u w:val="single"/>
        </w:rPr>
        <w:t xml:space="preserve"> </w:t>
      </w:r>
      <w:r>
        <w:rPr>
          <w:rFonts w:hAnsi="宋体"/>
          <w:color w:val="auto"/>
          <w:sz w:val="22"/>
          <w:highlight w:val="none"/>
          <w:u w:val="single"/>
        </w:rPr>
        <w:t></w:t>
      </w:r>
      <w:r>
        <w:rPr>
          <w:color w:val="auto"/>
          <w:sz w:val="22"/>
          <w:highlight w:val="none"/>
          <w:u w:val="single"/>
        </w:rPr>
        <w:t xml:space="preserve"> </w:t>
      </w:r>
      <w:r>
        <w:rPr>
          <w:rFonts w:hAnsi="宋体"/>
          <w:color w:val="auto"/>
          <w:sz w:val="22"/>
          <w:highlight w:val="none"/>
          <w:u w:val="single"/>
        </w:rPr>
        <w:t></w:t>
      </w:r>
      <w:r>
        <w:rPr>
          <w:color w:val="auto"/>
          <w:sz w:val="22"/>
          <w:highlight w:val="none"/>
          <w:u w:val="single"/>
        </w:rPr>
        <w:t xml:space="preserve">    </w:t>
      </w:r>
      <w:r>
        <w:rPr>
          <w:color w:val="auto"/>
          <w:sz w:val="22"/>
          <w:highlight w:val="none"/>
        </w:rPr>
        <w:t xml:space="preserve">                 </w:t>
      </w:r>
      <w:r>
        <w:rPr>
          <w:rFonts w:hAnsi="宋体"/>
          <w:color w:val="auto"/>
          <w:sz w:val="22"/>
          <w:highlight w:val="none"/>
        </w:rPr>
        <w:t>邮政编码：</w:t>
      </w:r>
      <w:r>
        <w:rPr>
          <w:rFonts w:hAnsi="宋体"/>
          <w:color w:val="auto"/>
          <w:sz w:val="22"/>
          <w:highlight w:val="none"/>
          <w:u w:val="single"/>
        </w:rPr>
        <w:t></w:t>
      </w:r>
      <w:r>
        <w:rPr>
          <w:color w:val="auto"/>
          <w:sz w:val="22"/>
          <w:highlight w:val="none"/>
          <w:u w:val="single"/>
        </w:rPr>
        <w:t xml:space="preserve">   </w:t>
      </w:r>
    </w:p>
    <w:p w14:paraId="06BE3F55">
      <w:pPr>
        <w:pStyle w:val="41"/>
        <w:spacing w:line="300" w:lineRule="exact"/>
        <w:rPr>
          <w:color w:val="auto"/>
          <w:sz w:val="22"/>
          <w:highlight w:val="none"/>
        </w:rPr>
      </w:pPr>
      <w:r>
        <w:rPr>
          <w:rFonts w:hAnsi="宋体"/>
          <w:color w:val="auto"/>
          <w:sz w:val="22"/>
          <w:highlight w:val="none"/>
        </w:rPr>
        <w:t>法定代表人：</w:t>
      </w:r>
      <w:r>
        <w:rPr>
          <w:rFonts w:hAnsi="宋体"/>
          <w:color w:val="auto"/>
          <w:sz w:val="22"/>
          <w:highlight w:val="none"/>
          <w:u w:val="single"/>
        </w:rPr>
        <w:t></w:t>
      </w:r>
      <w:r>
        <w:rPr>
          <w:color w:val="auto"/>
          <w:sz w:val="22"/>
          <w:highlight w:val="none"/>
          <w:u w:val="single"/>
        </w:rPr>
        <w:t xml:space="preserve">     </w:t>
      </w:r>
      <w:r>
        <w:rPr>
          <w:rFonts w:hAnsi="宋体"/>
          <w:color w:val="auto"/>
          <w:sz w:val="22"/>
          <w:highlight w:val="none"/>
          <w:u w:val="single"/>
        </w:rPr>
        <w:t></w:t>
      </w:r>
      <w:r>
        <w:rPr>
          <w:color w:val="auto"/>
          <w:sz w:val="22"/>
          <w:highlight w:val="none"/>
          <w:u w:val="single"/>
        </w:rPr>
        <w:t xml:space="preserve">      </w:t>
      </w:r>
      <w:r>
        <w:rPr>
          <w:color w:val="auto"/>
          <w:sz w:val="22"/>
          <w:highlight w:val="none"/>
        </w:rPr>
        <w:t xml:space="preserve">                  </w:t>
      </w:r>
      <w:r>
        <w:rPr>
          <w:rFonts w:hAnsi="宋体"/>
          <w:color w:val="auto"/>
          <w:sz w:val="22"/>
          <w:highlight w:val="none"/>
        </w:rPr>
        <w:t>法定代表人：</w:t>
      </w:r>
      <w:r>
        <w:rPr>
          <w:rFonts w:hAnsi="宋体"/>
          <w:color w:val="auto"/>
          <w:sz w:val="22"/>
          <w:highlight w:val="none"/>
          <w:u w:val="single"/>
        </w:rPr>
        <w:t></w:t>
      </w:r>
      <w:r>
        <w:rPr>
          <w:color w:val="auto"/>
          <w:sz w:val="22"/>
          <w:highlight w:val="none"/>
          <w:u w:val="single"/>
        </w:rPr>
        <w:t xml:space="preserve">      </w:t>
      </w:r>
      <w:r>
        <w:rPr>
          <w:rFonts w:hAnsi="宋体"/>
          <w:color w:val="auto"/>
          <w:sz w:val="22"/>
          <w:highlight w:val="none"/>
          <w:u w:val="single"/>
        </w:rPr>
        <w:t></w:t>
      </w:r>
      <w:r>
        <w:rPr>
          <w:color w:val="auto"/>
          <w:sz w:val="22"/>
          <w:highlight w:val="none"/>
          <w:u w:val="single"/>
        </w:rPr>
        <w:t xml:space="preserve">       </w:t>
      </w:r>
    </w:p>
    <w:p w14:paraId="12A35FAA">
      <w:pPr>
        <w:pStyle w:val="41"/>
        <w:spacing w:line="300" w:lineRule="exact"/>
        <w:rPr>
          <w:color w:val="auto"/>
          <w:sz w:val="22"/>
          <w:highlight w:val="none"/>
        </w:rPr>
      </w:pPr>
      <w:r>
        <w:rPr>
          <w:rFonts w:hAnsi="宋体"/>
          <w:color w:val="auto"/>
          <w:sz w:val="22"/>
          <w:highlight w:val="none"/>
        </w:rPr>
        <w:t>委托代理人：</w:t>
      </w:r>
      <w:r>
        <w:rPr>
          <w:rFonts w:hAnsi="宋体"/>
          <w:color w:val="auto"/>
          <w:sz w:val="22"/>
          <w:highlight w:val="none"/>
          <w:u w:val="single"/>
        </w:rPr>
        <w:t></w:t>
      </w:r>
      <w:r>
        <w:rPr>
          <w:color w:val="auto"/>
          <w:sz w:val="22"/>
          <w:highlight w:val="none"/>
          <w:u w:val="single"/>
        </w:rPr>
        <w:t xml:space="preserve">           </w:t>
      </w:r>
      <w:r>
        <w:rPr>
          <w:color w:val="auto"/>
          <w:sz w:val="22"/>
          <w:highlight w:val="none"/>
        </w:rPr>
        <w:t xml:space="preserve">                  </w:t>
      </w:r>
      <w:r>
        <w:rPr>
          <w:rFonts w:hAnsi="宋体"/>
          <w:color w:val="auto"/>
          <w:sz w:val="22"/>
          <w:highlight w:val="none"/>
        </w:rPr>
        <w:t>委托代理人：</w:t>
      </w:r>
      <w:r>
        <w:rPr>
          <w:rFonts w:hAnsi="宋体"/>
          <w:color w:val="auto"/>
          <w:sz w:val="22"/>
          <w:highlight w:val="none"/>
          <w:u w:val="single"/>
        </w:rPr>
        <w:t></w:t>
      </w:r>
      <w:r>
        <w:rPr>
          <w:color w:val="auto"/>
          <w:sz w:val="22"/>
          <w:highlight w:val="none"/>
          <w:u w:val="single"/>
        </w:rPr>
        <w:t xml:space="preserve">             </w:t>
      </w:r>
    </w:p>
    <w:p w14:paraId="732452ED">
      <w:pPr>
        <w:pStyle w:val="41"/>
        <w:spacing w:line="300" w:lineRule="exact"/>
        <w:rPr>
          <w:color w:val="auto"/>
          <w:sz w:val="22"/>
          <w:highlight w:val="none"/>
        </w:rPr>
      </w:pPr>
      <w:r>
        <w:rPr>
          <w:rFonts w:hAnsi="宋体"/>
          <w:color w:val="auto"/>
          <w:sz w:val="22"/>
          <w:highlight w:val="none"/>
        </w:rPr>
        <w:t>电</w:t>
      </w:r>
      <w:r>
        <w:rPr>
          <w:color w:val="auto"/>
          <w:sz w:val="22"/>
          <w:highlight w:val="none"/>
        </w:rPr>
        <w:t xml:space="preserve">  </w:t>
      </w:r>
      <w:r>
        <w:rPr>
          <w:rFonts w:hAnsi="宋体"/>
          <w:color w:val="auto"/>
          <w:sz w:val="22"/>
          <w:highlight w:val="none"/>
        </w:rPr>
        <w:t>话：</w:t>
      </w:r>
      <w:r>
        <w:rPr>
          <w:rFonts w:hAnsi="宋体"/>
          <w:color w:val="auto"/>
          <w:sz w:val="22"/>
          <w:highlight w:val="none"/>
          <w:u w:val="single"/>
        </w:rPr>
        <w:t></w:t>
      </w:r>
      <w:r>
        <w:rPr>
          <w:color w:val="auto"/>
          <w:sz w:val="22"/>
          <w:highlight w:val="none"/>
          <w:u w:val="single"/>
        </w:rPr>
        <w:t xml:space="preserve">   </w:t>
      </w:r>
      <w:r>
        <w:rPr>
          <w:color w:val="auto"/>
          <w:sz w:val="22"/>
          <w:highlight w:val="none"/>
        </w:rPr>
        <w:t xml:space="preserve">                  </w:t>
      </w:r>
      <w:r>
        <w:rPr>
          <w:rFonts w:hAnsi="宋体"/>
          <w:color w:val="auto"/>
          <w:sz w:val="22"/>
          <w:highlight w:val="none"/>
        </w:rPr>
        <w:t>电</w:t>
      </w:r>
      <w:r>
        <w:rPr>
          <w:color w:val="auto"/>
          <w:sz w:val="22"/>
          <w:highlight w:val="none"/>
        </w:rPr>
        <w:t xml:space="preserve">  </w:t>
      </w:r>
      <w:r>
        <w:rPr>
          <w:rFonts w:hAnsi="宋体"/>
          <w:color w:val="auto"/>
          <w:sz w:val="22"/>
          <w:highlight w:val="none"/>
        </w:rPr>
        <w:t>话：</w:t>
      </w:r>
      <w:r>
        <w:rPr>
          <w:rFonts w:hAnsi="宋体"/>
          <w:color w:val="auto"/>
          <w:sz w:val="22"/>
          <w:highlight w:val="none"/>
          <w:u w:val="single"/>
        </w:rPr>
        <w:t></w:t>
      </w:r>
      <w:r>
        <w:rPr>
          <w:color w:val="auto"/>
          <w:sz w:val="22"/>
          <w:highlight w:val="none"/>
          <w:u w:val="single"/>
        </w:rPr>
        <w:t xml:space="preserve">     </w:t>
      </w:r>
    </w:p>
    <w:p w14:paraId="58237A4E">
      <w:pPr>
        <w:pStyle w:val="41"/>
        <w:spacing w:line="300" w:lineRule="exact"/>
        <w:rPr>
          <w:color w:val="auto"/>
          <w:sz w:val="22"/>
          <w:highlight w:val="none"/>
        </w:rPr>
      </w:pPr>
      <w:r>
        <w:rPr>
          <w:rFonts w:hAnsi="宋体"/>
          <w:color w:val="auto"/>
          <w:sz w:val="22"/>
          <w:highlight w:val="none"/>
        </w:rPr>
        <w:t>传</w:t>
      </w:r>
      <w:r>
        <w:rPr>
          <w:color w:val="auto"/>
          <w:sz w:val="22"/>
          <w:highlight w:val="none"/>
        </w:rPr>
        <w:t xml:space="preserve">  </w:t>
      </w:r>
      <w:r>
        <w:rPr>
          <w:rFonts w:hAnsi="宋体"/>
          <w:color w:val="auto"/>
          <w:sz w:val="22"/>
          <w:highlight w:val="none"/>
        </w:rPr>
        <w:t>真：</w:t>
      </w:r>
      <w:r>
        <w:rPr>
          <w:rFonts w:hAnsi="宋体"/>
          <w:color w:val="auto"/>
          <w:sz w:val="22"/>
          <w:highlight w:val="none"/>
          <w:u w:val="single"/>
        </w:rPr>
        <w:t></w:t>
      </w:r>
      <w:r>
        <w:rPr>
          <w:color w:val="auto"/>
          <w:sz w:val="22"/>
          <w:highlight w:val="none"/>
          <w:u w:val="single"/>
        </w:rPr>
        <w:t xml:space="preserve">   </w:t>
      </w:r>
      <w:r>
        <w:rPr>
          <w:color w:val="auto"/>
          <w:sz w:val="22"/>
          <w:highlight w:val="none"/>
        </w:rPr>
        <w:t xml:space="preserve">                  </w:t>
      </w:r>
      <w:r>
        <w:rPr>
          <w:rFonts w:hAnsi="宋体"/>
          <w:color w:val="auto"/>
          <w:sz w:val="22"/>
          <w:highlight w:val="none"/>
        </w:rPr>
        <w:t>传</w:t>
      </w:r>
      <w:r>
        <w:rPr>
          <w:color w:val="auto"/>
          <w:sz w:val="22"/>
          <w:highlight w:val="none"/>
        </w:rPr>
        <w:t xml:space="preserve">  </w:t>
      </w:r>
      <w:r>
        <w:rPr>
          <w:rFonts w:hAnsi="宋体"/>
          <w:color w:val="auto"/>
          <w:sz w:val="22"/>
          <w:highlight w:val="none"/>
        </w:rPr>
        <w:t>真：</w:t>
      </w:r>
      <w:r>
        <w:rPr>
          <w:rFonts w:hAnsi="宋体"/>
          <w:color w:val="auto"/>
          <w:sz w:val="22"/>
          <w:highlight w:val="none"/>
          <w:u w:val="single"/>
        </w:rPr>
        <w:t></w:t>
      </w:r>
      <w:r>
        <w:rPr>
          <w:color w:val="auto"/>
          <w:sz w:val="22"/>
          <w:highlight w:val="none"/>
          <w:u w:val="single"/>
        </w:rPr>
        <w:t xml:space="preserve">  </w:t>
      </w:r>
      <w:r>
        <w:rPr>
          <w:rFonts w:hAnsi="宋体"/>
          <w:color w:val="auto"/>
          <w:sz w:val="22"/>
          <w:highlight w:val="none"/>
          <w:u w:val="single"/>
        </w:rPr>
        <w:t></w:t>
      </w:r>
      <w:r>
        <w:rPr>
          <w:color w:val="auto"/>
          <w:sz w:val="22"/>
          <w:highlight w:val="none"/>
          <w:u w:val="single"/>
        </w:rPr>
        <w:t xml:space="preserve">   </w:t>
      </w:r>
    </w:p>
    <w:p w14:paraId="51052961">
      <w:pPr>
        <w:pStyle w:val="41"/>
        <w:spacing w:line="300" w:lineRule="exact"/>
        <w:rPr>
          <w:color w:val="auto"/>
          <w:sz w:val="22"/>
          <w:highlight w:val="none"/>
        </w:rPr>
      </w:pPr>
      <w:r>
        <w:rPr>
          <w:rFonts w:hAnsi="宋体"/>
          <w:color w:val="auto"/>
          <w:sz w:val="22"/>
          <w:highlight w:val="none"/>
        </w:rPr>
        <w:t>电子信箱：</w:t>
      </w:r>
      <w:r>
        <w:rPr>
          <w:color w:val="auto"/>
          <w:sz w:val="22"/>
          <w:highlight w:val="none"/>
          <w:u w:val="single"/>
        </w:rPr>
        <w:t xml:space="preserve">                 </w:t>
      </w:r>
      <w:r>
        <w:rPr>
          <w:color w:val="auto"/>
          <w:sz w:val="22"/>
          <w:highlight w:val="none"/>
        </w:rPr>
        <w:t xml:space="preserve">                  </w:t>
      </w:r>
      <w:r>
        <w:rPr>
          <w:rFonts w:hAnsi="宋体"/>
          <w:color w:val="auto"/>
          <w:sz w:val="22"/>
          <w:highlight w:val="none"/>
        </w:rPr>
        <w:t>电子信箱：</w:t>
      </w:r>
      <w:r>
        <w:rPr>
          <w:rFonts w:hAnsi="宋体"/>
          <w:color w:val="auto"/>
          <w:sz w:val="22"/>
          <w:highlight w:val="none"/>
          <w:u w:val="single"/>
        </w:rPr>
        <w:t></w:t>
      </w:r>
      <w:r>
        <w:rPr>
          <w:color w:val="auto"/>
          <w:sz w:val="22"/>
          <w:highlight w:val="none"/>
          <w:u w:val="single"/>
        </w:rPr>
        <w:t xml:space="preserve">   </w:t>
      </w:r>
    </w:p>
    <w:p w14:paraId="74C08A6E">
      <w:pPr>
        <w:pStyle w:val="41"/>
        <w:spacing w:line="300" w:lineRule="exact"/>
        <w:rPr>
          <w:color w:val="auto"/>
          <w:sz w:val="22"/>
          <w:highlight w:val="none"/>
        </w:rPr>
      </w:pPr>
      <w:r>
        <w:rPr>
          <w:rFonts w:hAnsi="宋体"/>
          <w:color w:val="auto"/>
          <w:sz w:val="22"/>
          <w:highlight w:val="none"/>
        </w:rPr>
        <w:t>开户银行：</w:t>
      </w:r>
      <w:r>
        <w:rPr>
          <w:rFonts w:hAnsi="宋体"/>
          <w:color w:val="auto"/>
          <w:sz w:val="22"/>
          <w:highlight w:val="none"/>
          <w:u w:val="single"/>
        </w:rPr>
        <w:t></w:t>
      </w:r>
      <w:r>
        <w:rPr>
          <w:color w:val="auto"/>
          <w:sz w:val="22"/>
          <w:highlight w:val="none"/>
          <w:u w:val="single"/>
        </w:rPr>
        <w:t xml:space="preserve">   </w:t>
      </w:r>
      <w:r>
        <w:rPr>
          <w:color w:val="auto"/>
          <w:sz w:val="22"/>
          <w:highlight w:val="none"/>
        </w:rPr>
        <w:t xml:space="preserve">                  </w:t>
      </w:r>
      <w:r>
        <w:rPr>
          <w:rFonts w:hAnsi="宋体"/>
          <w:color w:val="auto"/>
          <w:sz w:val="22"/>
          <w:highlight w:val="none"/>
        </w:rPr>
        <w:t>开户银行：</w:t>
      </w:r>
      <w:r>
        <w:rPr>
          <w:rFonts w:hAnsi="宋体"/>
          <w:color w:val="auto"/>
          <w:sz w:val="22"/>
          <w:highlight w:val="none"/>
          <w:u w:val="single"/>
        </w:rPr>
        <w:t></w:t>
      </w:r>
      <w:r>
        <w:rPr>
          <w:color w:val="auto"/>
          <w:sz w:val="22"/>
          <w:highlight w:val="none"/>
          <w:u w:val="single"/>
        </w:rPr>
        <w:t xml:space="preserve">   </w:t>
      </w:r>
    </w:p>
    <w:p w14:paraId="08523B8A">
      <w:pPr>
        <w:pStyle w:val="42"/>
        <w:rPr>
          <w:color w:val="auto"/>
          <w:highlight w:val="none"/>
        </w:rPr>
      </w:pPr>
      <w:r>
        <w:rPr>
          <w:rFonts w:hAnsi="宋体"/>
          <w:color w:val="auto"/>
          <w:sz w:val="22"/>
          <w:highlight w:val="none"/>
        </w:rPr>
        <w:t>账</w:t>
      </w:r>
      <w:r>
        <w:rPr>
          <w:color w:val="auto"/>
          <w:sz w:val="22"/>
          <w:highlight w:val="none"/>
        </w:rPr>
        <w:t xml:space="preserve">  </w:t>
      </w:r>
      <w:r>
        <w:rPr>
          <w:rFonts w:hAnsi="宋体"/>
          <w:color w:val="auto"/>
          <w:sz w:val="22"/>
          <w:highlight w:val="none"/>
        </w:rPr>
        <w:t>号：</w:t>
      </w:r>
      <w:r>
        <w:rPr>
          <w:rFonts w:hAnsi="宋体"/>
          <w:color w:val="auto"/>
          <w:sz w:val="22"/>
          <w:highlight w:val="none"/>
          <w:u w:val="single"/>
        </w:rPr>
        <w:t></w:t>
      </w:r>
      <w:r>
        <w:rPr>
          <w:color w:val="auto"/>
          <w:sz w:val="22"/>
          <w:highlight w:val="none"/>
          <w:u w:val="single"/>
        </w:rPr>
        <w:t xml:space="preserve"> </w:t>
      </w:r>
      <w:r>
        <w:rPr>
          <w:rFonts w:hAnsi="宋体"/>
          <w:color w:val="auto"/>
          <w:sz w:val="22"/>
          <w:highlight w:val="none"/>
          <w:u w:val="single"/>
        </w:rPr>
        <w:t></w:t>
      </w:r>
      <w:r>
        <w:rPr>
          <w:color w:val="auto"/>
          <w:sz w:val="22"/>
          <w:highlight w:val="none"/>
          <w:u w:val="single"/>
        </w:rPr>
        <w:t xml:space="preserve">      </w:t>
      </w:r>
      <w:r>
        <w:rPr>
          <w:color w:val="auto"/>
          <w:sz w:val="22"/>
          <w:highlight w:val="none"/>
        </w:rPr>
        <w:t xml:space="preserve">                  </w:t>
      </w:r>
      <w:r>
        <w:rPr>
          <w:rFonts w:hAnsi="宋体"/>
          <w:color w:val="auto"/>
          <w:sz w:val="22"/>
          <w:highlight w:val="none"/>
        </w:rPr>
        <w:t>账</w:t>
      </w:r>
      <w:r>
        <w:rPr>
          <w:color w:val="auto"/>
          <w:sz w:val="22"/>
          <w:highlight w:val="none"/>
        </w:rPr>
        <w:t xml:space="preserve">  </w:t>
      </w:r>
      <w:r>
        <w:rPr>
          <w:rFonts w:hAnsi="宋体"/>
          <w:color w:val="auto"/>
          <w:sz w:val="22"/>
          <w:highlight w:val="none"/>
        </w:rPr>
        <w:t>号：</w:t>
      </w:r>
      <w:r>
        <w:rPr>
          <w:rFonts w:hAnsi="宋体"/>
          <w:color w:val="auto"/>
          <w:sz w:val="22"/>
          <w:highlight w:val="none"/>
          <w:u w:val="single"/>
        </w:rPr>
        <w:t></w:t>
      </w:r>
      <w:r>
        <w:rPr>
          <w:color w:val="auto"/>
          <w:sz w:val="22"/>
          <w:highlight w:val="none"/>
          <w:u w:val="single"/>
        </w:rPr>
        <w:t xml:space="preserve">   </w:t>
      </w:r>
      <w:r>
        <w:rPr>
          <w:color w:val="auto"/>
          <w:highlight w:val="none"/>
          <w:u w:val="single"/>
        </w:rPr>
        <w:t xml:space="preserve">    </w:t>
      </w:r>
    </w:p>
    <w:p w14:paraId="41A91344">
      <w:pPr>
        <w:rPr>
          <w:color w:val="auto"/>
          <w:sz w:val="20"/>
          <w:highlight w:val="none"/>
        </w:rPr>
      </w:pPr>
      <w:r>
        <w:rPr>
          <w:rFonts w:hint="eastAsia"/>
          <w:color w:val="auto"/>
          <w:sz w:val="20"/>
          <w:highlight w:val="none"/>
        </w:rPr>
        <w:t xml:space="preserve"> </w:t>
      </w:r>
      <w:bookmarkEnd w:id="240"/>
    </w:p>
    <w:p w14:paraId="7F8167CF">
      <w:pPr>
        <w:widowControl/>
        <w:jc w:val="left"/>
        <w:rPr>
          <w:color w:val="auto"/>
          <w:highlight w:val="none"/>
          <w:u w:val="single"/>
        </w:rPr>
      </w:pPr>
      <w:r>
        <w:rPr>
          <w:color w:val="auto"/>
          <w:highlight w:val="none"/>
        </w:rPr>
        <w:br w:type="page"/>
      </w:r>
    </w:p>
    <w:p w14:paraId="53EAEDFC">
      <w:pPr>
        <w:pStyle w:val="3"/>
        <w:keepNext w:val="0"/>
        <w:jc w:val="center"/>
        <w:rPr>
          <w:rFonts w:hAnsi="宋体" w:cs="黑体"/>
          <w:color w:val="auto"/>
          <w:sz w:val="30"/>
          <w:szCs w:val="30"/>
          <w:highlight w:val="none"/>
        </w:rPr>
      </w:pPr>
      <w:bookmarkStart w:id="254" w:name="_Toc21208"/>
      <w:bookmarkStart w:id="255" w:name="_Toc407135192"/>
      <w:bookmarkStart w:id="256" w:name="_Toc256000100"/>
      <w:bookmarkStart w:id="257" w:name="_Toc389065256"/>
      <w:bookmarkStart w:id="258" w:name="_Toc9850520"/>
      <w:bookmarkStart w:id="259" w:name="_Toc373478338"/>
      <w:bookmarkStart w:id="260" w:name="_Toc373227691"/>
      <w:bookmarkStart w:id="261" w:name="_Toc351203632"/>
      <w:r>
        <w:rPr>
          <w:rFonts w:hint="eastAsia" w:hAnsi="宋体" w:cs="黑体"/>
          <w:color w:val="auto"/>
          <w:sz w:val="30"/>
          <w:szCs w:val="30"/>
          <w:highlight w:val="none"/>
        </w:rPr>
        <w:t>第二部分 通用合同条款</w:t>
      </w:r>
      <w:bookmarkEnd w:id="254"/>
      <w:bookmarkEnd w:id="255"/>
      <w:bookmarkEnd w:id="256"/>
      <w:bookmarkEnd w:id="257"/>
      <w:bookmarkEnd w:id="258"/>
    </w:p>
    <w:p w14:paraId="19314BAB">
      <w:pPr>
        <w:spacing w:line="360" w:lineRule="auto"/>
        <w:ind w:firstLine="420" w:firstLineChars="200"/>
        <w:rPr>
          <w:rFonts w:hAnsi="宋体"/>
          <w:color w:val="auto"/>
          <w:kern w:val="0"/>
          <w:highlight w:val="none"/>
        </w:rPr>
      </w:pPr>
    </w:p>
    <w:p w14:paraId="663D7984">
      <w:pPr>
        <w:spacing w:line="360" w:lineRule="auto"/>
        <w:ind w:firstLine="422" w:firstLineChars="200"/>
        <w:rPr>
          <w:rFonts w:hAnsi="宋体"/>
          <w:b/>
          <w:bCs/>
          <w:color w:val="auto"/>
          <w:kern w:val="0"/>
          <w:highlight w:val="none"/>
        </w:rPr>
      </w:pPr>
      <w:r>
        <w:rPr>
          <w:rFonts w:hint="eastAsia" w:hAnsi="宋体" w:cs="宋体"/>
          <w:b/>
          <w:bCs/>
          <w:color w:val="auto"/>
          <w:kern w:val="0"/>
          <w:highlight w:val="none"/>
        </w:rPr>
        <w:t>采用《建设工程施工合同（示范文本）》（</w:t>
      </w:r>
      <w:r>
        <w:rPr>
          <w:rFonts w:hAnsi="宋体"/>
          <w:b/>
          <w:bCs/>
          <w:color w:val="auto"/>
          <w:kern w:val="0"/>
          <w:highlight w:val="none"/>
        </w:rPr>
        <w:t>GF</w:t>
      </w:r>
      <w:r>
        <w:rPr>
          <w:rFonts w:hAnsi="宋体" w:cs="宋体"/>
          <w:b/>
          <w:bCs/>
          <w:color w:val="auto"/>
          <w:kern w:val="0"/>
          <w:highlight w:val="none"/>
        </w:rPr>
        <w:t>—</w:t>
      </w:r>
      <w:r>
        <w:rPr>
          <w:rFonts w:hAnsi="宋体"/>
          <w:b/>
          <w:bCs/>
          <w:color w:val="auto"/>
          <w:kern w:val="0"/>
          <w:highlight w:val="none"/>
        </w:rPr>
        <w:t>201</w:t>
      </w:r>
      <w:r>
        <w:rPr>
          <w:rFonts w:hint="eastAsia" w:hAnsi="宋体"/>
          <w:b/>
          <w:bCs/>
          <w:color w:val="auto"/>
          <w:kern w:val="0"/>
          <w:highlight w:val="none"/>
        </w:rPr>
        <w:t>7</w:t>
      </w:r>
      <w:r>
        <w:rPr>
          <w:rFonts w:hAnsi="宋体" w:cs="宋体"/>
          <w:b/>
          <w:bCs/>
          <w:color w:val="auto"/>
          <w:kern w:val="0"/>
          <w:highlight w:val="none"/>
        </w:rPr>
        <w:t>—</w:t>
      </w:r>
      <w:r>
        <w:rPr>
          <w:rFonts w:hAnsi="宋体"/>
          <w:b/>
          <w:bCs/>
          <w:color w:val="auto"/>
          <w:kern w:val="0"/>
          <w:highlight w:val="none"/>
        </w:rPr>
        <w:t>0201</w:t>
      </w:r>
      <w:r>
        <w:rPr>
          <w:rFonts w:hint="eastAsia" w:hAnsi="宋体" w:cs="宋体"/>
          <w:b/>
          <w:bCs/>
          <w:color w:val="auto"/>
          <w:kern w:val="0"/>
          <w:highlight w:val="none"/>
        </w:rPr>
        <w:t>）。</w:t>
      </w:r>
    </w:p>
    <w:p w14:paraId="5599567E">
      <w:pPr>
        <w:pStyle w:val="3"/>
        <w:keepNext w:val="0"/>
        <w:jc w:val="center"/>
        <w:rPr>
          <w:rFonts w:hAnsi="宋体"/>
          <w:color w:val="auto"/>
          <w:sz w:val="30"/>
          <w:szCs w:val="30"/>
          <w:highlight w:val="none"/>
        </w:rPr>
      </w:pPr>
      <w:bookmarkStart w:id="262" w:name="_Toc9850521"/>
      <w:bookmarkStart w:id="263" w:name="_Toc256000101"/>
      <w:bookmarkStart w:id="264" w:name="_Toc407135193"/>
      <w:bookmarkStart w:id="265" w:name="_Toc389065257"/>
      <w:bookmarkStart w:id="266" w:name="_Toc1400"/>
      <w:r>
        <w:rPr>
          <w:rFonts w:hint="eastAsia" w:hAnsi="宋体" w:cs="黑体"/>
          <w:color w:val="auto"/>
          <w:sz w:val="30"/>
          <w:szCs w:val="30"/>
          <w:highlight w:val="none"/>
        </w:rPr>
        <w:t>第三部分</w:t>
      </w:r>
      <w:r>
        <w:rPr>
          <w:color w:val="auto"/>
          <w:sz w:val="30"/>
          <w:szCs w:val="30"/>
          <w:highlight w:val="none"/>
        </w:rPr>
        <w:t xml:space="preserve"> </w:t>
      </w:r>
      <w:r>
        <w:rPr>
          <w:rFonts w:hint="eastAsia" w:hAnsi="宋体" w:cs="黑体"/>
          <w:color w:val="auto"/>
          <w:sz w:val="30"/>
          <w:szCs w:val="30"/>
          <w:highlight w:val="none"/>
        </w:rPr>
        <w:t>专用合同条款</w:t>
      </w:r>
      <w:bookmarkEnd w:id="259"/>
      <w:bookmarkEnd w:id="260"/>
      <w:bookmarkEnd w:id="261"/>
      <w:bookmarkEnd w:id="262"/>
      <w:bookmarkEnd w:id="263"/>
      <w:bookmarkEnd w:id="264"/>
      <w:bookmarkEnd w:id="265"/>
      <w:bookmarkEnd w:id="266"/>
    </w:p>
    <w:p w14:paraId="4E1B3630">
      <w:pPr>
        <w:spacing w:line="360" w:lineRule="auto"/>
        <w:jc w:val="center"/>
        <w:rPr>
          <w:rFonts w:hAnsi="宋体"/>
          <w:b/>
          <w:bCs/>
          <w:color w:val="auto"/>
          <w:kern w:val="0"/>
          <w:highlight w:val="none"/>
        </w:rPr>
      </w:pPr>
      <w:r>
        <w:rPr>
          <w:rFonts w:hint="eastAsia" w:hAnsi="宋体" w:cs="宋体"/>
          <w:b/>
          <w:bCs/>
          <w:color w:val="auto"/>
          <w:kern w:val="0"/>
          <w:highlight w:val="none"/>
        </w:rPr>
        <w:t>（注：专用合同条款每一条均应填写完整！）</w:t>
      </w:r>
    </w:p>
    <w:p w14:paraId="601E313A">
      <w:pPr>
        <w:rPr>
          <w:color w:val="auto"/>
          <w:sz w:val="20"/>
          <w:highlight w:val="none"/>
        </w:rPr>
      </w:pPr>
    </w:p>
    <w:p w14:paraId="3107FD8D">
      <w:pPr>
        <w:pStyle w:val="43"/>
        <w:spacing w:before="0" w:after="0" w:line="360" w:lineRule="exact"/>
        <w:rPr>
          <w:rFonts w:ascii="宋体" w:hAnsi="宋体" w:cs="宋体"/>
          <w:color w:val="auto"/>
          <w:sz w:val="22"/>
          <w:szCs w:val="22"/>
          <w:highlight w:val="none"/>
        </w:rPr>
      </w:pPr>
      <w:bookmarkStart w:id="267" w:name="_Toc351203633"/>
      <w:bookmarkStart w:id="268" w:name="_Toc373478339"/>
      <w:bookmarkStart w:id="269" w:name="_Toc12975882"/>
      <w:bookmarkStart w:id="270" w:name="_Toc395382494"/>
      <w:bookmarkStart w:id="271" w:name="_Toc373227692"/>
      <w:bookmarkStart w:id="272" w:name="_Toc533432717"/>
      <w:bookmarkStart w:id="273" w:name="_Toc389065258"/>
      <w:bookmarkStart w:id="274" w:name="_Toc351203652"/>
      <w:r>
        <w:rPr>
          <w:rFonts w:hint="eastAsia" w:ascii="宋体" w:hAnsi="宋体" w:cs="宋体"/>
          <w:color w:val="auto"/>
          <w:sz w:val="22"/>
          <w:szCs w:val="22"/>
          <w:highlight w:val="none"/>
        </w:rPr>
        <w:t>1</w:t>
      </w:r>
      <w:bookmarkStart w:id="275" w:name="_Toc297048342"/>
      <w:bookmarkStart w:id="276" w:name="_Toc292559361"/>
      <w:bookmarkStart w:id="277" w:name="_Toc297120456"/>
      <w:bookmarkStart w:id="278" w:name="_Toc292559866"/>
      <w:bookmarkStart w:id="279" w:name="_Toc296346657"/>
      <w:bookmarkStart w:id="280" w:name="_Toc296891196"/>
      <w:bookmarkStart w:id="281" w:name="_Toc296890984"/>
      <w:bookmarkStart w:id="282" w:name="_Toc296347155"/>
      <w:bookmarkStart w:id="283" w:name="_Toc296944495"/>
      <w:bookmarkStart w:id="284" w:name="_Toc296503156"/>
      <w:r>
        <w:rPr>
          <w:rFonts w:hint="eastAsia" w:ascii="宋体" w:hAnsi="宋体" w:cs="宋体"/>
          <w:color w:val="auto"/>
          <w:sz w:val="22"/>
          <w:szCs w:val="22"/>
          <w:highlight w:val="none"/>
        </w:rPr>
        <w:t>. 一般约定</w:t>
      </w:r>
      <w:bookmarkEnd w:id="267"/>
      <w:bookmarkEnd w:id="268"/>
      <w:bookmarkEnd w:id="269"/>
      <w:bookmarkEnd w:id="270"/>
      <w:bookmarkEnd w:id="271"/>
      <w:bookmarkEnd w:id="272"/>
      <w:bookmarkEnd w:id="273"/>
    </w:p>
    <w:bookmarkEnd w:id="275"/>
    <w:bookmarkEnd w:id="276"/>
    <w:bookmarkEnd w:id="277"/>
    <w:bookmarkEnd w:id="278"/>
    <w:bookmarkEnd w:id="279"/>
    <w:bookmarkEnd w:id="280"/>
    <w:bookmarkEnd w:id="281"/>
    <w:bookmarkEnd w:id="282"/>
    <w:bookmarkEnd w:id="283"/>
    <w:bookmarkEnd w:id="284"/>
    <w:p w14:paraId="755F3219">
      <w:pPr>
        <w:pStyle w:val="45"/>
        <w:spacing w:line="360" w:lineRule="exact"/>
        <w:rPr>
          <w:rFonts w:ascii="宋体" w:hAnsi="宋体" w:cs="宋体"/>
          <w:color w:val="auto"/>
          <w:sz w:val="22"/>
          <w:szCs w:val="22"/>
          <w:highlight w:val="none"/>
        </w:rPr>
      </w:pPr>
      <w:bookmarkStart w:id="285" w:name="_Toc533432718"/>
      <w:bookmarkStart w:id="286" w:name="_Toc389065259"/>
      <w:bookmarkStart w:id="287" w:name="_Toc373227693"/>
      <w:bookmarkStart w:id="288" w:name="_Toc395382495"/>
      <w:bookmarkStart w:id="289" w:name="_Toc12975883"/>
      <w:bookmarkStart w:id="290" w:name="_Toc373478340"/>
      <w:r>
        <w:rPr>
          <w:rFonts w:hint="eastAsia" w:ascii="宋体" w:hAnsi="宋体" w:cs="宋体"/>
          <w:color w:val="auto"/>
          <w:sz w:val="22"/>
          <w:szCs w:val="22"/>
          <w:highlight w:val="none"/>
        </w:rPr>
        <w:t>1.1 词语定义</w:t>
      </w:r>
      <w:bookmarkEnd w:id="285"/>
      <w:bookmarkEnd w:id="286"/>
      <w:bookmarkEnd w:id="287"/>
      <w:bookmarkEnd w:id="288"/>
      <w:bookmarkEnd w:id="289"/>
      <w:bookmarkEnd w:id="290"/>
    </w:p>
    <w:p w14:paraId="4246C6D9">
      <w:pPr>
        <w:pStyle w:val="44"/>
        <w:spacing w:line="360" w:lineRule="exact"/>
        <w:ind w:firstLine="440" w:firstLineChars="200"/>
        <w:rPr>
          <w:rFonts w:ascii="宋体" w:hAnsi="宋体" w:cs="宋体"/>
          <w:color w:val="auto"/>
          <w:kern w:val="0"/>
          <w:sz w:val="22"/>
          <w:highlight w:val="none"/>
        </w:rPr>
      </w:pPr>
      <w:r>
        <w:rPr>
          <w:rFonts w:hint="eastAsia" w:ascii="宋体" w:hAnsi="宋体" w:cs="宋体"/>
          <w:color w:val="auto"/>
          <w:kern w:val="0"/>
          <w:sz w:val="22"/>
          <w:highlight w:val="none"/>
        </w:rPr>
        <w:t>1.1.1 合同</w:t>
      </w:r>
    </w:p>
    <w:p w14:paraId="0E810BB5">
      <w:pPr>
        <w:pStyle w:val="44"/>
        <w:spacing w:line="360" w:lineRule="exact"/>
        <w:ind w:firstLine="440" w:firstLineChars="200"/>
        <w:rPr>
          <w:rFonts w:ascii="宋体" w:hAnsi="宋体" w:cs="宋体"/>
          <w:color w:val="auto"/>
          <w:kern w:val="0"/>
          <w:sz w:val="22"/>
          <w:highlight w:val="none"/>
        </w:rPr>
      </w:pPr>
      <w:r>
        <w:rPr>
          <w:rFonts w:hint="eastAsia" w:ascii="宋体" w:hAnsi="宋体" w:cs="宋体"/>
          <w:color w:val="auto"/>
          <w:kern w:val="0"/>
          <w:sz w:val="22"/>
          <w:highlight w:val="none"/>
        </w:rPr>
        <w:t>1.1.1.10 其他合同文件包括：</w:t>
      </w:r>
      <w:r>
        <w:rPr>
          <w:rFonts w:hint="eastAsia" w:ascii="宋体" w:hAnsi="宋体" w:cs="宋体"/>
          <w:color w:val="auto"/>
          <w:kern w:val="0"/>
          <w:sz w:val="22"/>
          <w:highlight w:val="none"/>
          <w:u w:val="single"/>
        </w:rPr>
        <w:t>响应文件及其附件，磋商文件（含补充通知和答疑），农民工工资保证金缴纳证明；履行合同过程中双方法定代表人书面确认的对合同内容有实质性影响的补充协议。任何形式的会议纪要均不能作为合同的组成部分，也不能作为修改合同的依据。发包人及监理人作出的口头承诺均不属于合同的组成部分</w:t>
      </w:r>
      <w:r>
        <w:rPr>
          <w:rFonts w:hint="eastAsia" w:ascii="宋体" w:hAnsi="宋体" w:cs="宋体"/>
          <w:color w:val="auto"/>
          <w:sz w:val="22"/>
          <w:highlight w:val="none"/>
          <w:u w:val="single"/>
        </w:rPr>
        <w:t>。</w:t>
      </w:r>
    </w:p>
    <w:p w14:paraId="28C66DB9">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1.1.2 合同当事人及其他相关方</w:t>
      </w:r>
    </w:p>
    <w:p w14:paraId="4C2A6D53">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1.1.2.4 监理人：</w:t>
      </w:r>
    </w:p>
    <w:p w14:paraId="2FC262CA">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名    称：</w:t>
      </w:r>
      <w:r>
        <w:rPr>
          <w:rFonts w:hint="eastAsia" w:ascii="宋体" w:hAnsi="宋体" w:cs="宋体"/>
          <w:color w:val="auto"/>
          <w:sz w:val="22"/>
          <w:highlight w:val="none"/>
          <w:u w:val="single"/>
        </w:rPr>
        <w:t xml:space="preserve">待定              </w:t>
      </w:r>
      <w:r>
        <w:rPr>
          <w:rFonts w:hint="eastAsia" w:ascii="宋体" w:hAnsi="宋体" w:cs="宋体"/>
          <w:color w:val="auto"/>
          <w:sz w:val="22"/>
          <w:highlight w:val="none"/>
        </w:rPr>
        <w:t>；</w:t>
      </w:r>
    </w:p>
    <w:p w14:paraId="77816119">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资质类别和等级：</w:t>
      </w:r>
      <w:r>
        <w:rPr>
          <w:rFonts w:hint="eastAsia" w:ascii="宋体" w:hAnsi="宋体" w:cs="宋体"/>
          <w:color w:val="auto"/>
          <w:sz w:val="22"/>
          <w:highlight w:val="none"/>
          <w:u w:val="single"/>
        </w:rPr>
        <w:t>               </w:t>
      </w:r>
      <w:r>
        <w:rPr>
          <w:rFonts w:hint="eastAsia" w:ascii="宋体" w:hAnsi="宋体" w:cs="宋体"/>
          <w:color w:val="auto"/>
          <w:sz w:val="22"/>
          <w:highlight w:val="none"/>
        </w:rPr>
        <w:t>；</w:t>
      </w:r>
    </w:p>
    <w:p w14:paraId="6AF3AD42">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联系电话：</w:t>
      </w:r>
      <w:r>
        <w:rPr>
          <w:rFonts w:hint="eastAsia" w:ascii="宋体" w:hAnsi="宋体" w:cs="宋体"/>
          <w:color w:val="auto"/>
          <w:sz w:val="22"/>
          <w:highlight w:val="none"/>
          <w:u w:val="single"/>
        </w:rPr>
        <w:t>                </w:t>
      </w:r>
      <w:r>
        <w:rPr>
          <w:rFonts w:hint="eastAsia" w:ascii="宋体" w:hAnsi="宋体" w:cs="宋体"/>
          <w:color w:val="auto"/>
          <w:sz w:val="22"/>
          <w:highlight w:val="none"/>
        </w:rPr>
        <w:t>；</w:t>
      </w:r>
    </w:p>
    <w:p w14:paraId="48D70248">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电子信箱：</w:t>
      </w:r>
      <w:r>
        <w:rPr>
          <w:rFonts w:hint="eastAsia" w:ascii="宋体" w:hAnsi="宋体" w:cs="宋体"/>
          <w:color w:val="auto"/>
          <w:sz w:val="22"/>
          <w:highlight w:val="none"/>
          <w:u w:val="single"/>
        </w:rPr>
        <w:t>                </w:t>
      </w:r>
      <w:r>
        <w:rPr>
          <w:rFonts w:hint="eastAsia" w:ascii="宋体" w:hAnsi="宋体" w:cs="宋体"/>
          <w:color w:val="auto"/>
          <w:sz w:val="22"/>
          <w:highlight w:val="none"/>
        </w:rPr>
        <w:t>；</w:t>
      </w:r>
    </w:p>
    <w:p w14:paraId="2B3E0CFE">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通信地址：</w:t>
      </w:r>
      <w:r>
        <w:rPr>
          <w:rFonts w:hint="eastAsia" w:ascii="宋体" w:hAnsi="宋体" w:cs="宋体"/>
          <w:color w:val="auto"/>
          <w:sz w:val="22"/>
          <w:highlight w:val="none"/>
          <w:u w:val="single"/>
        </w:rPr>
        <w:t>                </w:t>
      </w:r>
      <w:r>
        <w:rPr>
          <w:rFonts w:hint="eastAsia" w:ascii="宋体" w:hAnsi="宋体" w:cs="宋体"/>
          <w:color w:val="auto"/>
          <w:sz w:val="22"/>
          <w:highlight w:val="none"/>
        </w:rPr>
        <w:t>。</w:t>
      </w:r>
    </w:p>
    <w:p w14:paraId="25119CB8">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1.1.2.5 设计人：</w:t>
      </w:r>
    </w:p>
    <w:p w14:paraId="75FA567A">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名    称：</w:t>
      </w:r>
      <w:r>
        <w:rPr>
          <w:rFonts w:hint="eastAsia" w:ascii="宋体" w:hAnsi="宋体" w:cs="宋体"/>
          <w:color w:val="auto"/>
          <w:sz w:val="22"/>
          <w:highlight w:val="none"/>
          <w:u w:val="single"/>
        </w:rPr>
        <w:t xml:space="preserve">                 </w:t>
      </w:r>
      <w:r>
        <w:rPr>
          <w:rFonts w:hint="eastAsia" w:ascii="宋体" w:hAnsi="宋体" w:cs="宋体"/>
          <w:color w:val="auto"/>
          <w:sz w:val="22"/>
          <w:highlight w:val="none"/>
        </w:rPr>
        <w:t>；</w:t>
      </w:r>
    </w:p>
    <w:p w14:paraId="75B47346">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资质类别和等级：</w:t>
      </w:r>
      <w:r>
        <w:rPr>
          <w:rFonts w:hint="eastAsia" w:ascii="宋体" w:hAnsi="宋体" w:cs="宋体"/>
          <w:color w:val="auto"/>
          <w:sz w:val="22"/>
          <w:highlight w:val="none"/>
          <w:u w:val="single"/>
        </w:rPr>
        <w:t>               </w:t>
      </w:r>
      <w:r>
        <w:rPr>
          <w:rFonts w:hint="eastAsia" w:ascii="宋体" w:hAnsi="宋体" w:cs="宋体"/>
          <w:color w:val="auto"/>
          <w:sz w:val="22"/>
          <w:highlight w:val="none"/>
        </w:rPr>
        <w:t>；</w:t>
      </w:r>
    </w:p>
    <w:p w14:paraId="5E13B2F6">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联系电话：</w:t>
      </w:r>
      <w:r>
        <w:rPr>
          <w:rFonts w:hint="eastAsia" w:ascii="宋体" w:hAnsi="宋体" w:cs="宋体"/>
          <w:color w:val="auto"/>
          <w:sz w:val="22"/>
          <w:highlight w:val="none"/>
          <w:u w:val="single"/>
        </w:rPr>
        <w:t>                 </w:t>
      </w:r>
      <w:r>
        <w:rPr>
          <w:rFonts w:hint="eastAsia" w:ascii="宋体" w:hAnsi="宋体" w:cs="宋体"/>
          <w:color w:val="auto"/>
          <w:sz w:val="22"/>
          <w:highlight w:val="none"/>
        </w:rPr>
        <w:t>；</w:t>
      </w:r>
    </w:p>
    <w:p w14:paraId="1B9AF34C">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电子信箱：</w:t>
      </w:r>
      <w:r>
        <w:rPr>
          <w:rFonts w:hint="eastAsia" w:ascii="宋体" w:hAnsi="宋体" w:cs="宋体"/>
          <w:color w:val="auto"/>
          <w:sz w:val="22"/>
          <w:highlight w:val="none"/>
          <w:u w:val="single"/>
        </w:rPr>
        <w:t xml:space="preserve">                    </w:t>
      </w:r>
      <w:r>
        <w:rPr>
          <w:rFonts w:hint="eastAsia" w:ascii="宋体" w:hAnsi="宋体" w:cs="宋体"/>
          <w:color w:val="auto"/>
          <w:sz w:val="22"/>
          <w:highlight w:val="none"/>
        </w:rPr>
        <w:t>；</w:t>
      </w:r>
    </w:p>
    <w:p w14:paraId="4E7B820D">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通信地址：</w:t>
      </w:r>
      <w:r>
        <w:rPr>
          <w:rFonts w:hint="eastAsia" w:ascii="宋体" w:hAnsi="宋体" w:cs="宋体"/>
          <w:color w:val="auto"/>
          <w:sz w:val="22"/>
          <w:highlight w:val="none"/>
          <w:u w:val="single"/>
        </w:rPr>
        <w:t>                </w:t>
      </w:r>
      <w:r>
        <w:rPr>
          <w:rFonts w:hint="eastAsia" w:ascii="宋体" w:hAnsi="宋体" w:cs="宋体"/>
          <w:color w:val="auto"/>
          <w:sz w:val="22"/>
          <w:highlight w:val="none"/>
        </w:rPr>
        <w:t>。</w:t>
      </w:r>
    </w:p>
    <w:p w14:paraId="29E71003">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1.1.3 工程和设备</w:t>
      </w:r>
    </w:p>
    <w:p w14:paraId="36474D18">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1.1.3.7 作为施工现场组成部分的其他场所包括：</w:t>
      </w:r>
      <w:r>
        <w:rPr>
          <w:rFonts w:hint="eastAsia" w:ascii="宋体" w:hAnsi="宋体" w:cs="宋体"/>
          <w:color w:val="auto"/>
          <w:sz w:val="22"/>
          <w:highlight w:val="none"/>
          <w:u w:val="single"/>
        </w:rPr>
        <w:t xml:space="preserve"> 指用于合同工程施工的场所，以及在合同中指定作为施工场地组成部分的其他场所，包括永久占地和临时占地。</w:t>
      </w:r>
    </w:p>
    <w:p w14:paraId="178318BD">
      <w:pPr>
        <w:pStyle w:val="44"/>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1.1.3.9 永久占地包括：</w:t>
      </w:r>
      <w:r>
        <w:rPr>
          <w:rFonts w:hint="eastAsia" w:ascii="宋体" w:hAnsi="宋体" w:cs="宋体"/>
          <w:color w:val="auto"/>
          <w:sz w:val="22"/>
          <w:highlight w:val="none"/>
          <w:u w:val="single"/>
        </w:rPr>
        <w:t xml:space="preserve">  依据选址图、设计图纸或其他文件规定的范围 </w:t>
      </w:r>
      <w:r>
        <w:rPr>
          <w:rFonts w:hint="eastAsia" w:ascii="宋体" w:hAnsi="宋体" w:cs="宋体"/>
          <w:color w:val="auto"/>
          <w:kern w:val="0"/>
          <w:sz w:val="22"/>
          <w:highlight w:val="none"/>
        </w:rPr>
        <w:t>。</w:t>
      </w:r>
    </w:p>
    <w:p w14:paraId="2573A1AD">
      <w:pPr>
        <w:pStyle w:val="46"/>
        <w:spacing w:line="36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kern w:val="0"/>
          <w:sz w:val="22"/>
          <w:szCs w:val="22"/>
          <w:highlight w:val="none"/>
        </w:rPr>
        <w:t>1.1.3.10 临时占地包括：</w:t>
      </w:r>
      <w:r>
        <w:rPr>
          <w:rFonts w:hint="eastAsia" w:ascii="宋体" w:hAnsi="宋体" w:cs="宋体"/>
          <w:color w:val="auto"/>
          <w:kern w:val="0"/>
          <w:sz w:val="22"/>
          <w:szCs w:val="22"/>
          <w:highlight w:val="none"/>
          <w:u w:val="single"/>
        </w:rPr>
        <w:t>指为完成合同约定的永久工程所修建的各类临时性工程所占用的土地</w:t>
      </w:r>
      <w:r>
        <w:rPr>
          <w:rFonts w:hint="eastAsia" w:ascii="宋体" w:hAnsi="宋体" w:cs="宋体"/>
          <w:color w:val="auto"/>
          <w:sz w:val="22"/>
          <w:szCs w:val="22"/>
          <w:highlight w:val="none"/>
          <w:u w:val="single"/>
        </w:rPr>
        <w:t>。</w:t>
      </w:r>
    </w:p>
    <w:p w14:paraId="2105A064">
      <w:pPr>
        <w:pStyle w:val="45"/>
        <w:spacing w:line="360" w:lineRule="exact"/>
        <w:rPr>
          <w:rFonts w:ascii="宋体" w:hAnsi="宋体" w:cs="宋体"/>
          <w:color w:val="auto"/>
          <w:sz w:val="22"/>
          <w:szCs w:val="22"/>
          <w:highlight w:val="none"/>
        </w:rPr>
      </w:pPr>
      <w:bookmarkStart w:id="291" w:name="_Toc533432719"/>
      <w:bookmarkStart w:id="292" w:name="_Toc12975884"/>
      <w:bookmarkStart w:id="293" w:name="_Toc373478341"/>
      <w:bookmarkStart w:id="294" w:name="_Toc395382496"/>
      <w:bookmarkStart w:id="295" w:name="_Toc373227694"/>
      <w:bookmarkStart w:id="296" w:name="_Toc389065260"/>
      <w:r>
        <w:rPr>
          <w:rFonts w:hint="eastAsia" w:ascii="宋体" w:hAnsi="宋体" w:cs="宋体"/>
          <w:color w:val="auto"/>
          <w:sz w:val="22"/>
          <w:szCs w:val="22"/>
          <w:highlight w:val="none"/>
        </w:rPr>
        <w:t>1.3 法律</w:t>
      </w:r>
      <w:bookmarkEnd w:id="291"/>
      <w:bookmarkEnd w:id="292"/>
      <w:bookmarkEnd w:id="293"/>
      <w:bookmarkEnd w:id="294"/>
      <w:bookmarkEnd w:id="295"/>
      <w:bookmarkEnd w:id="296"/>
    </w:p>
    <w:p w14:paraId="674FFC9E">
      <w:pPr>
        <w:pStyle w:val="44"/>
        <w:autoSpaceDE w:val="0"/>
        <w:autoSpaceDN w:val="0"/>
        <w:adjustRightInd w:val="0"/>
        <w:spacing w:line="360" w:lineRule="exact"/>
        <w:jc w:val="left"/>
        <w:rPr>
          <w:rFonts w:ascii="宋体" w:hAnsi="宋体" w:cs="宋体"/>
          <w:color w:val="auto"/>
          <w:sz w:val="22"/>
          <w:highlight w:val="none"/>
        </w:rPr>
      </w:pPr>
      <w:r>
        <w:rPr>
          <w:rFonts w:hint="eastAsia" w:ascii="宋体" w:hAnsi="宋体" w:cs="宋体"/>
          <w:color w:val="auto"/>
          <w:sz w:val="22"/>
          <w:highlight w:val="none"/>
        </w:rPr>
        <w:t>适用于合同的其他规范性文件：</w:t>
      </w:r>
      <w:r>
        <w:rPr>
          <w:rFonts w:hint="eastAsia" w:ascii="宋体" w:hAnsi="宋体" w:cs="宋体"/>
          <w:color w:val="auto"/>
          <w:sz w:val="22"/>
          <w:highlight w:val="none"/>
          <w:u w:val="single"/>
        </w:rPr>
        <w:t>现行的国家法律、行政法规及部门规章，工程所在地的政府及相关主管部门制定的规范性文件</w:t>
      </w:r>
      <w:r>
        <w:rPr>
          <w:rFonts w:hint="eastAsia" w:ascii="宋体" w:hAnsi="宋体" w:cs="宋体"/>
          <w:color w:val="auto"/>
          <w:sz w:val="22"/>
          <w:highlight w:val="none"/>
        </w:rPr>
        <w:t>。</w:t>
      </w:r>
    </w:p>
    <w:p w14:paraId="0C83661C">
      <w:pPr>
        <w:pStyle w:val="45"/>
        <w:spacing w:line="360" w:lineRule="exact"/>
        <w:rPr>
          <w:rFonts w:ascii="宋体" w:hAnsi="宋体" w:cs="宋体"/>
          <w:color w:val="auto"/>
          <w:sz w:val="22"/>
          <w:szCs w:val="22"/>
          <w:highlight w:val="none"/>
        </w:rPr>
      </w:pPr>
      <w:bookmarkStart w:id="297" w:name="_Toc533432720"/>
      <w:bookmarkStart w:id="298" w:name="_Toc12975885"/>
      <w:bookmarkStart w:id="299" w:name="_Toc373478342"/>
      <w:bookmarkStart w:id="300" w:name="_Toc395382497"/>
      <w:bookmarkStart w:id="301" w:name="_Toc389065261"/>
      <w:bookmarkStart w:id="302" w:name="_Toc373227695"/>
      <w:r>
        <w:rPr>
          <w:rFonts w:hint="eastAsia" w:ascii="宋体" w:hAnsi="宋体" w:cs="宋体"/>
          <w:color w:val="auto"/>
          <w:sz w:val="22"/>
          <w:szCs w:val="22"/>
          <w:highlight w:val="none"/>
        </w:rPr>
        <w:t>1.4 标准和规范</w:t>
      </w:r>
      <w:bookmarkEnd w:id="297"/>
      <w:bookmarkEnd w:id="298"/>
      <w:bookmarkEnd w:id="299"/>
      <w:bookmarkEnd w:id="300"/>
      <w:bookmarkEnd w:id="301"/>
      <w:bookmarkEnd w:id="302"/>
    </w:p>
    <w:p w14:paraId="63E298D2">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1.4.1 适用于工程的标准规范包括：</w:t>
      </w:r>
      <w:r>
        <w:rPr>
          <w:rFonts w:hint="eastAsia" w:ascii="宋体" w:hAnsi="宋体" w:cs="宋体"/>
          <w:color w:val="auto"/>
          <w:sz w:val="22"/>
          <w:highlight w:val="none"/>
          <w:u w:val="single"/>
        </w:rPr>
        <w:t xml:space="preserve">国家现行的施工规范、验收规范、验收标准。                                 </w:t>
      </w:r>
    </w:p>
    <w:p w14:paraId="0B95C9EA">
      <w:pPr>
        <w:pStyle w:val="44"/>
        <w:spacing w:line="360" w:lineRule="exact"/>
        <w:ind w:firstLine="440" w:firstLineChars="200"/>
        <w:rPr>
          <w:rFonts w:ascii="宋体" w:hAnsi="宋体" w:cs="宋体"/>
          <w:color w:val="auto"/>
          <w:kern w:val="0"/>
          <w:sz w:val="22"/>
          <w:highlight w:val="none"/>
        </w:rPr>
      </w:pPr>
      <w:r>
        <w:rPr>
          <w:rFonts w:hint="eastAsia" w:ascii="宋体" w:hAnsi="宋体" w:cs="宋体"/>
          <w:color w:val="auto"/>
          <w:kern w:val="0"/>
          <w:sz w:val="22"/>
          <w:highlight w:val="none"/>
        </w:rPr>
        <w:t>1.4.2 发包人提供国外标准、规范的名称：</w:t>
      </w:r>
      <w:r>
        <w:rPr>
          <w:rFonts w:hint="eastAsia" w:ascii="宋体" w:hAnsi="宋体" w:cs="宋体"/>
          <w:color w:val="auto"/>
          <w:sz w:val="22"/>
          <w:highlight w:val="none"/>
          <w:u w:val="single"/>
        </w:rPr>
        <w:t>无</w:t>
      </w:r>
      <w:r>
        <w:rPr>
          <w:rFonts w:hint="eastAsia" w:ascii="宋体" w:hAnsi="宋体" w:cs="宋体"/>
          <w:color w:val="auto"/>
          <w:sz w:val="22"/>
          <w:highlight w:val="none"/>
        </w:rPr>
        <w:t>；</w:t>
      </w:r>
    </w:p>
    <w:p w14:paraId="1B2685D4">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kern w:val="0"/>
          <w:sz w:val="22"/>
          <w:highlight w:val="none"/>
        </w:rPr>
        <w:t>发包人提供国外标准、规范的份数：</w:t>
      </w:r>
      <w:r>
        <w:rPr>
          <w:rFonts w:hint="eastAsia" w:ascii="宋体" w:hAnsi="宋体" w:cs="宋体"/>
          <w:color w:val="auto"/>
          <w:kern w:val="0"/>
          <w:sz w:val="22"/>
          <w:highlight w:val="none"/>
          <w:u w:val="single"/>
        </w:rPr>
        <w:t xml:space="preserve">无 </w:t>
      </w:r>
      <w:r>
        <w:rPr>
          <w:rFonts w:hint="eastAsia" w:ascii="宋体" w:hAnsi="宋体" w:cs="宋体"/>
          <w:color w:val="auto"/>
          <w:kern w:val="0"/>
          <w:sz w:val="22"/>
          <w:highlight w:val="none"/>
        </w:rPr>
        <w:t>。</w:t>
      </w:r>
    </w:p>
    <w:p w14:paraId="2651F907">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1.4.3 发包人对工程的技术标准和功能要求的特殊要求： </w:t>
      </w:r>
      <w:r>
        <w:rPr>
          <w:rFonts w:hint="eastAsia" w:ascii="宋体" w:hAnsi="宋体" w:cs="宋体"/>
          <w:color w:val="auto"/>
          <w:sz w:val="22"/>
          <w:highlight w:val="none"/>
          <w:u w:val="single"/>
        </w:rPr>
        <w:t xml:space="preserve">无 </w:t>
      </w:r>
      <w:r>
        <w:rPr>
          <w:rFonts w:hint="eastAsia" w:ascii="宋体" w:hAnsi="宋体" w:cs="宋体"/>
          <w:color w:val="auto"/>
          <w:sz w:val="22"/>
          <w:highlight w:val="none"/>
        </w:rPr>
        <w:t>。</w:t>
      </w:r>
    </w:p>
    <w:p w14:paraId="08CD9702">
      <w:pPr>
        <w:pStyle w:val="45"/>
        <w:spacing w:line="360" w:lineRule="exact"/>
        <w:rPr>
          <w:rFonts w:ascii="宋体" w:hAnsi="宋体" w:cs="宋体"/>
          <w:color w:val="auto"/>
          <w:sz w:val="22"/>
          <w:szCs w:val="22"/>
          <w:highlight w:val="none"/>
        </w:rPr>
      </w:pPr>
      <w:bookmarkStart w:id="303" w:name="_Toc533432721"/>
      <w:bookmarkStart w:id="304" w:name="_Toc373227696"/>
      <w:bookmarkStart w:id="305" w:name="_Toc12975886"/>
      <w:bookmarkStart w:id="306" w:name="_Toc389065262"/>
      <w:bookmarkStart w:id="307" w:name="_Toc373478343"/>
      <w:bookmarkStart w:id="308" w:name="_Toc395382498"/>
      <w:r>
        <w:rPr>
          <w:rFonts w:hint="eastAsia" w:ascii="宋体" w:hAnsi="宋体" w:cs="宋体"/>
          <w:color w:val="auto"/>
          <w:sz w:val="22"/>
          <w:szCs w:val="22"/>
          <w:highlight w:val="none"/>
        </w:rPr>
        <w:t>1.5 合同文件的优先顺序</w:t>
      </w:r>
      <w:bookmarkEnd w:id="303"/>
      <w:bookmarkEnd w:id="304"/>
      <w:bookmarkEnd w:id="305"/>
      <w:bookmarkEnd w:id="306"/>
      <w:bookmarkEnd w:id="307"/>
      <w:bookmarkEnd w:id="308"/>
    </w:p>
    <w:p w14:paraId="2A7C61F3">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合同文件组成及优先顺序为：</w:t>
      </w:r>
    </w:p>
    <w:p w14:paraId="467A790C">
      <w:pPr>
        <w:pStyle w:val="44"/>
        <w:numPr>
          <w:ilvl w:val="0"/>
          <w:numId w:val="3"/>
        </w:numPr>
        <w:spacing w:line="360" w:lineRule="exact"/>
        <w:ind w:firstLine="440" w:firstLineChars="200"/>
        <w:rPr>
          <w:rFonts w:ascii="宋体" w:hAnsi="宋体" w:cs="宋体"/>
          <w:color w:val="auto"/>
          <w:kern w:val="0"/>
          <w:sz w:val="22"/>
          <w:highlight w:val="none"/>
        </w:rPr>
      </w:pPr>
      <w:r>
        <w:rPr>
          <w:rFonts w:hint="eastAsia" w:ascii="宋体" w:hAnsi="宋体" w:cs="宋体"/>
          <w:color w:val="auto"/>
          <w:kern w:val="0"/>
          <w:sz w:val="22"/>
          <w:highlight w:val="none"/>
        </w:rPr>
        <w:t>合同协议书</w:t>
      </w:r>
    </w:p>
    <w:p w14:paraId="2DFD7ADD">
      <w:pPr>
        <w:pStyle w:val="44"/>
        <w:spacing w:line="360" w:lineRule="exact"/>
        <w:ind w:left="420" w:leftChars="200"/>
        <w:rPr>
          <w:rFonts w:ascii="宋体" w:hAnsi="宋体" w:cs="宋体"/>
          <w:color w:val="auto"/>
          <w:kern w:val="0"/>
          <w:sz w:val="22"/>
          <w:highlight w:val="none"/>
        </w:rPr>
      </w:pPr>
      <w:r>
        <w:rPr>
          <w:rFonts w:hint="eastAsia" w:ascii="宋体" w:hAnsi="宋体" w:cs="宋体"/>
          <w:color w:val="auto"/>
          <w:kern w:val="0"/>
          <w:sz w:val="22"/>
          <w:highlight w:val="none"/>
        </w:rPr>
        <w:t>（2）成交通知书；</w:t>
      </w:r>
    </w:p>
    <w:p w14:paraId="3B2980A8">
      <w:pPr>
        <w:pStyle w:val="44"/>
        <w:spacing w:line="360" w:lineRule="exact"/>
        <w:ind w:firstLine="440" w:firstLineChars="200"/>
        <w:rPr>
          <w:rFonts w:ascii="宋体" w:hAnsi="宋体" w:cs="宋体"/>
          <w:color w:val="auto"/>
          <w:kern w:val="0"/>
          <w:sz w:val="22"/>
          <w:highlight w:val="none"/>
        </w:rPr>
      </w:pPr>
      <w:r>
        <w:rPr>
          <w:rFonts w:hint="eastAsia" w:ascii="宋体" w:hAnsi="宋体" w:cs="宋体"/>
          <w:color w:val="auto"/>
          <w:kern w:val="0"/>
          <w:sz w:val="22"/>
          <w:highlight w:val="none"/>
        </w:rPr>
        <w:t>（3）磋商函及其附录；</w:t>
      </w:r>
    </w:p>
    <w:p w14:paraId="700C2FC8">
      <w:pPr>
        <w:pStyle w:val="44"/>
        <w:spacing w:line="360" w:lineRule="exact"/>
        <w:ind w:firstLine="440" w:firstLineChars="200"/>
        <w:rPr>
          <w:rFonts w:ascii="宋体" w:hAnsi="宋体" w:cs="宋体"/>
          <w:color w:val="auto"/>
          <w:kern w:val="0"/>
          <w:sz w:val="22"/>
          <w:highlight w:val="none"/>
        </w:rPr>
      </w:pPr>
      <w:r>
        <w:rPr>
          <w:rFonts w:hint="eastAsia" w:ascii="宋体" w:hAnsi="宋体" w:cs="宋体"/>
          <w:color w:val="auto"/>
          <w:kern w:val="0"/>
          <w:sz w:val="22"/>
          <w:highlight w:val="none"/>
        </w:rPr>
        <w:t>（4）专用合同条款及其附件；</w:t>
      </w:r>
    </w:p>
    <w:p w14:paraId="0E2CC472">
      <w:pPr>
        <w:pStyle w:val="44"/>
        <w:spacing w:line="360" w:lineRule="exact"/>
        <w:ind w:firstLine="440" w:firstLineChars="200"/>
        <w:rPr>
          <w:rFonts w:ascii="宋体" w:hAnsi="宋体" w:cs="宋体"/>
          <w:color w:val="auto"/>
          <w:kern w:val="0"/>
          <w:sz w:val="22"/>
          <w:highlight w:val="none"/>
        </w:rPr>
      </w:pPr>
      <w:r>
        <w:rPr>
          <w:rFonts w:hint="eastAsia" w:ascii="宋体" w:hAnsi="宋体" w:cs="宋体"/>
          <w:color w:val="auto"/>
          <w:kern w:val="0"/>
          <w:sz w:val="22"/>
          <w:highlight w:val="none"/>
        </w:rPr>
        <w:t>（5）通用合同条款；</w:t>
      </w:r>
    </w:p>
    <w:p w14:paraId="1EB17346">
      <w:pPr>
        <w:pStyle w:val="44"/>
        <w:spacing w:line="360" w:lineRule="exact"/>
        <w:ind w:firstLine="440" w:firstLineChars="200"/>
        <w:rPr>
          <w:rFonts w:ascii="宋体" w:hAnsi="宋体" w:cs="宋体"/>
          <w:color w:val="auto"/>
          <w:kern w:val="0"/>
          <w:sz w:val="22"/>
          <w:highlight w:val="none"/>
        </w:rPr>
      </w:pPr>
      <w:r>
        <w:rPr>
          <w:rFonts w:hint="eastAsia" w:ascii="宋体" w:hAnsi="宋体" w:cs="宋体"/>
          <w:color w:val="auto"/>
          <w:kern w:val="0"/>
          <w:sz w:val="22"/>
          <w:highlight w:val="none"/>
        </w:rPr>
        <w:t>（6）</w:t>
      </w:r>
      <w:r>
        <w:rPr>
          <w:rFonts w:hint="eastAsia" w:ascii="宋体" w:hAnsi="宋体" w:cs="宋体"/>
          <w:color w:val="auto"/>
          <w:kern w:val="0"/>
          <w:sz w:val="22"/>
          <w:highlight w:val="none"/>
          <w:u w:val="single"/>
        </w:rPr>
        <w:t xml:space="preserve">  技术标准和要求 </w:t>
      </w:r>
      <w:r>
        <w:rPr>
          <w:rFonts w:hint="eastAsia" w:ascii="宋体" w:hAnsi="宋体" w:cs="宋体"/>
          <w:color w:val="auto"/>
          <w:kern w:val="0"/>
          <w:sz w:val="22"/>
          <w:highlight w:val="none"/>
        </w:rPr>
        <w:t>；</w:t>
      </w:r>
    </w:p>
    <w:p w14:paraId="78F26E8F">
      <w:pPr>
        <w:pStyle w:val="44"/>
        <w:spacing w:line="360" w:lineRule="exact"/>
        <w:ind w:firstLine="440" w:firstLineChars="200"/>
        <w:rPr>
          <w:rFonts w:ascii="宋体" w:hAnsi="宋体" w:cs="宋体"/>
          <w:color w:val="auto"/>
          <w:kern w:val="0"/>
          <w:sz w:val="22"/>
          <w:highlight w:val="none"/>
        </w:rPr>
      </w:pPr>
      <w:r>
        <w:rPr>
          <w:rFonts w:hint="eastAsia" w:ascii="宋体" w:hAnsi="宋体" w:cs="宋体"/>
          <w:color w:val="auto"/>
          <w:kern w:val="0"/>
          <w:sz w:val="22"/>
          <w:highlight w:val="none"/>
        </w:rPr>
        <w:t>（7）</w:t>
      </w:r>
      <w:r>
        <w:rPr>
          <w:rFonts w:hint="eastAsia" w:ascii="宋体" w:hAnsi="宋体" w:cs="宋体"/>
          <w:color w:val="auto"/>
          <w:kern w:val="0"/>
          <w:sz w:val="22"/>
          <w:highlight w:val="none"/>
          <w:u w:val="single"/>
        </w:rPr>
        <w:t xml:space="preserve">  已标价工程量清单或预算书 </w:t>
      </w:r>
      <w:r>
        <w:rPr>
          <w:rFonts w:hint="eastAsia" w:ascii="宋体" w:hAnsi="宋体" w:cs="宋体"/>
          <w:color w:val="auto"/>
          <w:kern w:val="0"/>
          <w:sz w:val="22"/>
          <w:highlight w:val="none"/>
        </w:rPr>
        <w:t>；</w:t>
      </w:r>
    </w:p>
    <w:p w14:paraId="64126B7A">
      <w:pPr>
        <w:pStyle w:val="44"/>
        <w:spacing w:line="360" w:lineRule="exact"/>
        <w:ind w:firstLine="440" w:firstLineChars="200"/>
        <w:rPr>
          <w:rFonts w:ascii="宋体" w:hAnsi="宋体" w:cs="宋体"/>
          <w:color w:val="auto"/>
          <w:kern w:val="0"/>
          <w:sz w:val="22"/>
          <w:highlight w:val="none"/>
        </w:rPr>
      </w:pPr>
      <w:r>
        <w:rPr>
          <w:rFonts w:hint="eastAsia" w:ascii="宋体" w:hAnsi="宋体" w:cs="宋体"/>
          <w:color w:val="auto"/>
          <w:kern w:val="0"/>
          <w:sz w:val="22"/>
          <w:highlight w:val="none"/>
        </w:rPr>
        <w:t>（8）</w:t>
      </w:r>
      <w:r>
        <w:rPr>
          <w:rFonts w:hint="eastAsia" w:ascii="宋体" w:hAnsi="宋体" w:cs="宋体"/>
          <w:color w:val="auto"/>
          <w:kern w:val="0"/>
          <w:sz w:val="22"/>
          <w:highlight w:val="none"/>
          <w:u w:val="single"/>
        </w:rPr>
        <w:t xml:space="preserve">   图纸  </w:t>
      </w:r>
      <w:r>
        <w:rPr>
          <w:rFonts w:hint="eastAsia" w:ascii="宋体" w:hAnsi="宋体" w:cs="宋体"/>
          <w:color w:val="auto"/>
          <w:kern w:val="0"/>
          <w:sz w:val="22"/>
          <w:highlight w:val="none"/>
        </w:rPr>
        <w:t>；</w:t>
      </w:r>
    </w:p>
    <w:p w14:paraId="5602265C">
      <w:pPr>
        <w:pStyle w:val="44"/>
        <w:spacing w:line="360" w:lineRule="exact"/>
        <w:ind w:firstLine="440" w:firstLineChars="200"/>
        <w:rPr>
          <w:rFonts w:ascii="宋体" w:hAnsi="宋体" w:cs="宋体"/>
          <w:color w:val="auto"/>
          <w:kern w:val="0"/>
          <w:sz w:val="22"/>
          <w:highlight w:val="none"/>
        </w:rPr>
      </w:pPr>
      <w:r>
        <w:rPr>
          <w:rFonts w:hint="eastAsia" w:ascii="宋体" w:hAnsi="宋体" w:cs="宋体"/>
          <w:color w:val="auto"/>
          <w:kern w:val="0"/>
          <w:sz w:val="22"/>
          <w:highlight w:val="none"/>
        </w:rPr>
        <w:t>（9）</w:t>
      </w:r>
      <w:r>
        <w:rPr>
          <w:rFonts w:hint="eastAsia" w:ascii="宋体" w:hAnsi="宋体" w:cs="宋体"/>
          <w:color w:val="auto"/>
          <w:kern w:val="0"/>
          <w:sz w:val="22"/>
          <w:highlight w:val="none"/>
          <w:u w:val="single"/>
        </w:rPr>
        <w:t xml:space="preserve">  其他合同文件</w:t>
      </w:r>
      <w:r>
        <w:rPr>
          <w:rFonts w:hint="eastAsia" w:ascii="宋体" w:hAnsi="宋体" w:cs="宋体"/>
          <w:color w:val="auto"/>
          <w:kern w:val="0"/>
          <w:sz w:val="22"/>
          <w:highlight w:val="none"/>
        </w:rPr>
        <w:t>。</w:t>
      </w:r>
    </w:p>
    <w:p w14:paraId="6E5488FD">
      <w:pPr>
        <w:pStyle w:val="45"/>
        <w:spacing w:line="360" w:lineRule="exact"/>
        <w:rPr>
          <w:rFonts w:ascii="宋体" w:hAnsi="宋体" w:cs="宋体"/>
          <w:color w:val="auto"/>
          <w:sz w:val="22"/>
          <w:szCs w:val="22"/>
          <w:highlight w:val="none"/>
        </w:rPr>
      </w:pPr>
      <w:bookmarkStart w:id="309" w:name="_Toc395382499"/>
      <w:bookmarkStart w:id="310" w:name="_Toc533432722"/>
      <w:bookmarkStart w:id="311" w:name="_Toc389065263"/>
      <w:bookmarkStart w:id="312" w:name="_Toc373227697"/>
      <w:bookmarkStart w:id="313" w:name="_Toc373478344"/>
      <w:bookmarkStart w:id="314" w:name="_Toc12975887"/>
      <w:r>
        <w:rPr>
          <w:rFonts w:hint="eastAsia" w:ascii="宋体" w:hAnsi="宋体" w:cs="宋体"/>
          <w:color w:val="auto"/>
          <w:sz w:val="22"/>
          <w:szCs w:val="22"/>
          <w:highlight w:val="none"/>
        </w:rPr>
        <w:t>1.6 图纸和承包人文件</w:t>
      </w:r>
      <w:bookmarkEnd w:id="309"/>
      <w:bookmarkEnd w:id="310"/>
      <w:bookmarkEnd w:id="311"/>
      <w:bookmarkEnd w:id="312"/>
      <w:bookmarkEnd w:id="313"/>
      <w:bookmarkEnd w:id="314"/>
      <w:r>
        <w:rPr>
          <w:rFonts w:hint="eastAsia" w:ascii="宋体" w:hAnsi="宋体" w:cs="宋体"/>
          <w:color w:val="auto"/>
          <w:sz w:val="22"/>
          <w:szCs w:val="22"/>
          <w:highlight w:val="none"/>
        </w:rPr>
        <w:tab/>
      </w:r>
    </w:p>
    <w:p w14:paraId="285D8F44">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1.6.1 图纸的提供</w:t>
      </w:r>
    </w:p>
    <w:p w14:paraId="21DE33A1">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发包人向承包人提供图纸的期限：</w:t>
      </w:r>
      <w:r>
        <w:rPr>
          <w:rFonts w:hint="eastAsia" w:ascii="宋体" w:hAnsi="宋体" w:cs="宋体"/>
          <w:color w:val="auto"/>
          <w:sz w:val="22"/>
          <w:highlight w:val="none"/>
          <w:u w:val="single"/>
        </w:rPr>
        <w:t>合同签订后14天内</w:t>
      </w:r>
      <w:r>
        <w:rPr>
          <w:rFonts w:hint="eastAsia" w:ascii="宋体" w:hAnsi="宋体" w:cs="宋体"/>
          <w:color w:val="auto"/>
          <w:sz w:val="22"/>
          <w:highlight w:val="none"/>
        </w:rPr>
        <w:t>；</w:t>
      </w:r>
    </w:p>
    <w:p w14:paraId="70B2B31A">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发包人向承包人提供图纸的数量：</w:t>
      </w:r>
      <w:r>
        <w:rPr>
          <w:rFonts w:hint="eastAsia" w:ascii="宋体" w:hAnsi="宋体" w:cs="宋体"/>
          <w:color w:val="auto"/>
          <w:sz w:val="22"/>
          <w:highlight w:val="none"/>
          <w:u w:val="single"/>
        </w:rPr>
        <w:t>一套，承包人需要增加图纸套数的，发包人应代为复制，复制费用由承包人承担</w:t>
      </w:r>
      <w:r>
        <w:rPr>
          <w:rFonts w:hint="eastAsia" w:ascii="宋体" w:hAnsi="宋体" w:cs="宋体"/>
          <w:color w:val="auto"/>
          <w:sz w:val="22"/>
          <w:highlight w:val="none"/>
        </w:rPr>
        <w:t>；</w:t>
      </w:r>
    </w:p>
    <w:p w14:paraId="273758E0">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发包人向承包人提供图纸的内容：</w:t>
      </w:r>
      <w:r>
        <w:rPr>
          <w:rFonts w:hint="eastAsia" w:ascii="宋体" w:hAnsi="宋体" w:cs="宋体"/>
          <w:color w:val="auto"/>
          <w:sz w:val="22"/>
          <w:highlight w:val="none"/>
          <w:u w:val="single"/>
        </w:rPr>
        <w:t xml:space="preserve">以图纸内容为准 </w:t>
      </w:r>
      <w:r>
        <w:rPr>
          <w:rFonts w:hint="eastAsia" w:ascii="宋体" w:hAnsi="宋体" w:cs="宋体"/>
          <w:color w:val="auto"/>
          <w:sz w:val="22"/>
          <w:highlight w:val="none"/>
        </w:rPr>
        <w:t>。</w:t>
      </w:r>
    </w:p>
    <w:p w14:paraId="000BA470">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1.6.4 承包人文件</w:t>
      </w:r>
    </w:p>
    <w:p w14:paraId="22C11C15">
      <w:pPr>
        <w:pStyle w:val="46"/>
        <w:spacing w:line="360" w:lineRule="exact"/>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rPr>
        <w:t>需要由承包人提供的文件，包括：</w:t>
      </w:r>
      <w:r>
        <w:rPr>
          <w:rFonts w:hint="eastAsia" w:ascii="宋体" w:hAnsi="宋体" w:cs="宋体"/>
          <w:color w:val="auto"/>
          <w:sz w:val="22"/>
          <w:szCs w:val="22"/>
          <w:highlight w:val="none"/>
          <w:u w:val="single"/>
        </w:rPr>
        <w:t>（1）合同生效后15天内提供报建、报监及办理施工许可证等所需要的所有资料；（2）除另有约定外，合同生效后7天内应提供完善的（实施性）施工组织设计和安全专项方案及双方另行确定的其他文件</w:t>
      </w:r>
      <w:r>
        <w:rPr>
          <w:rFonts w:hint="eastAsia" w:ascii="宋体" w:hAnsi="宋体" w:cs="宋体"/>
          <w:color w:val="auto"/>
          <w:sz w:val="22"/>
          <w:szCs w:val="22"/>
          <w:highlight w:val="none"/>
        </w:rPr>
        <w:t>；</w:t>
      </w:r>
    </w:p>
    <w:p w14:paraId="2686D0E3">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承包人提供的文件的期限为：</w:t>
      </w:r>
      <w:r>
        <w:rPr>
          <w:rFonts w:hint="eastAsia" w:ascii="宋体" w:hAnsi="宋体" w:cs="宋体"/>
          <w:color w:val="auto"/>
          <w:sz w:val="22"/>
          <w:highlight w:val="none"/>
          <w:u w:val="single"/>
        </w:rPr>
        <w:t>报建手续开始前7天内</w:t>
      </w:r>
      <w:r>
        <w:rPr>
          <w:rFonts w:hint="eastAsia" w:ascii="宋体" w:hAnsi="宋体" w:cs="宋体"/>
          <w:color w:val="auto"/>
          <w:sz w:val="22"/>
          <w:highlight w:val="none"/>
        </w:rPr>
        <w:t>；</w:t>
      </w:r>
    </w:p>
    <w:p w14:paraId="262D921D">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承包人提供的文件的数量为：</w:t>
      </w:r>
      <w:r>
        <w:rPr>
          <w:rFonts w:hint="eastAsia" w:ascii="宋体" w:hAnsi="宋体" w:cs="宋体"/>
          <w:color w:val="auto"/>
          <w:sz w:val="22"/>
          <w:highlight w:val="none"/>
          <w:u w:val="single"/>
        </w:rPr>
        <w:t>按实提供</w:t>
      </w:r>
      <w:r>
        <w:rPr>
          <w:rFonts w:hint="eastAsia" w:ascii="宋体" w:hAnsi="宋体" w:cs="宋体"/>
          <w:color w:val="auto"/>
          <w:sz w:val="22"/>
          <w:highlight w:val="none"/>
        </w:rPr>
        <w:t>；</w:t>
      </w:r>
    </w:p>
    <w:p w14:paraId="7CE78FED">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承包人提供的文件的形式为：</w:t>
      </w:r>
      <w:r>
        <w:rPr>
          <w:rFonts w:hint="eastAsia" w:ascii="宋体" w:hAnsi="宋体" w:cs="宋体"/>
          <w:color w:val="auto"/>
          <w:sz w:val="22"/>
          <w:highlight w:val="none"/>
          <w:u w:val="single"/>
        </w:rPr>
        <w:t xml:space="preserve"> 书面（含电子扫描版）及电子文档 </w:t>
      </w:r>
      <w:r>
        <w:rPr>
          <w:rFonts w:hint="eastAsia" w:ascii="宋体" w:hAnsi="宋体" w:cs="宋体"/>
          <w:color w:val="auto"/>
          <w:sz w:val="22"/>
          <w:highlight w:val="none"/>
        </w:rPr>
        <w:t>；</w:t>
      </w:r>
    </w:p>
    <w:p w14:paraId="42610726">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发包人审批承包人文件的期限：</w:t>
      </w:r>
      <w:r>
        <w:rPr>
          <w:rFonts w:hint="eastAsia" w:ascii="宋体" w:hAnsi="宋体" w:cs="宋体"/>
          <w:color w:val="auto"/>
          <w:sz w:val="22"/>
          <w:highlight w:val="none"/>
          <w:u w:val="single"/>
        </w:rPr>
        <w:t>收到承包人提供的文件后28天</w:t>
      </w:r>
      <w:r>
        <w:rPr>
          <w:rFonts w:hint="eastAsia" w:ascii="宋体" w:hAnsi="宋体" w:cs="宋体"/>
          <w:color w:val="auto"/>
          <w:sz w:val="22"/>
          <w:highlight w:val="none"/>
        </w:rPr>
        <w:t>。</w:t>
      </w:r>
    </w:p>
    <w:p w14:paraId="05A526F2">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1.6.5 现场图纸准备</w:t>
      </w:r>
    </w:p>
    <w:p w14:paraId="27EAC233">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关于现场图纸准备的约定：</w:t>
      </w:r>
      <w:r>
        <w:rPr>
          <w:rFonts w:hint="eastAsia" w:ascii="宋体" w:hAnsi="宋体" w:cs="宋体"/>
          <w:color w:val="auto"/>
          <w:sz w:val="22"/>
          <w:highlight w:val="none"/>
          <w:u w:val="single"/>
        </w:rPr>
        <w:t>承包人在施工现场保留一份完整的设计文件，供甲方及有关人员进行工程检查时使用</w:t>
      </w:r>
      <w:r>
        <w:rPr>
          <w:rFonts w:hint="eastAsia" w:ascii="宋体" w:hAnsi="宋体" w:cs="宋体"/>
          <w:color w:val="auto"/>
          <w:sz w:val="22"/>
          <w:highlight w:val="none"/>
        </w:rPr>
        <w:t>。</w:t>
      </w:r>
    </w:p>
    <w:p w14:paraId="5BA18A33">
      <w:pPr>
        <w:pStyle w:val="45"/>
        <w:spacing w:line="360" w:lineRule="exact"/>
        <w:rPr>
          <w:rFonts w:ascii="宋体" w:hAnsi="宋体" w:cs="宋体"/>
          <w:color w:val="auto"/>
          <w:sz w:val="22"/>
          <w:szCs w:val="22"/>
          <w:highlight w:val="none"/>
        </w:rPr>
      </w:pPr>
      <w:bookmarkStart w:id="315" w:name="_Toc373227698"/>
      <w:bookmarkStart w:id="316" w:name="_Toc373478345"/>
      <w:bookmarkStart w:id="317" w:name="_Toc389065264"/>
      <w:bookmarkStart w:id="318" w:name="_Toc12975888"/>
      <w:bookmarkStart w:id="319" w:name="_Toc395382500"/>
      <w:bookmarkStart w:id="320" w:name="_Toc533432723"/>
      <w:r>
        <w:rPr>
          <w:rFonts w:hint="eastAsia" w:ascii="宋体" w:hAnsi="宋体" w:cs="宋体"/>
          <w:color w:val="auto"/>
          <w:sz w:val="22"/>
          <w:szCs w:val="22"/>
          <w:highlight w:val="none"/>
        </w:rPr>
        <w:t>1.7 联络</w:t>
      </w:r>
      <w:bookmarkEnd w:id="315"/>
      <w:bookmarkEnd w:id="316"/>
      <w:bookmarkEnd w:id="317"/>
      <w:bookmarkEnd w:id="318"/>
      <w:bookmarkEnd w:id="319"/>
      <w:bookmarkEnd w:id="320"/>
    </w:p>
    <w:p w14:paraId="7C52618E">
      <w:pPr>
        <w:pStyle w:val="44"/>
        <w:spacing w:line="360" w:lineRule="exact"/>
        <w:ind w:firstLine="440" w:firstLineChars="200"/>
        <w:rPr>
          <w:rFonts w:ascii="宋体" w:hAnsi="宋体" w:cs="宋体"/>
          <w:color w:val="auto"/>
          <w:kern w:val="0"/>
          <w:sz w:val="22"/>
          <w:highlight w:val="none"/>
        </w:rPr>
      </w:pPr>
      <w:r>
        <w:rPr>
          <w:rFonts w:hint="eastAsia" w:ascii="宋体" w:hAnsi="宋体" w:cs="宋体"/>
          <w:color w:val="auto"/>
          <w:kern w:val="0"/>
          <w:sz w:val="22"/>
          <w:highlight w:val="none"/>
        </w:rPr>
        <w:t>1.7.1发包人和承包人应当在</w:t>
      </w:r>
      <w:r>
        <w:rPr>
          <w:rFonts w:hint="eastAsia" w:ascii="宋体" w:hAnsi="宋体" w:cs="宋体"/>
          <w:color w:val="auto"/>
          <w:sz w:val="22"/>
          <w:highlight w:val="none"/>
          <w:u w:val="single"/>
        </w:rPr>
        <w:t xml:space="preserve"> 5 </w:t>
      </w:r>
      <w:r>
        <w:rPr>
          <w:rFonts w:hint="eastAsia" w:ascii="宋体" w:hAnsi="宋体" w:cs="宋体"/>
          <w:color w:val="auto"/>
          <w:kern w:val="0"/>
          <w:sz w:val="22"/>
          <w:highlight w:val="none"/>
        </w:rPr>
        <w:t>天内将与合同有关的通知、批准、证明、证书、指示、指令、要求、请求、同意、意见、确定和决定等书面函件送达对方当事人。</w:t>
      </w:r>
    </w:p>
    <w:p w14:paraId="7B18E4D9">
      <w:pPr>
        <w:pStyle w:val="44"/>
        <w:spacing w:line="360" w:lineRule="exact"/>
        <w:ind w:firstLine="440" w:firstLineChars="200"/>
        <w:rPr>
          <w:rFonts w:ascii="宋体" w:hAnsi="宋体" w:cs="宋体"/>
          <w:color w:val="auto"/>
          <w:kern w:val="0"/>
          <w:sz w:val="22"/>
          <w:highlight w:val="none"/>
        </w:rPr>
      </w:pPr>
      <w:r>
        <w:rPr>
          <w:rFonts w:hint="eastAsia" w:ascii="宋体" w:hAnsi="宋体" w:cs="宋体"/>
          <w:color w:val="auto"/>
          <w:kern w:val="0"/>
          <w:sz w:val="22"/>
          <w:highlight w:val="none"/>
        </w:rPr>
        <w:t>1.7.2 发包人接收文件的地点：</w:t>
      </w:r>
      <w:r>
        <w:rPr>
          <w:rFonts w:hint="eastAsia" w:ascii="宋体" w:hAnsi="宋体" w:cs="宋体"/>
          <w:color w:val="auto"/>
          <w:sz w:val="22"/>
          <w:highlight w:val="none"/>
          <w:u w:val="single"/>
        </w:rPr>
        <w:t>发包人办公室  </w:t>
      </w:r>
      <w:r>
        <w:rPr>
          <w:rFonts w:hint="eastAsia" w:ascii="宋体" w:hAnsi="宋体" w:cs="宋体"/>
          <w:color w:val="auto"/>
          <w:kern w:val="0"/>
          <w:sz w:val="22"/>
          <w:highlight w:val="none"/>
        </w:rPr>
        <w:t>；</w:t>
      </w:r>
    </w:p>
    <w:p w14:paraId="1C0BED6B">
      <w:pPr>
        <w:pStyle w:val="44"/>
        <w:spacing w:line="360" w:lineRule="exact"/>
        <w:ind w:firstLine="440" w:firstLineChars="200"/>
        <w:rPr>
          <w:rFonts w:ascii="宋体" w:hAnsi="宋体" w:cs="宋体"/>
          <w:color w:val="auto"/>
          <w:kern w:val="0"/>
          <w:sz w:val="22"/>
          <w:highlight w:val="none"/>
        </w:rPr>
      </w:pPr>
      <w:r>
        <w:rPr>
          <w:rFonts w:hint="eastAsia" w:ascii="宋体" w:hAnsi="宋体" w:cs="宋体"/>
          <w:color w:val="auto"/>
          <w:kern w:val="0"/>
          <w:sz w:val="22"/>
          <w:highlight w:val="none"/>
        </w:rPr>
        <w:t>发包人指定的接收人为：</w:t>
      </w:r>
      <w:r>
        <w:rPr>
          <w:rFonts w:hint="eastAsia" w:ascii="宋体" w:hAnsi="宋体" w:cs="宋体"/>
          <w:color w:val="auto"/>
          <w:sz w:val="22"/>
          <w:highlight w:val="none"/>
          <w:u w:val="single"/>
        </w:rPr>
        <w:t xml:space="preserve"> 发包人现场代表 </w:t>
      </w:r>
      <w:r>
        <w:rPr>
          <w:rFonts w:hint="eastAsia" w:ascii="宋体" w:hAnsi="宋体" w:cs="宋体"/>
          <w:color w:val="auto"/>
          <w:kern w:val="0"/>
          <w:sz w:val="22"/>
          <w:highlight w:val="none"/>
        </w:rPr>
        <w:t>。</w:t>
      </w:r>
    </w:p>
    <w:p w14:paraId="59BC0980">
      <w:pPr>
        <w:pStyle w:val="44"/>
        <w:spacing w:line="360" w:lineRule="exact"/>
        <w:ind w:firstLine="440" w:firstLineChars="200"/>
        <w:rPr>
          <w:rFonts w:ascii="宋体" w:hAnsi="宋体" w:cs="宋体"/>
          <w:color w:val="auto"/>
          <w:kern w:val="0"/>
          <w:sz w:val="22"/>
          <w:highlight w:val="none"/>
        </w:rPr>
      </w:pPr>
      <w:r>
        <w:rPr>
          <w:rFonts w:hint="eastAsia" w:ascii="宋体" w:hAnsi="宋体" w:cs="宋体"/>
          <w:color w:val="auto"/>
          <w:kern w:val="0"/>
          <w:sz w:val="22"/>
          <w:highlight w:val="none"/>
        </w:rPr>
        <w:t>承包人接收文件的地点：</w:t>
      </w:r>
      <w:r>
        <w:rPr>
          <w:rFonts w:hint="eastAsia" w:ascii="宋体" w:hAnsi="宋体" w:cs="宋体"/>
          <w:color w:val="auto"/>
          <w:sz w:val="22"/>
          <w:highlight w:val="none"/>
          <w:u w:val="single"/>
        </w:rPr>
        <w:t>项目所在地承包人项目部</w:t>
      </w:r>
      <w:r>
        <w:rPr>
          <w:rFonts w:hint="eastAsia" w:ascii="宋体" w:hAnsi="宋体" w:cs="宋体"/>
          <w:color w:val="auto"/>
          <w:kern w:val="0"/>
          <w:sz w:val="22"/>
          <w:highlight w:val="none"/>
        </w:rPr>
        <w:t>；</w:t>
      </w:r>
    </w:p>
    <w:p w14:paraId="729B459B">
      <w:pPr>
        <w:pStyle w:val="44"/>
        <w:spacing w:line="360" w:lineRule="exact"/>
        <w:ind w:firstLine="440" w:firstLineChars="200"/>
        <w:rPr>
          <w:rFonts w:ascii="宋体" w:hAnsi="宋体" w:cs="宋体"/>
          <w:color w:val="auto"/>
          <w:kern w:val="0"/>
          <w:sz w:val="22"/>
          <w:highlight w:val="none"/>
        </w:rPr>
      </w:pPr>
      <w:r>
        <w:rPr>
          <w:rFonts w:hint="eastAsia" w:ascii="宋体" w:hAnsi="宋体" w:cs="宋体"/>
          <w:color w:val="auto"/>
          <w:kern w:val="0"/>
          <w:sz w:val="22"/>
          <w:highlight w:val="none"/>
        </w:rPr>
        <w:t>承包人指定的接收人为：</w:t>
      </w:r>
      <w:r>
        <w:rPr>
          <w:rFonts w:hint="eastAsia" w:ascii="宋体" w:hAnsi="宋体" w:cs="宋体"/>
          <w:color w:val="auto"/>
          <w:sz w:val="22"/>
          <w:highlight w:val="none"/>
          <w:u w:val="single"/>
        </w:rPr>
        <w:t>承包人项目经理</w:t>
      </w:r>
      <w:r>
        <w:rPr>
          <w:rFonts w:hint="eastAsia" w:ascii="宋体" w:hAnsi="宋体" w:cs="宋体"/>
          <w:color w:val="auto"/>
          <w:kern w:val="0"/>
          <w:sz w:val="22"/>
          <w:highlight w:val="none"/>
        </w:rPr>
        <w:t>。</w:t>
      </w:r>
    </w:p>
    <w:p w14:paraId="33D7BBA6">
      <w:pPr>
        <w:pStyle w:val="44"/>
        <w:spacing w:line="360" w:lineRule="exact"/>
        <w:ind w:firstLine="440" w:firstLineChars="200"/>
        <w:rPr>
          <w:rFonts w:ascii="宋体" w:hAnsi="宋体" w:cs="宋体"/>
          <w:color w:val="auto"/>
          <w:kern w:val="0"/>
          <w:sz w:val="22"/>
          <w:highlight w:val="none"/>
        </w:rPr>
      </w:pPr>
      <w:r>
        <w:rPr>
          <w:rFonts w:hint="eastAsia" w:ascii="宋体" w:hAnsi="宋体" w:cs="宋体"/>
          <w:color w:val="auto"/>
          <w:kern w:val="0"/>
          <w:sz w:val="22"/>
          <w:highlight w:val="none"/>
        </w:rPr>
        <w:t>监理人接收文件的地点：</w:t>
      </w:r>
      <w:r>
        <w:rPr>
          <w:rFonts w:hint="eastAsia" w:ascii="宋体" w:hAnsi="宋体" w:cs="宋体"/>
          <w:color w:val="auto"/>
          <w:sz w:val="22"/>
          <w:highlight w:val="none"/>
          <w:u w:val="single"/>
        </w:rPr>
        <w:t>项目所在地监理人办公室</w:t>
      </w:r>
      <w:r>
        <w:rPr>
          <w:rFonts w:hint="eastAsia" w:ascii="宋体" w:hAnsi="宋体" w:cs="宋体"/>
          <w:color w:val="auto"/>
          <w:kern w:val="0"/>
          <w:sz w:val="22"/>
          <w:highlight w:val="none"/>
        </w:rPr>
        <w:t>；</w:t>
      </w:r>
    </w:p>
    <w:p w14:paraId="2A1CE059">
      <w:pPr>
        <w:pStyle w:val="44"/>
        <w:spacing w:line="360" w:lineRule="exact"/>
        <w:ind w:firstLine="440" w:firstLineChars="200"/>
        <w:rPr>
          <w:rFonts w:ascii="宋体" w:hAnsi="宋体" w:cs="宋体"/>
          <w:color w:val="auto"/>
          <w:kern w:val="0"/>
          <w:sz w:val="22"/>
          <w:highlight w:val="none"/>
        </w:rPr>
      </w:pPr>
      <w:r>
        <w:rPr>
          <w:rFonts w:hint="eastAsia" w:ascii="宋体" w:hAnsi="宋体" w:cs="宋体"/>
          <w:color w:val="auto"/>
          <w:kern w:val="0"/>
          <w:sz w:val="22"/>
          <w:highlight w:val="none"/>
        </w:rPr>
        <w:t>监理人指定的接收人为：</w:t>
      </w:r>
      <w:r>
        <w:rPr>
          <w:rFonts w:hint="eastAsia" w:ascii="宋体" w:hAnsi="宋体" w:cs="宋体"/>
          <w:color w:val="auto"/>
          <w:sz w:val="22"/>
          <w:highlight w:val="none"/>
          <w:u w:val="single"/>
        </w:rPr>
        <w:t>总监理工程师</w:t>
      </w:r>
      <w:r>
        <w:rPr>
          <w:rFonts w:hint="eastAsia" w:ascii="宋体" w:hAnsi="宋体" w:cs="宋体"/>
          <w:color w:val="auto"/>
          <w:kern w:val="0"/>
          <w:sz w:val="22"/>
          <w:highlight w:val="none"/>
        </w:rPr>
        <w:t>。</w:t>
      </w:r>
    </w:p>
    <w:p w14:paraId="077A09A8">
      <w:pPr>
        <w:pStyle w:val="44"/>
        <w:spacing w:line="360" w:lineRule="exact"/>
        <w:ind w:firstLine="440" w:firstLineChars="200"/>
        <w:rPr>
          <w:rFonts w:ascii="宋体" w:hAnsi="宋体" w:cs="宋体"/>
          <w:color w:val="auto"/>
          <w:kern w:val="0"/>
          <w:sz w:val="22"/>
          <w:highlight w:val="none"/>
        </w:rPr>
      </w:pPr>
    </w:p>
    <w:p w14:paraId="080ACD0C">
      <w:pPr>
        <w:pStyle w:val="46"/>
        <w:spacing w:line="360" w:lineRule="exact"/>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与合同有关的工程联系单、变更申请、变更建议、通知、批准、证明、证书、指示、要求、请求、同意、意见、确定和决定等，均应采用书面形式（同时提供电子扫描版）。</w:t>
      </w:r>
    </w:p>
    <w:p w14:paraId="1F971A0F">
      <w:pPr>
        <w:pStyle w:val="46"/>
        <w:spacing w:line="360" w:lineRule="exact"/>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以上所述文件必须经项目经理签字并盖执业印章，且加盖已经授权的项目部公章或企业公章后生效。任何形式的资料专用章、技术专用章和现场业务专用章等形式的公章用于以上文件无效。</w:t>
      </w:r>
    </w:p>
    <w:p w14:paraId="7B17AECA">
      <w:pPr>
        <w:pStyle w:val="46"/>
        <w:spacing w:line="360" w:lineRule="exact"/>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发包人的工程管理部的印章（公章名称：）适用于：（1）通知、批准、证明、指示、要求、请求、同意、意见和确定等管理文件是有效的。（2）工程技术资料，包括所有与工程有关的技术资料。</w:t>
      </w:r>
    </w:p>
    <w:p w14:paraId="3FF222D3">
      <w:pPr>
        <w:pStyle w:val="46"/>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u w:val="single"/>
        </w:rPr>
        <w:t>发包人的工程管理部的印章（公章名称：）不适用于：不适用于任何修改合同、减轻（或增加）双方合同权利和义务的文件，如以上所述文件涉及到修改合同、减轻（或增加）双方合同权利和义务时，该工作无效。涉及到修改合同、减轻（或增加）双方合同权利和义务时，必须加盖发包人的公司公章。</w:t>
      </w:r>
    </w:p>
    <w:p w14:paraId="4E6DC8B9">
      <w:pPr>
        <w:pStyle w:val="45"/>
        <w:spacing w:line="360" w:lineRule="exact"/>
        <w:rPr>
          <w:rFonts w:ascii="宋体" w:hAnsi="宋体" w:cs="宋体"/>
          <w:color w:val="auto"/>
          <w:sz w:val="22"/>
          <w:szCs w:val="22"/>
          <w:highlight w:val="none"/>
        </w:rPr>
      </w:pPr>
      <w:bookmarkStart w:id="321" w:name="_Toc373478346"/>
      <w:bookmarkStart w:id="322" w:name="_Toc533432724"/>
      <w:bookmarkStart w:id="323" w:name="_Toc389065265"/>
      <w:bookmarkStart w:id="324" w:name="_Toc395382501"/>
      <w:bookmarkStart w:id="325" w:name="_Toc373227699"/>
      <w:bookmarkStart w:id="326" w:name="_Toc12975889"/>
      <w:r>
        <w:rPr>
          <w:rFonts w:hint="eastAsia" w:ascii="宋体" w:hAnsi="宋体" w:cs="宋体"/>
          <w:color w:val="auto"/>
          <w:sz w:val="22"/>
          <w:szCs w:val="22"/>
          <w:highlight w:val="none"/>
        </w:rPr>
        <w:t>1.10 交通运输</w:t>
      </w:r>
      <w:bookmarkEnd w:id="321"/>
      <w:bookmarkEnd w:id="322"/>
      <w:bookmarkEnd w:id="323"/>
      <w:bookmarkEnd w:id="324"/>
      <w:bookmarkEnd w:id="325"/>
      <w:bookmarkEnd w:id="326"/>
    </w:p>
    <w:p w14:paraId="0C3067D9">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w:t>
      </w:r>
      <w:bookmarkStart w:id="327" w:name="_Toc312677986"/>
      <w:bookmarkStart w:id="328" w:name="_Toc300934943"/>
      <w:bookmarkStart w:id="329" w:name="_Toc318581155"/>
      <w:bookmarkStart w:id="330" w:name="_Toc304295521"/>
      <w:bookmarkStart w:id="331" w:name="_Toc303539100"/>
      <w:r>
        <w:rPr>
          <w:rFonts w:hint="eastAsia" w:ascii="宋体" w:hAnsi="宋体" w:cs="宋体"/>
          <w:color w:val="auto"/>
          <w:sz w:val="22"/>
          <w:highlight w:val="none"/>
        </w:rPr>
        <w:t>.10.1 出入现场的权利</w:t>
      </w:r>
    </w:p>
    <w:p w14:paraId="18866E21">
      <w:pPr>
        <w:pStyle w:val="44"/>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关于出入现场的权利的约定：</w:t>
      </w:r>
      <w:r>
        <w:rPr>
          <w:rFonts w:hint="eastAsia" w:ascii="宋体" w:hAnsi="宋体" w:cs="宋体"/>
          <w:color w:val="auto"/>
          <w:sz w:val="22"/>
          <w:highlight w:val="none"/>
          <w:u w:val="single"/>
        </w:rPr>
        <w:t>由承包人按发包人要求负责取得出入施工现场所需的批准手续和全部权利，以及取得因施工所需修建道路、桥梁以及其他基础设施的权利，相关权利取得的手续费用和建设费用由承包人承担</w:t>
      </w:r>
      <w:r>
        <w:rPr>
          <w:rFonts w:hint="eastAsia" w:ascii="宋体" w:hAnsi="宋体" w:cs="宋体"/>
          <w:color w:val="auto"/>
          <w:sz w:val="22"/>
          <w:highlight w:val="none"/>
        </w:rPr>
        <w:t>。</w:t>
      </w:r>
    </w:p>
    <w:bookmarkEnd w:id="327"/>
    <w:bookmarkEnd w:id="328"/>
    <w:bookmarkEnd w:id="329"/>
    <w:bookmarkEnd w:id="330"/>
    <w:bookmarkEnd w:id="331"/>
    <w:p w14:paraId="730C6E77">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w:t>
      </w:r>
      <w:bookmarkStart w:id="332" w:name="_Toc300934944"/>
      <w:bookmarkStart w:id="333" w:name="_Toc303539101"/>
      <w:bookmarkStart w:id="334" w:name="_Toc304295522"/>
      <w:bookmarkStart w:id="335" w:name="_Toc312677987"/>
      <w:bookmarkStart w:id="336" w:name="_Toc318581156"/>
      <w:r>
        <w:rPr>
          <w:rFonts w:hint="eastAsia" w:ascii="宋体" w:hAnsi="宋体" w:cs="宋体"/>
          <w:color w:val="auto"/>
          <w:sz w:val="22"/>
          <w:highlight w:val="none"/>
        </w:rPr>
        <w:t>.10.3 场内交通</w:t>
      </w:r>
    </w:p>
    <w:p w14:paraId="6C29C214">
      <w:pPr>
        <w:pStyle w:val="44"/>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关于场外交通和场内交通的边界的约定：</w:t>
      </w:r>
      <w:r>
        <w:rPr>
          <w:rFonts w:hint="eastAsia" w:ascii="宋体" w:hAnsi="宋体" w:cs="宋体"/>
          <w:color w:val="auto"/>
          <w:sz w:val="22"/>
          <w:highlight w:val="none"/>
          <w:u w:val="single"/>
        </w:rPr>
        <w:t xml:space="preserve">以规划批复总平用地红线为界 </w:t>
      </w:r>
      <w:r>
        <w:rPr>
          <w:rFonts w:hint="eastAsia" w:ascii="宋体" w:hAnsi="宋体" w:cs="宋体"/>
          <w:color w:val="auto"/>
          <w:sz w:val="22"/>
          <w:highlight w:val="none"/>
        </w:rPr>
        <w:t>。</w:t>
      </w:r>
    </w:p>
    <w:p w14:paraId="1F546730">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关于发包人向承包人免费提供满足工程施工需要的场内道路和交通设施的约定：</w:t>
      </w:r>
      <w:r>
        <w:rPr>
          <w:rFonts w:hint="eastAsia" w:ascii="宋体" w:hAnsi="宋体" w:cs="宋体"/>
          <w:color w:val="auto"/>
          <w:sz w:val="22"/>
          <w:highlight w:val="none"/>
          <w:u w:val="single"/>
        </w:rPr>
        <w:t>发包人不提供任何满足工程施工需要的场内、场外道路和交通设施，由承包人根据实际需要自行解决</w:t>
      </w:r>
      <w:r>
        <w:rPr>
          <w:rFonts w:hint="eastAsia" w:ascii="宋体" w:hAnsi="宋体" w:cs="宋体"/>
          <w:color w:val="auto"/>
          <w:sz w:val="22"/>
          <w:highlight w:val="none"/>
        </w:rPr>
        <w:t>。</w:t>
      </w:r>
      <w:bookmarkEnd w:id="332"/>
      <w:bookmarkEnd w:id="333"/>
      <w:bookmarkEnd w:id="334"/>
      <w:bookmarkEnd w:id="335"/>
      <w:bookmarkEnd w:id="336"/>
      <w:bookmarkStart w:id="337" w:name="_Toc318581157"/>
    </w:p>
    <w:p w14:paraId="39F455D1">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1.10.4 超大件和超重件的运输</w:t>
      </w:r>
    </w:p>
    <w:p w14:paraId="69352C10">
      <w:pPr>
        <w:pStyle w:val="44"/>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rPr>
        <w:t>运输超大件或超重件所需的道路和桥梁临时加固改造费用和其他有关费用由</w:t>
      </w:r>
      <w:r>
        <w:rPr>
          <w:rFonts w:hint="eastAsia" w:ascii="宋体" w:hAnsi="宋体" w:cs="宋体"/>
          <w:color w:val="auto"/>
          <w:sz w:val="22"/>
          <w:highlight w:val="none"/>
          <w:u w:val="single"/>
        </w:rPr>
        <w:t xml:space="preserve"> 承包人</w:t>
      </w:r>
      <w:r>
        <w:rPr>
          <w:rFonts w:hint="eastAsia" w:ascii="宋体" w:hAnsi="宋体" w:cs="宋体"/>
          <w:color w:val="auto"/>
          <w:sz w:val="22"/>
          <w:highlight w:val="none"/>
        </w:rPr>
        <w:t>承担。</w:t>
      </w:r>
    </w:p>
    <w:bookmarkEnd w:id="337"/>
    <w:p w14:paraId="17AF22A0">
      <w:pPr>
        <w:pStyle w:val="45"/>
        <w:spacing w:line="360" w:lineRule="exact"/>
        <w:rPr>
          <w:rFonts w:ascii="宋体" w:hAnsi="宋体" w:cs="宋体"/>
          <w:color w:val="auto"/>
          <w:sz w:val="22"/>
          <w:szCs w:val="22"/>
          <w:highlight w:val="none"/>
        </w:rPr>
      </w:pPr>
      <w:bookmarkStart w:id="338" w:name="_Toc389065266"/>
      <w:bookmarkStart w:id="339" w:name="_Toc12975890"/>
      <w:bookmarkStart w:id="340" w:name="_Toc373227700"/>
      <w:bookmarkStart w:id="341" w:name="_Toc533432725"/>
      <w:bookmarkStart w:id="342" w:name="_Toc395382502"/>
      <w:bookmarkStart w:id="343" w:name="_Toc373478347"/>
      <w:r>
        <w:rPr>
          <w:rFonts w:hint="eastAsia" w:ascii="宋体" w:hAnsi="宋体" w:cs="宋体"/>
          <w:color w:val="auto"/>
          <w:sz w:val="22"/>
          <w:szCs w:val="22"/>
          <w:highlight w:val="none"/>
        </w:rPr>
        <w:t>1.11 知识产权</w:t>
      </w:r>
      <w:bookmarkEnd w:id="338"/>
      <w:bookmarkEnd w:id="339"/>
      <w:bookmarkEnd w:id="340"/>
      <w:bookmarkEnd w:id="341"/>
      <w:bookmarkEnd w:id="342"/>
      <w:bookmarkEnd w:id="343"/>
    </w:p>
    <w:p w14:paraId="2D149BAD">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2"/>
          <w:highlight w:val="none"/>
          <w:u w:val="single"/>
        </w:rPr>
        <w:t></w:t>
      </w:r>
      <w:r>
        <w:rPr>
          <w:rFonts w:hint="eastAsia" w:ascii="宋体" w:hAnsi="宋体" w:cs="宋体"/>
          <w:b/>
          <w:bCs/>
          <w:color w:val="auto"/>
          <w:sz w:val="22"/>
          <w:highlight w:val="none"/>
          <w:u w:val="single"/>
        </w:rPr>
        <w:t xml:space="preserve">归属发包人所有，承包人不得向其他人转借、出售或泄露与本项目有关的上述文件资料情况  </w:t>
      </w:r>
      <w:r>
        <w:rPr>
          <w:rFonts w:hint="eastAsia" w:ascii="宋体" w:hAnsi="宋体" w:cs="宋体"/>
          <w:color w:val="auto"/>
          <w:sz w:val="22"/>
          <w:highlight w:val="none"/>
        </w:rPr>
        <w:t>。</w:t>
      </w:r>
    </w:p>
    <w:p w14:paraId="20B6D84B">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关于发包人提供的上述文件的使用限制的要求：</w:t>
      </w:r>
      <w:r>
        <w:rPr>
          <w:rFonts w:hint="eastAsia" w:ascii="宋体" w:hAnsi="宋体" w:cs="宋体"/>
          <w:color w:val="auto"/>
          <w:sz w:val="22"/>
          <w:highlight w:val="none"/>
          <w:u w:val="single"/>
        </w:rPr>
        <w:t xml:space="preserve">   </w:t>
      </w:r>
      <w:r>
        <w:rPr>
          <w:rFonts w:hint="eastAsia" w:ascii="宋体" w:hAnsi="宋体" w:cs="宋体"/>
          <w:b/>
          <w:bCs/>
          <w:color w:val="auto"/>
          <w:sz w:val="22"/>
          <w:highlight w:val="none"/>
          <w:u w:val="single"/>
        </w:rPr>
        <w:t>仅使用于本项目的建设</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w:t>
      </w:r>
    </w:p>
    <w:p w14:paraId="1BF7C442">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1.11.2 关于承包人为实施工程所编制文件的著作权的归属：</w:t>
      </w:r>
      <w:r>
        <w:rPr>
          <w:rFonts w:hint="eastAsia" w:ascii="宋体" w:hAnsi="宋体" w:cs="宋体"/>
          <w:b/>
          <w:bCs/>
          <w:color w:val="auto"/>
          <w:sz w:val="22"/>
          <w:highlight w:val="none"/>
          <w:u w:val="single"/>
        </w:rPr>
        <w:t>发包人</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w:t>
      </w:r>
    </w:p>
    <w:p w14:paraId="7E960F71">
      <w:pPr>
        <w:pStyle w:val="44"/>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关于承包人提供的上述文件的使用限制的要求：</w:t>
      </w:r>
      <w:r>
        <w:rPr>
          <w:rFonts w:hint="eastAsia" w:ascii="宋体" w:hAnsi="宋体" w:cs="宋体"/>
          <w:color w:val="auto"/>
          <w:sz w:val="22"/>
          <w:highlight w:val="none"/>
          <w:u w:val="single"/>
        </w:rPr>
        <w:t></w:t>
      </w:r>
      <w:r>
        <w:rPr>
          <w:rFonts w:hint="eastAsia" w:ascii="宋体" w:hAnsi="宋体" w:cs="宋体"/>
          <w:b/>
          <w:bCs/>
          <w:color w:val="auto"/>
          <w:sz w:val="22"/>
          <w:highlight w:val="none"/>
          <w:u w:val="single"/>
        </w:rPr>
        <w:t>仅限本项目使用</w:t>
      </w:r>
      <w:r>
        <w:rPr>
          <w:rFonts w:hint="eastAsia" w:ascii="宋体" w:hAnsi="宋体" w:cs="宋体"/>
          <w:color w:val="auto"/>
          <w:sz w:val="22"/>
          <w:highlight w:val="none"/>
          <w:u w:val="single"/>
        </w:rPr>
        <w:t></w:t>
      </w:r>
      <w:r>
        <w:rPr>
          <w:rFonts w:hint="eastAsia" w:ascii="宋体" w:hAnsi="宋体" w:cs="宋体"/>
          <w:color w:val="auto"/>
          <w:sz w:val="22"/>
          <w:highlight w:val="none"/>
        </w:rPr>
        <w:t>。</w:t>
      </w:r>
    </w:p>
    <w:p w14:paraId="5C5E8605">
      <w:pPr>
        <w:pStyle w:val="44"/>
        <w:spacing w:line="360" w:lineRule="exact"/>
        <w:ind w:firstLine="440" w:firstLineChars="200"/>
        <w:rPr>
          <w:rFonts w:ascii="宋体" w:hAnsi="宋体" w:cs="宋体"/>
          <w:color w:val="auto"/>
          <w:kern w:val="0"/>
          <w:sz w:val="22"/>
          <w:highlight w:val="none"/>
        </w:rPr>
      </w:pPr>
      <w:r>
        <w:rPr>
          <w:rFonts w:hint="eastAsia" w:ascii="宋体" w:hAnsi="宋体" w:cs="宋体"/>
          <w:color w:val="auto"/>
          <w:sz w:val="22"/>
          <w:highlight w:val="none"/>
        </w:rPr>
        <w:t>1.11.4 承包人在施工过程中所采用的专利、专有技术、技术秘密的使用费的承担方式：</w:t>
      </w:r>
      <w:r>
        <w:rPr>
          <w:rFonts w:hint="eastAsia" w:ascii="宋体" w:hAnsi="宋体" w:cs="宋体"/>
          <w:b/>
          <w:bCs/>
          <w:color w:val="auto"/>
          <w:sz w:val="22"/>
          <w:highlight w:val="none"/>
          <w:u w:val="single"/>
        </w:rPr>
        <w:t>由承包人承担</w:t>
      </w:r>
      <w:r>
        <w:rPr>
          <w:rFonts w:hint="eastAsia" w:ascii="宋体" w:hAnsi="宋体" w:cs="宋体"/>
          <w:color w:val="auto"/>
          <w:sz w:val="22"/>
          <w:highlight w:val="none"/>
          <w:u w:val="single"/>
        </w:rPr>
        <w:t xml:space="preserve"> </w:t>
      </w:r>
      <w:r>
        <w:rPr>
          <w:rFonts w:hint="eastAsia" w:ascii="宋体" w:hAnsi="宋体" w:cs="宋体"/>
          <w:color w:val="auto"/>
          <w:kern w:val="0"/>
          <w:sz w:val="22"/>
          <w:highlight w:val="none"/>
        </w:rPr>
        <w:t>。</w:t>
      </w:r>
    </w:p>
    <w:p w14:paraId="398B556A">
      <w:pPr>
        <w:pStyle w:val="46"/>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（1)承包人在实施、完成并保修合同工程过程中使用任何材料设备或采用施工工艺时，因侵犯他人专利权或其他知识产权所引起的责任，由承包人承担。</w:t>
      </w:r>
    </w:p>
    <w:p w14:paraId="0BAB5266">
      <w:pPr>
        <w:pStyle w:val="46"/>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承包人为实施本工程而采用专利技术等知识产权，知识产权的使用费已包含在签约合同价内。且承包人同意不受知识产权使用费限制,许可发包人及其发包人集团公司内部其它成员公司免费使用承包人所有或受其控制的有关知识产权。该知识产权包括发包人所需的任何与本项目有关的设备、机械、材料或与本项目有关或部分有关的任何方法、技术和工艺的实际经验。</w:t>
      </w:r>
    </w:p>
    <w:p w14:paraId="3ABF0175">
      <w:pPr>
        <w:pStyle w:val="46"/>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工程施工过程中，承包人应注意收集有关数据、资料和经验，工程施工完成后，承包人应向发包人提交完整的施工总结报告，包括对上述施工工艺、专利技术等的使用，承包人不得以任何理由拒绝。承包人收集相关数据、信息和编制施工总结报告的相关费用已包含在签约合同价内。</w:t>
      </w:r>
    </w:p>
    <w:p w14:paraId="54BFCE86">
      <w:pPr>
        <w:pStyle w:val="46"/>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承包人在施工过程中形成的新的施工工艺的权属属于承包人，但如果发包人参与了该施工工艺形成主要决策过程的，则该施工工艺的权属属于承包人与发包人共有。无论该施工工艺属于承包人所有还是由承包人与发包人共有的情形下，发包人及其发包人集团公司内部其它成员公司均可以永久免费使用该施工工艺。</w:t>
      </w:r>
    </w:p>
    <w:p w14:paraId="01FE6DCF">
      <w:pPr>
        <w:pStyle w:val="46"/>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(5)承包人为本工程制作或提供的深化设计图纸等文件的知识产权均归发包人所有。</w:t>
      </w:r>
    </w:p>
    <w:p w14:paraId="7BC547D3">
      <w:pPr>
        <w:pStyle w:val="46"/>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如果发生因承包人责任造成的任何知识产权侵权而造成第三方向发包人索赔或诉讼，发包人应立即通知承包人，承包人则应在收到通知后7天内，自费处理上述问题并以发包人名义及时对由此而引起的诉讼进行协商或抗诉。承包人进行这种协商或争讼必须首先以保护发包人为条件，这种保护在任何时候都是必需的，承包人应设法保护发包人利益，避免或减少可能成为发包人责任义务的任何赔偿、损害、费用和损失。在承包人请求时，发包人应给予一切可能的协助，来争取索赔诉讼的顺利解决。若承包人未按时处理，发包人有权自行处理有关纠纷，发包人因此遭受的赔偿、损害、费用及损失，发包人有权从应付或拟付给承包人的任何款项中直接扣回。</w:t>
      </w:r>
    </w:p>
    <w:p w14:paraId="4152467E">
      <w:pPr>
        <w:pStyle w:val="46"/>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在任何时候，如果发包人有理由认为上一条的保护不充分或者发包人对承包人在涉及发包人利益所进行争讼不满意时，发包人有权自行应讼，但并不因此减轻承包人任何责任和义务，并且，与之有关的全部费用由承包人承担。</w:t>
      </w:r>
    </w:p>
    <w:p w14:paraId="10D5E32D">
      <w:pPr>
        <w:pStyle w:val="47"/>
        <w:spacing w:line="360" w:lineRule="exact"/>
        <w:rPr>
          <w:rFonts w:ascii="宋体" w:hAnsi="宋体" w:eastAsia="宋体" w:cs="宋体"/>
          <w:color w:val="auto"/>
          <w:sz w:val="22"/>
          <w:szCs w:val="22"/>
          <w:highlight w:val="none"/>
        </w:rPr>
      </w:pPr>
      <w:bookmarkStart w:id="344" w:name="_Toc513041284"/>
      <w:bookmarkStart w:id="345" w:name="_Toc529202538"/>
      <w:bookmarkStart w:id="346" w:name="_Toc54862504"/>
      <w:r>
        <w:rPr>
          <w:rFonts w:hint="eastAsia" w:ascii="宋体" w:hAnsi="宋体" w:eastAsia="宋体" w:cs="宋体"/>
          <w:color w:val="auto"/>
          <w:sz w:val="22"/>
          <w:szCs w:val="22"/>
          <w:highlight w:val="none"/>
        </w:rPr>
        <w:t>1.12保密</w:t>
      </w:r>
      <w:bookmarkEnd w:id="344"/>
      <w:bookmarkEnd w:id="345"/>
      <w:bookmarkEnd w:id="346"/>
    </w:p>
    <w:p w14:paraId="66E3D855">
      <w:pPr>
        <w:pStyle w:val="46"/>
        <w:spacing w:line="360" w:lineRule="exact"/>
        <w:ind w:firstLine="440" w:firstLineChars="200"/>
        <w:rPr>
          <w:rFonts w:ascii="宋体" w:hAnsi="宋体" w:cs="宋体"/>
          <w:color w:val="auto"/>
          <w:kern w:val="0"/>
          <w:sz w:val="22"/>
          <w:szCs w:val="22"/>
          <w:highlight w:val="none"/>
        </w:rPr>
      </w:pPr>
      <w:r>
        <w:rPr>
          <w:rFonts w:hint="eastAsia" w:ascii="宋体" w:hAnsi="宋体" w:cs="宋体"/>
          <w:color w:val="auto"/>
          <w:sz w:val="22"/>
          <w:szCs w:val="22"/>
          <w:highlight w:val="none"/>
          <w:u w:val="single"/>
        </w:rPr>
        <w:t>除法律规定外，未经发包人同意，承包人不得将发包人提供的图纸、文件以及声明需要保密的资料信息等商业秘密泄露给第三方。</w:t>
      </w:r>
    </w:p>
    <w:p w14:paraId="29DFF367">
      <w:pPr>
        <w:pStyle w:val="45"/>
        <w:spacing w:line="360" w:lineRule="exact"/>
        <w:rPr>
          <w:rFonts w:ascii="宋体" w:hAnsi="宋体" w:cs="宋体"/>
          <w:color w:val="auto"/>
          <w:sz w:val="22"/>
          <w:szCs w:val="22"/>
          <w:highlight w:val="none"/>
        </w:rPr>
      </w:pPr>
      <w:bookmarkStart w:id="347" w:name="_Toc395382503"/>
      <w:bookmarkStart w:id="348" w:name="_Toc389065267"/>
      <w:bookmarkStart w:id="349" w:name="_Toc373478348"/>
      <w:bookmarkStart w:id="350" w:name="_Toc12975891"/>
      <w:bookmarkStart w:id="351" w:name="_Toc533432726"/>
      <w:bookmarkStart w:id="352" w:name="_Toc373227701"/>
      <w:r>
        <w:rPr>
          <w:rFonts w:hint="eastAsia" w:ascii="宋体" w:hAnsi="宋体" w:cs="宋体"/>
          <w:color w:val="auto"/>
          <w:sz w:val="22"/>
          <w:szCs w:val="22"/>
          <w:highlight w:val="none"/>
        </w:rPr>
        <w:t>1.13工程量清单错误的修正</w:t>
      </w:r>
      <w:bookmarkEnd w:id="347"/>
      <w:bookmarkEnd w:id="348"/>
      <w:bookmarkEnd w:id="349"/>
      <w:bookmarkEnd w:id="350"/>
      <w:bookmarkEnd w:id="351"/>
      <w:bookmarkEnd w:id="352"/>
    </w:p>
    <w:p w14:paraId="3B51D0D3">
      <w:pPr>
        <w:pStyle w:val="46"/>
        <w:spacing w:line="360" w:lineRule="exact"/>
        <w:ind w:firstLine="440" w:firstLineChars="200"/>
        <w:rPr>
          <w:rFonts w:hint="eastAsia" w:ascii="宋体" w:hAnsi="宋体" w:cs="宋体"/>
          <w:color w:val="auto"/>
          <w:sz w:val="22"/>
          <w:szCs w:val="22"/>
          <w:highlight w:val="none"/>
          <w:u w:val="none"/>
        </w:rPr>
      </w:pPr>
      <w:r>
        <w:rPr>
          <w:rFonts w:hint="eastAsia" w:ascii="宋体" w:hAnsi="宋体" w:cs="宋体"/>
          <w:color w:val="auto"/>
          <w:sz w:val="22"/>
          <w:szCs w:val="22"/>
          <w:highlight w:val="none"/>
          <w:u w:val="none"/>
        </w:rPr>
        <w:t>发包人提供的工程量清单，出现下列情形之一时，发包人应予以修正，并相应调整合同价格：</w:t>
      </w:r>
    </w:p>
    <w:p w14:paraId="2D2940BE">
      <w:pPr>
        <w:pStyle w:val="46"/>
        <w:spacing w:line="36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（1）工程量清单存在缺项、漏项的；</w:t>
      </w:r>
    </w:p>
    <w:p w14:paraId="441A91D4">
      <w:pPr>
        <w:pStyle w:val="46"/>
        <w:spacing w:line="36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（2）工程量清单偏差超出专用合同条款约定的工程量偏差范围的；</w:t>
      </w:r>
    </w:p>
    <w:p w14:paraId="7C4130AD">
      <w:pPr>
        <w:pStyle w:val="46"/>
        <w:spacing w:line="36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（3）未按照国家现行计量规范强制性规定计量的。</w:t>
      </w:r>
    </w:p>
    <w:p w14:paraId="660514DB">
      <w:pPr>
        <w:pStyle w:val="46"/>
        <w:spacing w:line="360" w:lineRule="exact"/>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u w:val="none"/>
        </w:rPr>
        <w:t>允许调整合同价格的工程量偏差范围及其调整办法：</w:t>
      </w:r>
      <w:r>
        <w:rPr>
          <w:rFonts w:hint="eastAsia" w:ascii="宋体" w:hAnsi="宋体" w:cs="宋体"/>
          <w:color w:val="auto"/>
          <w:sz w:val="22"/>
          <w:szCs w:val="22"/>
          <w:highlight w:val="none"/>
          <w:u w:val="single"/>
        </w:rPr>
        <w:t>承包人实际完成的某单项清单项目工程量与招标工程量清单工程量偏差超过15%且该单项清单造价超过合同总价2%以上的，超过后增加部分工程量或减少后剩余部分工程量的综合单价按以下方法调整：超过后增加部分工程量的综合单价按投标综合单价乘以下浮系数（中标价/工程招标控制价）结算，减少后剩余部分工程量按投标综合单价结算。</w:t>
      </w:r>
    </w:p>
    <w:p w14:paraId="05C74CCD">
      <w:pPr>
        <w:pStyle w:val="43"/>
        <w:spacing w:before="0" w:after="0" w:line="360" w:lineRule="exact"/>
        <w:rPr>
          <w:rFonts w:ascii="宋体" w:hAnsi="宋体" w:cs="宋体"/>
          <w:color w:val="auto"/>
          <w:sz w:val="22"/>
          <w:szCs w:val="22"/>
          <w:highlight w:val="none"/>
        </w:rPr>
      </w:pPr>
      <w:bookmarkStart w:id="353" w:name="_Toc12975892"/>
      <w:bookmarkStart w:id="354" w:name="_Toc389065268"/>
      <w:bookmarkStart w:id="355" w:name="_Toc533432727"/>
      <w:bookmarkStart w:id="356" w:name="_Toc395382504"/>
      <w:bookmarkStart w:id="357" w:name="_Toc373478349"/>
      <w:bookmarkStart w:id="358" w:name="_Toc373227702"/>
      <w:bookmarkStart w:id="359" w:name="_Toc351203634"/>
      <w:r>
        <w:rPr>
          <w:rFonts w:hint="eastAsia" w:ascii="宋体" w:hAnsi="宋体" w:cs="宋体"/>
          <w:color w:val="auto"/>
          <w:sz w:val="22"/>
          <w:szCs w:val="22"/>
          <w:highlight w:val="none"/>
        </w:rPr>
        <w:t>2</w:t>
      </w:r>
      <w:bookmarkStart w:id="360" w:name="_Toc296347156"/>
      <w:bookmarkStart w:id="361" w:name="_Toc297120457"/>
      <w:bookmarkStart w:id="362" w:name="_Toc296503157"/>
      <w:bookmarkStart w:id="363" w:name="_Toc296346658"/>
      <w:bookmarkStart w:id="364" w:name="_Toc296944496"/>
      <w:bookmarkStart w:id="365" w:name="_Toc296890985"/>
      <w:bookmarkStart w:id="366" w:name="_Toc292559867"/>
      <w:bookmarkStart w:id="367" w:name="_Toc296891197"/>
      <w:bookmarkStart w:id="368" w:name="_Toc292559362"/>
      <w:bookmarkStart w:id="369" w:name="_Toc297048343"/>
      <w:r>
        <w:rPr>
          <w:rFonts w:hint="eastAsia" w:ascii="宋体" w:hAnsi="宋体" w:cs="宋体"/>
          <w:color w:val="auto"/>
          <w:sz w:val="22"/>
          <w:szCs w:val="22"/>
          <w:highlight w:val="none"/>
        </w:rPr>
        <w:t>. 发包人</w:t>
      </w:r>
      <w:bookmarkEnd w:id="353"/>
      <w:bookmarkEnd w:id="354"/>
      <w:bookmarkEnd w:id="355"/>
      <w:bookmarkEnd w:id="356"/>
      <w:bookmarkEnd w:id="357"/>
      <w:bookmarkEnd w:id="358"/>
      <w:bookmarkEnd w:id="359"/>
    </w:p>
    <w:bookmarkEnd w:id="360"/>
    <w:bookmarkEnd w:id="361"/>
    <w:bookmarkEnd w:id="362"/>
    <w:bookmarkEnd w:id="363"/>
    <w:bookmarkEnd w:id="364"/>
    <w:bookmarkEnd w:id="365"/>
    <w:bookmarkEnd w:id="366"/>
    <w:bookmarkEnd w:id="367"/>
    <w:bookmarkEnd w:id="368"/>
    <w:bookmarkEnd w:id="369"/>
    <w:p w14:paraId="634D524E">
      <w:pPr>
        <w:pStyle w:val="45"/>
        <w:spacing w:line="360" w:lineRule="exact"/>
        <w:rPr>
          <w:rFonts w:ascii="宋体" w:hAnsi="宋体" w:cs="宋体"/>
          <w:color w:val="auto"/>
          <w:sz w:val="22"/>
          <w:szCs w:val="22"/>
          <w:highlight w:val="none"/>
        </w:rPr>
      </w:pPr>
      <w:bookmarkStart w:id="370" w:name="_Toc389065269"/>
      <w:bookmarkStart w:id="371" w:name="_Toc533432728"/>
      <w:bookmarkStart w:id="372" w:name="_Toc395382505"/>
      <w:bookmarkStart w:id="373" w:name="_Toc373478350"/>
      <w:bookmarkStart w:id="374" w:name="_Toc373227703"/>
      <w:bookmarkStart w:id="375" w:name="_Toc12975893"/>
      <w:r>
        <w:rPr>
          <w:rFonts w:hint="eastAsia" w:ascii="宋体" w:hAnsi="宋体" w:cs="宋体"/>
          <w:color w:val="auto"/>
          <w:sz w:val="22"/>
          <w:szCs w:val="22"/>
          <w:highlight w:val="none"/>
        </w:rPr>
        <w:t>2.2 发包人代表</w:t>
      </w:r>
      <w:bookmarkEnd w:id="370"/>
      <w:bookmarkEnd w:id="371"/>
      <w:bookmarkEnd w:id="372"/>
      <w:bookmarkEnd w:id="373"/>
      <w:bookmarkEnd w:id="374"/>
      <w:bookmarkEnd w:id="375"/>
    </w:p>
    <w:p w14:paraId="70AB971D">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发包人代表：</w:t>
      </w:r>
    </w:p>
    <w:p w14:paraId="68A84572">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姓    名：</w:t>
      </w:r>
      <w:r>
        <w:rPr>
          <w:rFonts w:hint="eastAsia" w:ascii="宋体" w:hAnsi="宋体" w:cs="宋体"/>
          <w:color w:val="auto"/>
          <w:sz w:val="22"/>
          <w:highlight w:val="none"/>
          <w:u w:val="single"/>
        </w:rPr>
        <w:t>     </w:t>
      </w:r>
      <w:r>
        <w:rPr>
          <w:rFonts w:hint="eastAsia" w:ascii="宋体" w:hAnsi="宋体" w:cs="宋体"/>
          <w:color w:val="auto"/>
          <w:sz w:val="22"/>
          <w:highlight w:val="none"/>
        </w:rPr>
        <w:t>；</w:t>
      </w:r>
    </w:p>
    <w:p w14:paraId="3BB89BE6">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身份证号：</w:t>
      </w:r>
      <w:r>
        <w:rPr>
          <w:rFonts w:hint="eastAsia" w:ascii="宋体" w:hAnsi="宋体" w:cs="宋体"/>
          <w:color w:val="auto"/>
          <w:sz w:val="22"/>
          <w:highlight w:val="none"/>
          <w:u w:val="single"/>
        </w:rPr>
        <w:t>      </w:t>
      </w:r>
      <w:r>
        <w:rPr>
          <w:rFonts w:hint="eastAsia" w:ascii="宋体" w:hAnsi="宋体" w:cs="宋体"/>
          <w:color w:val="auto"/>
          <w:sz w:val="22"/>
          <w:highlight w:val="none"/>
        </w:rPr>
        <w:t>；</w:t>
      </w:r>
    </w:p>
    <w:p w14:paraId="2FE3CE31">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职    务：</w:t>
      </w:r>
      <w:r>
        <w:rPr>
          <w:rFonts w:hint="eastAsia" w:ascii="宋体" w:hAnsi="宋体" w:cs="宋体"/>
          <w:color w:val="auto"/>
          <w:sz w:val="22"/>
          <w:highlight w:val="none"/>
          <w:u w:val="single"/>
        </w:rPr>
        <w:t>    </w:t>
      </w:r>
      <w:r>
        <w:rPr>
          <w:rFonts w:hint="eastAsia" w:ascii="宋体" w:hAnsi="宋体" w:cs="宋体"/>
          <w:color w:val="auto"/>
          <w:sz w:val="22"/>
          <w:highlight w:val="none"/>
        </w:rPr>
        <w:t>；</w:t>
      </w:r>
    </w:p>
    <w:p w14:paraId="02FCEFD9">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联系电话：</w:t>
      </w:r>
      <w:r>
        <w:rPr>
          <w:rFonts w:hint="eastAsia" w:ascii="宋体" w:hAnsi="宋体" w:cs="宋体"/>
          <w:color w:val="auto"/>
          <w:sz w:val="22"/>
          <w:highlight w:val="none"/>
          <w:u w:val="single"/>
        </w:rPr>
        <w:t>     </w:t>
      </w:r>
      <w:r>
        <w:rPr>
          <w:rFonts w:hint="eastAsia" w:ascii="宋体" w:hAnsi="宋体" w:cs="宋体"/>
          <w:color w:val="auto"/>
          <w:sz w:val="22"/>
          <w:highlight w:val="none"/>
        </w:rPr>
        <w:t>；</w:t>
      </w:r>
    </w:p>
    <w:p w14:paraId="6A4B29A0">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电子信箱：</w:t>
      </w:r>
      <w:r>
        <w:rPr>
          <w:rFonts w:hint="eastAsia" w:ascii="宋体" w:hAnsi="宋体" w:cs="宋体"/>
          <w:color w:val="auto"/>
          <w:sz w:val="22"/>
          <w:highlight w:val="none"/>
          <w:u w:val="single"/>
        </w:rPr>
        <w:t>     </w:t>
      </w:r>
      <w:r>
        <w:rPr>
          <w:rFonts w:hint="eastAsia" w:ascii="宋体" w:hAnsi="宋体" w:cs="宋体"/>
          <w:color w:val="auto"/>
          <w:sz w:val="22"/>
          <w:highlight w:val="none"/>
        </w:rPr>
        <w:t>；</w:t>
      </w:r>
    </w:p>
    <w:p w14:paraId="2CDE3278">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通信地址：</w:t>
      </w:r>
      <w:r>
        <w:rPr>
          <w:rFonts w:hint="eastAsia" w:ascii="宋体" w:hAnsi="宋体" w:cs="宋体"/>
          <w:color w:val="auto"/>
          <w:sz w:val="22"/>
          <w:highlight w:val="none"/>
          <w:u w:val="single"/>
        </w:rPr>
        <w:t>    </w:t>
      </w:r>
      <w:r>
        <w:rPr>
          <w:rFonts w:hint="eastAsia" w:ascii="宋体" w:hAnsi="宋体" w:cs="宋体"/>
          <w:color w:val="auto"/>
          <w:sz w:val="22"/>
          <w:highlight w:val="none"/>
        </w:rPr>
        <w:t>。</w:t>
      </w:r>
    </w:p>
    <w:p w14:paraId="0E0B7DB2">
      <w:pPr>
        <w:pStyle w:val="44"/>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发包人对发包人代表的授权范围如下：</w:t>
      </w:r>
      <w:r>
        <w:rPr>
          <w:rFonts w:hint="eastAsia" w:ascii="宋体" w:hAnsi="宋体" w:cs="宋体"/>
          <w:color w:val="auto"/>
          <w:sz w:val="22"/>
          <w:highlight w:val="none"/>
          <w:u w:val="single"/>
        </w:rPr>
        <w:t></w:t>
      </w:r>
      <w:r>
        <w:rPr>
          <w:rFonts w:hint="eastAsia" w:ascii="宋体" w:hAnsi="宋体" w:cs="宋体"/>
          <w:bCs/>
          <w:color w:val="auto"/>
          <w:sz w:val="22"/>
          <w:highlight w:val="none"/>
          <w:u w:val="single"/>
        </w:rPr>
        <w:t>对本工程质量、工期、进度、安全、文明施工及材料和设备进场进行监督检查；对涉及工期延长、设计变更和现场收方等的相关事项作出处理；办理中间交工工程验收手续；协调施工现场及外部有关事宜</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w:t>
      </w:r>
    </w:p>
    <w:p w14:paraId="0C15A756">
      <w:pPr>
        <w:pStyle w:val="45"/>
        <w:spacing w:line="360" w:lineRule="exact"/>
        <w:rPr>
          <w:rFonts w:ascii="宋体" w:hAnsi="宋体" w:cs="宋体"/>
          <w:color w:val="auto"/>
          <w:sz w:val="22"/>
          <w:szCs w:val="22"/>
          <w:highlight w:val="none"/>
        </w:rPr>
      </w:pPr>
      <w:bookmarkStart w:id="376" w:name="_Toc395382506"/>
      <w:bookmarkStart w:id="377" w:name="_Toc389065270"/>
      <w:bookmarkStart w:id="378" w:name="_Toc12975894"/>
      <w:bookmarkStart w:id="379" w:name="_Toc373478351"/>
      <w:bookmarkStart w:id="380" w:name="_Toc533432729"/>
      <w:bookmarkStart w:id="381" w:name="_Toc373227704"/>
      <w:r>
        <w:rPr>
          <w:rFonts w:hint="eastAsia" w:ascii="宋体" w:hAnsi="宋体" w:cs="宋体"/>
          <w:color w:val="auto"/>
          <w:sz w:val="22"/>
          <w:szCs w:val="22"/>
          <w:highlight w:val="none"/>
        </w:rPr>
        <w:t>2.4 施工现场、施工条件和基础资料的提供</w:t>
      </w:r>
      <w:bookmarkEnd w:id="376"/>
      <w:bookmarkEnd w:id="377"/>
      <w:bookmarkEnd w:id="378"/>
      <w:bookmarkEnd w:id="379"/>
      <w:bookmarkEnd w:id="380"/>
      <w:bookmarkEnd w:id="381"/>
    </w:p>
    <w:p w14:paraId="5D58DC0C">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2.4.1 提供施工现场</w:t>
      </w:r>
    </w:p>
    <w:p w14:paraId="03F2C1B7">
      <w:pPr>
        <w:pStyle w:val="46"/>
        <w:spacing w:line="360" w:lineRule="exact"/>
        <w:ind w:firstLine="440" w:firstLineChars="200"/>
        <w:jc w:val="left"/>
        <w:rPr>
          <w:rFonts w:ascii="宋体" w:hAnsi="宋体" w:cs="宋体"/>
          <w:b/>
          <w:color w:val="auto"/>
          <w:sz w:val="22"/>
          <w:szCs w:val="22"/>
          <w:highlight w:val="none"/>
        </w:rPr>
      </w:pPr>
      <w:r>
        <w:rPr>
          <w:rFonts w:hint="eastAsia" w:ascii="宋体" w:hAnsi="宋体" w:cs="宋体"/>
          <w:color w:val="auto"/>
          <w:sz w:val="22"/>
          <w:szCs w:val="22"/>
          <w:highlight w:val="none"/>
        </w:rPr>
        <w:t>关于发包人移交施工现场的期限要求：</w:t>
      </w:r>
      <w:r>
        <w:rPr>
          <w:rFonts w:hint="eastAsia" w:ascii="宋体" w:hAnsi="宋体" w:cs="宋体"/>
          <w:color w:val="auto"/>
          <w:sz w:val="22"/>
          <w:szCs w:val="22"/>
          <w:highlight w:val="none"/>
          <w:u w:val="single"/>
        </w:rPr>
        <w:t>发包人应最迟于开工日期14天前向承包人移交部分施工现场。发包人根据征地进展安排，分期(也可以一次)将施工所需的永久占地办妥征用以及拆迁赔偿手续，通知承包人使用，以使承包人能够连续不间断地施工。由于承包人施工考虑不周或措施不当等原因而造成的超计划占地或拆迁等所发生的征用和赔偿费用，应由承包人承担。</w:t>
      </w:r>
    </w:p>
    <w:p w14:paraId="2ADCC4CF">
      <w:pPr>
        <w:pStyle w:val="46"/>
        <w:spacing w:line="36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本工程可供承包人使用的场地仅为经规划部门批准的的红线范围或借地范围（具体以发包人提供的初步设计文件及资料为准），承包人应无条件接受现场条件。超出上述范围需要使用的场地，均由承包人自行解决，并自行办妥一切需要办理的手续，由此引起的一切纠纷、事故和赔偿责任，均由承包人承担。如果由于发包人未能按照本款规定办妥永久占地征用手续，而影响承包人工程的施工，承包人须及时调整工程施工组织安排并报监理人批准，合理组织和安排工程施工。因此导致承包人延误工期或增加费用时，发包人仅考虑适当延长工期作为补偿。</w:t>
      </w:r>
    </w:p>
    <w:p w14:paraId="4121616C">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2.4.2 提供施工条件</w:t>
      </w:r>
    </w:p>
    <w:p w14:paraId="55A55150">
      <w:pPr>
        <w:pStyle w:val="46"/>
        <w:spacing w:line="360" w:lineRule="exact"/>
        <w:ind w:firstLine="440" w:firstLineChars="200"/>
        <w:rPr>
          <w:rFonts w:ascii="宋体" w:hAnsi="宋体" w:cs="宋体"/>
          <w:bCs/>
          <w:color w:val="auto"/>
          <w:sz w:val="22"/>
          <w:szCs w:val="22"/>
          <w:highlight w:val="none"/>
          <w:u w:val="single"/>
        </w:rPr>
      </w:pPr>
      <w:r>
        <w:rPr>
          <w:rFonts w:hint="eastAsia" w:ascii="宋体" w:hAnsi="宋体" w:cs="宋体"/>
          <w:color w:val="auto"/>
          <w:sz w:val="22"/>
          <w:szCs w:val="22"/>
          <w:highlight w:val="none"/>
        </w:rPr>
        <w:t>关于发包人应负责提供施工所需要的条件，包括：</w:t>
      </w:r>
      <w:r>
        <w:rPr>
          <w:rFonts w:hint="eastAsia" w:ascii="宋体" w:hAnsi="宋体" w:cs="宋体"/>
          <w:bCs/>
          <w:color w:val="auto"/>
          <w:sz w:val="22"/>
          <w:szCs w:val="22"/>
          <w:highlight w:val="none"/>
          <w:u w:val="single"/>
        </w:rPr>
        <w:t>施工所需的水、电、气、通讯等管线接至施工场地的均由承包人自行负责，并承担相关费用。若供电和供水部门的原因造成停电停水或承包人未能及时报装，承包人必须自行解决，费用由承包人负责。发包人的协助不能免除或减轻承包人的任何责任。</w:t>
      </w:r>
    </w:p>
    <w:p w14:paraId="24A87F56">
      <w:pPr>
        <w:pStyle w:val="46"/>
        <w:spacing w:line="36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临时占地属于本合同内容的一部分，费用已包含在合同总价中，临时占地由承包人向当地政府土地管理部门申请，并办理租用手续，承包人按有关规定直接支付其费用。</w:t>
      </w:r>
    </w:p>
    <w:p w14:paraId="1F7EFE21">
      <w:pPr>
        <w:pStyle w:val="46"/>
        <w:spacing w:line="36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临时占地范围包括承包人驻地的办公室、食堂、宿舍、道路和机械设备停放场、材料堆放场地、取土场、弃土场、预制场、拌和场、仓库、进场临时道路、临时便道、便桥等与本工程有关的临时占地。承包人应在“临时占地计划表”范围内按实际需要与先后次序，提出具体计划报监理人和发包人。临时占地的面积和使用期应满足工程需要，费用包括临时占地数量、时间及因此而发生的协调、租用、复耕、地面附着物的拆迁补偿等相关费用。尽管承包人按照磋商文件中的“临时占地计划表”所述用地开展施工，但仍不满足实际需要时，承包人需自费增加临时占地的面积和使用期。</w:t>
      </w:r>
    </w:p>
    <w:p w14:paraId="0CCC55FD">
      <w:pPr>
        <w:pStyle w:val="46"/>
        <w:spacing w:line="36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临时占地退还前，承包人应自费恢复到临时占地使用前的状况。如因承包人撤离后未按要求对临时占地进行恢复或虽进行了恢复但未达到使用标准的，将由发包人委托第三方对其恢复，所发生的费用将从应付或拟付给承包人的任何款项内扣除。</w:t>
      </w:r>
    </w:p>
    <w:p w14:paraId="465E6445">
      <w:pPr>
        <w:pStyle w:val="45"/>
        <w:spacing w:line="360" w:lineRule="exact"/>
        <w:rPr>
          <w:rFonts w:ascii="宋体" w:hAnsi="宋体" w:cs="宋体"/>
          <w:color w:val="auto"/>
          <w:sz w:val="22"/>
          <w:szCs w:val="22"/>
          <w:highlight w:val="none"/>
        </w:rPr>
      </w:pPr>
      <w:bookmarkStart w:id="382" w:name="_Toc373478352"/>
      <w:bookmarkStart w:id="383" w:name="_Toc373227705"/>
      <w:bookmarkStart w:id="384" w:name="_Toc533432730"/>
      <w:bookmarkStart w:id="385" w:name="_Toc395382507"/>
      <w:bookmarkStart w:id="386" w:name="_Toc12975895"/>
      <w:bookmarkStart w:id="387" w:name="_Toc389065271"/>
      <w:r>
        <w:rPr>
          <w:rFonts w:hint="eastAsia" w:ascii="宋体" w:hAnsi="宋体" w:cs="宋体"/>
          <w:color w:val="auto"/>
          <w:sz w:val="22"/>
          <w:szCs w:val="22"/>
          <w:highlight w:val="none"/>
        </w:rPr>
        <w:t>2.5 资金来源证明及支付担保</w:t>
      </w:r>
      <w:bookmarkEnd w:id="382"/>
      <w:bookmarkEnd w:id="383"/>
      <w:bookmarkEnd w:id="384"/>
      <w:bookmarkEnd w:id="385"/>
      <w:bookmarkEnd w:id="386"/>
      <w:bookmarkEnd w:id="387"/>
    </w:p>
    <w:p w14:paraId="7BAD4D2F">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发包人提供资金来源证明的期限要求：</w:t>
      </w:r>
      <w:r>
        <w:rPr>
          <w:rFonts w:hint="eastAsia" w:ascii="宋体" w:hAnsi="宋体" w:cs="宋体"/>
          <w:color w:val="auto"/>
          <w:sz w:val="22"/>
          <w:highlight w:val="none"/>
          <w:u w:val="single"/>
        </w:rPr>
        <w:t xml:space="preserve">不提供  </w:t>
      </w:r>
      <w:r>
        <w:rPr>
          <w:rFonts w:hint="eastAsia" w:ascii="宋体" w:hAnsi="宋体" w:cs="宋体"/>
          <w:color w:val="auto"/>
          <w:sz w:val="22"/>
          <w:highlight w:val="none"/>
        </w:rPr>
        <w:t>。</w:t>
      </w:r>
    </w:p>
    <w:p w14:paraId="52F52DF0">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发包人是否提供支付担保：</w:t>
      </w:r>
      <w:r>
        <w:rPr>
          <w:rFonts w:hint="eastAsia" w:ascii="宋体" w:hAnsi="宋体" w:cs="宋体"/>
          <w:color w:val="auto"/>
          <w:sz w:val="22"/>
          <w:highlight w:val="none"/>
          <w:u w:val="single"/>
        </w:rPr>
        <w:t xml:space="preserve">不提供  </w:t>
      </w:r>
      <w:r>
        <w:rPr>
          <w:rFonts w:hint="eastAsia" w:ascii="宋体" w:hAnsi="宋体" w:cs="宋体"/>
          <w:color w:val="auto"/>
          <w:sz w:val="22"/>
          <w:highlight w:val="none"/>
        </w:rPr>
        <w:t>。</w:t>
      </w:r>
    </w:p>
    <w:p w14:paraId="18080FE4">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发包人提供支付担保的形式：</w:t>
      </w:r>
      <w:r>
        <w:rPr>
          <w:rFonts w:hint="eastAsia" w:ascii="宋体" w:hAnsi="宋体" w:cs="宋体"/>
          <w:color w:val="auto"/>
          <w:sz w:val="22"/>
          <w:highlight w:val="none"/>
          <w:u w:val="single"/>
        </w:rPr>
        <w:t>无</w:t>
      </w:r>
      <w:r>
        <w:rPr>
          <w:rFonts w:hint="eastAsia" w:ascii="宋体" w:hAnsi="宋体" w:cs="宋体"/>
          <w:color w:val="auto"/>
          <w:sz w:val="22"/>
          <w:highlight w:val="none"/>
        </w:rPr>
        <w:t>。</w:t>
      </w:r>
    </w:p>
    <w:p w14:paraId="26367D97">
      <w:pPr>
        <w:pStyle w:val="44"/>
        <w:spacing w:line="360" w:lineRule="exact"/>
        <w:ind w:firstLine="440" w:firstLineChars="200"/>
        <w:rPr>
          <w:rFonts w:ascii="宋体" w:hAnsi="宋体" w:cs="宋体"/>
          <w:color w:val="auto"/>
          <w:sz w:val="22"/>
          <w:highlight w:val="none"/>
          <w:u w:val="single"/>
        </w:rPr>
      </w:pPr>
    </w:p>
    <w:p w14:paraId="1D75C864">
      <w:pPr>
        <w:pStyle w:val="43"/>
        <w:spacing w:before="0" w:after="0" w:line="360" w:lineRule="exact"/>
        <w:rPr>
          <w:rFonts w:ascii="宋体" w:hAnsi="宋体" w:cs="宋体"/>
          <w:color w:val="auto"/>
          <w:sz w:val="22"/>
          <w:szCs w:val="22"/>
          <w:highlight w:val="none"/>
        </w:rPr>
      </w:pPr>
      <w:bookmarkStart w:id="388" w:name="_Toc373478353"/>
      <w:bookmarkStart w:id="389" w:name="_Toc533432731"/>
      <w:bookmarkStart w:id="390" w:name="_Toc389065272"/>
      <w:bookmarkStart w:id="391" w:name="_Toc395382508"/>
      <w:bookmarkStart w:id="392" w:name="_Toc12975896"/>
      <w:bookmarkStart w:id="393" w:name="_Toc373227706"/>
      <w:bookmarkStart w:id="394" w:name="_Toc351203635"/>
      <w:r>
        <w:rPr>
          <w:rFonts w:hint="eastAsia" w:ascii="宋体" w:hAnsi="宋体" w:cs="宋体"/>
          <w:color w:val="auto"/>
          <w:sz w:val="22"/>
          <w:szCs w:val="22"/>
          <w:highlight w:val="none"/>
        </w:rPr>
        <w:t>3</w:t>
      </w:r>
      <w:bookmarkStart w:id="395" w:name="_Toc296944497"/>
      <w:bookmarkStart w:id="396" w:name="_Toc296890986"/>
      <w:bookmarkStart w:id="397" w:name="_Toc292559868"/>
      <w:bookmarkStart w:id="398" w:name="_Toc296891198"/>
      <w:bookmarkStart w:id="399" w:name="_Toc297120458"/>
      <w:bookmarkStart w:id="400" w:name="_Toc296346659"/>
      <w:bookmarkStart w:id="401" w:name="_Toc296347157"/>
      <w:bookmarkStart w:id="402" w:name="_Toc296503158"/>
      <w:bookmarkStart w:id="403" w:name="_Toc292559363"/>
      <w:bookmarkStart w:id="404" w:name="_Toc297048344"/>
      <w:r>
        <w:rPr>
          <w:rFonts w:hint="eastAsia" w:ascii="宋体" w:hAnsi="宋体" w:cs="宋体"/>
          <w:color w:val="auto"/>
          <w:sz w:val="22"/>
          <w:szCs w:val="22"/>
          <w:highlight w:val="none"/>
        </w:rPr>
        <w:t>. 承包人</w:t>
      </w:r>
      <w:bookmarkEnd w:id="388"/>
      <w:bookmarkEnd w:id="389"/>
      <w:bookmarkEnd w:id="390"/>
      <w:bookmarkEnd w:id="391"/>
      <w:bookmarkEnd w:id="392"/>
      <w:bookmarkEnd w:id="393"/>
      <w:bookmarkEnd w:id="394"/>
    </w:p>
    <w:bookmarkEnd w:id="395"/>
    <w:bookmarkEnd w:id="396"/>
    <w:bookmarkEnd w:id="397"/>
    <w:bookmarkEnd w:id="398"/>
    <w:bookmarkEnd w:id="399"/>
    <w:bookmarkEnd w:id="400"/>
    <w:bookmarkEnd w:id="401"/>
    <w:bookmarkEnd w:id="402"/>
    <w:bookmarkEnd w:id="403"/>
    <w:bookmarkEnd w:id="404"/>
    <w:p w14:paraId="7D1B3A6B">
      <w:pPr>
        <w:pStyle w:val="45"/>
        <w:spacing w:line="360" w:lineRule="exact"/>
        <w:rPr>
          <w:rFonts w:ascii="宋体" w:hAnsi="宋体" w:cs="宋体"/>
          <w:color w:val="auto"/>
          <w:sz w:val="22"/>
          <w:szCs w:val="22"/>
          <w:highlight w:val="none"/>
        </w:rPr>
      </w:pPr>
      <w:bookmarkStart w:id="405" w:name="_Toc389065273"/>
      <w:bookmarkStart w:id="406" w:name="_Toc533432732"/>
      <w:bookmarkStart w:id="407" w:name="_Toc373227707"/>
      <w:bookmarkStart w:id="408" w:name="_Toc373478354"/>
      <w:bookmarkStart w:id="409" w:name="_Toc12975897"/>
      <w:bookmarkStart w:id="410" w:name="_Toc395382509"/>
      <w:r>
        <w:rPr>
          <w:rFonts w:hint="eastAsia" w:ascii="宋体" w:hAnsi="宋体" w:cs="宋体"/>
          <w:color w:val="auto"/>
          <w:sz w:val="22"/>
          <w:szCs w:val="22"/>
          <w:highlight w:val="none"/>
        </w:rPr>
        <w:t>3.1 承包人的一般义务</w:t>
      </w:r>
      <w:bookmarkEnd w:id="405"/>
      <w:bookmarkEnd w:id="406"/>
      <w:bookmarkEnd w:id="407"/>
      <w:bookmarkEnd w:id="408"/>
      <w:bookmarkEnd w:id="409"/>
      <w:bookmarkEnd w:id="410"/>
    </w:p>
    <w:p w14:paraId="4C6A61EE">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kern w:val="0"/>
          <w:sz w:val="22"/>
          <w:highlight w:val="none"/>
        </w:rPr>
        <w:t>（</w:t>
      </w:r>
      <w:r>
        <w:rPr>
          <w:rFonts w:hint="eastAsia" w:ascii="宋体" w:hAnsi="宋体" w:cs="宋体"/>
          <w:color w:val="auto"/>
          <w:kern w:val="0"/>
          <w:sz w:val="22"/>
          <w:highlight w:val="none"/>
          <w:lang w:val="en-US" w:eastAsia="zh-CN"/>
        </w:rPr>
        <w:t>1</w:t>
      </w:r>
      <w:r>
        <w:rPr>
          <w:rFonts w:hint="eastAsia" w:ascii="宋体" w:hAnsi="宋体" w:cs="宋体"/>
          <w:color w:val="auto"/>
          <w:kern w:val="0"/>
          <w:sz w:val="22"/>
          <w:highlight w:val="none"/>
        </w:rPr>
        <w:t>）</w:t>
      </w:r>
      <w:r>
        <w:rPr>
          <w:rFonts w:hint="eastAsia" w:ascii="宋体" w:hAnsi="宋体" w:cs="宋体"/>
          <w:color w:val="auto"/>
          <w:sz w:val="22"/>
          <w:highlight w:val="none"/>
        </w:rPr>
        <w:t>承包人提交的竣工资料的内容：</w:t>
      </w:r>
      <w:r>
        <w:rPr>
          <w:rFonts w:hint="eastAsia" w:ascii="宋体" w:hAnsi="宋体" w:cs="宋体"/>
          <w:color w:val="auto"/>
          <w:sz w:val="22"/>
          <w:highlight w:val="none"/>
          <w:u w:val="single"/>
        </w:rPr>
        <w:t xml:space="preserve">工程施工技术资料、工程质量资料、工程检验评定资料、竣工图，项目所在地建设主管部门规定的其他应交资料  </w:t>
      </w:r>
      <w:r>
        <w:rPr>
          <w:rFonts w:hint="eastAsia" w:ascii="宋体" w:hAnsi="宋体" w:cs="宋体"/>
          <w:color w:val="auto"/>
          <w:sz w:val="22"/>
          <w:highlight w:val="none"/>
        </w:rPr>
        <w:t>。</w:t>
      </w:r>
    </w:p>
    <w:p w14:paraId="645CE152">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承包人需要提交的竣工资料套数：</w:t>
      </w:r>
      <w:r>
        <w:rPr>
          <w:rFonts w:hint="eastAsia" w:ascii="宋体" w:hAnsi="宋体" w:cs="宋体"/>
          <w:color w:val="auto"/>
          <w:sz w:val="22"/>
          <w:highlight w:val="none"/>
          <w:u w:val="single"/>
        </w:rPr>
        <w:t xml:space="preserve">  四套   </w:t>
      </w:r>
      <w:r>
        <w:rPr>
          <w:rFonts w:hint="eastAsia" w:ascii="宋体" w:hAnsi="宋体" w:cs="宋体"/>
          <w:color w:val="auto"/>
          <w:sz w:val="22"/>
          <w:highlight w:val="none"/>
        </w:rPr>
        <w:t>。</w:t>
      </w:r>
    </w:p>
    <w:p w14:paraId="1F57005B">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承包人提交的竣工资料的费用承担：</w:t>
      </w:r>
      <w:r>
        <w:rPr>
          <w:rFonts w:hint="eastAsia" w:ascii="宋体" w:hAnsi="宋体" w:cs="宋体"/>
          <w:color w:val="auto"/>
          <w:sz w:val="22"/>
          <w:highlight w:val="none"/>
          <w:u w:val="single"/>
        </w:rPr>
        <w:t xml:space="preserve">  由承包人承担  </w:t>
      </w:r>
      <w:r>
        <w:rPr>
          <w:rFonts w:hint="eastAsia" w:ascii="宋体" w:hAnsi="宋体" w:cs="宋体"/>
          <w:color w:val="auto"/>
          <w:sz w:val="22"/>
          <w:highlight w:val="none"/>
        </w:rPr>
        <w:t>。</w:t>
      </w:r>
    </w:p>
    <w:p w14:paraId="4758890F">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承包人提交的竣工资料移交时间：</w:t>
      </w:r>
      <w:r>
        <w:rPr>
          <w:rFonts w:hint="eastAsia" w:ascii="宋体" w:hAnsi="宋体" w:cs="宋体"/>
          <w:color w:val="auto"/>
          <w:sz w:val="22"/>
          <w:highlight w:val="none"/>
          <w:u w:val="single"/>
        </w:rPr>
        <w:t xml:space="preserve">竣工验收合格之日起30天内 </w:t>
      </w:r>
      <w:r>
        <w:rPr>
          <w:rFonts w:hint="eastAsia" w:ascii="宋体" w:hAnsi="宋体" w:cs="宋体"/>
          <w:color w:val="auto"/>
          <w:sz w:val="22"/>
          <w:highlight w:val="none"/>
        </w:rPr>
        <w:t>。</w:t>
      </w:r>
    </w:p>
    <w:p w14:paraId="49C0DC90">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承包人提交的竣工资料形式要求：</w:t>
      </w:r>
      <w:r>
        <w:rPr>
          <w:rFonts w:hint="eastAsia" w:ascii="宋体" w:hAnsi="宋体" w:cs="宋体"/>
          <w:color w:val="auto"/>
          <w:sz w:val="22"/>
          <w:highlight w:val="none"/>
          <w:u w:val="single"/>
        </w:rPr>
        <w:t xml:space="preserve">竣工资料按发包人所要求的形式提交 </w:t>
      </w:r>
      <w:r>
        <w:rPr>
          <w:rFonts w:hint="eastAsia" w:ascii="宋体" w:hAnsi="宋体" w:cs="宋体"/>
          <w:color w:val="auto"/>
          <w:sz w:val="22"/>
          <w:highlight w:val="none"/>
        </w:rPr>
        <w:t>。</w:t>
      </w:r>
    </w:p>
    <w:p w14:paraId="35717E0A">
      <w:pPr>
        <w:pStyle w:val="46"/>
        <w:spacing w:line="360" w:lineRule="exact"/>
        <w:ind w:firstLine="440" w:firstLineChars="20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rPr>
        <w:t>）承包人应履行的其他义务：</w:t>
      </w:r>
      <w:r>
        <w:rPr>
          <w:rFonts w:hint="eastAsia" w:ascii="宋体" w:hAnsi="宋体" w:cs="宋体"/>
          <w:color w:val="auto"/>
          <w:kern w:val="0"/>
          <w:sz w:val="22"/>
          <w:szCs w:val="22"/>
          <w:highlight w:val="none"/>
          <w:u w:val="single"/>
        </w:rPr>
        <w:t>承包人应采取一切合理的预防措施，满足现场施工管理的需要，达到项目所在地规定的安全文明施工的要求，防止人员伤亡、财产损失事故，费用由承包人承担。因承包人原因导致发包人或第三方人员伤亡、经济损失的，承包人承担全部赔偿责任；发包人因此而受到行政处罚的，违约金由承包人承担</w:t>
      </w:r>
      <w:r>
        <w:rPr>
          <w:rFonts w:hint="eastAsia" w:ascii="宋体" w:hAnsi="宋体" w:cs="宋体"/>
          <w:color w:val="auto"/>
          <w:sz w:val="22"/>
          <w:szCs w:val="22"/>
          <w:highlight w:val="none"/>
          <w:u w:val="single"/>
        </w:rPr>
        <w:t>。</w:t>
      </w:r>
    </w:p>
    <w:p w14:paraId="7925C871">
      <w:pPr>
        <w:pStyle w:val="44"/>
        <w:spacing w:line="360" w:lineRule="exact"/>
        <w:ind w:firstLine="440" w:firstLineChars="200"/>
        <w:rPr>
          <w:rFonts w:ascii="宋体" w:hAnsi="宋体" w:cs="宋体"/>
          <w:color w:val="auto"/>
          <w:kern w:val="0"/>
          <w:sz w:val="22"/>
          <w:highlight w:val="none"/>
        </w:rPr>
      </w:pPr>
    </w:p>
    <w:p w14:paraId="3A3F2CC9">
      <w:pPr>
        <w:pStyle w:val="45"/>
        <w:spacing w:line="360" w:lineRule="exact"/>
        <w:rPr>
          <w:rFonts w:ascii="宋体" w:hAnsi="宋体" w:cs="宋体"/>
          <w:color w:val="auto"/>
          <w:sz w:val="22"/>
          <w:szCs w:val="22"/>
          <w:highlight w:val="none"/>
        </w:rPr>
      </w:pPr>
      <w:bookmarkStart w:id="411" w:name="_Toc373478355"/>
      <w:bookmarkStart w:id="412" w:name="_Toc533432733"/>
      <w:bookmarkStart w:id="413" w:name="_Toc373227708"/>
      <w:bookmarkStart w:id="414" w:name="_Toc389065274"/>
      <w:bookmarkStart w:id="415" w:name="_Toc12975898"/>
      <w:bookmarkStart w:id="416" w:name="_Toc395382510"/>
      <w:r>
        <w:rPr>
          <w:rFonts w:hint="eastAsia" w:ascii="宋体" w:hAnsi="宋体" w:cs="宋体"/>
          <w:color w:val="auto"/>
          <w:sz w:val="22"/>
          <w:szCs w:val="22"/>
          <w:highlight w:val="none"/>
        </w:rPr>
        <w:t>3.2 项目经理</w:t>
      </w:r>
      <w:bookmarkEnd w:id="411"/>
      <w:bookmarkEnd w:id="412"/>
      <w:bookmarkEnd w:id="413"/>
      <w:bookmarkEnd w:id="414"/>
      <w:bookmarkEnd w:id="415"/>
      <w:bookmarkEnd w:id="416"/>
    </w:p>
    <w:p w14:paraId="6BB724D7">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kern w:val="0"/>
          <w:sz w:val="22"/>
          <w:highlight w:val="none"/>
        </w:rPr>
        <w:t xml:space="preserve">3.2.1 </w:t>
      </w:r>
      <w:r>
        <w:rPr>
          <w:rFonts w:hint="eastAsia" w:ascii="宋体" w:hAnsi="宋体" w:cs="宋体"/>
          <w:color w:val="auto"/>
          <w:sz w:val="22"/>
          <w:highlight w:val="none"/>
        </w:rPr>
        <w:t>项目经理：</w:t>
      </w:r>
    </w:p>
    <w:p w14:paraId="5EA24DBB">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姓    名：</w:t>
      </w:r>
      <w:r>
        <w:rPr>
          <w:rFonts w:hint="eastAsia" w:ascii="宋体" w:hAnsi="宋体" w:cs="宋体"/>
          <w:color w:val="auto"/>
          <w:sz w:val="22"/>
          <w:highlight w:val="none"/>
          <w:u w:val="single"/>
        </w:rPr>
        <w:t>         </w:t>
      </w:r>
      <w:r>
        <w:rPr>
          <w:rFonts w:hint="eastAsia" w:ascii="宋体" w:hAnsi="宋体" w:cs="宋体"/>
          <w:color w:val="auto"/>
          <w:sz w:val="22"/>
          <w:highlight w:val="none"/>
        </w:rPr>
        <w:t>；</w:t>
      </w:r>
    </w:p>
    <w:p w14:paraId="69773665">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身份证号：</w:t>
      </w:r>
      <w:r>
        <w:rPr>
          <w:rFonts w:hint="eastAsia" w:ascii="宋体" w:hAnsi="宋体" w:cs="宋体"/>
          <w:color w:val="auto"/>
          <w:sz w:val="22"/>
          <w:highlight w:val="none"/>
          <w:u w:val="single"/>
        </w:rPr>
        <w:t>         </w:t>
      </w:r>
      <w:r>
        <w:rPr>
          <w:rFonts w:hint="eastAsia" w:ascii="宋体" w:hAnsi="宋体" w:cs="宋体"/>
          <w:color w:val="auto"/>
          <w:sz w:val="22"/>
          <w:highlight w:val="none"/>
        </w:rPr>
        <w:t>；</w:t>
      </w:r>
    </w:p>
    <w:p w14:paraId="4E7745BB">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建造师执业资格等级：</w:t>
      </w:r>
      <w:r>
        <w:rPr>
          <w:rFonts w:hint="eastAsia" w:ascii="宋体" w:hAnsi="宋体" w:cs="宋体"/>
          <w:color w:val="auto"/>
          <w:sz w:val="22"/>
          <w:highlight w:val="none"/>
          <w:u w:val="single"/>
        </w:rPr>
        <w:t>   </w:t>
      </w:r>
      <w:r>
        <w:rPr>
          <w:rFonts w:hint="eastAsia" w:ascii="宋体" w:hAnsi="宋体" w:cs="宋体"/>
          <w:color w:val="auto"/>
          <w:sz w:val="22"/>
          <w:highlight w:val="none"/>
        </w:rPr>
        <w:t>；</w:t>
      </w:r>
    </w:p>
    <w:p w14:paraId="39DD4C5C">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建造师注册证书号：</w:t>
      </w:r>
      <w:r>
        <w:rPr>
          <w:rFonts w:hint="eastAsia" w:ascii="宋体" w:hAnsi="宋体" w:cs="宋体"/>
          <w:color w:val="auto"/>
          <w:sz w:val="22"/>
          <w:highlight w:val="none"/>
          <w:u w:val="single"/>
        </w:rPr>
        <w:t> </w:t>
      </w:r>
      <w:r>
        <w:rPr>
          <w:rFonts w:hint="eastAsia" w:ascii="宋体" w:hAnsi="宋体" w:cs="宋体"/>
          <w:color w:val="auto"/>
          <w:sz w:val="22"/>
          <w:highlight w:val="none"/>
        </w:rPr>
        <w:t>；</w:t>
      </w:r>
    </w:p>
    <w:p w14:paraId="0FA30BFC">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建造师执业印章号：</w:t>
      </w:r>
      <w:r>
        <w:rPr>
          <w:rFonts w:hint="eastAsia" w:ascii="宋体" w:hAnsi="宋体" w:cs="宋体"/>
          <w:color w:val="auto"/>
          <w:sz w:val="22"/>
          <w:highlight w:val="none"/>
          <w:u w:val="single"/>
        </w:rPr>
        <w:t> </w:t>
      </w:r>
      <w:r>
        <w:rPr>
          <w:rFonts w:hint="eastAsia" w:ascii="宋体" w:hAnsi="宋体" w:cs="宋体"/>
          <w:color w:val="auto"/>
          <w:sz w:val="22"/>
          <w:highlight w:val="none"/>
        </w:rPr>
        <w:t>；</w:t>
      </w:r>
    </w:p>
    <w:p w14:paraId="052EF5BC">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安全生产考核合格证书号：</w:t>
      </w:r>
      <w:r>
        <w:rPr>
          <w:rFonts w:hint="eastAsia" w:ascii="宋体" w:hAnsi="宋体" w:cs="宋体"/>
          <w:color w:val="auto"/>
          <w:sz w:val="22"/>
          <w:highlight w:val="none"/>
          <w:u w:val="single"/>
        </w:rPr>
        <w:t> </w:t>
      </w:r>
      <w:r>
        <w:rPr>
          <w:rFonts w:hint="eastAsia" w:ascii="宋体" w:hAnsi="宋体" w:cs="宋体"/>
          <w:color w:val="auto"/>
          <w:sz w:val="22"/>
          <w:highlight w:val="none"/>
        </w:rPr>
        <w:t>；</w:t>
      </w:r>
    </w:p>
    <w:p w14:paraId="527A5CBC">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广西建筑市场诚信卡卡号：</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w:t>
      </w:r>
    </w:p>
    <w:p w14:paraId="6249B6D8">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联系电话：</w:t>
      </w:r>
      <w:r>
        <w:rPr>
          <w:rFonts w:hint="eastAsia" w:ascii="宋体" w:hAnsi="宋体" w:cs="宋体"/>
          <w:color w:val="auto"/>
          <w:sz w:val="22"/>
          <w:highlight w:val="none"/>
          <w:u w:val="single"/>
        </w:rPr>
        <w:t>         </w:t>
      </w:r>
      <w:r>
        <w:rPr>
          <w:rFonts w:hint="eastAsia" w:ascii="宋体" w:hAnsi="宋体" w:cs="宋体"/>
          <w:color w:val="auto"/>
          <w:sz w:val="22"/>
          <w:highlight w:val="none"/>
        </w:rPr>
        <w:t>；</w:t>
      </w:r>
    </w:p>
    <w:p w14:paraId="7F55E271">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电子信箱：</w:t>
      </w:r>
      <w:r>
        <w:rPr>
          <w:rFonts w:hint="eastAsia" w:ascii="宋体" w:hAnsi="宋体" w:cs="宋体"/>
          <w:color w:val="auto"/>
          <w:sz w:val="22"/>
          <w:highlight w:val="none"/>
          <w:u w:val="single"/>
        </w:rPr>
        <w:t>         </w:t>
      </w:r>
      <w:r>
        <w:rPr>
          <w:rFonts w:hint="eastAsia" w:ascii="宋体" w:hAnsi="宋体" w:cs="宋体"/>
          <w:color w:val="auto"/>
          <w:sz w:val="22"/>
          <w:highlight w:val="none"/>
        </w:rPr>
        <w:t>；</w:t>
      </w:r>
    </w:p>
    <w:p w14:paraId="27D1178B">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通信地址：</w:t>
      </w:r>
      <w:r>
        <w:rPr>
          <w:rFonts w:hint="eastAsia" w:ascii="宋体" w:hAnsi="宋体" w:cs="宋体"/>
          <w:color w:val="auto"/>
          <w:sz w:val="22"/>
          <w:highlight w:val="none"/>
          <w:u w:val="single"/>
        </w:rPr>
        <w:t>         </w:t>
      </w:r>
      <w:r>
        <w:rPr>
          <w:rFonts w:hint="eastAsia" w:ascii="宋体" w:hAnsi="宋体" w:cs="宋体"/>
          <w:color w:val="auto"/>
          <w:sz w:val="22"/>
          <w:highlight w:val="none"/>
        </w:rPr>
        <w:t>；</w:t>
      </w:r>
    </w:p>
    <w:p w14:paraId="7D776EF7">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 xml:space="preserve">承包人对项目经理的授权范围如下：  </w:t>
      </w:r>
      <w:r>
        <w:rPr>
          <w:rFonts w:hint="eastAsia" w:ascii="宋体" w:hAnsi="宋体" w:cs="宋体"/>
          <w:color w:val="auto"/>
          <w:sz w:val="22"/>
          <w:highlight w:val="none"/>
          <w:u w:val="single"/>
        </w:rPr>
        <w:t>代表承包人全面履行合同，但仅限于工程的现场施工管理，但未经过承包人签字、盖章同意，不得以承包人名义向外采购材料设备、租用建筑周转材料、雇佣劳动力、签订分包合同等从事一切为承包人设立义务或责任的行为</w:t>
      </w:r>
      <w:r>
        <w:rPr>
          <w:rFonts w:hint="eastAsia" w:ascii="宋体" w:hAnsi="宋体" w:cs="宋体"/>
          <w:color w:val="auto"/>
          <w:sz w:val="22"/>
          <w:highlight w:val="none"/>
        </w:rPr>
        <w:t>。</w:t>
      </w:r>
    </w:p>
    <w:p w14:paraId="638AF982">
      <w:pPr>
        <w:pStyle w:val="44"/>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关于项目经理每月在施工现场的时间要求：</w:t>
      </w:r>
      <w:r>
        <w:rPr>
          <w:rFonts w:hint="eastAsia" w:ascii="宋体" w:hAnsi="宋体" w:cs="宋体"/>
          <w:color w:val="auto"/>
          <w:sz w:val="22"/>
          <w:highlight w:val="none"/>
          <w:u w:val="single"/>
        </w:rPr>
        <w:t>21天以上，如磋商文件承诺时间超过21天的，按磋商文件执行</w:t>
      </w:r>
      <w:r>
        <w:rPr>
          <w:rFonts w:hint="eastAsia" w:ascii="宋体" w:hAnsi="宋体" w:cs="宋体"/>
          <w:color w:val="auto"/>
          <w:sz w:val="22"/>
          <w:highlight w:val="none"/>
        </w:rPr>
        <w:t>。</w:t>
      </w:r>
    </w:p>
    <w:p w14:paraId="0F59646F">
      <w:pPr>
        <w:pStyle w:val="44"/>
        <w:spacing w:line="360" w:lineRule="exact"/>
        <w:ind w:firstLine="440" w:firstLineChars="200"/>
        <w:rPr>
          <w:rFonts w:ascii="宋体" w:hAnsi="宋体" w:cs="宋体"/>
          <w:color w:val="auto"/>
          <w:sz w:val="22"/>
          <w:highlight w:val="none"/>
          <w:u w:val="single"/>
        </w:rPr>
      </w:pPr>
      <w:r>
        <w:rPr>
          <w:rFonts w:hint="eastAsia" w:ascii="宋体" w:hAnsi="宋体" w:cs="宋体"/>
          <w:color w:val="auto"/>
          <w:kern w:val="0"/>
          <w:sz w:val="22"/>
          <w:highlight w:val="none"/>
        </w:rPr>
        <w:t>承包人未提交劳动合同，以及没有为项目经理缴纳社会保险证明的违约责任：</w:t>
      </w:r>
      <w:r>
        <w:rPr>
          <w:rFonts w:hint="eastAsia" w:ascii="宋体" w:hAnsi="宋体" w:cs="宋体"/>
          <w:color w:val="auto"/>
          <w:sz w:val="22"/>
          <w:highlight w:val="none"/>
          <w:u w:val="single"/>
        </w:rPr>
        <w:t>处以3万元罚款，责令限期提交劳动合同并补缴社会保险</w:t>
      </w:r>
      <w:r>
        <w:rPr>
          <w:rFonts w:hint="eastAsia" w:ascii="宋体" w:hAnsi="宋体" w:cs="宋体"/>
          <w:color w:val="auto"/>
          <w:sz w:val="22"/>
          <w:highlight w:val="none"/>
        </w:rPr>
        <w:t>。</w:t>
      </w:r>
    </w:p>
    <w:p w14:paraId="3BFD5668">
      <w:pPr>
        <w:pStyle w:val="44"/>
        <w:spacing w:line="360" w:lineRule="exact"/>
        <w:ind w:firstLine="440" w:firstLineChars="200"/>
        <w:rPr>
          <w:rFonts w:ascii="宋体" w:hAnsi="宋体" w:cs="宋体"/>
          <w:color w:val="auto"/>
          <w:sz w:val="22"/>
          <w:highlight w:val="none"/>
          <w:u w:val="single"/>
        </w:rPr>
      </w:pPr>
      <w:r>
        <w:rPr>
          <w:rFonts w:hint="eastAsia" w:ascii="宋体" w:hAnsi="宋体" w:cs="宋体"/>
          <w:color w:val="auto"/>
          <w:kern w:val="0"/>
          <w:sz w:val="22"/>
          <w:highlight w:val="none"/>
        </w:rPr>
        <w:t>项目经理未经批准，擅自离开施工现场的违约责任：</w:t>
      </w:r>
      <w:r>
        <w:rPr>
          <w:rFonts w:hint="eastAsia" w:ascii="宋体" w:hAnsi="宋体" w:cs="宋体"/>
          <w:color w:val="auto"/>
          <w:sz w:val="22"/>
          <w:highlight w:val="none"/>
          <w:u w:val="single"/>
        </w:rPr>
        <w:t>未经发包人同意或正当理由，项目经理每月在岗带班时间少于每月在施工现场的时间要求的，少在岗带班一天，发包人有权处违约金5000元/日（人民币）</w:t>
      </w:r>
      <w:r>
        <w:rPr>
          <w:rFonts w:hint="eastAsia" w:ascii="宋体" w:hAnsi="宋体" w:cs="宋体"/>
          <w:color w:val="auto"/>
          <w:sz w:val="22"/>
          <w:highlight w:val="none"/>
        </w:rPr>
        <w:t>。</w:t>
      </w:r>
    </w:p>
    <w:p w14:paraId="1BDCE38A">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3.2.3 承包人擅自更换项目经理的违约责任：</w:t>
      </w:r>
      <w:r>
        <w:rPr>
          <w:rFonts w:hint="eastAsia" w:ascii="宋体" w:hAnsi="宋体" w:cs="宋体"/>
          <w:color w:val="auto"/>
          <w:sz w:val="22"/>
          <w:highlight w:val="none"/>
          <w:u w:val="single"/>
        </w:rPr>
        <w:t>承包人项目经理必须与承包人磋商时所承诺的人员一致，并在 本工程开工前到任。在监理人向承包人颁发经发包人签认的竣工验收证书前，项目经理不得同时兼任其他任何项目的项目经理</w:t>
      </w:r>
      <w:r>
        <w:rPr>
          <w:rFonts w:hint="eastAsia" w:ascii="宋体" w:hAnsi="宋体" w:cs="宋体"/>
          <w:color w:val="auto"/>
          <w:kern w:val="0"/>
          <w:sz w:val="22"/>
          <w:highlight w:val="none"/>
          <w:u w:val="single"/>
        </w:rPr>
        <w:t>（符合桂建管</w:t>
      </w:r>
      <w:r>
        <w:rPr>
          <w:rFonts w:hint="eastAsia" w:ascii="宋体" w:hAnsi="宋体" w:cs="宋体"/>
          <w:color w:val="auto"/>
          <w:sz w:val="22"/>
          <w:highlight w:val="none"/>
          <w:u w:val="single"/>
        </w:rPr>
        <w:t>﹝2013﹞</w:t>
      </w:r>
      <w:r>
        <w:rPr>
          <w:rFonts w:hint="eastAsia" w:ascii="宋体" w:hAnsi="宋体" w:cs="宋体"/>
          <w:color w:val="auto"/>
          <w:kern w:val="0"/>
          <w:sz w:val="22"/>
          <w:highlight w:val="none"/>
          <w:u w:val="single"/>
        </w:rPr>
        <w:t>17号和</w:t>
      </w:r>
      <w:r>
        <w:rPr>
          <w:rFonts w:hint="eastAsia" w:ascii="宋体" w:hAnsi="宋体" w:cs="宋体"/>
          <w:color w:val="auto"/>
          <w:sz w:val="22"/>
          <w:highlight w:val="none"/>
          <w:u w:val="single"/>
        </w:rPr>
        <w:t>桂建管﹝2014﹞25号</w:t>
      </w:r>
      <w:r>
        <w:rPr>
          <w:rFonts w:hint="eastAsia" w:ascii="宋体" w:hAnsi="宋体" w:cs="宋体"/>
          <w:color w:val="auto"/>
          <w:kern w:val="0"/>
          <w:sz w:val="22"/>
          <w:highlight w:val="none"/>
          <w:u w:val="single"/>
        </w:rPr>
        <w:t>文除外）</w:t>
      </w:r>
      <w:r>
        <w:rPr>
          <w:rFonts w:hint="eastAsia" w:ascii="宋体" w:hAnsi="宋体" w:cs="宋体"/>
          <w:color w:val="auto"/>
          <w:sz w:val="22"/>
          <w:highlight w:val="none"/>
          <w:u w:val="single"/>
        </w:rPr>
        <w:t>。未经发包人书面同意，承包人擅自更换项目经理的视为违约，违约金处20000元/人•次（人民币）</w:t>
      </w:r>
      <w:r>
        <w:rPr>
          <w:rFonts w:hint="eastAsia" w:ascii="宋体" w:hAnsi="宋体" w:cs="宋体"/>
          <w:color w:val="auto"/>
          <w:sz w:val="22"/>
          <w:highlight w:val="none"/>
        </w:rPr>
        <w:t>。</w:t>
      </w:r>
    </w:p>
    <w:p w14:paraId="734EE9CC">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3.2.4 承包人无正当理由拒绝更换项目经理的违约责任：</w:t>
      </w:r>
      <w:r>
        <w:rPr>
          <w:rFonts w:hint="eastAsia" w:ascii="宋体" w:hAnsi="宋体" w:cs="宋体"/>
          <w:color w:val="auto"/>
          <w:sz w:val="22"/>
          <w:highlight w:val="none"/>
          <w:u w:val="single"/>
        </w:rPr>
        <w:t>因承包人项目经理不称职（项目管理机构人员不称职的定义包括但不限于：本项目出现偷工减料现象的、出现人员死亡事故的、重复出现相同质量事故或出现问题不积极整改的、被相关部门要求停工整改的、进度比原计划滞后30天以上的、拒绝执行监理人或发包人指令的、违反合同约定及相关规定擅自离开施工现场累计超过30天的、现场安全文明施工未达到规定要求的、出现打架斗殴的、违反相关法律法规的其他情形。），发包人要求调换而未及时调换的，视为承包人违约，必须向发包人交纳处罚金20000元/人•次（人民币）</w:t>
      </w:r>
      <w:r>
        <w:rPr>
          <w:rFonts w:hint="eastAsia" w:ascii="宋体" w:hAnsi="宋体" w:cs="宋体"/>
          <w:color w:val="auto"/>
          <w:sz w:val="22"/>
          <w:highlight w:val="none"/>
        </w:rPr>
        <w:t>。</w:t>
      </w:r>
    </w:p>
    <w:p w14:paraId="4876B455">
      <w:pPr>
        <w:pStyle w:val="46"/>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3.2.5 项目管理机构的主要人员（含项目经理、项目总工、质量员、安全员）必须是磋商文件中确认的人员，施工之后不能更换，确需更换人员的，须向发包人提出申请，并提供相关证明材料，经发包人同意后方可换人。尽管合同有其他约定，但新换项目经理及其余人员获得执业证书的时间、等级、学历、工作业绩等全部优于原项目经理。</w:t>
      </w:r>
    </w:p>
    <w:p w14:paraId="5BB7BF63">
      <w:pPr>
        <w:pStyle w:val="45"/>
        <w:spacing w:line="360" w:lineRule="exact"/>
        <w:rPr>
          <w:rFonts w:ascii="宋体" w:hAnsi="宋体" w:cs="宋体"/>
          <w:color w:val="auto"/>
          <w:sz w:val="22"/>
          <w:szCs w:val="22"/>
          <w:highlight w:val="none"/>
        </w:rPr>
      </w:pPr>
      <w:bookmarkStart w:id="417" w:name="_Toc373227709"/>
      <w:bookmarkStart w:id="418" w:name="_Toc373478356"/>
      <w:bookmarkStart w:id="419" w:name="_Toc395382511"/>
      <w:bookmarkStart w:id="420" w:name="_Toc533432734"/>
      <w:bookmarkStart w:id="421" w:name="_Toc389065275"/>
      <w:bookmarkStart w:id="422" w:name="_Toc12975899"/>
      <w:r>
        <w:rPr>
          <w:rFonts w:hint="eastAsia" w:ascii="宋体" w:hAnsi="宋体" w:cs="宋体"/>
          <w:color w:val="auto"/>
          <w:sz w:val="22"/>
          <w:szCs w:val="22"/>
          <w:highlight w:val="none"/>
        </w:rPr>
        <w:t>3.3 承包人人员</w:t>
      </w:r>
      <w:bookmarkEnd w:id="417"/>
      <w:bookmarkEnd w:id="418"/>
      <w:bookmarkEnd w:id="419"/>
      <w:bookmarkEnd w:id="420"/>
      <w:bookmarkEnd w:id="421"/>
      <w:bookmarkEnd w:id="422"/>
    </w:p>
    <w:p w14:paraId="260AE575">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3.3.1 承包人提交项目管理机构及施工现场管理人员安排报告（格式见合同附件3）的期限：</w:t>
      </w:r>
    </w:p>
    <w:p w14:paraId="617651D4">
      <w:pPr>
        <w:pStyle w:val="44"/>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开工时间前7天日。项目管理机构的主要人员必须是磋商文件中确认的人员，施工之后不能更换，确需更换人员的，更换后的人员相关资质及业绩、职称等要求不得低于磋商文件最低要求，且须向发包人提出申请，并提供相关证明材料，经发包人签字同意后方可换人。</w:t>
      </w:r>
    </w:p>
    <w:p w14:paraId="01E5AF1D">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u w:val="single"/>
        </w:rPr>
        <w:t>关于项目管理机构及施工现场管理人员每月在施工现场的时间要求：21天以上，如磋商文件承诺时间超过21天的，按磋商文件执行</w:t>
      </w:r>
      <w:r>
        <w:rPr>
          <w:rFonts w:hint="eastAsia" w:ascii="宋体" w:hAnsi="宋体" w:cs="宋体"/>
          <w:color w:val="auto"/>
          <w:sz w:val="22"/>
          <w:highlight w:val="none"/>
        </w:rPr>
        <w:t>。</w:t>
      </w:r>
    </w:p>
    <w:p w14:paraId="79BBFE18">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3.3.3 承包人无正当理由拒绝撤换主要施工管理人员的违约责任：</w:t>
      </w:r>
      <w:r>
        <w:rPr>
          <w:rFonts w:hint="eastAsia" w:ascii="宋体" w:hAnsi="宋体" w:cs="宋体"/>
          <w:color w:val="auto"/>
          <w:sz w:val="22"/>
          <w:highlight w:val="none"/>
          <w:u w:val="single"/>
        </w:rPr>
        <w:t>因承包人主要施工管理人员不称职，发包人要求调换而无正当理由拒绝撤换或未及时调换的，视为承包人违约，必须向发包人交纳处罚金，处罚标准：技术负责人</w:t>
      </w:r>
      <w:r>
        <w:rPr>
          <w:rFonts w:hint="eastAsia" w:ascii="宋体" w:hAnsi="宋体" w:cs="宋体"/>
          <w:color w:val="auto"/>
          <w:sz w:val="22"/>
          <w:highlight w:val="none"/>
          <w:u w:val="single"/>
          <w:lang w:val="en-US" w:eastAsia="zh-CN"/>
        </w:rPr>
        <w:t>5</w:t>
      </w:r>
      <w:r>
        <w:rPr>
          <w:rFonts w:hint="eastAsia" w:ascii="宋体" w:hAnsi="宋体" w:cs="宋体"/>
          <w:color w:val="auto"/>
          <w:sz w:val="22"/>
          <w:highlight w:val="none"/>
          <w:u w:val="single"/>
        </w:rPr>
        <w:t>000元/人•次（人民币）；专业工程师</w:t>
      </w:r>
      <w:r>
        <w:rPr>
          <w:rFonts w:hint="eastAsia" w:ascii="宋体" w:hAnsi="宋体" w:cs="宋体"/>
          <w:color w:val="auto"/>
          <w:sz w:val="22"/>
          <w:highlight w:val="none"/>
          <w:u w:val="single"/>
          <w:lang w:val="en-US" w:eastAsia="zh-CN"/>
        </w:rPr>
        <w:t>2</w:t>
      </w:r>
      <w:r>
        <w:rPr>
          <w:rFonts w:hint="eastAsia" w:ascii="宋体" w:hAnsi="宋体" w:cs="宋体"/>
          <w:color w:val="auto"/>
          <w:sz w:val="22"/>
          <w:highlight w:val="none"/>
          <w:u w:val="single"/>
        </w:rPr>
        <w:t>000元/人•次（人民币）</w:t>
      </w:r>
      <w:r>
        <w:rPr>
          <w:rFonts w:hint="eastAsia" w:ascii="宋体" w:hAnsi="宋体" w:cs="宋体"/>
          <w:color w:val="auto"/>
          <w:sz w:val="22"/>
          <w:highlight w:val="none"/>
        </w:rPr>
        <w:t>。</w:t>
      </w:r>
    </w:p>
    <w:p w14:paraId="10D97206">
      <w:pPr>
        <w:pStyle w:val="44"/>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3.3.4 承包人主要施工管理人员离开施工现场的批准要求：</w:t>
      </w:r>
      <w:r>
        <w:rPr>
          <w:rFonts w:hint="eastAsia" w:ascii="宋体" w:hAnsi="宋体" w:cs="宋体"/>
          <w:color w:val="auto"/>
          <w:sz w:val="22"/>
          <w:highlight w:val="none"/>
          <w:u w:val="single"/>
        </w:rPr>
        <w:t xml:space="preserve">由总监理工程师签字批准，报发包人确认同意后方可离开 </w:t>
      </w:r>
      <w:r>
        <w:rPr>
          <w:rFonts w:hint="eastAsia" w:ascii="宋体" w:hAnsi="宋体" w:cs="宋体"/>
          <w:color w:val="auto"/>
          <w:sz w:val="22"/>
          <w:highlight w:val="none"/>
        </w:rPr>
        <w:t>。</w:t>
      </w:r>
    </w:p>
    <w:p w14:paraId="4DE71D54">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3.3.5 承包人擅自更换主要施工管理人员的违约责任：</w:t>
      </w:r>
      <w:r>
        <w:rPr>
          <w:rFonts w:hint="eastAsia" w:ascii="宋体" w:hAnsi="宋体" w:cs="宋体"/>
          <w:color w:val="auto"/>
          <w:sz w:val="22"/>
          <w:highlight w:val="none"/>
          <w:u w:val="single"/>
        </w:rPr>
        <w:t>项目技术负责人、专职安全员及其承诺的其它在场管理人员未经发包人书面同意不准擅自更换，擅自更换项目技术负责人处</w:t>
      </w:r>
      <w:r>
        <w:rPr>
          <w:rFonts w:hint="eastAsia" w:ascii="宋体" w:hAnsi="宋体" w:cs="宋体"/>
          <w:color w:val="auto"/>
          <w:sz w:val="22"/>
          <w:highlight w:val="none"/>
          <w:u w:val="single"/>
          <w:lang w:val="en-US" w:eastAsia="zh-CN"/>
        </w:rPr>
        <w:t>5</w:t>
      </w:r>
      <w:r>
        <w:rPr>
          <w:rFonts w:hint="eastAsia" w:ascii="宋体" w:hAnsi="宋体" w:cs="宋体"/>
          <w:color w:val="auto"/>
          <w:sz w:val="22"/>
          <w:highlight w:val="none"/>
          <w:u w:val="single"/>
        </w:rPr>
        <w:t>000元/人•次（人民币）违约金；擅自更换专职安全员处</w:t>
      </w:r>
      <w:r>
        <w:rPr>
          <w:rFonts w:hint="eastAsia" w:ascii="宋体" w:hAnsi="宋体" w:cs="宋体"/>
          <w:color w:val="auto"/>
          <w:sz w:val="22"/>
          <w:highlight w:val="none"/>
          <w:u w:val="single"/>
          <w:lang w:val="en-US" w:eastAsia="zh-CN"/>
        </w:rPr>
        <w:t>5</w:t>
      </w:r>
      <w:r>
        <w:rPr>
          <w:rFonts w:hint="eastAsia" w:ascii="宋体" w:hAnsi="宋体" w:cs="宋体"/>
          <w:color w:val="auto"/>
          <w:sz w:val="22"/>
          <w:highlight w:val="none"/>
          <w:u w:val="single"/>
        </w:rPr>
        <w:t>000元/人•次（人民币）违约金；擅自更换其它在场管理人员处</w:t>
      </w:r>
      <w:r>
        <w:rPr>
          <w:rFonts w:hint="eastAsia" w:ascii="宋体" w:hAnsi="宋体" w:cs="宋体"/>
          <w:color w:val="auto"/>
          <w:sz w:val="22"/>
          <w:highlight w:val="none"/>
          <w:u w:val="single"/>
          <w:lang w:val="en-US" w:eastAsia="zh-CN"/>
        </w:rPr>
        <w:t>2</w:t>
      </w:r>
      <w:r>
        <w:rPr>
          <w:rFonts w:hint="eastAsia" w:ascii="宋体" w:hAnsi="宋体" w:cs="宋体"/>
          <w:color w:val="auto"/>
          <w:sz w:val="22"/>
          <w:highlight w:val="none"/>
          <w:u w:val="single"/>
        </w:rPr>
        <w:t>000元/人•次（人民币）违约金</w:t>
      </w:r>
      <w:r>
        <w:rPr>
          <w:rFonts w:hint="eastAsia" w:ascii="宋体" w:hAnsi="宋体" w:cs="宋体"/>
          <w:color w:val="auto"/>
          <w:sz w:val="22"/>
          <w:highlight w:val="none"/>
        </w:rPr>
        <w:t>。</w:t>
      </w:r>
    </w:p>
    <w:p w14:paraId="397570E5">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承包人主要施工管理人员擅自离开施工现场的违约责任：</w:t>
      </w:r>
      <w:r>
        <w:rPr>
          <w:rFonts w:hint="eastAsia" w:ascii="宋体" w:hAnsi="宋体" w:cs="宋体"/>
          <w:color w:val="auto"/>
          <w:sz w:val="22"/>
          <w:highlight w:val="none"/>
          <w:u w:val="single"/>
        </w:rPr>
        <w:t>未经发包人同意，项目技术负责人擅自离岗的，视为承包人违约，发包人有权处违约金</w:t>
      </w:r>
      <w:r>
        <w:rPr>
          <w:rFonts w:hint="eastAsia" w:ascii="宋体" w:hAnsi="宋体" w:cs="宋体"/>
          <w:color w:val="auto"/>
          <w:sz w:val="22"/>
          <w:highlight w:val="none"/>
          <w:u w:val="single"/>
          <w:lang w:val="en-US" w:eastAsia="zh-CN"/>
        </w:rPr>
        <w:t>1</w:t>
      </w:r>
      <w:r>
        <w:rPr>
          <w:rFonts w:hint="eastAsia" w:ascii="宋体" w:hAnsi="宋体" w:cs="宋体"/>
          <w:color w:val="auto"/>
          <w:sz w:val="22"/>
          <w:highlight w:val="none"/>
          <w:u w:val="single"/>
        </w:rPr>
        <w:t>000元/人•次（人民币）；未经发包人同意，专职安全员擅自离岗的，视为承包人违约，发包人有权处违约金</w:t>
      </w:r>
      <w:r>
        <w:rPr>
          <w:rFonts w:hint="eastAsia" w:ascii="宋体" w:hAnsi="宋体" w:cs="宋体"/>
          <w:color w:val="auto"/>
          <w:sz w:val="22"/>
          <w:highlight w:val="none"/>
          <w:u w:val="single"/>
          <w:lang w:val="en-US" w:eastAsia="zh-CN"/>
        </w:rPr>
        <w:t>5</w:t>
      </w:r>
      <w:r>
        <w:rPr>
          <w:rFonts w:hint="eastAsia" w:ascii="宋体" w:hAnsi="宋体" w:cs="宋体"/>
          <w:color w:val="auto"/>
          <w:sz w:val="22"/>
          <w:highlight w:val="none"/>
          <w:u w:val="single"/>
        </w:rPr>
        <w:t>00元/人•次（人民币）；其它在场管理人员擅自离岗的，视为承包人违约，发包人有权处违约金</w:t>
      </w:r>
      <w:r>
        <w:rPr>
          <w:rFonts w:hint="eastAsia" w:ascii="宋体" w:hAnsi="宋体" w:cs="宋体"/>
          <w:color w:val="auto"/>
          <w:sz w:val="22"/>
          <w:highlight w:val="none"/>
          <w:u w:val="single"/>
          <w:lang w:val="en-US" w:eastAsia="zh-CN"/>
        </w:rPr>
        <w:t>5</w:t>
      </w:r>
      <w:r>
        <w:rPr>
          <w:rFonts w:hint="eastAsia" w:ascii="宋体" w:hAnsi="宋体" w:cs="宋体"/>
          <w:color w:val="auto"/>
          <w:sz w:val="22"/>
          <w:highlight w:val="none"/>
          <w:u w:val="single"/>
        </w:rPr>
        <w:t>00元/人•次（人民币）</w:t>
      </w:r>
      <w:r>
        <w:rPr>
          <w:rFonts w:hint="eastAsia" w:ascii="宋体" w:hAnsi="宋体" w:cs="宋体"/>
          <w:color w:val="auto"/>
          <w:sz w:val="22"/>
          <w:highlight w:val="none"/>
        </w:rPr>
        <w:t>。</w:t>
      </w:r>
    </w:p>
    <w:p w14:paraId="2C1E6AB9">
      <w:pPr>
        <w:pStyle w:val="45"/>
        <w:spacing w:line="360" w:lineRule="exact"/>
        <w:rPr>
          <w:rFonts w:ascii="宋体" w:hAnsi="宋体" w:cs="宋体"/>
          <w:color w:val="auto"/>
          <w:sz w:val="22"/>
          <w:szCs w:val="22"/>
          <w:highlight w:val="none"/>
        </w:rPr>
      </w:pPr>
      <w:bookmarkStart w:id="423" w:name="_Toc373227710"/>
      <w:bookmarkStart w:id="424" w:name="_Toc12975900"/>
      <w:bookmarkStart w:id="425" w:name="_Toc373478357"/>
      <w:bookmarkStart w:id="426" w:name="_Toc395382512"/>
      <w:bookmarkStart w:id="427" w:name="_Toc533432735"/>
      <w:bookmarkStart w:id="428" w:name="_Toc389065276"/>
      <w:r>
        <w:rPr>
          <w:rFonts w:hint="eastAsia" w:ascii="宋体" w:hAnsi="宋体" w:cs="宋体"/>
          <w:color w:val="auto"/>
          <w:sz w:val="22"/>
          <w:szCs w:val="22"/>
          <w:highlight w:val="none"/>
        </w:rPr>
        <w:t>3</w:t>
      </w:r>
      <w:bookmarkStart w:id="429" w:name="_Toc296347158"/>
      <w:bookmarkStart w:id="430" w:name="_Toc297120459"/>
      <w:bookmarkStart w:id="431" w:name="_Toc300934945"/>
      <w:bookmarkStart w:id="432" w:name="_Toc292559364"/>
      <w:bookmarkStart w:id="433" w:name="_Toc297048345"/>
      <w:bookmarkStart w:id="434" w:name="_Toc297123492"/>
      <w:bookmarkStart w:id="435" w:name="_Toc296346660"/>
      <w:bookmarkStart w:id="436" w:name="_Toc303539102"/>
      <w:bookmarkStart w:id="437" w:name="_Toc296503159"/>
      <w:bookmarkStart w:id="438" w:name="_Toc304295523"/>
      <w:bookmarkStart w:id="439" w:name="_Toc297216151"/>
      <w:bookmarkStart w:id="440" w:name="_Toc292559869"/>
      <w:bookmarkStart w:id="441" w:name="_Toc312677988"/>
      <w:bookmarkStart w:id="442" w:name="_Toc296890987"/>
      <w:bookmarkStart w:id="443" w:name="_Toc296944498"/>
      <w:bookmarkStart w:id="444" w:name="_Toc296891199"/>
      <w:r>
        <w:rPr>
          <w:rFonts w:hint="eastAsia" w:ascii="宋体" w:hAnsi="宋体" w:cs="宋体"/>
          <w:color w:val="auto"/>
          <w:sz w:val="22"/>
          <w:szCs w:val="22"/>
          <w:highlight w:val="none"/>
        </w:rPr>
        <w:t>.5 分包</w:t>
      </w:r>
      <w:bookmarkEnd w:id="423"/>
      <w:bookmarkEnd w:id="424"/>
      <w:bookmarkEnd w:id="425"/>
      <w:bookmarkEnd w:id="426"/>
      <w:bookmarkEnd w:id="427"/>
      <w:bookmarkEnd w:id="428"/>
    </w:p>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14:paraId="05372EF1">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w:t>
      </w:r>
      <w:bookmarkStart w:id="445" w:name="_Toc303539103"/>
      <w:bookmarkStart w:id="446" w:name="_Toc296503160"/>
      <w:bookmarkStart w:id="447" w:name="_Toc297048346"/>
      <w:bookmarkStart w:id="448" w:name="_Toc304295524"/>
      <w:bookmarkStart w:id="449" w:name="_Toc292559870"/>
      <w:bookmarkStart w:id="450" w:name="_Toc296944499"/>
      <w:bookmarkStart w:id="451" w:name="_Toc297120460"/>
      <w:bookmarkStart w:id="452" w:name="_Toc292559365"/>
      <w:bookmarkStart w:id="453" w:name="_Toc297123493"/>
      <w:bookmarkStart w:id="454" w:name="_Toc296891200"/>
      <w:bookmarkStart w:id="455" w:name="_Toc312677989"/>
      <w:bookmarkStart w:id="456" w:name="_Toc296347159"/>
      <w:bookmarkStart w:id="457" w:name="_Toc300934946"/>
      <w:bookmarkStart w:id="458" w:name="_Toc296346661"/>
      <w:bookmarkStart w:id="459" w:name="_Toc296890988"/>
      <w:bookmarkStart w:id="460" w:name="_Toc318581158"/>
      <w:bookmarkStart w:id="461" w:name="_Toc297216152"/>
      <w:r>
        <w:rPr>
          <w:rFonts w:hint="eastAsia" w:ascii="宋体" w:hAnsi="宋体" w:cs="宋体"/>
          <w:color w:val="auto"/>
          <w:sz w:val="22"/>
          <w:highlight w:val="none"/>
        </w:rPr>
        <w:t>.5.1 分包的一般约定</w:t>
      </w:r>
    </w:p>
    <w:p w14:paraId="189FD03F">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禁止分包的工程包括：</w:t>
      </w:r>
      <w:r>
        <w:rPr>
          <w:rFonts w:hint="eastAsia" w:ascii="宋体" w:hAnsi="宋体" w:cs="宋体"/>
          <w:color w:val="auto"/>
          <w:sz w:val="22"/>
          <w:highlight w:val="none"/>
          <w:u w:val="single"/>
        </w:rPr>
        <w:t xml:space="preserve">本项目未经发包人批准禁止分包 </w:t>
      </w:r>
      <w:r>
        <w:rPr>
          <w:rFonts w:hint="eastAsia" w:ascii="宋体" w:hAnsi="宋体" w:cs="宋体"/>
          <w:color w:val="auto"/>
          <w:sz w:val="22"/>
          <w:highlight w:val="none"/>
        </w:rPr>
        <w:t>。</w:t>
      </w:r>
    </w:p>
    <w:p w14:paraId="63BAE9AD">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主体结构、关键性工作的范围：</w:t>
      </w:r>
      <w:r>
        <w:rPr>
          <w:rFonts w:hint="eastAsia" w:ascii="宋体" w:hAnsi="宋体" w:cs="宋体"/>
          <w:color w:val="auto"/>
          <w:sz w:val="22"/>
          <w:highlight w:val="none"/>
          <w:u w:val="single"/>
        </w:rPr>
        <w:t xml:space="preserve"> 无 </w:t>
      </w:r>
      <w:r>
        <w:rPr>
          <w:rFonts w:hint="eastAsia" w:ascii="宋体" w:hAnsi="宋体" w:cs="宋体"/>
          <w:color w:val="auto"/>
          <w:sz w:val="22"/>
          <w:highlight w:val="none"/>
        </w:rPr>
        <w:t>。</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7374121C">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3</w:t>
      </w:r>
      <w:bookmarkStart w:id="462" w:name="_Toc318581159"/>
      <w:bookmarkStart w:id="463" w:name="_Toc312677990"/>
      <w:r>
        <w:rPr>
          <w:rFonts w:hint="eastAsia" w:ascii="宋体" w:hAnsi="宋体" w:cs="宋体"/>
          <w:color w:val="auto"/>
          <w:sz w:val="22"/>
          <w:highlight w:val="none"/>
        </w:rPr>
        <w:t>.5.2 分包的确定</w:t>
      </w:r>
    </w:p>
    <w:p w14:paraId="6B0A2D22">
      <w:pPr>
        <w:pStyle w:val="44"/>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允许分包的专业工程包括：</w:t>
      </w:r>
      <w:r>
        <w:rPr>
          <w:rFonts w:hint="eastAsia" w:ascii="宋体" w:hAnsi="宋体" w:cs="宋体"/>
          <w:color w:val="auto"/>
          <w:sz w:val="22"/>
          <w:highlight w:val="none"/>
          <w:u w:val="single"/>
        </w:rPr>
        <w:t xml:space="preserve">无  </w:t>
      </w:r>
      <w:r>
        <w:rPr>
          <w:rFonts w:hint="eastAsia" w:ascii="宋体" w:hAnsi="宋体" w:cs="宋体"/>
          <w:color w:val="auto"/>
          <w:sz w:val="22"/>
          <w:highlight w:val="none"/>
        </w:rPr>
        <w:t>。</w:t>
      </w:r>
    </w:p>
    <w:p w14:paraId="6ADFB9BF">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其他关于分包的约定：</w:t>
      </w:r>
    </w:p>
    <w:p w14:paraId="397E0CD9">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如本项目允许合法分包的，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14:paraId="3EBA769C">
      <w:pPr>
        <w:pStyle w:val="44"/>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（2）在相关分包合同签订并报送有关建设行政主管部门备案后7天内，承包人应当将一份副本提交给监理人，承包人应保障分包工作不得再次分包。</w:t>
      </w:r>
    </w:p>
    <w:p w14:paraId="7827DD75">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（3）未经承包人和监理人审批同意的分包工程和分包人，承包人有权拒绝验收分包工程和支付相应款项，由此引起的发包人费用增加和(或)延误的工期由发包人承担。</w:t>
      </w:r>
    </w:p>
    <w:p w14:paraId="0315067D">
      <w:pPr>
        <w:pStyle w:val="48"/>
        <w:spacing w:line="36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（4）承包人有以下情况之一者，发包人有权解除合同：</w:t>
      </w:r>
    </w:p>
    <w:p w14:paraId="39C2A9C2">
      <w:pPr>
        <w:pStyle w:val="48"/>
        <w:spacing w:line="360" w:lineRule="exact"/>
        <w:ind w:firstLine="462" w:firstLineChars="210"/>
        <w:rPr>
          <w:rFonts w:hAnsi="宋体" w:cs="宋体"/>
          <w:color w:val="auto"/>
          <w:sz w:val="22"/>
          <w:szCs w:val="22"/>
          <w:highlight w:val="none"/>
        </w:rPr>
      </w:pPr>
      <w:r>
        <w:rPr>
          <w:rFonts w:hint="eastAsia" w:hAnsi="宋体" w:cs="宋体"/>
          <w:color w:val="auto"/>
          <w:sz w:val="22"/>
          <w:szCs w:val="22"/>
          <w:highlight w:val="none"/>
        </w:rPr>
        <w:t>①个人承包工程，包括本人单位及外单位人员承包，发包人不承认其个人拥有任何资质等级及营业许可资格。</w:t>
      </w:r>
    </w:p>
    <w:p w14:paraId="5B833A5B">
      <w:pPr>
        <w:pStyle w:val="48"/>
        <w:spacing w:line="360" w:lineRule="exact"/>
        <w:ind w:firstLine="462" w:firstLineChars="210"/>
        <w:rPr>
          <w:rFonts w:hAnsi="宋体" w:cs="宋体"/>
          <w:color w:val="auto"/>
          <w:sz w:val="22"/>
          <w:szCs w:val="22"/>
          <w:highlight w:val="none"/>
        </w:rPr>
      </w:pPr>
      <w:r>
        <w:rPr>
          <w:rFonts w:hint="eastAsia" w:hAnsi="宋体" w:cs="宋体"/>
          <w:color w:val="auto"/>
          <w:sz w:val="22"/>
          <w:szCs w:val="22"/>
          <w:highlight w:val="none"/>
        </w:rPr>
        <w:t>②几个人联合承包工程，就地组织暗分包队伍，不具备完成本工程的技术、机械能力，被发包人判定为没有能力履行的承包人。</w:t>
      </w:r>
    </w:p>
    <w:p w14:paraId="63015B6F">
      <w:pPr>
        <w:pStyle w:val="48"/>
        <w:spacing w:line="360" w:lineRule="exact"/>
        <w:ind w:firstLine="462" w:firstLineChars="210"/>
        <w:rPr>
          <w:rFonts w:hAnsi="宋体" w:cs="宋体"/>
          <w:color w:val="auto"/>
          <w:sz w:val="22"/>
          <w:szCs w:val="22"/>
          <w:highlight w:val="none"/>
        </w:rPr>
      </w:pPr>
      <w:r>
        <w:rPr>
          <w:rFonts w:hint="eastAsia" w:hAnsi="宋体" w:cs="宋体"/>
          <w:color w:val="auto"/>
          <w:sz w:val="22"/>
          <w:szCs w:val="22"/>
          <w:highlight w:val="none"/>
        </w:rPr>
        <w:t>③就地转包全部的工程，以谋取高额转让费、管理费的承包人。</w:t>
      </w:r>
    </w:p>
    <w:p w14:paraId="41434EC2">
      <w:pPr>
        <w:pStyle w:val="44"/>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④承包人有部分分包现象（其中包括冒充承包人下属单位的挂勾单位，凭口头协议参与施工的分包人及其他暗分包个体户），一经发现核实，发包人将采取驱逐该暗分包人措施。</w:t>
      </w:r>
    </w:p>
    <w:p w14:paraId="53860E3E">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3.5.4 分包合同价款</w:t>
      </w:r>
    </w:p>
    <w:bookmarkEnd w:id="462"/>
    <w:bookmarkEnd w:id="463"/>
    <w:p w14:paraId="2654DA9B">
      <w:pPr>
        <w:pStyle w:val="44"/>
        <w:spacing w:line="360" w:lineRule="exact"/>
        <w:ind w:firstLine="440" w:firstLineChars="200"/>
        <w:rPr>
          <w:rFonts w:ascii="宋体" w:hAnsi="宋体" w:cs="宋体"/>
          <w:color w:val="auto"/>
          <w:sz w:val="22"/>
          <w:highlight w:val="none"/>
        </w:rPr>
      </w:pPr>
      <w:bookmarkStart w:id="464" w:name="_Toc373478358"/>
      <w:bookmarkStart w:id="465" w:name="_Toc389065277"/>
      <w:bookmarkStart w:id="466" w:name="_Toc373227711"/>
      <w:r>
        <w:rPr>
          <w:rFonts w:hint="eastAsia" w:ascii="宋体" w:hAnsi="宋体" w:cs="宋体"/>
          <w:color w:val="auto"/>
          <w:sz w:val="22"/>
          <w:highlight w:val="none"/>
        </w:rPr>
        <w:t>关于分包合同价款支付的约定：</w:t>
      </w:r>
      <w:r>
        <w:rPr>
          <w:rFonts w:hint="eastAsia" w:ascii="宋体" w:hAnsi="宋体" w:cs="宋体"/>
          <w:color w:val="auto"/>
          <w:sz w:val="22"/>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08192AFA">
      <w:pPr>
        <w:pStyle w:val="45"/>
        <w:spacing w:line="360" w:lineRule="exact"/>
        <w:rPr>
          <w:rFonts w:ascii="宋体" w:hAnsi="宋体" w:cs="宋体"/>
          <w:color w:val="auto"/>
          <w:sz w:val="22"/>
          <w:szCs w:val="22"/>
          <w:highlight w:val="none"/>
        </w:rPr>
      </w:pPr>
      <w:bookmarkStart w:id="467" w:name="_Toc12975901"/>
      <w:bookmarkStart w:id="468" w:name="_Toc533432736"/>
      <w:bookmarkStart w:id="469" w:name="_Toc395382513"/>
      <w:r>
        <w:rPr>
          <w:rFonts w:hint="eastAsia" w:ascii="宋体" w:hAnsi="宋体" w:cs="宋体"/>
          <w:color w:val="auto"/>
          <w:sz w:val="22"/>
          <w:szCs w:val="22"/>
          <w:highlight w:val="none"/>
        </w:rPr>
        <w:t>3.6 工程照管与成品、半成品保护</w:t>
      </w:r>
      <w:bookmarkEnd w:id="464"/>
      <w:bookmarkEnd w:id="465"/>
      <w:bookmarkEnd w:id="466"/>
      <w:bookmarkEnd w:id="467"/>
      <w:bookmarkEnd w:id="468"/>
      <w:bookmarkEnd w:id="469"/>
    </w:p>
    <w:p w14:paraId="1CE6687B">
      <w:pPr>
        <w:pStyle w:val="44"/>
        <w:spacing w:line="360" w:lineRule="exact"/>
        <w:ind w:firstLine="440" w:firstLineChars="200"/>
        <w:rPr>
          <w:rFonts w:ascii="宋体" w:hAnsi="宋体" w:cs="宋体"/>
          <w:color w:val="auto"/>
          <w:kern w:val="0"/>
          <w:sz w:val="22"/>
          <w:highlight w:val="none"/>
          <w:u w:val="single"/>
        </w:rPr>
      </w:pPr>
      <w:r>
        <w:rPr>
          <w:rFonts w:hint="eastAsia" w:ascii="宋体" w:hAnsi="宋体" w:cs="宋体"/>
          <w:color w:val="auto"/>
          <w:kern w:val="0"/>
          <w:sz w:val="22"/>
          <w:highlight w:val="none"/>
        </w:rPr>
        <w:t>承包人负责照管工程及工程相关的材料、工程设备的起始时间：</w:t>
      </w:r>
      <w:r>
        <w:rPr>
          <w:rFonts w:hint="eastAsia" w:ascii="宋体" w:hAnsi="宋体" w:cs="宋体"/>
          <w:color w:val="auto"/>
          <w:kern w:val="0"/>
          <w:sz w:val="22"/>
          <w:highlight w:val="none"/>
          <w:u w:val="single"/>
        </w:rPr>
        <w:t xml:space="preserve">设备、人员进场至验收交付使用前由承包人负责保修，无其他特殊要求的，费用由承包人承担 </w:t>
      </w:r>
      <w:r>
        <w:rPr>
          <w:rFonts w:hint="eastAsia" w:ascii="宋体" w:hAnsi="宋体" w:cs="宋体"/>
          <w:color w:val="auto"/>
          <w:kern w:val="0"/>
          <w:sz w:val="22"/>
          <w:highlight w:val="none"/>
        </w:rPr>
        <w:t>。</w:t>
      </w:r>
    </w:p>
    <w:p w14:paraId="04B69203">
      <w:pPr>
        <w:pStyle w:val="45"/>
        <w:spacing w:line="360" w:lineRule="exact"/>
        <w:rPr>
          <w:rFonts w:ascii="宋体" w:hAnsi="宋体" w:cs="宋体"/>
          <w:color w:val="auto"/>
          <w:sz w:val="22"/>
          <w:szCs w:val="22"/>
          <w:highlight w:val="none"/>
        </w:rPr>
      </w:pPr>
      <w:bookmarkStart w:id="470" w:name="_Toc389065278"/>
      <w:bookmarkStart w:id="471" w:name="_Toc373227712"/>
      <w:bookmarkStart w:id="472" w:name="_Toc373478359"/>
      <w:bookmarkStart w:id="473" w:name="_Toc395382514"/>
      <w:bookmarkStart w:id="474" w:name="_Toc533432737"/>
      <w:bookmarkStart w:id="475" w:name="_Toc12975902"/>
      <w:r>
        <w:rPr>
          <w:rFonts w:hint="eastAsia" w:ascii="宋体" w:hAnsi="宋体" w:cs="宋体"/>
          <w:color w:val="auto"/>
          <w:sz w:val="22"/>
          <w:szCs w:val="22"/>
          <w:highlight w:val="none"/>
        </w:rPr>
        <w:t>3.7 履约</w:t>
      </w:r>
      <w:bookmarkEnd w:id="470"/>
      <w:bookmarkEnd w:id="471"/>
      <w:bookmarkEnd w:id="472"/>
      <w:r>
        <w:rPr>
          <w:rFonts w:hint="eastAsia" w:ascii="宋体" w:hAnsi="宋体" w:cs="宋体"/>
          <w:color w:val="auto"/>
          <w:sz w:val="22"/>
          <w:szCs w:val="22"/>
          <w:highlight w:val="none"/>
        </w:rPr>
        <w:t>保证金</w:t>
      </w:r>
      <w:bookmarkEnd w:id="473"/>
      <w:bookmarkEnd w:id="474"/>
      <w:bookmarkEnd w:id="475"/>
    </w:p>
    <w:p w14:paraId="50C4192B">
      <w:pPr>
        <w:pStyle w:val="43"/>
        <w:spacing w:before="0" w:after="0" w:line="360" w:lineRule="exact"/>
        <w:ind w:firstLine="440" w:firstLineChars="200"/>
        <w:rPr>
          <w:rFonts w:ascii="宋体" w:hAnsi="宋体" w:cs="宋体"/>
          <w:b w:val="0"/>
          <w:bCs w:val="0"/>
          <w:color w:val="auto"/>
          <w:kern w:val="0"/>
          <w:sz w:val="22"/>
          <w:szCs w:val="22"/>
          <w:highlight w:val="none"/>
        </w:rPr>
      </w:pPr>
      <w:bookmarkStart w:id="476" w:name="_Toc373478360"/>
      <w:bookmarkStart w:id="477" w:name="_Toc351203636"/>
      <w:bookmarkStart w:id="478" w:name="_Toc533432738"/>
      <w:bookmarkStart w:id="479" w:name="_Toc395382515"/>
      <w:bookmarkStart w:id="480" w:name="_Toc389065279"/>
      <w:bookmarkStart w:id="481" w:name="_Toc373227713"/>
      <w:bookmarkStart w:id="482" w:name="_Toc12975903"/>
      <w:r>
        <w:rPr>
          <w:rFonts w:hint="eastAsia" w:ascii="宋体" w:hAnsi="宋体" w:cs="宋体"/>
          <w:b w:val="0"/>
          <w:bCs w:val="0"/>
          <w:color w:val="auto"/>
          <w:kern w:val="0"/>
          <w:sz w:val="22"/>
          <w:szCs w:val="22"/>
          <w:highlight w:val="none"/>
        </w:rPr>
        <w:t>本项目不收取履约保证金</w:t>
      </w:r>
    </w:p>
    <w:p w14:paraId="3D458849">
      <w:pPr>
        <w:pStyle w:val="43"/>
        <w:spacing w:before="0" w:after="0" w:line="360" w:lineRule="exact"/>
        <w:rPr>
          <w:rFonts w:ascii="宋体" w:hAnsi="宋体" w:cs="宋体"/>
          <w:color w:val="auto"/>
          <w:sz w:val="22"/>
          <w:szCs w:val="22"/>
          <w:highlight w:val="none"/>
        </w:rPr>
      </w:pPr>
      <w:r>
        <w:rPr>
          <w:rFonts w:hint="eastAsia" w:ascii="宋体" w:hAnsi="宋体" w:cs="宋体"/>
          <w:color w:val="auto"/>
          <w:sz w:val="22"/>
          <w:szCs w:val="22"/>
          <w:highlight w:val="none"/>
        </w:rPr>
        <w:t>4</w:t>
      </w:r>
      <w:bookmarkStart w:id="483" w:name="_Toc292559871"/>
      <w:bookmarkStart w:id="484" w:name="_Toc296944501"/>
      <w:bookmarkStart w:id="485" w:name="_Toc292559366"/>
      <w:bookmarkStart w:id="486" w:name="_Toc296891202"/>
      <w:bookmarkStart w:id="487" w:name="_Toc296347161"/>
      <w:bookmarkStart w:id="488" w:name="_Toc297120462"/>
      <w:bookmarkStart w:id="489" w:name="_Toc297048348"/>
      <w:bookmarkStart w:id="490" w:name="_Toc296503162"/>
      <w:bookmarkStart w:id="491" w:name="_Toc267251413"/>
      <w:bookmarkStart w:id="492" w:name="_Toc296346663"/>
      <w:bookmarkStart w:id="493" w:name="_Toc296890990"/>
      <w:r>
        <w:rPr>
          <w:rFonts w:hint="eastAsia" w:ascii="宋体" w:hAnsi="宋体" w:cs="宋体"/>
          <w:color w:val="auto"/>
          <w:sz w:val="22"/>
          <w:szCs w:val="22"/>
          <w:highlight w:val="none"/>
        </w:rPr>
        <w:t>. 监</w:t>
      </w:r>
      <w:bookmarkEnd w:id="483"/>
      <w:bookmarkEnd w:id="484"/>
      <w:bookmarkEnd w:id="485"/>
      <w:bookmarkEnd w:id="486"/>
      <w:bookmarkEnd w:id="487"/>
      <w:bookmarkEnd w:id="488"/>
      <w:bookmarkEnd w:id="489"/>
      <w:bookmarkEnd w:id="490"/>
      <w:bookmarkEnd w:id="491"/>
      <w:bookmarkEnd w:id="492"/>
      <w:bookmarkEnd w:id="493"/>
      <w:r>
        <w:rPr>
          <w:rFonts w:hint="eastAsia" w:ascii="宋体" w:hAnsi="宋体" w:cs="宋体"/>
          <w:color w:val="auto"/>
          <w:sz w:val="22"/>
          <w:szCs w:val="22"/>
          <w:highlight w:val="none"/>
        </w:rPr>
        <w:t>理人</w:t>
      </w:r>
      <w:bookmarkEnd w:id="476"/>
      <w:bookmarkEnd w:id="477"/>
      <w:bookmarkEnd w:id="478"/>
      <w:bookmarkEnd w:id="479"/>
      <w:bookmarkEnd w:id="480"/>
      <w:bookmarkEnd w:id="481"/>
      <w:bookmarkEnd w:id="482"/>
    </w:p>
    <w:p w14:paraId="6B61B2E5">
      <w:pPr>
        <w:pStyle w:val="45"/>
        <w:spacing w:line="360" w:lineRule="exact"/>
        <w:rPr>
          <w:rFonts w:ascii="宋体" w:hAnsi="宋体" w:cs="宋体"/>
          <w:color w:val="auto"/>
          <w:sz w:val="22"/>
          <w:szCs w:val="22"/>
          <w:highlight w:val="none"/>
        </w:rPr>
      </w:pPr>
      <w:bookmarkStart w:id="494" w:name="_Toc373478361"/>
      <w:bookmarkStart w:id="495" w:name="_Toc12975904"/>
      <w:bookmarkStart w:id="496" w:name="_Toc533432739"/>
      <w:bookmarkStart w:id="497" w:name="_Toc389065280"/>
      <w:bookmarkStart w:id="498" w:name="_Toc373227714"/>
      <w:bookmarkStart w:id="499" w:name="_Toc395382516"/>
      <w:r>
        <w:rPr>
          <w:rFonts w:hint="eastAsia" w:ascii="宋体" w:hAnsi="宋体" w:cs="宋体"/>
          <w:color w:val="auto"/>
          <w:sz w:val="22"/>
          <w:szCs w:val="22"/>
          <w:highlight w:val="none"/>
        </w:rPr>
        <w:t>4.1 监理人的一般规定</w:t>
      </w:r>
      <w:bookmarkEnd w:id="494"/>
      <w:bookmarkEnd w:id="495"/>
      <w:bookmarkEnd w:id="496"/>
      <w:bookmarkEnd w:id="497"/>
      <w:bookmarkEnd w:id="498"/>
      <w:bookmarkEnd w:id="499"/>
    </w:p>
    <w:p w14:paraId="34A26CBC">
      <w:pPr>
        <w:pStyle w:val="46"/>
        <w:spacing w:line="360" w:lineRule="exact"/>
        <w:ind w:firstLine="420"/>
        <w:rPr>
          <w:rFonts w:ascii="宋体" w:hAnsi="宋体" w:cs="宋体"/>
          <w:color w:val="auto"/>
          <w:sz w:val="22"/>
          <w:szCs w:val="22"/>
          <w:highlight w:val="none"/>
        </w:rPr>
      </w:pPr>
      <w:r>
        <w:rPr>
          <w:rFonts w:hint="eastAsia" w:ascii="宋体" w:hAnsi="宋体" w:cs="宋体"/>
          <w:color w:val="auto"/>
          <w:sz w:val="22"/>
          <w:szCs w:val="22"/>
          <w:highlight w:val="none"/>
        </w:rPr>
        <w:t>关于监理人的监理内容：</w:t>
      </w:r>
      <w:r>
        <w:rPr>
          <w:rFonts w:hint="eastAsia" w:ascii="宋体" w:hAnsi="宋体" w:cs="宋体"/>
          <w:color w:val="auto"/>
          <w:sz w:val="22"/>
          <w:szCs w:val="22"/>
          <w:highlight w:val="none"/>
          <w:u w:val="single"/>
        </w:rPr>
        <w:t>三控三管一协调（主要指：工程进度控制、工程质量、安全控制、工程投资（成本）控制；合同管理、职业健康安全与环境管理、信息管理；与本项目有关的全面组织协调）</w:t>
      </w:r>
      <w:r>
        <w:rPr>
          <w:rFonts w:hint="eastAsia" w:ascii="宋体" w:hAnsi="宋体" w:cs="宋体"/>
          <w:color w:val="auto"/>
          <w:sz w:val="22"/>
          <w:szCs w:val="22"/>
          <w:highlight w:val="none"/>
        </w:rPr>
        <w:t>。</w:t>
      </w:r>
    </w:p>
    <w:p w14:paraId="315D226D">
      <w:pPr>
        <w:pStyle w:val="46"/>
        <w:spacing w:line="36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rPr>
        <w:t>关于监理人的监理权限：</w:t>
      </w:r>
      <w:r>
        <w:rPr>
          <w:rFonts w:hint="eastAsia" w:ascii="宋体" w:hAnsi="宋体" w:cs="宋体"/>
          <w:color w:val="auto"/>
          <w:sz w:val="22"/>
          <w:szCs w:val="22"/>
          <w:highlight w:val="none"/>
          <w:u w:val="single"/>
        </w:rPr>
        <w:t>（1）监理人行使下列职权之前必须征得发包人的书面认可：①批准承包人的书面开工请求或延期开工申请，发布暂停施工指示、复工令或批准复工申请；②批准合同进度计划及合同进度计划的修订；③批准承包人的深化设计；④批准承包人的重大施工技术方案和技术规范的变更；⑤批准承包人或其分包人提出更换项目经理、技术负责人或其它主要管理人员；⑥批准主要材料设备或替换材料设备的使用及分包人的选择；⑦工程量计量、工程款的审核和确认权；⑧发出可能导致增加合同价款或费用或延误或延长工期的任何指示或建议；⑨批准承包人拆除垂直运输设备、外墙脚手架及其他重要施工设备；⑩质量缺陷补救措施的认可；⑪签发工程竣工证书、单位工程验收证明书；⑫专用条款约定的需经发包人批准方能行使的职权。</w:t>
      </w:r>
    </w:p>
    <w:p w14:paraId="0788E817">
      <w:pPr>
        <w:pStyle w:val="46"/>
        <w:spacing w:line="360" w:lineRule="exact"/>
        <w:ind w:firstLine="442" w:firstLineChars="200"/>
        <w:jc w:val="left"/>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当监理人行使上述职权时，监理人应当提供经发包人认可的相关配套文件，承包人应当核实其真实性。如果无发包人事先认可文件时，发包人不承担由此产生的义务和责任，由此产生的一切后果（不限于工期延误和成本、费用支出等）均由承包人承担。</w:t>
      </w:r>
    </w:p>
    <w:p w14:paraId="25DBD7D8">
      <w:pPr>
        <w:pStyle w:val="46"/>
        <w:spacing w:line="36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2）监理人无权行使下列权利：①提出或批准变更、索赔（含工期、费用）；②批准暂列金额的使用；③暂估价费用确定；④同意分包本工程的某些非主体和非关键性主体；⑤专用条款约定的监理人无权行使的权力。</w:t>
      </w:r>
    </w:p>
    <w:p w14:paraId="5DECB8B3">
      <w:pPr>
        <w:pStyle w:val="46"/>
        <w:spacing w:line="360" w:lineRule="exact"/>
        <w:ind w:firstLine="442" w:firstLineChars="200"/>
        <w:jc w:val="left"/>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承包人在接到监理人指示时，应自行审核该指示是否属于上述监理人无权行使的权力的范围，因承包人疏于审核监理人指示所产生的一切后果均由承包人承担。</w:t>
      </w:r>
    </w:p>
    <w:p w14:paraId="76E00E46">
      <w:pPr>
        <w:pStyle w:val="46"/>
        <w:spacing w:line="36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3）监理人无权免除、减轻或变更合同约定的承包人的义务和责任。合同约定应由承包人承担的义务和责任，也不因监理人对承包人提交文件的审查或批准，对工程、材料设备的检查和检验，以及为实施监理作出的指示等职务行为而减轻、免除或变更。</w:t>
      </w:r>
    </w:p>
    <w:p w14:paraId="0DC4B899">
      <w:pPr>
        <w:pStyle w:val="46"/>
        <w:spacing w:line="36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（4）发包人有权单方修改监理人的职权，并书面通知承包人，修改的监理人的职权自通知到达承包人之日起生效。</w:t>
      </w:r>
    </w:p>
    <w:p w14:paraId="3A36C626">
      <w:pPr>
        <w:pStyle w:val="46"/>
        <w:spacing w:line="360" w:lineRule="exact"/>
        <w:ind w:firstLine="420"/>
        <w:rPr>
          <w:rFonts w:ascii="宋体" w:hAnsi="宋体" w:cs="宋体"/>
          <w:color w:val="auto"/>
          <w:sz w:val="22"/>
          <w:szCs w:val="22"/>
          <w:highlight w:val="none"/>
        </w:rPr>
      </w:pPr>
      <w:r>
        <w:rPr>
          <w:rFonts w:hint="eastAsia" w:ascii="宋体" w:hAnsi="宋体" w:cs="宋体"/>
          <w:bCs/>
          <w:color w:val="auto"/>
          <w:sz w:val="22"/>
          <w:szCs w:val="22"/>
          <w:highlight w:val="none"/>
          <w:u w:val="single"/>
        </w:rPr>
        <w:t>（5）如果发生紧急情况，监理人认为将造成人员伤亡，或危及本工程或邻近的财产需立即采取行动，监理人有权在未征得发包人的批准的情况下发布处理紧急情况所必需的指令，承包人应予执行，由此造成的费用增加由监理人按合同中的其余条款商定或确定。</w:t>
      </w:r>
      <w:r>
        <w:rPr>
          <w:rFonts w:hint="eastAsia" w:ascii="宋体" w:hAnsi="宋体" w:cs="宋体"/>
          <w:color w:val="auto"/>
          <w:sz w:val="22"/>
          <w:szCs w:val="22"/>
          <w:highlight w:val="none"/>
        </w:rPr>
        <w:t xml:space="preserve"> </w:t>
      </w:r>
    </w:p>
    <w:p w14:paraId="382CE36F">
      <w:pPr>
        <w:pStyle w:val="44"/>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关于监理人在施工现场的办公场所、生活场所的提供和费用承担的约定：</w:t>
      </w:r>
      <w:r>
        <w:rPr>
          <w:rFonts w:hint="eastAsia" w:ascii="宋体" w:hAnsi="宋体" w:cs="宋体"/>
          <w:color w:val="auto"/>
          <w:sz w:val="22"/>
          <w:highlight w:val="none"/>
          <w:u w:val="single"/>
        </w:rPr>
        <w:t xml:space="preserve">承包人免费提供 </w:t>
      </w:r>
      <w:r>
        <w:rPr>
          <w:rFonts w:hint="eastAsia" w:ascii="宋体" w:hAnsi="宋体" w:cs="宋体"/>
          <w:color w:val="auto"/>
          <w:sz w:val="22"/>
          <w:highlight w:val="none"/>
        </w:rPr>
        <w:t>。</w:t>
      </w:r>
    </w:p>
    <w:p w14:paraId="216C9E62">
      <w:pPr>
        <w:pStyle w:val="45"/>
        <w:spacing w:line="360" w:lineRule="exact"/>
        <w:rPr>
          <w:rFonts w:ascii="宋体" w:hAnsi="宋体" w:cs="宋体"/>
          <w:color w:val="auto"/>
          <w:sz w:val="22"/>
          <w:szCs w:val="22"/>
          <w:highlight w:val="none"/>
        </w:rPr>
      </w:pPr>
      <w:bookmarkStart w:id="500" w:name="_Toc533432740"/>
      <w:bookmarkStart w:id="501" w:name="_Toc373478362"/>
      <w:bookmarkStart w:id="502" w:name="_Toc389065281"/>
      <w:bookmarkStart w:id="503" w:name="_Toc12975905"/>
      <w:bookmarkStart w:id="504" w:name="_Toc373227715"/>
      <w:bookmarkStart w:id="505" w:name="_Toc395382517"/>
      <w:r>
        <w:rPr>
          <w:rFonts w:hint="eastAsia" w:ascii="宋体" w:hAnsi="宋体" w:cs="宋体"/>
          <w:color w:val="auto"/>
          <w:sz w:val="22"/>
          <w:szCs w:val="22"/>
          <w:highlight w:val="none"/>
        </w:rPr>
        <w:t>4.2 监理人员</w:t>
      </w:r>
      <w:bookmarkEnd w:id="500"/>
      <w:bookmarkEnd w:id="501"/>
      <w:bookmarkEnd w:id="502"/>
      <w:bookmarkEnd w:id="503"/>
      <w:bookmarkEnd w:id="504"/>
      <w:bookmarkEnd w:id="505"/>
    </w:p>
    <w:p w14:paraId="007EE2A5">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总监理工程师：</w:t>
      </w:r>
    </w:p>
    <w:p w14:paraId="452D0B61">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姓    名：</w:t>
      </w:r>
      <w:r>
        <w:rPr>
          <w:rFonts w:hint="eastAsia" w:ascii="宋体" w:hAnsi="宋体" w:cs="宋体"/>
          <w:color w:val="auto"/>
          <w:sz w:val="22"/>
          <w:highlight w:val="none"/>
          <w:u w:val="single"/>
        </w:rPr>
        <w:t>   </w:t>
      </w:r>
      <w:r>
        <w:rPr>
          <w:rFonts w:hint="eastAsia" w:ascii="宋体" w:hAnsi="宋体" w:cs="宋体"/>
          <w:color w:val="auto"/>
          <w:sz w:val="22"/>
          <w:highlight w:val="none"/>
        </w:rPr>
        <w:t>；</w:t>
      </w:r>
    </w:p>
    <w:p w14:paraId="66E1EFA6">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职    务：</w:t>
      </w:r>
      <w:r>
        <w:rPr>
          <w:rFonts w:hint="eastAsia" w:ascii="宋体" w:hAnsi="宋体" w:cs="宋体"/>
          <w:color w:val="auto"/>
          <w:sz w:val="22"/>
          <w:highlight w:val="none"/>
          <w:u w:val="single"/>
        </w:rPr>
        <w:t>   </w:t>
      </w:r>
      <w:r>
        <w:rPr>
          <w:rFonts w:hint="eastAsia" w:ascii="宋体" w:hAnsi="宋体" w:cs="宋体"/>
          <w:color w:val="auto"/>
          <w:sz w:val="22"/>
          <w:highlight w:val="none"/>
        </w:rPr>
        <w:t>；</w:t>
      </w:r>
    </w:p>
    <w:p w14:paraId="3D5D78DC">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监理工程师执业资格证书号：</w:t>
      </w:r>
      <w:r>
        <w:rPr>
          <w:rFonts w:hint="eastAsia" w:ascii="宋体" w:hAnsi="宋体" w:cs="宋体"/>
          <w:color w:val="auto"/>
          <w:sz w:val="22"/>
          <w:highlight w:val="none"/>
          <w:u w:val="single"/>
        </w:rPr>
        <w:t> </w:t>
      </w:r>
      <w:r>
        <w:rPr>
          <w:rFonts w:hint="eastAsia" w:ascii="宋体" w:hAnsi="宋体" w:cs="宋体"/>
          <w:color w:val="auto"/>
          <w:sz w:val="22"/>
          <w:highlight w:val="none"/>
        </w:rPr>
        <w:t>；</w:t>
      </w:r>
    </w:p>
    <w:p w14:paraId="5CDDA4CA">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广西建筑市场诚信卡卡号：</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w:t>
      </w:r>
    </w:p>
    <w:p w14:paraId="7719B65D">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联系电话：</w:t>
      </w:r>
      <w:r>
        <w:rPr>
          <w:rFonts w:hint="eastAsia" w:ascii="宋体" w:hAnsi="宋体" w:cs="宋体"/>
          <w:color w:val="auto"/>
          <w:sz w:val="22"/>
          <w:highlight w:val="none"/>
          <w:u w:val="single"/>
        </w:rPr>
        <w:t>   </w:t>
      </w:r>
      <w:r>
        <w:rPr>
          <w:rFonts w:hint="eastAsia" w:ascii="宋体" w:hAnsi="宋体" w:cs="宋体"/>
          <w:color w:val="auto"/>
          <w:sz w:val="22"/>
          <w:highlight w:val="none"/>
        </w:rPr>
        <w:t>；</w:t>
      </w:r>
    </w:p>
    <w:p w14:paraId="7062C771">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电子信箱：</w:t>
      </w:r>
      <w:r>
        <w:rPr>
          <w:rFonts w:hint="eastAsia" w:ascii="宋体" w:hAnsi="宋体" w:cs="宋体"/>
          <w:color w:val="auto"/>
          <w:sz w:val="22"/>
          <w:highlight w:val="none"/>
          <w:u w:val="single"/>
        </w:rPr>
        <w:t>   </w:t>
      </w:r>
      <w:r>
        <w:rPr>
          <w:rFonts w:hint="eastAsia" w:ascii="宋体" w:hAnsi="宋体" w:cs="宋体"/>
          <w:color w:val="auto"/>
          <w:sz w:val="22"/>
          <w:highlight w:val="none"/>
        </w:rPr>
        <w:t>；</w:t>
      </w:r>
    </w:p>
    <w:p w14:paraId="2B5E190B">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通信地址：</w:t>
      </w:r>
      <w:r>
        <w:rPr>
          <w:rFonts w:hint="eastAsia" w:ascii="宋体" w:hAnsi="宋体" w:cs="宋体"/>
          <w:color w:val="auto"/>
          <w:sz w:val="22"/>
          <w:highlight w:val="none"/>
          <w:u w:val="single"/>
        </w:rPr>
        <w:t>   </w:t>
      </w:r>
      <w:r>
        <w:rPr>
          <w:rFonts w:hint="eastAsia" w:ascii="宋体" w:hAnsi="宋体" w:cs="宋体"/>
          <w:color w:val="auto"/>
          <w:sz w:val="22"/>
          <w:highlight w:val="none"/>
        </w:rPr>
        <w:t>；</w:t>
      </w:r>
    </w:p>
    <w:p w14:paraId="2484C5BF">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关于监理人的其他约定：</w:t>
      </w:r>
      <w:r>
        <w:rPr>
          <w:rFonts w:hint="eastAsia" w:ascii="宋体" w:hAnsi="宋体" w:cs="宋体"/>
          <w:color w:val="auto"/>
          <w:sz w:val="22"/>
          <w:highlight w:val="none"/>
          <w:u w:val="single"/>
        </w:rPr>
        <w:t>   </w:t>
      </w:r>
      <w:r>
        <w:rPr>
          <w:rFonts w:hint="eastAsia" w:ascii="宋体" w:hAnsi="宋体" w:cs="宋体"/>
          <w:color w:val="auto"/>
          <w:sz w:val="22"/>
          <w:highlight w:val="none"/>
        </w:rPr>
        <w:t>。</w:t>
      </w:r>
    </w:p>
    <w:p w14:paraId="65139B96">
      <w:pPr>
        <w:pStyle w:val="45"/>
        <w:spacing w:line="360" w:lineRule="exact"/>
        <w:rPr>
          <w:rFonts w:ascii="宋体" w:hAnsi="宋体" w:cs="宋体"/>
          <w:color w:val="auto"/>
          <w:sz w:val="22"/>
          <w:szCs w:val="22"/>
          <w:highlight w:val="none"/>
        </w:rPr>
      </w:pPr>
      <w:bookmarkStart w:id="506" w:name="_Toc373478363"/>
      <w:bookmarkStart w:id="507" w:name="_Toc12975906"/>
      <w:bookmarkStart w:id="508" w:name="_Toc395382518"/>
      <w:bookmarkStart w:id="509" w:name="_Toc389065282"/>
      <w:bookmarkStart w:id="510" w:name="_Toc533432741"/>
      <w:bookmarkStart w:id="511" w:name="_Toc373227716"/>
      <w:r>
        <w:rPr>
          <w:rFonts w:hint="eastAsia" w:ascii="宋体" w:hAnsi="宋体" w:cs="宋体"/>
          <w:color w:val="auto"/>
          <w:sz w:val="22"/>
          <w:szCs w:val="22"/>
          <w:highlight w:val="none"/>
        </w:rPr>
        <w:t>4.4 商定或确定</w:t>
      </w:r>
      <w:bookmarkEnd w:id="506"/>
      <w:bookmarkEnd w:id="507"/>
      <w:bookmarkEnd w:id="508"/>
      <w:bookmarkEnd w:id="509"/>
      <w:bookmarkEnd w:id="510"/>
      <w:bookmarkEnd w:id="511"/>
    </w:p>
    <w:p w14:paraId="7C7BEFD3">
      <w:pPr>
        <w:pStyle w:val="44"/>
        <w:spacing w:line="360" w:lineRule="exact"/>
        <w:ind w:firstLine="440" w:firstLineChars="200"/>
        <w:rPr>
          <w:rFonts w:ascii="宋体" w:hAnsi="宋体" w:cs="宋体"/>
          <w:color w:val="auto"/>
          <w:sz w:val="22"/>
          <w:highlight w:val="none"/>
        </w:rPr>
      </w:pPr>
      <w:bookmarkStart w:id="512" w:name="_Toc267251418"/>
      <w:r>
        <w:rPr>
          <w:rFonts w:hint="eastAsia" w:ascii="宋体" w:hAnsi="宋体" w:cs="宋体"/>
          <w:color w:val="auto"/>
          <w:sz w:val="22"/>
          <w:highlight w:val="none"/>
        </w:rPr>
        <w:t>在发包人和承包人不能通过协商达成一致意见时，发包人授权监理人对以下事项进行确定：</w:t>
      </w:r>
    </w:p>
    <w:p w14:paraId="187A0A2A">
      <w:pPr>
        <w:pStyle w:val="44"/>
        <w:autoSpaceDE w:val="0"/>
        <w:autoSpaceDN w:val="0"/>
        <w:adjustRightInd w:val="0"/>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（1）</w:t>
      </w:r>
      <w:r>
        <w:rPr>
          <w:rFonts w:hint="eastAsia" w:ascii="宋体" w:hAnsi="宋体" w:cs="宋体"/>
          <w:color w:val="auto"/>
          <w:sz w:val="22"/>
          <w:highlight w:val="none"/>
          <w:u w:val="single"/>
        </w:rPr>
        <w:t xml:space="preserve">         无                  </w:t>
      </w:r>
      <w:r>
        <w:rPr>
          <w:rFonts w:hint="eastAsia" w:ascii="宋体" w:hAnsi="宋体" w:cs="宋体"/>
          <w:color w:val="auto"/>
          <w:sz w:val="22"/>
          <w:highlight w:val="none"/>
        </w:rPr>
        <w:t>；</w:t>
      </w:r>
    </w:p>
    <w:p w14:paraId="2619884D">
      <w:pPr>
        <w:pStyle w:val="44"/>
        <w:autoSpaceDE w:val="0"/>
        <w:autoSpaceDN w:val="0"/>
        <w:adjustRightInd w:val="0"/>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（2）</w:t>
      </w:r>
      <w:r>
        <w:rPr>
          <w:rFonts w:hint="eastAsia" w:ascii="宋体" w:hAnsi="宋体" w:cs="宋体"/>
          <w:color w:val="auto"/>
          <w:sz w:val="22"/>
          <w:highlight w:val="none"/>
          <w:u w:val="single"/>
        </w:rPr>
        <w:t xml:space="preserve">           无                 </w:t>
      </w:r>
      <w:r>
        <w:rPr>
          <w:rFonts w:hint="eastAsia" w:ascii="宋体" w:hAnsi="宋体" w:cs="宋体"/>
          <w:color w:val="auto"/>
          <w:sz w:val="22"/>
          <w:highlight w:val="none"/>
        </w:rPr>
        <w:t>；</w:t>
      </w:r>
    </w:p>
    <w:p w14:paraId="643046A1">
      <w:pPr>
        <w:pStyle w:val="44"/>
        <w:autoSpaceDE w:val="0"/>
        <w:autoSpaceDN w:val="0"/>
        <w:adjustRightInd w:val="0"/>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（3）</w:t>
      </w:r>
      <w:r>
        <w:rPr>
          <w:rFonts w:hint="eastAsia" w:ascii="宋体" w:hAnsi="宋体" w:cs="宋体"/>
          <w:color w:val="auto"/>
          <w:sz w:val="22"/>
          <w:highlight w:val="none"/>
          <w:u w:val="single"/>
        </w:rPr>
        <w:t xml:space="preserve">            无                </w:t>
      </w:r>
      <w:r>
        <w:rPr>
          <w:rFonts w:hint="eastAsia" w:ascii="宋体" w:hAnsi="宋体" w:cs="宋体"/>
          <w:color w:val="auto"/>
          <w:sz w:val="22"/>
          <w:highlight w:val="none"/>
        </w:rPr>
        <w:t>。</w:t>
      </w:r>
    </w:p>
    <w:p w14:paraId="41EADE31">
      <w:pPr>
        <w:pStyle w:val="43"/>
        <w:spacing w:before="0" w:after="0" w:line="360" w:lineRule="exact"/>
        <w:rPr>
          <w:rFonts w:ascii="宋体" w:hAnsi="宋体" w:cs="宋体"/>
          <w:color w:val="auto"/>
          <w:sz w:val="22"/>
          <w:szCs w:val="22"/>
          <w:highlight w:val="none"/>
        </w:rPr>
      </w:pPr>
      <w:bookmarkStart w:id="513" w:name="_Toc373478364"/>
      <w:bookmarkStart w:id="514" w:name="_Toc533432742"/>
      <w:bookmarkStart w:id="515" w:name="_Toc389065283"/>
      <w:bookmarkStart w:id="516" w:name="_Toc395382519"/>
      <w:bookmarkStart w:id="517" w:name="_Toc351203637"/>
      <w:bookmarkStart w:id="518" w:name="_Toc373227717"/>
      <w:bookmarkStart w:id="519" w:name="_Toc12975907"/>
      <w:r>
        <w:rPr>
          <w:rFonts w:hint="eastAsia" w:ascii="宋体" w:hAnsi="宋体" w:cs="宋体"/>
          <w:color w:val="auto"/>
          <w:sz w:val="22"/>
          <w:szCs w:val="22"/>
          <w:highlight w:val="none"/>
        </w:rPr>
        <w:t>5</w:t>
      </w:r>
      <w:bookmarkEnd w:id="512"/>
      <w:bookmarkStart w:id="520" w:name="_Toc292559872"/>
      <w:bookmarkStart w:id="521" w:name="_Toc296347162"/>
      <w:bookmarkStart w:id="522" w:name="_Toc296891203"/>
      <w:bookmarkStart w:id="523" w:name="_Toc297120463"/>
      <w:bookmarkStart w:id="524" w:name="_Toc297048349"/>
      <w:bookmarkStart w:id="525" w:name="_Toc296890991"/>
      <w:bookmarkStart w:id="526" w:name="_Toc296944502"/>
      <w:bookmarkStart w:id="527" w:name="_Toc296503163"/>
      <w:bookmarkStart w:id="528" w:name="_Toc296346664"/>
      <w:bookmarkStart w:id="529" w:name="_Toc292559367"/>
      <w:r>
        <w:rPr>
          <w:rFonts w:hint="eastAsia" w:ascii="宋体" w:hAnsi="宋体" w:cs="宋体"/>
          <w:color w:val="auto"/>
          <w:sz w:val="22"/>
          <w:szCs w:val="22"/>
          <w:highlight w:val="none"/>
        </w:rPr>
        <w:t>. 工程质量</w:t>
      </w:r>
      <w:bookmarkEnd w:id="513"/>
      <w:bookmarkEnd w:id="514"/>
      <w:bookmarkEnd w:id="515"/>
      <w:bookmarkEnd w:id="516"/>
      <w:bookmarkEnd w:id="517"/>
      <w:bookmarkEnd w:id="518"/>
      <w:bookmarkEnd w:id="519"/>
    </w:p>
    <w:p w14:paraId="499BF62D">
      <w:pPr>
        <w:pStyle w:val="45"/>
        <w:spacing w:line="360" w:lineRule="exact"/>
        <w:rPr>
          <w:rFonts w:ascii="宋体" w:hAnsi="宋体" w:cs="宋体"/>
          <w:color w:val="auto"/>
          <w:sz w:val="22"/>
          <w:szCs w:val="22"/>
          <w:highlight w:val="none"/>
        </w:rPr>
      </w:pPr>
      <w:bookmarkStart w:id="530" w:name="_Toc533432743"/>
      <w:bookmarkStart w:id="531" w:name="_Toc395382520"/>
      <w:bookmarkStart w:id="532" w:name="_Toc12975908"/>
      <w:bookmarkStart w:id="533" w:name="_Toc389065284"/>
      <w:bookmarkStart w:id="534" w:name="_Toc373478365"/>
      <w:bookmarkStart w:id="535" w:name="_Toc373227718"/>
      <w:r>
        <w:rPr>
          <w:rFonts w:hint="eastAsia" w:ascii="宋体" w:hAnsi="宋体" w:cs="宋体"/>
          <w:color w:val="auto"/>
          <w:sz w:val="22"/>
          <w:szCs w:val="22"/>
          <w:highlight w:val="none"/>
        </w:rPr>
        <w:t>5.1 质量要求</w:t>
      </w:r>
      <w:bookmarkEnd w:id="530"/>
      <w:bookmarkEnd w:id="531"/>
      <w:bookmarkEnd w:id="532"/>
      <w:bookmarkEnd w:id="533"/>
      <w:bookmarkEnd w:id="534"/>
      <w:bookmarkEnd w:id="535"/>
    </w:p>
    <w:p w14:paraId="199A097C">
      <w:pPr>
        <w:pStyle w:val="44"/>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rPr>
        <w:t>5</w:t>
      </w:r>
      <w:bookmarkStart w:id="536" w:name="_Toc297216155"/>
      <w:bookmarkStart w:id="537" w:name="_Toc303539106"/>
      <w:bookmarkStart w:id="538" w:name="_Toc312677997"/>
      <w:bookmarkStart w:id="539" w:name="_Toc300934949"/>
      <w:bookmarkStart w:id="540" w:name="_Toc304295527"/>
      <w:bookmarkStart w:id="541" w:name="_Toc318581164"/>
      <w:bookmarkStart w:id="542" w:name="_Toc297123496"/>
      <w:r>
        <w:rPr>
          <w:rFonts w:hint="eastAsia" w:ascii="宋体" w:hAnsi="宋体" w:cs="宋体"/>
          <w:color w:val="auto"/>
          <w:sz w:val="22"/>
          <w:highlight w:val="none"/>
        </w:rPr>
        <w:t>.1.1 特殊质量标准和要求：</w:t>
      </w:r>
      <w:r>
        <w:rPr>
          <w:rFonts w:hint="eastAsia" w:ascii="宋体" w:hAnsi="宋体" w:cs="宋体"/>
          <w:color w:val="auto"/>
          <w:sz w:val="22"/>
          <w:highlight w:val="none"/>
          <w:u w:val="single"/>
        </w:rPr>
        <w:t xml:space="preserve">   合格  </w:t>
      </w:r>
      <w:r>
        <w:rPr>
          <w:rFonts w:hint="eastAsia" w:ascii="宋体" w:hAnsi="宋体" w:cs="宋体"/>
          <w:color w:val="auto"/>
          <w:sz w:val="22"/>
          <w:highlight w:val="none"/>
        </w:rPr>
        <w:t>。</w:t>
      </w:r>
    </w:p>
    <w:p w14:paraId="31EBC9A2">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关于工程奖项的约定：</w:t>
      </w:r>
      <w:r>
        <w:rPr>
          <w:rFonts w:hint="eastAsia" w:ascii="宋体" w:hAnsi="宋体" w:cs="宋体"/>
          <w:color w:val="auto"/>
          <w:sz w:val="22"/>
          <w:highlight w:val="none"/>
          <w:u w:val="single"/>
        </w:rPr>
        <w:t xml:space="preserve">    无      </w:t>
      </w:r>
      <w:r>
        <w:rPr>
          <w:rFonts w:hint="eastAsia" w:ascii="宋体" w:hAnsi="宋体" w:cs="宋体"/>
          <w:color w:val="auto"/>
          <w:sz w:val="22"/>
          <w:highlight w:val="none"/>
        </w:rPr>
        <w:t>。</w:t>
      </w:r>
    </w:p>
    <w:p w14:paraId="3BA5E511">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5.1.3因承包人原因造成工程质量未达到合同约定标准的，发包人有权要求承包人返工直至工程质量达到合同约定的标准为止，并由承包人承担由此增加的费用和（或）延误的工期。承包人必须在发包人规定的合理时间内完成，否则发包人有权扣罚该分项工程</w:t>
      </w:r>
      <w:r>
        <w:rPr>
          <w:rFonts w:hint="eastAsia" w:ascii="宋体" w:hAnsi="宋体" w:cs="宋体"/>
          <w:color w:val="auto"/>
          <w:sz w:val="22"/>
          <w:highlight w:val="none"/>
          <w:lang w:val="en-US" w:eastAsia="zh-CN"/>
        </w:rPr>
        <w:t>5</w:t>
      </w:r>
      <w:r>
        <w:rPr>
          <w:rFonts w:hint="eastAsia" w:ascii="宋体" w:hAnsi="宋体" w:cs="宋体"/>
          <w:color w:val="auto"/>
          <w:sz w:val="22"/>
          <w:highlight w:val="none"/>
        </w:rPr>
        <w:t>%的工程款作为处罚。</w:t>
      </w:r>
    </w:p>
    <w:p w14:paraId="392D74CD">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5.3 隐蔽工程检查</w:t>
      </w:r>
    </w:p>
    <w:p w14:paraId="3DF9186A">
      <w:pPr>
        <w:pStyle w:val="44"/>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rPr>
        <w:t>5.3.2承包人提前通知监理人隐蔽工程检查的期限的约定：</w:t>
      </w:r>
      <w:r>
        <w:rPr>
          <w:rFonts w:hint="eastAsia" w:ascii="宋体" w:hAnsi="宋体" w:cs="宋体"/>
          <w:bCs/>
          <w:color w:val="auto"/>
          <w:sz w:val="22"/>
          <w:highlight w:val="none"/>
        </w:rPr>
        <w:t>工程隐蔽或中间验收前24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27F5616E">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监理人不能按时进行检查时，应提前</w:t>
      </w:r>
      <w:r>
        <w:rPr>
          <w:rFonts w:hint="eastAsia" w:ascii="宋体" w:hAnsi="宋体" w:cs="宋体"/>
          <w:color w:val="auto"/>
          <w:sz w:val="22"/>
          <w:highlight w:val="none"/>
          <w:u w:val="single"/>
        </w:rPr>
        <w:t xml:space="preserve"> 12 </w:t>
      </w:r>
      <w:r>
        <w:rPr>
          <w:rFonts w:hint="eastAsia" w:ascii="宋体" w:hAnsi="宋体" w:cs="宋体"/>
          <w:color w:val="auto"/>
          <w:sz w:val="22"/>
          <w:highlight w:val="none"/>
        </w:rPr>
        <w:t>小时提交书面延期要求。</w:t>
      </w:r>
    </w:p>
    <w:p w14:paraId="39CEE793">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关于延期最长不得超过：</w:t>
      </w:r>
      <w:r>
        <w:rPr>
          <w:rFonts w:hint="eastAsia" w:ascii="宋体" w:hAnsi="宋体" w:cs="宋体"/>
          <w:color w:val="auto"/>
          <w:sz w:val="22"/>
          <w:highlight w:val="none"/>
          <w:u w:val="single"/>
        </w:rPr>
        <w:t xml:space="preserve">  24  </w:t>
      </w:r>
      <w:r>
        <w:rPr>
          <w:rFonts w:hint="eastAsia" w:ascii="宋体" w:hAnsi="宋体" w:cs="宋体"/>
          <w:color w:val="auto"/>
          <w:sz w:val="22"/>
          <w:highlight w:val="none"/>
        </w:rPr>
        <w:t>小时。</w:t>
      </w:r>
    </w:p>
    <w:p w14:paraId="2D7B7853">
      <w:pPr>
        <w:pStyle w:val="44"/>
        <w:spacing w:line="360" w:lineRule="exact"/>
        <w:ind w:firstLine="440" w:firstLineChars="200"/>
        <w:jc w:val="left"/>
        <w:rPr>
          <w:rFonts w:ascii="宋体" w:hAnsi="宋体" w:cs="宋体"/>
          <w:color w:val="auto"/>
          <w:sz w:val="22"/>
          <w:highlight w:val="none"/>
        </w:rPr>
      </w:pPr>
    </w:p>
    <w:p w14:paraId="5D120B1E">
      <w:pPr>
        <w:pStyle w:val="43"/>
        <w:spacing w:before="0" w:after="0" w:line="360" w:lineRule="exact"/>
        <w:rPr>
          <w:rFonts w:ascii="宋体" w:hAnsi="宋体" w:cs="宋体"/>
          <w:color w:val="auto"/>
          <w:sz w:val="22"/>
          <w:szCs w:val="22"/>
          <w:highlight w:val="none"/>
        </w:rPr>
      </w:pPr>
      <w:bookmarkStart w:id="543" w:name="_Toc373227719"/>
      <w:bookmarkStart w:id="544" w:name="_Toc389065285"/>
      <w:bookmarkStart w:id="545" w:name="_Toc351203638"/>
      <w:bookmarkStart w:id="546" w:name="_Toc533432744"/>
      <w:bookmarkStart w:id="547" w:name="_Toc395382521"/>
      <w:bookmarkStart w:id="548" w:name="_Toc373478366"/>
      <w:bookmarkStart w:id="549" w:name="_Toc12975909"/>
      <w:r>
        <w:rPr>
          <w:rFonts w:hint="eastAsia" w:ascii="宋体" w:hAnsi="宋体" w:cs="宋体"/>
          <w:color w:val="auto"/>
          <w:sz w:val="22"/>
          <w:szCs w:val="22"/>
          <w:highlight w:val="none"/>
        </w:rPr>
        <w:t>6. 安全文明施工与环境保护</w:t>
      </w:r>
      <w:bookmarkEnd w:id="543"/>
      <w:bookmarkEnd w:id="544"/>
      <w:bookmarkEnd w:id="545"/>
      <w:bookmarkEnd w:id="546"/>
      <w:bookmarkEnd w:id="547"/>
      <w:bookmarkEnd w:id="548"/>
      <w:bookmarkEnd w:id="549"/>
    </w:p>
    <w:p w14:paraId="1B09C5E3">
      <w:pPr>
        <w:pStyle w:val="45"/>
        <w:spacing w:line="360" w:lineRule="exact"/>
        <w:rPr>
          <w:rFonts w:ascii="宋体" w:hAnsi="宋体" w:cs="宋体"/>
          <w:color w:val="auto"/>
          <w:sz w:val="22"/>
          <w:szCs w:val="22"/>
          <w:highlight w:val="none"/>
        </w:rPr>
      </w:pPr>
      <w:bookmarkStart w:id="550" w:name="_Toc395382522"/>
      <w:bookmarkStart w:id="551" w:name="_Toc389065286"/>
      <w:bookmarkStart w:id="552" w:name="_Toc373227720"/>
      <w:bookmarkStart w:id="553" w:name="_Toc12975910"/>
      <w:bookmarkStart w:id="554" w:name="_Toc373478367"/>
      <w:bookmarkStart w:id="555" w:name="_Toc533432745"/>
      <w:r>
        <w:rPr>
          <w:rFonts w:hint="eastAsia" w:ascii="宋体" w:hAnsi="宋体" w:cs="宋体"/>
          <w:color w:val="auto"/>
          <w:sz w:val="22"/>
          <w:szCs w:val="22"/>
          <w:highlight w:val="none"/>
        </w:rPr>
        <w:t>6.1 安全文明施工</w:t>
      </w:r>
      <w:bookmarkEnd w:id="550"/>
      <w:bookmarkEnd w:id="551"/>
      <w:bookmarkEnd w:id="552"/>
      <w:bookmarkEnd w:id="553"/>
      <w:bookmarkEnd w:id="554"/>
      <w:bookmarkEnd w:id="555"/>
    </w:p>
    <w:p w14:paraId="27546D39">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6.1.1 项目安全生产的达标目标及相应事项的约定：</w:t>
      </w:r>
      <w:r>
        <w:rPr>
          <w:rFonts w:hint="eastAsia" w:ascii="宋体" w:hAnsi="宋体" w:cs="宋体"/>
          <w:color w:val="auto"/>
          <w:sz w:val="22"/>
          <w:highlight w:val="none"/>
          <w:u w:val="single"/>
        </w:rPr>
        <w:t>要求达到《建筑施工安全检查标准》（JGJ59-2011）的标准和符合《广西壮族自治区建设工程安全文明施工措施费及使用管理细则》（桂建质安【2015】16号文）的要求</w:t>
      </w:r>
      <w:r>
        <w:rPr>
          <w:rFonts w:hint="eastAsia" w:ascii="宋体" w:hAnsi="宋体" w:cs="宋体"/>
          <w:color w:val="auto"/>
          <w:sz w:val="22"/>
          <w:highlight w:val="none"/>
        </w:rPr>
        <w:t>。</w:t>
      </w:r>
    </w:p>
    <w:p w14:paraId="18E0074F">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关于安全文明施工奖项的约定：</w:t>
      </w:r>
      <w:r>
        <w:rPr>
          <w:rFonts w:hint="eastAsia" w:ascii="宋体" w:hAnsi="宋体" w:cs="宋体"/>
          <w:color w:val="auto"/>
          <w:sz w:val="22"/>
          <w:highlight w:val="none"/>
          <w:u w:val="single"/>
        </w:rPr>
        <w:t xml:space="preserve">  无 </w:t>
      </w:r>
      <w:r>
        <w:rPr>
          <w:rFonts w:hint="eastAsia" w:ascii="宋体" w:hAnsi="宋体" w:cs="宋体"/>
          <w:color w:val="auto"/>
          <w:sz w:val="22"/>
          <w:highlight w:val="none"/>
        </w:rPr>
        <w:t>。</w:t>
      </w:r>
    </w:p>
    <w:p w14:paraId="08BA6193">
      <w:pPr>
        <w:pStyle w:val="44"/>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rPr>
        <w:t>6.1.4 关于治安保卫的特别约定：</w:t>
      </w:r>
      <w:r>
        <w:rPr>
          <w:rFonts w:hint="eastAsia" w:ascii="宋体" w:hAnsi="宋体" w:cs="宋体"/>
          <w:color w:val="auto"/>
          <w:sz w:val="22"/>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4E7800F2">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关于编制施工场地治安管理计划的约定：</w:t>
      </w:r>
      <w:r>
        <w:rPr>
          <w:rFonts w:hint="eastAsia" w:ascii="宋体" w:hAnsi="宋体" w:cs="宋体"/>
          <w:color w:val="auto"/>
          <w:sz w:val="22"/>
          <w:highlight w:val="none"/>
          <w:u w:val="single"/>
        </w:rPr>
        <w:t xml:space="preserve">  开工前3天提供  </w:t>
      </w:r>
      <w:r>
        <w:rPr>
          <w:rFonts w:hint="eastAsia" w:ascii="宋体" w:hAnsi="宋体" w:cs="宋体"/>
          <w:color w:val="auto"/>
          <w:sz w:val="22"/>
          <w:highlight w:val="none"/>
        </w:rPr>
        <w:t>。</w:t>
      </w:r>
    </w:p>
    <w:p w14:paraId="762F6D9D">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6.1.5 文明施工</w:t>
      </w:r>
    </w:p>
    <w:p w14:paraId="2083A8E4">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合同当事人对文明施工的要求：</w:t>
      </w:r>
      <w:r>
        <w:rPr>
          <w:rFonts w:hint="eastAsia" w:ascii="宋体" w:hAnsi="宋体" w:cs="宋体"/>
          <w:color w:val="auto"/>
          <w:sz w:val="22"/>
          <w:highlight w:val="none"/>
          <w:u w:val="single"/>
        </w:rPr>
        <w:t xml:space="preserve">要求达到《建筑施工现场环境与卫生标准》（JGJ146-2004）的标准和符合《广西壮族自治区建筑工程安全文明施工措施费及使用管理细则》（桂建质安【2015】16号文）的要求 </w:t>
      </w:r>
      <w:r>
        <w:rPr>
          <w:rFonts w:hint="eastAsia" w:ascii="宋体" w:hAnsi="宋体" w:cs="宋体"/>
          <w:color w:val="auto"/>
          <w:sz w:val="22"/>
          <w:highlight w:val="none"/>
        </w:rPr>
        <w:t>。</w:t>
      </w:r>
    </w:p>
    <w:p w14:paraId="3E71C59A">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6.1.6 关于安全文明施工费支付比例和支付期限的约定：</w:t>
      </w:r>
    </w:p>
    <w:p w14:paraId="41D5C1E9">
      <w:pPr>
        <w:pStyle w:val="44"/>
        <w:autoSpaceDE w:val="0"/>
        <w:autoSpaceDN w:val="0"/>
        <w:adjustRightInd w:val="0"/>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（1）本合同价款已包含安全文明施工费</w:t>
      </w:r>
      <w:r>
        <w:rPr>
          <w:rFonts w:hint="eastAsia" w:ascii="宋体" w:hAnsi="宋体" w:cs="宋体"/>
          <w:color w:val="auto"/>
          <w:kern w:val="0"/>
          <w:sz w:val="22"/>
          <w:highlight w:val="none"/>
          <w:u w:val="single"/>
        </w:rPr>
        <w:t xml:space="preserve">           </w:t>
      </w:r>
      <w:r>
        <w:rPr>
          <w:rFonts w:hint="eastAsia" w:ascii="宋体" w:hAnsi="宋体" w:cs="宋体"/>
          <w:color w:val="auto"/>
          <w:kern w:val="0"/>
          <w:sz w:val="22"/>
          <w:highlight w:val="none"/>
        </w:rPr>
        <w:t>元。</w:t>
      </w:r>
    </w:p>
    <w:p w14:paraId="7C62FFBB">
      <w:pPr>
        <w:pStyle w:val="44"/>
        <w:autoSpaceDE w:val="0"/>
        <w:autoSpaceDN w:val="0"/>
        <w:adjustRightInd w:val="0"/>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（2）使用要求：专款专用。具体按《广西壮族自治区建设工程安全文明施工措施费及管理细则》（桂建质〔2015〕16号）和</w:t>
      </w:r>
      <w:r>
        <w:rPr>
          <w:rFonts w:hint="eastAsia" w:ascii="宋体" w:hAnsi="宋体" w:cs="宋体"/>
          <w:color w:val="auto"/>
          <w:kern w:val="0"/>
          <w:sz w:val="22"/>
          <w:highlight w:val="none"/>
          <w:u w:val="single"/>
        </w:rPr>
        <w:t xml:space="preserve">   防城港  </w:t>
      </w:r>
      <w:r>
        <w:rPr>
          <w:rFonts w:hint="eastAsia" w:ascii="宋体" w:hAnsi="宋体" w:cs="宋体"/>
          <w:color w:val="auto"/>
          <w:kern w:val="0"/>
          <w:sz w:val="22"/>
          <w:highlight w:val="none"/>
        </w:rPr>
        <w:t>市相关规定执行。</w:t>
      </w:r>
    </w:p>
    <w:p w14:paraId="354C8792">
      <w:pPr>
        <w:pStyle w:val="46"/>
        <w:spacing w:line="3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（3）支付约定：</w:t>
      </w:r>
      <w:r>
        <w:rPr>
          <w:rFonts w:hint="eastAsia" w:ascii="宋体" w:hAnsi="宋体" w:cs="宋体"/>
          <w:color w:val="auto"/>
          <w:kern w:val="0"/>
          <w:sz w:val="22"/>
          <w:szCs w:val="22"/>
          <w:highlight w:val="none"/>
          <w:u w:val="single"/>
        </w:rPr>
        <w:t>安全文明施工费与进度款同期支付。（1）但如承包人某个时期的安全文明施工费投入不足或未达到磋商文件和合同要求的，发包人可根据承包人实际投入及履行情况扣除部分费用，此部分费用被扣除后承包人无权要求发包人再支付。（2）发包人如果认为有必要，可以要求承包人提供满足发包人要求的安全投入详细清单</w:t>
      </w:r>
      <w:r>
        <w:rPr>
          <w:rFonts w:hint="eastAsia" w:ascii="宋体" w:hAnsi="宋体" w:cs="宋体"/>
          <w:color w:val="auto"/>
          <w:kern w:val="0"/>
          <w:sz w:val="22"/>
          <w:szCs w:val="22"/>
          <w:highlight w:val="none"/>
        </w:rPr>
        <w:t>。</w:t>
      </w:r>
    </w:p>
    <w:p w14:paraId="3CD6CF56">
      <w:pPr>
        <w:pStyle w:val="45"/>
        <w:spacing w:line="360" w:lineRule="exact"/>
        <w:rPr>
          <w:rFonts w:ascii="宋体" w:hAnsi="宋体" w:cs="宋体"/>
          <w:color w:val="auto"/>
          <w:sz w:val="22"/>
          <w:szCs w:val="22"/>
          <w:highlight w:val="none"/>
        </w:rPr>
      </w:pPr>
      <w:bookmarkStart w:id="556" w:name="_Toc533432746"/>
      <w:bookmarkStart w:id="557" w:name="_Toc389065287"/>
      <w:bookmarkStart w:id="558" w:name="_Toc373478368"/>
      <w:bookmarkStart w:id="559" w:name="_Toc395382523"/>
      <w:bookmarkStart w:id="560" w:name="_Toc373227721"/>
      <w:bookmarkStart w:id="561" w:name="_Toc12975911"/>
      <w:r>
        <w:rPr>
          <w:rFonts w:hint="eastAsia" w:ascii="宋体" w:hAnsi="宋体" w:cs="宋体"/>
          <w:color w:val="auto"/>
          <w:sz w:val="22"/>
          <w:szCs w:val="22"/>
          <w:highlight w:val="none"/>
        </w:rPr>
        <w:t>6.3 环境保护</w:t>
      </w:r>
      <w:bookmarkEnd w:id="556"/>
      <w:bookmarkEnd w:id="557"/>
      <w:bookmarkEnd w:id="558"/>
      <w:bookmarkEnd w:id="559"/>
      <w:bookmarkEnd w:id="560"/>
      <w:bookmarkEnd w:id="561"/>
    </w:p>
    <w:p w14:paraId="275BCE98">
      <w:pPr>
        <w:pStyle w:val="44"/>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因施工需要，经发包人批准，由承包人办理有关施工场地交通、环卫和施工噪音管理等手续，费用由承包人负责。</w:t>
      </w:r>
    </w:p>
    <w:p w14:paraId="1F75C548">
      <w:pPr>
        <w:pStyle w:val="44"/>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经过城市道路的施工车辆，必须按交警、城管、运输等部门相关规定执行。由于施工车辆造成的道路、环境等污染，其责任和费用均由承包人承担。</w:t>
      </w:r>
    </w:p>
    <w:bookmarkEnd w:id="536"/>
    <w:bookmarkEnd w:id="537"/>
    <w:bookmarkEnd w:id="538"/>
    <w:bookmarkEnd w:id="539"/>
    <w:bookmarkEnd w:id="540"/>
    <w:bookmarkEnd w:id="541"/>
    <w:bookmarkEnd w:id="542"/>
    <w:p w14:paraId="319D3B0E">
      <w:pPr>
        <w:pStyle w:val="43"/>
        <w:spacing w:before="0" w:after="0" w:line="360" w:lineRule="exact"/>
        <w:rPr>
          <w:rFonts w:ascii="宋体" w:hAnsi="宋体" w:cs="宋体"/>
          <w:color w:val="auto"/>
          <w:sz w:val="22"/>
          <w:szCs w:val="22"/>
          <w:highlight w:val="none"/>
        </w:rPr>
      </w:pPr>
      <w:bookmarkStart w:id="562" w:name="_Toc373227722"/>
      <w:bookmarkStart w:id="563" w:name="_Toc395382524"/>
      <w:bookmarkStart w:id="564" w:name="_Toc533432747"/>
      <w:bookmarkStart w:id="565" w:name="_Toc389065288"/>
      <w:bookmarkStart w:id="566" w:name="_Toc12975912"/>
      <w:bookmarkStart w:id="567" w:name="_Toc373478369"/>
      <w:bookmarkStart w:id="568" w:name="_Toc351203639"/>
      <w:r>
        <w:rPr>
          <w:rFonts w:hint="eastAsia" w:ascii="宋体" w:hAnsi="宋体" w:cs="宋体"/>
          <w:color w:val="auto"/>
          <w:sz w:val="22"/>
          <w:szCs w:val="22"/>
          <w:highlight w:val="none"/>
        </w:rPr>
        <w:t>7. 工期和进度</w:t>
      </w:r>
      <w:bookmarkEnd w:id="562"/>
      <w:bookmarkEnd w:id="563"/>
      <w:bookmarkEnd w:id="564"/>
      <w:bookmarkEnd w:id="565"/>
      <w:bookmarkEnd w:id="566"/>
      <w:bookmarkEnd w:id="567"/>
      <w:bookmarkEnd w:id="568"/>
    </w:p>
    <w:p w14:paraId="0EF3DA23">
      <w:pPr>
        <w:pStyle w:val="45"/>
        <w:spacing w:line="360" w:lineRule="exact"/>
        <w:rPr>
          <w:rFonts w:ascii="宋体" w:hAnsi="宋体" w:cs="宋体"/>
          <w:color w:val="auto"/>
          <w:sz w:val="22"/>
          <w:szCs w:val="22"/>
          <w:highlight w:val="none"/>
        </w:rPr>
      </w:pPr>
      <w:bookmarkStart w:id="569" w:name="_Toc395382525"/>
      <w:bookmarkStart w:id="570" w:name="_Toc389065289"/>
      <w:bookmarkStart w:id="571" w:name="_Toc533432748"/>
      <w:bookmarkStart w:id="572" w:name="_Toc373478370"/>
      <w:bookmarkStart w:id="573" w:name="_Toc12975913"/>
      <w:bookmarkStart w:id="574" w:name="_Toc373227723"/>
      <w:r>
        <w:rPr>
          <w:rFonts w:hint="eastAsia" w:ascii="宋体" w:hAnsi="宋体" w:cs="宋体"/>
          <w:color w:val="auto"/>
          <w:sz w:val="22"/>
          <w:szCs w:val="22"/>
          <w:highlight w:val="none"/>
        </w:rPr>
        <w:t>7.1 施工组织设计</w:t>
      </w:r>
      <w:bookmarkEnd w:id="569"/>
      <w:bookmarkEnd w:id="570"/>
      <w:bookmarkEnd w:id="571"/>
      <w:bookmarkEnd w:id="572"/>
      <w:bookmarkEnd w:id="573"/>
      <w:bookmarkEnd w:id="574"/>
    </w:p>
    <w:p w14:paraId="0A6BC1B9">
      <w:pPr>
        <w:pStyle w:val="46"/>
        <w:spacing w:line="360" w:lineRule="exact"/>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rPr>
        <w:t>7.1.1 合</w:t>
      </w:r>
      <w:r>
        <w:rPr>
          <w:rFonts w:hint="eastAsia" w:ascii="宋体" w:hAnsi="宋体" w:cs="宋体"/>
          <w:color w:val="auto"/>
          <w:kern w:val="0"/>
          <w:sz w:val="22"/>
          <w:szCs w:val="22"/>
          <w:highlight w:val="none"/>
        </w:rPr>
        <w:t>同当事人约定的施工组织设计应包括的其他内容：</w:t>
      </w:r>
      <w:r>
        <w:rPr>
          <w:rFonts w:hint="eastAsia" w:ascii="宋体" w:hAnsi="宋体" w:cs="宋体"/>
          <w:color w:val="auto"/>
          <w:sz w:val="22"/>
          <w:szCs w:val="22"/>
          <w:highlight w:val="none"/>
          <w:u w:val="single"/>
        </w:rPr>
        <w:t xml:space="preserve">  按磋商文件约定，磋商文件无约定的按通用合同条款或双方另行约定 。</w:t>
      </w:r>
      <w:r>
        <w:rPr>
          <w:rFonts w:hint="eastAsia" w:ascii="宋体" w:hAnsi="宋体" w:cs="宋体"/>
          <w:b/>
          <w:bCs/>
          <w:color w:val="auto"/>
          <w:sz w:val="22"/>
          <w:szCs w:val="22"/>
          <w:highlight w:val="none"/>
          <w:u w:val="single"/>
        </w:rPr>
        <w:t>如实际施工时发现承包人提供的施工组织设计方案存在缺陷，发包人可要求其对方案进行完善、修改，承包人必须无条件执行，直到发包人、监理人批准通过，承包人不能以施工组织设计方案调整为由要求调整合同单价子目单价或总价子目合价，也不能以此为由提出任何变更或索赔。发包人、监理人认为有必要，承包人除完善施工组织设计以外，还需编制临时工程或永久性工程的专项方案。但发包人及监理人的任何同意并不减轻或免除承包人的任何责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09BEB86C">
      <w:pPr>
        <w:pStyle w:val="44"/>
        <w:autoSpaceDE w:val="0"/>
        <w:autoSpaceDN w:val="0"/>
        <w:adjustRightInd w:val="0"/>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sz w:val="22"/>
          <w:highlight w:val="none"/>
        </w:rPr>
        <w:t xml:space="preserve">7.1.2 </w:t>
      </w:r>
      <w:r>
        <w:rPr>
          <w:rFonts w:hint="eastAsia" w:ascii="宋体" w:hAnsi="宋体" w:cs="宋体"/>
          <w:color w:val="auto"/>
          <w:kern w:val="0"/>
          <w:sz w:val="22"/>
          <w:highlight w:val="none"/>
        </w:rPr>
        <w:t>施工组织设计的提交和修改</w:t>
      </w:r>
    </w:p>
    <w:p w14:paraId="24CFB038">
      <w:pPr>
        <w:pStyle w:val="44"/>
        <w:autoSpaceDE w:val="0"/>
        <w:autoSpaceDN w:val="0"/>
        <w:adjustRightIn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kern w:val="0"/>
          <w:sz w:val="22"/>
          <w:highlight w:val="none"/>
        </w:rPr>
        <w:t>承包人提交详细施工组织设计的期限的约定：</w:t>
      </w:r>
      <w:r>
        <w:rPr>
          <w:rFonts w:hint="eastAsia" w:ascii="宋体" w:hAnsi="宋体" w:cs="宋体"/>
          <w:color w:val="auto"/>
          <w:sz w:val="22"/>
          <w:highlight w:val="none"/>
          <w:u w:val="single"/>
        </w:rPr>
        <w:t>开工前7天</w:t>
      </w:r>
      <w:r>
        <w:rPr>
          <w:rFonts w:hint="eastAsia" w:ascii="宋体" w:hAnsi="宋体" w:cs="宋体"/>
          <w:color w:val="auto"/>
          <w:sz w:val="22"/>
          <w:highlight w:val="none"/>
        </w:rPr>
        <w:t>。</w:t>
      </w:r>
    </w:p>
    <w:p w14:paraId="2A7B224E">
      <w:pPr>
        <w:pStyle w:val="44"/>
        <w:ind w:firstLine="440" w:firstLineChars="200"/>
        <w:jc w:val="left"/>
        <w:rPr>
          <w:rFonts w:ascii="宋体" w:hAnsi="宋体" w:cs="宋体"/>
          <w:color w:val="auto"/>
          <w:sz w:val="22"/>
          <w:highlight w:val="none"/>
        </w:rPr>
      </w:pPr>
      <w:r>
        <w:rPr>
          <w:rFonts w:hint="eastAsia" w:ascii="宋体" w:hAnsi="宋体" w:cs="宋体"/>
          <w:color w:val="auto"/>
          <w:sz w:val="22"/>
          <w:highlight w:val="none"/>
        </w:rPr>
        <w:t>发包人和监理人在收到详细的施工组织设计后确认或提出修改意见的期限：</w:t>
      </w:r>
      <w:r>
        <w:rPr>
          <w:rFonts w:hint="eastAsia" w:ascii="宋体" w:hAnsi="宋体" w:cs="宋体"/>
          <w:color w:val="auto"/>
          <w:sz w:val="22"/>
          <w:highlight w:val="none"/>
          <w:u w:val="single"/>
        </w:rPr>
        <w:t>收到后5天内</w:t>
      </w:r>
      <w:r>
        <w:rPr>
          <w:rFonts w:hint="eastAsia" w:ascii="宋体" w:hAnsi="宋体" w:cs="宋体"/>
          <w:color w:val="auto"/>
          <w:sz w:val="22"/>
          <w:highlight w:val="none"/>
        </w:rPr>
        <w:t>。</w:t>
      </w:r>
    </w:p>
    <w:p w14:paraId="5A0B8150">
      <w:pPr>
        <w:pStyle w:val="45"/>
        <w:spacing w:line="360" w:lineRule="exact"/>
        <w:rPr>
          <w:rFonts w:ascii="宋体" w:hAnsi="宋体" w:cs="宋体"/>
          <w:color w:val="auto"/>
          <w:sz w:val="22"/>
          <w:szCs w:val="22"/>
          <w:highlight w:val="none"/>
        </w:rPr>
      </w:pPr>
      <w:bookmarkStart w:id="575" w:name="_Toc533432749"/>
      <w:bookmarkStart w:id="576" w:name="_Toc12975914"/>
      <w:bookmarkStart w:id="577" w:name="_Toc389065290"/>
      <w:bookmarkStart w:id="578" w:name="_Toc395382526"/>
      <w:bookmarkStart w:id="579" w:name="_Toc373227724"/>
      <w:bookmarkStart w:id="580" w:name="_Toc373478371"/>
      <w:r>
        <w:rPr>
          <w:rFonts w:hint="eastAsia" w:ascii="宋体" w:hAnsi="宋体" w:cs="宋体"/>
          <w:color w:val="auto"/>
          <w:sz w:val="22"/>
          <w:szCs w:val="22"/>
          <w:highlight w:val="none"/>
        </w:rPr>
        <w:t>7</w:t>
      </w:r>
      <w:bookmarkStart w:id="581" w:name="_Toc303539123"/>
      <w:bookmarkStart w:id="582" w:name="_Toc300934966"/>
      <w:bookmarkStart w:id="583" w:name="_Toc297123514"/>
      <w:bookmarkStart w:id="584" w:name="_Toc312678005"/>
      <w:bookmarkStart w:id="585" w:name="_Toc297216173"/>
      <w:bookmarkStart w:id="586" w:name="_Toc312677479"/>
      <w:bookmarkStart w:id="587" w:name="_Toc304295541"/>
      <w:r>
        <w:rPr>
          <w:rFonts w:hint="eastAsia" w:ascii="宋体" w:hAnsi="宋体" w:cs="宋体"/>
          <w:color w:val="auto"/>
          <w:sz w:val="22"/>
          <w:szCs w:val="22"/>
          <w:highlight w:val="none"/>
        </w:rPr>
        <w:t>.2 施工进度计划</w:t>
      </w:r>
      <w:bookmarkEnd w:id="575"/>
      <w:bookmarkEnd w:id="576"/>
      <w:bookmarkEnd w:id="577"/>
      <w:bookmarkEnd w:id="578"/>
      <w:bookmarkEnd w:id="579"/>
      <w:bookmarkEnd w:id="580"/>
    </w:p>
    <w:p w14:paraId="07368038">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7.2.2 施工进度计划的修订</w:t>
      </w:r>
    </w:p>
    <w:p w14:paraId="3BB25085">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发包人和监理人在收到修订的施工进度计划后确认或提出修改意见的期限：</w:t>
      </w:r>
      <w:r>
        <w:rPr>
          <w:rFonts w:hint="eastAsia" w:ascii="宋体" w:hAnsi="宋体" w:cs="宋体"/>
          <w:color w:val="auto"/>
          <w:sz w:val="22"/>
          <w:highlight w:val="none"/>
          <w:u w:val="single"/>
        </w:rPr>
        <w:t>收到后5天内</w:t>
      </w:r>
      <w:r>
        <w:rPr>
          <w:rFonts w:hint="eastAsia" w:ascii="宋体" w:hAnsi="宋体" w:cs="宋体"/>
          <w:color w:val="auto"/>
          <w:sz w:val="22"/>
          <w:highlight w:val="none"/>
        </w:rPr>
        <w:t>。</w:t>
      </w:r>
    </w:p>
    <w:p w14:paraId="1CBA46C2">
      <w:pPr>
        <w:pStyle w:val="45"/>
        <w:spacing w:line="360" w:lineRule="exact"/>
        <w:rPr>
          <w:rFonts w:ascii="宋体" w:hAnsi="宋体" w:cs="宋体"/>
          <w:color w:val="auto"/>
          <w:sz w:val="22"/>
          <w:szCs w:val="22"/>
          <w:highlight w:val="none"/>
        </w:rPr>
      </w:pPr>
      <w:bookmarkStart w:id="588" w:name="_Toc389065291"/>
      <w:bookmarkStart w:id="589" w:name="_Toc12975915"/>
      <w:bookmarkStart w:id="590" w:name="_Toc395382527"/>
      <w:bookmarkStart w:id="591" w:name="_Toc373478372"/>
      <w:bookmarkStart w:id="592" w:name="_Toc533432750"/>
      <w:bookmarkStart w:id="593" w:name="_Toc373227725"/>
      <w:r>
        <w:rPr>
          <w:rFonts w:hint="eastAsia" w:ascii="宋体" w:hAnsi="宋体" w:cs="宋体"/>
          <w:color w:val="auto"/>
          <w:sz w:val="22"/>
          <w:szCs w:val="22"/>
          <w:highlight w:val="none"/>
        </w:rPr>
        <w:t>7.3 开工</w:t>
      </w:r>
      <w:bookmarkEnd w:id="588"/>
      <w:bookmarkEnd w:id="589"/>
      <w:bookmarkEnd w:id="590"/>
      <w:bookmarkEnd w:id="591"/>
      <w:bookmarkEnd w:id="592"/>
      <w:bookmarkEnd w:id="593"/>
    </w:p>
    <w:p w14:paraId="59C93554">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7.3.1 开工准备</w:t>
      </w:r>
    </w:p>
    <w:p w14:paraId="331D60F5">
      <w:pPr>
        <w:pStyle w:val="44"/>
        <w:spacing w:line="360" w:lineRule="exact"/>
        <w:ind w:firstLine="426"/>
        <w:jc w:val="left"/>
        <w:rPr>
          <w:rFonts w:ascii="宋体" w:hAnsi="宋体" w:cs="宋体"/>
          <w:color w:val="auto"/>
          <w:sz w:val="22"/>
          <w:highlight w:val="none"/>
          <w:u w:val="single"/>
        </w:rPr>
      </w:pPr>
      <w:r>
        <w:rPr>
          <w:rFonts w:hint="eastAsia" w:ascii="宋体" w:hAnsi="宋体" w:cs="宋体"/>
          <w:color w:val="auto"/>
          <w:sz w:val="22"/>
          <w:highlight w:val="none"/>
        </w:rPr>
        <w:t>关于承包人提交</w:t>
      </w:r>
      <w:r>
        <w:rPr>
          <w:rFonts w:hint="eastAsia" w:ascii="宋体" w:hAnsi="宋体" w:cs="宋体"/>
          <w:color w:val="auto"/>
          <w:kern w:val="0"/>
          <w:sz w:val="22"/>
          <w:highlight w:val="none"/>
        </w:rPr>
        <w:t>工程开工报审表的期限：</w:t>
      </w:r>
      <w:r>
        <w:rPr>
          <w:rFonts w:hint="eastAsia" w:ascii="宋体" w:hAnsi="宋体" w:cs="宋体"/>
          <w:color w:val="auto"/>
          <w:sz w:val="22"/>
          <w:highlight w:val="none"/>
          <w:u w:val="single"/>
        </w:rPr>
        <w:t>开工前7天</w:t>
      </w:r>
      <w:r>
        <w:rPr>
          <w:rFonts w:hint="eastAsia" w:ascii="宋体" w:hAnsi="宋体" w:cs="宋体"/>
          <w:color w:val="auto"/>
          <w:sz w:val="22"/>
          <w:highlight w:val="none"/>
        </w:rPr>
        <w:t>。</w:t>
      </w:r>
    </w:p>
    <w:p w14:paraId="7838AFC9">
      <w:pPr>
        <w:pStyle w:val="44"/>
        <w:spacing w:line="360" w:lineRule="exact"/>
        <w:ind w:firstLine="426"/>
        <w:jc w:val="left"/>
        <w:rPr>
          <w:rFonts w:ascii="宋体" w:hAnsi="宋体" w:cs="宋体"/>
          <w:color w:val="auto"/>
          <w:sz w:val="22"/>
          <w:highlight w:val="none"/>
          <w:u w:val="single"/>
        </w:rPr>
      </w:pPr>
      <w:r>
        <w:rPr>
          <w:rFonts w:hint="eastAsia" w:ascii="宋体" w:hAnsi="宋体" w:cs="宋体"/>
          <w:color w:val="auto"/>
          <w:sz w:val="22"/>
          <w:highlight w:val="none"/>
        </w:rPr>
        <w:t>关于发包人应完成的其他开工准备工作及期限：</w:t>
      </w:r>
      <w:r>
        <w:rPr>
          <w:rFonts w:hint="eastAsia" w:ascii="宋体" w:hAnsi="宋体" w:cs="宋体"/>
          <w:color w:val="auto"/>
          <w:sz w:val="22"/>
          <w:highlight w:val="none"/>
          <w:u w:val="single"/>
        </w:rPr>
        <w:t>开工前7天</w:t>
      </w:r>
      <w:r>
        <w:rPr>
          <w:rFonts w:hint="eastAsia" w:ascii="宋体" w:hAnsi="宋体" w:cs="宋体"/>
          <w:color w:val="auto"/>
          <w:sz w:val="22"/>
          <w:highlight w:val="none"/>
        </w:rPr>
        <w:t>。</w:t>
      </w:r>
    </w:p>
    <w:p w14:paraId="0FAFB6B8">
      <w:pPr>
        <w:pStyle w:val="44"/>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rPr>
        <w:t>关于承包人应完成的其他开工准备工作及期限：</w:t>
      </w:r>
      <w:r>
        <w:rPr>
          <w:rFonts w:hint="eastAsia" w:ascii="宋体" w:hAnsi="宋体" w:cs="宋体"/>
          <w:color w:val="auto"/>
          <w:sz w:val="22"/>
          <w:highlight w:val="none"/>
          <w:u w:val="single"/>
        </w:rPr>
        <w:t>开工前3天</w:t>
      </w:r>
      <w:r>
        <w:rPr>
          <w:rFonts w:hint="eastAsia" w:ascii="宋体" w:hAnsi="宋体" w:cs="宋体"/>
          <w:color w:val="auto"/>
          <w:sz w:val="22"/>
          <w:highlight w:val="none"/>
        </w:rPr>
        <w:t>。</w:t>
      </w:r>
    </w:p>
    <w:p w14:paraId="63B3C4C0">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7.3.2 开工通知</w:t>
      </w:r>
    </w:p>
    <w:p w14:paraId="45F72AC5">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因发包人原因造成监理人未能在计划开工日期之日起</w:t>
      </w:r>
      <w:r>
        <w:rPr>
          <w:rFonts w:hint="eastAsia" w:ascii="宋体" w:hAnsi="宋体" w:cs="宋体"/>
          <w:color w:val="auto"/>
          <w:sz w:val="22"/>
          <w:highlight w:val="none"/>
          <w:u w:val="single"/>
        </w:rPr>
        <w:t xml:space="preserve"> 90 </w:t>
      </w:r>
      <w:r>
        <w:rPr>
          <w:rFonts w:hint="eastAsia" w:ascii="宋体" w:hAnsi="宋体" w:cs="宋体"/>
          <w:color w:val="auto"/>
          <w:sz w:val="22"/>
          <w:highlight w:val="none"/>
        </w:rPr>
        <w:t>天内发出开工通知的，承包人有权提出价格调整要求，或者解除合同。</w:t>
      </w:r>
    </w:p>
    <w:bookmarkEnd w:id="581"/>
    <w:bookmarkEnd w:id="582"/>
    <w:bookmarkEnd w:id="583"/>
    <w:bookmarkEnd w:id="584"/>
    <w:bookmarkEnd w:id="585"/>
    <w:bookmarkEnd w:id="586"/>
    <w:bookmarkEnd w:id="587"/>
    <w:p w14:paraId="3CAED6F9">
      <w:pPr>
        <w:pStyle w:val="45"/>
        <w:spacing w:line="360" w:lineRule="exact"/>
        <w:rPr>
          <w:rFonts w:ascii="宋体" w:hAnsi="宋体" w:cs="宋体"/>
          <w:color w:val="auto"/>
          <w:sz w:val="22"/>
          <w:szCs w:val="22"/>
          <w:highlight w:val="none"/>
        </w:rPr>
      </w:pPr>
      <w:bookmarkStart w:id="594" w:name="_Toc389065292"/>
      <w:bookmarkStart w:id="595" w:name="_Toc373227726"/>
      <w:bookmarkStart w:id="596" w:name="_Toc533432751"/>
      <w:bookmarkStart w:id="597" w:name="_Toc12975916"/>
      <w:bookmarkStart w:id="598" w:name="_Toc395382528"/>
      <w:bookmarkStart w:id="599" w:name="_Toc373478373"/>
      <w:r>
        <w:rPr>
          <w:rFonts w:hint="eastAsia" w:ascii="宋体" w:hAnsi="宋体" w:cs="宋体"/>
          <w:color w:val="auto"/>
          <w:sz w:val="22"/>
          <w:szCs w:val="22"/>
          <w:highlight w:val="none"/>
        </w:rPr>
        <w:t>7.4 测量放线</w:t>
      </w:r>
      <w:bookmarkEnd w:id="594"/>
      <w:bookmarkEnd w:id="595"/>
      <w:bookmarkEnd w:id="596"/>
      <w:bookmarkEnd w:id="597"/>
      <w:bookmarkEnd w:id="598"/>
      <w:bookmarkEnd w:id="599"/>
    </w:p>
    <w:p w14:paraId="58C2B36C">
      <w:pPr>
        <w:pStyle w:val="44"/>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rPr>
        <w:t>7.4.1发包人通过监理人向承包人提供测量基准点、基准线和水准点及其书面资料的期限：按通用合同条款执行。</w:t>
      </w:r>
    </w:p>
    <w:p w14:paraId="5973070D">
      <w:pPr>
        <w:pStyle w:val="45"/>
        <w:spacing w:line="360" w:lineRule="exact"/>
        <w:rPr>
          <w:rFonts w:ascii="宋体" w:hAnsi="宋体" w:cs="宋体"/>
          <w:color w:val="auto"/>
          <w:sz w:val="22"/>
          <w:szCs w:val="22"/>
          <w:highlight w:val="none"/>
        </w:rPr>
      </w:pPr>
      <w:bookmarkStart w:id="600" w:name="_Toc533432752"/>
      <w:bookmarkStart w:id="601" w:name="_Toc373227727"/>
      <w:bookmarkStart w:id="602" w:name="_Toc12975917"/>
      <w:bookmarkStart w:id="603" w:name="_Toc373478374"/>
      <w:bookmarkStart w:id="604" w:name="_Toc389065293"/>
      <w:bookmarkStart w:id="605" w:name="_Toc395382529"/>
      <w:r>
        <w:rPr>
          <w:rFonts w:hint="eastAsia" w:ascii="宋体" w:hAnsi="宋体" w:cs="宋体"/>
          <w:color w:val="auto"/>
          <w:sz w:val="22"/>
          <w:szCs w:val="22"/>
          <w:highlight w:val="none"/>
        </w:rPr>
        <w:t>7</w:t>
      </w:r>
      <w:bookmarkStart w:id="606" w:name="_Toc304295546"/>
      <w:bookmarkStart w:id="607" w:name="_Toc300934968"/>
      <w:bookmarkStart w:id="608" w:name="_Toc312677484"/>
      <w:bookmarkStart w:id="609" w:name="_Toc303539125"/>
      <w:bookmarkStart w:id="610" w:name="_Toc297216175"/>
      <w:bookmarkStart w:id="611" w:name="_Toc297123516"/>
      <w:bookmarkStart w:id="612" w:name="_Toc312678010"/>
      <w:r>
        <w:rPr>
          <w:rFonts w:hint="eastAsia" w:ascii="宋体" w:hAnsi="宋体" w:cs="宋体"/>
          <w:color w:val="auto"/>
          <w:sz w:val="22"/>
          <w:szCs w:val="22"/>
          <w:highlight w:val="none"/>
        </w:rPr>
        <w:t>.5 工期延误</w:t>
      </w:r>
      <w:bookmarkEnd w:id="600"/>
      <w:bookmarkEnd w:id="601"/>
      <w:bookmarkEnd w:id="602"/>
      <w:bookmarkEnd w:id="603"/>
      <w:bookmarkEnd w:id="604"/>
      <w:bookmarkEnd w:id="605"/>
    </w:p>
    <w:bookmarkEnd w:id="606"/>
    <w:bookmarkEnd w:id="607"/>
    <w:bookmarkEnd w:id="608"/>
    <w:bookmarkEnd w:id="609"/>
    <w:bookmarkEnd w:id="610"/>
    <w:bookmarkEnd w:id="611"/>
    <w:bookmarkEnd w:id="612"/>
    <w:p w14:paraId="4A617D4D">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7.5.1 因发包人原因导致工期延误</w:t>
      </w:r>
    </w:p>
    <w:p w14:paraId="0C1E775E">
      <w:pPr>
        <w:pStyle w:val="44"/>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rPr>
        <w:t xml:space="preserve">（7）因发包人原因导致工期延误的其他情形： </w:t>
      </w:r>
      <w:r>
        <w:rPr>
          <w:rFonts w:hint="eastAsia" w:ascii="宋体" w:hAnsi="宋体" w:cs="宋体"/>
          <w:color w:val="auto"/>
          <w:sz w:val="22"/>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p>
    <w:p w14:paraId="4D86B16B">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因发包人原因导致工期延误的，发包人不承担任何费用，不支付承包人合理的利润，工期相应顺延。</w:t>
      </w:r>
    </w:p>
    <w:p w14:paraId="424B14E1">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7</w:t>
      </w:r>
      <w:bookmarkStart w:id="613" w:name="_Toc312677486"/>
      <w:bookmarkStart w:id="614" w:name="_Toc318581169"/>
      <w:bookmarkStart w:id="615" w:name="_Toc312678012"/>
      <w:bookmarkStart w:id="616" w:name="_Toc300934970"/>
      <w:bookmarkStart w:id="617" w:name="_Toc297123518"/>
      <w:bookmarkStart w:id="618" w:name="_Toc304295548"/>
      <w:bookmarkStart w:id="619" w:name="_Toc297216177"/>
      <w:bookmarkStart w:id="620" w:name="_Toc303539127"/>
      <w:r>
        <w:rPr>
          <w:rFonts w:hint="eastAsia" w:ascii="宋体" w:hAnsi="宋体" w:cs="宋体"/>
          <w:color w:val="auto"/>
          <w:sz w:val="22"/>
          <w:highlight w:val="none"/>
        </w:rPr>
        <w:t>.5.2 因承包人原因导致工期延误</w:t>
      </w:r>
    </w:p>
    <w:bookmarkEnd w:id="613"/>
    <w:bookmarkEnd w:id="614"/>
    <w:bookmarkEnd w:id="615"/>
    <w:p w14:paraId="737FEBB8">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双方约定经监理工程师确认，工期相应顺延的情况：</w:t>
      </w:r>
      <w:r>
        <w:rPr>
          <w:rFonts w:hint="eastAsia" w:ascii="宋体" w:hAnsi="宋体" w:cs="宋体"/>
          <w:color w:val="auto"/>
          <w:sz w:val="22"/>
          <w:highlight w:val="none"/>
          <w:u w:val="single"/>
        </w:rPr>
        <w:t xml:space="preserve"> 因发包人原因或不可抗力或不利物质条件造成的工期顺延，其他因承包人原因造成的工期不得相应顺延</w:t>
      </w:r>
      <w:r>
        <w:rPr>
          <w:rFonts w:hint="eastAsia" w:ascii="宋体" w:hAnsi="宋体" w:cs="宋体"/>
          <w:color w:val="auto"/>
          <w:sz w:val="22"/>
          <w:highlight w:val="none"/>
        </w:rPr>
        <w:t>。</w:t>
      </w:r>
    </w:p>
    <w:p w14:paraId="33F63F8D">
      <w:pPr>
        <w:pStyle w:val="44"/>
        <w:spacing w:line="360" w:lineRule="exact"/>
        <w:ind w:firstLine="440" w:firstLineChars="200"/>
        <w:jc w:val="left"/>
        <w:rPr>
          <w:rFonts w:hint="eastAsia" w:ascii="宋体" w:hAnsi="宋体" w:cs="宋体"/>
          <w:color w:val="auto"/>
          <w:sz w:val="22"/>
          <w:highlight w:val="none"/>
          <w:u w:val="single"/>
        </w:rPr>
      </w:pPr>
      <w:r>
        <w:rPr>
          <w:rFonts w:hint="eastAsia" w:ascii="宋体" w:hAnsi="宋体" w:cs="宋体"/>
          <w:color w:val="auto"/>
          <w:sz w:val="22"/>
          <w:highlight w:val="none"/>
        </w:rPr>
        <w:t>因</w:t>
      </w:r>
      <w:bookmarkStart w:id="621" w:name="_Toc318581170"/>
      <w:bookmarkStart w:id="622" w:name="_Toc312677487"/>
      <w:bookmarkStart w:id="623" w:name="_Toc312678013"/>
      <w:r>
        <w:rPr>
          <w:rFonts w:hint="eastAsia" w:ascii="宋体" w:hAnsi="宋体" w:cs="宋体"/>
          <w:color w:val="auto"/>
          <w:sz w:val="22"/>
          <w:highlight w:val="none"/>
        </w:rPr>
        <w:t>承包人原因造成工期延误，逾期竣工违约金的计算方法为：</w:t>
      </w:r>
      <w:bookmarkEnd w:id="616"/>
      <w:bookmarkEnd w:id="617"/>
      <w:bookmarkEnd w:id="618"/>
      <w:bookmarkEnd w:id="619"/>
      <w:bookmarkEnd w:id="620"/>
      <w:bookmarkEnd w:id="621"/>
      <w:bookmarkEnd w:id="622"/>
      <w:bookmarkEnd w:id="623"/>
      <w:r>
        <w:rPr>
          <w:rFonts w:hint="eastAsia" w:ascii="宋体" w:hAnsi="宋体" w:cs="宋体"/>
          <w:color w:val="auto"/>
          <w:sz w:val="22"/>
          <w:highlight w:val="none"/>
          <w:u w:val="single"/>
        </w:rPr>
        <w:t>非上述原因，承包人不能按合同约定的时间竣工，承包人应承担违约责任</w:t>
      </w:r>
      <w:r>
        <w:rPr>
          <w:rFonts w:hint="eastAsia" w:ascii="宋体" w:hAnsi="宋体" w:cs="宋体"/>
          <w:color w:val="auto"/>
          <w:sz w:val="22"/>
          <w:highlight w:val="none"/>
          <w:u w:val="single"/>
        </w:rPr>
        <w:t>。应向发包人支付误期赔偿费（每延误1天，按照合同签约总价万分之六计算违约金，违约金可直接在工程结算款中抵扣或另行扣除），</w:t>
      </w:r>
      <w:r>
        <w:rPr>
          <w:rFonts w:hint="eastAsia" w:ascii="宋体" w:hAnsi="宋体" w:cs="宋体"/>
          <w:color w:val="auto"/>
          <w:sz w:val="22"/>
          <w:highlight w:val="none"/>
          <w:u w:val="single"/>
        </w:rPr>
        <w:t>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w:t>
      </w:r>
      <w:r>
        <w:rPr>
          <w:rFonts w:hint="eastAsia" w:ascii="宋体" w:hAnsi="宋体" w:cs="宋体"/>
          <w:color w:val="auto"/>
          <w:sz w:val="22"/>
          <w:highlight w:val="none"/>
          <w:u w:val="single"/>
        </w:rPr>
        <w:t>免</w:t>
      </w:r>
      <w:r>
        <w:rPr>
          <w:rFonts w:hint="eastAsia" w:ascii="宋体" w:hAnsi="宋体" w:cs="宋体"/>
          <w:color w:val="auto"/>
          <w:sz w:val="22"/>
          <w:highlight w:val="none"/>
          <w:u w:val="single"/>
        </w:rPr>
        <w:t>除承包人应完成工程的责任或合同规定的其他责任。</w:t>
      </w:r>
    </w:p>
    <w:p w14:paraId="17D02960">
      <w:pPr>
        <w:pStyle w:val="44"/>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rPr>
        <w:t>因承包人原因造成工期延误，逾</w:t>
      </w:r>
      <w:bookmarkStart w:id="624" w:name="_Toc318581171"/>
      <w:bookmarkStart w:id="625" w:name="_Toc312678014"/>
      <w:r>
        <w:rPr>
          <w:rFonts w:hint="eastAsia" w:ascii="宋体" w:hAnsi="宋体" w:cs="宋体"/>
          <w:color w:val="auto"/>
          <w:sz w:val="22"/>
          <w:highlight w:val="none"/>
        </w:rPr>
        <w:t>期竣工违约金的上限：</w:t>
      </w:r>
      <w:r>
        <w:rPr>
          <w:rFonts w:hint="eastAsia" w:ascii="宋体" w:hAnsi="宋体" w:cs="宋体"/>
          <w:color w:val="auto"/>
          <w:sz w:val="22"/>
          <w:highlight w:val="none"/>
          <w:u w:val="single"/>
          <w:lang w:val="en-US" w:eastAsia="zh-CN"/>
        </w:rPr>
        <w:t xml:space="preserve">   无    </w:t>
      </w:r>
      <w:r>
        <w:rPr>
          <w:rFonts w:hint="eastAsia" w:ascii="宋体" w:hAnsi="宋体" w:cs="宋体"/>
          <w:color w:val="auto"/>
          <w:sz w:val="22"/>
          <w:highlight w:val="none"/>
          <w:u w:val="single"/>
        </w:rPr>
        <w:t>。</w:t>
      </w:r>
    </w:p>
    <w:bookmarkEnd w:id="624"/>
    <w:bookmarkEnd w:id="625"/>
    <w:p w14:paraId="2ECB6948">
      <w:pPr>
        <w:pStyle w:val="45"/>
        <w:spacing w:line="360" w:lineRule="exact"/>
        <w:rPr>
          <w:rFonts w:ascii="宋体" w:hAnsi="宋体" w:cs="宋体"/>
          <w:color w:val="auto"/>
          <w:sz w:val="22"/>
          <w:szCs w:val="22"/>
          <w:highlight w:val="none"/>
        </w:rPr>
      </w:pPr>
      <w:bookmarkStart w:id="626" w:name="_Toc389065294"/>
      <w:bookmarkStart w:id="627" w:name="_Toc373227728"/>
      <w:bookmarkStart w:id="628" w:name="_Toc373478375"/>
      <w:bookmarkStart w:id="629" w:name="_Toc533432753"/>
      <w:bookmarkStart w:id="630" w:name="_Toc12975918"/>
      <w:bookmarkStart w:id="631" w:name="_Toc395382530"/>
      <w:r>
        <w:rPr>
          <w:rFonts w:hint="eastAsia" w:ascii="宋体" w:hAnsi="宋体" w:cs="宋体"/>
          <w:color w:val="auto"/>
          <w:sz w:val="22"/>
          <w:szCs w:val="22"/>
          <w:highlight w:val="none"/>
        </w:rPr>
        <w:t>7</w:t>
      </w:r>
      <w:bookmarkStart w:id="632" w:name="_Toc303539128"/>
      <w:bookmarkStart w:id="633" w:name="_Toc312678015"/>
      <w:bookmarkStart w:id="634" w:name="_Toc297216178"/>
      <w:bookmarkStart w:id="635" w:name="_Toc304295549"/>
      <w:bookmarkStart w:id="636" w:name="_Toc297123519"/>
      <w:bookmarkStart w:id="637" w:name="_Toc300934971"/>
      <w:r>
        <w:rPr>
          <w:rFonts w:hint="eastAsia" w:ascii="宋体" w:hAnsi="宋体" w:cs="宋体"/>
          <w:color w:val="auto"/>
          <w:sz w:val="22"/>
          <w:szCs w:val="22"/>
          <w:highlight w:val="none"/>
        </w:rPr>
        <w:t>.6 不</w:t>
      </w:r>
      <w:bookmarkEnd w:id="632"/>
      <w:bookmarkEnd w:id="633"/>
      <w:bookmarkEnd w:id="634"/>
      <w:bookmarkEnd w:id="635"/>
      <w:bookmarkEnd w:id="636"/>
      <w:bookmarkEnd w:id="637"/>
      <w:r>
        <w:rPr>
          <w:rFonts w:hint="eastAsia" w:ascii="宋体" w:hAnsi="宋体" w:cs="宋体"/>
          <w:color w:val="auto"/>
          <w:sz w:val="22"/>
          <w:szCs w:val="22"/>
          <w:highlight w:val="none"/>
        </w:rPr>
        <w:t>利物质条件</w:t>
      </w:r>
      <w:bookmarkEnd w:id="626"/>
      <w:bookmarkEnd w:id="627"/>
      <w:bookmarkEnd w:id="628"/>
      <w:bookmarkEnd w:id="629"/>
      <w:bookmarkEnd w:id="630"/>
      <w:bookmarkEnd w:id="631"/>
    </w:p>
    <w:p w14:paraId="663AD913">
      <w:pPr>
        <w:pStyle w:val="44"/>
        <w:spacing w:line="360" w:lineRule="exact"/>
        <w:ind w:firstLine="440" w:firstLineChars="200"/>
        <w:jc w:val="left"/>
        <w:rPr>
          <w:rFonts w:ascii="宋体" w:hAnsi="宋体" w:cs="宋体"/>
          <w:color w:val="auto"/>
          <w:sz w:val="22"/>
          <w:highlight w:val="none"/>
          <w:u w:val="single"/>
        </w:rPr>
      </w:pPr>
      <w:bookmarkStart w:id="638" w:name="_Toc312678016"/>
      <w:bookmarkStart w:id="639" w:name="_Toc318581172"/>
      <w:bookmarkStart w:id="640" w:name="_Toc297216179"/>
      <w:bookmarkStart w:id="641" w:name="_Toc303539129"/>
      <w:bookmarkStart w:id="642" w:name="_Toc300934972"/>
      <w:bookmarkStart w:id="643" w:name="_Toc297123520"/>
      <w:bookmarkStart w:id="644" w:name="_Toc304295550"/>
      <w:r>
        <w:rPr>
          <w:rFonts w:hint="eastAsia" w:ascii="宋体" w:hAnsi="宋体" w:cs="宋体"/>
          <w:color w:val="auto"/>
          <w:sz w:val="22"/>
          <w:highlight w:val="none"/>
        </w:rPr>
        <w:t>不利物质条件的其他情形和有关约定：</w:t>
      </w:r>
      <w:r>
        <w:rPr>
          <w:rFonts w:hint="eastAsia" w:ascii="宋体" w:hAnsi="宋体" w:cs="宋体"/>
          <w:color w:val="auto"/>
          <w:sz w:val="22"/>
          <w:highlight w:val="none"/>
          <w:u w:val="single"/>
        </w:rPr>
        <w:t xml:space="preserve">  无    </w:t>
      </w:r>
      <w:r>
        <w:rPr>
          <w:rFonts w:hint="eastAsia" w:ascii="宋体" w:hAnsi="宋体" w:cs="宋体"/>
          <w:color w:val="auto"/>
          <w:sz w:val="22"/>
          <w:highlight w:val="none"/>
        </w:rPr>
        <w:t>。</w:t>
      </w:r>
    </w:p>
    <w:bookmarkEnd w:id="638"/>
    <w:bookmarkEnd w:id="639"/>
    <w:bookmarkEnd w:id="640"/>
    <w:bookmarkEnd w:id="641"/>
    <w:bookmarkEnd w:id="642"/>
    <w:bookmarkEnd w:id="643"/>
    <w:bookmarkEnd w:id="644"/>
    <w:p w14:paraId="1B3877A0">
      <w:pPr>
        <w:pStyle w:val="45"/>
        <w:spacing w:line="360" w:lineRule="exact"/>
        <w:rPr>
          <w:rFonts w:ascii="宋体" w:hAnsi="宋体" w:cs="宋体"/>
          <w:color w:val="auto"/>
          <w:sz w:val="22"/>
          <w:szCs w:val="22"/>
          <w:highlight w:val="none"/>
        </w:rPr>
      </w:pPr>
      <w:bookmarkStart w:id="645" w:name="_Toc533432754"/>
      <w:bookmarkStart w:id="646" w:name="_Toc373478376"/>
      <w:bookmarkStart w:id="647" w:name="_Toc373227729"/>
      <w:bookmarkStart w:id="648" w:name="_Toc389065295"/>
      <w:bookmarkStart w:id="649" w:name="_Toc12975919"/>
      <w:bookmarkStart w:id="650" w:name="_Toc395382531"/>
      <w:r>
        <w:rPr>
          <w:rFonts w:hint="eastAsia" w:ascii="宋体" w:hAnsi="宋体" w:cs="宋体"/>
          <w:color w:val="auto"/>
          <w:sz w:val="22"/>
          <w:szCs w:val="22"/>
          <w:highlight w:val="none"/>
        </w:rPr>
        <w:t>7</w:t>
      </w:r>
      <w:bookmarkStart w:id="651" w:name="_Toc304295551"/>
      <w:bookmarkStart w:id="652" w:name="_Toc300934973"/>
      <w:bookmarkStart w:id="653" w:name="_Toc303539130"/>
      <w:bookmarkStart w:id="654" w:name="_Toc297216180"/>
      <w:bookmarkStart w:id="655" w:name="_Toc297123521"/>
      <w:bookmarkStart w:id="656" w:name="_Toc312678017"/>
      <w:r>
        <w:rPr>
          <w:rFonts w:hint="eastAsia" w:ascii="宋体" w:hAnsi="宋体" w:cs="宋体"/>
          <w:color w:val="auto"/>
          <w:sz w:val="22"/>
          <w:szCs w:val="22"/>
          <w:highlight w:val="none"/>
        </w:rPr>
        <w:t>.7 异常恶劣的气候条件</w:t>
      </w:r>
      <w:bookmarkEnd w:id="645"/>
      <w:bookmarkEnd w:id="646"/>
      <w:bookmarkEnd w:id="647"/>
      <w:bookmarkEnd w:id="648"/>
      <w:bookmarkEnd w:id="649"/>
      <w:bookmarkEnd w:id="650"/>
    </w:p>
    <w:bookmarkEnd w:id="651"/>
    <w:bookmarkEnd w:id="652"/>
    <w:bookmarkEnd w:id="653"/>
    <w:bookmarkEnd w:id="654"/>
    <w:bookmarkEnd w:id="655"/>
    <w:bookmarkEnd w:id="656"/>
    <w:p w14:paraId="6A0CB139">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发包人和承包人同意以下情形视为异常恶劣的气候条件：</w:t>
      </w:r>
    </w:p>
    <w:p w14:paraId="0DF47CE6">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u w:val="single"/>
        </w:rPr>
        <w:t xml:space="preserve">     指本工程所在地30年以上一遇的罕见气候现象         </w:t>
      </w:r>
      <w:r>
        <w:rPr>
          <w:rFonts w:hint="eastAsia" w:ascii="宋体" w:hAnsi="宋体" w:cs="宋体"/>
          <w:color w:val="auto"/>
          <w:sz w:val="22"/>
          <w:highlight w:val="none"/>
        </w:rPr>
        <w:t>；</w:t>
      </w:r>
    </w:p>
    <w:p w14:paraId="152AED48">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z w:val="22"/>
          <w:highlight w:val="none"/>
          <w:u w:val="single"/>
        </w:rPr>
        <w:t xml:space="preserve">        /         </w:t>
      </w:r>
      <w:r>
        <w:rPr>
          <w:rFonts w:hint="eastAsia" w:ascii="宋体" w:hAnsi="宋体" w:cs="宋体"/>
          <w:color w:val="auto"/>
          <w:sz w:val="22"/>
          <w:highlight w:val="none"/>
        </w:rPr>
        <w:t>；</w:t>
      </w:r>
    </w:p>
    <w:p w14:paraId="0A35265D">
      <w:pPr>
        <w:pStyle w:val="45"/>
        <w:spacing w:line="360" w:lineRule="exact"/>
        <w:rPr>
          <w:rFonts w:ascii="宋体" w:hAnsi="宋体" w:cs="宋体"/>
          <w:color w:val="auto"/>
          <w:sz w:val="22"/>
          <w:szCs w:val="22"/>
          <w:highlight w:val="none"/>
        </w:rPr>
      </w:pPr>
      <w:bookmarkStart w:id="657" w:name="_Toc373478377"/>
      <w:bookmarkStart w:id="658" w:name="_Toc389065296"/>
      <w:bookmarkStart w:id="659" w:name="_Toc373227730"/>
      <w:bookmarkStart w:id="660" w:name="_Toc12975920"/>
      <w:bookmarkStart w:id="661" w:name="_Toc533432755"/>
      <w:bookmarkStart w:id="662" w:name="_Toc395382532"/>
      <w:r>
        <w:rPr>
          <w:rFonts w:hint="eastAsia" w:ascii="宋体" w:hAnsi="宋体" w:cs="宋体"/>
          <w:color w:val="auto"/>
          <w:sz w:val="22"/>
          <w:szCs w:val="22"/>
          <w:highlight w:val="none"/>
        </w:rPr>
        <w:t>7.8 提前竣工</w:t>
      </w:r>
      <w:bookmarkEnd w:id="657"/>
      <w:bookmarkEnd w:id="658"/>
      <w:bookmarkEnd w:id="659"/>
      <w:bookmarkEnd w:id="660"/>
      <w:bookmarkEnd w:id="661"/>
      <w:bookmarkEnd w:id="662"/>
    </w:p>
    <w:p w14:paraId="275FA66A">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7.8.2提前竣工（赶工）增加费的计算方法：</w:t>
      </w:r>
      <w:r>
        <w:rPr>
          <w:rFonts w:hint="eastAsia" w:ascii="宋体" w:hAnsi="宋体" w:cs="宋体"/>
          <w:color w:val="auto"/>
          <w:sz w:val="22"/>
          <w:highlight w:val="none"/>
          <w:u w:val="single"/>
        </w:rPr>
        <w:t xml:space="preserve">  无     </w:t>
      </w:r>
      <w:r>
        <w:rPr>
          <w:rFonts w:hint="eastAsia" w:ascii="宋体" w:hAnsi="宋体" w:cs="宋体"/>
          <w:color w:val="auto"/>
          <w:sz w:val="22"/>
          <w:highlight w:val="none"/>
        </w:rPr>
        <w:t>。</w:t>
      </w:r>
    </w:p>
    <w:p w14:paraId="051FEB06">
      <w:pPr>
        <w:pStyle w:val="43"/>
        <w:spacing w:before="0" w:after="0" w:line="360" w:lineRule="exact"/>
        <w:outlineLvl w:val="9"/>
        <w:rPr>
          <w:rFonts w:ascii="宋体" w:hAnsi="宋体" w:cs="宋体"/>
          <w:color w:val="auto"/>
          <w:sz w:val="22"/>
          <w:szCs w:val="22"/>
          <w:highlight w:val="none"/>
        </w:rPr>
      </w:pPr>
      <w:bookmarkStart w:id="663" w:name="_Toc395382533"/>
      <w:bookmarkStart w:id="664" w:name="_Toc373227731"/>
      <w:bookmarkStart w:id="665" w:name="_Toc12975921"/>
      <w:bookmarkStart w:id="666" w:name="_Toc389065297"/>
      <w:bookmarkStart w:id="667" w:name="_Toc373478378"/>
      <w:bookmarkStart w:id="668" w:name="_Toc533432756"/>
      <w:bookmarkStart w:id="669" w:name="_Toc351203640"/>
    </w:p>
    <w:p w14:paraId="032F8353">
      <w:pPr>
        <w:pStyle w:val="43"/>
        <w:spacing w:before="0" w:after="0" w:line="360" w:lineRule="exact"/>
        <w:rPr>
          <w:rFonts w:ascii="宋体" w:hAnsi="宋体" w:cs="宋体"/>
          <w:color w:val="auto"/>
          <w:sz w:val="22"/>
          <w:szCs w:val="22"/>
          <w:highlight w:val="none"/>
        </w:rPr>
      </w:pPr>
      <w:r>
        <w:rPr>
          <w:rFonts w:hint="eastAsia" w:ascii="宋体" w:hAnsi="宋体" w:cs="宋体"/>
          <w:color w:val="auto"/>
          <w:sz w:val="22"/>
          <w:szCs w:val="22"/>
          <w:highlight w:val="none"/>
        </w:rPr>
        <w:t>8. 材料与设备</w:t>
      </w:r>
      <w:bookmarkEnd w:id="663"/>
      <w:bookmarkEnd w:id="664"/>
      <w:bookmarkEnd w:id="665"/>
      <w:bookmarkEnd w:id="666"/>
      <w:bookmarkEnd w:id="667"/>
      <w:bookmarkEnd w:id="668"/>
      <w:bookmarkEnd w:id="669"/>
    </w:p>
    <w:bookmarkEnd w:id="520"/>
    <w:bookmarkEnd w:id="521"/>
    <w:bookmarkEnd w:id="522"/>
    <w:bookmarkEnd w:id="523"/>
    <w:bookmarkEnd w:id="524"/>
    <w:bookmarkEnd w:id="525"/>
    <w:bookmarkEnd w:id="526"/>
    <w:bookmarkEnd w:id="527"/>
    <w:bookmarkEnd w:id="528"/>
    <w:bookmarkEnd w:id="529"/>
    <w:p w14:paraId="65F4D373">
      <w:pPr>
        <w:pStyle w:val="45"/>
        <w:spacing w:line="360" w:lineRule="exact"/>
        <w:rPr>
          <w:rFonts w:ascii="宋体" w:hAnsi="宋体" w:cs="宋体"/>
          <w:color w:val="auto"/>
          <w:sz w:val="22"/>
          <w:szCs w:val="22"/>
          <w:highlight w:val="none"/>
        </w:rPr>
      </w:pPr>
      <w:bookmarkStart w:id="670" w:name="_Toc389065298"/>
      <w:bookmarkStart w:id="671" w:name="_Toc373227732"/>
      <w:bookmarkStart w:id="672" w:name="_Toc533432757"/>
      <w:bookmarkStart w:id="673" w:name="_Toc373478379"/>
      <w:bookmarkStart w:id="674" w:name="_Toc12975922"/>
      <w:bookmarkStart w:id="675" w:name="_Toc395382534"/>
      <w:r>
        <w:rPr>
          <w:rFonts w:hint="eastAsia" w:ascii="宋体" w:hAnsi="宋体" w:cs="宋体"/>
          <w:color w:val="auto"/>
          <w:sz w:val="22"/>
          <w:szCs w:val="22"/>
          <w:highlight w:val="none"/>
        </w:rPr>
        <w:t>8.2 承包人采购材料与工程设备</w:t>
      </w:r>
      <w:bookmarkEnd w:id="670"/>
      <w:bookmarkEnd w:id="671"/>
      <w:bookmarkEnd w:id="672"/>
      <w:bookmarkEnd w:id="673"/>
      <w:bookmarkEnd w:id="674"/>
      <w:bookmarkEnd w:id="675"/>
    </w:p>
    <w:p w14:paraId="59C5C377">
      <w:pPr>
        <w:pStyle w:val="44"/>
        <w:autoSpaceDE w:val="0"/>
        <w:autoSpaceDN w:val="0"/>
        <w:adjustRightInd w:val="0"/>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除已标价工程量清单《发包人提供主要材料和工程设备一览表》（表-21）中明确的材料、工程设备外，由承包人负责材料和工程设备的采购、运输和保管。《</w:t>
      </w:r>
      <w:r>
        <w:rPr>
          <w:rFonts w:hint="eastAsia" w:ascii="宋体" w:hAnsi="宋体" w:cs="宋体"/>
          <w:color w:val="auto"/>
          <w:sz w:val="22"/>
          <w:highlight w:val="none"/>
        </w:rPr>
        <w:t>承包人提供主要材料和工程设备一览表》</w:t>
      </w:r>
      <w:r>
        <w:rPr>
          <w:rFonts w:hint="eastAsia" w:ascii="宋体" w:hAnsi="宋体" w:cs="宋体"/>
          <w:color w:val="auto"/>
          <w:kern w:val="0"/>
          <w:sz w:val="22"/>
          <w:highlight w:val="none"/>
        </w:rPr>
        <w:t>（表-22）见已标价工程量清单。</w:t>
      </w:r>
    </w:p>
    <w:p w14:paraId="7A236A8D">
      <w:pPr>
        <w:pStyle w:val="44"/>
        <w:autoSpaceDE w:val="0"/>
        <w:autoSpaceDN w:val="0"/>
        <w:adjustRightInd w:val="0"/>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sz w:val="22"/>
          <w:highlight w:val="none"/>
        </w:rPr>
        <w:t>对发包人在磋商时有“参照或相当于**品牌、级别”约定的材料或设备，承包人采购时必须按类似于或优于所约定品牌、等级进行采购，施工期间该部分材料或设备如未超过磋商约定的风险幅度的，结算时按磋商单价支付，不得调整。</w:t>
      </w:r>
    </w:p>
    <w:p w14:paraId="5399F9C4">
      <w:pPr>
        <w:pStyle w:val="45"/>
        <w:spacing w:line="360" w:lineRule="exact"/>
        <w:rPr>
          <w:rFonts w:ascii="宋体" w:hAnsi="宋体" w:cs="宋体"/>
          <w:color w:val="auto"/>
          <w:sz w:val="22"/>
          <w:szCs w:val="22"/>
          <w:highlight w:val="none"/>
        </w:rPr>
      </w:pPr>
      <w:bookmarkStart w:id="676" w:name="_Toc373227733"/>
      <w:bookmarkStart w:id="677" w:name="_Toc389065299"/>
      <w:bookmarkStart w:id="678" w:name="_Toc533432758"/>
      <w:bookmarkStart w:id="679" w:name="_Toc12975923"/>
      <w:bookmarkStart w:id="680" w:name="_Toc373478380"/>
      <w:bookmarkStart w:id="681" w:name="_Toc395382535"/>
      <w:r>
        <w:rPr>
          <w:rFonts w:hint="eastAsia" w:ascii="宋体" w:hAnsi="宋体" w:cs="宋体"/>
          <w:color w:val="auto"/>
          <w:sz w:val="22"/>
          <w:szCs w:val="22"/>
          <w:highlight w:val="none"/>
        </w:rPr>
        <w:t>8</w:t>
      </w:r>
      <w:bookmarkStart w:id="682" w:name="_Toc296944506"/>
      <w:bookmarkStart w:id="683" w:name="_Toc297216186"/>
      <w:bookmarkStart w:id="684" w:name="_Toc303539136"/>
      <w:bookmarkStart w:id="685" w:name="_Toc292559372"/>
      <w:bookmarkStart w:id="686" w:name="_Toc296503167"/>
      <w:bookmarkStart w:id="687" w:name="_Toc297048353"/>
      <w:bookmarkStart w:id="688" w:name="_Toc312678019"/>
      <w:bookmarkStart w:id="689" w:name="_Toc312677493"/>
      <w:bookmarkStart w:id="690" w:name="_Toc296891207"/>
      <w:bookmarkStart w:id="691" w:name="_Toc280868654"/>
      <w:bookmarkStart w:id="692" w:name="_Toc297120467"/>
      <w:bookmarkStart w:id="693" w:name="_Toc296346668"/>
      <w:bookmarkStart w:id="694" w:name="_Toc296347166"/>
      <w:bookmarkStart w:id="695" w:name="_Toc297123527"/>
      <w:bookmarkStart w:id="696" w:name="_Toc292559877"/>
      <w:bookmarkStart w:id="697" w:name="_Toc296890995"/>
      <w:bookmarkStart w:id="698" w:name="_Toc304295556"/>
      <w:bookmarkStart w:id="699" w:name="_Toc300934979"/>
      <w:bookmarkStart w:id="700" w:name="_Toc280868655"/>
      <w:bookmarkStart w:id="701" w:name="_Toc280868656"/>
      <w:bookmarkStart w:id="702" w:name="_Toc267251424"/>
      <w:r>
        <w:rPr>
          <w:rFonts w:hint="eastAsia" w:ascii="宋体" w:hAnsi="宋体" w:cs="宋体"/>
          <w:color w:val="auto"/>
          <w:sz w:val="22"/>
          <w:szCs w:val="22"/>
          <w:highlight w:val="none"/>
        </w:rPr>
        <w:t>.4 材料与工程设备的保管与使用</w:t>
      </w:r>
      <w:bookmarkEnd w:id="676"/>
      <w:bookmarkEnd w:id="677"/>
      <w:bookmarkEnd w:id="678"/>
      <w:bookmarkEnd w:id="679"/>
      <w:bookmarkEnd w:id="680"/>
      <w:bookmarkEnd w:id="681"/>
    </w:p>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14:paraId="40D025E2">
      <w:pPr>
        <w:pStyle w:val="44"/>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rPr>
        <w:t>8</w:t>
      </w:r>
      <w:bookmarkStart w:id="703" w:name="_Toc292559373"/>
      <w:bookmarkStart w:id="704" w:name="_Toc292559878"/>
      <w:bookmarkStart w:id="705" w:name="_Toc296347167"/>
      <w:bookmarkStart w:id="706" w:name="_Toc296890996"/>
      <w:bookmarkStart w:id="707" w:name="_Toc296346669"/>
      <w:bookmarkStart w:id="708" w:name="_Toc303539137"/>
      <w:bookmarkStart w:id="709" w:name="_Toc297048354"/>
      <w:bookmarkStart w:id="710" w:name="_Toc296891208"/>
      <w:bookmarkStart w:id="711" w:name="_Toc312677494"/>
      <w:bookmarkStart w:id="712" w:name="_Toc297120468"/>
      <w:bookmarkStart w:id="713" w:name="_Toc304295557"/>
      <w:bookmarkStart w:id="714" w:name="_Toc296944507"/>
      <w:bookmarkStart w:id="715" w:name="_Toc297216187"/>
      <w:bookmarkStart w:id="716" w:name="_Toc318581173"/>
      <w:bookmarkStart w:id="717" w:name="_Toc297123528"/>
      <w:bookmarkStart w:id="718" w:name="_Toc300934980"/>
      <w:bookmarkStart w:id="719" w:name="_Toc296503168"/>
      <w:bookmarkStart w:id="720" w:name="_Toc312678020"/>
      <w:r>
        <w:rPr>
          <w:rFonts w:hint="eastAsia" w:ascii="宋体" w:hAnsi="宋体" w:cs="宋体"/>
          <w:color w:val="auto"/>
          <w:sz w:val="22"/>
          <w:highlight w:val="none"/>
        </w:rPr>
        <w:t>.4.1发包人供应的材料设备的保管费用的承担：</w:t>
      </w:r>
      <w:r>
        <w:rPr>
          <w:rFonts w:hint="eastAsia" w:ascii="宋体" w:hAnsi="宋体" w:cs="宋体"/>
          <w:color w:val="auto"/>
          <w:sz w:val="22"/>
          <w:highlight w:val="none"/>
          <w:u w:val="single"/>
        </w:rPr>
        <w:t>由承包人承担</w:t>
      </w:r>
      <w:r>
        <w:rPr>
          <w:rFonts w:hint="eastAsia" w:ascii="宋体" w:hAnsi="宋体" w:cs="宋体"/>
          <w:color w:val="auto"/>
          <w:sz w:val="22"/>
          <w:highlight w:val="none"/>
        </w:rPr>
        <w:t>。</w:t>
      </w:r>
    </w:p>
    <w:bookmarkEnd w:id="703"/>
    <w:bookmarkEnd w:id="704"/>
    <w:p w14:paraId="00616174">
      <w:pPr>
        <w:pStyle w:val="45"/>
        <w:spacing w:line="360" w:lineRule="exact"/>
        <w:rPr>
          <w:rFonts w:ascii="宋体" w:hAnsi="宋体" w:cs="宋体"/>
          <w:color w:val="auto"/>
          <w:sz w:val="22"/>
          <w:szCs w:val="22"/>
          <w:highlight w:val="none"/>
        </w:rPr>
      </w:pPr>
      <w:bookmarkStart w:id="721" w:name="_Toc395382536"/>
      <w:bookmarkStart w:id="722" w:name="_Toc389065300"/>
      <w:bookmarkStart w:id="723" w:name="_Toc373478381"/>
      <w:bookmarkStart w:id="724" w:name="_Toc533432759"/>
      <w:bookmarkStart w:id="725" w:name="_Toc12975924"/>
      <w:bookmarkStart w:id="726" w:name="_Toc373227734"/>
      <w:r>
        <w:rPr>
          <w:rFonts w:hint="eastAsia" w:ascii="宋体" w:hAnsi="宋体" w:cs="宋体"/>
          <w:color w:val="auto"/>
          <w:sz w:val="22"/>
          <w:szCs w:val="22"/>
          <w:highlight w:val="none"/>
        </w:rPr>
        <w:t>8.6 样品</w:t>
      </w:r>
      <w:bookmarkEnd w:id="721"/>
      <w:bookmarkEnd w:id="722"/>
      <w:bookmarkEnd w:id="723"/>
      <w:bookmarkEnd w:id="724"/>
      <w:bookmarkEnd w:id="725"/>
      <w:bookmarkEnd w:id="726"/>
    </w:p>
    <w:p w14:paraId="20A0731D">
      <w:pPr>
        <w:pStyle w:val="44"/>
        <w:autoSpaceDE w:val="0"/>
        <w:autoSpaceDN w:val="0"/>
        <w:adjustRightInd w:val="0"/>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8.6.1 样品的报送与封存</w:t>
      </w:r>
    </w:p>
    <w:p w14:paraId="2B5B3413">
      <w:pPr>
        <w:pStyle w:val="44"/>
        <w:autoSpaceDE w:val="0"/>
        <w:autoSpaceDN w:val="0"/>
        <w:adjustRightIn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kern w:val="0"/>
          <w:sz w:val="22"/>
          <w:highlight w:val="none"/>
        </w:rPr>
        <w:t>需要承包人报送样品的材料或工程设备，样品的种类、名称、规格、数量要求：</w:t>
      </w:r>
      <w:r>
        <w:rPr>
          <w:rFonts w:hint="eastAsia" w:ascii="宋体" w:hAnsi="宋体" w:cs="宋体"/>
          <w:color w:val="auto"/>
          <w:sz w:val="22"/>
          <w:highlight w:val="none"/>
          <w:u w:val="single"/>
        </w:rPr>
        <w:t>主要材料涉及品种、款式、颜色等方面内容的，承包人应提交准备合格的材料样品送发包人选定。</w:t>
      </w:r>
    </w:p>
    <w:p w14:paraId="323C18CA">
      <w:pPr>
        <w:pStyle w:val="45"/>
        <w:spacing w:line="360" w:lineRule="exact"/>
        <w:rPr>
          <w:rFonts w:ascii="宋体" w:hAnsi="宋体" w:cs="宋体"/>
          <w:color w:val="auto"/>
          <w:sz w:val="22"/>
          <w:szCs w:val="22"/>
          <w:highlight w:val="none"/>
        </w:rPr>
      </w:pPr>
      <w:bookmarkStart w:id="727" w:name="_Toc373478382"/>
      <w:bookmarkStart w:id="728" w:name="_Toc12975925"/>
      <w:bookmarkStart w:id="729" w:name="_Toc373227735"/>
      <w:bookmarkStart w:id="730" w:name="_Toc395382537"/>
      <w:bookmarkStart w:id="731" w:name="_Toc389065301"/>
      <w:bookmarkStart w:id="732" w:name="_Toc533432760"/>
      <w:r>
        <w:rPr>
          <w:rFonts w:hint="eastAsia" w:ascii="宋体" w:hAnsi="宋体" w:cs="宋体"/>
          <w:color w:val="auto"/>
          <w:sz w:val="22"/>
          <w:szCs w:val="22"/>
          <w:highlight w:val="none"/>
        </w:rPr>
        <w:t>8.8 施工设备和临时设施</w:t>
      </w:r>
      <w:bookmarkEnd w:id="727"/>
      <w:bookmarkEnd w:id="728"/>
      <w:bookmarkEnd w:id="729"/>
      <w:bookmarkEnd w:id="730"/>
      <w:bookmarkEnd w:id="731"/>
      <w:bookmarkEnd w:id="732"/>
    </w:p>
    <w:p w14:paraId="45D1704A">
      <w:pPr>
        <w:pStyle w:val="44"/>
        <w:autoSpaceDE w:val="0"/>
        <w:autoSpaceDN w:val="0"/>
        <w:adjustRightInd w:val="0"/>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8.8.1 承包人提供的施工设备和临时设施</w:t>
      </w:r>
    </w:p>
    <w:p w14:paraId="71929778">
      <w:pPr>
        <w:pStyle w:val="44"/>
        <w:autoSpaceDE w:val="0"/>
        <w:autoSpaceDN w:val="0"/>
        <w:adjustRightInd w:val="0"/>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52B82EA1">
      <w:pPr>
        <w:pStyle w:val="44"/>
        <w:autoSpaceDE w:val="0"/>
        <w:autoSpaceDN w:val="0"/>
        <w:adjustRightInd w:val="0"/>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关于修建临时设施费用承担的约定：</w:t>
      </w:r>
    </w:p>
    <w:p w14:paraId="33CD8359">
      <w:pPr>
        <w:pStyle w:val="44"/>
        <w:autoSpaceDE w:val="0"/>
        <w:autoSpaceDN w:val="0"/>
        <w:adjustRightIn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①承包人的临时用地（含项目部驻地等）租用费（含拆迁补偿）、临时用地的环保、恢复、临时用地的青苗补偿及地面附着物拆除等费用均由承包人负责，以上费用在磋商报价中综合考虑,</w:t>
      </w:r>
      <w:r>
        <w:rPr>
          <w:rFonts w:hint="eastAsia" w:ascii="宋体" w:hAnsi="宋体" w:cs="宋体"/>
          <w:color w:val="auto"/>
          <w:kern w:val="0"/>
          <w:sz w:val="22"/>
          <w:highlight w:val="none"/>
          <w:u w:val="single"/>
        </w:rPr>
        <w:t>费用总价包干，由于承包人预估费用低于实际费用，不足部分由承包人补齐。承包人不得以预估费用低于实际费用或实际情况发生变化为由向发包人提出费用补偿。</w:t>
      </w:r>
    </w:p>
    <w:p w14:paraId="002AB4E5">
      <w:pPr>
        <w:pStyle w:val="44"/>
        <w:autoSpaceDE w:val="0"/>
        <w:autoSpaceDN w:val="0"/>
        <w:adjustRightIn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②承包人负责合同实施期间其合同段内临时交通道路（含场内道路及场外连接公共交通道路）和交通设施的修建、维修、养护和交通管理工作，并承担一切费用，</w:t>
      </w:r>
      <w:r>
        <w:rPr>
          <w:rFonts w:hint="eastAsia" w:ascii="宋体" w:hAnsi="宋体" w:cs="宋体"/>
          <w:color w:val="auto"/>
          <w:kern w:val="0"/>
          <w:sz w:val="22"/>
          <w:highlight w:val="none"/>
          <w:u w:val="single"/>
        </w:rPr>
        <w:t>费用总价包干，由于承包人预估费用低于实际费用，不足部分由承包人补齐。承包人不得以预估费用低于实际费用或实际情况发生变化为由向发包人提出费用补偿。</w:t>
      </w:r>
    </w:p>
    <w:p w14:paraId="4E69B1C1">
      <w:pPr>
        <w:pStyle w:val="44"/>
        <w:autoSpaceDE w:val="0"/>
        <w:autoSpaceDN w:val="0"/>
        <w:adjustRightIn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3FB350A9">
      <w:pPr>
        <w:pStyle w:val="44"/>
        <w:autoSpaceDE w:val="0"/>
        <w:autoSpaceDN w:val="0"/>
        <w:adjustRightInd w:val="0"/>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8.8.2 发包人提供的施工设备和临时设施</w:t>
      </w:r>
    </w:p>
    <w:p w14:paraId="4C5DFB27">
      <w:pPr>
        <w:pStyle w:val="44"/>
        <w:autoSpaceDE w:val="0"/>
        <w:autoSpaceDN w:val="0"/>
        <w:adjustRightInd w:val="0"/>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发包人提供的施工设备和临时设施：</w:t>
      </w:r>
      <w:r>
        <w:rPr>
          <w:rFonts w:hint="eastAsia" w:ascii="宋体" w:hAnsi="宋体" w:cs="宋体"/>
          <w:color w:val="auto"/>
          <w:sz w:val="22"/>
          <w:highlight w:val="none"/>
          <w:u w:val="single"/>
        </w:rPr>
        <w:t xml:space="preserve">无 </w:t>
      </w:r>
      <w:r>
        <w:rPr>
          <w:rFonts w:hint="eastAsia" w:ascii="宋体" w:hAnsi="宋体" w:cs="宋体"/>
          <w:color w:val="auto"/>
          <w:sz w:val="22"/>
          <w:highlight w:val="none"/>
        </w:rPr>
        <w:t>。</w:t>
      </w:r>
    </w:p>
    <w:p w14:paraId="39711665">
      <w:pPr>
        <w:pStyle w:val="44"/>
        <w:autoSpaceDE w:val="0"/>
        <w:autoSpaceDN w:val="0"/>
        <w:adjustRightInd w:val="0"/>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发包人提供的施工设备和临时设施的运行、维护、拆除、清运费用的承担人：</w:t>
      </w:r>
      <w:r>
        <w:rPr>
          <w:rFonts w:hint="eastAsia" w:ascii="宋体" w:hAnsi="宋体" w:cs="宋体"/>
          <w:color w:val="auto"/>
          <w:sz w:val="22"/>
          <w:highlight w:val="none"/>
          <w:u w:val="single"/>
        </w:rPr>
        <w:t xml:space="preserve">  无  </w:t>
      </w:r>
      <w:r>
        <w:rPr>
          <w:rFonts w:hint="eastAsia" w:ascii="宋体" w:hAnsi="宋体" w:cs="宋体"/>
          <w:color w:val="auto"/>
          <w:sz w:val="22"/>
          <w:highlight w:val="none"/>
        </w:rPr>
        <w:t>。</w:t>
      </w:r>
    </w:p>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14:paraId="4CE53F9A">
      <w:pPr>
        <w:pStyle w:val="43"/>
        <w:spacing w:before="0" w:after="0" w:line="360" w:lineRule="exact"/>
        <w:rPr>
          <w:rFonts w:ascii="宋体" w:hAnsi="宋体" w:cs="宋体"/>
          <w:color w:val="auto"/>
          <w:sz w:val="22"/>
          <w:szCs w:val="22"/>
          <w:highlight w:val="none"/>
        </w:rPr>
      </w:pPr>
      <w:bookmarkStart w:id="733" w:name="_Toc389065302"/>
      <w:bookmarkStart w:id="734" w:name="_Toc395382538"/>
      <w:bookmarkStart w:id="735" w:name="_Toc373478383"/>
      <w:bookmarkStart w:id="736" w:name="_Toc373227736"/>
      <w:bookmarkStart w:id="737" w:name="_Toc12975926"/>
      <w:bookmarkStart w:id="738" w:name="_Toc533432761"/>
      <w:bookmarkStart w:id="739" w:name="_Toc351203641"/>
      <w:r>
        <w:rPr>
          <w:rFonts w:hint="eastAsia" w:ascii="宋体" w:hAnsi="宋体" w:cs="宋体"/>
          <w:color w:val="auto"/>
          <w:sz w:val="22"/>
          <w:szCs w:val="22"/>
          <w:highlight w:val="none"/>
        </w:rPr>
        <w:t>9</w:t>
      </w:r>
      <w:bookmarkEnd w:id="700"/>
      <w:bookmarkEnd w:id="701"/>
      <w:bookmarkEnd w:id="702"/>
      <w:bookmarkStart w:id="740" w:name="_Toc312677495"/>
      <w:bookmarkStart w:id="741" w:name="_Toc312678021"/>
      <w:bookmarkStart w:id="742" w:name="_Toc297216192"/>
      <w:bookmarkStart w:id="743" w:name="_Toc303539139"/>
      <w:bookmarkStart w:id="744" w:name="_Toc300934982"/>
      <w:bookmarkStart w:id="745" w:name="_Toc297123533"/>
      <w:bookmarkStart w:id="746" w:name="_Toc304295559"/>
      <w:bookmarkStart w:id="747" w:name="_Toc292559378"/>
      <w:bookmarkStart w:id="748" w:name="_Toc297120473"/>
      <w:bookmarkStart w:id="749" w:name="_Toc296347172"/>
      <w:bookmarkStart w:id="750" w:name="_Toc296944512"/>
      <w:bookmarkStart w:id="751" w:name="_Toc292559883"/>
      <w:bookmarkStart w:id="752" w:name="_Toc296346674"/>
      <w:bookmarkStart w:id="753" w:name="_Toc296503173"/>
      <w:bookmarkStart w:id="754" w:name="_Toc297048359"/>
      <w:bookmarkStart w:id="755" w:name="_Toc267251427"/>
      <w:bookmarkStart w:id="756" w:name="_Toc296891001"/>
      <w:bookmarkStart w:id="757" w:name="_Toc267251428"/>
      <w:bookmarkStart w:id="758" w:name="_Toc296891213"/>
      <w:r>
        <w:rPr>
          <w:rFonts w:hint="eastAsia" w:ascii="宋体" w:hAnsi="宋体" w:cs="宋体"/>
          <w:color w:val="auto"/>
          <w:sz w:val="22"/>
          <w:szCs w:val="22"/>
          <w:highlight w:val="none"/>
        </w:rPr>
        <w:t>. 试验与检验</w:t>
      </w:r>
      <w:bookmarkEnd w:id="733"/>
      <w:bookmarkEnd w:id="734"/>
      <w:bookmarkEnd w:id="735"/>
      <w:bookmarkEnd w:id="736"/>
      <w:bookmarkEnd w:id="737"/>
      <w:bookmarkEnd w:id="738"/>
      <w:bookmarkEnd w:id="739"/>
    </w:p>
    <w:bookmarkEnd w:id="740"/>
    <w:bookmarkEnd w:id="741"/>
    <w:bookmarkEnd w:id="742"/>
    <w:bookmarkEnd w:id="743"/>
    <w:bookmarkEnd w:id="744"/>
    <w:bookmarkEnd w:id="745"/>
    <w:bookmarkEnd w:id="746"/>
    <w:p w14:paraId="2F82ED75">
      <w:pPr>
        <w:pStyle w:val="45"/>
        <w:spacing w:line="360" w:lineRule="exact"/>
        <w:rPr>
          <w:rFonts w:ascii="宋体" w:hAnsi="宋体" w:cs="宋体"/>
          <w:color w:val="auto"/>
          <w:sz w:val="22"/>
          <w:szCs w:val="22"/>
          <w:highlight w:val="none"/>
        </w:rPr>
      </w:pPr>
      <w:bookmarkStart w:id="759" w:name="_Toc395382539"/>
      <w:bookmarkStart w:id="760" w:name="_Toc373478384"/>
      <w:bookmarkStart w:id="761" w:name="_Toc533432762"/>
      <w:bookmarkStart w:id="762" w:name="_Toc373227737"/>
      <w:bookmarkStart w:id="763" w:name="_Toc389065303"/>
      <w:bookmarkStart w:id="764" w:name="_Toc12975927"/>
      <w:r>
        <w:rPr>
          <w:rFonts w:hint="eastAsia" w:ascii="宋体" w:hAnsi="宋体" w:cs="宋体"/>
          <w:color w:val="auto"/>
          <w:sz w:val="22"/>
          <w:szCs w:val="22"/>
          <w:highlight w:val="none"/>
        </w:rPr>
        <w:t>9</w:t>
      </w:r>
      <w:bookmarkStart w:id="765" w:name="_Toc297123534"/>
      <w:bookmarkStart w:id="766" w:name="_Toc312677496"/>
      <w:bookmarkStart w:id="767" w:name="_Toc304295560"/>
      <w:bookmarkStart w:id="768" w:name="_Toc300934983"/>
      <w:bookmarkStart w:id="769" w:name="_Toc312678022"/>
      <w:bookmarkStart w:id="770" w:name="_Toc297216193"/>
      <w:bookmarkStart w:id="771" w:name="_Toc303539140"/>
      <w:r>
        <w:rPr>
          <w:rFonts w:hint="eastAsia" w:ascii="宋体" w:hAnsi="宋体" w:cs="宋体"/>
          <w:color w:val="auto"/>
          <w:sz w:val="22"/>
          <w:szCs w:val="22"/>
          <w:highlight w:val="none"/>
        </w:rPr>
        <w:t>.1 试验设备与试验人员</w:t>
      </w:r>
      <w:bookmarkEnd w:id="759"/>
      <w:bookmarkEnd w:id="760"/>
      <w:bookmarkEnd w:id="761"/>
      <w:bookmarkEnd w:id="762"/>
      <w:bookmarkEnd w:id="763"/>
      <w:bookmarkEnd w:id="764"/>
    </w:p>
    <w:bookmarkEnd w:id="765"/>
    <w:bookmarkEnd w:id="766"/>
    <w:bookmarkEnd w:id="767"/>
    <w:bookmarkEnd w:id="768"/>
    <w:bookmarkEnd w:id="769"/>
    <w:bookmarkEnd w:id="770"/>
    <w:bookmarkEnd w:id="771"/>
    <w:p w14:paraId="130C9198">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9</w:t>
      </w:r>
      <w:bookmarkStart w:id="772" w:name="_Toc297123535"/>
      <w:bookmarkStart w:id="773" w:name="_Toc300934984"/>
      <w:bookmarkStart w:id="774" w:name="_Toc304295561"/>
      <w:bookmarkStart w:id="775" w:name="_Toc312678023"/>
      <w:bookmarkStart w:id="776" w:name="_Toc303539141"/>
      <w:bookmarkStart w:id="777" w:name="_Toc297216194"/>
      <w:bookmarkStart w:id="778" w:name="_Toc312677497"/>
      <w:bookmarkStart w:id="779" w:name="_Toc318581174"/>
      <w:r>
        <w:rPr>
          <w:rFonts w:hint="eastAsia" w:ascii="宋体" w:hAnsi="宋体" w:cs="宋体"/>
          <w:color w:val="auto"/>
          <w:sz w:val="22"/>
          <w:highlight w:val="none"/>
        </w:rPr>
        <w:t>.1.2 试验设备</w:t>
      </w:r>
    </w:p>
    <w:p w14:paraId="794088CC">
      <w:pPr>
        <w:pStyle w:val="44"/>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rPr>
        <w:t>施工现场需要配置的试验场所：</w:t>
      </w:r>
      <w:bookmarkEnd w:id="772"/>
      <w:bookmarkEnd w:id="773"/>
      <w:bookmarkEnd w:id="774"/>
      <w:bookmarkEnd w:id="775"/>
      <w:bookmarkEnd w:id="776"/>
      <w:bookmarkEnd w:id="777"/>
      <w:bookmarkEnd w:id="778"/>
      <w:bookmarkStart w:id="780" w:name="_Toc303539142"/>
      <w:bookmarkStart w:id="781" w:name="_Toc297216195"/>
      <w:bookmarkStart w:id="782" w:name="_Toc312678024"/>
      <w:bookmarkStart w:id="783" w:name="_Toc312677498"/>
      <w:bookmarkStart w:id="784" w:name="_Toc297123536"/>
      <w:bookmarkStart w:id="785" w:name="_Toc300934985"/>
      <w:bookmarkStart w:id="786" w:name="_Toc304295562"/>
      <w:r>
        <w:rPr>
          <w:rFonts w:hint="eastAsia" w:ascii="宋体" w:hAnsi="宋体" w:cs="宋体"/>
          <w:color w:val="auto"/>
          <w:sz w:val="22"/>
          <w:highlight w:val="none"/>
          <w:u w:val="single"/>
        </w:rPr>
        <w:t>按有关规定执行</w:t>
      </w:r>
      <w:r>
        <w:rPr>
          <w:rFonts w:hint="eastAsia" w:ascii="宋体" w:hAnsi="宋体" w:cs="宋体"/>
          <w:color w:val="auto"/>
          <w:sz w:val="22"/>
          <w:highlight w:val="none"/>
        </w:rPr>
        <w:t>。</w:t>
      </w:r>
    </w:p>
    <w:p w14:paraId="72D88903">
      <w:pPr>
        <w:pStyle w:val="44"/>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rPr>
        <w:t>施工现场需要配备的试验设备：</w:t>
      </w:r>
      <w:r>
        <w:rPr>
          <w:rFonts w:hint="eastAsia" w:ascii="宋体" w:hAnsi="宋体" w:cs="宋体"/>
          <w:color w:val="auto"/>
          <w:sz w:val="22"/>
          <w:highlight w:val="none"/>
          <w:u w:val="single"/>
        </w:rPr>
        <w:t>按有关规定执行</w:t>
      </w:r>
      <w:r>
        <w:rPr>
          <w:rFonts w:hint="eastAsia" w:ascii="宋体" w:hAnsi="宋体" w:cs="宋体"/>
          <w:color w:val="auto"/>
          <w:sz w:val="22"/>
          <w:highlight w:val="none"/>
        </w:rPr>
        <w:t>。</w:t>
      </w:r>
    </w:p>
    <w:p w14:paraId="20D83262">
      <w:pPr>
        <w:pStyle w:val="44"/>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rPr>
        <w:t>施工现场需要具备的其他试验条件：</w:t>
      </w:r>
      <w:r>
        <w:rPr>
          <w:rFonts w:hint="eastAsia" w:ascii="宋体" w:hAnsi="宋体" w:cs="宋体"/>
          <w:color w:val="auto"/>
          <w:sz w:val="22"/>
          <w:highlight w:val="none"/>
          <w:u w:val="single"/>
        </w:rPr>
        <w:t xml:space="preserve">         无              </w:t>
      </w:r>
      <w:r>
        <w:rPr>
          <w:rFonts w:hint="eastAsia" w:ascii="宋体" w:hAnsi="宋体" w:cs="宋体"/>
          <w:color w:val="auto"/>
          <w:sz w:val="22"/>
          <w:highlight w:val="none"/>
        </w:rPr>
        <w:t>。</w:t>
      </w:r>
    </w:p>
    <w:p w14:paraId="39B9EC7C">
      <w:pPr>
        <w:pStyle w:val="45"/>
        <w:spacing w:line="360" w:lineRule="exact"/>
        <w:rPr>
          <w:rFonts w:ascii="宋体" w:hAnsi="宋体" w:cs="宋体"/>
          <w:color w:val="auto"/>
          <w:sz w:val="22"/>
          <w:szCs w:val="22"/>
          <w:highlight w:val="none"/>
        </w:rPr>
      </w:pPr>
      <w:bookmarkStart w:id="787" w:name="_Toc373227738"/>
      <w:bookmarkStart w:id="788" w:name="_Toc395382540"/>
      <w:bookmarkStart w:id="789" w:name="_Toc389065304"/>
      <w:bookmarkStart w:id="790" w:name="_Toc373478385"/>
      <w:bookmarkStart w:id="791" w:name="_Toc12975928"/>
      <w:bookmarkStart w:id="792" w:name="_Toc533432763"/>
      <w:r>
        <w:rPr>
          <w:rFonts w:hint="eastAsia" w:ascii="宋体" w:hAnsi="宋体" w:cs="宋体"/>
          <w:color w:val="auto"/>
          <w:sz w:val="22"/>
          <w:szCs w:val="22"/>
          <w:highlight w:val="none"/>
        </w:rPr>
        <w:t>9.4 现场工艺试验</w:t>
      </w:r>
      <w:bookmarkEnd w:id="787"/>
      <w:bookmarkEnd w:id="788"/>
      <w:bookmarkEnd w:id="789"/>
      <w:bookmarkEnd w:id="790"/>
      <w:bookmarkEnd w:id="791"/>
      <w:bookmarkEnd w:id="792"/>
      <w:r>
        <w:rPr>
          <w:rFonts w:hint="eastAsia" w:ascii="宋体" w:hAnsi="宋体" w:cs="宋体"/>
          <w:color w:val="auto"/>
          <w:sz w:val="22"/>
          <w:szCs w:val="22"/>
          <w:highlight w:val="none"/>
        </w:rPr>
        <w:t xml:space="preserve"> </w:t>
      </w:r>
    </w:p>
    <w:p w14:paraId="1C1B4398">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现场工艺试验的有关约定：</w:t>
      </w:r>
      <w:r>
        <w:rPr>
          <w:rFonts w:hint="eastAsia" w:ascii="宋体" w:hAnsi="宋体" w:cs="宋体"/>
          <w:color w:val="auto"/>
          <w:sz w:val="22"/>
          <w:highlight w:val="none"/>
          <w:u w:val="single"/>
        </w:rPr>
        <w:t>承包人应按合同约定或监理人指示进行现场工艺试验。对大型的现场工艺试验，监理人认为必要时，承包人应根据监理人提出的工艺试验要求，编制工艺试验措施计划，报送监理人审查。</w:t>
      </w:r>
    </w:p>
    <w:p w14:paraId="23A228A4">
      <w:pPr>
        <w:pStyle w:val="45"/>
        <w:spacing w:line="360" w:lineRule="exact"/>
        <w:rPr>
          <w:rFonts w:ascii="宋体" w:hAnsi="宋体" w:cs="宋体"/>
          <w:color w:val="auto"/>
          <w:sz w:val="22"/>
          <w:szCs w:val="22"/>
          <w:highlight w:val="none"/>
        </w:rPr>
      </w:pPr>
      <w:bookmarkStart w:id="793" w:name="_Toc395382541"/>
      <w:bookmarkStart w:id="794" w:name="_Toc12975929"/>
      <w:bookmarkStart w:id="795" w:name="_Toc533432764"/>
      <w:r>
        <w:rPr>
          <w:rFonts w:hint="eastAsia" w:ascii="宋体" w:hAnsi="宋体" w:cs="宋体"/>
          <w:color w:val="auto"/>
          <w:sz w:val="22"/>
          <w:szCs w:val="22"/>
          <w:highlight w:val="none"/>
        </w:rPr>
        <w:t>9.5 检验费用</w:t>
      </w:r>
      <w:bookmarkEnd w:id="793"/>
      <w:bookmarkEnd w:id="794"/>
      <w:bookmarkEnd w:id="795"/>
    </w:p>
    <w:p w14:paraId="7D251726">
      <w:pPr>
        <w:pStyle w:val="44"/>
        <w:spacing w:line="360" w:lineRule="exact"/>
        <w:ind w:firstLine="431" w:firstLineChars="196"/>
        <w:rPr>
          <w:rFonts w:ascii="宋体" w:hAnsi="宋体" w:cs="宋体"/>
          <w:color w:val="auto"/>
          <w:sz w:val="22"/>
          <w:highlight w:val="none"/>
        </w:rPr>
      </w:pPr>
      <w:r>
        <w:rPr>
          <w:rFonts w:hint="eastAsia" w:ascii="宋体" w:hAnsi="宋体" w:cs="宋体"/>
          <w:color w:val="auto"/>
          <w:sz w:val="22"/>
          <w:highlight w:val="none"/>
        </w:rPr>
        <w:t>根据《建设工程质量检测管理办法》（建设部令第141号）以及《广西壮族自治区建设工程质量检测管理规定》（桂建管〔2013〕11号）规定，工程质量检测业务由发包人委托有相应资质的检测机构检测。费用由发包人直接支付给检测机构，不计入合同价款内。检验试验配合费按费用定额规定计取，计入本合同价款内。</w:t>
      </w:r>
    </w:p>
    <w:bookmarkEnd w:id="779"/>
    <w:bookmarkEnd w:id="780"/>
    <w:bookmarkEnd w:id="781"/>
    <w:bookmarkEnd w:id="782"/>
    <w:bookmarkEnd w:id="783"/>
    <w:bookmarkEnd w:id="784"/>
    <w:bookmarkEnd w:id="785"/>
    <w:bookmarkEnd w:id="786"/>
    <w:p w14:paraId="074B7471">
      <w:pPr>
        <w:pStyle w:val="43"/>
        <w:spacing w:before="0" w:after="0" w:line="360" w:lineRule="exact"/>
        <w:rPr>
          <w:rFonts w:ascii="宋体" w:hAnsi="宋体" w:cs="宋体"/>
          <w:color w:val="auto"/>
          <w:sz w:val="22"/>
          <w:szCs w:val="22"/>
          <w:highlight w:val="none"/>
        </w:rPr>
      </w:pPr>
      <w:bookmarkStart w:id="796" w:name="_Toc351203642"/>
      <w:bookmarkStart w:id="797" w:name="_Toc373227739"/>
      <w:bookmarkStart w:id="798" w:name="_Toc395382542"/>
      <w:bookmarkStart w:id="799" w:name="_Toc389065305"/>
      <w:bookmarkStart w:id="800" w:name="_Toc373478386"/>
      <w:bookmarkStart w:id="801" w:name="_Toc12975930"/>
      <w:bookmarkStart w:id="802" w:name="_Toc533432765"/>
      <w:r>
        <w:rPr>
          <w:rFonts w:hint="eastAsia" w:ascii="宋体" w:hAnsi="宋体" w:cs="宋体"/>
          <w:color w:val="auto"/>
          <w:sz w:val="22"/>
          <w:szCs w:val="22"/>
          <w:highlight w:val="none"/>
        </w:rPr>
        <w:t>1</w:t>
      </w:r>
      <w:bookmarkEnd w:id="747"/>
      <w:bookmarkEnd w:id="748"/>
      <w:bookmarkEnd w:id="749"/>
      <w:bookmarkEnd w:id="750"/>
      <w:bookmarkEnd w:id="751"/>
      <w:bookmarkEnd w:id="752"/>
      <w:bookmarkEnd w:id="753"/>
      <w:bookmarkEnd w:id="754"/>
      <w:bookmarkEnd w:id="755"/>
      <w:bookmarkEnd w:id="756"/>
      <w:bookmarkEnd w:id="757"/>
      <w:bookmarkEnd w:id="758"/>
      <w:bookmarkStart w:id="803" w:name="_Toc292559903"/>
      <w:bookmarkStart w:id="804" w:name="_Toc297216199"/>
      <w:bookmarkStart w:id="805" w:name="_Toc304295566"/>
      <w:bookmarkStart w:id="806" w:name="_Toc292559398"/>
      <w:bookmarkStart w:id="807" w:name="_Toc296944532"/>
      <w:bookmarkStart w:id="808" w:name="_Toc303539146"/>
      <w:bookmarkStart w:id="809" w:name="_Toc296347192"/>
      <w:bookmarkStart w:id="810" w:name="_Toc296503193"/>
      <w:bookmarkStart w:id="811" w:name="_Toc296346694"/>
      <w:bookmarkStart w:id="812" w:name="_Toc296891233"/>
      <w:bookmarkStart w:id="813" w:name="_Toc297048379"/>
      <w:bookmarkStart w:id="814" w:name="_Toc297123540"/>
      <w:bookmarkStart w:id="815" w:name="_Toc296891021"/>
      <w:bookmarkStart w:id="816" w:name="_Toc300934989"/>
      <w:bookmarkStart w:id="817" w:name="_Toc297120493"/>
      <w:bookmarkStart w:id="818" w:name="_Toc312678025"/>
      <w:bookmarkStart w:id="819" w:name="_Toc312677499"/>
      <w:bookmarkStart w:id="820" w:name="_Toc267251439"/>
      <w:bookmarkStart w:id="821" w:name="_Toc267251435"/>
      <w:bookmarkStart w:id="822" w:name="_Toc267251433"/>
      <w:bookmarkStart w:id="823" w:name="_Toc267251441"/>
      <w:bookmarkStart w:id="824" w:name="_Toc267251440"/>
      <w:bookmarkStart w:id="825" w:name="_Toc267251437"/>
      <w:bookmarkStart w:id="826" w:name="_Toc267251442"/>
      <w:r>
        <w:rPr>
          <w:rFonts w:hint="eastAsia" w:ascii="宋体" w:hAnsi="宋体" w:cs="宋体"/>
          <w:color w:val="auto"/>
          <w:sz w:val="22"/>
          <w:szCs w:val="22"/>
          <w:highlight w:val="none"/>
        </w:rPr>
        <w:t>0. 变更</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bookmarkEnd w:id="818"/>
    <w:bookmarkEnd w:id="819"/>
    <w:p w14:paraId="7B049120">
      <w:pPr>
        <w:pStyle w:val="45"/>
        <w:spacing w:line="360" w:lineRule="exact"/>
        <w:rPr>
          <w:rFonts w:ascii="宋体" w:hAnsi="宋体" w:cs="宋体"/>
          <w:color w:val="auto"/>
          <w:sz w:val="22"/>
          <w:szCs w:val="22"/>
          <w:highlight w:val="none"/>
        </w:rPr>
      </w:pPr>
      <w:bookmarkStart w:id="827" w:name="_Toc533432766"/>
      <w:bookmarkStart w:id="828" w:name="_Toc373478387"/>
      <w:bookmarkStart w:id="829" w:name="_Toc12975931"/>
      <w:bookmarkStart w:id="830" w:name="_Toc395382543"/>
      <w:bookmarkStart w:id="831" w:name="_Toc373227740"/>
      <w:bookmarkStart w:id="832" w:name="_Toc389065306"/>
      <w:r>
        <w:rPr>
          <w:rFonts w:hint="eastAsia" w:ascii="宋体" w:hAnsi="宋体" w:cs="宋体"/>
          <w:color w:val="auto"/>
          <w:sz w:val="22"/>
          <w:szCs w:val="22"/>
          <w:highlight w:val="none"/>
        </w:rPr>
        <w:t>1</w:t>
      </w:r>
      <w:bookmarkStart w:id="833" w:name="_Toc296346695"/>
      <w:bookmarkStart w:id="834" w:name="_Toc297123541"/>
      <w:bookmarkStart w:id="835" w:name="_Toc292559399"/>
      <w:bookmarkStart w:id="836" w:name="_Toc292559904"/>
      <w:bookmarkStart w:id="837" w:name="_Toc297120494"/>
      <w:bookmarkStart w:id="838" w:name="_Toc297216200"/>
      <w:bookmarkStart w:id="839" w:name="_Toc296891022"/>
      <w:bookmarkStart w:id="840" w:name="_Toc303539147"/>
      <w:bookmarkStart w:id="841" w:name="_Toc312678026"/>
      <w:bookmarkStart w:id="842" w:name="_Toc297048380"/>
      <w:bookmarkStart w:id="843" w:name="_Toc296944533"/>
      <w:bookmarkStart w:id="844" w:name="_Toc296891234"/>
      <w:bookmarkStart w:id="845" w:name="_Toc296503194"/>
      <w:bookmarkStart w:id="846" w:name="_Toc300934990"/>
      <w:bookmarkStart w:id="847" w:name="_Toc296347193"/>
      <w:bookmarkStart w:id="848" w:name="_Toc312677500"/>
      <w:bookmarkStart w:id="849" w:name="_Toc304295567"/>
      <w:r>
        <w:rPr>
          <w:rFonts w:hint="eastAsia" w:ascii="宋体" w:hAnsi="宋体" w:cs="宋体"/>
          <w:color w:val="auto"/>
          <w:sz w:val="22"/>
          <w:szCs w:val="22"/>
          <w:highlight w:val="none"/>
        </w:rPr>
        <w:t>0.1 变更的范围</w:t>
      </w:r>
      <w:bookmarkEnd w:id="827"/>
      <w:bookmarkEnd w:id="828"/>
      <w:bookmarkEnd w:id="829"/>
      <w:bookmarkEnd w:id="830"/>
      <w:bookmarkEnd w:id="831"/>
      <w:bookmarkEnd w:id="832"/>
    </w:p>
    <w:p w14:paraId="504FD9E2">
      <w:pPr>
        <w:pStyle w:val="46"/>
        <w:autoSpaceDE w:val="0"/>
        <w:autoSpaceDN w:val="0"/>
        <w:adjustRightInd w:val="0"/>
        <w:spacing w:line="360" w:lineRule="exact"/>
        <w:ind w:firstLine="440" w:firstLineChars="200"/>
        <w:jc w:val="left"/>
        <w:rPr>
          <w:rFonts w:ascii="宋体" w:hAnsi="宋体" w:cs="宋体"/>
          <w:b/>
          <w:color w:val="auto"/>
          <w:sz w:val="22"/>
          <w:szCs w:val="22"/>
          <w:highlight w:val="none"/>
        </w:rPr>
      </w:pPr>
      <w:r>
        <w:rPr>
          <w:rFonts w:hint="eastAsia" w:ascii="宋体" w:hAnsi="宋体" w:cs="宋体"/>
          <w:color w:val="auto"/>
          <w:sz w:val="22"/>
          <w:szCs w:val="22"/>
          <w:highlight w:val="none"/>
        </w:rPr>
        <w:t>关于变更的范围的约定：</w:t>
      </w:r>
      <w:r>
        <w:rPr>
          <w:rFonts w:hint="eastAsia" w:ascii="宋体" w:hAnsi="宋体"/>
          <w:color w:val="auto"/>
          <w:highlight w:val="none"/>
          <w:u w:val="single"/>
        </w:rPr>
        <w:t>按通用条款</w:t>
      </w:r>
      <w:r>
        <w:rPr>
          <w:rFonts w:hint="eastAsia" w:ascii="Calibri" w:hAnsi="Calibri"/>
          <w:color w:val="auto"/>
          <w:highlight w:val="none"/>
          <w:u w:val="single"/>
        </w:rPr>
        <w:t>10.1</w:t>
      </w:r>
      <w:r>
        <w:rPr>
          <w:rFonts w:hint="eastAsia" w:ascii="宋体" w:hAnsi="宋体"/>
          <w:color w:val="auto"/>
          <w:highlight w:val="none"/>
          <w:u w:val="single"/>
        </w:rPr>
        <w:t>执行</w:t>
      </w:r>
      <w:r>
        <w:rPr>
          <w:rFonts w:hint="eastAsia" w:ascii="Calibri" w:hAnsi="宋体" w:cs="宋体"/>
          <w:color w:val="auto"/>
          <w:highlight w:val="none"/>
        </w:rPr>
        <w:t>。</w:t>
      </w:r>
    </w:p>
    <w:p w14:paraId="4EF449A9">
      <w:pPr>
        <w:pStyle w:val="45"/>
        <w:spacing w:line="360" w:lineRule="exact"/>
        <w:rPr>
          <w:rFonts w:ascii="宋体" w:hAnsi="宋体" w:cs="宋体"/>
          <w:color w:val="auto"/>
          <w:sz w:val="22"/>
          <w:szCs w:val="22"/>
          <w:highlight w:val="none"/>
        </w:rPr>
      </w:pPr>
      <w:bookmarkStart w:id="850" w:name="_Toc395382544"/>
      <w:bookmarkStart w:id="851" w:name="_Toc533432767"/>
      <w:bookmarkStart w:id="852" w:name="_Toc389065307"/>
      <w:bookmarkStart w:id="853" w:name="_Toc373478388"/>
      <w:bookmarkStart w:id="854" w:name="_Toc373227741"/>
      <w:bookmarkStart w:id="855" w:name="_Toc12975932"/>
      <w:r>
        <w:rPr>
          <w:rFonts w:hint="eastAsia" w:ascii="宋体" w:hAnsi="宋体" w:cs="宋体"/>
          <w:color w:val="auto"/>
          <w:sz w:val="22"/>
          <w:szCs w:val="22"/>
          <w:highlight w:val="none"/>
        </w:rPr>
        <w:t>10.3 变更程序</w:t>
      </w:r>
      <w:bookmarkEnd w:id="850"/>
      <w:bookmarkEnd w:id="851"/>
      <w:bookmarkEnd w:id="852"/>
      <w:bookmarkEnd w:id="853"/>
      <w:bookmarkEnd w:id="854"/>
      <w:bookmarkEnd w:id="855"/>
    </w:p>
    <w:p w14:paraId="75B2D5F6">
      <w:pPr>
        <w:pStyle w:val="48"/>
        <w:spacing w:line="360" w:lineRule="exact"/>
        <w:ind w:firstLine="462" w:firstLineChars="210"/>
        <w:rPr>
          <w:rFonts w:hAnsi="宋体" w:cs="宋体"/>
          <w:bCs/>
          <w:color w:val="auto"/>
          <w:sz w:val="22"/>
          <w:szCs w:val="22"/>
          <w:highlight w:val="none"/>
        </w:rPr>
      </w:pPr>
      <w:r>
        <w:rPr>
          <w:rFonts w:hint="eastAsia" w:hAnsi="宋体" w:cs="宋体"/>
          <w:bCs/>
          <w:color w:val="auto"/>
          <w:sz w:val="22"/>
          <w:szCs w:val="22"/>
          <w:highlight w:val="none"/>
        </w:rPr>
        <w:t>10.3.1 国有投资项目：</w:t>
      </w:r>
    </w:p>
    <w:p w14:paraId="1C2B58FA">
      <w:pPr>
        <w:pStyle w:val="48"/>
        <w:spacing w:line="360" w:lineRule="exact"/>
        <w:ind w:firstLine="462" w:firstLineChars="210"/>
        <w:rPr>
          <w:rFonts w:hAnsi="宋体" w:cs="宋体"/>
          <w:bCs/>
          <w:color w:val="auto"/>
          <w:sz w:val="22"/>
          <w:szCs w:val="22"/>
          <w:highlight w:val="none"/>
        </w:rPr>
      </w:pPr>
      <w:r>
        <w:rPr>
          <w:rFonts w:hint="eastAsia" w:hAnsi="宋体" w:cs="宋体"/>
          <w:bCs/>
          <w:color w:val="auto"/>
          <w:sz w:val="22"/>
          <w:szCs w:val="22"/>
          <w:highlight w:val="none"/>
        </w:rPr>
        <w:t>⑴设计变更和工程签证，按各市政府或相关部门的规定办理。属不可抗力（自然灾害、突发事件等）造成变更的，按特事特办原则予以办理。</w:t>
      </w:r>
    </w:p>
    <w:p w14:paraId="4377BC37">
      <w:pPr>
        <w:pStyle w:val="48"/>
        <w:spacing w:line="360" w:lineRule="exact"/>
        <w:ind w:firstLine="462" w:firstLineChars="210"/>
        <w:rPr>
          <w:rFonts w:hAnsi="宋体" w:cs="宋体"/>
          <w:bCs/>
          <w:color w:val="auto"/>
          <w:sz w:val="22"/>
          <w:szCs w:val="22"/>
          <w:highlight w:val="none"/>
        </w:rPr>
      </w:pPr>
      <w:r>
        <w:rPr>
          <w:rFonts w:hint="eastAsia" w:hAnsi="宋体" w:cs="宋体"/>
          <w:bCs/>
          <w:color w:val="auto"/>
          <w:sz w:val="22"/>
          <w:szCs w:val="22"/>
          <w:highlight w:val="none"/>
        </w:rPr>
        <w:t>⑵建设单位在实施项目过程中，若发生单价变动，由建设单位、监理单位、施工单位及其他相关单位共同商定并签字确认。</w:t>
      </w:r>
    </w:p>
    <w:p w14:paraId="1A2D9775">
      <w:pPr>
        <w:pStyle w:val="44"/>
        <w:spacing w:line="360" w:lineRule="exac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53BC49E6">
      <w:pPr>
        <w:pStyle w:val="46"/>
        <w:spacing w:line="3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（4）</w:t>
      </w:r>
      <w:r>
        <w:rPr>
          <w:rFonts w:hint="eastAsia" w:ascii="宋体" w:hAnsi="宋体" w:cs="宋体"/>
          <w:color w:val="auto"/>
          <w:sz w:val="22"/>
          <w:szCs w:val="22"/>
          <w:highlight w:val="none"/>
          <w:u w:val="single"/>
        </w:rPr>
        <w:t>所有设计变更，双方均应办理变更前签证，需要变更的工程（或新增工程），由设计单位、监理单位对变更理由和变更内容提出审核意见后报发包人，由发包人向相关审批部门报告，相关审批部门批复意见后方可实施。变更造价累计超出工程施工合同价中建安工程费用总和的10%且单项工程变更造价大于100万人民币的，由设计单位、监理单位及发包人提出审核意见，经发包人或项目委托后，经发包人集体研究，主要负责人签字后，</w:t>
      </w:r>
      <w:r>
        <w:rPr>
          <w:rFonts w:hint="eastAsia" w:ascii="宋体" w:hAnsi="宋体" w:cs="宋体"/>
          <w:bCs/>
          <w:color w:val="auto"/>
          <w:sz w:val="22"/>
          <w:szCs w:val="22"/>
          <w:highlight w:val="none"/>
          <w:u w:val="single"/>
        </w:rPr>
        <w:t>报相关审批部门批准后须报市人民政府备案方可实施</w:t>
      </w:r>
      <w:r>
        <w:rPr>
          <w:rFonts w:hint="eastAsia" w:ascii="宋体" w:hAnsi="宋体" w:cs="宋体"/>
          <w:color w:val="auto"/>
          <w:sz w:val="22"/>
          <w:szCs w:val="22"/>
          <w:highlight w:val="none"/>
          <w:u w:val="single"/>
        </w:rPr>
        <w:t>。项目变更后总投资超过概算批复的，必须报投资审批部门同意调整概算方可实施。</w:t>
      </w:r>
    </w:p>
    <w:p w14:paraId="08AA4C3E">
      <w:pPr>
        <w:pStyle w:val="44"/>
        <w:spacing w:line="360" w:lineRule="exact"/>
        <w:ind w:firstLine="440" w:firstLineChars="200"/>
        <w:jc w:val="left"/>
        <w:rPr>
          <w:rFonts w:ascii="宋体" w:hAnsi="宋体" w:cs="宋体"/>
          <w:bCs/>
          <w:color w:val="auto"/>
          <w:sz w:val="22"/>
          <w:highlight w:val="none"/>
          <w:u w:val="single"/>
        </w:rPr>
      </w:pPr>
      <w:r>
        <w:rPr>
          <w:rFonts w:hint="eastAsia" w:ascii="宋体" w:hAnsi="宋体" w:cs="宋体"/>
          <w:bCs/>
          <w:color w:val="auto"/>
          <w:sz w:val="22"/>
          <w:highlight w:val="none"/>
        </w:rPr>
        <w:t>10.3.2 非国有投资项目：</w:t>
      </w:r>
      <w:r>
        <w:rPr>
          <w:rFonts w:hint="eastAsia" w:ascii="宋体" w:hAnsi="宋体" w:cs="宋体"/>
          <w:bCs/>
          <w:color w:val="auto"/>
          <w:sz w:val="22"/>
          <w:highlight w:val="none"/>
          <w:u w:val="single"/>
        </w:rPr>
        <w:t xml:space="preserve">  /  。</w:t>
      </w:r>
    </w:p>
    <w:p w14:paraId="107F8840">
      <w:pPr>
        <w:pStyle w:val="45"/>
        <w:spacing w:line="360" w:lineRule="exact"/>
        <w:rPr>
          <w:rFonts w:ascii="宋体" w:hAnsi="宋体" w:cs="宋体"/>
          <w:color w:val="auto"/>
          <w:sz w:val="22"/>
          <w:szCs w:val="22"/>
          <w:highlight w:val="none"/>
        </w:rPr>
      </w:pPr>
      <w:bookmarkStart w:id="856" w:name="_Toc395382545"/>
      <w:bookmarkStart w:id="857" w:name="_Toc533432768"/>
      <w:bookmarkStart w:id="858" w:name="_Toc389065308"/>
      <w:bookmarkStart w:id="859" w:name="_Toc373478389"/>
      <w:bookmarkStart w:id="860" w:name="_Toc12975933"/>
      <w:bookmarkStart w:id="861" w:name="_Toc373227742"/>
      <w:r>
        <w:rPr>
          <w:rFonts w:hint="eastAsia" w:ascii="宋体" w:hAnsi="宋体" w:cs="宋体"/>
          <w:color w:val="auto"/>
          <w:sz w:val="22"/>
          <w:szCs w:val="22"/>
          <w:highlight w:val="none"/>
        </w:rPr>
        <w:t>10.4 变更估价</w:t>
      </w:r>
      <w:bookmarkEnd w:id="856"/>
      <w:bookmarkEnd w:id="857"/>
      <w:bookmarkEnd w:id="858"/>
      <w:bookmarkEnd w:id="859"/>
      <w:bookmarkEnd w:id="860"/>
      <w:bookmarkEnd w:id="861"/>
    </w:p>
    <w:p w14:paraId="5BC148CB">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10.4.1 变更估价原则</w:t>
      </w:r>
    </w:p>
    <w:p w14:paraId="34207089">
      <w:pPr>
        <w:widowControl/>
        <w:ind w:firstLine="440" w:firstLineChars="200"/>
        <w:jc w:val="left"/>
        <w:rPr>
          <w:color w:val="auto"/>
          <w:sz w:val="22"/>
          <w:szCs w:val="22"/>
          <w:highlight w:val="none"/>
          <w:u w:val="single"/>
        </w:rPr>
      </w:pPr>
      <w:r>
        <w:rPr>
          <w:rFonts w:hint="eastAsia" w:ascii="宋体" w:hAnsi="宋体" w:cs="宋体"/>
          <w:color w:val="auto"/>
          <w:sz w:val="22"/>
          <w:szCs w:val="22"/>
          <w:highlight w:val="none"/>
        </w:rPr>
        <w:t xml:space="preserve">关于变更估价的约定: </w:t>
      </w:r>
      <w:r>
        <w:rPr>
          <w:rFonts w:hint="eastAsia" w:ascii="宋体" w:hAnsi="宋体" w:cs="宋体"/>
          <w:color w:val="auto"/>
          <w:kern w:val="0"/>
          <w:sz w:val="22"/>
          <w:szCs w:val="22"/>
          <w:highlight w:val="none"/>
          <w:lang w:bidi="ar"/>
        </w:rPr>
        <w:t>工程变更合同价款按下列方法进行：</w:t>
      </w:r>
      <w:r>
        <w:rPr>
          <w:rFonts w:hint="eastAsia" w:ascii="宋体" w:hAnsi="宋体" w:cs="宋体"/>
          <w:color w:val="auto"/>
          <w:kern w:val="0"/>
          <w:sz w:val="22"/>
          <w:szCs w:val="22"/>
          <w:highlight w:val="none"/>
          <w:u w:val="single"/>
          <w:lang w:bidi="ar"/>
        </w:rPr>
        <w:t>（</w:t>
      </w:r>
      <w:r>
        <w:rPr>
          <w:rFonts w:ascii="Calibri" w:hAnsi="Calibri" w:cs="Calibri"/>
          <w:color w:val="auto"/>
          <w:kern w:val="0"/>
          <w:sz w:val="22"/>
          <w:szCs w:val="22"/>
          <w:highlight w:val="none"/>
          <w:u w:val="single"/>
          <w:lang w:bidi="ar"/>
        </w:rPr>
        <w:t>1</w:t>
      </w:r>
      <w:r>
        <w:rPr>
          <w:rFonts w:hint="eastAsia" w:ascii="宋体" w:hAnsi="宋体" w:cs="宋体"/>
          <w:color w:val="auto"/>
          <w:kern w:val="0"/>
          <w:sz w:val="22"/>
          <w:szCs w:val="22"/>
          <w:highlight w:val="none"/>
          <w:u w:val="single"/>
          <w:lang w:bidi="ar"/>
        </w:rPr>
        <w:t>）合同中已有相同清单项目的，按合同该清单项目价格进行计算；（</w:t>
      </w:r>
      <w:r>
        <w:rPr>
          <w:rFonts w:ascii="Calibri" w:hAnsi="Calibri" w:cs="Calibri"/>
          <w:color w:val="auto"/>
          <w:kern w:val="0"/>
          <w:sz w:val="22"/>
          <w:szCs w:val="22"/>
          <w:highlight w:val="none"/>
          <w:u w:val="single"/>
          <w:lang w:bidi="ar"/>
        </w:rPr>
        <w:t>2</w:t>
      </w:r>
      <w:r>
        <w:rPr>
          <w:rFonts w:hint="eastAsia" w:ascii="宋体" w:hAnsi="宋体" w:cs="宋体"/>
          <w:color w:val="auto"/>
          <w:kern w:val="0"/>
          <w:sz w:val="22"/>
          <w:szCs w:val="22"/>
          <w:highlight w:val="none"/>
          <w:u w:val="single"/>
          <w:lang w:bidi="ar"/>
        </w:rPr>
        <w:t>）合同中只有类似清单项目的，参照该类似清单项目价格进行计算；（</w:t>
      </w:r>
      <w:r>
        <w:rPr>
          <w:rFonts w:ascii="Calibri" w:hAnsi="Calibri" w:cs="Calibri"/>
          <w:color w:val="auto"/>
          <w:kern w:val="0"/>
          <w:sz w:val="22"/>
          <w:szCs w:val="22"/>
          <w:highlight w:val="none"/>
          <w:u w:val="single"/>
          <w:lang w:bidi="ar"/>
        </w:rPr>
        <w:t>3</w:t>
      </w:r>
      <w:r>
        <w:rPr>
          <w:rFonts w:hint="eastAsia" w:ascii="宋体" w:hAnsi="宋体" w:cs="宋体"/>
          <w:color w:val="auto"/>
          <w:kern w:val="0"/>
          <w:sz w:val="22"/>
          <w:szCs w:val="22"/>
          <w:highlight w:val="none"/>
          <w:u w:val="single"/>
          <w:lang w:bidi="ar"/>
        </w:rPr>
        <w:t>）合同中没有适用或类似清单项目的价格计算方法：有定额的套定额，并（</w:t>
      </w:r>
      <w:r>
        <w:rPr>
          <w:rFonts w:ascii="MS PMincho" w:hAnsi="MS PMincho" w:eastAsia="MS PMincho" w:cs="MS PMincho"/>
          <w:b/>
          <w:bCs/>
          <w:color w:val="auto"/>
          <w:kern w:val="0"/>
          <w:sz w:val="22"/>
          <w:szCs w:val="22"/>
          <w:highlight w:val="none"/>
          <w:u w:val="single"/>
          <w:lang w:bidi="ar"/>
        </w:rPr>
        <w:t>☑</w:t>
      </w:r>
      <w:r>
        <w:rPr>
          <w:rFonts w:hint="eastAsia" w:ascii="宋体" w:hAnsi="宋体" w:cs="宋体"/>
          <w:color w:val="auto"/>
          <w:kern w:val="0"/>
          <w:sz w:val="22"/>
          <w:szCs w:val="22"/>
          <w:highlight w:val="none"/>
          <w:u w:val="single"/>
          <w:lang w:bidi="ar"/>
        </w:rPr>
        <w:t xml:space="preserve">乘以下浮系数（中标价/工程招标控制价））计算，其中材料价格按施工期间的《防城港市建设工程造价信息》相应价格信息进行计算；《防城港市建设工程造价信息》没有相应价格信息的按市场价计算；无定额可套的，根据市场价格协商确定综合价格；对于国有资产投资的项目，新增项目的单价以财政或第三方机构审核为准。 </w:t>
      </w:r>
    </w:p>
    <w:p w14:paraId="33AA8395">
      <w:pPr>
        <w:widowControl/>
        <w:ind w:firstLine="440" w:firstLineChars="200"/>
        <w:jc w:val="left"/>
        <w:rPr>
          <w:rFonts w:ascii="宋体" w:hAnsi="宋体" w:cs="宋体"/>
          <w:color w:val="auto"/>
          <w:sz w:val="22"/>
          <w:szCs w:val="22"/>
          <w:highlight w:val="none"/>
          <w:u w:val="single"/>
        </w:rPr>
      </w:pPr>
      <w:r>
        <w:rPr>
          <w:rFonts w:hint="eastAsia" w:ascii="宋体" w:hAnsi="宋体" w:cs="宋体"/>
          <w:color w:val="auto"/>
          <w:kern w:val="0"/>
          <w:sz w:val="22"/>
          <w:szCs w:val="22"/>
          <w:highlight w:val="none"/>
          <w:u w:val="single"/>
          <w:lang w:bidi="ar"/>
        </w:rPr>
        <w:t>工程变更导致实际完成的变更工程量与已标价清单或预算书中列明的该项目工程量有偏差时，其综合单价的确定按专用条款“</w:t>
      </w:r>
      <w:r>
        <w:rPr>
          <w:rFonts w:ascii="Calibri" w:hAnsi="Calibri" w:cs="Calibri"/>
          <w:color w:val="auto"/>
          <w:kern w:val="0"/>
          <w:sz w:val="22"/>
          <w:szCs w:val="22"/>
          <w:highlight w:val="none"/>
          <w:u w:val="single"/>
          <w:lang w:bidi="ar"/>
        </w:rPr>
        <w:t xml:space="preserve">1.13 </w:t>
      </w:r>
      <w:r>
        <w:rPr>
          <w:rFonts w:hint="eastAsia" w:ascii="宋体" w:hAnsi="宋体" w:cs="宋体"/>
          <w:color w:val="auto"/>
          <w:kern w:val="0"/>
          <w:sz w:val="22"/>
          <w:szCs w:val="22"/>
          <w:highlight w:val="none"/>
          <w:u w:val="single"/>
          <w:lang w:bidi="ar"/>
        </w:rPr>
        <w:t>工程量清单错误的修正”执行。</w:t>
      </w:r>
    </w:p>
    <w:p w14:paraId="68954D77">
      <w:pPr>
        <w:pStyle w:val="45"/>
        <w:spacing w:line="360" w:lineRule="exact"/>
        <w:rPr>
          <w:rFonts w:ascii="宋体" w:hAnsi="宋体" w:cs="宋体"/>
          <w:color w:val="auto"/>
          <w:sz w:val="22"/>
          <w:szCs w:val="22"/>
          <w:highlight w:val="none"/>
        </w:rPr>
      </w:pPr>
      <w:bookmarkStart w:id="862" w:name="_Toc395382546"/>
      <w:bookmarkStart w:id="863" w:name="_Toc389065309"/>
      <w:bookmarkStart w:id="864" w:name="_Toc373227743"/>
      <w:bookmarkStart w:id="865" w:name="_Toc12975934"/>
      <w:bookmarkStart w:id="866" w:name="_Toc373478390"/>
      <w:bookmarkStart w:id="867" w:name="_Toc533432769"/>
      <w:r>
        <w:rPr>
          <w:rFonts w:hint="eastAsia" w:ascii="宋体" w:hAnsi="宋体" w:cs="宋体"/>
          <w:color w:val="auto"/>
          <w:sz w:val="22"/>
          <w:szCs w:val="22"/>
          <w:highlight w:val="none"/>
        </w:rPr>
        <w:t>1</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Start w:id="868" w:name="_Toc297123544"/>
      <w:bookmarkStart w:id="869" w:name="_Toc303539150"/>
      <w:bookmarkStart w:id="870" w:name="_Toc300934993"/>
      <w:bookmarkStart w:id="871" w:name="_Toc297216203"/>
      <w:bookmarkStart w:id="872" w:name="_Toc296503197"/>
      <w:bookmarkStart w:id="873" w:name="_Toc296891025"/>
      <w:bookmarkStart w:id="874" w:name="_Toc297120497"/>
      <w:bookmarkStart w:id="875" w:name="_Toc297048383"/>
      <w:bookmarkStart w:id="876" w:name="_Toc296346698"/>
      <w:bookmarkStart w:id="877" w:name="_Toc296347196"/>
      <w:bookmarkStart w:id="878" w:name="_Toc296944536"/>
      <w:bookmarkStart w:id="879" w:name="_Toc292559402"/>
      <w:bookmarkStart w:id="880" w:name="_Toc296891237"/>
      <w:bookmarkStart w:id="881" w:name="_Toc292559907"/>
      <w:bookmarkStart w:id="882" w:name="_Toc312677503"/>
      <w:bookmarkStart w:id="883" w:name="_Toc304295570"/>
      <w:bookmarkStart w:id="884" w:name="_Toc312678029"/>
      <w:r>
        <w:rPr>
          <w:rFonts w:hint="eastAsia" w:ascii="宋体" w:hAnsi="宋体" w:cs="宋体"/>
          <w:color w:val="auto"/>
          <w:sz w:val="22"/>
          <w:szCs w:val="22"/>
          <w:highlight w:val="none"/>
        </w:rPr>
        <w:t>0.5 承</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Start w:id="885" w:name="_Toc297216204"/>
      <w:bookmarkStart w:id="886" w:name="_Toc296346704"/>
      <w:bookmarkStart w:id="887" w:name="_Toc292559913"/>
      <w:bookmarkStart w:id="888" w:name="_Toc296347202"/>
      <w:bookmarkStart w:id="889" w:name="_Toc296944542"/>
      <w:bookmarkStart w:id="890" w:name="_Toc300934994"/>
      <w:bookmarkStart w:id="891" w:name="_Toc297120503"/>
      <w:bookmarkStart w:id="892" w:name="_Toc292559408"/>
      <w:bookmarkStart w:id="893" w:name="_Toc296891243"/>
      <w:bookmarkStart w:id="894" w:name="_Toc303539151"/>
      <w:bookmarkStart w:id="895" w:name="_Toc296503203"/>
      <w:bookmarkStart w:id="896" w:name="_Toc296891031"/>
      <w:bookmarkStart w:id="897" w:name="_Toc297123545"/>
      <w:bookmarkStart w:id="898" w:name="_Toc297048389"/>
      <w:r>
        <w:rPr>
          <w:rFonts w:hint="eastAsia" w:ascii="宋体" w:hAnsi="宋体" w:cs="宋体"/>
          <w:color w:val="auto"/>
          <w:sz w:val="22"/>
          <w:szCs w:val="22"/>
          <w:highlight w:val="none"/>
        </w:rPr>
        <w:t>包人的合理化建议</w:t>
      </w:r>
      <w:bookmarkEnd w:id="862"/>
      <w:bookmarkEnd w:id="863"/>
      <w:bookmarkEnd w:id="864"/>
      <w:bookmarkEnd w:id="865"/>
      <w:bookmarkEnd w:id="866"/>
      <w:bookmarkEnd w:id="867"/>
    </w:p>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14:paraId="4CC1B907">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监理人审查承包人合理化建议的期限：</w:t>
      </w:r>
      <w:r>
        <w:rPr>
          <w:rFonts w:hint="eastAsia" w:ascii="宋体" w:hAnsi="宋体" w:cs="宋体"/>
          <w:color w:val="auto"/>
          <w:sz w:val="22"/>
          <w:highlight w:val="none"/>
          <w:u w:val="single"/>
        </w:rPr>
        <w:t>7天内</w:t>
      </w:r>
      <w:r>
        <w:rPr>
          <w:rFonts w:hint="eastAsia" w:ascii="宋体" w:hAnsi="宋体" w:cs="宋体"/>
          <w:color w:val="auto"/>
          <w:sz w:val="22"/>
          <w:highlight w:val="none"/>
        </w:rPr>
        <w:t>。</w:t>
      </w:r>
    </w:p>
    <w:p w14:paraId="6E0F4B37">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发包人审批承包人合理化建议的期限：</w:t>
      </w:r>
      <w:r>
        <w:rPr>
          <w:rFonts w:hint="eastAsia" w:ascii="宋体" w:hAnsi="宋体" w:cs="宋体"/>
          <w:color w:val="auto"/>
          <w:sz w:val="22"/>
          <w:highlight w:val="none"/>
          <w:u w:val="single"/>
        </w:rPr>
        <w:t>7天内</w:t>
      </w:r>
      <w:r>
        <w:rPr>
          <w:rFonts w:hint="eastAsia" w:ascii="宋体" w:hAnsi="宋体" w:cs="宋体"/>
          <w:color w:val="auto"/>
          <w:sz w:val="22"/>
          <w:highlight w:val="none"/>
        </w:rPr>
        <w:t>。</w:t>
      </w:r>
    </w:p>
    <w:p w14:paraId="17E1B651">
      <w:pPr>
        <w:pStyle w:val="44"/>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rPr>
        <w:t>承</w:t>
      </w:r>
      <w:bookmarkStart w:id="899" w:name="_Toc297120504"/>
      <w:bookmarkStart w:id="900" w:name="_Toc312677504"/>
      <w:bookmarkStart w:id="901" w:name="_Toc296347203"/>
      <w:bookmarkStart w:id="902" w:name="_Toc296891032"/>
      <w:bookmarkStart w:id="903" w:name="_Toc292559409"/>
      <w:bookmarkStart w:id="904" w:name="_Toc296944543"/>
      <w:bookmarkStart w:id="905" w:name="_Toc297123546"/>
      <w:bookmarkStart w:id="906" w:name="_Toc296503204"/>
      <w:bookmarkStart w:id="907" w:name="_Toc318581175"/>
      <w:bookmarkStart w:id="908" w:name="_Toc297216205"/>
      <w:bookmarkStart w:id="909" w:name="_Toc300934995"/>
      <w:bookmarkStart w:id="910" w:name="_Toc304295571"/>
      <w:bookmarkStart w:id="911" w:name="_Toc312678030"/>
      <w:bookmarkStart w:id="912" w:name="_Toc296891244"/>
      <w:bookmarkStart w:id="913" w:name="_Toc297048390"/>
      <w:bookmarkStart w:id="914" w:name="_Toc303539152"/>
      <w:bookmarkStart w:id="915" w:name="_Toc292559914"/>
      <w:bookmarkStart w:id="916" w:name="_Toc296346705"/>
      <w:r>
        <w:rPr>
          <w:rFonts w:hint="eastAsia" w:ascii="宋体" w:hAnsi="宋体" w:cs="宋体"/>
          <w:color w:val="auto"/>
          <w:sz w:val="22"/>
          <w:highlight w:val="none"/>
        </w:rPr>
        <w:t>包人提出的合理化建议降低了合同价格或者提高了工程经济效益的奖励的方法和金额为：</w:t>
      </w:r>
      <w:r>
        <w:rPr>
          <w:rFonts w:hint="eastAsia" w:ascii="宋体" w:hAnsi="宋体" w:cs="宋体"/>
          <w:color w:val="auto"/>
          <w:sz w:val="22"/>
          <w:highlight w:val="none"/>
          <w:u w:val="single"/>
        </w:rPr>
        <w:t xml:space="preserve"> 无 </w:t>
      </w:r>
      <w:r>
        <w:rPr>
          <w:rFonts w:hint="eastAsia" w:ascii="宋体" w:hAnsi="宋体" w:cs="宋体"/>
          <w:color w:val="auto"/>
          <w:sz w:val="22"/>
          <w:highlight w:val="none"/>
        </w:rPr>
        <w:t>。</w:t>
      </w:r>
    </w:p>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14:paraId="1B4DB37E">
      <w:pPr>
        <w:pStyle w:val="45"/>
        <w:spacing w:line="360" w:lineRule="exact"/>
        <w:rPr>
          <w:rFonts w:ascii="宋体" w:hAnsi="宋体" w:cs="宋体"/>
          <w:color w:val="auto"/>
          <w:sz w:val="22"/>
          <w:szCs w:val="22"/>
          <w:highlight w:val="none"/>
        </w:rPr>
      </w:pPr>
      <w:bookmarkStart w:id="917" w:name="_Toc373478391"/>
      <w:bookmarkStart w:id="918" w:name="_Toc12975935"/>
      <w:bookmarkStart w:id="919" w:name="_Toc533432770"/>
      <w:bookmarkStart w:id="920" w:name="_Toc389065310"/>
      <w:bookmarkStart w:id="921" w:name="_Toc373227744"/>
      <w:bookmarkStart w:id="922" w:name="_Toc395382547"/>
      <w:r>
        <w:rPr>
          <w:rFonts w:hint="eastAsia" w:ascii="宋体" w:hAnsi="宋体" w:cs="宋体"/>
          <w:color w:val="auto"/>
          <w:sz w:val="22"/>
          <w:szCs w:val="22"/>
          <w:highlight w:val="none"/>
        </w:rPr>
        <w:t>1</w:t>
      </w:r>
      <w:bookmarkStart w:id="923" w:name="_Toc296891239"/>
      <w:bookmarkStart w:id="924" w:name="_Toc292559404"/>
      <w:bookmarkStart w:id="925" w:name="_Toc292559909"/>
      <w:bookmarkStart w:id="926" w:name="_Toc312678033"/>
      <w:bookmarkStart w:id="927" w:name="_Toc300934997"/>
      <w:bookmarkStart w:id="928" w:name="_Toc297216207"/>
      <w:bookmarkStart w:id="929" w:name="_Toc296503199"/>
      <w:bookmarkStart w:id="930" w:name="_Toc297120499"/>
      <w:bookmarkStart w:id="931" w:name="_Toc312677507"/>
      <w:bookmarkStart w:id="932" w:name="_Toc296891027"/>
      <w:bookmarkStart w:id="933" w:name="_Toc297123548"/>
      <w:bookmarkStart w:id="934" w:name="_Toc303539154"/>
      <w:bookmarkStart w:id="935" w:name="_Toc304295574"/>
      <w:bookmarkStart w:id="936" w:name="_Toc296944538"/>
      <w:bookmarkStart w:id="937" w:name="_Toc296347198"/>
      <w:bookmarkStart w:id="938" w:name="_Toc296346700"/>
      <w:bookmarkStart w:id="939" w:name="_Toc297048385"/>
      <w:r>
        <w:rPr>
          <w:rFonts w:hint="eastAsia" w:ascii="宋体" w:hAnsi="宋体" w:cs="宋体"/>
          <w:color w:val="auto"/>
          <w:sz w:val="22"/>
          <w:szCs w:val="22"/>
          <w:highlight w:val="none"/>
        </w:rPr>
        <w:t>0.7 暂估价</w:t>
      </w:r>
      <w:bookmarkEnd w:id="917"/>
      <w:bookmarkEnd w:id="918"/>
      <w:bookmarkEnd w:id="919"/>
      <w:bookmarkEnd w:id="920"/>
      <w:bookmarkEnd w:id="921"/>
      <w:bookmarkEnd w:id="922"/>
    </w:p>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14:paraId="7455258B">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kern w:val="0"/>
          <w:sz w:val="22"/>
          <w:highlight w:val="none"/>
        </w:rPr>
        <w:t>暂</w:t>
      </w:r>
      <w:bookmarkStart w:id="940" w:name="_Toc312678034"/>
      <w:bookmarkStart w:id="941" w:name="_Toc318581176"/>
      <w:bookmarkStart w:id="942" w:name="_Toc312677508"/>
      <w:r>
        <w:rPr>
          <w:rFonts w:hint="eastAsia" w:ascii="宋体" w:hAnsi="宋体" w:cs="宋体"/>
          <w:color w:val="auto"/>
          <w:kern w:val="0"/>
          <w:sz w:val="22"/>
          <w:highlight w:val="none"/>
        </w:rPr>
        <w:t>估价材料和工程设备的明细详见已标价工程量清单《</w:t>
      </w:r>
      <w:r>
        <w:rPr>
          <w:rFonts w:hint="eastAsia" w:ascii="宋体" w:hAnsi="宋体" w:cs="宋体"/>
          <w:color w:val="auto"/>
          <w:sz w:val="22"/>
          <w:highlight w:val="none"/>
        </w:rPr>
        <w:t>材料（工程设备）暂估价格及调整表》</w:t>
      </w:r>
      <w:r>
        <w:rPr>
          <w:rFonts w:hint="eastAsia" w:ascii="宋体" w:hAnsi="宋体" w:cs="宋体"/>
          <w:color w:val="auto"/>
          <w:kern w:val="0"/>
          <w:sz w:val="22"/>
          <w:highlight w:val="none"/>
        </w:rPr>
        <w:t>（表12-2）和《</w:t>
      </w:r>
      <w:r>
        <w:rPr>
          <w:rFonts w:hint="eastAsia" w:ascii="宋体" w:hAnsi="宋体" w:cs="宋体"/>
          <w:color w:val="auto"/>
          <w:sz w:val="22"/>
          <w:highlight w:val="none"/>
        </w:rPr>
        <w:t>专业工程暂估价表》（</w:t>
      </w:r>
      <w:r>
        <w:rPr>
          <w:rFonts w:hint="eastAsia" w:ascii="宋体" w:hAnsi="宋体" w:cs="宋体"/>
          <w:color w:val="auto"/>
          <w:kern w:val="0"/>
          <w:sz w:val="22"/>
          <w:highlight w:val="none"/>
        </w:rPr>
        <w:t>表12-3）。</w:t>
      </w:r>
    </w:p>
    <w:bookmarkEnd w:id="940"/>
    <w:bookmarkEnd w:id="941"/>
    <w:bookmarkEnd w:id="942"/>
    <w:p w14:paraId="177B8A92">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w:t>
      </w:r>
      <w:bookmarkStart w:id="943" w:name="_Toc312677509"/>
      <w:bookmarkStart w:id="944" w:name="_Toc312678035"/>
      <w:bookmarkStart w:id="945" w:name="_Toc318581177"/>
      <w:r>
        <w:rPr>
          <w:rFonts w:hint="eastAsia" w:ascii="宋体" w:hAnsi="宋体" w:cs="宋体"/>
          <w:color w:val="auto"/>
          <w:sz w:val="22"/>
          <w:highlight w:val="none"/>
        </w:rPr>
        <w:t>0.7.1 依法必须招标的暂估价项目</w:t>
      </w:r>
    </w:p>
    <w:bookmarkEnd w:id="943"/>
    <w:bookmarkEnd w:id="944"/>
    <w:bookmarkEnd w:id="945"/>
    <w:p w14:paraId="1758C9F2">
      <w:pPr>
        <w:pStyle w:val="44"/>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对于依法必须招标的暂估价项目的确认和批准采取第</w:t>
      </w:r>
      <w:r>
        <w:rPr>
          <w:rFonts w:hint="eastAsia" w:ascii="宋体" w:hAnsi="宋体" w:cs="宋体"/>
          <w:color w:val="auto"/>
          <w:sz w:val="22"/>
          <w:highlight w:val="none"/>
          <w:u w:val="single"/>
        </w:rPr>
        <w:t xml:space="preserve">  1  </w:t>
      </w:r>
      <w:r>
        <w:rPr>
          <w:rFonts w:hint="eastAsia" w:ascii="宋体" w:hAnsi="宋体" w:cs="宋体"/>
          <w:color w:val="auto"/>
          <w:sz w:val="22"/>
          <w:highlight w:val="none"/>
        </w:rPr>
        <w:t>种方式确定。</w:t>
      </w:r>
    </w:p>
    <w:p w14:paraId="004BD122">
      <w:pPr>
        <w:pStyle w:val="44"/>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第1种方式：对于依法必须招标的暂估价项目，由承包人招标，对该暂估价项目的确认和批准按照以下约定执行：</w:t>
      </w:r>
    </w:p>
    <w:p w14:paraId="2E9FAC13">
      <w:pPr>
        <w:pStyle w:val="44"/>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4C850DAF">
      <w:pPr>
        <w:pStyle w:val="44"/>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1146CA58">
      <w:pPr>
        <w:pStyle w:val="44"/>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345BCD7E">
      <w:pPr>
        <w:pStyle w:val="44"/>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2526DE55">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10.7.2 不属于依法必须招标的暂估价项目</w:t>
      </w:r>
    </w:p>
    <w:p w14:paraId="2FFADA08">
      <w:pPr>
        <w:pStyle w:val="44"/>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对于不属于依法必须招标的暂估价项目的确认和批准采取第</w:t>
      </w:r>
      <w:r>
        <w:rPr>
          <w:rFonts w:hint="eastAsia" w:ascii="宋体" w:hAnsi="宋体" w:cs="宋体"/>
          <w:color w:val="auto"/>
          <w:sz w:val="22"/>
          <w:highlight w:val="none"/>
          <w:u w:val="single"/>
        </w:rPr>
        <w:t xml:space="preserve">  2 </w:t>
      </w:r>
      <w:r>
        <w:rPr>
          <w:rFonts w:hint="eastAsia" w:ascii="宋体" w:hAnsi="宋体" w:cs="宋体"/>
          <w:color w:val="auto"/>
          <w:sz w:val="22"/>
          <w:highlight w:val="none"/>
        </w:rPr>
        <w:t xml:space="preserve"> 种方式确定。</w:t>
      </w:r>
    </w:p>
    <w:p w14:paraId="7F3DFA59">
      <w:pPr>
        <w:pStyle w:val="44"/>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第1种方式：对于不属于依法必须招标的暂估价项目，按本项约定确认和批准：</w:t>
      </w:r>
    </w:p>
    <w:p w14:paraId="196C52A6">
      <w:pPr>
        <w:pStyle w:val="44"/>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24FB02A4">
      <w:pPr>
        <w:pStyle w:val="44"/>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（2）发包人认为承包人确定的供应商、分包人无法满足工程质量或合同要求的，发包人可以要求承包人重新确定暂估价项目的供应商、分包人;</w:t>
      </w:r>
    </w:p>
    <w:p w14:paraId="4DE7ADBF">
      <w:pPr>
        <w:pStyle w:val="44"/>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（3）承包人应当在签订暂估价合同后7天内，将暂估价合同副本报送发包人留存。</w:t>
      </w:r>
    </w:p>
    <w:p w14:paraId="0F20879C">
      <w:pPr>
        <w:pStyle w:val="44"/>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第2种方式：承包人按照第10.7.1项〔依法必须招标的暂估价项目〕约定的第1种方式确定暂估价项目。</w:t>
      </w:r>
    </w:p>
    <w:p w14:paraId="564940D9">
      <w:pPr>
        <w:pStyle w:val="44"/>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第3种方式：承包人直接实施的暂估价项目</w:t>
      </w:r>
    </w:p>
    <w:p w14:paraId="3078C832">
      <w:pPr>
        <w:pStyle w:val="44"/>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承包人具备实施暂估价项目的资格和条件的，经发包人和承包人协商一致后，可由承包人自行实施暂估价项目，合同当事人可以在专用合同条款约定具体事项。</w:t>
      </w:r>
    </w:p>
    <w:p w14:paraId="0EF13DB8">
      <w:pPr>
        <w:pStyle w:val="44"/>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6C7E89E1">
      <w:pPr>
        <w:pStyle w:val="45"/>
        <w:spacing w:line="360" w:lineRule="exact"/>
        <w:rPr>
          <w:rFonts w:ascii="宋体" w:hAnsi="宋体" w:cs="宋体"/>
          <w:color w:val="auto"/>
          <w:sz w:val="22"/>
          <w:szCs w:val="22"/>
          <w:highlight w:val="none"/>
        </w:rPr>
      </w:pPr>
      <w:bookmarkStart w:id="946" w:name="_Toc395382548"/>
      <w:bookmarkStart w:id="947" w:name="_Toc12975936"/>
      <w:bookmarkStart w:id="948" w:name="_Toc373478392"/>
      <w:bookmarkStart w:id="949" w:name="_Toc389065311"/>
      <w:bookmarkStart w:id="950" w:name="_Toc533432771"/>
      <w:bookmarkStart w:id="951" w:name="_Toc373227745"/>
      <w:r>
        <w:rPr>
          <w:rFonts w:hint="eastAsia" w:ascii="宋体" w:hAnsi="宋体" w:cs="宋体"/>
          <w:color w:val="auto"/>
          <w:sz w:val="22"/>
          <w:szCs w:val="22"/>
          <w:highlight w:val="none"/>
        </w:rPr>
        <w:t>10.8 暂列金额</w:t>
      </w:r>
      <w:bookmarkEnd w:id="946"/>
      <w:bookmarkEnd w:id="947"/>
      <w:bookmarkEnd w:id="948"/>
      <w:bookmarkEnd w:id="949"/>
      <w:bookmarkEnd w:id="950"/>
      <w:bookmarkEnd w:id="951"/>
    </w:p>
    <w:p w14:paraId="76D57688">
      <w:pPr>
        <w:pStyle w:val="44"/>
        <w:autoSpaceDE w:val="0"/>
        <w:autoSpaceDN w:val="0"/>
        <w:adjustRightIn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kern w:val="0"/>
          <w:sz w:val="22"/>
          <w:highlight w:val="none"/>
        </w:rPr>
        <w:t>合同当事人关于暂列金额使用的约定：</w:t>
      </w:r>
      <w:r>
        <w:rPr>
          <w:rFonts w:hint="eastAsia" w:ascii="宋体" w:hAnsi="宋体" w:cs="宋体"/>
          <w:bCs/>
          <w:color w:val="auto"/>
          <w:sz w:val="22"/>
          <w:highlight w:val="none"/>
          <w:u w:val="single"/>
        </w:rPr>
        <w:t>暂列金额是发包人为可能发生的工程变更，或用于提供不可预见的货物、材料和工程设备等因素发生的工程价款调增，以及经确认的索赔、现场签证，或用于提供相关服务或意外事件等而预留的金额，并非支付给承包人的实际费用。暂列金额只能按照发包人的指示使用。结算时，暂列金额应按实际发生的情况进行结算，剩余部分仍归发包人所有，不支付给承包人</w:t>
      </w:r>
      <w:r>
        <w:rPr>
          <w:rFonts w:hint="eastAsia" w:ascii="宋体" w:hAnsi="宋体" w:cs="宋体"/>
          <w:color w:val="auto"/>
          <w:kern w:val="0"/>
          <w:sz w:val="22"/>
          <w:highlight w:val="none"/>
        </w:rPr>
        <w:t>。</w:t>
      </w:r>
    </w:p>
    <w:p w14:paraId="08F829F1">
      <w:pPr>
        <w:pStyle w:val="43"/>
        <w:spacing w:before="0" w:after="0" w:line="360" w:lineRule="exact"/>
        <w:rPr>
          <w:rFonts w:ascii="宋体" w:hAnsi="宋体" w:cs="宋体"/>
          <w:color w:val="auto"/>
          <w:sz w:val="22"/>
          <w:szCs w:val="22"/>
          <w:highlight w:val="none"/>
        </w:rPr>
      </w:pPr>
      <w:bookmarkStart w:id="952" w:name="_Toc373227746"/>
      <w:bookmarkStart w:id="953" w:name="_Toc12975937"/>
      <w:bookmarkStart w:id="954" w:name="_Toc533432772"/>
      <w:bookmarkStart w:id="955" w:name="_Toc351203643"/>
      <w:bookmarkStart w:id="956" w:name="_Toc373478393"/>
      <w:bookmarkStart w:id="957" w:name="_Toc395382549"/>
      <w:bookmarkStart w:id="958" w:name="_Toc389065312"/>
      <w:r>
        <w:rPr>
          <w:rFonts w:hint="eastAsia" w:ascii="宋体" w:hAnsi="宋体" w:cs="宋体"/>
          <w:color w:val="auto"/>
          <w:sz w:val="22"/>
          <w:szCs w:val="22"/>
          <w:highlight w:val="none"/>
        </w:rPr>
        <w:t>11. 价格调整</w:t>
      </w:r>
      <w:bookmarkEnd w:id="952"/>
      <w:bookmarkEnd w:id="953"/>
      <w:bookmarkEnd w:id="954"/>
      <w:bookmarkEnd w:id="955"/>
      <w:bookmarkEnd w:id="956"/>
      <w:bookmarkEnd w:id="957"/>
      <w:bookmarkEnd w:id="958"/>
    </w:p>
    <w:p w14:paraId="769E90A9">
      <w:pPr>
        <w:pStyle w:val="45"/>
        <w:spacing w:line="360" w:lineRule="exact"/>
        <w:rPr>
          <w:rFonts w:ascii="宋体" w:hAnsi="宋体" w:cs="宋体"/>
          <w:color w:val="auto"/>
          <w:sz w:val="22"/>
          <w:szCs w:val="22"/>
          <w:highlight w:val="none"/>
        </w:rPr>
      </w:pPr>
      <w:bookmarkStart w:id="959" w:name="_Toc395382550"/>
      <w:bookmarkStart w:id="960" w:name="_Toc373227747"/>
      <w:bookmarkStart w:id="961" w:name="_Toc533432773"/>
      <w:bookmarkStart w:id="962" w:name="_Toc373478394"/>
      <w:bookmarkStart w:id="963" w:name="_Toc389065313"/>
      <w:bookmarkStart w:id="964" w:name="_Toc12975938"/>
      <w:bookmarkStart w:id="965" w:name="_Toc297048387"/>
      <w:bookmarkStart w:id="966" w:name="_Toc296944540"/>
      <w:bookmarkStart w:id="967" w:name="_Toc297123550"/>
      <w:bookmarkStart w:id="968" w:name="_Toc296891241"/>
      <w:bookmarkStart w:id="969" w:name="_Toc303539157"/>
      <w:bookmarkStart w:id="970" w:name="_Toc296891029"/>
      <w:bookmarkStart w:id="971" w:name="_Toc297120501"/>
      <w:bookmarkStart w:id="972" w:name="_Toc292559911"/>
      <w:bookmarkStart w:id="973" w:name="_Toc296347200"/>
      <w:bookmarkStart w:id="974" w:name="_Toc297216209"/>
      <w:bookmarkStart w:id="975" w:name="_Toc300935000"/>
      <w:bookmarkStart w:id="976" w:name="_Toc312678039"/>
      <w:bookmarkStart w:id="977" w:name="_Toc292559406"/>
      <w:bookmarkStart w:id="978" w:name="_Toc296503201"/>
      <w:bookmarkStart w:id="979" w:name="_Toc296346702"/>
      <w:bookmarkStart w:id="980" w:name="_Toc304295577"/>
      <w:r>
        <w:rPr>
          <w:rFonts w:hint="eastAsia" w:ascii="宋体" w:hAnsi="宋体" w:cs="宋体"/>
          <w:color w:val="auto"/>
          <w:sz w:val="22"/>
          <w:szCs w:val="22"/>
          <w:highlight w:val="none"/>
        </w:rPr>
        <w:t>11.1 市场价格波动引起的调整</w:t>
      </w:r>
      <w:bookmarkEnd w:id="959"/>
      <w:bookmarkEnd w:id="960"/>
      <w:bookmarkEnd w:id="961"/>
      <w:bookmarkEnd w:id="962"/>
      <w:bookmarkEnd w:id="963"/>
      <w:bookmarkEnd w:id="964"/>
    </w:p>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14:paraId="5EFAB7A2">
      <w:pPr>
        <w:pStyle w:val="50"/>
        <w:spacing w:line="360" w:lineRule="exact"/>
        <w:ind w:firstLine="416" w:firstLineChars="200"/>
        <w:rPr>
          <w:rFonts w:ascii="宋体" w:hAnsi="宋体" w:cs="宋体"/>
          <w:color w:val="auto"/>
          <w:sz w:val="22"/>
          <w:highlight w:val="none"/>
        </w:rPr>
      </w:pPr>
      <w:r>
        <w:rPr>
          <w:rFonts w:hint="eastAsia" w:ascii="宋体" w:hAnsi="宋体" w:cs="宋体"/>
          <w:color w:val="auto"/>
          <w:spacing w:val="-6"/>
          <w:kern w:val="0"/>
          <w:sz w:val="22"/>
          <w:highlight w:val="none"/>
        </w:rPr>
        <w:t>采用可调价格形式的工程项目价格调整的条件是：</w:t>
      </w:r>
      <w:r>
        <w:rPr>
          <w:rFonts w:hint="eastAsia" w:ascii="宋体" w:hAnsi="宋体" w:cs="宋体"/>
          <w:color w:val="auto"/>
          <w:spacing w:val="-6"/>
          <w:kern w:val="0"/>
          <w:sz w:val="22"/>
          <w:highlight w:val="none"/>
          <w:u w:val="single"/>
        </w:rPr>
        <w:t>主要材料价格上涨或下调超过5%时（价格以当期防城港市建设工程造价信息为准），可对超出5%的部分进行协商调价，5%（含5%）以内部分不做调整</w:t>
      </w:r>
      <w:r>
        <w:rPr>
          <w:rFonts w:hint="eastAsia" w:ascii="宋体" w:hAnsi="宋体" w:cs="宋体"/>
          <w:color w:val="auto"/>
          <w:spacing w:val="-6"/>
          <w:kern w:val="0"/>
          <w:sz w:val="22"/>
          <w:highlight w:val="none"/>
        </w:rPr>
        <w:t>。</w:t>
      </w:r>
    </w:p>
    <w:p w14:paraId="777EB597">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kern w:val="0"/>
          <w:sz w:val="22"/>
          <w:highlight w:val="none"/>
        </w:rPr>
        <w:t>市场价格波动是否调整合同价格的约定：</w:t>
      </w:r>
      <w:r>
        <w:rPr>
          <w:rFonts w:hint="eastAsia" w:ascii="宋体" w:hAnsi="宋体" w:cs="宋体"/>
          <w:color w:val="auto"/>
          <w:sz w:val="22"/>
          <w:highlight w:val="none"/>
          <w:u w:val="single"/>
        </w:rPr>
        <w:t>调整。</w:t>
      </w:r>
    </w:p>
    <w:p w14:paraId="2CA188B6">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因市场价格波动调整合同价格，采用以下第</w:t>
      </w:r>
      <w:r>
        <w:rPr>
          <w:rFonts w:hint="eastAsia" w:ascii="宋体" w:hAnsi="宋体" w:cs="宋体"/>
          <w:color w:val="auto"/>
          <w:sz w:val="22"/>
          <w:highlight w:val="none"/>
          <w:u w:val="single"/>
        </w:rPr>
        <w:t xml:space="preserve"> 3 </w:t>
      </w:r>
      <w:r>
        <w:rPr>
          <w:rFonts w:hint="eastAsia" w:ascii="宋体" w:hAnsi="宋体" w:cs="宋体"/>
          <w:color w:val="auto"/>
          <w:sz w:val="22"/>
          <w:highlight w:val="none"/>
        </w:rPr>
        <w:t>种方式对合同价格进行调整：</w:t>
      </w:r>
    </w:p>
    <w:p w14:paraId="7FC85D48">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第1种方式：采用价格指数进行价格调整。</w:t>
      </w:r>
    </w:p>
    <w:p w14:paraId="2CE9CFF7">
      <w:pPr>
        <w:pStyle w:val="44"/>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rPr>
        <w:t>关于各可调因子、定值和变值权重，以及基本价格指数及其来源的约定：</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w:t>
      </w:r>
    </w:p>
    <w:p w14:paraId="31E0E322">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第2种方式：采用造价信息进行价格调整。</w:t>
      </w:r>
    </w:p>
    <w:p w14:paraId="44707A9D">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（1）允许调整的主要材料（设备）、基期价格、风险系数、磋商报价：详见《承包人提供主要材料和设备一览表》。</w:t>
      </w:r>
    </w:p>
    <w:p w14:paraId="034CD7D0">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（2）主要材料确认价：</w:t>
      </w:r>
    </w:p>
    <w:p w14:paraId="10C47726">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按施工期间《</w:t>
      </w:r>
      <w:r>
        <w:rPr>
          <w:rFonts w:hint="eastAsia" w:ascii="宋体" w:hAnsi="宋体" w:cs="宋体"/>
          <w:color w:val="auto"/>
          <w:sz w:val="22"/>
          <w:highlight w:val="none"/>
          <w:u w:val="single"/>
        </w:rPr>
        <w:t xml:space="preserve"> 防城港 </w:t>
      </w:r>
      <w:r>
        <w:rPr>
          <w:rFonts w:hint="eastAsia" w:ascii="宋体" w:hAnsi="宋体" w:cs="宋体"/>
          <w:color w:val="auto"/>
          <w:sz w:val="22"/>
          <w:highlight w:val="none"/>
        </w:rPr>
        <w:t>市建设工程造价信息》加权平均计算，信息价没有的按通用条款规定确定。</w:t>
      </w:r>
    </w:p>
    <w:p w14:paraId="7463C45E">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（3）价差计算方法：</w:t>
      </w:r>
    </w:p>
    <w:p w14:paraId="410CF2A0">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①《承包人提供主要材料和设备一览表》中载明的材料磋商报价低于基准价格的：合同履行期间材料单价涨幅以基准价格为基础超过约定的风险范围时，或材料单价跌幅以磋商报价为基础超过约定的风险范围时，其超过部分据实调整。</w:t>
      </w:r>
    </w:p>
    <w:p w14:paraId="642B8508">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②承包人在《承包人提供主要材料和设备一览表》中载明的材料和设备磋商的风险范围时，材料和设备单价涨幅以磋商报价为基础超过约定的风险范围时，其超过部分据实调整。</w:t>
      </w:r>
    </w:p>
    <w:p w14:paraId="3102CA93">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③承包人在《承包人提供主要材料和设备一览表》中载明的材料和设备单价等于基准单价的：合同履行期间材料和 设备单价涨跌幅以基准单价为基础超过约定的风险范围时，其超过部分据实调整。</w:t>
      </w:r>
    </w:p>
    <w:p w14:paraId="73FF257A">
      <w:pPr>
        <w:pStyle w:val="44"/>
        <w:spacing w:line="360" w:lineRule="exact"/>
        <w:ind w:firstLine="645"/>
        <w:jc w:val="left"/>
        <w:rPr>
          <w:rFonts w:ascii="宋体" w:hAnsi="宋体" w:cs="宋体"/>
          <w:color w:val="auto"/>
          <w:sz w:val="22"/>
          <w:highlight w:val="none"/>
        </w:rPr>
      </w:pPr>
      <w:r>
        <w:rPr>
          <w:rFonts w:hint="eastAsia" w:ascii="宋体" w:hAnsi="宋体" w:cs="宋体"/>
          <w:color w:val="auto"/>
          <w:sz w:val="22"/>
          <w:highlight w:val="none"/>
        </w:rPr>
        <w:t>第3种方式：</w:t>
      </w:r>
      <w:r>
        <w:rPr>
          <w:rFonts w:hint="eastAsia" w:ascii="宋体" w:hAnsi="宋体" w:cs="宋体"/>
          <w:color w:val="auto"/>
          <w:sz w:val="22"/>
          <w:highlight w:val="none"/>
          <w:u w:val="single"/>
        </w:rPr>
        <w:t>在合同工期范围内，乙方须承担主要材料±5%以内（含±5%）的材料价格风险， 超出±5%的部分甲乙双方协商调价，以磋商控制价采用的《防城港市建设工程造价信息》上发布的市场价格信息确定为基准材料价格，当期信息价没有的，双方协商，市场询价，最终价格以财政或第三方机构审核为准</w:t>
      </w:r>
      <w:r>
        <w:rPr>
          <w:rFonts w:hint="eastAsia" w:ascii="宋体" w:hAnsi="宋体" w:cs="宋体"/>
          <w:color w:val="auto"/>
          <w:sz w:val="22"/>
          <w:highlight w:val="none"/>
        </w:rPr>
        <w:t>。</w:t>
      </w:r>
    </w:p>
    <w:p w14:paraId="2DE7C51A">
      <w:pPr>
        <w:pStyle w:val="44"/>
        <w:spacing w:line="360" w:lineRule="exact"/>
        <w:jc w:val="left"/>
        <w:rPr>
          <w:rFonts w:ascii="宋体" w:hAnsi="宋体" w:cs="宋体"/>
          <w:b/>
          <w:bCs/>
          <w:color w:val="auto"/>
          <w:sz w:val="22"/>
          <w:highlight w:val="none"/>
        </w:rPr>
      </w:pPr>
      <w:r>
        <w:rPr>
          <w:rFonts w:hint="eastAsia" w:ascii="宋体" w:hAnsi="宋体" w:cs="宋体"/>
          <w:b/>
          <w:bCs/>
          <w:color w:val="auto"/>
          <w:sz w:val="22"/>
          <w:highlight w:val="none"/>
        </w:rPr>
        <w:t xml:space="preserve">11.2 不平衡报价调整方式 </w:t>
      </w:r>
    </w:p>
    <w:p w14:paraId="2533BD57">
      <w:pPr>
        <w:pStyle w:val="44"/>
        <w:spacing w:line="360" w:lineRule="exact"/>
        <w:jc w:val="left"/>
        <w:rPr>
          <w:rFonts w:ascii="宋体" w:hAnsi="宋体" w:cs="宋体"/>
          <w:color w:val="auto"/>
          <w:sz w:val="22"/>
          <w:highlight w:val="none"/>
        </w:rPr>
      </w:pPr>
      <w:r>
        <w:rPr>
          <w:rFonts w:hint="eastAsia" w:ascii="宋体" w:hAnsi="宋体" w:cs="宋体"/>
          <w:color w:val="auto"/>
          <w:sz w:val="22"/>
          <w:highlight w:val="none"/>
        </w:rPr>
        <w:t xml:space="preserve">    按防住建发〔2016〕31号文《防城港市政府投资项目房屋建筑和市政基础设施工程严重不平衡报价修正暂行办法》的规定进行修正。</w:t>
      </w:r>
    </w:p>
    <w:bookmarkEnd w:id="820"/>
    <w:bookmarkEnd w:id="821"/>
    <w:bookmarkEnd w:id="822"/>
    <w:bookmarkEnd w:id="823"/>
    <w:bookmarkEnd w:id="824"/>
    <w:bookmarkEnd w:id="825"/>
    <w:p w14:paraId="0941FA22">
      <w:pPr>
        <w:pStyle w:val="43"/>
        <w:spacing w:before="0" w:after="0" w:line="360" w:lineRule="exact"/>
        <w:rPr>
          <w:rFonts w:ascii="宋体" w:hAnsi="宋体" w:cs="宋体"/>
          <w:color w:val="auto"/>
          <w:sz w:val="22"/>
          <w:szCs w:val="22"/>
          <w:highlight w:val="none"/>
        </w:rPr>
      </w:pPr>
      <w:bookmarkStart w:id="981" w:name="_Toc292559915"/>
      <w:bookmarkStart w:id="982" w:name="_Toc296891245"/>
      <w:bookmarkStart w:id="983" w:name="_Toc296347204"/>
      <w:bookmarkStart w:id="984" w:name="_Toc296944544"/>
      <w:bookmarkStart w:id="985" w:name="_Toc292559410"/>
      <w:bookmarkStart w:id="986" w:name="_Toc297120505"/>
      <w:bookmarkStart w:id="987" w:name="_Toc297048391"/>
      <w:bookmarkStart w:id="988" w:name="_Toc296503205"/>
      <w:bookmarkStart w:id="989" w:name="_Toc296346706"/>
      <w:bookmarkStart w:id="990" w:name="_Toc296891033"/>
      <w:bookmarkStart w:id="991" w:name="_Toc395382551"/>
      <w:bookmarkStart w:id="992" w:name="_Toc12975939"/>
      <w:bookmarkStart w:id="993" w:name="_Toc351203644"/>
      <w:bookmarkStart w:id="994" w:name="_Toc373478395"/>
      <w:bookmarkStart w:id="995" w:name="_Toc533432774"/>
      <w:bookmarkStart w:id="996" w:name="_Toc373227748"/>
      <w:bookmarkStart w:id="997" w:name="_Toc312678040"/>
      <w:bookmarkStart w:id="998" w:name="_Toc300935002"/>
      <w:bookmarkStart w:id="999" w:name="_Toc297216211"/>
      <w:bookmarkStart w:id="1000" w:name="_Toc303539159"/>
      <w:bookmarkStart w:id="1001" w:name="_Toc304295579"/>
      <w:bookmarkStart w:id="1002" w:name="_Toc297123552"/>
      <w:r>
        <w:rPr>
          <w:rFonts w:hint="eastAsia" w:ascii="宋体" w:hAnsi="宋体" w:cs="宋体"/>
          <w:color w:val="auto"/>
          <w:sz w:val="22"/>
          <w:szCs w:val="22"/>
          <w:highlight w:val="none"/>
        </w:rPr>
        <w:t xml:space="preserve">12. </w:t>
      </w:r>
      <w:bookmarkEnd w:id="981"/>
      <w:bookmarkEnd w:id="982"/>
      <w:bookmarkEnd w:id="983"/>
      <w:bookmarkEnd w:id="984"/>
      <w:bookmarkEnd w:id="985"/>
      <w:bookmarkEnd w:id="986"/>
      <w:bookmarkEnd w:id="987"/>
      <w:bookmarkEnd w:id="988"/>
      <w:bookmarkEnd w:id="989"/>
      <w:bookmarkEnd w:id="990"/>
      <w:r>
        <w:rPr>
          <w:rFonts w:hint="eastAsia" w:ascii="宋体" w:hAnsi="宋体" w:cs="宋体"/>
          <w:color w:val="auto"/>
          <w:sz w:val="22"/>
          <w:szCs w:val="22"/>
          <w:highlight w:val="none"/>
        </w:rPr>
        <w:t>合同价格、计量与支付</w:t>
      </w:r>
      <w:bookmarkEnd w:id="991"/>
      <w:bookmarkEnd w:id="992"/>
      <w:bookmarkEnd w:id="993"/>
      <w:bookmarkEnd w:id="994"/>
      <w:bookmarkEnd w:id="995"/>
      <w:bookmarkEnd w:id="996"/>
    </w:p>
    <w:bookmarkEnd w:id="997"/>
    <w:bookmarkEnd w:id="998"/>
    <w:bookmarkEnd w:id="999"/>
    <w:bookmarkEnd w:id="1000"/>
    <w:bookmarkEnd w:id="1001"/>
    <w:bookmarkEnd w:id="1002"/>
    <w:p w14:paraId="012F2AC9">
      <w:pPr>
        <w:pStyle w:val="45"/>
        <w:spacing w:line="360" w:lineRule="exact"/>
        <w:rPr>
          <w:rFonts w:ascii="宋体" w:hAnsi="宋体" w:cs="宋体"/>
          <w:color w:val="auto"/>
          <w:sz w:val="22"/>
          <w:szCs w:val="22"/>
          <w:highlight w:val="none"/>
        </w:rPr>
      </w:pPr>
      <w:bookmarkStart w:id="1003" w:name="_Toc292559916"/>
      <w:bookmarkStart w:id="1004" w:name="_Toc267251461"/>
      <w:bookmarkStart w:id="1005" w:name="_Toc292559411"/>
      <w:bookmarkStart w:id="1006" w:name="_Toc296347205"/>
      <w:bookmarkStart w:id="1007" w:name="_Toc297048392"/>
      <w:bookmarkStart w:id="1008" w:name="_Toc296891246"/>
      <w:bookmarkStart w:id="1009" w:name="_Toc296503206"/>
      <w:bookmarkStart w:id="1010" w:name="_Toc297120506"/>
      <w:bookmarkStart w:id="1011" w:name="_Toc296346707"/>
      <w:bookmarkStart w:id="1012" w:name="_Toc296891034"/>
      <w:bookmarkStart w:id="1013" w:name="_Toc296944545"/>
      <w:bookmarkStart w:id="1014" w:name="_Toc395382552"/>
      <w:bookmarkStart w:id="1015" w:name="_Toc12975940"/>
      <w:bookmarkStart w:id="1016" w:name="_Toc389065314"/>
      <w:bookmarkStart w:id="1017" w:name="_Toc373227749"/>
      <w:bookmarkStart w:id="1018" w:name="_Toc533432775"/>
      <w:bookmarkStart w:id="1019" w:name="_Toc373478396"/>
      <w:bookmarkStart w:id="1020" w:name="_Toc300935003"/>
      <w:bookmarkStart w:id="1021" w:name="_Toc312678041"/>
      <w:bookmarkStart w:id="1022" w:name="_Toc303539160"/>
      <w:bookmarkStart w:id="1023" w:name="_Toc297216212"/>
      <w:bookmarkStart w:id="1024" w:name="_Toc304295580"/>
      <w:bookmarkStart w:id="1025" w:name="_Toc297123553"/>
      <w:r>
        <w:rPr>
          <w:rFonts w:hint="eastAsia" w:ascii="宋体" w:hAnsi="宋体" w:cs="宋体"/>
          <w:color w:val="auto"/>
          <w:sz w:val="22"/>
          <w:szCs w:val="22"/>
          <w:highlight w:val="none"/>
        </w:rPr>
        <w:t>12.1 合</w:t>
      </w:r>
      <w:bookmarkEnd w:id="1003"/>
      <w:bookmarkEnd w:id="1004"/>
      <w:bookmarkEnd w:id="1005"/>
      <w:r>
        <w:rPr>
          <w:rFonts w:hint="eastAsia" w:ascii="宋体" w:hAnsi="宋体" w:cs="宋体"/>
          <w:color w:val="auto"/>
          <w:sz w:val="22"/>
          <w:szCs w:val="22"/>
          <w:highlight w:val="none"/>
        </w:rPr>
        <w:t>同价</w:t>
      </w:r>
      <w:bookmarkEnd w:id="1006"/>
      <w:bookmarkEnd w:id="1007"/>
      <w:bookmarkEnd w:id="1008"/>
      <w:bookmarkEnd w:id="1009"/>
      <w:bookmarkEnd w:id="1010"/>
      <w:bookmarkEnd w:id="1011"/>
      <w:bookmarkEnd w:id="1012"/>
      <w:bookmarkEnd w:id="1013"/>
      <w:r>
        <w:rPr>
          <w:rFonts w:hint="eastAsia" w:ascii="宋体" w:hAnsi="宋体" w:cs="宋体"/>
          <w:color w:val="auto"/>
          <w:sz w:val="22"/>
          <w:szCs w:val="22"/>
          <w:highlight w:val="none"/>
        </w:rPr>
        <w:t>格形式</w:t>
      </w:r>
      <w:bookmarkEnd w:id="1014"/>
      <w:bookmarkEnd w:id="1015"/>
      <w:bookmarkEnd w:id="1016"/>
      <w:bookmarkEnd w:id="1017"/>
      <w:bookmarkEnd w:id="1018"/>
      <w:bookmarkEnd w:id="1019"/>
    </w:p>
    <w:p w14:paraId="3512745B">
      <w:pPr>
        <w:pStyle w:val="44"/>
        <w:spacing w:line="360" w:lineRule="exact"/>
        <w:rPr>
          <w:rFonts w:ascii="宋体" w:hAnsi="宋体" w:cs="宋体"/>
          <w:color w:val="auto"/>
          <w:sz w:val="22"/>
          <w:highlight w:val="none"/>
        </w:rPr>
      </w:pPr>
      <w:r>
        <w:rPr>
          <w:rFonts w:hint="eastAsia" w:ascii="宋体" w:hAnsi="宋体" w:cs="宋体"/>
          <w:color w:val="auto"/>
          <w:sz w:val="22"/>
          <w:highlight w:val="none"/>
        </w:rPr>
        <w:t xml:space="preserve">     本工程采用</w:t>
      </w:r>
      <w:r>
        <w:rPr>
          <w:rFonts w:hint="eastAsia" w:ascii="宋体" w:hAnsi="宋体" w:cs="宋体"/>
          <w:color w:val="auto"/>
          <w:sz w:val="22"/>
          <w:highlight w:val="none"/>
          <w:u w:val="single"/>
        </w:rPr>
        <w:t xml:space="preserve">  固定单价 </w:t>
      </w:r>
      <w:r>
        <w:rPr>
          <w:rFonts w:hint="eastAsia" w:ascii="宋体" w:hAnsi="宋体" w:cs="宋体"/>
          <w:color w:val="auto"/>
          <w:sz w:val="22"/>
          <w:highlight w:val="none"/>
        </w:rPr>
        <w:t>合同价格形式。</w:t>
      </w:r>
    </w:p>
    <w:bookmarkEnd w:id="1020"/>
    <w:bookmarkEnd w:id="1021"/>
    <w:bookmarkEnd w:id="1022"/>
    <w:bookmarkEnd w:id="1023"/>
    <w:bookmarkEnd w:id="1024"/>
    <w:bookmarkEnd w:id="1025"/>
    <w:p w14:paraId="10E8AF5C">
      <w:pPr>
        <w:pStyle w:val="44"/>
        <w:spacing w:line="360" w:lineRule="exact"/>
        <w:ind w:firstLine="440" w:firstLineChars="200"/>
        <w:jc w:val="left"/>
        <w:rPr>
          <w:rFonts w:ascii="宋体" w:hAnsi="宋体" w:cs="宋体"/>
          <w:color w:val="auto"/>
          <w:sz w:val="22"/>
          <w:highlight w:val="none"/>
        </w:rPr>
      </w:pPr>
      <w:bookmarkStart w:id="1026" w:name="_Toc312678042"/>
      <w:bookmarkStart w:id="1027" w:name="_Toc303539161"/>
      <w:bookmarkStart w:id="1028" w:name="_Toc373227750"/>
      <w:bookmarkStart w:id="1029" w:name="_Toc373478397"/>
      <w:bookmarkStart w:id="1030" w:name="_Toc297123554"/>
      <w:bookmarkStart w:id="1031" w:name="_Toc297216213"/>
      <w:bookmarkStart w:id="1032" w:name="_Toc389065315"/>
      <w:bookmarkStart w:id="1033" w:name="_Toc300935004"/>
      <w:bookmarkStart w:id="1034" w:name="_Toc304295581"/>
      <w:bookmarkStart w:id="1035" w:name="_Toc296503207"/>
      <w:bookmarkStart w:id="1036" w:name="_Toc296347206"/>
      <w:bookmarkStart w:id="1037" w:name="_Toc296891247"/>
      <w:bookmarkStart w:id="1038" w:name="_Toc297120507"/>
      <w:bookmarkStart w:id="1039" w:name="_Toc296891035"/>
      <w:bookmarkStart w:id="1040" w:name="_Toc297048393"/>
      <w:bookmarkStart w:id="1041" w:name="_Toc296346708"/>
      <w:bookmarkStart w:id="1042" w:name="_Toc292559412"/>
      <w:bookmarkStart w:id="1043" w:name="_Toc292559917"/>
      <w:bookmarkStart w:id="1044" w:name="_Toc296944546"/>
      <w:r>
        <w:rPr>
          <w:rFonts w:hint="eastAsia" w:ascii="宋体" w:hAnsi="宋体" w:cs="宋体"/>
          <w:color w:val="auto"/>
          <w:sz w:val="22"/>
          <w:highlight w:val="none"/>
        </w:rPr>
        <w:t>（1）单价合同。</w:t>
      </w:r>
    </w:p>
    <w:p w14:paraId="59A21156">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单价合同采用固定综合单价方式确定，工程量按实际结算。</w:t>
      </w:r>
    </w:p>
    <w:p w14:paraId="18AF469B">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综合单价包含的风险范围：</w:t>
      </w:r>
      <w:r>
        <w:rPr>
          <w:rFonts w:hint="eastAsia" w:ascii="宋体" w:hAnsi="宋体" w:cs="宋体"/>
          <w:color w:val="auto"/>
          <w:sz w:val="22"/>
          <w:highlight w:val="none"/>
          <w:u w:val="single"/>
        </w:rPr>
        <w:t>除工程变更、项目特征不符、工程量清单缺项、工程量偏差、政策性调整、市场价格波动</w:t>
      </w:r>
      <w:r>
        <w:rPr>
          <w:rFonts w:hint="eastAsia" w:ascii="宋体" w:hAnsi="宋体" w:cs="宋体"/>
          <w:color w:val="auto"/>
          <w:sz w:val="22"/>
          <w:highlight w:val="none"/>
        </w:rPr>
        <w:t>。</w:t>
      </w:r>
    </w:p>
    <w:p w14:paraId="5A263B41">
      <w:pPr>
        <w:pStyle w:val="48"/>
        <w:spacing w:line="360" w:lineRule="exact"/>
        <w:ind w:firstLine="462" w:firstLineChars="210"/>
        <w:rPr>
          <w:rFonts w:hAnsi="宋体" w:cs="宋体"/>
          <w:color w:val="auto"/>
          <w:sz w:val="22"/>
          <w:szCs w:val="22"/>
          <w:highlight w:val="none"/>
        </w:rPr>
      </w:pPr>
      <w:r>
        <w:rPr>
          <w:rFonts w:hint="eastAsia" w:hAnsi="宋体" w:cs="宋体"/>
          <w:color w:val="auto"/>
          <w:sz w:val="22"/>
          <w:szCs w:val="22"/>
          <w:highlight w:val="none"/>
        </w:rPr>
        <w:t>风险范围以外合同价格的调整方法：</w:t>
      </w:r>
    </w:p>
    <w:p w14:paraId="011E60C1">
      <w:pPr>
        <w:pStyle w:val="48"/>
        <w:spacing w:line="360" w:lineRule="exact"/>
        <w:ind w:firstLine="462" w:firstLineChars="210"/>
        <w:rPr>
          <w:rFonts w:hAnsi="宋体" w:cs="宋体"/>
          <w:color w:val="auto"/>
          <w:sz w:val="22"/>
          <w:szCs w:val="22"/>
          <w:highlight w:val="none"/>
        </w:rPr>
      </w:pPr>
      <w:r>
        <w:rPr>
          <w:rFonts w:hint="eastAsia" w:hAnsi="宋体" w:cs="宋体"/>
          <w:color w:val="auto"/>
          <w:sz w:val="22"/>
          <w:szCs w:val="22"/>
          <w:highlight w:val="none"/>
        </w:rPr>
        <w:t>①工程变更：按10.4.1变更估价原则的约定调整。</w:t>
      </w:r>
    </w:p>
    <w:p w14:paraId="23366C32">
      <w:pPr>
        <w:pStyle w:val="48"/>
        <w:spacing w:line="360" w:lineRule="exact"/>
        <w:ind w:firstLine="462" w:firstLineChars="210"/>
        <w:rPr>
          <w:rFonts w:hAnsi="宋体" w:cs="宋体"/>
          <w:color w:val="auto"/>
          <w:sz w:val="22"/>
          <w:szCs w:val="22"/>
          <w:highlight w:val="none"/>
        </w:rPr>
      </w:pPr>
      <w:r>
        <w:rPr>
          <w:rFonts w:hint="eastAsia" w:hAnsi="宋体" w:cs="宋体"/>
          <w:color w:val="auto"/>
          <w:sz w:val="22"/>
          <w:szCs w:val="22"/>
          <w:highlight w:val="none"/>
        </w:rPr>
        <w:t>②政策性调整：按自治区建设行政主管部门颁布的文件执行。</w:t>
      </w:r>
    </w:p>
    <w:p w14:paraId="56C00B32">
      <w:pPr>
        <w:pStyle w:val="48"/>
        <w:spacing w:line="360" w:lineRule="exact"/>
        <w:ind w:firstLine="462" w:firstLineChars="210"/>
        <w:rPr>
          <w:rFonts w:hAnsi="宋体" w:cs="宋体"/>
          <w:color w:val="auto"/>
          <w:sz w:val="22"/>
          <w:szCs w:val="22"/>
          <w:highlight w:val="none"/>
        </w:rPr>
      </w:pPr>
      <w:r>
        <w:rPr>
          <w:rFonts w:hint="eastAsia" w:hAnsi="宋体" w:cs="宋体"/>
          <w:color w:val="auto"/>
          <w:sz w:val="22"/>
          <w:szCs w:val="22"/>
          <w:highlight w:val="none"/>
        </w:rPr>
        <w:t>③材料价格风险：按11.1的约定调整。</w:t>
      </w:r>
    </w:p>
    <w:p w14:paraId="197C6BB6">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④其它：</w:t>
      </w:r>
      <w:r>
        <w:rPr>
          <w:rFonts w:hint="eastAsia" w:ascii="宋体" w:hAnsi="宋体" w:cs="宋体"/>
          <w:color w:val="auto"/>
          <w:sz w:val="22"/>
          <w:highlight w:val="none"/>
          <w:u w:val="single"/>
        </w:rPr>
        <w:t xml:space="preserve">     /       </w:t>
      </w:r>
      <w:r>
        <w:rPr>
          <w:rFonts w:hint="eastAsia" w:ascii="宋体" w:hAnsi="宋体" w:cs="宋体"/>
          <w:color w:val="auto"/>
          <w:sz w:val="22"/>
          <w:highlight w:val="none"/>
        </w:rPr>
        <w:t>。</w:t>
      </w:r>
    </w:p>
    <w:p w14:paraId="39CD5942">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（2）总价合同。</w:t>
      </w:r>
    </w:p>
    <w:p w14:paraId="5EC624B4">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总价包含的风险范围：</w:t>
      </w:r>
      <w:r>
        <w:rPr>
          <w:rFonts w:hint="eastAsia" w:ascii="宋体" w:hAnsi="宋体" w:cs="宋体"/>
          <w:color w:val="auto"/>
          <w:sz w:val="22"/>
          <w:highlight w:val="none"/>
          <w:u w:val="single"/>
        </w:rPr>
        <w:t xml:space="preserve">      /        </w:t>
      </w:r>
      <w:r>
        <w:rPr>
          <w:rFonts w:hint="eastAsia" w:ascii="宋体" w:hAnsi="宋体" w:cs="宋体"/>
          <w:color w:val="auto"/>
          <w:sz w:val="22"/>
          <w:highlight w:val="none"/>
        </w:rPr>
        <w:t>。</w:t>
      </w:r>
    </w:p>
    <w:p w14:paraId="2A851FD5">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风险范围以外合同价格的调整方法：</w:t>
      </w:r>
      <w:r>
        <w:rPr>
          <w:rFonts w:hint="eastAsia" w:ascii="宋体" w:hAnsi="宋体" w:cs="宋体"/>
          <w:color w:val="auto"/>
          <w:sz w:val="22"/>
          <w:highlight w:val="none"/>
          <w:u w:val="single"/>
        </w:rPr>
        <w:t xml:space="preserve">      /     </w:t>
      </w:r>
      <w:r>
        <w:rPr>
          <w:rFonts w:hint="eastAsia" w:ascii="宋体" w:hAnsi="宋体" w:cs="宋体"/>
          <w:color w:val="auto"/>
          <w:sz w:val="22"/>
          <w:highlight w:val="none"/>
        </w:rPr>
        <w:t>。</w:t>
      </w:r>
    </w:p>
    <w:p w14:paraId="4156BB18">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（3）其他价格方式：</w:t>
      </w:r>
      <w:r>
        <w:rPr>
          <w:rFonts w:hint="eastAsia" w:ascii="宋体" w:hAnsi="宋体" w:cs="宋体"/>
          <w:color w:val="auto"/>
          <w:sz w:val="22"/>
          <w:highlight w:val="none"/>
          <w:u w:val="single"/>
        </w:rPr>
        <w:t xml:space="preserve">    /     </w:t>
      </w:r>
      <w:r>
        <w:rPr>
          <w:rFonts w:hint="eastAsia" w:ascii="宋体" w:hAnsi="宋体" w:cs="宋体"/>
          <w:color w:val="auto"/>
          <w:sz w:val="22"/>
          <w:highlight w:val="none"/>
        </w:rPr>
        <w:t>。</w:t>
      </w:r>
    </w:p>
    <w:p w14:paraId="71C32835">
      <w:pPr>
        <w:pStyle w:val="45"/>
        <w:spacing w:line="360" w:lineRule="exact"/>
        <w:rPr>
          <w:rFonts w:ascii="宋体" w:hAnsi="宋体" w:cs="宋体"/>
          <w:color w:val="auto"/>
          <w:sz w:val="22"/>
          <w:szCs w:val="22"/>
          <w:highlight w:val="none"/>
        </w:rPr>
      </w:pPr>
      <w:bookmarkStart w:id="1045" w:name="_Toc533432776"/>
      <w:bookmarkStart w:id="1046" w:name="_Toc395382553"/>
      <w:bookmarkStart w:id="1047" w:name="_Toc12975941"/>
      <w:r>
        <w:rPr>
          <w:rFonts w:hint="eastAsia" w:ascii="宋体" w:hAnsi="宋体" w:cs="宋体"/>
          <w:color w:val="auto"/>
          <w:sz w:val="22"/>
          <w:szCs w:val="22"/>
          <w:highlight w:val="none"/>
        </w:rPr>
        <w:t>12.2 预付款</w:t>
      </w:r>
      <w:bookmarkEnd w:id="1026"/>
      <w:bookmarkEnd w:id="1027"/>
      <w:bookmarkEnd w:id="1028"/>
      <w:bookmarkEnd w:id="1029"/>
      <w:bookmarkEnd w:id="1030"/>
      <w:bookmarkEnd w:id="1031"/>
      <w:bookmarkEnd w:id="1032"/>
      <w:bookmarkEnd w:id="1033"/>
      <w:bookmarkEnd w:id="1034"/>
      <w:bookmarkEnd w:id="1045"/>
      <w:bookmarkEnd w:id="1046"/>
      <w:bookmarkEnd w:id="1047"/>
    </w:p>
    <w:bookmarkEnd w:id="1035"/>
    <w:bookmarkEnd w:id="1036"/>
    <w:bookmarkEnd w:id="1037"/>
    <w:bookmarkEnd w:id="1038"/>
    <w:bookmarkEnd w:id="1039"/>
    <w:bookmarkEnd w:id="1040"/>
    <w:bookmarkEnd w:id="1041"/>
    <w:bookmarkEnd w:id="1042"/>
    <w:bookmarkEnd w:id="1043"/>
    <w:bookmarkEnd w:id="1044"/>
    <w:p w14:paraId="16E3F390">
      <w:pPr>
        <w:pStyle w:val="54"/>
        <w:spacing w:line="360" w:lineRule="auto"/>
        <w:ind w:firstLine="420" w:firstLineChars="200"/>
        <w:jc w:val="left"/>
        <w:rPr>
          <w:color w:val="auto"/>
          <w:highlight w:val="none"/>
        </w:rPr>
      </w:pPr>
      <w:bookmarkStart w:id="1048" w:name="_Toc389065316"/>
      <w:bookmarkStart w:id="1049" w:name="_Toc373227751"/>
      <w:bookmarkStart w:id="1050" w:name="_Toc12975942"/>
      <w:bookmarkStart w:id="1051" w:name="_Toc373478398"/>
      <w:bookmarkStart w:id="1052" w:name="_Toc395382554"/>
      <w:bookmarkStart w:id="1053" w:name="_Toc533432777"/>
      <w:r>
        <w:rPr>
          <w:color w:val="auto"/>
          <w:highlight w:val="none"/>
        </w:rPr>
        <w:t xml:space="preserve">12.2.1 </w:t>
      </w:r>
      <w:r>
        <w:rPr>
          <w:rFonts w:hint="eastAsia" w:hAnsi="宋体" w:cs="宋体"/>
          <w:color w:val="auto"/>
          <w:highlight w:val="none"/>
        </w:rPr>
        <w:t>预付款的支付</w:t>
      </w:r>
    </w:p>
    <w:p w14:paraId="1C630E6B">
      <w:pPr>
        <w:pStyle w:val="54"/>
        <w:spacing w:line="360" w:lineRule="auto"/>
        <w:ind w:firstLine="420" w:firstLineChars="200"/>
        <w:jc w:val="left"/>
        <w:rPr>
          <w:color w:val="auto"/>
          <w:highlight w:val="none"/>
        </w:rPr>
      </w:pPr>
      <w:r>
        <w:rPr>
          <w:rFonts w:hint="eastAsia" w:hAnsi="宋体" w:cs="宋体"/>
          <w:color w:val="auto"/>
          <w:highlight w:val="none"/>
        </w:rPr>
        <w:t>预付款支付比例或金额：</w:t>
      </w:r>
      <w:r>
        <w:rPr>
          <w:color w:val="auto"/>
          <w:highlight w:val="none"/>
          <w:u w:val="single"/>
        </w:rPr>
        <w:t xml:space="preserve"> </w:t>
      </w:r>
      <w:r>
        <w:rPr>
          <w:color w:val="auto"/>
          <w:highlight w:val="none"/>
          <w:u w:val="single"/>
        </w:rPr>
        <w:t xml:space="preserve"> </w:t>
      </w:r>
      <w:r>
        <w:rPr>
          <w:rFonts w:hint="eastAsia"/>
          <w:color w:val="auto"/>
          <w:highlight w:val="none"/>
          <w:u w:val="single"/>
          <w:lang w:val="en-US" w:eastAsia="zh-CN"/>
        </w:rPr>
        <w:t>签约</w:t>
      </w:r>
      <w:r>
        <w:rPr>
          <w:rFonts w:hint="eastAsia" w:hAnsi="宋体" w:cs="宋体"/>
          <w:color w:val="auto"/>
          <w:highlight w:val="none"/>
          <w:u w:val="single"/>
        </w:rPr>
        <w:t>合同</w:t>
      </w:r>
      <w:r>
        <w:rPr>
          <w:rFonts w:hint="eastAsia" w:hAnsi="宋体" w:cs="宋体"/>
          <w:color w:val="auto"/>
          <w:highlight w:val="none"/>
          <w:u w:val="single"/>
          <w:lang w:val="en-US" w:eastAsia="zh-CN"/>
        </w:rPr>
        <w:t>总价</w:t>
      </w:r>
      <w:r>
        <w:rPr>
          <w:rFonts w:hint="eastAsia" w:hAnsi="宋体" w:cs="宋体"/>
          <w:color w:val="auto"/>
          <w:highlight w:val="none"/>
          <w:u w:val="single"/>
        </w:rPr>
        <w:t>的30%</w:t>
      </w:r>
      <w:r>
        <w:rPr>
          <w:color w:val="auto"/>
          <w:highlight w:val="none"/>
          <w:u w:val="single"/>
        </w:rPr>
        <w:t xml:space="preserve"> </w:t>
      </w:r>
      <w:r>
        <w:rPr>
          <w:rFonts w:hint="eastAsia" w:hAnsi="宋体" w:cs="宋体"/>
          <w:color w:val="auto"/>
          <w:highlight w:val="none"/>
          <w:u w:val="single"/>
        </w:rPr>
        <w:t xml:space="preserve"> </w:t>
      </w:r>
      <w:r>
        <w:rPr>
          <w:rFonts w:hint="eastAsia" w:hAnsi="宋体" w:cs="宋体"/>
          <w:color w:val="auto"/>
          <w:highlight w:val="none"/>
          <w:u w:val="single"/>
        </w:rPr>
        <w:t xml:space="preserve">   </w:t>
      </w:r>
      <w:r>
        <w:rPr>
          <w:rFonts w:hint="eastAsia" w:hAnsi="宋体" w:cs="宋体"/>
          <w:color w:val="auto"/>
          <w:highlight w:val="none"/>
        </w:rPr>
        <w:t>。</w:t>
      </w:r>
    </w:p>
    <w:p w14:paraId="19696B04">
      <w:pPr>
        <w:pStyle w:val="54"/>
        <w:spacing w:line="360" w:lineRule="auto"/>
        <w:ind w:firstLine="420" w:firstLineChars="200"/>
        <w:jc w:val="left"/>
        <w:rPr>
          <w:color w:val="auto"/>
          <w:highlight w:val="none"/>
        </w:rPr>
      </w:pPr>
      <w:r>
        <w:rPr>
          <w:rFonts w:hint="eastAsia" w:hAnsi="宋体" w:cs="宋体"/>
          <w:color w:val="auto"/>
          <w:highlight w:val="none"/>
        </w:rPr>
        <w:t>预付款支付期限：</w:t>
      </w:r>
      <w:r>
        <w:rPr>
          <w:color w:val="auto"/>
          <w:highlight w:val="none"/>
          <w:u w:val="single"/>
        </w:rPr>
        <w:t xml:space="preserve">      </w:t>
      </w:r>
      <w:r>
        <w:rPr>
          <w:rFonts w:hint="eastAsia"/>
          <w:color w:val="auto"/>
          <w:highlight w:val="none"/>
          <w:u w:val="single"/>
        </w:rPr>
        <w:t>在承包人向发包人提交了经发包人认可的相关证明材料后，由承包人提出书面申请，发包人在防城港市财政局下达资金使用计划且项目具备支付条件之日起 10 个工作日内</w:t>
      </w:r>
      <w:r>
        <w:rPr>
          <w:rFonts w:hint="eastAsia"/>
          <w:color w:val="auto"/>
          <w:highlight w:val="none"/>
          <w:u w:val="single"/>
          <w:lang w:eastAsia="zh-CN"/>
        </w:rPr>
        <w:t>向承包人支付</w:t>
      </w:r>
      <w:r>
        <w:rPr>
          <w:color w:val="auto"/>
          <w:highlight w:val="none"/>
          <w:u w:val="single"/>
        </w:rPr>
        <w:t xml:space="preserve">   </w:t>
      </w:r>
      <w:r>
        <w:rPr>
          <w:rFonts w:hint="eastAsia" w:hAnsi="宋体" w:cs="宋体"/>
          <w:color w:val="auto"/>
          <w:highlight w:val="none"/>
        </w:rPr>
        <w:t>。</w:t>
      </w:r>
    </w:p>
    <w:p w14:paraId="47E93A0B">
      <w:pPr>
        <w:pStyle w:val="54"/>
        <w:spacing w:line="360" w:lineRule="auto"/>
        <w:ind w:firstLine="420" w:firstLineChars="200"/>
        <w:jc w:val="left"/>
        <w:rPr>
          <w:color w:val="auto"/>
          <w:highlight w:val="none"/>
        </w:rPr>
      </w:pPr>
      <w:r>
        <w:rPr>
          <w:rFonts w:hint="eastAsia" w:hAnsi="宋体" w:cs="宋体"/>
          <w:color w:val="auto"/>
          <w:highlight w:val="none"/>
        </w:rPr>
        <w:t>预付款扣回的方式：</w:t>
      </w:r>
      <w:r>
        <w:rPr>
          <w:rFonts w:hint="eastAsia"/>
          <w:color w:val="auto"/>
          <w:highlight w:val="none"/>
          <w:u w:val="single"/>
          <w:lang w:val="en-US" w:eastAsia="zh-CN"/>
        </w:rPr>
        <w:t xml:space="preserve">  /   </w:t>
      </w:r>
    </w:p>
    <w:p w14:paraId="4C3264B1">
      <w:pPr>
        <w:pStyle w:val="54"/>
        <w:spacing w:line="360" w:lineRule="auto"/>
        <w:ind w:firstLine="420" w:firstLineChars="200"/>
        <w:jc w:val="left"/>
        <w:rPr>
          <w:color w:val="auto"/>
          <w:highlight w:val="none"/>
        </w:rPr>
      </w:pPr>
      <w:r>
        <w:rPr>
          <w:color w:val="auto"/>
          <w:highlight w:val="none"/>
        </w:rPr>
        <w:t xml:space="preserve">12.2.2 </w:t>
      </w:r>
      <w:r>
        <w:rPr>
          <w:rFonts w:hint="eastAsia" w:hAnsi="宋体" w:cs="宋体"/>
          <w:color w:val="auto"/>
          <w:highlight w:val="none"/>
        </w:rPr>
        <w:t>预付款担保</w:t>
      </w:r>
    </w:p>
    <w:p w14:paraId="0C7DC79E">
      <w:pPr>
        <w:pStyle w:val="54"/>
        <w:spacing w:line="360" w:lineRule="auto"/>
        <w:ind w:firstLine="420" w:firstLineChars="200"/>
        <w:jc w:val="left"/>
        <w:rPr>
          <w:color w:val="auto"/>
          <w:highlight w:val="none"/>
        </w:rPr>
      </w:pPr>
      <w:r>
        <w:rPr>
          <w:rFonts w:hint="eastAsia" w:hAnsi="宋体" w:cs="宋体"/>
          <w:color w:val="auto"/>
          <w:highlight w:val="none"/>
        </w:rPr>
        <w:t>承包人提交预付款担保的期限：</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p w14:paraId="77E0FEA5">
      <w:pPr>
        <w:pStyle w:val="54"/>
        <w:spacing w:line="360" w:lineRule="auto"/>
        <w:ind w:firstLine="420" w:firstLineChars="200"/>
        <w:jc w:val="left"/>
        <w:rPr>
          <w:rFonts w:ascii="Times New Roman" w:hAnsi="宋体" w:cs="宋体"/>
          <w:color w:val="auto"/>
          <w:highlight w:val="none"/>
        </w:rPr>
      </w:pPr>
      <w:r>
        <w:rPr>
          <w:rFonts w:hint="eastAsia" w:hAnsi="宋体" w:cs="宋体"/>
          <w:color w:val="auto"/>
          <w:highlight w:val="none"/>
        </w:rPr>
        <w:t>预付款担保的形式为：</w:t>
      </w:r>
      <w:r>
        <w:rPr>
          <w:rFonts w:hint="eastAsia"/>
          <w:color w:val="auto"/>
          <w:highlight w:val="none"/>
        </w:rPr>
        <w:t>可以是</w:t>
      </w:r>
      <w:r>
        <w:rPr>
          <w:rFonts w:hint="eastAsia" w:ascii="Times New Roman" w:hAnsi="宋体" w:cs="宋体"/>
          <w:color w:val="auto"/>
          <w:highlight w:val="none"/>
        </w:rPr>
        <w:t>银行转账、电汇或网上支付、保函（银行保函、电子保函、保证保险保函、工程担保保函）等形式。</w:t>
      </w:r>
    </w:p>
    <w:p w14:paraId="4FF23613">
      <w:pPr>
        <w:pStyle w:val="54"/>
        <w:spacing w:line="360" w:lineRule="auto"/>
        <w:ind w:firstLine="420" w:firstLineChars="200"/>
        <w:jc w:val="left"/>
        <w:rPr>
          <w:color w:val="auto"/>
          <w:highlight w:val="none"/>
        </w:rPr>
      </w:pPr>
      <w:r>
        <w:rPr>
          <w:rFonts w:hint="eastAsia" w:ascii="宋体" w:hAnsi="宋体" w:cs="宋体"/>
          <w:color w:val="auto"/>
          <w:highlight w:val="none"/>
        </w:rPr>
        <w:t>预付款担保格式见合同附件8。预付款支付申请（核准）表见合同附件10</w:t>
      </w:r>
    </w:p>
    <w:p w14:paraId="4F306D5D">
      <w:pPr>
        <w:pStyle w:val="45"/>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12.3 计量</w:t>
      </w:r>
      <w:bookmarkEnd w:id="1048"/>
      <w:bookmarkEnd w:id="1049"/>
      <w:bookmarkEnd w:id="1050"/>
      <w:bookmarkEnd w:id="1051"/>
      <w:bookmarkEnd w:id="1052"/>
      <w:bookmarkEnd w:id="1053"/>
    </w:p>
    <w:p w14:paraId="0D76E7DD">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12.3.1 计量原则</w:t>
      </w:r>
    </w:p>
    <w:p w14:paraId="4247D2C6">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工程量计算规则：</w:t>
      </w:r>
      <w:r>
        <w:rPr>
          <w:rFonts w:hint="eastAsia" w:ascii="宋体" w:hAnsi="宋体" w:cs="宋体"/>
          <w:color w:val="auto"/>
          <w:sz w:val="22"/>
          <w:highlight w:val="none"/>
          <w:u w:val="single"/>
        </w:rPr>
        <w:t>《建设工程工程量清单计价规范》（GB50500～2013）、《&lt;建设工程工程量清单计价规范（GB50500～2013）&gt;广西壮族自治区实施细则》、《&lt;建设工程工程量清单计算规范（GB50854～50858-2013）&gt;广西壮族自治区实施细则》(修订版)</w:t>
      </w:r>
      <w:r>
        <w:rPr>
          <w:rFonts w:hint="eastAsia" w:ascii="宋体" w:hAnsi="宋体" w:cs="宋体"/>
          <w:color w:val="auto"/>
          <w:sz w:val="22"/>
          <w:highlight w:val="none"/>
          <w:u w:val="single"/>
          <w:lang w:eastAsia="zh-CN"/>
        </w:rPr>
        <w:t>、2022年《广西壮族自治区市政工程消耗量定额》</w:t>
      </w:r>
      <w:r>
        <w:rPr>
          <w:rFonts w:hint="eastAsia" w:ascii="宋体" w:hAnsi="宋体" w:cs="宋体"/>
          <w:color w:val="auto"/>
          <w:sz w:val="22"/>
          <w:highlight w:val="none"/>
          <w:u w:val="single"/>
        </w:rPr>
        <w:t>。</w:t>
      </w:r>
    </w:p>
    <w:p w14:paraId="79E044AF">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12.3.2 计量周期</w:t>
      </w:r>
    </w:p>
    <w:p w14:paraId="5A320041">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关于计量周期的约定：</w:t>
      </w:r>
      <w:r>
        <w:rPr>
          <w:rFonts w:hint="eastAsia" w:ascii="宋体" w:hAnsi="宋体" w:cs="宋体"/>
          <w:color w:val="auto"/>
          <w:sz w:val="22"/>
          <w:highlight w:val="none"/>
          <w:u w:val="single"/>
        </w:rPr>
        <w:t>按月计量，每月25日前</w:t>
      </w:r>
      <w:r>
        <w:rPr>
          <w:rFonts w:hint="eastAsia" w:ascii="宋体" w:hAnsi="宋体" w:cs="宋体"/>
          <w:color w:val="auto"/>
          <w:sz w:val="22"/>
          <w:highlight w:val="none"/>
        </w:rPr>
        <w:t>。</w:t>
      </w:r>
    </w:p>
    <w:p w14:paraId="65FE01EB">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12.3.3 单价合同的计量</w:t>
      </w:r>
    </w:p>
    <w:p w14:paraId="70469993">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关于单价合同计量的约定：</w:t>
      </w:r>
    </w:p>
    <w:p w14:paraId="5C3B0C84">
      <w:pPr>
        <w:pStyle w:val="44"/>
        <w:spacing w:line="360" w:lineRule="exact"/>
        <w:ind w:firstLine="462" w:firstLineChars="210"/>
        <w:rPr>
          <w:rFonts w:ascii="宋体" w:hAnsi="宋体" w:cs="宋体"/>
          <w:color w:val="auto"/>
          <w:sz w:val="22"/>
          <w:highlight w:val="none"/>
        </w:rPr>
      </w:pPr>
      <w:r>
        <w:rPr>
          <w:rFonts w:hint="eastAsia" w:ascii="宋体" w:hAnsi="宋体" w:cs="宋体"/>
          <w:color w:val="auto"/>
          <w:sz w:val="22"/>
          <w:highlight w:val="none"/>
        </w:rPr>
        <w:t>(1) 工程量清单所列的工程量，不能作为承包人按合同履行其责任依据，实际施工中发生的工程量增加或减少并不影响承包人履行合同的责任，工程结算以完成的实际工程量为准。</w:t>
      </w:r>
    </w:p>
    <w:p w14:paraId="3E791FBF">
      <w:pPr>
        <w:pStyle w:val="44"/>
        <w:spacing w:line="360" w:lineRule="exact"/>
        <w:ind w:firstLine="462" w:firstLineChars="210"/>
        <w:rPr>
          <w:rFonts w:ascii="宋体" w:hAnsi="宋体" w:cs="宋体"/>
          <w:color w:val="auto"/>
          <w:sz w:val="22"/>
          <w:highlight w:val="none"/>
        </w:rPr>
      </w:pPr>
      <w:r>
        <w:rPr>
          <w:rFonts w:hint="eastAsia" w:ascii="宋体" w:hAnsi="宋体" w:cs="宋体"/>
          <w:color w:val="auto"/>
          <w:sz w:val="22"/>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45095061">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12.3.4 总价合同的计量</w:t>
      </w:r>
    </w:p>
    <w:p w14:paraId="1AEA0A1D">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关于总价合同计量的约定：除工程变更外，原图纸范围内的工程量不得按实计量。进度款按支付分解表支付，按通用条款第</w:t>
      </w:r>
      <w:r>
        <w:rPr>
          <w:rFonts w:hint="eastAsia" w:ascii="宋体" w:hAnsi="宋体" w:cs="宋体"/>
          <w:color w:val="auto"/>
          <w:kern w:val="0"/>
          <w:sz w:val="22"/>
          <w:highlight w:val="none"/>
        </w:rPr>
        <w:t>12.3.4</w:t>
      </w:r>
      <w:r>
        <w:rPr>
          <w:rFonts w:hint="eastAsia" w:ascii="宋体" w:hAnsi="宋体" w:cs="宋体"/>
          <w:color w:val="auto"/>
          <w:sz w:val="22"/>
          <w:highlight w:val="none"/>
        </w:rPr>
        <w:t>项</w:t>
      </w:r>
      <w:r>
        <w:rPr>
          <w:rFonts w:hint="eastAsia" w:ascii="宋体" w:hAnsi="宋体" w:cs="宋体"/>
          <w:color w:val="auto"/>
          <w:kern w:val="0"/>
          <w:sz w:val="22"/>
          <w:highlight w:val="none"/>
        </w:rPr>
        <w:t>〔总价合同的计量〕</w:t>
      </w:r>
      <w:r>
        <w:rPr>
          <w:rFonts w:hint="eastAsia" w:ascii="宋体" w:hAnsi="宋体" w:cs="宋体"/>
          <w:color w:val="auto"/>
          <w:sz w:val="22"/>
          <w:highlight w:val="none"/>
        </w:rPr>
        <w:t>约定进行计量，但</w:t>
      </w:r>
      <w:r>
        <w:rPr>
          <w:rFonts w:hint="eastAsia" w:ascii="宋体" w:hAnsi="宋体" w:cs="宋体"/>
          <w:color w:val="auto"/>
          <w:kern w:val="0"/>
          <w:sz w:val="22"/>
          <w:highlight w:val="none"/>
        </w:rPr>
        <w:t>合同价款按照支付分解表进行支付。</w:t>
      </w:r>
    </w:p>
    <w:p w14:paraId="78C47957">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12.3.6 其他价格形式合同的计量</w:t>
      </w:r>
    </w:p>
    <w:p w14:paraId="0B8B1BA8">
      <w:pPr>
        <w:pStyle w:val="44"/>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rPr>
        <w:t>其他价格形式的计量方式和程序：</w:t>
      </w:r>
      <w:r>
        <w:rPr>
          <w:rFonts w:hint="eastAsia" w:ascii="宋体" w:hAnsi="宋体" w:cs="宋体"/>
          <w:color w:val="auto"/>
          <w:sz w:val="22"/>
          <w:highlight w:val="none"/>
          <w:u w:val="single"/>
        </w:rPr>
        <w:t xml:space="preserve">  无  </w:t>
      </w:r>
      <w:r>
        <w:rPr>
          <w:rFonts w:hint="eastAsia" w:ascii="宋体" w:hAnsi="宋体" w:cs="宋体"/>
          <w:color w:val="auto"/>
          <w:sz w:val="22"/>
          <w:highlight w:val="none"/>
        </w:rPr>
        <w:t>。</w:t>
      </w:r>
    </w:p>
    <w:p w14:paraId="3881B91E">
      <w:pPr>
        <w:pStyle w:val="45"/>
        <w:spacing w:line="360" w:lineRule="exact"/>
        <w:rPr>
          <w:rFonts w:ascii="宋体" w:hAnsi="宋体" w:cs="宋体"/>
          <w:color w:val="auto"/>
          <w:sz w:val="22"/>
          <w:szCs w:val="22"/>
          <w:highlight w:val="none"/>
        </w:rPr>
      </w:pPr>
      <w:bookmarkStart w:id="1054" w:name="_Toc395382555"/>
      <w:bookmarkStart w:id="1055" w:name="_Toc389065317"/>
      <w:bookmarkStart w:id="1056" w:name="_Toc373478399"/>
      <w:bookmarkStart w:id="1057" w:name="_Toc533432778"/>
      <w:bookmarkStart w:id="1058" w:name="_Toc373227752"/>
      <w:bookmarkStart w:id="1059" w:name="_Toc12975943"/>
      <w:r>
        <w:rPr>
          <w:rFonts w:hint="eastAsia" w:ascii="宋体" w:hAnsi="宋体" w:cs="宋体"/>
          <w:color w:val="auto"/>
          <w:sz w:val="22"/>
          <w:szCs w:val="22"/>
          <w:highlight w:val="none"/>
        </w:rPr>
        <w:t>12.4 工程进度款支付</w:t>
      </w:r>
      <w:bookmarkEnd w:id="1054"/>
      <w:bookmarkEnd w:id="1055"/>
      <w:bookmarkEnd w:id="1056"/>
      <w:bookmarkEnd w:id="1057"/>
      <w:bookmarkEnd w:id="1058"/>
      <w:bookmarkEnd w:id="1059"/>
    </w:p>
    <w:p w14:paraId="635784A2">
      <w:pPr>
        <w:pStyle w:val="44"/>
        <w:spacing w:line="360" w:lineRule="exact"/>
        <w:ind w:firstLine="440" w:firstLineChars="200"/>
        <w:jc w:val="left"/>
        <w:rPr>
          <w:rFonts w:ascii="宋体" w:hAnsi="宋体" w:cs="宋体"/>
          <w:color w:val="auto"/>
          <w:sz w:val="22"/>
          <w:highlight w:val="none"/>
        </w:rPr>
      </w:pPr>
      <w:bookmarkStart w:id="1060" w:name="_Toc296891039"/>
      <w:bookmarkStart w:id="1061" w:name="_Toc297123556"/>
      <w:bookmarkStart w:id="1062" w:name="_Toc297216215"/>
      <w:bookmarkStart w:id="1063" w:name="_Toc303539163"/>
      <w:bookmarkStart w:id="1064" w:name="_Toc296891251"/>
      <w:bookmarkStart w:id="1065" w:name="_Toc296347210"/>
      <w:bookmarkStart w:id="1066" w:name="_Toc300935006"/>
      <w:bookmarkStart w:id="1067" w:name="_Toc296346712"/>
      <w:bookmarkStart w:id="1068" w:name="_Toc297120511"/>
      <w:bookmarkStart w:id="1069" w:name="_Toc296503211"/>
      <w:bookmarkStart w:id="1070" w:name="_Toc292559921"/>
      <w:bookmarkStart w:id="1071" w:name="_Toc292559416"/>
      <w:bookmarkStart w:id="1072" w:name="_Toc296944550"/>
      <w:bookmarkStart w:id="1073" w:name="_Toc297048397"/>
      <w:r>
        <w:rPr>
          <w:rFonts w:hint="eastAsia" w:ascii="宋体" w:hAnsi="宋体" w:cs="宋体"/>
          <w:color w:val="auto"/>
          <w:sz w:val="22"/>
          <w:highlight w:val="none"/>
        </w:rPr>
        <w:t>12.4.1 付款周期</w:t>
      </w:r>
    </w:p>
    <w:p w14:paraId="374FBBC1">
      <w:pPr>
        <w:pStyle w:val="46"/>
        <w:spacing w:line="360" w:lineRule="exact"/>
        <w:ind w:firstLine="420"/>
        <w:rPr>
          <w:rFonts w:ascii="宋体" w:hAnsi="宋体" w:cs="宋体"/>
          <w:b w:val="0"/>
          <w:bCs w:val="0"/>
          <w:color w:val="auto"/>
          <w:sz w:val="22"/>
          <w:szCs w:val="22"/>
          <w:highlight w:val="none"/>
          <w:u w:val="single"/>
        </w:rPr>
      </w:pPr>
      <w:r>
        <w:rPr>
          <w:rFonts w:hint="eastAsia" w:ascii="宋体" w:hAnsi="宋体" w:cs="宋体"/>
          <w:color w:val="auto"/>
          <w:sz w:val="22"/>
          <w:szCs w:val="22"/>
          <w:highlight w:val="none"/>
        </w:rPr>
        <w:t>关于付款周期的约</w:t>
      </w:r>
      <w:r>
        <w:rPr>
          <w:rFonts w:hint="eastAsia" w:ascii="宋体" w:hAnsi="宋体" w:cs="宋体"/>
          <w:b w:val="0"/>
          <w:bCs w:val="0"/>
          <w:color w:val="auto"/>
          <w:sz w:val="22"/>
          <w:szCs w:val="22"/>
          <w:highlight w:val="none"/>
        </w:rPr>
        <w:t>定：合同签订后，发包人在防城港市财政局下达资金使用计划且项目具备支付条件之日起 10 个工作日内，向承包人支付合同总金额的30%作为预付款；本工程按月工程施工进度支付工程进度款,合同内进度款支付限额为已完成工程量的80%(工程变更部分进度款支付限额为已完成工程量的80%)，待工程完工验收达到质量要求，验收合格后，支付至合同总价的80%(含已支付的)，竣工结算经财政部门审定后，支付至审定结算价的97%(含已支付的)，发包人按结算总额的3%预留工程质量保修金，待约定的工程质量保修期(承包人按要求完成保修责任，并经发包人验收合格)满后支付至结算价100%。</w:t>
      </w:r>
    </w:p>
    <w:p w14:paraId="36D6A0DE">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12.4.2 进度付款申请单的编制</w:t>
      </w:r>
    </w:p>
    <w:p w14:paraId="4E0905CF">
      <w:pPr>
        <w:pStyle w:val="44"/>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rPr>
        <w:t>关于进度付款申请单编制的约定：</w:t>
      </w:r>
      <w:r>
        <w:rPr>
          <w:rFonts w:hint="eastAsia" w:ascii="宋体" w:hAnsi="宋体" w:cs="宋体"/>
          <w:color w:val="auto"/>
          <w:sz w:val="22"/>
          <w:highlight w:val="none"/>
          <w:u w:val="single"/>
        </w:rPr>
        <w:t xml:space="preserve">按通用条款执行  </w:t>
      </w:r>
      <w:r>
        <w:rPr>
          <w:rFonts w:hint="eastAsia" w:ascii="宋体" w:hAnsi="宋体" w:cs="宋体"/>
          <w:color w:val="auto"/>
          <w:sz w:val="22"/>
          <w:highlight w:val="none"/>
        </w:rPr>
        <w:t>。</w:t>
      </w:r>
    </w:p>
    <w:p w14:paraId="6767A86F">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w:t>
      </w:r>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r>
        <w:rPr>
          <w:rFonts w:hint="eastAsia" w:ascii="宋体" w:hAnsi="宋体" w:cs="宋体"/>
          <w:color w:val="auto"/>
          <w:sz w:val="22"/>
          <w:highlight w:val="none"/>
        </w:rPr>
        <w:t>2.4.3 进度付款申请单的提交</w:t>
      </w:r>
    </w:p>
    <w:p w14:paraId="68EAA236">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（1）单价合同进度付款申请单提交的约定：</w:t>
      </w:r>
      <w:r>
        <w:rPr>
          <w:rFonts w:hint="eastAsia" w:ascii="宋体" w:hAnsi="宋体" w:cs="宋体"/>
          <w:color w:val="auto"/>
          <w:sz w:val="22"/>
          <w:highlight w:val="none"/>
          <w:u w:val="single"/>
        </w:rPr>
        <w:t>按通用条款执行</w:t>
      </w:r>
      <w:r>
        <w:rPr>
          <w:rFonts w:hint="eastAsia" w:ascii="宋体" w:hAnsi="宋体" w:cs="宋体"/>
          <w:bCs/>
          <w:color w:val="auto"/>
          <w:sz w:val="22"/>
          <w:highlight w:val="none"/>
          <w:u w:val="single"/>
        </w:rPr>
        <w:t xml:space="preserve"> </w:t>
      </w:r>
      <w:r>
        <w:rPr>
          <w:rFonts w:hint="eastAsia" w:ascii="宋体" w:hAnsi="宋体" w:cs="宋体"/>
          <w:color w:val="auto"/>
          <w:sz w:val="22"/>
          <w:highlight w:val="none"/>
        </w:rPr>
        <w:t>。</w:t>
      </w:r>
    </w:p>
    <w:p w14:paraId="2F1F978C">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（2）总价合同进度付款申请单提交的约定：</w:t>
      </w:r>
      <w:r>
        <w:rPr>
          <w:rFonts w:hint="eastAsia" w:ascii="宋体" w:hAnsi="宋体" w:cs="宋体"/>
          <w:color w:val="auto"/>
          <w:sz w:val="22"/>
          <w:highlight w:val="none"/>
          <w:u w:val="single"/>
        </w:rPr>
        <w:t xml:space="preserve">  无    </w:t>
      </w:r>
      <w:r>
        <w:rPr>
          <w:rFonts w:hint="eastAsia" w:ascii="宋体" w:hAnsi="宋体" w:cs="宋体"/>
          <w:color w:val="auto"/>
          <w:sz w:val="22"/>
          <w:highlight w:val="none"/>
        </w:rPr>
        <w:t>。</w:t>
      </w:r>
    </w:p>
    <w:p w14:paraId="21CE2A40">
      <w:pPr>
        <w:pStyle w:val="44"/>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rPr>
        <w:t>（3）其他价格形式合同进度付款申请单提交的约定：</w:t>
      </w:r>
      <w:r>
        <w:rPr>
          <w:rFonts w:hint="eastAsia" w:ascii="宋体" w:hAnsi="宋体" w:cs="宋体"/>
          <w:color w:val="auto"/>
          <w:sz w:val="22"/>
          <w:highlight w:val="none"/>
          <w:u w:val="single"/>
        </w:rPr>
        <w:t xml:space="preserve"> 无    </w:t>
      </w:r>
      <w:r>
        <w:rPr>
          <w:rFonts w:hint="eastAsia" w:ascii="宋体" w:hAnsi="宋体" w:cs="宋体"/>
          <w:color w:val="auto"/>
          <w:sz w:val="22"/>
          <w:highlight w:val="none"/>
        </w:rPr>
        <w:t>。</w:t>
      </w:r>
    </w:p>
    <w:p w14:paraId="54A7F07F">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12.4.4 进度款审核和支付</w:t>
      </w:r>
    </w:p>
    <w:p w14:paraId="5C394D29">
      <w:pPr>
        <w:pStyle w:val="44"/>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rPr>
        <w:t>（1）监理人审查并报送发包人的期限：</w:t>
      </w:r>
      <w:r>
        <w:rPr>
          <w:rFonts w:hint="eastAsia" w:ascii="宋体" w:hAnsi="宋体" w:cs="宋体"/>
          <w:color w:val="auto"/>
          <w:sz w:val="22"/>
          <w:highlight w:val="none"/>
          <w:u w:val="single"/>
        </w:rPr>
        <w:t xml:space="preserve">按通用合同条款执行  </w:t>
      </w:r>
      <w:r>
        <w:rPr>
          <w:rFonts w:hint="eastAsia" w:ascii="宋体" w:hAnsi="宋体" w:cs="宋体"/>
          <w:color w:val="auto"/>
          <w:sz w:val="22"/>
          <w:highlight w:val="none"/>
        </w:rPr>
        <w:t>。</w:t>
      </w:r>
    </w:p>
    <w:p w14:paraId="3CF0DA81">
      <w:pPr>
        <w:pStyle w:val="44"/>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rPr>
        <w:t>发包人完成审批并签发进度款支付证书的期限：</w:t>
      </w:r>
      <w:r>
        <w:rPr>
          <w:rFonts w:hint="eastAsia" w:ascii="宋体" w:hAnsi="宋体" w:cs="宋体"/>
          <w:color w:val="auto"/>
          <w:sz w:val="22"/>
          <w:highlight w:val="none"/>
          <w:u w:val="single"/>
        </w:rPr>
        <w:t xml:space="preserve">按通用合同条款执行  </w:t>
      </w:r>
      <w:r>
        <w:rPr>
          <w:rFonts w:hint="eastAsia" w:ascii="宋体" w:hAnsi="宋体" w:cs="宋体"/>
          <w:color w:val="auto"/>
          <w:sz w:val="22"/>
          <w:highlight w:val="none"/>
        </w:rPr>
        <w:t>。</w:t>
      </w:r>
    </w:p>
    <w:p w14:paraId="031B650A">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（2）发包人支付进度款的期限：</w:t>
      </w:r>
      <w:r>
        <w:rPr>
          <w:rFonts w:hint="eastAsia" w:ascii="宋体" w:hAnsi="宋体" w:cs="宋体"/>
          <w:color w:val="auto"/>
          <w:sz w:val="22"/>
          <w:highlight w:val="none"/>
          <w:u w:val="single"/>
        </w:rPr>
        <w:t>按专用合同条款执行</w:t>
      </w:r>
      <w:r>
        <w:rPr>
          <w:rFonts w:hint="eastAsia" w:ascii="宋体" w:hAnsi="宋体" w:cs="宋体"/>
          <w:color w:val="auto"/>
          <w:sz w:val="22"/>
          <w:highlight w:val="none"/>
        </w:rPr>
        <w:t>。</w:t>
      </w:r>
    </w:p>
    <w:p w14:paraId="40BC23D8">
      <w:pPr>
        <w:pStyle w:val="44"/>
        <w:spacing w:line="360" w:lineRule="exact"/>
        <w:ind w:firstLine="550" w:firstLineChars="250"/>
        <w:jc w:val="left"/>
        <w:rPr>
          <w:rFonts w:ascii="宋体" w:hAnsi="宋体" w:cs="宋体"/>
          <w:color w:val="auto"/>
          <w:sz w:val="22"/>
          <w:highlight w:val="none"/>
        </w:rPr>
      </w:pPr>
      <w:r>
        <w:rPr>
          <w:rFonts w:hint="eastAsia" w:ascii="宋体" w:hAnsi="宋体" w:cs="宋体"/>
          <w:color w:val="auto"/>
          <w:sz w:val="22"/>
          <w:highlight w:val="none"/>
        </w:rPr>
        <w:t>发包人逾期支付进度款的违约金的计算方式：</w:t>
      </w:r>
      <w:r>
        <w:rPr>
          <w:rFonts w:hint="eastAsia" w:ascii="宋体" w:hAnsi="宋体" w:cs="宋体"/>
          <w:color w:val="auto"/>
          <w:sz w:val="22"/>
          <w:highlight w:val="none"/>
          <w:u w:val="single"/>
        </w:rPr>
        <w:t xml:space="preserve"> 无 </w:t>
      </w:r>
      <w:r>
        <w:rPr>
          <w:rFonts w:hint="eastAsia" w:ascii="宋体" w:hAnsi="宋体" w:cs="宋体"/>
          <w:color w:val="auto"/>
          <w:sz w:val="22"/>
          <w:highlight w:val="none"/>
        </w:rPr>
        <w:t>。</w:t>
      </w:r>
    </w:p>
    <w:p w14:paraId="21CA6EB8">
      <w:pPr>
        <w:pStyle w:val="44"/>
        <w:spacing w:line="360" w:lineRule="exact"/>
        <w:ind w:firstLine="550" w:firstLineChars="250"/>
        <w:jc w:val="left"/>
        <w:rPr>
          <w:rFonts w:ascii="宋体" w:hAnsi="宋体" w:cs="宋体"/>
          <w:color w:val="auto"/>
          <w:sz w:val="22"/>
          <w:highlight w:val="none"/>
        </w:rPr>
      </w:pPr>
      <w:r>
        <w:rPr>
          <w:rFonts w:hint="eastAsia" w:ascii="宋体" w:hAnsi="宋体" w:cs="宋体"/>
          <w:color w:val="auto"/>
          <w:sz w:val="22"/>
          <w:highlight w:val="none"/>
        </w:rPr>
        <w:t>进度款支付方式：</w:t>
      </w:r>
      <w:r>
        <w:rPr>
          <w:rFonts w:hint="eastAsia" w:ascii="宋体" w:hAnsi="宋体" w:cs="宋体"/>
          <w:color w:val="auto"/>
          <w:sz w:val="22"/>
          <w:highlight w:val="none"/>
          <w:u w:val="single"/>
        </w:rPr>
        <w:t>银行转账</w:t>
      </w:r>
      <w:r>
        <w:rPr>
          <w:rFonts w:hint="eastAsia" w:ascii="宋体" w:hAnsi="宋体" w:cs="宋体"/>
          <w:color w:val="auto"/>
          <w:sz w:val="22"/>
          <w:highlight w:val="none"/>
        </w:rPr>
        <w:t>。</w:t>
      </w:r>
    </w:p>
    <w:p w14:paraId="7796C130">
      <w:pPr>
        <w:pStyle w:val="44"/>
        <w:spacing w:line="360" w:lineRule="exact"/>
        <w:ind w:firstLine="550" w:firstLineChars="250"/>
        <w:jc w:val="left"/>
        <w:rPr>
          <w:rFonts w:ascii="宋体" w:hAnsi="宋体" w:cs="宋体"/>
          <w:color w:val="auto"/>
          <w:sz w:val="22"/>
          <w:highlight w:val="none"/>
        </w:rPr>
      </w:pPr>
      <w:r>
        <w:rPr>
          <w:rFonts w:hint="eastAsia" w:ascii="宋体" w:hAnsi="宋体" w:cs="宋体"/>
          <w:color w:val="auto"/>
          <w:sz w:val="22"/>
          <w:highlight w:val="none"/>
        </w:rPr>
        <w:t>12.4.6 支付分解表的编制</w:t>
      </w:r>
    </w:p>
    <w:p w14:paraId="01907ECF">
      <w:pPr>
        <w:pStyle w:val="44"/>
        <w:spacing w:line="360" w:lineRule="exact"/>
        <w:ind w:firstLine="550" w:firstLineChars="250"/>
        <w:jc w:val="left"/>
        <w:rPr>
          <w:rFonts w:ascii="宋体" w:hAnsi="宋体" w:cs="宋体"/>
          <w:color w:val="auto"/>
          <w:sz w:val="22"/>
          <w:highlight w:val="none"/>
          <w:u w:val="single"/>
        </w:rPr>
      </w:pPr>
      <w:r>
        <w:rPr>
          <w:rFonts w:hint="eastAsia" w:ascii="宋体" w:hAnsi="宋体" w:cs="宋体"/>
          <w:color w:val="auto"/>
          <w:sz w:val="22"/>
          <w:highlight w:val="none"/>
        </w:rPr>
        <w:t>2. 总价合同支付分解表的编制与审批：</w:t>
      </w:r>
      <w:r>
        <w:rPr>
          <w:rFonts w:hint="eastAsia" w:ascii="宋体" w:hAnsi="宋体" w:cs="宋体"/>
          <w:color w:val="auto"/>
          <w:sz w:val="22"/>
          <w:highlight w:val="none"/>
          <w:u w:val="single"/>
        </w:rPr>
        <w:t xml:space="preserve">     无    </w:t>
      </w:r>
      <w:r>
        <w:rPr>
          <w:rFonts w:hint="eastAsia" w:ascii="宋体" w:hAnsi="宋体" w:cs="宋体"/>
          <w:color w:val="auto"/>
          <w:sz w:val="22"/>
          <w:highlight w:val="none"/>
        </w:rPr>
        <w:t>。</w:t>
      </w:r>
    </w:p>
    <w:p w14:paraId="1EAA9C25">
      <w:pPr>
        <w:pStyle w:val="44"/>
        <w:spacing w:line="360" w:lineRule="exact"/>
        <w:ind w:firstLine="550" w:firstLineChars="250"/>
        <w:jc w:val="left"/>
        <w:rPr>
          <w:rFonts w:ascii="宋体" w:hAnsi="宋体" w:cs="宋体"/>
          <w:color w:val="auto"/>
          <w:sz w:val="22"/>
          <w:highlight w:val="none"/>
          <w:u w:val="single"/>
        </w:rPr>
      </w:pPr>
      <w:r>
        <w:rPr>
          <w:rFonts w:hint="eastAsia" w:ascii="宋体" w:hAnsi="宋体" w:cs="宋体"/>
          <w:color w:val="auto"/>
          <w:sz w:val="22"/>
          <w:highlight w:val="none"/>
        </w:rPr>
        <w:t>3. 单价合同的总价项目支付分解表的编制与审批：总价项目不采用支付分解表的方式计算，而按《建设工程工程量清单计价规范（GB50500-2013）广西壮族自治区实施细则》的规定执行。</w:t>
      </w:r>
    </w:p>
    <w:bookmarkEnd w:id="826"/>
    <w:p w14:paraId="46847177">
      <w:pPr>
        <w:pStyle w:val="43"/>
        <w:spacing w:before="0" w:after="0" w:line="360" w:lineRule="exact"/>
        <w:rPr>
          <w:rFonts w:ascii="宋体" w:hAnsi="宋体" w:cs="宋体"/>
          <w:color w:val="auto"/>
          <w:sz w:val="22"/>
          <w:szCs w:val="22"/>
          <w:highlight w:val="none"/>
        </w:rPr>
      </w:pPr>
      <w:bookmarkStart w:id="1074" w:name="_Toc389065318"/>
      <w:bookmarkStart w:id="1075" w:name="_Toc351203645"/>
      <w:bookmarkStart w:id="1076" w:name="_Toc533432779"/>
      <w:bookmarkStart w:id="1077" w:name="_Toc12975944"/>
      <w:bookmarkStart w:id="1078" w:name="_Toc395382556"/>
      <w:bookmarkStart w:id="1079" w:name="_Toc373227753"/>
      <w:bookmarkStart w:id="1080" w:name="_Toc373478400"/>
      <w:bookmarkStart w:id="1081" w:name="_Toc304295593"/>
      <w:bookmarkStart w:id="1082" w:name="_Toc303539172"/>
      <w:bookmarkStart w:id="1083" w:name="_Toc296944558"/>
      <w:bookmarkStart w:id="1084" w:name="_Toc296891259"/>
      <w:bookmarkStart w:id="1085" w:name="_Toc297123564"/>
      <w:bookmarkStart w:id="1086" w:name="_Toc297120519"/>
      <w:bookmarkStart w:id="1087" w:name="_Toc312678053"/>
      <w:bookmarkStart w:id="1088" w:name="_Toc300935015"/>
      <w:bookmarkStart w:id="1089" w:name="_Toc296347218"/>
      <w:bookmarkStart w:id="1090" w:name="_Toc296891047"/>
      <w:bookmarkStart w:id="1091" w:name="_Toc297216223"/>
      <w:bookmarkStart w:id="1092" w:name="_Toc292559929"/>
      <w:bookmarkStart w:id="1093" w:name="_Toc296503219"/>
      <w:bookmarkStart w:id="1094" w:name="_Toc297048405"/>
      <w:bookmarkStart w:id="1095" w:name="_Toc296346720"/>
      <w:bookmarkStart w:id="1096" w:name="_Toc292559424"/>
      <w:r>
        <w:rPr>
          <w:rFonts w:hint="eastAsia" w:ascii="宋体" w:hAnsi="宋体" w:cs="宋体"/>
          <w:color w:val="auto"/>
          <w:sz w:val="22"/>
          <w:szCs w:val="22"/>
          <w:highlight w:val="none"/>
        </w:rPr>
        <w:t>13. 验收和工程试车</w:t>
      </w:r>
      <w:bookmarkEnd w:id="1074"/>
      <w:bookmarkEnd w:id="1075"/>
      <w:bookmarkEnd w:id="1076"/>
      <w:bookmarkEnd w:id="1077"/>
      <w:bookmarkEnd w:id="1078"/>
      <w:bookmarkEnd w:id="1079"/>
      <w:bookmarkEnd w:id="1080"/>
    </w:p>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14:paraId="3B7991E2">
      <w:pPr>
        <w:pStyle w:val="45"/>
        <w:spacing w:line="360" w:lineRule="exact"/>
        <w:rPr>
          <w:rFonts w:ascii="宋体" w:hAnsi="宋体" w:cs="宋体"/>
          <w:color w:val="auto"/>
          <w:sz w:val="22"/>
          <w:szCs w:val="22"/>
          <w:highlight w:val="none"/>
        </w:rPr>
      </w:pPr>
      <w:bookmarkStart w:id="1097" w:name="_Toc12975945"/>
      <w:bookmarkStart w:id="1098" w:name="_Toc389065319"/>
      <w:bookmarkStart w:id="1099" w:name="_Toc373478401"/>
      <w:bookmarkStart w:id="1100" w:name="_Toc395382557"/>
      <w:bookmarkStart w:id="1101" w:name="_Toc373227754"/>
      <w:bookmarkStart w:id="1102" w:name="_Toc533432780"/>
      <w:r>
        <w:rPr>
          <w:rFonts w:hint="eastAsia" w:ascii="宋体" w:hAnsi="宋体" w:cs="宋体"/>
          <w:color w:val="auto"/>
          <w:sz w:val="22"/>
          <w:szCs w:val="22"/>
          <w:highlight w:val="none"/>
        </w:rPr>
        <w:t>13.1 分部分项工程验收</w:t>
      </w:r>
      <w:bookmarkEnd w:id="1097"/>
      <w:bookmarkEnd w:id="1098"/>
      <w:bookmarkEnd w:id="1099"/>
      <w:bookmarkEnd w:id="1100"/>
      <w:bookmarkEnd w:id="1101"/>
      <w:bookmarkEnd w:id="1102"/>
    </w:p>
    <w:p w14:paraId="7CBF6F16">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13.1.2监理人不能按时进行验收时，应提前</w:t>
      </w:r>
      <w:r>
        <w:rPr>
          <w:rFonts w:hint="eastAsia" w:ascii="宋体" w:hAnsi="宋体" w:cs="宋体"/>
          <w:color w:val="auto"/>
          <w:sz w:val="22"/>
          <w:highlight w:val="none"/>
          <w:u w:val="single"/>
        </w:rPr>
        <w:t xml:space="preserve">  24 </w:t>
      </w:r>
      <w:r>
        <w:rPr>
          <w:rFonts w:hint="eastAsia" w:ascii="宋体" w:hAnsi="宋体" w:cs="宋体"/>
          <w:color w:val="auto"/>
          <w:sz w:val="22"/>
          <w:highlight w:val="none"/>
        </w:rPr>
        <w:t>小时提交书面延期要求。</w:t>
      </w:r>
    </w:p>
    <w:p w14:paraId="20890937">
      <w:pPr>
        <w:pStyle w:val="44"/>
        <w:spacing w:line="360" w:lineRule="exact"/>
        <w:ind w:firstLine="440" w:firstLineChars="200"/>
        <w:jc w:val="left"/>
        <w:rPr>
          <w:rFonts w:ascii="宋体" w:hAnsi="宋体" w:cs="宋体"/>
          <w:b/>
          <w:color w:val="auto"/>
          <w:sz w:val="22"/>
          <w:highlight w:val="none"/>
        </w:rPr>
      </w:pPr>
      <w:r>
        <w:rPr>
          <w:rFonts w:hint="eastAsia" w:ascii="宋体" w:hAnsi="宋体" w:cs="宋体"/>
          <w:color w:val="auto"/>
          <w:sz w:val="22"/>
          <w:highlight w:val="none"/>
        </w:rPr>
        <w:t>关于延期最长不得超过：</w:t>
      </w:r>
      <w:r>
        <w:rPr>
          <w:rFonts w:hint="eastAsia" w:ascii="宋体" w:hAnsi="宋体" w:cs="宋体"/>
          <w:color w:val="auto"/>
          <w:sz w:val="22"/>
          <w:highlight w:val="none"/>
          <w:u w:val="single"/>
        </w:rPr>
        <w:t xml:space="preserve"> 48 </w:t>
      </w:r>
      <w:r>
        <w:rPr>
          <w:rFonts w:hint="eastAsia" w:ascii="宋体" w:hAnsi="宋体" w:cs="宋体"/>
          <w:color w:val="auto"/>
          <w:sz w:val="22"/>
          <w:highlight w:val="none"/>
        </w:rPr>
        <w:t>小时。</w:t>
      </w:r>
    </w:p>
    <w:p w14:paraId="30BA1F22">
      <w:pPr>
        <w:pStyle w:val="45"/>
        <w:spacing w:line="360" w:lineRule="exact"/>
        <w:rPr>
          <w:rFonts w:ascii="宋体" w:hAnsi="宋体" w:cs="宋体"/>
          <w:color w:val="auto"/>
          <w:sz w:val="22"/>
          <w:szCs w:val="22"/>
          <w:highlight w:val="none"/>
        </w:rPr>
      </w:pPr>
      <w:bookmarkStart w:id="1103" w:name="_Toc533432781"/>
      <w:bookmarkStart w:id="1104" w:name="_Toc373478402"/>
      <w:bookmarkStart w:id="1105" w:name="_Toc389065320"/>
      <w:bookmarkStart w:id="1106" w:name="_Toc12975946"/>
      <w:bookmarkStart w:id="1107" w:name="_Toc395382558"/>
      <w:bookmarkStart w:id="1108" w:name="_Toc373227755"/>
      <w:bookmarkStart w:id="1109" w:name="_Toc296891051"/>
      <w:bookmarkStart w:id="1110" w:name="_Toc292559428"/>
      <w:bookmarkStart w:id="1111" w:name="_Toc296346724"/>
      <w:bookmarkStart w:id="1112" w:name="_Toc304295596"/>
      <w:bookmarkStart w:id="1113" w:name="_Toc296503223"/>
      <w:bookmarkStart w:id="1114" w:name="_Toc296891263"/>
      <w:bookmarkStart w:id="1115" w:name="_Toc297216224"/>
      <w:bookmarkStart w:id="1116" w:name="_Toc292559933"/>
      <w:bookmarkStart w:id="1117" w:name="_Toc296944562"/>
      <w:bookmarkStart w:id="1118" w:name="_Toc297120523"/>
      <w:bookmarkStart w:id="1119" w:name="_Toc297123565"/>
      <w:bookmarkStart w:id="1120" w:name="_Toc296347222"/>
      <w:bookmarkStart w:id="1121" w:name="_Toc312678056"/>
      <w:bookmarkStart w:id="1122" w:name="_Toc303539173"/>
      <w:bookmarkStart w:id="1123" w:name="_Toc300935016"/>
      <w:bookmarkStart w:id="1124" w:name="_Toc297048409"/>
      <w:bookmarkStart w:id="1125" w:name="_Toc267251475"/>
      <w:bookmarkStart w:id="1126" w:name="_Toc267251476"/>
      <w:bookmarkStart w:id="1127" w:name="_Toc267251472"/>
      <w:bookmarkStart w:id="1128" w:name="_Toc267251474"/>
      <w:bookmarkStart w:id="1129" w:name="_Toc267251473"/>
      <w:bookmarkStart w:id="1130" w:name="_Toc267251471"/>
      <w:bookmarkStart w:id="1131" w:name="_Toc267251470"/>
      <w:r>
        <w:rPr>
          <w:rFonts w:hint="eastAsia" w:ascii="宋体" w:hAnsi="宋体" w:cs="宋体"/>
          <w:color w:val="auto"/>
          <w:sz w:val="22"/>
          <w:szCs w:val="22"/>
          <w:highlight w:val="none"/>
        </w:rPr>
        <w:t>13.2 竣工验收</w:t>
      </w:r>
      <w:bookmarkEnd w:id="1103"/>
      <w:bookmarkEnd w:id="1104"/>
      <w:bookmarkEnd w:id="1105"/>
      <w:bookmarkEnd w:id="1106"/>
      <w:bookmarkEnd w:id="1107"/>
      <w:bookmarkEnd w:id="1108"/>
    </w:p>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14:paraId="3E4F591D">
      <w:pPr>
        <w:pStyle w:val="44"/>
        <w:spacing w:line="360" w:lineRule="exact"/>
        <w:ind w:firstLine="440" w:firstLineChars="200"/>
        <w:jc w:val="left"/>
        <w:rPr>
          <w:rFonts w:ascii="宋体" w:hAnsi="宋体" w:cs="宋体"/>
          <w:color w:val="auto"/>
          <w:sz w:val="22"/>
          <w:highlight w:val="none"/>
        </w:rPr>
      </w:pPr>
      <w:bookmarkStart w:id="1132" w:name="_Toc280868704"/>
      <w:bookmarkStart w:id="1133" w:name="_Toc280868705"/>
      <w:bookmarkStart w:id="1134" w:name="_Toc280868706"/>
      <w:bookmarkStart w:id="1135" w:name="_Toc280868707"/>
      <w:bookmarkStart w:id="1136" w:name="_Toc280868708"/>
      <w:bookmarkStart w:id="1137" w:name="_Toc280868709"/>
      <w:r>
        <w:rPr>
          <w:rFonts w:hint="eastAsia" w:ascii="宋体" w:hAnsi="宋体" w:cs="宋体"/>
          <w:color w:val="auto"/>
          <w:sz w:val="22"/>
          <w:highlight w:val="none"/>
        </w:rPr>
        <w:t>13.2.1竣工验收条件</w:t>
      </w:r>
    </w:p>
    <w:p w14:paraId="4148FFF1">
      <w:pPr>
        <w:pStyle w:val="46"/>
        <w:spacing w:line="360" w:lineRule="exact"/>
        <w:ind w:firstLine="420"/>
        <w:rPr>
          <w:rFonts w:ascii="宋体" w:hAnsi="宋体" w:cs="宋体"/>
          <w:color w:val="auto"/>
          <w:sz w:val="22"/>
          <w:szCs w:val="22"/>
          <w:highlight w:val="none"/>
        </w:rPr>
      </w:pPr>
      <w:r>
        <w:rPr>
          <w:rFonts w:hint="eastAsia" w:ascii="宋体" w:hAnsi="宋体" w:cs="宋体"/>
          <w:color w:val="auto"/>
          <w:sz w:val="22"/>
          <w:szCs w:val="22"/>
          <w:highlight w:val="none"/>
        </w:rPr>
        <w:t>（3）承包人负责整理和提交的竣工验收资料应当符合工程所在地建设行政主管部门和(或)城市建设档案管理机构有关施工资料的要求，具体内容包括：</w:t>
      </w:r>
      <w:r>
        <w:rPr>
          <w:rFonts w:hint="eastAsia" w:ascii="宋体" w:hAnsi="宋体" w:cs="宋体"/>
          <w:color w:val="auto"/>
          <w:sz w:val="22"/>
          <w:szCs w:val="22"/>
          <w:highlight w:val="none"/>
          <w:u w:val="single"/>
        </w:rPr>
        <w:t xml:space="preserve"> </w:t>
      </w:r>
      <w:r>
        <w:rPr>
          <w:rFonts w:hint="eastAsia" w:ascii="宋体" w:hAnsi="宋体" w:cs="宋体"/>
          <w:bCs/>
          <w:color w:val="auto"/>
          <w:sz w:val="22"/>
          <w:szCs w:val="22"/>
          <w:highlight w:val="none"/>
          <w:u w:val="single"/>
        </w:rPr>
        <w:t>（1）竣工资料（含竣工图，竣工图编制费已含在签约合同价中。）移交时间：工程竣工验收合格后30天内。（2）承包人应协助发包人办理城建档案馆手续，与城建档案馆手续未办理完成，视为承包人的合同义务未履行完毕</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5601828D">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竣工验收资料的份数：</w:t>
      </w:r>
      <w:r>
        <w:rPr>
          <w:rFonts w:hint="eastAsia" w:ascii="宋体" w:hAnsi="宋体" w:cs="宋体"/>
          <w:color w:val="auto"/>
          <w:sz w:val="22"/>
          <w:highlight w:val="none"/>
          <w:u w:val="single"/>
        </w:rPr>
        <w:t xml:space="preserve"> 6套及满足相关要求 </w:t>
      </w:r>
      <w:r>
        <w:rPr>
          <w:rFonts w:hint="eastAsia" w:ascii="宋体" w:hAnsi="宋体" w:cs="宋体"/>
          <w:color w:val="auto"/>
          <w:sz w:val="22"/>
          <w:highlight w:val="none"/>
        </w:rPr>
        <w:t>。</w:t>
      </w:r>
    </w:p>
    <w:p w14:paraId="0830AAFF">
      <w:pPr>
        <w:pStyle w:val="44"/>
        <w:spacing w:line="360" w:lineRule="exact"/>
        <w:ind w:firstLine="440" w:firstLineChars="200"/>
        <w:jc w:val="left"/>
        <w:rPr>
          <w:rFonts w:ascii="宋体" w:hAnsi="宋体" w:cs="宋体"/>
          <w:color w:val="auto"/>
          <w:sz w:val="22"/>
          <w:highlight w:val="none"/>
        </w:rPr>
      </w:pPr>
      <w:r>
        <w:rPr>
          <w:rFonts w:hint="eastAsia" w:ascii="宋体" w:hAnsi="宋体" w:cs="宋体"/>
          <w:bCs/>
          <w:color w:val="auto"/>
          <w:sz w:val="22"/>
          <w:highlight w:val="none"/>
        </w:rPr>
        <w:t>承包人提供竣工图的约定：</w:t>
      </w:r>
      <w:r>
        <w:rPr>
          <w:rFonts w:hint="eastAsia" w:ascii="宋体" w:hAnsi="宋体" w:cs="宋体"/>
          <w:bCs/>
          <w:color w:val="auto"/>
          <w:sz w:val="22"/>
          <w:highlight w:val="none"/>
          <w:u w:val="single"/>
        </w:rPr>
        <w:t>竣工验收正式通过后5天（工程造价在500万元以下含500万元）、10天（工程造价在500万元至1000万元之间含1000万元）、15天（工程造价在1000万元以上），提供竣工图的数量分别为2套、4套、6套。</w:t>
      </w:r>
    </w:p>
    <w:p w14:paraId="03F11C6A">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13.2.2竣工验收程序</w:t>
      </w:r>
    </w:p>
    <w:bookmarkEnd w:id="1132"/>
    <w:p w14:paraId="6A3F3D2E">
      <w:pPr>
        <w:pStyle w:val="44"/>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kern w:val="0"/>
          <w:sz w:val="22"/>
          <w:highlight w:val="none"/>
        </w:rPr>
        <w:t>关于竣工验收程序的约定：</w:t>
      </w:r>
      <w:r>
        <w:rPr>
          <w:rFonts w:hint="eastAsia" w:ascii="宋体" w:hAnsi="宋体" w:cs="宋体"/>
          <w:color w:val="auto"/>
          <w:sz w:val="22"/>
          <w:highlight w:val="none"/>
          <w:u w:val="single"/>
        </w:rPr>
        <w:t>竣工验收正式通过后30天，提供竣工图的数量为6套及满足当地档案要求（同时提供相应的电子扫描版）</w:t>
      </w:r>
      <w:r>
        <w:rPr>
          <w:rFonts w:hint="eastAsia" w:ascii="宋体" w:hAnsi="宋体" w:cs="宋体"/>
          <w:color w:val="auto"/>
          <w:sz w:val="22"/>
          <w:highlight w:val="none"/>
        </w:rPr>
        <w:t>。</w:t>
      </w:r>
    </w:p>
    <w:p w14:paraId="49F1DB75">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kern w:val="0"/>
          <w:sz w:val="22"/>
          <w:highlight w:val="none"/>
        </w:rPr>
        <w:t>发包人不按照本项约定组织竣工验收、颁发工程接收证书的违约金的计算方法：</w:t>
      </w:r>
      <w:r>
        <w:rPr>
          <w:rFonts w:hint="eastAsia" w:ascii="宋体" w:hAnsi="宋体" w:cs="宋体"/>
          <w:color w:val="auto"/>
          <w:sz w:val="22"/>
          <w:highlight w:val="none"/>
          <w:u w:val="single"/>
        </w:rPr>
        <w:t xml:space="preserve">无  </w:t>
      </w:r>
      <w:r>
        <w:rPr>
          <w:rFonts w:hint="eastAsia" w:ascii="宋体" w:hAnsi="宋体" w:cs="宋体"/>
          <w:color w:val="auto"/>
          <w:sz w:val="22"/>
          <w:highlight w:val="none"/>
        </w:rPr>
        <w:t>。</w:t>
      </w:r>
    </w:p>
    <w:bookmarkEnd w:id="1133"/>
    <w:p w14:paraId="3DAC3F20">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13.2.5移交、接收全部与部分工程</w:t>
      </w:r>
    </w:p>
    <w:bookmarkEnd w:id="1134"/>
    <w:p w14:paraId="50B9006C">
      <w:pPr>
        <w:pStyle w:val="44"/>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承包人向发包人移交工程的期限：</w:t>
      </w:r>
      <w:r>
        <w:rPr>
          <w:rFonts w:hint="eastAsia" w:ascii="宋体" w:hAnsi="宋体" w:cs="宋体"/>
          <w:color w:val="auto"/>
          <w:sz w:val="22"/>
          <w:highlight w:val="none"/>
          <w:u w:val="single"/>
        </w:rPr>
        <w:t xml:space="preserve">  按通用合同条款执行。</w:t>
      </w:r>
    </w:p>
    <w:p w14:paraId="52185516">
      <w:pPr>
        <w:pStyle w:val="44"/>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kern w:val="0"/>
          <w:sz w:val="22"/>
          <w:highlight w:val="none"/>
        </w:rPr>
        <w:t>发包人未按本合同约定接收全部或部分工程的，违约金的计算方法为：</w:t>
      </w:r>
      <w:r>
        <w:rPr>
          <w:rFonts w:hint="eastAsia" w:ascii="宋体" w:hAnsi="宋体" w:cs="宋体"/>
          <w:color w:val="auto"/>
          <w:sz w:val="22"/>
          <w:highlight w:val="none"/>
          <w:u w:val="single"/>
        </w:rPr>
        <w:t xml:space="preserve"> 无</w:t>
      </w:r>
      <w:r>
        <w:rPr>
          <w:rFonts w:hint="eastAsia" w:ascii="宋体" w:hAnsi="宋体" w:cs="宋体"/>
          <w:color w:val="auto"/>
          <w:sz w:val="22"/>
          <w:highlight w:val="none"/>
        </w:rPr>
        <w:t>。</w:t>
      </w:r>
    </w:p>
    <w:bookmarkEnd w:id="1135"/>
    <w:p w14:paraId="4723E9AE">
      <w:pPr>
        <w:pStyle w:val="44"/>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rPr>
        <w:t>承包人未按时移交工程的，违约金的计算方法为：</w:t>
      </w:r>
      <w:r>
        <w:rPr>
          <w:rFonts w:hint="eastAsia" w:ascii="宋体" w:hAnsi="宋体" w:cs="宋体"/>
          <w:color w:val="auto"/>
          <w:sz w:val="22"/>
          <w:highlight w:val="none"/>
          <w:u w:val="single"/>
        </w:rPr>
        <w:t xml:space="preserve">  按通用合同条款执行  </w:t>
      </w:r>
      <w:r>
        <w:rPr>
          <w:rFonts w:hint="eastAsia" w:ascii="宋体" w:hAnsi="宋体" w:cs="宋体"/>
          <w:color w:val="auto"/>
          <w:sz w:val="22"/>
          <w:highlight w:val="none"/>
        </w:rPr>
        <w:t>。</w:t>
      </w:r>
    </w:p>
    <w:p w14:paraId="556A1C2A">
      <w:pPr>
        <w:pStyle w:val="45"/>
        <w:spacing w:line="360" w:lineRule="exact"/>
        <w:rPr>
          <w:rFonts w:ascii="宋体" w:hAnsi="宋体" w:cs="宋体"/>
          <w:color w:val="auto"/>
          <w:sz w:val="22"/>
          <w:szCs w:val="22"/>
          <w:highlight w:val="none"/>
        </w:rPr>
      </w:pPr>
      <w:bookmarkStart w:id="1138" w:name="_Toc533432782"/>
      <w:bookmarkStart w:id="1139" w:name="_Toc373478403"/>
      <w:bookmarkStart w:id="1140" w:name="_Toc12975947"/>
      <w:bookmarkStart w:id="1141" w:name="_Toc389065321"/>
      <w:bookmarkStart w:id="1142" w:name="_Toc373227756"/>
      <w:bookmarkStart w:id="1143" w:name="_Toc395382559"/>
      <w:r>
        <w:rPr>
          <w:rFonts w:hint="eastAsia" w:ascii="宋体" w:hAnsi="宋体" w:cs="宋体"/>
          <w:color w:val="auto"/>
          <w:sz w:val="22"/>
          <w:szCs w:val="22"/>
          <w:highlight w:val="none"/>
        </w:rPr>
        <w:t>13.3 工程试车</w:t>
      </w:r>
      <w:bookmarkEnd w:id="1138"/>
      <w:bookmarkEnd w:id="1139"/>
      <w:bookmarkEnd w:id="1140"/>
      <w:bookmarkEnd w:id="1141"/>
      <w:bookmarkEnd w:id="1142"/>
      <w:bookmarkEnd w:id="1143"/>
    </w:p>
    <w:bookmarkEnd w:id="1136"/>
    <w:p w14:paraId="111BF6B5">
      <w:pPr>
        <w:pStyle w:val="44"/>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13.3.1 试车程序</w:t>
      </w:r>
    </w:p>
    <w:p w14:paraId="11179017">
      <w:pPr>
        <w:pStyle w:val="44"/>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kern w:val="0"/>
          <w:sz w:val="22"/>
          <w:highlight w:val="none"/>
        </w:rPr>
        <w:t>工程试车内容：</w:t>
      </w:r>
      <w:r>
        <w:rPr>
          <w:rFonts w:hint="eastAsia" w:ascii="宋体" w:hAnsi="宋体" w:cs="宋体"/>
          <w:color w:val="auto"/>
          <w:sz w:val="22"/>
          <w:highlight w:val="none"/>
          <w:u w:val="single"/>
        </w:rPr>
        <w:t xml:space="preserve">     无      </w:t>
      </w:r>
      <w:r>
        <w:rPr>
          <w:rFonts w:hint="eastAsia" w:ascii="宋体" w:hAnsi="宋体" w:cs="宋体"/>
          <w:color w:val="auto"/>
          <w:sz w:val="22"/>
          <w:highlight w:val="none"/>
        </w:rPr>
        <w:t>。</w:t>
      </w:r>
    </w:p>
    <w:p w14:paraId="3B790A05">
      <w:pPr>
        <w:pStyle w:val="44"/>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（1）单机无负荷试车费用由</w:t>
      </w:r>
      <w:r>
        <w:rPr>
          <w:rFonts w:hint="eastAsia" w:ascii="宋体" w:hAnsi="宋体" w:cs="宋体"/>
          <w:color w:val="auto"/>
          <w:sz w:val="22"/>
          <w:highlight w:val="none"/>
          <w:u w:val="single"/>
        </w:rPr>
        <w:t xml:space="preserve">           无          </w:t>
      </w:r>
      <w:r>
        <w:rPr>
          <w:rFonts w:hint="eastAsia" w:ascii="宋体" w:hAnsi="宋体" w:cs="宋体"/>
          <w:color w:val="auto"/>
          <w:kern w:val="0"/>
          <w:sz w:val="22"/>
          <w:highlight w:val="none"/>
        </w:rPr>
        <w:t>承担；</w:t>
      </w:r>
    </w:p>
    <w:p w14:paraId="2CC52C70">
      <w:pPr>
        <w:pStyle w:val="44"/>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（2）无负荷联动试车费用由</w:t>
      </w:r>
      <w:r>
        <w:rPr>
          <w:rFonts w:hint="eastAsia" w:ascii="宋体" w:hAnsi="宋体" w:cs="宋体"/>
          <w:color w:val="auto"/>
          <w:sz w:val="22"/>
          <w:highlight w:val="none"/>
          <w:u w:val="single"/>
        </w:rPr>
        <w:t xml:space="preserve">            无         </w:t>
      </w:r>
      <w:r>
        <w:rPr>
          <w:rFonts w:hint="eastAsia" w:ascii="宋体" w:hAnsi="宋体" w:cs="宋体"/>
          <w:color w:val="auto"/>
          <w:kern w:val="0"/>
          <w:sz w:val="22"/>
          <w:highlight w:val="none"/>
        </w:rPr>
        <w:t>承担。</w:t>
      </w:r>
    </w:p>
    <w:p w14:paraId="121AA9A1">
      <w:pPr>
        <w:pStyle w:val="44"/>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13.3.3 投料试车</w:t>
      </w:r>
    </w:p>
    <w:p w14:paraId="7CF515E2">
      <w:pPr>
        <w:pStyle w:val="44"/>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kern w:val="0"/>
          <w:sz w:val="22"/>
          <w:highlight w:val="none"/>
        </w:rPr>
        <w:t>关于投料试车相关事项的约定：</w:t>
      </w:r>
      <w:r>
        <w:rPr>
          <w:rFonts w:hint="eastAsia" w:ascii="宋体" w:hAnsi="宋体" w:cs="宋体"/>
          <w:color w:val="auto"/>
          <w:sz w:val="22"/>
          <w:highlight w:val="none"/>
          <w:u w:val="single"/>
        </w:rPr>
        <w:t xml:space="preserve">    无       </w:t>
      </w:r>
      <w:r>
        <w:rPr>
          <w:rFonts w:hint="eastAsia" w:ascii="宋体" w:hAnsi="宋体" w:cs="宋体"/>
          <w:color w:val="auto"/>
          <w:sz w:val="22"/>
          <w:highlight w:val="none"/>
        </w:rPr>
        <w:t>。</w:t>
      </w:r>
    </w:p>
    <w:p w14:paraId="383198DE">
      <w:pPr>
        <w:pStyle w:val="45"/>
        <w:spacing w:line="360" w:lineRule="exact"/>
        <w:rPr>
          <w:rFonts w:ascii="宋体" w:hAnsi="宋体" w:cs="宋体"/>
          <w:color w:val="auto"/>
          <w:sz w:val="22"/>
          <w:szCs w:val="22"/>
          <w:highlight w:val="none"/>
        </w:rPr>
      </w:pPr>
      <w:bookmarkStart w:id="1144" w:name="_Toc12975948"/>
      <w:bookmarkStart w:id="1145" w:name="_Toc373478404"/>
      <w:bookmarkStart w:id="1146" w:name="_Toc389065322"/>
      <w:bookmarkStart w:id="1147" w:name="_Toc373227757"/>
      <w:bookmarkStart w:id="1148" w:name="_Toc533432783"/>
      <w:bookmarkStart w:id="1149" w:name="_Toc395382560"/>
      <w:r>
        <w:rPr>
          <w:rFonts w:hint="eastAsia" w:ascii="宋体" w:hAnsi="宋体" w:cs="宋体"/>
          <w:color w:val="auto"/>
          <w:sz w:val="22"/>
          <w:szCs w:val="22"/>
          <w:highlight w:val="none"/>
        </w:rPr>
        <w:t>13.6 竣工退场</w:t>
      </w:r>
      <w:bookmarkEnd w:id="1144"/>
      <w:bookmarkEnd w:id="1145"/>
      <w:bookmarkEnd w:id="1146"/>
      <w:bookmarkEnd w:id="1147"/>
      <w:bookmarkEnd w:id="1148"/>
      <w:bookmarkEnd w:id="1149"/>
    </w:p>
    <w:p w14:paraId="069EE656">
      <w:pPr>
        <w:pStyle w:val="44"/>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13.6.1 竣工退场</w:t>
      </w:r>
    </w:p>
    <w:p w14:paraId="0E10BD76">
      <w:pPr>
        <w:pStyle w:val="44"/>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承包人完成竣工退场的期限：</w:t>
      </w:r>
      <w:r>
        <w:rPr>
          <w:rFonts w:hint="eastAsia" w:ascii="宋体" w:hAnsi="宋体" w:cs="宋体"/>
          <w:color w:val="auto"/>
          <w:sz w:val="22"/>
          <w:highlight w:val="none"/>
          <w:u w:val="single"/>
        </w:rPr>
        <w:t xml:space="preserve"> 竣工验收合格后28天或收到解除合同通知后7天内</w:t>
      </w:r>
      <w:r>
        <w:rPr>
          <w:rFonts w:hint="eastAsia" w:ascii="宋体" w:hAnsi="宋体" w:cs="宋体"/>
          <w:color w:val="auto"/>
          <w:kern w:val="0"/>
          <w:sz w:val="22"/>
          <w:highlight w:val="none"/>
        </w:rPr>
        <w:t>。</w:t>
      </w:r>
    </w:p>
    <w:p w14:paraId="06233F4F">
      <w:pPr>
        <w:pStyle w:val="43"/>
        <w:spacing w:before="0" w:after="0" w:line="360" w:lineRule="exact"/>
        <w:rPr>
          <w:rFonts w:ascii="宋体" w:hAnsi="宋体" w:cs="宋体"/>
          <w:color w:val="auto"/>
          <w:sz w:val="22"/>
          <w:szCs w:val="22"/>
          <w:highlight w:val="none"/>
        </w:rPr>
      </w:pPr>
      <w:bookmarkStart w:id="1150" w:name="_Toc351203646"/>
      <w:bookmarkStart w:id="1151" w:name="_Toc373478405"/>
      <w:bookmarkStart w:id="1152" w:name="_Toc373227758"/>
      <w:bookmarkStart w:id="1153" w:name="_Toc533432784"/>
      <w:bookmarkStart w:id="1154" w:name="_Toc395382561"/>
      <w:bookmarkStart w:id="1155" w:name="_Toc12975949"/>
      <w:bookmarkStart w:id="1156" w:name="_Toc389065323"/>
      <w:r>
        <w:rPr>
          <w:rFonts w:hint="eastAsia" w:ascii="宋体" w:hAnsi="宋体" w:cs="宋体"/>
          <w:color w:val="auto"/>
          <w:sz w:val="22"/>
          <w:szCs w:val="22"/>
          <w:highlight w:val="none"/>
        </w:rPr>
        <w:t>14. 竣工结算</w:t>
      </w:r>
      <w:bookmarkEnd w:id="1150"/>
      <w:bookmarkEnd w:id="1151"/>
      <w:bookmarkEnd w:id="1152"/>
      <w:bookmarkEnd w:id="1153"/>
      <w:bookmarkEnd w:id="1154"/>
      <w:bookmarkEnd w:id="1155"/>
      <w:bookmarkEnd w:id="1156"/>
    </w:p>
    <w:p w14:paraId="447980BC">
      <w:pPr>
        <w:pStyle w:val="45"/>
        <w:spacing w:line="360" w:lineRule="exact"/>
        <w:rPr>
          <w:rFonts w:ascii="宋体" w:hAnsi="宋体" w:cs="宋体"/>
          <w:color w:val="auto"/>
          <w:sz w:val="22"/>
          <w:szCs w:val="22"/>
          <w:highlight w:val="none"/>
        </w:rPr>
      </w:pPr>
      <w:bookmarkStart w:id="1157" w:name="_Toc12975950"/>
      <w:bookmarkStart w:id="1158" w:name="_Toc389065324"/>
      <w:bookmarkStart w:id="1159" w:name="_Toc395382562"/>
      <w:bookmarkStart w:id="1160" w:name="_Toc533432785"/>
      <w:bookmarkStart w:id="1161" w:name="_Toc373227759"/>
      <w:bookmarkStart w:id="1162" w:name="_Toc373478406"/>
      <w:r>
        <w:rPr>
          <w:rFonts w:hint="eastAsia" w:ascii="宋体" w:hAnsi="宋体" w:cs="宋体"/>
          <w:color w:val="auto"/>
          <w:sz w:val="22"/>
          <w:szCs w:val="22"/>
          <w:highlight w:val="none"/>
        </w:rPr>
        <w:t>14.1 竣工付款申请</w:t>
      </w:r>
      <w:bookmarkEnd w:id="1157"/>
      <w:bookmarkEnd w:id="1158"/>
      <w:bookmarkEnd w:id="1159"/>
      <w:bookmarkEnd w:id="1160"/>
      <w:bookmarkEnd w:id="1161"/>
      <w:bookmarkEnd w:id="1162"/>
    </w:p>
    <w:p w14:paraId="1C203B7E">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承包人提交竣工付款申请单的期限：</w:t>
      </w:r>
      <w:r>
        <w:rPr>
          <w:rFonts w:hint="eastAsia" w:ascii="宋体" w:hAnsi="宋体" w:cs="宋体"/>
          <w:color w:val="auto"/>
          <w:sz w:val="22"/>
          <w:highlight w:val="none"/>
          <w:u w:val="single"/>
        </w:rPr>
        <w:t xml:space="preserve">按通用合同条款执行  </w:t>
      </w:r>
      <w:r>
        <w:rPr>
          <w:rFonts w:hint="eastAsia" w:ascii="宋体" w:hAnsi="宋体" w:cs="宋体"/>
          <w:color w:val="auto"/>
          <w:sz w:val="22"/>
          <w:highlight w:val="none"/>
        </w:rPr>
        <w:t>。</w:t>
      </w:r>
    </w:p>
    <w:p w14:paraId="3F1450F2">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竣工付款申请单应包括的内容：</w:t>
      </w:r>
      <w:r>
        <w:rPr>
          <w:rFonts w:hint="eastAsia" w:ascii="宋体" w:hAnsi="宋体" w:cs="宋体"/>
          <w:color w:val="auto"/>
          <w:sz w:val="22"/>
          <w:highlight w:val="none"/>
          <w:u w:val="single"/>
        </w:rPr>
        <w:t xml:space="preserve">  （1）竣工结算合同价格；（2）发包人已支付承包人的款项；（3）应扣留的质量保证金；（4）发包人应支付承包人的合同价款 </w:t>
      </w:r>
      <w:r>
        <w:rPr>
          <w:rFonts w:hint="eastAsia" w:ascii="宋体" w:hAnsi="宋体" w:cs="宋体"/>
          <w:color w:val="auto"/>
          <w:sz w:val="22"/>
          <w:highlight w:val="none"/>
        </w:rPr>
        <w:t>。</w:t>
      </w:r>
    </w:p>
    <w:p w14:paraId="479AED94">
      <w:pPr>
        <w:pStyle w:val="46"/>
        <w:spacing w:line="360" w:lineRule="exact"/>
        <w:jc w:val="left"/>
        <w:rPr>
          <w:rFonts w:ascii="宋体" w:hAnsi="宋体" w:cs="宋体"/>
          <w:b/>
          <w:color w:val="auto"/>
          <w:sz w:val="22"/>
          <w:szCs w:val="22"/>
          <w:highlight w:val="none"/>
        </w:rPr>
      </w:pPr>
    </w:p>
    <w:p w14:paraId="74A20AF9">
      <w:pPr>
        <w:pStyle w:val="46"/>
        <w:spacing w:line="360" w:lineRule="exact"/>
        <w:jc w:val="left"/>
        <w:rPr>
          <w:rFonts w:ascii="宋体" w:hAnsi="宋体" w:cs="宋体"/>
          <w:b/>
          <w:color w:val="auto"/>
          <w:sz w:val="22"/>
          <w:szCs w:val="22"/>
          <w:highlight w:val="none"/>
        </w:rPr>
      </w:pPr>
      <w:r>
        <w:rPr>
          <w:rFonts w:hint="eastAsia" w:ascii="宋体" w:hAnsi="宋体" w:cs="宋体"/>
          <w:b/>
          <w:color w:val="auto"/>
          <w:sz w:val="22"/>
          <w:szCs w:val="22"/>
          <w:highlight w:val="none"/>
        </w:rPr>
        <w:t>增加以下内容：</w:t>
      </w:r>
    </w:p>
    <w:p w14:paraId="75AC6C5C">
      <w:pPr>
        <w:pStyle w:val="46"/>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竣工结算申请单资料清单应包括的内容：</w:t>
      </w:r>
      <w:r>
        <w:rPr>
          <w:rFonts w:hint="eastAsia" w:ascii="宋体" w:hAnsi="宋体" w:cs="宋体"/>
          <w:color w:val="auto"/>
          <w:sz w:val="22"/>
          <w:szCs w:val="22"/>
          <w:highlight w:val="none"/>
          <w:u w:val="single"/>
        </w:rPr>
        <w:t>（1）结算申请函（2）完整施工图；（3）竣工图(含电子版）；（4）结算书(含软件版）；（5）设计变更情况及批件；（6）工程洽商记录；（7）现场签证单；（8）磋商文件；（9）施工合同；（10）开工报告；（11）原材料试验报告；（12）竣工验收记录及质量评定结果；（13）成交通知书；（14）隐蔽工程记录；(15)计量资料；（16）依据当地相关府门要求提供的其他材料。</w:t>
      </w:r>
    </w:p>
    <w:p w14:paraId="44B4D138">
      <w:pPr>
        <w:pStyle w:val="45"/>
        <w:spacing w:line="360" w:lineRule="exact"/>
        <w:rPr>
          <w:rFonts w:ascii="宋体" w:hAnsi="宋体" w:cs="宋体"/>
          <w:color w:val="auto"/>
          <w:sz w:val="22"/>
          <w:szCs w:val="22"/>
          <w:highlight w:val="none"/>
        </w:rPr>
      </w:pPr>
      <w:bookmarkStart w:id="1163" w:name="_Toc533432786"/>
      <w:bookmarkStart w:id="1164" w:name="_Toc389065325"/>
      <w:bookmarkStart w:id="1165" w:name="_Toc373227760"/>
      <w:bookmarkStart w:id="1166" w:name="_Toc12975951"/>
      <w:bookmarkStart w:id="1167" w:name="_Toc373478407"/>
      <w:bookmarkStart w:id="1168" w:name="_Toc395382563"/>
      <w:r>
        <w:rPr>
          <w:rFonts w:hint="eastAsia" w:ascii="宋体" w:hAnsi="宋体" w:cs="宋体"/>
          <w:color w:val="auto"/>
          <w:sz w:val="22"/>
          <w:szCs w:val="22"/>
          <w:highlight w:val="none"/>
        </w:rPr>
        <w:t>14.2 竣工结算审核</w:t>
      </w:r>
      <w:bookmarkEnd w:id="1163"/>
      <w:bookmarkEnd w:id="1164"/>
      <w:bookmarkEnd w:id="1165"/>
      <w:bookmarkEnd w:id="1166"/>
      <w:bookmarkEnd w:id="1167"/>
      <w:bookmarkEnd w:id="1168"/>
    </w:p>
    <w:p w14:paraId="25989C26">
      <w:pPr>
        <w:pStyle w:val="44"/>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发包人审批竣工付款申请单的期限：</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589"/>
        <w:gridCol w:w="5844"/>
      </w:tblGrid>
      <w:tr w14:paraId="5FD0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65B2E3DE">
            <w:pPr>
              <w:spacing w:line="360" w:lineRule="auto"/>
              <w:jc w:val="center"/>
              <w:rPr>
                <w:color w:val="auto"/>
                <w:sz w:val="22"/>
                <w:szCs w:val="22"/>
                <w:highlight w:val="none"/>
              </w:rPr>
            </w:pPr>
          </w:p>
        </w:tc>
        <w:tc>
          <w:tcPr>
            <w:tcW w:w="2589" w:type="dxa"/>
            <w:noWrap w:val="0"/>
            <w:vAlign w:val="center"/>
          </w:tcPr>
          <w:p w14:paraId="3FD07ACB">
            <w:pPr>
              <w:spacing w:line="360" w:lineRule="auto"/>
              <w:ind w:firstLine="28" w:firstLineChars="13"/>
              <w:jc w:val="center"/>
              <w:rPr>
                <w:color w:val="auto"/>
                <w:sz w:val="22"/>
                <w:szCs w:val="22"/>
                <w:highlight w:val="none"/>
              </w:rPr>
            </w:pPr>
            <w:r>
              <w:rPr>
                <w:rFonts w:hint="eastAsia" w:hAnsi="宋体" w:cs="宋体"/>
                <w:color w:val="auto"/>
                <w:sz w:val="22"/>
                <w:szCs w:val="22"/>
                <w:highlight w:val="none"/>
              </w:rPr>
              <w:t>工程竣工结算报告金额</w:t>
            </w:r>
          </w:p>
        </w:tc>
        <w:tc>
          <w:tcPr>
            <w:tcW w:w="5844" w:type="dxa"/>
            <w:noWrap w:val="0"/>
            <w:vAlign w:val="center"/>
          </w:tcPr>
          <w:p w14:paraId="17EBFA3B">
            <w:pPr>
              <w:spacing w:line="360" w:lineRule="auto"/>
              <w:ind w:firstLine="462" w:firstLineChars="210"/>
              <w:jc w:val="center"/>
              <w:rPr>
                <w:color w:val="auto"/>
                <w:sz w:val="22"/>
                <w:szCs w:val="22"/>
                <w:highlight w:val="none"/>
              </w:rPr>
            </w:pPr>
            <w:r>
              <w:rPr>
                <w:rFonts w:hint="eastAsia" w:hAnsi="宋体" w:cs="宋体"/>
                <w:color w:val="auto"/>
                <w:sz w:val="22"/>
                <w:szCs w:val="22"/>
                <w:highlight w:val="none"/>
              </w:rPr>
              <w:t>发包人审查时间</w:t>
            </w:r>
          </w:p>
        </w:tc>
      </w:tr>
      <w:tr w14:paraId="7A4F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E8D352A">
            <w:pPr>
              <w:spacing w:line="360" w:lineRule="auto"/>
              <w:jc w:val="center"/>
              <w:rPr>
                <w:color w:val="auto"/>
                <w:sz w:val="22"/>
                <w:szCs w:val="22"/>
                <w:highlight w:val="none"/>
              </w:rPr>
            </w:pPr>
            <w:r>
              <w:rPr>
                <w:color w:val="auto"/>
                <w:sz w:val="22"/>
                <w:szCs w:val="22"/>
                <w:highlight w:val="none"/>
              </w:rPr>
              <w:t>1</w:t>
            </w:r>
          </w:p>
        </w:tc>
        <w:tc>
          <w:tcPr>
            <w:tcW w:w="2589" w:type="dxa"/>
            <w:noWrap w:val="0"/>
            <w:vAlign w:val="center"/>
          </w:tcPr>
          <w:p w14:paraId="04519537">
            <w:pPr>
              <w:spacing w:line="360" w:lineRule="auto"/>
              <w:ind w:firstLine="28" w:firstLineChars="13"/>
              <w:jc w:val="center"/>
              <w:rPr>
                <w:color w:val="auto"/>
                <w:sz w:val="22"/>
                <w:szCs w:val="22"/>
                <w:highlight w:val="none"/>
              </w:rPr>
            </w:pPr>
            <w:r>
              <w:rPr>
                <w:color w:val="auto"/>
                <w:sz w:val="22"/>
                <w:szCs w:val="22"/>
                <w:highlight w:val="none"/>
              </w:rPr>
              <w:t>500</w:t>
            </w:r>
            <w:r>
              <w:rPr>
                <w:rFonts w:hint="eastAsia" w:hAnsi="宋体" w:cs="宋体"/>
                <w:color w:val="auto"/>
                <w:sz w:val="22"/>
                <w:szCs w:val="22"/>
                <w:highlight w:val="none"/>
              </w:rPr>
              <w:t>万元以下</w:t>
            </w:r>
          </w:p>
        </w:tc>
        <w:tc>
          <w:tcPr>
            <w:tcW w:w="5844" w:type="dxa"/>
            <w:noWrap w:val="0"/>
            <w:vAlign w:val="center"/>
          </w:tcPr>
          <w:p w14:paraId="0B70D422">
            <w:pPr>
              <w:spacing w:line="360" w:lineRule="auto"/>
              <w:jc w:val="center"/>
              <w:rPr>
                <w:color w:val="auto"/>
                <w:sz w:val="22"/>
                <w:szCs w:val="22"/>
                <w:highlight w:val="none"/>
              </w:rPr>
            </w:pPr>
            <w:r>
              <w:rPr>
                <w:rFonts w:hint="eastAsia" w:hAnsi="宋体" w:cs="宋体"/>
                <w:color w:val="auto"/>
                <w:sz w:val="22"/>
                <w:szCs w:val="22"/>
                <w:highlight w:val="none"/>
              </w:rPr>
              <w:t>从接到竣工结算报告和完整的竣工结算资料之日起</w:t>
            </w:r>
            <w:r>
              <w:rPr>
                <w:color w:val="auto"/>
                <w:sz w:val="22"/>
                <w:szCs w:val="22"/>
                <w:highlight w:val="none"/>
              </w:rPr>
              <w:t>20</w:t>
            </w:r>
            <w:r>
              <w:rPr>
                <w:rFonts w:hint="eastAsia" w:hAnsi="宋体" w:cs="宋体"/>
                <w:color w:val="auto"/>
                <w:sz w:val="22"/>
                <w:szCs w:val="22"/>
                <w:highlight w:val="none"/>
              </w:rPr>
              <w:t>天</w:t>
            </w:r>
          </w:p>
        </w:tc>
      </w:tr>
      <w:tr w14:paraId="6F6B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6C22E3EB">
            <w:pPr>
              <w:spacing w:line="360" w:lineRule="auto"/>
              <w:jc w:val="center"/>
              <w:rPr>
                <w:color w:val="auto"/>
                <w:sz w:val="22"/>
                <w:szCs w:val="22"/>
                <w:highlight w:val="none"/>
              </w:rPr>
            </w:pPr>
            <w:r>
              <w:rPr>
                <w:color w:val="auto"/>
                <w:sz w:val="22"/>
                <w:szCs w:val="22"/>
                <w:highlight w:val="none"/>
              </w:rPr>
              <w:t>2</w:t>
            </w:r>
          </w:p>
        </w:tc>
        <w:tc>
          <w:tcPr>
            <w:tcW w:w="2589" w:type="dxa"/>
            <w:noWrap w:val="0"/>
            <w:vAlign w:val="center"/>
          </w:tcPr>
          <w:p w14:paraId="2540C8CE">
            <w:pPr>
              <w:spacing w:line="360" w:lineRule="auto"/>
              <w:ind w:firstLine="28" w:firstLineChars="13"/>
              <w:jc w:val="center"/>
              <w:rPr>
                <w:color w:val="auto"/>
                <w:sz w:val="22"/>
                <w:szCs w:val="22"/>
                <w:highlight w:val="none"/>
              </w:rPr>
            </w:pPr>
            <w:r>
              <w:rPr>
                <w:color w:val="auto"/>
                <w:sz w:val="22"/>
                <w:szCs w:val="22"/>
                <w:highlight w:val="none"/>
              </w:rPr>
              <w:t>500</w:t>
            </w:r>
            <w:r>
              <w:rPr>
                <w:rFonts w:hint="eastAsia" w:hAnsi="宋体" w:cs="宋体"/>
                <w:color w:val="auto"/>
                <w:sz w:val="22"/>
                <w:szCs w:val="22"/>
                <w:highlight w:val="none"/>
              </w:rPr>
              <w:t>万元</w:t>
            </w:r>
            <w:r>
              <w:rPr>
                <w:color w:val="auto"/>
                <w:sz w:val="22"/>
                <w:szCs w:val="22"/>
                <w:highlight w:val="none"/>
              </w:rPr>
              <w:t>-2000</w:t>
            </w:r>
            <w:r>
              <w:rPr>
                <w:rFonts w:hint="eastAsia" w:hAnsi="宋体" w:cs="宋体"/>
                <w:color w:val="auto"/>
                <w:sz w:val="22"/>
                <w:szCs w:val="22"/>
                <w:highlight w:val="none"/>
              </w:rPr>
              <w:t>万元</w:t>
            </w:r>
          </w:p>
        </w:tc>
        <w:tc>
          <w:tcPr>
            <w:tcW w:w="5844" w:type="dxa"/>
            <w:noWrap w:val="0"/>
            <w:vAlign w:val="center"/>
          </w:tcPr>
          <w:p w14:paraId="12D9C940">
            <w:pPr>
              <w:spacing w:line="360" w:lineRule="auto"/>
              <w:jc w:val="center"/>
              <w:rPr>
                <w:color w:val="auto"/>
                <w:sz w:val="22"/>
                <w:szCs w:val="22"/>
                <w:highlight w:val="none"/>
              </w:rPr>
            </w:pPr>
            <w:r>
              <w:rPr>
                <w:rFonts w:hint="eastAsia" w:hAnsi="宋体" w:cs="宋体"/>
                <w:color w:val="auto"/>
                <w:sz w:val="22"/>
                <w:szCs w:val="22"/>
                <w:highlight w:val="none"/>
              </w:rPr>
              <w:t>从接到竣工结算报告和完整的竣工结算资料之日起</w:t>
            </w:r>
            <w:r>
              <w:rPr>
                <w:color w:val="auto"/>
                <w:sz w:val="22"/>
                <w:szCs w:val="22"/>
                <w:highlight w:val="none"/>
              </w:rPr>
              <w:t>30</w:t>
            </w:r>
            <w:r>
              <w:rPr>
                <w:rFonts w:hint="eastAsia" w:hAnsi="宋体" w:cs="宋体"/>
                <w:color w:val="auto"/>
                <w:sz w:val="22"/>
                <w:szCs w:val="22"/>
                <w:highlight w:val="none"/>
              </w:rPr>
              <w:t>天</w:t>
            </w:r>
          </w:p>
        </w:tc>
      </w:tr>
      <w:tr w14:paraId="7F85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140CA460">
            <w:pPr>
              <w:spacing w:line="360" w:lineRule="auto"/>
              <w:jc w:val="center"/>
              <w:rPr>
                <w:color w:val="auto"/>
                <w:sz w:val="22"/>
                <w:szCs w:val="22"/>
                <w:highlight w:val="none"/>
              </w:rPr>
            </w:pPr>
            <w:r>
              <w:rPr>
                <w:color w:val="auto"/>
                <w:sz w:val="22"/>
                <w:szCs w:val="22"/>
                <w:highlight w:val="none"/>
              </w:rPr>
              <w:t>3</w:t>
            </w:r>
          </w:p>
        </w:tc>
        <w:tc>
          <w:tcPr>
            <w:tcW w:w="2589" w:type="dxa"/>
            <w:noWrap w:val="0"/>
            <w:vAlign w:val="center"/>
          </w:tcPr>
          <w:p w14:paraId="1476B399">
            <w:pPr>
              <w:spacing w:line="360" w:lineRule="auto"/>
              <w:ind w:firstLine="28" w:firstLineChars="13"/>
              <w:jc w:val="center"/>
              <w:rPr>
                <w:color w:val="auto"/>
                <w:sz w:val="22"/>
                <w:szCs w:val="22"/>
                <w:highlight w:val="none"/>
              </w:rPr>
            </w:pPr>
            <w:r>
              <w:rPr>
                <w:color w:val="auto"/>
                <w:sz w:val="22"/>
                <w:szCs w:val="22"/>
                <w:highlight w:val="none"/>
              </w:rPr>
              <w:t>2000</w:t>
            </w:r>
            <w:r>
              <w:rPr>
                <w:rFonts w:hint="eastAsia" w:hAnsi="宋体" w:cs="宋体"/>
                <w:color w:val="auto"/>
                <w:sz w:val="22"/>
                <w:szCs w:val="22"/>
                <w:highlight w:val="none"/>
              </w:rPr>
              <w:t>万元</w:t>
            </w:r>
            <w:r>
              <w:rPr>
                <w:color w:val="auto"/>
                <w:sz w:val="22"/>
                <w:szCs w:val="22"/>
                <w:highlight w:val="none"/>
              </w:rPr>
              <w:t>-5000</w:t>
            </w:r>
            <w:r>
              <w:rPr>
                <w:rFonts w:hint="eastAsia" w:hAnsi="宋体" w:cs="宋体"/>
                <w:color w:val="auto"/>
                <w:sz w:val="22"/>
                <w:szCs w:val="22"/>
                <w:highlight w:val="none"/>
              </w:rPr>
              <w:t>万元</w:t>
            </w:r>
          </w:p>
        </w:tc>
        <w:tc>
          <w:tcPr>
            <w:tcW w:w="5844" w:type="dxa"/>
            <w:noWrap w:val="0"/>
            <w:vAlign w:val="center"/>
          </w:tcPr>
          <w:p w14:paraId="2FDFFBEA">
            <w:pPr>
              <w:spacing w:line="360" w:lineRule="auto"/>
              <w:jc w:val="center"/>
              <w:rPr>
                <w:color w:val="auto"/>
                <w:sz w:val="22"/>
                <w:szCs w:val="22"/>
                <w:highlight w:val="none"/>
              </w:rPr>
            </w:pPr>
            <w:r>
              <w:rPr>
                <w:rFonts w:hint="eastAsia" w:hAnsi="宋体" w:cs="宋体"/>
                <w:color w:val="auto"/>
                <w:sz w:val="22"/>
                <w:szCs w:val="22"/>
                <w:highlight w:val="none"/>
              </w:rPr>
              <w:t>从接到竣工结算报告和完整的竣工结算资料之日起</w:t>
            </w:r>
            <w:r>
              <w:rPr>
                <w:color w:val="auto"/>
                <w:sz w:val="22"/>
                <w:szCs w:val="22"/>
                <w:highlight w:val="none"/>
              </w:rPr>
              <w:t>45</w:t>
            </w:r>
            <w:r>
              <w:rPr>
                <w:rFonts w:hint="eastAsia" w:hAnsi="宋体" w:cs="宋体"/>
                <w:color w:val="auto"/>
                <w:sz w:val="22"/>
                <w:szCs w:val="22"/>
                <w:highlight w:val="none"/>
              </w:rPr>
              <w:t>天</w:t>
            </w:r>
          </w:p>
        </w:tc>
      </w:tr>
      <w:tr w14:paraId="1D6A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A8A51FA">
            <w:pPr>
              <w:spacing w:line="360" w:lineRule="auto"/>
              <w:jc w:val="center"/>
              <w:rPr>
                <w:color w:val="auto"/>
                <w:sz w:val="22"/>
                <w:szCs w:val="22"/>
                <w:highlight w:val="none"/>
              </w:rPr>
            </w:pPr>
            <w:r>
              <w:rPr>
                <w:color w:val="auto"/>
                <w:sz w:val="22"/>
                <w:szCs w:val="22"/>
                <w:highlight w:val="none"/>
              </w:rPr>
              <w:t>4</w:t>
            </w:r>
          </w:p>
        </w:tc>
        <w:tc>
          <w:tcPr>
            <w:tcW w:w="2589" w:type="dxa"/>
            <w:noWrap w:val="0"/>
            <w:vAlign w:val="center"/>
          </w:tcPr>
          <w:p w14:paraId="1A157F52">
            <w:pPr>
              <w:spacing w:line="360" w:lineRule="auto"/>
              <w:ind w:firstLine="28" w:firstLineChars="13"/>
              <w:jc w:val="center"/>
              <w:rPr>
                <w:color w:val="auto"/>
                <w:sz w:val="22"/>
                <w:szCs w:val="22"/>
                <w:highlight w:val="none"/>
              </w:rPr>
            </w:pPr>
            <w:r>
              <w:rPr>
                <w:color w:val="auto"/>
                <w:sz w:val="22"/>
                <w:szCs w:val="22"/>
                <w:highlight w:val="none"/>
              </w:rPr>
              <w:t>5000</w:t>
            </w:r>
            <w:r>
              <w:rPr>
                <w:rFonts w:hint="eastAsia" w:hAnsi="宋体" w:cs="宋体"/>
                <w:color w:val="auto"/>
                <w:sz w:val="22"/>
                <w:szCs w:val="22"/>
                <w:highlight w:val="none"/>
              </w:rPr>
              <w:t>万元以上</w:t>
            </w:r>
          </w:p>
        </w:tc>
        <w:tc>
          <w:tcPr>
            <w:tcW w:w="5844" w:type="dxa"/>
            <w:noWrap w:val="0"/>
            <w:vAlign w:val="center"/>
          </w:tcPr>
          <w:p w14:paraId="41C9D999">
            <w:pPr>
              <w:spacing w:line="360" w:lineRule="auto"/>
              <w:jc w:val="center"/>
              <w:rPr>
                <w:color w:val="auto"/>
                <w:sz w:val="22"/>
                <w:szCs w:val="22"/>
                <w:highlight w:val="none"/>
              </w:rPr>
            </w:pPr>
            <w:r>
              <w:rPr>
                <w:rFonts w:hint="eastAsia" w:hAnsi="宋体" w:cs="宋体"/>
                <w:color w:val="auto"/>
                <w:sz w:val="22"/>
                <w:szCs w:val="22"/>
                <w:highlight w:val="none"/>
              </w:rPr>
              <w:t>从接到竣工结算报告和完整的竣工结算资料之日起</w:t>
            </w:r>
            <w:r>
              <w:rPr>
                <w:color w:val="auto"/>
                <w:sz w:val="22"/>
                <w:szCs w:val="22"/>
                <w:highlight w:val="none"/>
              </w:rPr>
              <w:t>60</w:t>
            </w:r>
            <w:r>
              <w:rPr>
                <w:rFonts w:hint="eastAsia" w:hAnsi="宋体" w:cs="宋体"/>
                <w:color w:val="auto"/>
                <w:sz w:val="22"/>
                <w:szCs w:val="22"/>
                <w:highlight w:val="none"/>
              </w:rPr>
              <w:t>天</w:t>
            </w:r>
          </w:p>
        </w:tc>
      </w:tr>
      <w:tr w14:paraId="4352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86F9501">
            <w:pPr>
              <w:spacing w:line="360" w:lineRule="auto"/>
              <w:jc w:val="center"/>
              <w:rPr>
                <w:color w:val="auto"/>
                <w:sz w:val="22"/>
                <w:szCs w:val="22"/>
                <w:highlight w:val="none"/>
              </w:rPr>
            </w:pPr>
            <w:r>
              <w:rPr>
                <w:rFonts w:hint="eastAsia"/>
                <w:color w:val="auto"/>
                <w:sz w:val="22"/>
                <w:szCs w:val="22"/>
                <w:highlight w:val="none"/>
              </w:rPr>
              <w:t>5</w:t>
            </w:r>
          </w:p>
        </w:tc>
        <w:tc>
          <w:tcPr>
            <w:tcW w:w="2589" w:type="dxa"/>
            <w:noWrap w:val="0"/>
            <w:vAlign w:val="center"/>
          </w:tcPr>
          <w:p w14:paraId="19872473">
            <w:pPr>
              <w:spacing w:line="360" w:lineRule="auto"/>
              <w:ind w:firstLine="28" w:firstLineChars="13"/>
              <w:jc w:val="center"/>
              <w:rPr>
                <w:color w:val="auto"/>
                <w:sz w:val="22"/>
                <w:szCs w:val="22"/>
                <w:highlight w:val="none"/>
              </w:rPr>
            </w:pPr>
            <w:r>
              <w:rPr>
                <w:rFonts w:hint="eastAsia"/>
                <w:color w:val="auto"/>
                <w:sz w:val="22"/>
                <w:szCs w:val="22"/>
                <w:highlight w:val="none"/>
              </w:rPr>
              <w:t>5000万以上每增加</w:t>
            </w:r>
            <w:r>
              <w:rPr>
                <w:color w:val="auto"/>
                <w:sz w:val="22"/>
                <w:szCs w:val="22"/>
                <w:highlight w:val="none"/>
              </w:rPr>
              <w:t>0.5</w:t>
            </w:r>
            <w:r>
              <w:rPr>
                <w:rFonts w:hint="eastAsia"/>
                <w:color w:val="auto"/>
                <w:sz w:val="22"/>
                <w:szCs w:val="22"/>
                <w:highlight w:val="none"/>
              </w:rPr>
              <w:t>亿(不足0.5亿不增加)</w:t>
            </w:r>
          </w:p>
        </w:tc>
        <w:tc>
          <w:tcPr>
            <w:tcW w:w="5844" w:type="dxa"/>
            <w:noWrap w:val="0"/>
            <w:vAlign w:val="center"/>
          </w:tcPr>
          <w:p w14:paraId="1CA3693A">
            <w:pPr>
              <w:spacing w:line="360" w:lineRule="auto"/>
              <w:jc w:val="center"/>
              <w:rPr>
                <w:rFonts w:hAnsi="宋体" w:cs="宋体"/>
                <w:color w:val="auto"/>
                <w:sz w:val="22"/>
                <w:szCs w:val="22"/>
                <w:highlight w:val="none"/>
              </w:rPr>
            </w:pPr>
            <w:r>
              <w:rPr>
                <w:rFonts w:hint="eastAsia" w:hAnsi="宋体" w:cs="宋体"/>
                <w:color w:val="auto"/>
                <w:sz w:val="22"/>
                <w:szCs w:val="22"/>
                <w:highlight w:val="none"/>
              </w:rPr>
              <w:t>增加10天</w:t>
            </w:r>
          </w:p>
        </w:tc>
      </w:tr>
    </w:tbl>
    <w:p w14:paraId="4A2AEAD5">
      <w:pPr>
        <w:pStyle w:val="44"/>
        <w:spacing w:line="360" w:lineRule="exact"/>
        <w:ind w:firstLine="440" w:firstLineChars="200"/>
        <w:jc w:val="left"/>
        <w:rPr>
          <w:rFonts w:hint="eastAsia" w:ascii="宋体" w:hAnsi="宋体" w:cs="宋体"/>
          <w:color w:val="auto"/>
          <w:sz w:val="22"/>
          <w:highlight w:val="none"/>
        </w:rPr>
      </w:pPr>
    </w:p>
    <w:p w14:paraId="1745ECBC">
      <w:pPr>
        <w:pStyle w:val="44"/>
        <w:spacing w:line="360" w:lineRule="exact"/>
        <w:ind w:firstLine="440" w:firstLineChars="200"/>
        <w:jc w:val="left"/>
        <w:rPr>
          <w:rFonts w:ascii="宋体" w:hAnsi="宋体" w:cs="宋体"/>
          <w:color w:val="auto"/>
          <w:sz w:val="22"/>
          <w:highlight w:val="none"/>
        </w:rPr>
      </w:pPr>
      <w:r>
        <w:rPr>
          <w:rFonts w:hint="eastAsia" w:ascii="宋体" w:hAnsi="宋体" w:cs="宋体"/>
          <w:bCs/>
          <w:color w:val="auto"/>
          <w:sz w:val="22"/>
          <w:highlight w:val="none"/>
        </w:rPr>
        <w:t>因承包人提供的结算资料不完整而需要补充或承包人不按时对账耽误时间时，审查时间应相应顺延</w:t>
      </w:r>
      <w:r>
        <w:rPr>
          <w:rFonts w:hint="eastAsia" w:ascii="宋体" w:hAnsi="宋体" w:cs="宋体"/>
          <w:color w:val="auto"/>
          <w:sz w:val="22"/>
          <w:highlight w:val="none"/>
        </w:rPr>
        <w:t>。</w:t>
      </w:r>
    </w:p>
    <w:p w14:paraId="5A793C56">
      <w:pPr>
        <w:pStyle w:val="44"/>
        <w:spacing w:line="360" w:lineRule="exact"/>
        <w:ind w:firstLine="431" w:firstLineChars="196"/>
        <w:rPr>
          <w:rFonts w:ascii="宋体" w:hAnsi="宋体" w:cs="宋体"/>
          <w:bCs/>
          <w:color w:val="auto"/>
          <w:sz w:val="22"/>
          <w:highlight w:val="none"/>
        </w:rPr>
      </w:pPr>
      <w:r>
        <w:rPr>
          <w:rFonts w:hint="eastAsia" w:ascii="宋体" w:hAnsi="宋体" w:cs="宋体"/>
          <w:bCs/>
          <w:color w:val="auto"/>
          <w:sz w:val="22"/>
          <w:highlight w:val="none"/>
        </w:rPr>
        <w:t>结算审核约定：</w:t>
      </w:r>
    </w:p>
    <w:p w14:paraId="4070B006">
      <w:pPr>
        <w:pStyle w:val="46"/>
        <w:spacing w:line="360" w:lineRule="exact"/>
        <w:ind w:firstLine="440" w:firstLineChars="200"/>
        <w:jc w:val="left"/>
        <w:rPr>
          <w:rFonts w:ascii="宋体" w:hAnsi="宋体" w:cs="宋体"/>
          <w:bCs/>
          <w:color w:val="auto"/>
          <w:sz w:val="22"/>
          <w:szCs w:val="22"/>
          <w:highlight w:val="none"/>
          <w:u w:val="single"/>
        </w:rPr>
      </w:pPr>
      <w:r>
        <w:rPr>
          <w:rFonts w:hint="eastAsia" w:ascii="宋体" w:hAnsi="宋体" w:cs="宋体"/>
          <w:bCs/>
          <w:color w:val="auto"/>
          <w:sz w:val="22"/>
          <w:szCs w:val="22"/>
          <w:highlight w:val="none"/>
          <w:u w:val="single"/>
        </w:rPr>
        <w:t>1、工程最终竣工结算达到《防城港市财政局关于印发防城港市本级政府投资建设项目财政投资评审业务改革方案的通知》（防财发〔2019〕31 号）规定的评审范围，需报财政部门审定，承包人所编制的工程竣工资料经发包人审核后，送到财政部门之日起，承包人所遗漏的与工程造价有关的签证不再作为结算审核依据，按自动放弃处理。竣工结算以财政评审意见为准。</w:t>
      </w:r>
    </w:p>
    <w:p w14:paraId="3DB63C21">
      <w:pPr>
        <w:pStyle w:val="46"/>
        <w:spacing w:line="360" w:lineRule="exact"/>
        <w:ind w:firstLine="440" w:firstLineChars="200"/>
        <w:jc w:val="left"/>
        <w:rPr>
          <w:rFonts w:ascii="宋体" w:hAnsi="宋体" w:cs="宋体"/>
          <w:bCs/>
          <w:color w:val="auto"/>
          <w:sz w:val="22"/>
          <w:szCs w:val="22"/>
          <w:highlight w:val="none"/>
          <w:u w:val="single"/>
        </w:rPr>
      </w:pPr>
      <w:r>
        <w:rPr>
          <w:rFonts w:hint="eastAsia" w:ascii="宋体" w:hAnsi="宋体" w:cs="宋体"/>
          <w:bCs/>
          <w:color w:val="auto"/>
          <w:sz w:val="22"/>
          <w:szCs w:val="22"/>
          <w:highlight w:val="none"/>
          <w:u w:val="single"/>
        </w:rPr>
        <w:t>2、如承包人报送的工程结算总价过高，造成财政部门、审计部门或第三方造价咨询机构对该项目结算审减率超过 8%以上的，则超出 8%以上部分的审核费由承包人承担，审核费上缴至防城港市财政局账户。</w:t>
      </w:r>
    </w:p>
    <w:p w14:paraId="58BAAD91">
      <w:pPr>
        <w:pStyle w:val="46"/>
        <w:spacing w:line="360" w:lineRule="exact"/>
        <w:ind w:firstLine="440" w:firstLineChars="200"/>
        <w:jc w:val="left"/>
        <w:rPr>
          <w:rFonts w:ascii="宋体" w:hAnsi="宋体" w:cs="宋体"/>
          <w:bCs/>
          <w:color w:val="auto"/>
          <w:sz w:val="22"/>
          <w:szCs w:val="22"/>
          <w:highlight w:val="none"/>
          <w:u w:val="single"/>
        </w:rPr>
      </w:pPr>
      <w:r>
        <w:rPr>
          <w:rFonts w:hint="eastAsia" w:ascii="宋体" w:hAnsi="宋体" w:cs="宋体"/>
          <w:bCs/>
          <w:color w:val="auto"/>
          <w:sz w:val="22"/>
          <w:szCs w:val="22"/>
          <w:highlight w:val="none"/>
          <w:u w:val="single"/>
        </w:rPr>
        <w:t>3、工程竣工验收报告经发包人认可后 10 个工作日内，承包人向发包人递交竣工验收合格资料及完整的结算资料和报告，双方按照本工程合同约定的价格形式及价款调整办法进行工程竣工结算。</w:t>
      </w:r>
    </w:p>
    <w:p w14:paraId="3787AFF8">
      <w:pPr>
        <w:pStyle w:val="46"/>
        <w:spacing w:line="360" w:lineRule="exact"/>
        <w:ind w:firstLine="440" w:firstLineChars="200"/>
        <w:jc w:val="left"/>
        <w:rPr>
          <w:rFonts w:ascii="宋体" w:hAnsi="宋体" w:cs="宋体"/>
          <w:color w:val="auto"/>
          <w:sz w:val="22"/>
          <w:szCs w:val="22"/>
          <w:highlight w:val="none"/>
        </w:rPr>
      </w:pPr>
      <w:r>
        <w:rPr>
          <w:rFonts w:hint="eastAsia" w:ascii="宋体" w:hAnsi="宋体" w:cs="宋体"/>
          <w:bCs/>
          <w:color w:val="auto"/>
          <w:sz w:val="22"/>
          <w:szCs w:val="22"/>
          <w:highlight w:val="none"/>
          <w:u w:val="single"/>
        </w:rPr>
        <w:t>4、政府投资工程的结算如需财政部门、审计部门或第三方造价咨询机构审定，最终结算金额以审定金额为准，不能以发包人审核的结果作为要求支付的依据。审计单位处理相关事宜需要一定时间，发包人不承担因审计单位拖延引起的任何责任。</w:t>
      </w:r>
    </w:p>
    <w:p w14:paraId="7A50F099">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发包人完成竣工付款的期限：</w:t>
      </w:r>
      <w:r>
        <w:rPr>
          <w:rFonts w:hint="eastAsia" w:ascii="宋体" w:hAnsi="宋体" w:cs="宋体"/>
          <w:color w:val="auto"/>
          <w:sz w:val="22"/>
          <w:highlight w:val="none"/>
          <w:u w:val="single"/>
        </w:rPr>
        <w:t xml:space="preserve">  双方约定 </w:t>
      </w:r>
      <w:r>
        <w:rPr>
          <w:rFonts w:hint="eastAsia" w:ascii="宋体" w:hAnsi="宋体" w:cs="宋体"/>
          <w:color w:val="auto"/>
          <w:sz w:val="22"/>
          <w:highlight w:val="none"/>
        </w:rPr>
        <w:t>。</w:t>
      </w:r>
    </w:p>
    <w:p w14:paraId="20F1ED12">
      <w:pPr>
        <w:pStyle w:val="44"/>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rPr>
        <w:t>关于竣工付款证书异议部分复核的方式和程序：</w:t>
      </w:r>
      <w:r>
        <w:rPr>
          <w:rFonts w:hint="eastAsia" w:ascii="宋体" w:hAnsi="宋体" w:cs="宋体"/>
          <w:color w:val="auto"/>
          <w:sz w:val="22"/>
          <w:highlight w:val="none"/>
          <w:u w:val="single"/>
        </w:rPr>
        <w:t xml:space="preserve">按通用合同条款执行 </w:t>
      </w:r>
      <w:r>
        <w:rPr>
          <w:rFonts w:hint="eastAsia" w:ascii="宋体" w:hAnsi="宋体" w:cs="宋体"/>
          <w:color w:val="auto"/>
          <w:sz w:val="22"/>
          <w:highlight w:val="none"/>
        </w:rPr>
        <w:t>。</w:t>
      </w:r>
    </w:p>
    <w:p w14:paraId="016B113B">
      <w:pPr>
        <w:pStyle w:val="45"/>
        <w:spacing w:line="360" w:lineRule="exact"/>
        <w:rPr>
          <w:rFonts w:ascii="宋体" w:hAnsi="宋体" w:cs="宋体"/>
          <w:color w:val="auto"/>
          <w:sz w:val="22"/>
          <w:szCs w:val="22"/>
          <w:highlight w:val="none"/>
        </w:rPr>
      </w:pPr>
      <w:bookmarkStart w:id="1169" w:name="_Toc373478408"/>
      <w:bookmarkStart w:id="1170" w:name="_Toc395382564"/>
      <w:bookmarkStart w:id="1171" w:name="_Toc389065326"/>
      <w:bookmarkStart w:id="1172" w:name="_Toc373227761"/>
      <w:bookmarkStart w:id="1173" w:name="_Toc12975952"/>
      <w:bookmarkStart w:id="1174" w:name="_Toc533432787"/>
      <w:r>
        <w:rPr>
          <w:rFonts w:hint="eastAsia" w:ascii="宋体" w:hAnsi="宋体" w:cs="宋体"/>
          <w:color w:val="auto"/>
          <w:sz w:val="22"/>
          <w:szCs w:val="22"/>
          <w:highlight w:val="none"/>
        </w:rPr>
        <w:t>14.4 最终结清</w:t>
      </w:r>
      <w:bookmarkEnd w:id="1169"/>
      <w:bookmarkEnd w:id="1170"/>
      <w:bookmarkEnd w:id="1171"/>
      <w:bookmarkEnd w:id="1172"/>
      <w:bookmarkEnd w:id="1173"/>
      <w:bookmarkEnd w:id="1174"/>
    </w:p>
    <w:p w14:paraId="77238FE6">
      <w:pPr>
        <w:pStyle w:val="44"/>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14.4.1 最终结清申请单</w:t>
      </w:r>
    </w:p>
    <w:p w14:paraId="460909E7">
      <w:pPr>
        <w:pStyle w:val="44"/>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承包人提交最终结清申请单的份数：</w:t>
      </w:r>
      <w:r>
        <w:rPr>
          <w:rFonts w:hint="eastAsia" w:ascii="宋体" w:hAnsi="宋体" w:cs="宋体"/>
          <w:color w:val="auto"/>
          <w:sz w:val="22"/>
          <w:highlight w:val="none"/>
          <w:u w:val="single"/>
        </w:rPr>
        <w:t xml:space="preserve">   四份  </w:t>
      </w:r>
      <w:r>
        <w:rPr>
          <w:rFonts w:hint="eastAsia" w:ascii="宋体" w:hAnsi="宋体" w:cs="宋体"/>
          <w:color w:val="auto"/>
          <w:sz w:val="22"/>
          <w:highlight w:val="none"/>
        </w:rPr>
        <w:t>。</w:t>
      </w:r>
    </w:p>
    <w:p w14:paraId="3AE42DE3">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kern w:val="0"/>
          <w:sz w:val="22"/>
          <w:highlight w:val="none"/>
        </w:rPr>
        <w:t>承包人提交最终结算申请单的期限：</w:t>
      </w:r>
      <w:r>
        <w:rPr>
          <w:rFonts w:hint="eastAsia" w:ascii="宋体" w:hAnsi="宋体" w:cs="宋体"/>
          <w:color w:val="auto"/>
          <w:sz w:val="22"/>
          <w:highlight w:val="none"/>
          <w:u w:val="single"/>
        </w:rPr>
        <w:t>按通用合同条款执行</w:t>
      </w:r>
      <w:r>
        <w:rPr>
          <w:rFonts w:hint="eastAsia" w:ascii="宋体" w:hAnsi="宋体" w:cs="宋体"/>
          <w:color w:val="auto"/>
          <w:sz w:val="22"/>
          <w:highlight w:val="none"/>
        </w:rPr>
        <w:t xml:space="preserve">。 </w:t>
      </w:r>
    </w:p>
    <w:p w14:paraId="576B61FD">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14.4.2 最终结清证书和支付</w:t>
      </w:r>
    </w:p>
    <w:p w14:paraId="4BDE5E1F">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（1）发包人完成最终结清申请单的审批并颁发最终结清证书的期限：</w:t>
      </w:r>
      <w:r>
        <w:rPr>
          <w:rFonts w:hint="eastAsia" w:ascii="宋体" w:hAnsi="宋体" w:cs="宋体"/>
          <w:color w:val="auto"/>
          <w:sz w:val="22"/>
          <w:highlight w:val="none"/>
          <w:u w:val="single"/>
        </w:rPr>
        <w:t>按通用合同条款执行</w:t>
      </w:r>
      <w:r>
        <w:rPr>
          <w:rFonts w:hint="eastAsia" w:ascii="宋体" w:hAnsi="宋体" w:cs="宋体"/>
          <w:color w:val="auto"/>
          <w:sz w:val="22"/>
          <w:highlight w:val="none"/>
        </w:rPr>
        <w:t>。</w:t>
      </w:r>
    </w:p>
    <w:p w14:paraId="53822429">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（2）发包人完成支付的期限：</w:t>
      </w:r>
      <w:r>
        <w:rPr>
          <w:rFonts w:hint="eastAsia" w:ascii="宋体" w:hAnsi="宋体" w:cs="宋体"/>
          <w:color w:val="auto"/>
          <w:sz w:val="22"/>
          <w:highlight w:val="none"/>
          <w:u w:val="single"/>
        </w:rPr>
        <w:t xml:space="preserve">质量保证金的返还：工程交付使用至质量缺陷期满后无工程质量问题的，质量缺陷期满后承包方提交书面申请起15个工作日内发包人按程序退还 （无息） </w:t>
      </w:r>
      <w:r>
        <w:rPr>
          <w:rFonts w:hint="eastAsia" w:ascii="宋体" w:hAnsi="宋体" w:cs="宋体"/>
          <w:color w:val="auto"/>
          <w:sz w:val="22"/>
          <w:highlight w:val="none"/>
        </w:rPr>
        <w:t>。</w:t>
      </w:r>
    </w:p>
    <w:bookmarkEnd w:id="1125"/>
    <w:bookmarkEnd w:id="1126"/>
    <w:bookmarkEnd w:id="1127"/>
    <w:bookmarkEnd w:id="1128"/>
    <w:bookmarkEnd w:id="1129"/>
    <w:bookmarkEnd w:id="1130"/>
    <w:bookmarkEnd w:id="1131"/>
    <w:bookmarkEnd w:id="1137"/>
    <w:p w14:paraId="52D86FE0">
      <w:pPr>
        <w:pStyle w:val="43"/>
        <w:spacing w:before="0" w:after="0" w:line="360" w:lineRule="exact"/>
        <w:rPr>
          <w:rFonts w:ascii="宋体" w:hAnsi="宋体" w:cs="宋体"/>
          <w:color w:val="auto"/>
          <w:sz w:val="22"/>
          <w:szCs w:val="22"/>
          <w:highlight w:val="none"/>
        </w:rPr>
      </w:pPr>
      <w:bookmarkStart w:id="1175" w:name="_Toc12975953"/>
      <w:bookmarkStart w:id="1176" w:name="_Toc351203647"/>
      <w:bookmarkStart w:id="1177" w:name="_Toc395382565"/>
      <w:bookmarkStart w:id="1178" w:name="_Toc389065327"/>
      <w:bookmarkStart w:id="1179" w:name="_Toc373478409"/>
      <w:bookmarkStart w:id="1180" w:name="_Toc533432788"/>
      <w:bookmarkStart w:id="1181" w:name="_Toc373227762"/>
      <w:bookmarkStart w:id="1182" w:name="_Toc267251483"/>
      <w:bookmarkStart w:id="1183" w:name="_Toc267251484"/>
      <w:bookmarkStart w:id="1184" w:name="_Toc267251482"/>
      <w:bookmarkStart w:id="1185" w:name="_Toc267251485"/>
      <w:bookmarkStart w:id="1186" w:name="_Toc267251489"/>
      <w:bookmarkStart w:id="1187" w:name="_Toc267251486"/>
      <w:bookmarkStart w:id="1188" w:name="_Toc267251490"/>
      <w:bookmarkStart w:id="1189" w:name="_Toc267251488"/>
      <w:bookmarkStart w:id="1190" w:name="_Toc267251499"/>
      <w:bookmarkStart w:id="1191" w:name="_Toc267251497"/>
      <w:bookmarkStart w:id="1192" w:name="_Toc267251492"/>
      <w:bookmarkStart w:id="1193" w:name="_Toc267251496"/>
      <w:bookmarkStart w:id="1194" w:name="_Toc267251503"/>
      <w:bookmarkStart w:id="1195" w:name="_Toc267251493"/>
      <w:bookmarkStart w:id="1196" w:name="_Toc267251491"/>
      <w:bookmarkStart w:id="1197" w:name="_Toc267251502"/>
      <w:bookmarkStart w:id="1198" w:name="_Toc267251495"/>
      <w:bookmarkStart w:id="1199" w:name="_Toc267251494"/>
      <w:bookmarkStart w:id="1200" w:name="_Toc267251501"/>
      <w:bookmarkStart w:id="1201" w:name="_Toc267251498"/>
      <w:bookmarkStart w:id="1202" w:name="_Toc267251506"/>
      <w:bookmarkStart w:id="1203" w:name="_Toc267251504"/>
      <w:bookmarkStart w:id="1204" w:name="_Toc267251507"/>
      <w:bookmarkStart w:id="1205" w:name="_Toc267251508"/>
      <w:bookmarkStart w:id="1206" w:name="_Toc267251513"/>
      <w:bookmarkStart w:id="1207" w:name="_Toc267251514"/>
      <w:bookmarkStart w:id="1208" w:name="_Toc267251510"/>
      <w:bookmarkStart w:id="1209" w:name="_Toc267251511"/>
      <w:bookmarkStart w:id="1210" w:name="_Toc267251509"/>
      <w:bookmarkStart w:id="1211" w:name="_Toc267251515"/>
      <w:r>
        <w:rPr>
          <w:rFonts w:hint="eastAsia" w:ascii="宋体" w:hAnsi="宋体" w:cs="宋体"/>
          <w:color w:val="auto"/>
          <w:sz w:val="22"/>
          <w:szCs w:val="22"/>
          <w:highlight w:val="none"/>
        </w:rPr>
        <w:t>15. 缺陷责任期与保修</w:t>
      </w:r>
      <w:bookmarkEnd w:id="1175"/>
      <w:bookmarkEnd w:id="1176"/>
      <w:bookmarkEnd w:id="1177"/>
      <w:bookmarkEnd w:id="1178"/>
      <w:bookmarkEnd w:id="1179"/>
      <w:bookmarkEnd w:id="1180"/>
      <w:bookmarkEnd w:id="1181"/>
    </w:p>
    <w:p w14:paraId="725A8FF4">
      <w:pPr>
        <w:pStyle w:val="45"/>
        <w:spacing w:line="360" w:lineRule="exact"/>
        <w:rPr>
          <w:rFonts w:ascii="宋体" w:hAnsi="宋体" w:cs="宋体"/>
          <w:color w:val="auto"/>
          <w:sz w:val="22"/>
          <w:szCs w:val="22"/>
          <w:highlight w:val="none"/>
        </w:rPr>
      </w:pPr>
      <w:bookmarkStart w:id="1212" w:name="_Toc533432789"/>
      <w:bookmarkStart w:id="1213" w:name="_Toc373227763"/>
      <w:bookmarkStart w:id="1214" w:name="_Toc12975954"/>
      <w:bookmarkStart w:id="1215" w:name="_Toc373478410"/>
      <w:bookmarkStart w:id="1216" w:name="_Toc389065328"/>
      <w:bookmarkStart w:id="1217" w:name="_Toc395382566"/>
      <w:r>
        <w:rPr>
          <w:rFonts w:hint="eastAsia" w:ascii="宋体" w:hAnsi="宋体" w:cs="宋体"/>
          <w:color w:val="auto"/>
          <w:sz w:val="22"/>
          <w:szCs w:val="22"/>
          <w:highlight w:val="none"/>
        </w:rPr>
        <w:t>15.2 缺陷责任期</w:t>
      </w:r>
      <w:bookmarkEnd w:id="1182"/>
      <w:bookmarkEnd w:id="1212"/>
      <w:bookmarkEnd w:id="1213"/>
      <w:bookmarkEnd w:id="1214"/>
      <w:bookmarkEnd w:id="1215"/>
      <w:bookmarkEnd w:id="1216"/>
      <w:bookmarkEnd w:id="1217"/>
    </w:p>
    <w:p w14:paraId="2DE9E492">
      <w:pPr>
        <w:pStyle w:val="44"/>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rPr>
        <w:t>缺陷责任期的具体期限：</w:t>
      </w:r>
      <w:r>
        <w:rPr>
          <w:rFonts w:hint="eastAsia" w:ascii="宋体" w:hAnsi="宋体" w:cs="宋体"/>
          <w:color w:val="auto"/>
          <w:sz w:val="22"/>
          <w:highlight w:val="none"/>
          <w:u w:val="single"/>
        </w:rPr>
        <w:t xml:space="preserve">  </w:t>
      </w:r>
      <w:r>
        <w:rPr>
          <w:rFonts w:hint="eastAsia" w:ascii="宋体" w:hAnsi="宋体" w:cs="宋体"/>
          <w:color w:val="auto"/>
          <w:sz w:val="22"/>
          <w:highlight w:val="none"/>
          <w:u w:val="single"/>
          <w:lang w:val="en-US" w:eastAsia="zh-CN"/>
        </w:rPr>
        <w:t>12</w:t>
      </w:r>
      <w:r>
        <w:rPr>
          <w:rFonts w:hint="eastAsia" w:ascii="宋体" w:hAnsi="宋体" w:cs="宋体"/>
          <w:color w:val="auto"/>
          <w:sz w:val="22"/>
          <w:highlight w:val="none"/>
          <w:u w:val="single"/>
        </w:rPr>
        <w:t xml:space="preserve">个月    </w:t>
      </w:r>
      <w:r>
        <w:rPr>
          <w:rFonts w:hint="eastAsia" w:ascii="宋体" w:hAnsi="宋体" w:cs="宋体"/>
          <w:color w:val="auto"/>
          <w:sz w:val="22"/>
          <w:highlight w:val="none"/>
        </w:rPr>
        <w:t>。</w:t>
      </w:r>
    </w:p>
    <w:p w14:paraId="7AAC65C1">
      <w:pPr>
        <w:pStyle w:val="45"/>
        <w:spacing w:line="360" w:lineRule="exact"/>
        <w:rPr>
          <w:rFonts w:ascii="宋体" w:hAnsi="宋体" w:cs="宋体"/>
          <w:color w:val="auto"/>
          <w:sz w:val="22"/>
          <w:szCs w:val="22"/>
          <w:highlight w:val="none"/>
        </w:rPr>
      </w:pPr>
      <w:bookmarkStart w:id="1218" w:name="_Toc373227764"/>
      <w:bookmarkStart w:id="1219" w:name="_Toc12975955"/>
      <w:bookmarkStart w:id="1220" w:name="_Toc389065329"/>
      <w:bookmarkStart w:id="1221" w:name="_Toc373478411"/>
      <w:bookmarkStart w:id="1222" w:name="_Toc533432790"/>
      <w:bookmarkStart w:id="1223" w:name="_Toc395382567"/>
      <w:r>
        <w:rPr>
          <w:rFonts w:hint="eastAsia" w:ascii="宋体" w:hAnsi="宋体" w:cs="宋体"/>
          <w:color w:val="auto"/>
          <w:sz w:val="22"/>
          <w:szCs w:val="22"/>
          <w:highlight w:val="none"/>
        </w:rPr>
        <w:t>15.3 质量保证金</w:t>
      </w:r>
      <w:bookmarkEnd w:id="1218"/>
      <w:bookmarkEnd w:id="1219"/>
      <w:bookmarkEnd w:id="1220"/>
      <w:bookmarkEnd w:id="1221"/>
      <w:bookmarkEnd w:id="1222"/>
      <w:bookmarkEnd w:id="1223"/>
    </w:p>
    <w:p w14:paraId="5764016C">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关于是否扣留质量保证金的约定：</w:t>
      </w:r>
      <w:r>
        <w:rPr>
          <w:rFonts w:hint="eastAsia" w:ascii="宋体" w:hAnsi="宋体" w:cs="宋体"/>
          <w:color w:val="auto"/>
          <w:sz w:val="22"/>
          <w:highlight w:val="none"/>
          <w:u w:val="single"/>
        </w:rPr>
        <w:t xml:space="preserve">    扣留     </w:t>
      </w:r>
      <w:r>
        <w:rPr>
          <w:rFonts w:hint="eastAsia" w:ascii="宋体" w:hAnsi="宋体" w:cs="宋体"/>
          <w:color w:val="auto"/>
          <w:sz w:val="22"/>
          <w:highlight w:val="none"/>
        </w:rPr>
        <w:t>。</w:t>
      </w:r>
    </w:p>
    <w:p w14:paraId="2AE01D81">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15.3.1 承包人提供质量保证金的方式</w:t>
      </w:r>
    </w:p>
    <w:p w14:paraId="2EFE551A">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质量保证金采用以下第</w:t>
      </w:r>
      <w:r>
        <w:rPr>
          <w:rFonts w:hint="eastAsia" w:ascii="宋体" w:hAnsi="宋体" w:cs="宋体"/>
          <w:color w:val="auto"/>
          <w:sz w:val="22"/>
          <w:highlight w:val="none"/>
          <w:u w:val="single"/>
        </w:rPr>
        <w:t xml:space="preserve">  （2）   </w:t>
      </w:r>
      <w:r>
        <w:rPr>
          <w:rFonts w:hint="eastAsia" w:ascii="宋体" w:hAnsi="宋体" w:cs="宋体"/>
          <w:color w:val="auto"/>
          <w:sz w:val="22"/>
          <w:highlight w:val="none"/>
        </w:rPr>
        <w:t>种方式：</w:t>
      </w:r>
    </w:p>
    <w:p w14:paraId="3C6A5347">
      <w:pPr>
        <w:pStyle w:val="44"/>
        <w:autoSpaceDE w:val="0"/>
        <w:autoSpaceDN w:val="0"/>
        <w:adjustRightInd w:val="0"/>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（1）质量保证金保函，保证金额为：</w:t>
      </w:r>
      <w:r>
        <w:rPr>
          <w:rFonts w:hint="eastAsia" w:ascii="宋体" w:hAnsi="宋体" w:cs="宋体"/>
          <w:color w:val="auto"/>
          <w:kern w:val="0"/>
          <w:sz w:val="22"/>
          <w:highlight w:val="none"/>
          <w:u w:val="single"/>
        </w:rPr>
        <w:t xml:space="preserve">                   </w:t>
      </w:r>
      <w:r>
        <w:rPr>
          <w:rFonts w:hint="eastAsia" w:ascii="宋体" w:hAnsi="宋体" w:cs="宋体"/>
          <w:color w:val="auto"/>
          <w:kern w:val="0"/>
          <w:sz w:val="22"/>
          <w:highlight w:val="none"/>
        </w:rPr>
        <w:t>；</w:t>
      </w:r>
    </w:p>
    <w:p w14:paraId="62E7B384">
      <w:pPr>
        <w:pStyle w:val="44"/>
        <w:autoSpaceDE w:val="0"/>
        <w:autoSpaceDN w:val="0"/>
        <w:adjustRightInd w:val="0"/>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（2）</w:t>
      </w:r>
      <w:r>
        <w:rPr>
          <w:rFonts w:hint="eastAsia" w:ascii="宋体" w:hAnsi="宋体" w:cs="宋体"/>
          <w:bCs/>
          <w:color w:val="auto"/>
          <w:sz w:val="22"/>
          <w:highlight w:val="none"/>
        </w:rPr>
        <w:t>发包人按工程价款结算总额的</w:t>
      </w:r>
      <w:r>
        <w:rPr>
          <w:rFonts w:hint="eastAsia" w:ascii="宋体" w:hAnsi="宋体" w:cs="宋体"/>
          <w:bCs/>
          <w:color w:val="auto"/>
          <w:sz w:val="22"/>
          <w:highlight w:val="none"/>
          <w:u w:val="single"/>
        </w:rPr>
        <w:t xml:space="preserve">  3 </w:t>
      </w:r>
      <w:r>
        <w:rPr>
          <w:rFonts w:hint="eastAsia" w:ascii="宋体" w:hAnsi="宋体" w:cs="宋体"/>
          <w:bCs/>
          <w:color w:val="auto"/>
          <w:sz w:val="22"/>
          <w:highlight w:val="none"/>
        </w:rPr>
        <w:t>%预留工程质量保修金，待缺陷责任期满后</w:t>
      </w:r>
      <w:r>
        <w:rPr>
          <w:rFonts w:hint="eastAsia" w:ascii="宋体" w:hAnsi="宋体" w:cs="宋体"/>
          <w:bCs/>
          <w:color w:val="auto"/>
          <w:sz w:val="22"/>
          <w:highlight w:val="none"/>
          <w:lang w:val="en-US" w:eastAsia="zh-CN"/>
        </w:rPr>
        <w:t>无息</w:t>
      </w:r>
      <w:r>
        <w:rPr>
          <w:rFonts w:hint="eastAsia" w:ascii="宋体" w:hAnsi="宋体" w:cs="宋体"/>
          <w:bCs/>
          <w:color w:val="auto"/>
          <w:sz w:val="22"/>
          <w:highlight w:val="none"/>
        </w:rPr>
        <w:t>返还</w:t>
      </w:r>
      <w:r>
        <w:rPr>
          <w:rFonts w:hint="eastAsia" w:ascii="宋体" w:hAnsi="宋体" w:cs="宋体"/>
          <w:color w:val="auto"/>
          <w:kern w:val="0"/>
          <w:sz w:val="22"/>
          <w:highlight w:val="none"/>
        </w:rPr>
        <w:t>；</w:t>
      </w:r>
    </w:p>
    <w:p w14:paraId="243F11E6">
      <w:pPr>
        <w:pStyle w:val="44"/>
        <w:autoSpaceDE w:val="0"/>
        <w:autoSpaceDN w:val="0"/>
        <w:adjustRightInd w:val="0"/>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（3）其他方式：</w:t>
      </w:r>
      <w:r>
        <w:rPr>
          <w:rFonts w:hint="eastAsia" w:ascii="宋体" w:hAnsi="宋体" w:cs="宋体"/>
          <w:bCs/>
          <w:color w:val="auto"/>
          <w:sz w:val="22"/>
          <w:highlight w:val="none"/>
          <w:u w:val="single"/>
        </w:rPr>
        <w:t xml:space="preserve">               /                                            </w:t>
      </w:r>
      <w:r>
        <w:rPr>
          <w:rFonts w:hint="eastAsia" w:ascii="宋体" w:hAnsi="宋体" w:cs="宋体"/>
          <w:bCs/>
          <w:color w:val="auto"/>
          <w:sz w:val="22"/>
          <w:highlight w:val="none"/>
        </w:rPr>
        <w:t>。</w:t>
      </w:r>
    </w:p>
    <w:p w14:paraId="701CCD3B">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15.3.2 质量保证金的扣留</w:t>
      </w:r>
    </w:p>
    <w:p w14:paraId="54E2ABC2">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质量保证金的扣留采取以下第</w:t>
      </w:r>
      <w:r>
        <w:rPr>
          <w:rFonts w:hint="eastAsia" w:ascii="宋体" w:hAnsi="宋体" w:cs="宋体"/>
          <w:color w:val="auto"/>
          <w:sz w:val="22"/>
          <w:highlight w:val="none"/>
          <w:u w:val="single"/>
        </w:rPr>
        <w:t xml:space="preserve">  （2）   </w:t>
      </w:r>
      <w:r>
        <w:rPr>
          <w:rFonts w:hint="eastAsia" w:ascii="宋体" w:hAnsi="宋体" w:cs="宋体"/>
          <w:color w:val="auto"/>
          <w:sz w:val="22"/>
          <w:highlight w:val="none"/>
        </w:rPr>
        <w:t>种方式：</w:t>
      </w:r>
    </w:p>
    <w:p w14:paraId="32A2FFE2">
      <w:pPr>
        <w:pStyle w:val="44"/>
        <w:autoSpaceDE w:val="0"/>
        <w:autoSpaceDN w:val="0"/>
        <w:adjustRightInd w:val="0"/>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（1）在支付工程进度款时逐次扣留，在此情形下，质量保证金的计算基数不包括预付款的支付、扣回以及价格调整的金额；</w:t>
      </w:r>
    </w:p>
    <w:p w14:paraId="407B50B2">
      <w:pPr>
        <w:pStyle w:val="44"/>
        <w:autoSpaceDE w:val="0"/>
        <w:autoSpaceDN w:val="0"/>
        <w:adjustRightInd w:val="0"/>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（2）工程竣工结算时一次性扣留质量保证金；</w:t>
      </w:r>
    </w:p>
    <w:p w14:paraId="1A279E99">
      <w:pPr>
        <w:pStyle w:val="44"/>
        <w:autoSpaceDE w:val="0"/>
        <w:autoSpaceDN w:val="0"/>
        <w:adjustRightInd w:val="0"/>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（3）其他扣留方式:</w:t>
      </w:r>
      <w:r>
        <w:rPr>
          <w:rFonts w:hint="eastAsia" w:ascii="宋体" w:hAnsi="宋体" w:cs="宋体"/>
          <w:color w:val="auto"/>
          <w:kern w:val="0"/>
          <w:sz w:val="22"/>
          <w:highlight w:val="none"/>
          <w:u w:val="single"/>
        </w:rPr>
        <w:t xml:space="preserve">  /   </w:t>
      </w:r>
      <w:r>
        <w:rPr>
          <w:rFonts w:hint="eastAsia" w:ascii="宋体" w:hAnsi="宋体" w:cs="宋体"/>
          <w:color w:val="auto"/>
          <w:kern w:val="0"/>
          <w:sz w:val="22"/>
          <w:highlight w:val="none"/>
        </w:rPr>
        <w:t>。</w:t>
      </w:r>
    </w:p>
    <w:p w14:paraId="73195DF5">
      <w:pPr>
        <w:pStyle w:val="44"/>
        <w:spacing w:line="360" w:lineRule="exact"/>
        <w:ind w:firstLine="440" w:firstLineChars="200"/>
        <w:jc w:val="left"/>
        <w:rPr>
          <w:rFonts w:ascii="宋体" w:hAnsi="宋体" w:cs="宋体"/>
          <w:color w:val="auto"/>
          <w:kern w:val="0"/>
          <w:sz w:val="22"/>
          <w:highlight w:val="none"/>
          <w:u w:val="single"/>
        </w:rPr>
      </w:pPr>
      <w:r>
        <w:rPr>
          <w:rFonts w:hint="eastAsia" w:ascii="宋体" w:hAnsi="宋体" w:cs="宋体"/>
          <w:color w:val="auto"/>
          <w:sz w:val="22"/>
          <w:highlight w:val="none"/>
        </w:rPr>
        <w:t>关于质量保证金的补充约定：</w:t>
      </w:r>
      <w:r>
        <w:rPr>
          <w:rFonts w:hint="eastAsia" w:ascii="宋体" w:hAnsi="宋体" w:cs="宋体"/>
          <w:color w:val="auto"/>
          <w:sz w:val="22"/>
          <w:highlight w:val="none"/>
          <w:u w:val="single"/>
        </w:rPr>
        <w:t xml:space="preserve">/ </w:t>
      </w:r>
      <w:r>
        <w:rPr>
          <w:rFonts w:hint="eastAsia" w:ascii="宋体" w:hAnsi="宋体" w:cs="宋体"/>
          <w:color w:val="auto"/>
          <w:kern w:val="0"/>
          <w:sz w:val="22"/>
          <w:highlight w:val="none"/>
        </w:rPr>
        <w:t>。</w:t>
      </w:r>
    </w:p>
    <w:bookmarkEnd w:id="1183"/>
    <w:bookmarkEnd w:id="1184"/>
    <w:p w14:paraId="6CF1F449">
      <w:pPr>
        <w:pStyle w:val="45"/>
        <w:spacing w:line="360" w:lineRule="exact"/>
        <w:rPr>
          <w:rFonts w:ascii="宋体" w:hAnsi="宋体" w:cs="宋体"/>
          <w:color w:val="auto"/>
          <w:sz w:val="22"/>
          <w:szCs w:val="22"/>
          <w:highlight w:val="none"/>
        </w:rPr>
      </w:pPr>
      <w:bookmarkStart w:id="1224" w:name="_Toc395382568"/>
      <w:bookmarkStart w:id="1225" w:name="_Toc12975956"/>
      <w:bookmarkStart w:id="1226" w:name="_Toc373478412"/>
      <w:bookmarkStart w:id="1227" w:name="_Toc373227765"/>
      <w:bookmarkStart w:id="1228" w:name="_Toc389065330"/>
      <w:bookmarkStart w:id="1229" w:name="_Toc533432791"/>
      <w:r>
        <w:rPr>
          <w:rFonts w:hint="eastAsia" w:ascii="宋体" w:hAnsi="宋体" w:cs="宋体"/>
          <w:color w:val="auto"/>
          <w:sz w:val="22"/>
          <w:szCs w:val="22"/>
          <w:highlight w:val="none"/>
        </w:rPr>
        <w:t>15.4 保修</w:t>
      </w:r>
      <w:bookmarkEnd w:id="1224"/>
      <w:bookmarkEnd w:id="1225"/>
      <w:bookmarkEnd w:id="1226"/>
      <w:bookmarkEnd w:id="1227"/>
      <w:bookmarkEnd w:id="1228"/>
      <w:bookmarkEnd w:id="1229"/>
    </w:p>
    <w:bookmarkEnd w:id="1185"/>
    <w:p w14:paraId="6C3AB01C">
      <w:pPr>
        <w:pStyle w:val="44"/>
        <w:spacing w:line="360" w:lineRule="exact"/>
        <w:ind w:firstLine="429" w:firstLineChars="195"/>
        <w:jc w:val="left"/>
        <w:rPr>
          <w:rFonts w:ascii="宋体" w:hAnsi="宋体" w:cs="宋体"/>
          <w:color w:val="auto"/>
          <w:sz w:val="22"/>
          <w:highlight w:val="none"/>
        </w:rPr>
      </w:pPr>
      <w:r>
        <w:rPr>
          <w:rFonts w:hint="eastAsia" w:ascii="宋体" w:hAnsi="宋体" w:cs="宋体"/>
          <w:color w:val="auto"/>
          <w:sz w:val="22"/>
          <w:highlight w:val="none"/>
        </w:rPr>
        <w:t>15.4.1 保修责任</w:t>
      </w:r>
    </w:p>
    <w:p w14:paraId="3A165346">
      <w:pPr>
        <w:pStyle w:val="44"/>
        <w:spacing w:line="360" w:lineRule="exact"/>
        <w:ind w:firstLine="429" w:firstLineChars="195"/>
        <w:jc w:val="left"/>
        <w:rPr>
          <w:rFonts w:ascii="宋体" w:hAnsi="宋体" w:cs="宋体"/>
          <w:color w:val="auto"/>
          <w:kern w:val="0"/>
          <w:sz w:val="22"/>
          <w:highlight w:val="none"/>
        </w:rPr>
      </w:pPr>
      <w:r>
        <w:rPr>
          <w:rFonts w:hint="eastAsia" w:ascii="宋体" w:hAnsi="宋体" w:cs="宋体"/>
          <w:color w:val="auto"/>
          <w:sz w:val="22"/>
          <w:highlight w:val="none"/>
        </w:rPr>
        <w:t>工程保修期为：</w:t>
      </w:r>
      <w:r>
        <w:rPr>
          <w:rFonts w:hint="eastAsia" w:ascii="宋体" w:hAnsi="宋体" w:cs="宋体"/>
          <w:color w:val="auto"/>
          <w:kern w:val="0"/>
          <w:sz w:val="22"/>
          <w:highlight w:val="none"/>
          <w:u w:val="single"/>
        </w:rPr>
        <w:t xml:space="preserve">   见工程质量保修书    </w:t>
      </w:r>
      <w:r>
        <w:rPr>
          <w:rFonts w:hint="eastAsia" w:ascii="宋体" w:hAnsi="宋体" w:cs="宋体"/>
          <w:color w:val="auto"/>
          <w:kern w:val="0"/>
          <w:sz w:val="22"/>
          <w:highlight w:val="none"/>
        </w:rPr>
        <w:t>。</w:t>
      </w:r>
    </w:p>
    <w:p w14:paraId="14E726A0">
      <w:pPr>
        <w:pStyle w:val="44"/>
        <w:spacing w:line="360" w:lineRule="exact"/>
        <w:ind w:firstLine="429" w:firstLineChars="195"/>
        <w:jc w:val="left"/>
        <w:rPr>
          <w:rFonts w:ascii="宋体" w:hAnsi="宋体" w:cs="宋体"/>
          <w:color w:val="auto"/>
          <w:kern w:val="0"/>
          <w:sz w:val="22"/>
          <w:highlight w:val="none"/>
          <w:u w:val="single"/>
        </w:rPr>
      </w:pPr>
      <w:r>
        <w:rPr>
          <w:rFonts w:hint="eastAsia" w:ascii="宋体" w:hAnsi="宋体" w:cs="宋体"/>
          <w:color w:val="auto"/>
          <w:sz w:val="22"/>
          <w:highlight w:val="none"/>
        </w:rPr>
        <w:t>工程质量保修书具体内容见合同附件8。</w:t>
      </w:r>
    </w:p>
    <w:p w14:paraId="61E9A496">
      <w:pPr>
        <w:pStyle w:val="44"/>
        <w:spacing w:line="360" w:lineRule="exact"/>
        <w:ind w:firstLine="429" w:firstLineChars="195"/>
        <w:jc w:val="left"/>
        <w:rPr>
          <w:rFonts w:ascii="宋体" w:hAnsi="宋体" w:cs="宋体"/>
          <w:color w:val="auto"/>
          <w:sz w:val="22"/>
          <w:highlight w:val="none"/>
        </w:rPr>
      </w:pPr>
      <w:r>
        <w:rPr>
          <w:rFonts w:hint="eastAsia" w:ascii="宋体" w:hAnsi="宋体" w:cs="宋体"/>
          <w:color w:val="auto"/>
          <w:sz w:val="22"/>
          <w:highlight w:val="none"/>
        </w:rPr>
        <w:t>15.4.3 修复通知</w:t>
      </w:r>
    </w:p>
    <w:p w14:paraId="040F6824">
      <w:pPr>
        <w:pStyle w:val="44"/>
        <w:spacing w:line="360" w:lineRule="exact"/>
        <w:ind w:firstLine="429" w:firstLineChars="195"/>
        <w:jc w:val="left"/>
        <w:rPr>
          <w:rFonts w:ascii="宋体" w:hAnsi="宋体" w:cs="宋体"/>
          <w:color w:val="auto"/>
          <w:kern w:val="0"/>
          <w:sz w:val="22"/>
          <w:highlight w:val="none"/>
          <w:u w:val="single"/>
        </w:rPr>
      </w:pPr>
      <w:r>
        <w:rPr>
          <w:rFonts w:hint="eastAsia" w:ascii="宋体" w:hAnsi="宋体" w:cs="宋体"/>
          <w:color w:val="auto"/>
          <w:kern w:val="0"/>
          <w:sz w:val="22"/>
          <w:highlight w:val="none"/>
        </w:rPr>
        <w:t>承包人收到保修通知并到达工程现场的合理时间：</w:t>
      </w:r>
      <w:r>
        <w:rPr>
          <w:rFonts w:hint="eastAsia" w:ascii="宋体" w:hAnsi="宋体" w:cs="宋体"/>
          <w:color w:val="auto"/>
          <w:kern w:val="0"/>
          <w:sz w:val="22"/>
          <w:highlight w:val="none"/>
          <w:u w:val="single"/>
        </w:rPr>
        <w:t xml:space="preserve">  收到通知后48小时内  </w:t>
      </w:r>
      <w:r>
        <w:rPr>
          <w:rFonts w:hint="eastAsia" w:ascii="宋体" w:hAnsi="宋体" w:cs="宋体"/>
          <w:color w:val="auto"/>
          <w:kern w:val="0"/>
          <w:sz w:val="22"/>
          <w:highlight w:val="none"/>
        </w:rPr>
        <w:t>。</w:t>
      </w:r>
    </w:p>
    <w:bookmarkEnd w:id="1186"/>
    <w:bookmarkEnd w:id="1187"/>
    <w:bookmarkEnd w:id="1188"/>
    <w:bookmarkEnd w:id="1189"/>
    <w:p w14:paraId="3BA00A7A">
      <w:pPr>
        <w:pStyle w:val="43"/>
        <w:spacing w:before="0" w:after="0" w:line="360" w:lineRule="exact"/>
        <w:outlineLvl w:val="9"/>
        <w:rPr>
          <w:rFonts w:ascii="宋体" w:hAnsi="宋体" w:cs="宋体"/>
          <w:color w:val="auto"/>
          <w:sz w:val="22"/>
          <w:szCs w:val="22"/>
          <w:highlight w:val="none"/>
        </w:rPr>
      </w:pPr>
      <w:bookmarkStart w:id="1230" w:name="_Toc12975957"/>
      <w:bookmarkStart w:id="1231" w:name="_Toc395382569"/>
      <w:bookmarkStart w:id="1232" w:name="_Toc533432792"/>
      <w:bookmarkStart w:id="1233" w:name="_Toc351203648"/>
      <w:bookmarkStart w:id="1234" w:name="_Toc373227766"/>
      <w:bookmarkStart w:id="1235" w:name="_Toc373478413"/>
      <w:bookmarkStart w:id="1236" w:name="_Toc389065331"/>
      <w:bookmarkStart w:id="1237" w:name="_Toc280868717"/>
      <w:bookmarkStart w:id="1238" w:name="_Toc280868718"/>
    </w:p>
    <w:p w14:paraId="31ECD763">
      <w:pPr>
        <w:pStyle w:val="43"/>
        <w:spacing w:before="0" w:after="0" w:line="360" w:lineRule="exact"/>
        <w:rPr>
          <w:rFonts w:ascii="宋体" w:hAnsi="宋体" w:cs="宋体"/>
          <w:color w:val="auto"/>
          <w:sz w:val="22"/>
          <w:szCs w:val="22"/>
          <w:highlight w:val="none"/>
        </w:rPr>
      </w:pPr>
      <w:r>
        <w:rPr>
          <w:rFonts w:hint="eastAsia" w:ascii="宋体" w:hAnsi="宋体" w:cs="宋体"/>
          <w:color w:val="auto"/>
          <w:sz w:val="22"/>
          <w:szCs w:val="22"/>
          <w:highlight w:val="none"/>
        </w:rPr>
        <w:t>16. 违约</w:t>
      </w:r>
      <w:bookmarkEnd w:id="1230"/>
      <w:bookmarkEnd w:id="1231"/>
      <w:bookmarkEnd w:id="1232"/>
      <w:bookmarkEnd w:id="1233"/>
      <w:bookmarkEnd w:id="1234"/>
      <w:bookmarkEnd w:id="1235"/>
      <w:bookmarkEnd w:id="1236"/>
    </w:p>
    <w:p w14:paraId="7BB72D08">
      <w:pPr>
        <w:pStyle w:val="45"/>
        <w:spacing w:line="360" w:lineRule="exact"/>
        <w:rPr>
          <w:rFonts w:ascii="宋体" w:hAnsi="宋体" w:cs="宋体"/>
          <w:color w:val="auto"/>
          <w:sz w:val="22"/>
          <w:szCs w:val="22"/>
          <w:highlight w:val="none"/>
        </w:rPr>
      </w:pPr>
      <w:bookmarkStart w:id="1239" w:name="_Toc373227767"/>
      <w:bookmarkStart w:id="1240" w:name="_Toc12975958"/>
      <w:bookmarkStart w:id="1241" w:name="_Toc533432793"/>
      <w:bookmarkStart w:id="1242" w:name="_Toc373478414"/>
      <w:bookmarkStart w:id="1243" w:name="_Toc389065332"/>
      <w:bookmarkStart w:id="1244" w:name="_Toc395382570"/>
      <w:r>
        <w:rPr>
          <w:rFonts w:hint="eastAsia" w:ascii="宋体" w:hAnsi="宋体" w:cs="宋体"/>
          <w:color w:val="auto"/>
          <w:sz w:val="22"/>
          <w:szCs w:val="22"/>
          <w:highlight w:val="none"/>
        </w:rPr>
        <w:t>16.1 发包人违约</w:t>
      </w:r>
      <w:bookmarkEnd w:id="1239"/>
      <w:bookmarkEnd w:id="1240"/>
      <w:bookmarkEnd w:id="1241"/>
      <w:bookmarkEnd w:id="1242"/>
      <w:bookmarkEnd w:id="1243"/>
      <w:bookmarkEnd w:id="1244"/>
    </w:p>
    <w:p w14:paraId="09207AB6">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16.1.1发包人违约的情形</w:t>
      </w:r>
    </w:p>
    <w:p w14:paraId="27476FDF">
      <w:pPr>
        <w:pStyle w:val="44"/>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发包人违约的其他情形：</w:t>
      </w:r>
      <w:r>
        <w:rPr>
          <w:rFonts w:hint="eastAsia" w:ascii="宋体" w:hAnsi="宋体" w:cs="宋体"/>
          <w:color w:val="auto"/>
          <w:kern w:val="0"/>
          <w:sz w:val="22"/>
          <w:highlight w:val="none"/>
          <w:u w:val="single"/>
        </w:rPr>
        <w:t xml:space="preserve">无 </w:t>
      </w:r>
      <w:r>
        <w:rPr>
          <w:rFonts w:hint="eastAsia" w:ascii="宋体" w:hAnsi="宋体" w:cs="宋体"/>
          <w:color w:val="auto"/>
          <w:kern w:val="0"/>
          <w:sz w:val="22"/>
          <w:highlight w:val="none"/>
        </w:rPr>
        <w:t>。</w:t>
      </w:r>
    </w:p>
    <w:p w14:paraId="4807FFD3">
      <w:pPr>
        <w:pStyle w:val="44"/>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16.1.2 发包人违约的责任</w:t>
      </w:r>
    </w:p>
    <w:p w14:paraId="7823866B">
      <w:pPr>
        <w:pStyle w:val="44"/>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发包人违约责任的承担方式和计算方法：</w:t>
      </w:r>
    </w:p>
    <w:p w14:paraId="62D2FAFE">
      <w:pPr>
        <w:pStyle w:val="44"/>
        <w:spacing w:line="360" w:lineRule="exact"/>
        <w:ind w:firstLine="440" w:firstLineChars="200"/>
        <w:jc w:val="left"/>
        <w:rPr>
          <w:rFonts w:ascii="宋体" w:hAnsi="宋体" w:cs="宋体"/>
          <w:color w:val="auto"/>
          <w:kern w:val="0"/>
          <w:sz w:val="22"/>
          <w:highlight w:val="none"/>
          <w:u w:val="single"/>
        </w:rPr>
      </w:pPr>
      <w:r>
        <w:rPr>
          <w:rFonts w:hint="eastAsia" w:ascii="宋体" w:hAnsi="宋体" w:cs="宋体"/>
          <w:color w:val="auto"/>
          <w:kern w:val="0"/>
          <w:sz w:val="22"/>
          <w:highlight w:val="none"/>
        </w:rPr>
        <w:t>（1）因发包人原因未能在计划开工日期前7天内下达开工通知的违约责任：</w:t>
      </w:r>
      <w:r>
        <w:rPr>
          <w:rFonts w:hint="eastAsia" w:ascii="宋体" w:hAnsi="宋体" w:cs="宋体"/>
          <w:color w:val="auto"/>
          <w:kern w:val="0"/>
          <w:sz w:val="22"/>
          <w:highlight w:val="none"/>
          <w:u w:val="single"/>
        </w:rPr>
        <w:t xml:space="preserve"> 工期顺延 </w:t>
      </w:r>
      <w:r>
        <w:rPr>
          <w:rFonts w:hint="eastAsia" w:ascii="宋体" w:hAnsi="宋体" w:cs="宋体"/>
          <w:color w:val="auto"/>
          <w:kern w:val="0"/>
          <w:sz w:val="22"/>
          <w:highlight w:val="none"/>
        </w:rPr>
        <w:t>。</w:t>
      </w:r>
    </w:p>
    <w:p w14:paraId="6060445E">
      <w:pPr>
        <w:pStyle w:val="44"/>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（2）因发包人原因未能按合同约定支付合同价款的违约责任：</w:t>
      </w:r>
      <w:r>
        <w:rPr>
          <w:rFonts w:hint="eastAsia" w:ascii="宋体" w:hAnsi="宋体" w:cs="宋体"/>
          <w:color w:val="auto"/>
          <w:kern w:val="0"/>
          <w:sz w:val="22"/>
          <w:highlight w:val="none"/>
          <w:u w:val="single"/>
        </w:rPr>
        <w:t xml:space="preserve">无  </w:t>
      </w:r>
      <w:r>
        <w:rPr>
          <w:rFonts w:hint="eastAsia" w:ascii="宋体" w:hAnsi="宋体" w:cs="宋体"/>
          <w:color w:val="auto"/>
          <w:kern w:val="0"/>
          <w:sz w:val="22"/>
          <w:highlight w:val="none"/>
        </w:rPr>
        <w:t>。</w:t>
      </w:r>
    </w:p>
    <w:p w14:paraId="53FEC116">
      <w:pPr>
        <w:pStyle w:val="44"/>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（3）发包人违反第10.1款〔变更的范围〕第（2）项约定，自行实施被取消的工作或转由他人实施的违约责任：</w:t>
      </w:r>
      <w:r>
        <w:rPr>
          <w:rFonts w:hint="eastAsia" w:ascii="宋体" w:hAnsi="宋体" w:cs="宋体"/>
          <w:color w:val="auto"/>
          <w:kern w:val="0"/>
          <w:sz w:val="22"/>
          <w:highlight w:val="none"/>
          <w:u w:val="single"/>
        </w:rPr>
        <w:t xml:space="preserve">   无        </w:t>
      </w:r>
      <w:r>
        <w:rPr>
          <w:rFonts w:hint="eastAsia" w:ascii="宋体" w:hAnsi="宋体" w:cs="宋体"/>
          <w:color w:val="auto"/>
          <w:kern w:val="0"/>
          <w:sz w:val="22"/>
          <w:highlight w:val="none"/>
        </w:rPr>
        <w:t>。</w:t>
      </w:r>
    </w:p>
    <w:p w14:paraId="47E7DB86">
      <w:pPr>
        <w:pStyle w:val="44"/>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 w:val="22"/>
          <w:highlight w:val="none"/>
          <w:u w:val="single"/>
        </w:rPr>
        <w:t xml:space="preserve">  工期顺延     </w:t>
      </w:r>
      <w:r>
        <w:rPr>
          <w:rFonts w:hint="eastAsia" w:ascii="宋体" w:hAnsi="宋体" w:cs="宋体"/>
          <w:color w:val="auto"/>
          <w:kern w:val="0"/>
          <w:sz w:val="22"/>
          <w:highlight w:val="none"/>
        </w:rPr>
        <w:t>。</w:t>
      </w:r>
    </w:p>
    <w:p w14:paraId="6D22BC60">
      <w:pPr>
        <w:pStyle w:val="44"/>
        <w:spacing w:line="360" w:lineRule="exact"/>
        <w:ind w:firstLine="440" w:firstLineChars="200"/>
        <w:jc w:val="left"/>
        <w:rPr>
          <w:rFonts w:ascii="宋体" w:hAnsi="宋体" w:cs="宋体"/>
          <w:color w:val="auto"/>
          <w:kern w:val="0"/>
          <w:sz w:val="22"/>
          <w:highlight w:val="none"/>
          <w:u w:val="single"/>
        </w:rPr>
      </w:pPr>
      <w:r>
        <w:rPr>
          <w:rFonts w:hint="eastAsia" w:ascii="宋体" w:hAnsi="宋体" w:cs="宋体"/>
          <w:color w:val="auto"/>
          <w:kern w:val="0"/>
          <w:sz w:val="22"/>
          <w:highlight w:val="none"/>
        </w:rPr>
        <w:t>（5）因发包人违反合同约定造成暂停施工的违约责任：</w:t>
      </w:r>
      <w:r>
        <w:rPr>
          <w:rFonts w:hint="eastAsia" w:ascii="宋体" w:hAnsi="宋体" w:cs="宋体"/>
          <w:color w:val="auto"/>
          <w:kern w:val="0"/>
          <w:sz w:val="22"/>
          <w:highlight w:val="none"/>
          <w:u w:val="single"/>
        </w:rPr>
        <w:t xml:space="preserve">   工期顺延    </w:t>
      </w:r>
      <w:r>
        <w:rPr>
          <w:rFonts w:hint="eastAsia" w:ascii="宋体" w:hAnsi="宋体" w:cs="宋体"/>
          <w:color w:val="auto"/>
          <w:kern w:val="0"/>
          <w:sz w:val="22"/>
          <w:highlight w:val="none"/>
        </w:rPr>
        <w:t>。</w:t>
      </w:r>
    </w:p>
    <w:p w14:paraId="49AE5E94">
      <w:pPr>
        <w:pStyle w:val="44"/>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（6）发包人无正当理由没有在约定期限内发出复工指示，导致承包人无法复工的违约责任：</w:t>
      </w:r>
      <w:r>
        <w:rPr>
          <w:rFonts w:hint="eastAsia" w:ascii="宋体" w:hAnsi="宋体" w:cs="宋体"/>
          <w:color w:val="auto"/>
          <w:kern w:val="0"/>
          <w:sz w:val="22"/>
          <w:highlight w:val="none"/>
          <w:u w:val="single"/>
        </w:rPr>
        <w:t xml:space="preserve">    工期顺延</w:t>
      </w:r>
      <w:r>
        <w:rPr>
          <w:rFonts w:hint="eastAsia" w:ascii="宋体" w:hAnsi="宋体" w:cs="宋体"/>
          <w:color w:val="auto"/>
          <w:kern w:val="0"/>
          <w:sz w:val="22"/>
          <w:highlight w:val="none"/>
        </w:rPr>
        <w:t>。</w:t>
      </w:r>
    </w:p>
    <w:p w14:paraId="58861A88">
      <w:pPr>
        <w:pStyle w:val="44"/>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（7）其他：</w:t>
      </w:r>
      <w:r>
        <w:rPr>
          <w:rFonts w:hint="eastAsia" w:ascii="宋体" w:hAnsi="宋体" w:cs="宋体"/>
          <w:color w:val="auto"/>
          <w:kern w:val="0"/>
          <w:sz w:val="22"/>
          <w:highlight w:val="none"/>
          <w:u w:val="single"/>
        </w:rPr>
        <w:t xml:space="preserve">无  </w:t>
      </w:r>
      <w:r>
        <w:rPr>
          <w:rFonts w:hint="eastAsia" w:ascii="宋体" w:hAnsi="宋体" w:cs="宋体"/>
          <w:color w:val="auto"/>
          <w:kern w:val="0"/>
          <w:sz w:val="22"/>
          <w:highlight w:val="none"/>
        </w:rPr>
        <w:t>。</w:t>
      </w:r>
    </w:p>
    <w:p w14:paraId="54B50CF6">
      <w:pPr>
        <w:pStyle w:val="45"/>
        <w:spacing w:line="360" w:lineRule="exact"/>
        <w:rPr>
          <w:rFonts w:ascii="宋体" w:hAnsi="宋体" w:cs="宋体"/>
          <w:color w:val="auto"/>
          <w:sz w:val="22"/>
          <w:szCs w:val="22"/>
          <w:highlight w:val="none"/>
        </w:rPr>
      </w:pPr>
      <w:bookmarkStart w:id="1245" w:name="_Toc12975960"/>
      <w:bookmarkStart w:id="1246" w:name="_Toc395382571"/>
      <w:bookmarkStart w:id="1247" w:name="_Toc373227768"/>
      <w:bookmarkStart w:id="1248" w:name="_Toc533432795"/>
      <w:bookmarkStart w:id="1249" w:name="_Toc373478415"/>
      <w:bookmarkStart w:id="1250" w:name="_Toc389065333"/>
      <w:r>
        <w:rPr>
          <w:rFonts w:hint="eastAsia" w:ascii="宋体" w:hAnsi="宋体" w:cs="宋体"/>
          <w:color w:val="auto"/>
          <w:sz w:val="22"/>
          <w:szCs w:val="22"/>
          <w:highlight w:val="none"/>
        </w:rPr>
        <w:t>16.2 承包人违约</w:t>
      </w:r>
      <w:bookmarkEnd w:id="1245"/>
      <w:bookmarkEnd w:id="1246"/>
      <w:bookmarkEnd w:id="1247"/>
      <w:bookmarkEnd w:id="1248"/>
      <w:bookmarkEnd w:id="1249"/>
      <w:bookmarkEnd w:id="1250"/>
    </w:p>
    <w:p w14:paraId="03FA0E01">
      <w:pPr>
        <w:pStyle w:val="44"/>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16.2.1 承包人违约的情形</w:t>
      </w:r>
    </w:p>
    <w:p w14:paraId="31960017">
      <w:pPr>
        <w:pStyle w:val="46"/>
        <w:spacing w:line="36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kern w:val="0"/>
          <w:sz w:val="22"/>
          <w:szCs w:val="22"/>
          <w:highlight w:val="none"/>
        </w:rPr>
        <w:t>承包人违约的其他情形：</w:t>
      </w:r>
      <w:r>
        <w:rPr>
          <w:rFonts w:hint="eastAsia" w:ascii="宋体" w:hAnsi="宋体" w:cs="宋体"/>
          <w:color w:val="auto"/>
          <w:kern w:val="0"/>
          <w:sz w:val="22"/>
          <w:szCs w:val="22"/>
          <w:highlight w:val="none"/>
          <w:u w:val="single"/>
        </w:rPr>
        <w:t xml:space="preserve">  </w:t>
      </w: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u w:val="single"/>
          <w:lang w:val="en-US" w:eastAsia="zh-CN"/>
        </w:rPr>
        <w:t>1</w:t>
      </w:r>
      <w:r>
        <w:rPr>
          <w:rFonts w:hint="eastAsia" w:ascii="宋体" w:hAnsi="宋体" w:cs="宋体"/>
          <w:color w:val="auto"/>
          <w:sz w:val="22"/>
          <w:szCs w:val="22"/>
          <w:highlight w:val="none"/>
          <w:u w:val="single"/>
        </w:rPr>
        <w:t>）承包人未经发包人、监理人事先同意，擅自更换合同工程项目经理、技术负责人或其他主要管理人员。</w:t>
      </w:r>
    </w:p>
    <w:p w14:paraId="3215D7B9">
      <w:pPr>
        <w:pStyle w:val="46"/>
        <w:spacing w:line="36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u w:val="single"/>
          <w:lang w:val="en-US" w:eastAsia="zh-CN"/>
        </w:rPr>
        <w:t>2</w:t>
      </w:r>
      <w:r>
        <w:rPr>
          <w:rFonts w:hint="eastAsia" w:ascii="宋体" w:hAnsi="宋体" w:cs="宋体"/>
          <w:color w:val="auto"/>
          <w:sz w:val="22"/>
          <w:szCs w:val="22"/>
          <w:highlight w:val="none"/>
          <w:u w:val="single"/>
        </w:rPr>
        <w:t>）将工程预付款、进度款以及发包人支付用于本项目的其他费用挪作他用。</w:t>
      </w:r>
    </w:p>
    <w:p w14:paraId="0D4D6765">
      <w:pPr>
        <w:pStyle w:val="46"/>
        <w:spacing w:line="36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u w:val="single"/>
          <w:lang w:val="en-US" w:eastAsia="zh-CN"/>
        </w:rPr>
        <w:t>3</w:t>
      </w:r>
      <w:r>
        <w:rPr>
          <w:rFonts w:hint="eastAsia" w:ascii="宋体" w:hAnsi="宋体" w:cs="宋体"/>
          <w:color w:val="auto"/>
          <w:sz w:val="22"/>
          <w:szCs w:val="22"/>
          <w:highlight w:val="none"/>
          <w:u w:val="single"/>
        </w:rPr>
        <w:t>）承包人违反第8.2款的约定使用了不合格的材料或工程设备又拒绝清除不合格的材料或工程设备，或因使用了不合格的材料或工程设备导致工程质量达不到标准要求又拒绝清除或修复不合格工程。</w:t>
      </w:r>
    </w:p>
    <w:p w14:paraId="491112EB">
      <w:pPr>
        <w:pStyle w:val="46"/>
        <w:spacing w:line="36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u w:val="single"/>
          <w:lang w:val="en-US" w:eastAsia="zh-CN"/>
        </w:rPr>
        <w:t>4</w:t>
      </w:r>
      <w:r>
        <w:rPr>
          <w:rFonts w:hint="eastAsia" w:ascii="宋体" w:hAnsi="宋体" w:cs="宋体"/>
          <w:color w:val="auto"/>
          <w:sz w:val="22"/>
          <w:szCs w:val="22"/>
          <w:highlight w:val="none"/>
          <w:u w:val="single"/>
        </w:rPr>
        <w:t>）承包人违反第8.5款的约定使用了不合格的材料或工程设备或工程质量达不到标准要求等造成安全质量事故。</w:t>
      </w:r>
    </w:p>
    <w:p w14:paraId="1B590567">
      <w:pPr>
        <w:pStyle w:val="46"/>
        <w:spacing w:line="36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u w:val="single"/>
          <w:lang w:val="en-US" w:eastAsia="zh-CN"/>
        </w:rPr>
        <w:t>5</w:t>
      </w:r>
      <w:r>
        <w:rPr>
          <w:rFonts w:hint="eastAsia" w:ascii="宋体" w:hAnsi="宋体" w:cs="宋体"/>
          <w:color w:val="auto"/>
          <w:sz w:val="22"/>
          <w:szCs w:val="22"/>
          <w:highlight w:val="none"/>
          <w:u w:val="single"/>
        </w:rPr>
        <w:t>）合同工程竣工后，经两次验收仍不能达到合同约定的质量标准。</w:t>
      </w:r>
    </w:p>
    <w:p w14:paraId="686F6AC5">
      <w:pPr>
        <w:pStyle w:val="46"/>
        <w:spacing w:line="36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u w:val="single"/>
          <w:lang w:val="en-US" w:eastAsia="zh-CN"/>
        </w:rPr>
        <w:t>6</w:t>
      </w:r>
      <w:r>
        <w:rPr>
          <w:rFonts w:hint="eastAsia" w:ascii="宋体" w:hAnsi="宋体" w:cs="宋体"/>
          <w:color w:val="auto"/>
          <w:sz w:val="22"/>
          <w:szCs w:val="22"/>
          <w:highlight w:val="none"/>
          <w:u w:val="single"/>
        </w:rPr>
        <w:t>）承包人拒绝执行发包人或监理人发出的关于本工程的指令的；或以磋商工程量清单中的措施项目出现错误、缺项、漏项情况为由，拒绝执行相应部分内容施工的；或以变更或增加部分与本合同无实质性关联为由，拒绝执行的；或以变更增加部分子目单价低为由拒绝执行的；或超出以变更增加部分子目施工能力范围等为由拒绝执行的；或拒绝执行合同约定的其他情形的。</w:t>
      </w:r>
    </w:p>
    <w:p w14:paraId="5061C1E7">
      <w:pPr>
        <w:pStyle w:val="46"/>
        <w:spacing w:line="36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u w:val="single"/>
          <w:lang w:val="en-US" w:eastAsia="zh-CN"/>
        </w:rPr>
        <w:t>7</w:t>
      </w:r>
      <w:r>
        <w:rPr>
          <w:rFonts w:hint="eastAsia" w:ascii="宋体" w:hAnsi="宋体" w:cs="宋体"/>
          <w:color w:val="auto"/>
          <w:sz w:val="22"/>
          <w:szCs w:val="22"/>
          <w:highlight w:val="none"/>
          <w:u w:val="single"/>
        </w:rPr>
        <w:t>）如果承包人或承包人的工作人员（不论承包人是否知晓）以贿赂或变相贿赂的方式，谋取不当利益或损害发包人权益的。</w:t>
      </w:r>
    </w:p>
    <w:p w14:paraId="5298897B">
      <w:pPr>
        <w:pStyle w:val="46"/>
        <w:spacing w:line="36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u w:val="single"/>
          <w:lang w:val="en-US" w:eastAsia="zh-CN"/>
        </w:rPr>
        <w:t>8</w:t>
      </w:r>
      <w:r>
        <w:rPr>
          <w:rFonts w:hint="eastAsia" w:ascii="宋体" w:hAnsi="宋体" w:cs="宋体"/>
          <w:color w:val="auto"/>
          <w:sz w:val="22"/>
          <w:szCs w:val="22"/>
          <w:highlight w:val="none"/>
          <w:u w:val="single"/>
        </w:rPr>
        <w:t>) 未经验收或验收不合格，擅自进行隐蔽工程的覆盖或其他工程下道工序的施工，或验收合格后到隐蔽施工前对通过隐蔽验收的合格部分有任何改动。</w:t>
      </w:r>
    </w:p>
    <w:p w14:paraId="15911675">
      <w:pPr>
        <w:pStyle w:val="46"/>
        <w:spacing w:line="36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u w:val="single"/>
          <w:lang w:val="en-US" w:eastAsia="zh-CN"/>
        </w:rPr>
        <w:t>9</w:t>
      </w:r>
      <w:r>
        <w:rPr>
          <w:rFonts w:hint="eastAsia" w:ascii="宋体" w:hAnsi="宋体" w:cs="宋体"/>
          <w:color w:val="auto"/>
          <w:sz w:val="22"/>
          <w:szCs w:val="22"/>
          <w:highlight w:val="none"/>
          <w:u w:val="single"/>
        </w:rPr>
        <w:t>）承包人在缺陷责任期内，未能对缺陷责任期内发生的缺陷进行修复而又拒绝按发包人或监理人指示再进行修补或同一部位出现二次以上维修的。</w:t>
      </w:r>
    </w:p>
    <w:p w14:paraId="7DE0A73D">
      <w:pPr>
        <w:pStyle w:val="46"/>
        <w:spacing w:line="36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（1</w:t>
      </w:r>
      <w:r>
        <w:rPr>
          <w:rFonts w:hint="eastAsia" w:ascii="宋体" w:hAnsi="宋体" w:cs="宋体"/>
          <w:color w:val="auto"/>
          <w:sz w:val="22"/>
          <w:szCs w:val="22"/>
          <w:highlight w:val="none"/>
          <w:u w:val="single"/>
          <w:lang w:val="en-US" w:eastAsia="zh-CN"/>
        </w:rPr>
        <w:t>0</w:t>
      </w:r>
      <w:r>
        <w:rPr>
          <w:rFonts w:hint="eastAsia" w:ascii="宋体" w:hAnsi="宋体" w:cs="宋体"/>
          <w:color w:val="auto"/>
          <w:sz w:val="22"/>
          <w:szCs w:val="22"/>
          <w:highlight w:val="none"/>
          <w:u w:val="single"/>
        </w:rPr>
        <w:t>）承包人无法定或合同约定依据，而未能按期开工、暂停施工或以暂停施工相威胁，连续或累计超过7天（含7天）。</w:t>
      </w:r>
    </w:p>
    <w:p w14:paraId="5467AA4A">
      <w:pPr>
        <w:pStyle w:val="46"/>
        <w:spacing w:line="36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（1</w:t>
      </w:r>
      <w:r>
        <w:rPr>
          <w:rFonts w:hint="eastAsia" w:ascii="宋体" w:hAnsi="宋体" w:cs="宋体"/>
          <w:color w:val="auto"/>
          <w:sz w:val="22"/>
          <w:szCs w:val="22"/>
          <w:highlight w:val="none"/>
          <w:u w:val="single"/>
          <w:lang w:val="en-US" w:eastAsia="zh-CN"/>
        </w:rPr>
        <w:t>1</w:t>
      </w:r>
      <w:r>
        <w:rPr>
          <w:rFonts w:hint="eastAsia" w:ascii="宋体" w:hAnsi="宋体" w:cs="宋体"/>
          <w:color w:val="auto"/>
          <w:sz w:val="22"/>
          <w:szCs w:val="22"/>
          <w:highlight w:val="none"/>
          <w:u w:val="single"/>
        </w:rPr>
        <w:t>）承包人逾期竣工超过60天（含60天）或磋商文件承诺的节点或修改的施工组织设计承诺的节点逾期超过30天（含30天）。</w:t>
      </w:r>
    </w:p>
    <w:p w14:paraId="1FF2F257">
      <w:pPr>
        <w:pStyle w:val="46"/>
        <w:spacing w:line="36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u w:val="single"/>
          <w:lang w:val="en-US" w:eastAsia="zh-CN"/>
        </w:rPr>
        <w:t>12</w:t>
      </w:r>
      <w:r>
        <w:rPr>
          <w:rFonts w:hint="eastAsia" w:ascii="宋体" w:hAnsi="宋体" w:cs="宋体"/>
          <w:color w:val="auto"/>
          <w:sz w:val="22"/>
          <w:szCs w:val="22"/>
          <w:highlight w:val="none"/>
          <w:u w:val="single"/>
        </w:rPr>
        <w:t>）承包人的雇员或其分包人的雇员、或承包人的供应商扰乱发包人生产、生活秩序的。</w:t>
      </w:r>
    </w:p>
    <w:p w14:paraId="09011EEA">
      <w:pPr>
        <w:pStyle w:val="44"/>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16.2.2承包人违约的责任</w:t>
      </w:r>
    </w:p>
    <w:p w14:paraId="003E9473">
      <w:pPr>
        <w:pStyle w:val="44"/>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承包人违约责任的承担方式和计算方法：</w:t>
      </w:r>
    </w:p>
    <w:p w14:paraId="6DFC0637">
      <w:pPr>
        <w:pStyle w:val="54"/>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）条内容情形的，承包人无条件返工处理，修复至工程质量要求并承担相关费用，并在发包人规定的时间内完成返工，否则发包人有权扣罚该分项工程</w:t>
      </w:r>
      <w:r>
        <w:rPr>
          <w:color w:val="auto"/>
          <w:kern w:val="0"/>
          <w:highlight w:val="none"/>
        </w:rPr>
        <w:t>10%</w:t>
      </w:r>
      <w:r>
        <w:rPr>
          <w:rFonts w:hint="eastAsia" w:hAnsi="宋体" w:cs="宋体"/>
          <w:color w:val="auto"/>
          <w:kern w:val="0"/>
          <w:highlight w:val="none"/>
        </w:rPr>
        <w:t>的工程款作为处罚。</w:t>
      </w:r>
    </w:p>
    <w:p w14:paraId="644B81E8">
      <w:pPr>
        <w:pStyle w:val="54"/>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）条情形的，或经监理人检验认为修复质量不合格而承包人拒绝再进行修补的，发包人将扣除承包人全部质量保证金。</w:t>
      </w:r>
    </w:p>
    <w:p w14:paraId="1107913E">
      <w:pPr>
        <w:pStyle w:val="54"/>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）承包人有本专用合同条款</w:t>
      </w:r>
      <w:r>
        <w:rPr>
          <w:color w:val="auto"/>
          <w:kern w:val="0"/>
          <w:highlight w:val="none"/>
        </w:rPr>
        <w:t>3.2</w:t>
      </w:r>
      <w:r>
        <w:rPr>
          <w:rFonts w:hint="eastAsia" w:hAnsi="宋体" w:cs="宋体"/>
          <w:color w:val="auto"/>
          <w:kern w:val="0"/>
          <w:highlight w:val="none"/>
        </w:rPr>
        <w:t>、</w:t>
      </w:r>
      <w:r>
        <w:rPr>
          <w:color w:val="auto"/>
          <w:kern w:val="0"/>
          <w:highlight w:val="none"/>
        </w:rPr>
        <w:t>3.3</w:t>
      </w:r>
      <w:r>
        <w:rPr>
          <w:rFonts w:hint="eastAsia" w:hAnsi="宋体" w:cs="宋体"/>
          <w:color w:val="auto"/>
          <w:kern w:val="0"/>
          <w:highlight w:val="non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63F5909B">
      <w:pPr>
        <w:pStyle w:val="54"/>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4）上述条款所称的损失，违约责任，除明确约定以外，还包括但不限于：守约方因维权支出的诉讼仲裁费、保全费、差旅费、律师费，前述律师费可仅凭《委托代理合同》结合律师服务收费管理实施办法确定的收费标准向违约方主张。</w:t>
      </w:r>
    </w:p>
    <w:p w14:paraId="5E1F12A3">
      <w:pPr>
        <w:pStyle w:val="54"/>
        <w:spacing w:line="360" w:lineRule="auto"/>
        <w:ind w:firstLine="420" w:firstLineChars="200"/>
        <w:jc w:val="left"/>
        <w:rPr>
          <w:rFonts w:hAnsi="宋体"/>
          <w:color w:val="auto"/>
          <w:highlight w:val="none"/>
        </w:rPr>
      </w:pPr>
      <w:r>
        <w:rPr>
          <w:color w:val="auto"/>
          <w:highlight w:val="none"/>
        </w:rPr>
        <w:t xml:space="preserve">16.2.3 </w:t>
      </w:r>
      <w:r>
        <w:rPr>
          <w:rFonts w:hint="eastAsia" w:hAnsi="宋体" w:cs="宋体"/>
          <w:color w:val="auto"/>
          <w:highlight w:val="none"/>
        </w:rPr>
        <w:t>因承包人违约解除合同</w:t>
      </w:r>
    </w:p>
    <w:p w14:paraId="4F456D88">
      <w:pPr>
        <w:pStyle w:val="54"/>
        <w:spacing w:line="360" w:lineRule="auto"/>
        <w:ind w:firstLine="420" w:firstLineChars="200"/>
        <w:jc w:val="left"/>
        <w:rPr>
          <w:rFonts w:hAnsi="宋体"/>
          <w:color w:val="auto"/>
          <w:kern w:val="0"/>
          <w:highlight w:val="none"/>
        </w:rPr>
      </w:pPr>
      <w:r>
        <w:rPr>
          <w:rFonts w:hint="eastAsia" w:hAnsi="宋体" w:cs="宋体"/>
          <w:color w:val="auto"/>
          <w:kern w:val="0"/>
          <w:highlight w:val="none"/>
        </w:rPr>
        <w:t>关于承包人违约解除合同的特别约定：</w:t>
      </w:r>
      <w:r>
        <w:rPr>
          <w:rFonts w:hint="eastAsia" w:hAnsi="宋体" w:cs="宋体"/>
          <w:color w:val="auto"/>
          <w:kern w:val="0"/>
          <w:highlight w:val="none"/>
          <w:u w:val="single"/>
        </w:rPr>
        <w:t>承包人有违反以下情况之一的，发包人有权解除合同，并没收其全部履约保证金</w:t>
      </w:r>
      <w:r>
        <w:rPr>
          <w:rFonts w:hint="eastAsia" w:hAnsi="宋体" w:cs="宋体"/>
          <w:color w:val="auto"/>
          <w:kern w:val="0"/>
          <w:highlight w:val="none"/>
        </w:rPr>
        <w:t>。</w:t>
      </w:r>
    </w:p>
    <w:p w14:paraId="3B2C340A">
      <w:pPr>
        <w:pStyle w:val="54"/>
        <w:spacing w:line="360" w:lineRule="auto"/>
        <w:ind w:firstLine="420" w:firstLineChars="200"/>
        <w:jc w:val="left"/>
        <w:rPr>
          <w:rFonts w:hAnsi="宋体"/>
          <w:color w:val="auto"/>
          <w:kern w:val="0"/>
          <w:highlight w:val="none"/>
        </w:rPr>
      </w:pPr>
      <w:r>
        <w:rPr>
          <w:color w:val="auto"/>
          <w:kern w:val="0"/>
          <w:highlight w:val="none"/>
        </w:rPr>
        <w:t>(1)</w:t>
      </w:r>
      <w:r>
        <w:rPr>
          <w:rFonts w:hint="eastAsia" w:hAnsi="宋体" w:cs="宋体"/>
          <w:color w:val="auto"/>
          <w:kern w:val="0"/>
          <w:highlight w:val="none"/>
        </w:rPr>
        <w:t>承包人无正当理由不按开工通知的要求及时进场组织施工和不按签订协议书时商定的进度计划有效地开展施工准备，造成工期延误的；</w:t>
      </w:r>
    </w:p>
    <w:p w14:paraId="5F597EA4">
      <w:pPr>
        <w:pStyle w:val="54"/>
        <w:spacing w:line="360" w:lineRule="auto"/>
        <w:ind w:firstLine="420" w:firstLineChars="200"/>
        <w:jc w:val="left"/>
        <w:rPr>
          <w:rFonts w:hAnsi="宋体"/>
          <w:color w:val="auto"/>
          <w:kern w:val="0"/>
          <w:highlight w:val="none"/>
        </w:rPr>
      </w:pPr>
      <w:r>
        <w:rPr>
          <w:color w:val="auto"/>
          <w:kern w:val="0"/>
          <w:highlight w:val="none"/>
        </w:rPr>
        <w:t>(2)</w:t>
      </w:r>
      <w:r>
        <w:rPr>
          <w:rFonts w:hint="eastAsia" w:hAnsi="宋体" w:cs="宋体"/>
          <w:color w:val="auto"/>
          <w:kern w:val="0"/>
          <w:highlight w:val="none"/>
        </w:rPr>
        <w:t>承包人违反本合同通用条款第</w:t>
      </w:r>
      <w:r>
        <w:rPr>
          <w:color w:val="auto"/>
          <w:kern w:val="0"/>
          <w:highlight w:val="none"/>
        </w:rPr>
        <w:t>3.5</w:t>
      </w:r>
      <w:r>
        <w:rPr>
          <w:rFonts w:hint="eastAsia" w:hAnsi="宋体" w:cs="宋体"/>
          <w:color w:val="auto"/>
          <w:kern w:val="0"/>
          <w:highlight w:val="none"/>
        </w:rPr>
        <w:t>条规定私自将合同或合同的任何部分或任何权利转让给其他人，或私自将工程或工程的一部分分包出去的；</w:t>
      </w:r>
    </w:p>
    <w:p w14:paraId="62BA4EB3">
      <w:pPr>
        <w:pStyle w:val="54"/>
        <w:spacing w:line="360" w:lineRule="auto"/>
        <w:ind w:firstLine="420" w:firstLineChars="200"/>
        <w:jc w:val="left"/>
        <w:rPr>
          <w:rFonts w:hAnsi="宋体"/>
          <w:color w:val="auto"/>
          <w:kern w:val="0"/>
          <w:highlight w:val="none"/>
        </w:rPr>
      </w:pPr>
      <w:r>
        <w:rPr>
          <w:color w:val="auto"/>
          <w:kern w:val="0"/>
          <w:highlight w:val="none"/>
        </w:rPr>
        <w:t>(3)</w:t>
      </w:r>
      <w:r>
        <w:rPr>
          <w:rFonts w:hint="eastAsia" w:hAnsi="宋体" w:cs="宋体"/>
          <w:color w:val="auto"/>
          <w:kern w:val="0"/>
          <w:highlight w:val="none"/>
        </w:rPr>
        <w:t>未经监理人批准，承包人私自将已按投标文件承诺进入工地的工程设备、施工设备、临时工程或材料撤离工地的；</w:t>
      </w:r>
    </w:p>
    <w:p w14:paraId="5DE636B1">
      <w:pPr>
        <w:pStyle w:val="54"/>
        <w:spacing w:line="360" w:lineRule="auto"/>
        <w:ind w:firstLine="420" w:firstLineChars="200"/>
        <w:jc w:val="left"/>
        <w:rPr>
          <w:color w:val="auto"/>
          <w:kern w:val="0"/>
          <w:highlight w:val="none"/>
        </w:rPr>
      </w:pPr>
      <w:r>
        <w:rPr>
          <w:color w:val="auto"/>
          <w:kern w:val="0"/>
          <w:highlight w:val="none"/>
        </w:rPr>
        <w:t>(4)</w:t>
      </w:r>
      <w:r>
        <w:rPr>
          <w:rFonts w:hint="eastAsia" w:hAnsi="宋体" w:cs="宋体"/>
          <w:color w:val="auto"/>
          <w:kern w:val="0"/>
          <w:highlight w:val="none"/>
        </w:rPr>
        <w:t>由于承包人原因拒绝按合同进度计划及时完成合同规定的工程，而又未采取有效措施赶上进度，造成工期严重延误的；</w:t>
      </w:r>
    </w:p>
    <w:p w14:paraId="778E67DB">
      <w:pPr>
        <w:pStyle w:val="54"/>
        <w:spacing w:line="360" w:lineRule="auto"/>
        <w:ind w:firstLine="420" w:firstLineChars="200"/>
        <w:rPr>
          <w:color w:val="auto"/>
          <w:kern w:val="0"/>
          <w:highlight w:val="none"/>
        </w:rPr>
      </w:pPr>
      <w:r>
        <w:rPr>
          <w:color w:val="auto"/>
          <w:kern w:val="0"/>
          <w:highlight w:val="none"/>
        </w:rPr>
        <w:t>(5)</w:t>
      </w:r>
      <w:r>
        <w:rPr>
          <w:rFonts w:hint="eastAsia" w:hAnsi="宋体" w:cs="宋体"/>
          <w:color w:val="auto"/>
          <w:kern w:val="0"/>
          <w:highlight w:val="none"/>
        </w:rPr>
        <w:t>承包人否认合同有效或拒绝履行合同规定的承包人义务，或由于法律、财务等原因导致承包人无法继续履行或实质上已停止履行合同的义务的；</w:t>
      </w:r>
    </w:p>
    <w:p w14:paraId="7CC36519">
      <w:pPr>
        <w:pStyle w:val="54"/>
        <w:spacing w:line="360" w:lineRule="auto"/>
        <w:ind w:firstLine="420" w:firstLineChars="200"/>
        <w:rPr>
          <w:color w:val="auto"/>
          <w:kern w:val="0"/>
          <w:highlight w:val="none"/>
        </w:rPr>
      </w:pPr>
      <w:r>
        <w:rPr>
          <w:color w:val="auto"/>
          <w:kern w:val="0"/>
          <w:highlight w:val="none"/>
        </w:rPr>
        <w:t>(6)</w:t>
      </w:r>
      <w:r>
        <w:rPr>
          <w:rFonts w:hint="eastAsia" w:hAnsi="宋体" w:cs="宋体"/>
          <w:color w:val="auto"/>
          <w:kern w:val="0"/>
          <w:highlight w:val="none"/>
        </w:rPr>
        <w:t>合同签订</w:t>
      </w:r>
      <w:r>
        <w:rPr>
          <w:rFonts w:hint="eastAsia" w:ascii="仿宋_GB2312" w:hAnsi="宋体" w:cs="宋体"/>
          <w:color w:val="auto"/>
          <w:highlight w:val="none"/>
        </w:rPr>
        <w:t>且具备法定开工条件后</w:t>
      </w:r>
      <w:r>
        <w:rPr>
          <w:rFonts w:hint="eastAsia" w:hAnsi="宋体" w:cs="宋体"/>
          <w:color w:val="auto"/>
          <w:kern w:val="0"/>
          <w:highlight w:val="none"/>
        </w:rPr>
        <w:t>之日起十五日内，承包人无法按合同规定及投标文件的承诺进场经监理工程师认可的该</w:t>
      </w:r>
      <w:r>
        <w:rPr>
          <w:rFonts w:hAnsi="宋体" w:cs="宋体"/>
          <w:color w:val="auto"/>
          <w:kern w:val="0"/>
          <w:highlight w:val="none"/>
        </w:rPr>
        <w:t>施工</w:t>
      </w:r>
      <w:r>
        <w:rPr>
          <w:rFonts w:hint="eastAsia" w:hAnsi="宋体" w:cs="宋体"/>
          <w:color w:val="auto"/>
          <w:kern w:val="0"/>
          <w:highlight w:val="none"/>
        </w:rPr>
        <w:t>阶段</w:t>
      </w:r>
      <w:r>
        <w:rPr>
          <w:rFonts w:hAnsi="宋体" w:cs="宋体"/>
          <w:color w:val="auto"/>
          <w:kern w:val="0"/>
          <w:highlight w:val="none"/>
        </w:rPr>
        <w:t>应有的</w:t>
      </w:r>
      <w:r>
        <w:rPr>
          <w:rFonts w:hint="eastAsia" w:hAnsi="宋体" w:cs="宋体"/>
          <w:color w:val="auto"/>
          <w:kern w:val="0"/>
          <w:highlight w:val="none"/>
        </w:rPr>
        <w:t>全部人员和机械的。</w:t>
      </w:r>
    </w:p>
    <w:p w14:paraId="5D00B822">
      <w:pPr>
        <w:pStyle w:val="44"/>
        <w:spacing w:line="360" w:lineRule="exact"/>
        <w:ind w:firstLine="420" w:firstLineChars="200"/>
        <w:jc w:val="left"/>
        <w:rPr>
          <w:rFonts w:ascii="宋体" w:hAnsi="宋体" w:cs="宋体"/>
          <w:color w:val="auto"/>
          <w:kern w:val="0"/>
          <w:sz w:val="22"/>
          <w:highlight w:val="none"/>
        </w:rPr>
      </w:pPr>
      <w:r>
        <w:rPr>
          <w:rFonts w:hint="eastAsia" w:ascii="Calibri" w:hAnsi="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color w:val="auto"/>
          <w:kern w:val="0"/>
          <w:highlight w:val="none"/>
          <w:u w:val="single"/>
        </w:rPr>
        <w:t>由双方约定</w:t>
      </w:r>
      <w:r>
        <w:rPr>
          <w:rFonts w:hint="eastAsia" w:ascii="Calibri" w:hAnsi="宋体" w:cs="宋体"/>
          <w:color w:val="auto"/>
          <w:kern w:val="0"/>
          <w:highlight w:val="none"/>
        </w:rPr>
        <w:t>。</w:t>
      </w:r>
    </w:p>
    <w:p w14:paraId="288B14A4">
      <w:pPr>
        <w:pStyle w:val="43"/>
        <w:spacing w:before="0" w:after="0" w:line="360" w:lineRule="exact"/>
        <w:rPr>
          <w:rFonts w:ascii="宋体" w:hAnsi="宋体" w:cs="宋体"/>
          <w:color w:val="auto"/>
          <w:sz w:val="22"/>
          <w:szCs w:val="22"/>
          <w:highlight w:val="none"/>
        </w:rPr>
      </w:pPr>
      <w:bookmarkStart w:id="1251" w:name="_Toc373227769"/>
      <w:bookmarkStart w:id="1252" w:name="_Toc389065334"/>
      <w:bookmarkStart w:id="1253" w:name="_Toc395382572"/>
      <w:bookmarkStart w:id="1254" w:name="_Toc373478416"/>
      <w:bookmarkStart w:id="1255" w:name="_Toc12975961"/>
      <w:bookmarkStart w:id="1256" w:name="_Toc533432796"/>
      <w:bookmarkStart w:id="1257" w:name="_Toc351203649"/>
      <w:r>
        <w:rPr>
          <w:rFonts w:hint="eastAsia" w:ascii="宋体" w:hAnsi="宋体" w:cs="宋体"/>
          <w:color w:val="auto"/>
          <w:sz w:val="22"/>
          <w:szCs w:val="22"/>
          <w:highlight w:val="none"/>
        </w:rPr>
        <w:t>17. 不可抗力</w:t>
      </w:r>
      <w:bookmarkEnd w:id="1251"/>
      <w:bookmarkEnd w:id="1252"/>
      <w:bookmarkEnd w:id="1253"/>
      <w:bookmarkEnd w:id="1254"/>
      <w:bookmarkEnd w:id="1255"/>
      <w:bookmarkEnd w:id="1256"/>
      <w:bookmarkEnd w:id="1257"/>
      <w:r>
        <w:rPr>
          <w:rFonts w:hint="eastAsia" w:ascii="宋体" w:hAnsi="宋体" w:cs="宋体"/>
          <w:color w:val="auto"/>
          <w:sz w:val="22"/>
          <w:szCs w:val="22"/>
          <w:highlight w:val="none"/>
        </w:rPr>
        <w:t xml:space="preserve"> </w:t>
      </w:r>
      <w:bookmarkEnd w:id="1237"/>
    </w:p>
    <w:p w14:paraId="023AE312">
      <w:pPr>
        <w:pStyle w:val="45"/>
        <w:spacing w:line="360" w:lineRule="exact"/>
        <w:rPr>
          <w:rFonts w:ascii="宋体" w:hAnsi="宋体" w:cs="宋体"/>
          <w:color w:val="auto"/>
          <w:sz w:val="22"/>
          <w:szCs w:val="22"/>
          <w:highlight w:val="none"/>
        </w:rPr>
      </w:pPr>
      <w:bookmarkStart w:id="1258" w:name="_Toc373478417"/>
      <w:bookmarkStart w:id="1259" w:name="_Toc12975962"/>
      <w:bookmarkStart w:id="1260" w:name="_Toc395382573"/>
      <w:bookmarkStart w:id="1261" w:name="_Toc373227770"/>
      <w:bookmarkStart w:id="1262" w:name="_Toc389065335"/>
      <w:bookmarkStart w:id="1263" w:name="_Toc533432797"/>
      <w:r>
        <w:rPr>
          <w:rFonts w:hint="eastAsia" w:ascii="宋体" w:hAnsi="宋体" w:cs="宋体"/>
          <w:color w:val="auto"/>
          <w:sz w:val="22"/>
          <w:szCs w:val="22"/>
          <w:highlight w:val="none"/>
        </w:rPr>
        <w:t>17.1 不可抗力的确认</w:t>
      </w:r>
      <w:bookmarkEnd w:id="1258"/>
      <w:bookmarkEnd w:id="1259"/>
      <w:bookmarkEnd w:id="1260"/>
      <w:bookmarkEnd w:id="1261"/>
      <w:bookmarkEnd w:id="1262"/>
      <w:bookmarkEnd w:id="1263"/>
    </w:p>
    <w:p w14:paraId="20E55DAE">
      <w:pPr>
        <w:pStyle w:val="44"/>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sz w:val="22"/>
          <w:highlight w:val="none"/>
        </w:rPr>
        <w:t>除通用合同条款约定的不可抗力事件之外，视为不可抗力的其他情形：</w:t>
      </w:r>
      <w:r>
        <w:rPr>
          <w:rFonts w:hint="eastAsia" w:ascii="宋体" w:hAnsi="宋体" w:cs="宋体"/>
          <w:color w:val="auto"/>
          <w:sz w:val="22"/>
          <w:highlight w:val="none"/>
          <w:u w:val="single"/>
        </w:rPr>
        <w:t>地震、海啸、瘟疫、骚乱、戒严、暴动、战争及13级以上台风，但由于承包人及其分包商的雇员的原因引起的骚乱及其他灾难性事件不属于不可抗力</w:t>
      </w:r>
      <w:r>
        <w:rPr>
          <w:rFonts w:hint="eastAsia" w:ascii="宋体" w:hAnsi="宋体" w:cs="宋体"/>
          <w:color w:val="auto"/>
          <w:kern w:val="0"/>
          <w:sz w:val="22"/>
          <w:highlight w:val="none"/>
          <w:u w:val="single"/>
        </w:rPr>
        <w:t>。</w:t>
      </w:r>
      <w:bookmarkStart w:id="1264" w:name="_Toc373478418"/>
      <w:bookmarkStart w:id="1265" w:name="_Toc389065336"/>
      <w:bookmarkStart w:id="1266" w:name="_Toc373227771"/>
      <w:bookmarkStart w:id="1267" w:name="_Toc395382574"/>
    </w:p>
    <w:p w14:paraId="5C38F4FA">
      <w:pPr>
        <w:pStyle w:val="44"/>
        <w:spacing w:line="360" w:lineRule="exact"/>
        <w:rPr>
          <w:rFonts w:ascii="宋体" w:hAnsi="宋体" w:cs="宋体"/>
          <w:b/>
          <w:bCs/>
          <w:color w:val="auto"/>
          <w:sz w:val="22"/>
          <w:highlight w:val="none"/>
        </w:rPr>
      </w:pPr>
      <w:r>
        <w:rPr>
          <w:rFonts w:hint="eastAsia" w:ascii="宋体" w:hAnsi="宋体" w:cs="宋体"/>
          <w:b/>
          <w:bCs/>
          <w:color w:val="auto"/>
          <w:sz w:val="22"/>
          <w:highlight w:val="none"/>
        </w:rPr>
        <w:t>17.4 因不可抗力解除合同</w:t>
      </w:r>
      <w:bookmarkEnd w:id="1264"/>
      <w:bookmarkEnd w:id="1265"/>
      <w:bookmarkEnd w:id="1266"/>
      <w:bookmarkEnd w:id="1267"/>
    </w:p>
    <w:p w14:paraId="03251A65">
      <w:pPr>
        <w:pStyle w:val="43"/>
        <w:spacing w:before="0" w:after="0" w:line="360" w:lineRule="exact"/>
        <w:ind w:firstLine="440" w:firstLineChars="200"/>
        <w:rPr>
          <w:rFonts w:ascii="宋体" w:hAnsi="宋体" w:cs="宋体"/>
          <w:b w:val="0"/>
          <w:bCs w:val="0"/>
          <w:color w:val="auto"/>
          <w:sz w:val="22"/>
          <w:szCs w:val="22"/>
          <w:highlight w:val="none"/>
        </w:rPr>
      </w:pPr>
      <w:bookmarkStart w:id="1268" w:name="_Toc373478419"/>
      <w:bookmarkStart w:id="1269" w:name="_Toc373227772"/>
      <w:bookmarkStart w:id="1270" w:name="_Toc389065337"/>
      <w:bookmarkStart w:id="1271" w:name="_Toc533432799"/>
      <w:bookmarkStart w:id="1272" w:name="_Toc351203650"/>
      <w:bookmarkStart w:id="1273" w:name="_Toc12975964"/>
      <w:bookmarkStart w:id="1274" w:name="_Toc395382575"/>
      <w:r>
        <w:rPr>
          <w:rFonts w:hint="eastAsia" w:ascii="宋体" w:hAnsi="宋体" w:cs="宋体"/>
          <w:b w:val="0"/>
          <w:bCs w:val="0"/>
          <w:color w:val="auto"/>
          <w:sz w:val="22"/>
          <w:szCs w:val="22"/>
          <w:highlight w:val="none"/>
        </w:rPr>
        <w:t>合同解除后，发包人应在商定或确定发包人应支付款项后</w:t>
      </w:r>
      <w:r>
        <w:rPr>
          <w:rFonts w:hint="eastAsia" w:ascii="宋体" w:hAnsi="宋体" w:cs="宋体"/>
          <w:b w:val="0"/>
          <w:bCs w:val="0"/>
          <w:color w:val="auto"/>
          <w:sz w:val="22"/>
          <w:szCs w:val="22"/>
          <w:highlight w:val="none"/>
          <w:u w:val="single"/>
        </w:rPr>
        <w:t xml:space="preserve">  120   </w:t>
      </w:r>
      <w:r>
        <w:rPr>
          <w:rFonts w:hint="eastAsia" w:ascii="宋体" w:hAnsi="宋体" w:cs="宋体"/>
          <w:b w:val="0"/>
          <w:bCs w:val="0"/>
          <w:color w:val="auto"/>
          <w:sz w:val="22"/>
          <w:szCs w:val="22"/>
          <w:highlight w:val="none"/>
        </w:rPr>
        <w:t>天内完成款项的支付。应支付款项以审计部门出具的审计报告为准。</w:t>
      </w:r>
    </w:p>
    <w:p w14:paraId="1DC55D9C">
      <w:pPr>
        <w:pStyle w:val="43"/>
        <w:spacing w:before="0" w:after="0" w:line="360" w:lineRule="exact"/>
        <w:rPr>
          <w:rFonts w:ascii="宋体" w:hAnsi="宋体" w:cs="宋体"/>
          <w:color w:val="auto"/>
          <w:sz w:val="22"/>
          <w:szCs w:val="22"/>
          <w:highlight w:val="none"/>
        </w:rPr>
      </w:pPr>
      <w:r>
        <w:rPr>
          <w:rFonts w:hint="eastAsia" w:ascii="宋体" w:hAnsi="宋体" w:cs="宋体"/>
          <w:color w:val="auto"/>
          <w:sz w:val="22"/>
          <w:szCs w:val="22"/>
          <w:highlight w:val="none"/>
        </w:rPr>
        <w:t>18. 保险</w:t>
      </w:r>
      <w:bookmarkEnd w:id="1268"/>
      <w:bookmarkEnd w:id="1269"/>
      <w:bookmarkEnd w:id="1270"/>
      <w:bookmarkEnd w:id="1271"/>
      <w:bookmarkEnd w:id="1272"/>
      <w:bookmarkEnd w:id="1273"/>
      <w:bookmarkEnd w:id="1274"/>
    </w:p>
    <w:bookmarkEnd w:id="1238"/>
    <w:p w14:paraId="4D62C80B">
      <w:pPr>
        <w:pStyle w:val="45"/>
        <w:spacing w:line="360" w:lineRule="exact"/>
        <w:rPr>
          <w:rFonts w:ascii="宋体" w:hAnsi="宋体" w:cs="宋体"/>
          <w:color w:val="auto"/>
          <w:sz w:val="22"/>
          <w:szCs w:val="22"/>
          <w:highlight w:val="none"/>
        </w:rPr>
      </w:pPr>
      <w:bookmarkStart w:id="1275" w:name="_Toc389065338"/>
      <w:bookmarkStart w:id="1276" w:name="_Toc373227773"/>
      <w:bookmarkStart w:id="1277" w:name="_Toc373478420"/>
      <w:bookmarkStart w:id="1278" w:name="_Toc533432800"/>
      <w:bookmarkStart w:id="1279" w:name="_Toc12975965"/>
      <w:bookmarkStart w:id="1280" w:name="_Toc395382576"/>
      <w:r>
        <w:rPr>
          <w:rFonts w:hint="eastAsia" w:ascii="宋体" w:hAnsi="宋体" w:cs="宋体"/>
          <w:color w:val="auto"/>
          <w:sz w:val="22"/>
          <w:szCs w:val="22"/>
          <w:highlight w:val="none"/>
        </w:rPr>
        <w:t>18.1 工程保险</w:t>
      </w:r>
      <w:bookmarkEnd w:id="1275"/>
      <w:bookmarkEnd w:id="1276"/>
      <w:bookmarkEnd w:id="1277"/>
      <w:bookmarkEnd w:id="1278"/>
      <w:bookmarkEnd w:id="1279"/>
      <w:bookmarkEnd w:id="1280"/>
    </w:p>
    <w:p w14:paraId="7AA0E9DD">
      <w:pPr>
        <w:pStyle w:val="46"/>
        <w:spacing w:line="360" w:lineRule="exact"/>
        <w:ind w:firstLine="440" w:firstLineChars="200"/>
        <w:jc w:val="left"/>
        <w:rPr>
          <w:rFonts w:ascii="宋体" w:hAnsi="宋体" w:cs="宋体"/>
          <w:b/>
          <w:color w:val="auto"/>
          <w:sz w:val="22"/>
          <w:szCs w:val="22"/>
          <w:highlight w:val="none"/>
          <w:u w:val="single"/>
        </w:rPr>
      </w:pPr>
      <w:r>
        <w:rPr>
          <w:rFonts w:hint="eastAsia" w:ascii="宋体" w:hAnsi="宋体" w:cs="宋体"/>
          <w:color w:val="auto"/>
          <w:sz w:val="22"/>
          <w:szCs w:val="22"/>
          <w:highlight w:val="none"/>
        </w:rPr>
        <w:t>关于工程保险的特别约定：</w:t>
      </w:r>
      <w:r>
        <w:rPr>
          <w:rFonts w:hint="eastAsia" w:ascii="宋体" w:hAnsi="宋体" w:cs="宋体"/>
          <w:color w:val="auto"/>
          <w:kern w:val="0"/>
          <w:sz w:val="22"/>
          <w:szCs w:val="22"/>
          <w:highlight w:val="none"/>
          <w:u w:val="single"/>
        </w:rPr>
        <w:t xml:space="preserve"> </w:t>
      </w:r>
      <w:r>
        <w:rPr>
          <w:rFonts w:hint="eastAsia" w:ascii="宋体" w:hAnsi="宋体" w:cs="宋体"/>
          <w:b/>
          <w:color w:val="auto"/>
          <w:sz w:val="22"/>
          <w:szCs w:val="22"/>
          <w:highlight w:val="none"/>
          <w:u w:val="single"/>
        </w:rPr>
        <w:t>本项目工程一切险（或安装工程一切险）和第三者责任险由发包人委托承包人投保，费用总价包干，承包人预估费用低于实际费用，不足部分由承包人补齐；因承包人不投保或投保不足造成的损失全部由承包人承担，与发包人无关</w:t>
      </w:r>
      <w:r>
        <w:rPr>
          <w:rFonts w:hint="eastAsia" w:ascii="宋体" w:hAnsi="宋体" w:cs="宋体"/>
          <w:b/>
          <w:color w:val="auto"/>
          <w:kern w:val="0"/>
          <w:sz w:val="22"/>
          <w:szCs w:val="22"/>
          <w:highlight w:val="none"/>
          <w:u w:val="single"/>
        </w:rPr>
        <w:t>。</w:t>
      </w:r>
    </w:p>
    <w:p w14:paraId="67932A3F">
      <w:pPr>
        <w:pStyle w:val="45"/>
        <w:spacing w:line="360" w:lineRule="exact"/>
        <w:rPr>
          <w:rFonts w:ascii="宋体" w:hAnsi="宋体" w:cs="宋体"/>
          <w:color w:val="auto"/>
          <w:sz w:val="22"/>
          <w:szCs w:val="22"/>
          <w:highlight w:val="none"/>
        </w:rPr>
      </w:pPr>
      <w:bookmarkStart w:id="1281" w:name="_Toc389065339"/>
      <w:bookmarkStart w:id="1282" w:name="_Toc373478421"/>
      <w:bookmarkStart w:id="1283" w:name="_Toc12975966"/>
      <w:bookmarkStart w:id="1284" w:name="_Toc533432801"/>
      <w:bookmarkStart w:id="1285" w:name="_Toc373227774"/>
      <w:bookmarkStart w:id="1286" w:name="_Toc395382577"/>
      <w:r>
        <w:rPr>
          <w:rFonts w:hint="eastAsia" w:ascii="宋体" w:hAnsi="宋体" w:cs="宋体"/>
          <w:color w:val="auto"/>
          <w:sz w:val="22"/>
          <w:szCs w:val="22"/>
          <w:highlight w:val="none"/>
        </w:rPr>
        <w:t>18.3 其他保险</w:t>
      </w:r>
      <w:bookmarkEnd w:id="1281"/>
      <w:bookmarkEnd w:id="1282"/>
      <w:bookmarkEnd w:id="1283"/>
      <w:bookmarkEnd w:id="1284"/>
      <w:bookmarkEnd w:id="1285"/>
      <w:bookmarkEnd w:id="1286"/>
    </w:p>
    <w:p w14:paraId="4C3B5938">
      <w:pPr>
        <w:pStyle w:val="44"/>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sz w:val="22"/>
          <w:highlight w:val="none"/>
        </w:rPr>
        <w:t>关于其他保险的约定：</w:t>
      </w:r>
      <w:r>
        <w:rPr>
          <w:rFonts w:hint="eastAsia" w:ascii="宋体" w:hAnsi="宋体" w:cs="宋体"/>
          <w:bCs/>
          <w:color w:val="auto"/>
          <w:sz w:val="22"/>
          <w:highlight w:val="none"/>
          <w:u w:val="single"/>
        </w:rPr>
        <w:t xml:space="preserve">  承包人必须为施工现场从事施工的作业人员和管理人员办理意外伤害保险，并支付其保费，保险期限为项目建设期内（开工令发出7日内由承包人提供相关凭证）</w:t>
      </w:r>
      <w:r>
        <w:rPr>
          <w:rFonts w:hint="eastAsia" w:ascii="宋体" w:hAnsi="宋体" w:cs="宋体"/>
          <w:bCs/>
          <w:color w:val="auto"/>
          <w:sz w:val="22"/>
          <w:highlight w:val="none"/>
        </w:rPr>
        <w:t>。</w:t>
      </w:r>
    </w:p>
    <w:p w14:paraId="4DF00D1B">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承包人是否应为其施工设备等办理财产保险：</w:t>
      </w:r>
      <w:r>
        <w:rPr>
          <w:rFonts w:hint="eastAsia" w:ascii="宋体" w:hAnsi="宋体" w:cs="宋体"/>
          <w:color w:val="auto"/>
          <w:sz w:val="22"/>
          <w:highlight w:val="none"/>
          <w:u w:val="single"/>
        </w:rPr>
        <w:t xml:space="preserve"> </w:t>
      </w:r>
      <w:r>
        <w:rPr>
          <w:rFonts w:hint="eastAsia" w:ascii="宋体" w:hAnsi="宋体" w:cs="宋体"/>
          <w:color w:val="auto"/>
          <w:kern w:val="0"/>
          <w:sz w:val="22"/>
          <w:highlight w:val="none"/>
          <w:u w:val="single"/>
        </w:rPr>
        <w:t xml:space="preserve">承包人自行考虑 </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w:t>
      </w:r>
      <w:bookmarkStart w:id="1287" w:name="_Toc513041358"/>
      <w:bookmarkStart w:id="1288" w:name="_Toc529202612"/>
      <w:bookmarkStart w:id="1289" w:name="_Toc54862578"/>
    </w:p>
    <w:p w14:paraId="0ED4F856">
      <w:pPr>
        <w:pStyle w:val="47"/>
        <w:spacing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18.6未按约定投保的补救</w:t>
      </w:r>
      <w:bookmarkEnd w:id="1287"/>
      <w:bookmarkEnd w:id="1288"/>
      <w:bookmarkEnd w:id="1289"/>
    </w:p>
    <w:p w14:paraId="1269925D">
      <w:pPr>
        <w:pStyle w:val="46"/>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18.6.1投保工程保险产生的相关费用包含在本合同中，费用总价包干，承包人可以自主决定本项目是否办理</w:t>
      </w:r>
      <w:r>
        <w:rPr>
          <w:rFonts w:hint="eastAsia" w:ascii="宋体" w:hAnsi="宋体" w:cs="宋体"/>
          <w:b/>
          <w:color w:val="auto"/>
          <w:sz w:val="22"/>
          <w:szCs w:val="22"/>
          <w:highlight w:val="none"/>
          <w:u w:val="single"/>
        </w:rPr>
        <w:t>建筑工程一切险（或安装工程一切险）和第三者责任险</w:t>
      </w:r>
      <w:r>
        <w:rPr>
          <w:rFonts w:hint="eastAsia" w:ascii="宋体" w:hAnsi="宋体" w:cs="宋体"/>
          <w:color w:val="auto"/>
          <w:sz w:val="22"/>
          <w:szCs w:val="22"/>
          <w:highlight w:val="none"/>
        </w:rPr>
        <w:t>。但由于承包人的原因，造成未按合同约定办理保险，或未能使保险持续有效的，导致损失未能得到足额赔偿的，由承包人负责补足。</w:t>
      </w:r>
    </w:p>
    <w:p w14:paraId="27DA2C81">
      <w:pPr>
        <w:pStyle w:val="45"/>
        <w:spacing w:line="360" w:lineRule="exact"/>
        <w:rPr>
          <w:rFonts w:ascii="宋体" w:hAnsi="宋体" w:cs="宋体"/>
          <w:color w:val="auto"/>
          <w:sz w:val="22"/>
          <w:szCs w:val="22"/>
          <w:highlight w:val="none"/>
        </w:rPr>
      </w:pPr>
      <w:bookmarkStart w:id="1290" w:name="_Toc533432802"/>
      <w:bookmarkStart w:id="1291" w:name="_Toc373478422"/>
      <w:bookmarkStart w:id="1292" w:name="_Toc12975967"/>
      <w:bookmarkStart w:id="1293" w:name="_Toc395382578"/>
      <w:bookmarkStart w:id="1294" w:name="_Toc373227775"/>
      <w:bookmarkStart w:id="1295" w:name="_Toc389065340"/>
      <w:r>
        <w:rPr>
          <w:rFonts w:hint="eastAsia" w:ascii="宋体" w:hAnsi="宋体" w:cs="宋体"/>
          <w:color w:val="auto"/>
          <w:sz w:val="22"/>
          <w:szCs w:val="22"/>
          <w:highlight w:val="none"/>
        </w:rPr>
        <w:t>18.7 通知义务</w:t>
      </w:r>
      <w:bookmarkEnd w:id="1290"/>
      <w:bookmarkEnd w:id="1291"/>
      <w:bookmarkEnd w:id="1292"/>
      <w:bookmarkEnd w:id="1293"/>
      <w:bookmarkEnd w:id="1294"/>
      <w:bookmarkEnd w:id="1295"/>
    </w:p>
    <w:p w14:paraId="72CA84FB">
      <w:pPr>
        <w:pStyle w:val="44"/>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kern w:val="0"/>
          <w:sz w:val="22"/>
          <w:highlight w:val="none"/>
        </w:rPr>
        <w:t>关于变更保险合同时的通知义务的约定：</w:t>
      </w:r>
      <w:r>
        <w:rPr>
          <w:rFonts w:hint="eastAsia" w:ascii="宋体" w:hAnsi="宋体" w:cs="宋体"/>
          <w:color w:val="auto"/>
          <w:kern w:val="0"/>
          <w:sz w:val="22"/>
          <w:highlight w:val="none"/>
          <w:u w:val="single"/>
        </w:rPr>
        <w:t>按通用合同条款执行</w:t>
      </w:r>
      <w:r>
        <w:rPr>
          <w:rFonts w:hint="eastAsia" w:ascii="宋体" w:hAnsi="宋体" w:cs="宋体"/>
          <w:color w:val="auto"/>
          <w:sz w:val="22"/>
          <w:highlight w:val="none"/>
        </w:rPr>
        <w:t>。</w:t>
      </w:r>
    </w:p>
    <w:bookmarkEnd w:id="1190"/>
    <w:bookmarkEnd w:id="1191"/>
    <w:bookmarkEnd w:id="1192"/>
    <w:bookmarkEnd w:id="1193"/>
    <w:bookmarkEnd w:id="1194"/>
    <w:bookmarkEnd w:id="1195"/>
    <w:bookmarkEnd w:id="1196"/>
    <w:bookmarkEnd w:id="1197"/>
    <w:bookmarkEnd w:id="1198"/>
    <w:bookmarkEnd w:id="1199"/>
    <w:bookmarkEnd w:id="1200"/>
    <w:bookmarkEnd w:id="1201"/>
    <w:p w14:paraId="5CA3B78A">
      <w:pPr>
        <w:pStyle w:val="43"/>
        <w:spacing w:before="0" w:after="0" w:line="360" w:lineRule="exact"/>
        <w:rPr>
          <w:rFonts w:ascii="宋体" w:hAnsi="宋体" w:cs="宋体"/>
          <w:color w:val="auto"/>
          <w:sz w:val="22"/>
          <w:szCs w:val="22"/>
          <w:highlight w:val="none"/>
        </w:rPr>
      </w:pPr>
      <w:bookmarkStart w:id="1296" w:name="_Toc389065341"/>
      <w:bookmarkStart w:id="1297" w:name="_Toc373227776"/>
      <w:bookmarkStart w:id="1298" w:name="_Toc373478423"/>
      <w:bookmarkStart w:id="1299" w:name="_Toc351203651"/>
      <w:bookmarkStart w:id="1300" w:name="_Toc395382579"/>
      <w:bookmarkStart w:id="1301" w:name="_Toc533432803"/>
      <w:bookmarkStart w:id="1302" w:name="_Toc12975968"/>
      <w:r>
        <w:rPr>
          <w:rFonts w:hint="eastAsia" w:ascii="宋体" w:hAnsi="宋体" w:cs="宋体"/>
          <w:color w:val="auto"/>
          <w:sz w:val="22"/>
          <w:szCs w:val="22"/>
          <w:highlight w:val="none"/>
        </w:rPr>
        <w:t>20. 争议解决</w:t>
      </w:r>
      <w:bookmarkEnd w:id="1296"/>
      <w:bookmarkEnd w:id="1297"/>
      <w:bookmarkEnd w:id="1298"/>
      <w:bookmarkEnd w:id="1299"/>
      <w:bookmarkEnd w:id="1300"/>
      <w:bookmarkEnd w:id="1301"/>
      <w:bookmarkEnd w:id="1302"/>
    </w:p>
    <w:bookmarkEnd w:id="1202"/>
    <w:bookmarkEnd w:id="1203"/>
    <w:p w14:paraId="1E204489">
      <w:pPr>
        <w:pStyle w:val="45"/>
        <w:spacing w:line="360" w:lineRule="exact"/>
        <w:rPr>
          <w:rFonts w:ascii="宋体" w:hAnsi="宋体" w:cs="宋体"/>
          <w:color w:val="auto"/>
          <w:sz w:val="22"/>
          <w:szCs w:val="22"/>
          <w:highlight w:val="none"/>
        </w:rPr>
      </w:pPr>
      <w:bookmarkStart w:id="1303" w:name="_Toc389065342"/>
      <w:bookmarkStart w:id="1304" w:name="_Toc373478424"/>
      <w:bookmarkStart w:id="1305" w:name="_Toc12975969"/>
      <w:bookmarkStart w:id="1306" w:name="_Toc395382580"/>
      <w:bookmarkStart w:id="1307" w:name="_Toc533432804"/>
      <w:bookmarkStart w:id="1308" w:name="_Toc373227777"/>
      <w:r>
        <w:rPr>
          <w:rFonts w:hint="eastAsia" w:ascii="宋体" w:hAnsi="宋体" w:cs="宋体"/>
          <w:color w:val="auto"/>
          <w:sz w:val="22"/>
          <w:szCs w:val="22"/>
          <w:highlight w:val="none"/>
        </w:rPr>
        <w:t>20.3 争</w:t>
      </w:r>
      <w:bookmarkEnd w:id="1204"/>
      <w:r>
        <w:rPr>
          <w:rFonts w:hint="eastAsia" w:ascii="宋体" w:hAnsi="宋体" w:cs="宋体"/>
          <w:color w:val="auto"/>
          <w:sz w:val="22"/>
          <w:szCs w:val="22"/>
          <w:highlight w:val="none"/>
        </w:rPr>
        <w:t>议评审</w:t>
      </w:r>
      <w:bookmarkEnd w:id="1303"/>
      <w:bookmarkEnd w:id="1304"/>
      <w:bookmarkEnd w:id="1305"/>
      <w:bookmarkEnd w:id="1306"/>
      <w:bookmarkEnd w:id="1307"/>
      <w:bookmarkEnd w:id="1308"/>
    </w:p>
    <w:p w14:paraId="7982D6CD">
      <w:pPr>
        <w:pStyle w:val="44"/>
        <w:spacing w:line="360" w:lineRule="exact"/>
        <w:ind w:firstLine="330" w:firstLineChars="150"/>
        <w:jc w:val="left"/>
        <w:rPr>
          <w:rFonts w:ascii="宋体" w:hAnsi="宋体" w:cs="宋体"/>
          <w:color w:val="auto"/>
          <w:sz w:val="22"/>
          <w:highlight w:val="none"/>
          <w:u w:val="single"/>
        </w:rPr>
      </w:pPr>
      <w:r>
        <w:rPr>
          <w:rFonts w:hint="eastAsia" w:ascii="宋体" w:hAnsi="宋体" w:cs="宋体"/>
          <w:color w:val="auto"/>
          <w:sz w:val="22"/>
          <w:highlight w:val="none"/>
        </w:rPr>
        <w:t>合同当事人是否同意将工程争议提交争议评审小组决定：</w:t>
      </w:r>
      <w:r>
        <w:rPr>
          <w:rFonts w:hint="eastAsia" w:ascii="宋体" w:hAnsi="宋体" w:cs="宋体"/>
          <w:color w:val="auto"/>
          <w:sz w:val="22"/>
          <w:highlight w:val="none"/>
          <w:u w:val="single"/>
        </w:rPr>
        <w:t xml:space="preserve">  否，双方约定，在履行合同进程中产生争议时，请工程所在地建设行政主管部门进行调解，调解不成时，向工程所在地人民法院起诉</w:t>
      </w:r>
      <w:r>
        <w:rPr>
          <w:rFonts w:hint="eastAsia" w:ascii="宋体" w:hAnsi="宋体" w:cs="宋体"/>
          <w:color w:val="auto"/>
          <w:sz w:val="22"/>
          <w:highlight w:val="none"/>
        </w:rPr>
        <w:t>。</w:t>
      </w:r>
    </w:p>
    <w:p w14:paraId="428C1688">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20.3.1 争议评审小组的确定</w:t>
      </w:r>
    </w:p>
    <w:p w14:paraId="61EE2E52">
      <w:pPr>
        <w:pStyle w:val="44"/>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rPr>
        <w:t>争议评审小组成员的确定：</w:t>
      </w:r>
      <w:r>
        <w:rPr>
          <w:rFonts w:hint="eastAsia" w:ascii="宋体" w:hAnsi="宋体" w:cs="宋体"/>
          <w:color w:val="auto"/>
          <w:sz w:val="22"/>
          <w:highlight w:val="none"/>
          <w:u w:val="single"/>
        </w:rPr>
        <w:t xml:space="preserve"> 无  </w:t>
      </w:r>
      <w:r>
        <w:rPr>
          <w:rFonts w:hint="eastAsia" w:ascii="宋体" w:hAnsi="宋体" w:cs="宋体"/>
          <w:color w:val="auto"/>
          <w:sz w:val="22"/>
          <w:highlight w:val="none"/>
        </w:rPr>
        <w:t>。</w:t>
      </w:r>
    </w:p>
    <w:p w14:paraId="74D8563B">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选定争议评审员的期限：</w:t>
      </w:r>
      <w:r>
        <w:rPr>
          <w:rFonts w:hint="eastAsia" w:ascii="宋体" w:hAnsi="宋体" w:cs="宋体"/>
          <w:color w:val="auto"/>
          <w:sz w:val="22"/>
          <w:highlight w:val="none"/>
          <w:u w:val="single"/>
        </w:rPr>
        <w:t xml:space="preserve"> 无  </w:t>
      </w:r>
      <w:r>
        <w:rPr>
          <w:rFonts w:hint="eastAsia" w:ascii="宋体" w:hAnsi="宋体" w:cs="宋体"/>
          <w:color w:val="auto"/>
          <w:sz w:val="22"/>
          <w:highlight w:val="none"/>
        </w:rPr>
        <w:t>。</w:t>
      </w:r>
    </w:p>
    <w:p w14:paraId="1870F7C2">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争议评审小组成员的报酬承担方式：</w:t>
      </w:r>
      <w:r>
        <w:rPr>
          <w:rFonts w:hint="eastAsia" w:ascii="宋体" w:hAnsi="宋体" w:cs="宋体"/>
          <w:color w:val="auto"/>
          <w:sz w:val="22"/>
          <w:highlight w:val="none"/>
          <w:u w:val="single"/>
        </w:rPr>
        <w:t xml:space="preserve">无 </w:t>
      </w:r>
      <w:r>
        <w:rPr>
          <w:rFonts w:hint="eastAsia" w:ascii="宋体" w:hAnsi="宋体" w:cs="宋体"/>
          <w:color w:val="auto"/>
          <w:sz w:val="22"/>
          <w:highlight w:val="none"/>
        </w:rPr>
        <w:t>。</w:t>
      </w:r>
    </w:p>
    <w:p w14:paraId="12E855D2">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其他事项的约定：</w:t>
      </w:r>
      <w:r>
        <w:rPr>
          <w:rFonts w:hint="eastAsia" w:ascii="宋体" w:hAnsi="宋体" w:cs="宋体"/>
          <w:color w:val="auto"/>
          <w:sz w:val="22"/>
          <w:highlight w:val="none"/>
          <w:u w:val="single"/>
        </w:rPr>
        <w:t xml:space="preserve"> 无 </w:t>
      </w:r>
      <w:r>
        <w:rPr>
          <w:rFonts w:hint="eastAsia" w:ascii="宋体" w:hAnsi="宋体" w:cs="宋体"/>
          <w:color w:val="auto"/>
          <w:sz w:val="22"/>
          <w:highlight w:val="none"/>
        </w:rPr>
        <w:t>。</w:t>
      </w:r>
    </w:p>
    <w:p w14:paraId="611D7CA7">
      <w:pPr>
        <w:pStyle w:val="44"/>
        <w:autoSpaceDE w:val="0"/>
        <w:autoSpaceDN w:val="0"/>
        <w:adjustRightInd w:val="0"/>
        <w:spacing w:line="360" w:lineRule="exact"/>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20.3.2 争议评审小组的决定</w:t>
      </w:r>
    </w:p>
    <w:p w14:paraId="5BF4F629">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合同当事人关于本项的约定：</w:t>
      </w:r>
      <w:r>
        <w:rPr>
          <w:rFonts w:hint="eastAsia" w:ascii="宋体" w:hAnsi="宋体" w:cs="宋体"/>
          <w:color w:val="auto"/>
          <w:sz w:val="22"/>
          <w:highlight w:val="none"/>
          <w:u w:val="single"/>
        </w:rPr>
        <w:t xml:space="preserve"> 无 </w:t>
      </w:r>
      <w:r>
        <w:rPr>
          <w:rFonts w:hint="eastAsia" w:ascii="宋体" w:hAnsi="宋体" w:cs="宋体"/>
          <w:color w:val="auto"/>
          <w:sz w:val="22"/>
          <w:highlight w:val="none"/>
        </w:rPr>
        <w:t>。</w:t>
      </w:r>
    </w:p>
    <w:p w14:paraId="4A7769AF">
      <w:pPr>
        <w:pStyle w:val="45"/>
        <w:spacing w:line="360" w:lineRule="exact"/>
        <w:rPr>
          <w:rFonts w:ascii="宋体" w:hAnsi="宋体" w:cs="宋体"/>
          <w:color w:val="auto"/>
          <w:sz w:val="22"/>
          <w:szCs w:val="22"/>
          <w:highlight w:val="none"/>
        </w:rPr>
      </w:pPr>
      <w:bookmarkStart w:id="1309" w:name="_Toc533432805"/>
      <w:bookmarkStart w:id="1310" w:name="_Toc12975970"/>
      <w:bookmarkStart w:id="1311" w:name="_Toc395382581"/>
      <w:bookmarkStart w:id="1312" w:name="_Toc373227778"/>
      <w:bookmarkStart w:id="1313" w:name="_Toc373478425"/>
      <w:bookmarkStart w:id="1314" w:name="_Toc389065343"/>
      <w:r>
        <w:rPr>
          <w:rFonts w:hint="eastAsia" w:ascii="宋体" w:hAnsi="宋体" w:cs="宋体"/>
          <w:color w:val="auto"/>
          <w:sz w:val="22"/>
          <w:szCs w:val="22"/>
          <w:highlight w:val="none"/>
        </w:rPr>
        <w:t>20.4 仲裁或诉讼</w:t>
      </w:r>
      <w:bookmarkEnd w:id="1205"/>
      <w:bookmarkEnd w:id="1309"/>
      <w:bookmarkEnd w:id="1310"/>
      <w:bookmarkEnd w:id="1311"/>
      <w:bookmarkEnd w:id="1312"/>
      <w:bookmarkEnd w:id="1313"/>
      <w:bookmarkEnd w:id="1314"/>
    </w:p>
    <w:p w14:paraId="3178934C">
      <w:pPr>
        <w:pStyle w:val="44"/>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因合同及合同有关事项发生的争议，按下列第</w:t>
      </w:r>
      <w:r>
        <w:rPr>
          <w:rFonts w:hint="eastAsia" w:ascii="宋体" w:hAnsi="宋体" w:cs="宋体"/>
          <w:color w:val="auto"/>
          <w:sz w:val="22"/>
          <w:highlight w:val="none"/>
          <w:u w:val="single"/>
        </w:rPr>
        <w:t>（2）</w:t>
      </w:r>
      <w:r>
        <w:rPr>
          <w:rFonts w:hint="eastAsia" w:ascii="宋体" w:hAnsi="宋体" w:cs="宋体"/>
          <w:color w:val="auto"/>
          <w:sz w:val="22"/>
          <w:highlight w:val="none"/>
        </w:rPr>
        <w:t>种方式解决：</w:t>
      </w:r>
    </w:p>
    <w:p w14:paraId="49330BF7">
      <w:pPr>
        <w:pStyle w:val="44"/>
        <w:numPr>
          <w:ilvl w:val="0"/>
          <w:numId w:val="4"/>
        </w:num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提请</w:t>
      </w:r>
      <w:r>
        <w:rPr>
          <w:rFonts w:hint="eastAsia" w:ascii="宋体" w:hAnsi="宋体" w:cs="宋体"/>
          <w:color w:val="auto"/>
          <w:sz w:val="22"/>
          <w:highlight w:val="none"/>
          <w:u w:val="single"/>
        </w:rPr>
        <w:t xml:space="preserve">防城港 </w:t>
      </w:r>
      <w:r>
        <w:rPr>
          <w:rFonts w:hint="eastAsia" w:ascii="宋体" w:hAnsi="宋体" w:cs="宋体"/>
          <w:color w:val="auto"/>
          <w:sz w:val="22"/>
          <w:highlight w:val="none"/>
        </w:rPr>
        <w:t>仲裁委员会按照该会仲裁规则进行仲裁，仲裁裁决是终局的，对合同双方均有约束力。</w:t>
      </w:r>
    </w:p>
    <w:p w14:paraId="29C9C7E1">
      <w:pPr>
        <w:pStyle w:val="44"/>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（2）向</w:t>
      </w:r>
      <w:r>
        <w:rPr>
          <w:rFonts w:hint="eastAsia" w:ascii="宋体" w:hAnsi="宋体" w:cs="宋体"/>
          <w:color w:val="auto"/>
          <w:sz w:val="22"/>
          <w:highlight w:val="none"/>
          <w:u w:val="single"/>
        </w:rPr>
        <w:t>工程所在地</w:t>
      </w:r>
      <w:r>
        <w:rPr>
          <w:rFonts w:hint="eastAsia" w:ascii="宋体" w:hAnsi="宋体" w:cs="宋体"/>
          <w:color w:val="auto"/>
          <w:sz w:val="22"/>
          <w:highlight w:val="none"/>
        </w:rPr>
        <w:t>人民法院起诉。</w:t>
      </w:r>
      <w:bookmarkEnd w:id="1206"/>
      <w:bookmarkEnd w:id="1207"/>
      <w:bookmarkEnd w:id="1208"/>
      <w:bookmarkEnd w:id="1209"/>
      <w:bookmarkEnd w:id="1210"/>
      <w:bookmarkEnd w:id="1211"/>
    </w:p>
    <w:p w14:paraId="53270CEF">
      <w:pPr>
        <w:pStyle w:val="43"/>
        <w:spacing w:before="0" w:after="0" w:line="360" w:lineRule="exact"/>
        <w:rPr>
          <w:rFonts w:ascii="宋体" w:hAnsi="宋体" w:cs="宋体"/>
          <w:color w:val="auto"/>
          <w:sz w:val="22"/>
          <w:szCs w:val="22"/>
          <w:highlight w:val="none"/>
        </w:rPr>
      </w:pPr>
      <w:bookmarkStart w:id="1315" w:name="_Toc389065344"/>
      <w:bookmarkStart w:id="1316" w:name="_Toc395382582"/>
      <w:bookmarkStart w:id="1317" w:name="_Toc12975971"/>
      <w:bookmarkStart w:id="1318" w:name="_Toc373478426"/>
      <w:bookmarkStart w:id="1319" w:name="_Toc373227779"/>
      <w:bookmarkStart w:id="1320" w:name="_Toc533432806"/>
      <w:r>
        <w:rPr>
          <w:rFonts w:hint="eastAsia" w:ascii="宋体" w:hAnsi="宋体" w:cs="宋体"/>
          <w:color w:val="auto"/>
          <w:sz w:val="22"/>
          <w:szCs w:val="22"/>
          <w:highlight w:val="none"/>
        </w:rPr>
        <w:t>21. 补充条款</w:t>
      </w:r>
      <w:bookmarkEnd w:id="1315"/>
      <w:bookmarkEnd w:id="1316"/>
      <w:bookmarkEnd w:id="1317"/>
      <w:bookmarkEnd w:id="1318"/>
      <w:bookmarkEnd w:id="1319"/>
      <w:bookmarkEnd w:id="1320"/>
    </w:p>
    <w:p w14:paraId="77F170B9">
      <w:pPr>
        <w:pStyle w:val="53"/>
        <w:spacing w:line="36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21.1工程款的使用</w:t>
      </w:r>
    </w:p>
    <w:p w14:paraId="79A1C2A0">
      <w:pPr>
        <w:pStyle w:val="53"/>
        <w:spacing w:line="36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21.1.1本工程资金属发包人自筹，承包人在施工期间必须保证资金的专项使用，不得挪作他用，并自觉接受发包人和银行的监督，否则将视为承包人违约。</w:t>
      </w:r>
    </w:p>
    <w:p w14:paraId="6390E674">
      <w:pPr>
        <w:pStyle w:val="53"/>
        <w:spacing w:line="360" w:lineRule="exact"/>
        <w:ind w:firstLine="440" w:firstLineChars="200"/>
        <w:jc w:val="left"/>
        <w:rPr>
          <w:rFonts w:ascii="宋体" w:hAnsi="宋体" w:cs="宋体"/>
          <w:color w:val="auto"/>
          <w:sz w:val="22"/>
          <w:szCs w:val="22"/>
          <w:highlight w:val="none"/>
        </w:rPr>
      </w:pPr>
      <w:bookmarkStart w:id="1321" w:name="_Toc27987_WPSOffice_Level2"/>
      <w:r>
        <w:rPr>
          <w:rFonts w:hint="eastAsia" w:ascii="宋体" w:hAnsi="宋体" w:cs="宋体"/>
          <w:color w:val="auto"/>
          <w:sz w:val="22"/>
          <w:szCs w:val="22"/>
          <w:highlight w:val="none"/>
        </w:rPr>
        <w:t>（1）农民工工资实行分账管理</w:t>
      </w:r>
      <w:bookmarkEnd w:id="1321"/>
    </w:p>
    <w:p w14:paraId="2AC7B8AE">
      <w:pPr>
        <w:pStyle w:val="53"/>
        <w:spacing w:line="36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根据《关于进一步规范防城港市建设领域农民工工资有关问题的通知》（防住建管发[2017]37号）第二条，合同承包人应设立农民工工资支付账户，实行农民工工资与其他款项分账管理，农民工工资支付账户信息：</w:t>
      </w:r>
    </w:p>
    <w:p w14:paraId="68404E02">
      <w:pPr>
        <w:pStyle w:val="53"/>
        <w:spacing w:line="36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开户行：</w:t>
      </w:r>
      <w:r>
        <w:rPr>
          <w:rFonts w:hint="eastAsia" w:ascii="宋体" w:hAnsi="宋体" w:cs="宋体"/>
          <w:color w:val="auto"/>
          <w:sz w:val="22"/>
          <w:szCs w:val="22"/>
          <w:highlight w:val="none"/>
          <w:u w:val="single"/>
        </w:rPr>
        <w:t xml:space="preserve">                                 </w:t>
      </w:r>
    </w:p>
    <w:p w14:paraId="4E76E7FB">
      <w:pPr>
        <w:pStyle w:val="53"/>
        <w:spacing w:line="36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专用账户：</w:t>
      </w:r>
      <w:r>
        <w:rPr>
          <w:rFonts w:hint="eastAsia" w:ascii="宋体" w:hAnsi="宋体" w:cs="宋体"/>
          <w:color w:val="auto"/>
          <w:sz w:val="22"/>
          <w:szCs w:val="22"/>
          <w:highlight w:val="none"/>
          <w:u w:val="single"/>
        </w:rPr>
        <w:t xml:space="preserve">                               </w:t>
      </w:r>
    </w:p>
    <w:p w14:paraId="525DB083">
      <w:pPr>
        <w:pStyle w:val="53"/>
        <w:spacing w:line="360" w:lineRule="exact"/>
        <w:ind w:firstLine="440" w:firstLineChars="200"/>
        <w:jc w:val="left"/>
        <w:rPr>
          <w:rFonts w:ascii="宋体" w:hAnsi="宋体" w:cs="宋体"/>
          <w:color w:val="auto"/>
          <w:sz w:val="22"/>
          <w:szCs w:val="22"/>
          <w:highlight w:val="none"/>
        </w:rPr>
      </w:pPr>
      <w:bookmarkStart w:id="1322" w:name="_Toc11862_WPSOffice_Level2"/>
      <w:r>
        <w:rPr>
          <w:rFonts w:hint="eastAsia" w:ascii="宋体" w:hAnsi="宋体" w:cs="宋体"/>
          <w:color w:val="auto"/>
          <w:sz w:val="22"/>
          <w:szCs w:val="22"/>
          <w:highlight w:val="none"/>
        </w:rPr>
        <w:t>（2）农民工工资支付约定</w:t>
      </w:r>
      <w:bookmarkEnd w:id="1322"/>
    </w:p>
    <w:p w14:paraId="20735D6F">
      <w:pPr>
        <w:pStyle w:val="53"/>
        <w:spacing w:line="36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合同承包人申请进度款应明确农民工工资金额，拨付进度款须优先保障农民工工资，再经农民工工资专户转至工人个人账户。  </w:t>
      </w:r>
    </w:p>
    <w:p w14:paraId="1067E981">
      <w:pPr>
        <w:pStyle w:val="53"/>
        <w:spacing w:line="36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21.2 凡进入本工程工作的妇女应持有计生证，否则不准安排工作，禁止使用童工。</w:t>
      </w:r>
    </w:p>
    <w:p w14:paraId="27FABBEB">
      <w:pPr>
        <w:pStyle w:val="53"/>
        <w:spacing w:line="36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21.3本工程合同价款已包含安全防护、文明施工措施费。使用要求：专款专用，具体按《广西壮族自治区建设工程安全文明施工费使用管理细则》（桂建质【2015】16号）要求执行。安全防护、文明施工措施费与工程款同步支付。</w:t>
      </w:r>
    </w:p>
    <w:p w14:paraId="6CB648C5">
      <w:pPr>
        <w:pStyle w:val="53"/>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21.4承包人须按时足额将农民工工资保障金和建安劳保费存入建设行政主管部门指定的账户。</w:t>
      </w:r>
    </w:p>
    <w:p w14:paraId="7FA459C4">
      <w:pPr>
        <w:pStyle w:val="53"/>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21.5合同双方同意电子送达，电子文件送达与书面文件送达具有同等法律效力。若任何一方变更本合同中约定联系方式的，应在变更之日起三个工作日内通知对方，对方当事人在收到变更通知前的送达仍为有效送达。本合同内的所载明的地址、联系方式、联系人及电子通信终端均为双方工作联系往来文书、争议解决时人民法院或仲裁机构的法律文书送达地址，双方工作联系往来文书、法律文书向任何一方当事人于本合同中约定的送达地址或工商登记公示地址、电子通信终端、联系人送达的，书面文件发出之日起第三日视为有效送达，电子文件发出即视为有效送达。本合同送达条款与争议解决条款均为独立条款，不受合同整体或其他条款的效力影响。</w:t>
      </w:r>
    </w:p>
    <w:p w14:paraId="3FC5D686">
      <w:pPr>
        <w:rPr>
          <w:rFonts w:eastAsia="黑体" w:cs="黑体"/>
          <w:b/>
          <w:bCs/>
          <w:color w:val="auto"/>
          <w:sz w:val="28"/>
          <w:szCs w:val="28"/>
          <w:highlight w:val="none"/>
        </w:rPr>
      </w:pPr>
      <w:r>
        <w:rPr>
          <w:rFonts w:hint="eastAsia" w:eastAsia="黑体" w:cs="黑体"/>
          <w:b/>
          <w:bCs/>
          <w:color w:val="auto"/>
          <w:sz w:val="28"/>
          <w:szCs w:val="28"/>
          <w:highlight w:val="none"/>
        </w:rPr>
        <w:br w:type="page"/>
      </w:r>
    </w:p>
    <w:p w14:paraId="6B7B1646">
      <w:pPr>
        <w:pStyle w:val="54"/>
        <w:spacing w:line="360" w:lineRule="auto"/>
        <w:jc w:val="left"/>
        <w:rPr>
          <w:rFonts w:ascii="Times New Roman" w:hAnsi="Times New Roman" w:eastAsia="黑体"/>
          <w:b/>
          <w:bCs/>
          <w:color w:val="auto"/>
          <w:sz w:val="28"/>
          <w:szCs w:val="28"/>
          <w:highlight w:val="none"/>
        </w:rPr>
      </w:pPr>
      <w:r>
        <w:rPr>
          <w:rFonts w:hint="eastAsia" w:ascii="Times New Roman" w:hAnsi="Times New Roman" w:eastAsia="黑体" w:cs="黑体"/>
          <w:b/>
          <w:bCs/>
          <w:color w:val="auto"/>
          <w:sz w:val="28"/>
          <w:szCs w:val="28"/>
          <w:highlight w:val="none"/>
        </w:rPr>
        <w:t>附件</w:t>
      </w:r>
      <w:bookmarkEnd w:id="274"/>
    </w:p>
    <w:p w14:paraId="37E0A26E">
      <w:pPr>
        <w:pStyle w:val="54"/>
        <w:spacing w:line="360" w:lineRule="auto"/>
        <w:jc w:val="left"/>
        <w:rPr>
          <w:rFonts w:ascii="宋体" w:hAnsi="宋体" w:cs="宋体"/>
          <w:color w:val="auto"/>
          <w:szCs w:val="21"/>
          <w:highlight w:val="none"/>
        </w:rPr>
      </w:pPr>
      <w:r>
        <w:rPr>
          <w:rFonts w:hint="eastAsia" w:ascii="宋体" w:hAnsi="宋体" w:cs="宋体"/>
          <w:color w:val="auto"/>
          <w:szCs w:val="21"/>
          <w:highlight w:val="none"/>
        </w:rPr>
        <w:t>附件</w:t>
      </w:r>
      <w:r>
        <w:rPr>
          <w:rFonts w:ascii="宋体" w:hAnsi="宋体" w:cs="宋体"/>
          <w:color w:val="auto"/>
          <w:szCs w:val="21"/>
          <w:highlight w:val="none"/>
        </w:rPr>
        <w:t>1</w:t>
      </w:r>
      <w:r>
        <w:rPr>
          <w:rFonts w:hint="eastAsia" w:ascii="宋体" w:hAnsi="宋体" w:cs="宋体"/>
          <w:color w:val="auto"/>
          <w:szCs w:val="21"/>
          <w:highlight w:val="none"/>
        </w:rPr>
        <w:t>：承包人承揽工程项目一览表</w:t>
      </w:r>
    </w:p>
    <w:p w14:paraId="3354309A">
      <w:pPr>
        <w:pStyle w:val="54"/>
        <w:spacing w:line="360" w:lineRule="auto"/>
        <w:jc w:val="left"/>
        <w:rPr>
          <w:rFonts w:ascii="宋体" w:hAnsi="宋体" w:cs="宋体"/>
          <w:color w:val="auto"/>
          <w:szCs w:val="21"/>
          <w:highlight w:val="none"/>
        </w:rPr>
      </w:pPr>
      <w:r>
        <w:rPr>
          <w:rFonts w:hint="eastAsia" w:ascii="宋体" w:hAnsi="宋体" w:cs="宋体"/>
          <w:color w:val="auto"/>
          <w:szCs w:val="21"/>
          <w:highlight w:val="none"/>
        </w:rPr>
        <w:t>附件2：工程质量保修书</w:t>
      </w:r>
    </w:p>
    <w:p w14:paraId="2EE04F99">
      <w:pPr>
        <w:pStyle w:val="54"/>
        <w:spacing w:line="360" w:lineRule="auto"/>
        <w:jc w:val="left"/>
        <w:rPr>
          <w:rFonts w:ascii="宋体" w:hAnsi="宋体" w:cs="宋体"/>
          <w:color w:val="auto"/>
          <w:szCs w:val="21"/>
          <w:highlight w:val="none"/>
        </w:rPr>
      </w:pPr>
      <w:r>
        <w:rPr>
          <w:rFonts w:ascii="宋体" w:hAnsi="宋体" w:cs="宋体"/>
          <w:color w:val="auto"/>
          <w:szCs w:val="21"/>
          <w:highlight w:val="none"/>
        </w:rPr>
        <w:t>附件</w:t>
      </w:r>
      <w:r>
        <w:rPr>
          <w:rFonts w:hint="eastAsia" w:ascii="宋体" w:hAnsi="宋体" w:cs="宋体"/>
          <w:color w:val="auto"/>
          <w:szCs w:val="21"/>
          <w:highlight w:val="none"/>
        </w:rPr>
        <w:t>3</w:t>
      </w:r>
      <w:r>
        <w:rPr>
          <w:rFonts w:ascii="宋体" w:hAnsi="宋体" w:cs="宋体"/>
          <w:color w:val="auto"/>
          <w:szCs w:val="21"/>
          <w:highlight w:val="none"/>
        </w:rPr>
        <w:t>：主要建设工程文件目录</w:t>
      </w:r>
    </w:p>
    <w:p w14:paraId="7DE15573">
      <w:pPr>
        <w:pStyle w:val="54"/>
        <w:spacing w:line="360" w:lineRule="auto"/>
        <w:jc w:val="left"/>
        <w:rPr>
          <w:rFonts w:ascii="宋体" w:hAnsi="宋体" w:cs="宋体"/>
          <w:color w:val="auto"/>
          <w:szCs w:val="21"/>
          <w:highlight w:val="none"/>
        </w:rPr>
      </w:pPr>
      <w:r>
        <w:rPr>
          <w:rFonts w:hint="eastAsia" w:ascii="宋体" w:hAnsi="宋体" w:cs="宋体"/>
          <w:color w:val="auto"/>
          <w:szCs w:val="21"/>
          <w:highlight w:val="none"/>
        </w:rPr>
        <w:t>附件4：承包人用于本工程施工的机械设备表</w:t>
      </w:r>
    </w:p>
    <w:p w14:paraId="50649077">
      <w:pPr>
        <w:pStyle w:val="54"/>
        <w:spacing w:line="360" w:lineRule="auto"/>
        <w:jc w:val="left"/>
        <w:rPr>
          <w:rFonts w:ascii="宋体" w:hAnsi="Times New Roman"/>
          <w:color w:val="auto"/>
          <w:szCs w:val="21"/>
          <w:highlight w:val="none"/>
        </w:rPr>
      </w:pPr>
      <w:r>
        <w:rPr>
          <w:rFonts w:hint="eastAsia" w:ascii="宋体" w:hAnsi="宋体" w:cs="宋体"/>
          <w:color w:val="auto"/>
          <w:szCs w:val="21"/>
          <w:highlight w:val="none"/>
        </w:rPr>
        <w:t>附件5：承包人主要施工管理人员表</w:t>
      </w:r>
    </w:p>
    <w:p w14:paraId="7EF30DEE">
      <w:pPr>
        <w:pStyle w:val="54"/>
        <w:spacing w:line="360" w:lineRule="auto"/>
        <w:jc w:val="left"/>
        <w:rPr>
          <w:rFonts w:ascii="宋体" w:hAnsi="Times New Roman"/>
          <w:color w:val="auto"/>
          <w:szCs w:val="21"/>
          <w:highlight w:val="none"/>
        </w:rPr>
      </w:pPr>
      <w:r>
        <w:rPr>
          <w:rFonts w:hint="eastAsia" w:ascii="宋体" w:hAnsi="宋体" w:cs="宋体"/>
          <w:color w:val="auto"/>
          <w:szCs w:val="21"/>
          <w:highlight w:val="none"/>
        </w:rPr>
        <w:t>附件6：分包人主要施工管理人员表</w:t>
      </w:r>
    </w:p>
    <w:p w14:paraId="23D626F7">
      <w:pPr>
        <w:pStyle w:val="54"/>
        <w:spacing w:line="360" w:lineRule="auto"/>
        <w:jc w:val="left"/>
        <w:rPr>
          <w:rFonts w:ascii="宋体" w:hAnsi="Times New Roman"/>
          <w:color w:val="auto"/>
          <w:szCs w:val="21"/>
          <w:highlight w:val="none"/>
        </w:rPr>
      </w:pPr>
      <w:r>
        <w:rPr>
          <w:rFonts w:hint="eastAsia" w:ascii="宋体" w:hAnsi="宋体" w:cs="宋体"/>
          <w:color w:val="auto"/>
          <w:szCs w:val="21"/>
          <w:highlight w:val="none"/>
        </w:rPr>
        <w:t>附件7：履约担保格式</w:t>
      </w:r>
    </w:p>
    <w:p w14:paraId="04057717">
      <w:pPr>
        <w:pStyle w:val="54"/>
        <w:spacing w:line="360" w:lineRule="auto"/>
        <w:jc w:val="left"/>
        <w:rPr>
          <w:rFonts w:ascii="宋体" w:hAnsi="宋体" w:cs="宋体"/>
          <w:color w:val="auto"/>
          <w:szCs w:val="21"/>
          <w:highlight w:val="none"/>
        </w:rPr>
      </w:pPr>
      <w:r>
        <w:rPr>
          <w:rFonts w:hint="eastAsia" w:ascii="宋体" w:hAnsi="宋体" w:cs="宋体"/>
          <w:color w:val="auto"/>
          <w:szCs w:val="21"/>
          <w:highlight w:val="none"/>
        </w:rPr>
        <w:t>附件8：预付款担保格式</w:t>
      </w:r>
    </w:p>
    <w:p w14:paraId="13684CDD">
      <w:pPr>
        <w:pStyle w:val="54"/>
        <w:spacing w:line="360" w:lineRule="auto"/>
        <w:jc w:val="left"/>
        <w:rPr>
          <w:rFonts w:ascii="宋体" w:hAnsi="宋体" w:cs="宋体"/>
          <w:color w:val="auto"/>
          <w:szCs w:val="21"/>
          <w:highlight w:val="none"/>
        </w:rPr>
      </w:pPr>
      <w:r>
        <w:rPr>
          <w:rFonts w:hint="eastAsia" w:ascii="宋体" w:hAnsi="宋体" w:cs="宋体"/>
          <w:color w:val="auto"/>
          <w:szCs w:val="21"/>
          <w:highlight w:val="none"/>
        </w:rPr>
        <w:t>附件9：支付担保格式</w:t>
      </w:r>
    </w:p>
    <w:p w14:paraId="7DE6CDA0">
      <w:pPr>
        <w:pStyle w:val="54"/>
        <w:spacing w:line="360" w:lineRule="auto"/>
        <w:jc w:val="left"/>
        <w:rPr>
          <w:rFonts w:ascii="Times New Roman" w:hAnsi="Times New Roman"/>
          <w:color w:val="auto"/>
          <w:szCs w:val="21"/>
          <w:highlight w:val="none"/>
        </w:rPr>
      </w:pPr>
      <w:r>
        <w:rPr>
          <w:rFonts w:hint="eastAsia" w:ascii="宋体" w:hAnsi="宋体" w:cs="宋体"/>
          <w:color w:val="auto"/>
          <w:szCs w:val="21"/>
          <w:highlight w:val="none"/>
        </w:rPr>
        <w:t>附件10：预付款</w:t>
      </w:r>
      <w:r>
        <w:rPr>
          <w:rFonts w:hint="eastAsia" w:ascii="Times New Roman" w:hAnsi="Times New Roman"/>
          <w:color w:val="auto"/>
          <w:szCs w:val="21"/>
          <w:highlight w:val="none"/>
        </w:rPr>
        <w:t>支付申请（核准）表</w:t>
      </w:r>
    </w:p>
    <w:p w14:paraId="0FB248A0">
      <w:pPr>
        <w:pStyle w:val="54"/>
        <w:spacing w:line="360" w:lineRule="auto"/>
        <w:jc w:val="left"/>
        <w:rPr>
          <w:rFonts w:ascii="Times New Roman" w:hAnsi="Times New Roman"/>
          <w:color w:val="auto"/>
          <w:szCs w:val="21"/>
          <w:highlight w:val="none"/>
        </w:rPr>
      </w:pPr>
      <w:r>
        <w:rPr>
          <w:rFonts w:hint="eastAsia" w:ascii="宋体" w:hAnsi="宋体" w:cs="宋体"/>
          <w:color w:val="auto"/>
          <w:szCs w:val="21"/>
          <w:highlight w:val="none"/>
        </w:rPr>
        <w:t>附件11：</w:t>
      </w:r>
      <w:r>
        <w:rPr>
          <w:rFonts w:hint="eastAsia" w:ascii="Times New Roman" w:hAnsi="Times New Roman"/>
          <w:color w:val="auto"/>
          <w:szCs w:val="21"/>
          <w:highlight w:val="none"/>
        </w:rPr>
        <w:t>进度款支付申请（核准）表</w:t>
      </w:r>
    </w:p>
    <w:p w14:paraId="4AFE9ECB">
      <w:pPr>
        <w:pStyle w:val="54"/>
        <w:spacing w:line="360" w:lineRule="auto"/>
        <w:jc w:val="left"/>
        <w:rPr>
          <w:rFonts w:ascii="Times New Roman" w:hAnsi="Times New Roman"/>
          <w:color w:val="auto"/>
          <w:szCs w:val="21"/>
          <w:highlight w:val="none"/>
        </w:rPr>
      </w:pPr>
      <w:r>
        <w:rPr>
          <w:rFonts w:hint="eastAsia" w:ascii="宋体" w:hAnsi="宋体" w:cs="宋体"/>
          <w:color w:val="auto"/>
          <w:szCs w:val="21"/>
          <w:highlight w:val="none"/>
        </w:rPr>
        <w:t>附件12：竣工结算</w:t>
      </w:r>
      <w:r>
        <w:rPr>
          <w:rFonts w:hint="eastAsia" w:ascii="Times New Roman" w:hAnsi="Times New Roman"/>
          <w:color w:val="auto"/>
          <w:szCs w:val="21"/>
          <w:highlight w:val="none"/>
        </w:rPr>
        <w:t>款支付申请（核准）表</w:t>
      </w:r>
    </w:p>
    <w:p w14:paraId="22C3929D">
      <w:pPr>
        <w:pStyle w:val="54"/>
        <w:spacing w:line="360" w:lineRule="auto"/>
        <w:jc w:val="left"/>
        <w:rPr>
          <w:rFonts w:ascii="Times New Roman" w:hAnsi="Times New Roman"/>
          <w:color w:val="auto"/>
          <w:szCs w:val="21"/>
          <w:highlight w:val="none"/>
        </w:rPr>
      </w:pPr>
      <w:r>
        <w:rPr>
          <w:rFonts w:hint="eastAsia" w:ascii="宋体" w:hAnsi="宋体" w:cs="宋体"/>
          <w:color w:val="auto"/>
          <w:szCs w:val="21"/>
          <w:highlight w:val="none"/>
        </w:rPr>
        <w:t>附件13：最终结算</w:t>
      </w:r>
      <w:r>
        <w:rPr>
          <w:rFonts w:hint="eastAsia" w:ascii="Times New Roman" w:hAnsi="Times New Roman"/>
          <w:color w:val="auto"/>
          <w:szCs w:val="21"/>
          <w:highlight w:val="none"/>
        </w:rPr>
        <w:t>款支付申请（核准）表</w:t>
      </w:r>
    </w:p>
    <w:p w14:paraId="4220CFC1">
      <w:pPr>
        <w:pStyle w:val="54"/>
        <w:spacing w:line="360" w:lineRule="auto"/>
        <w:jc w:val="left"/>
        <w:rPr>
          <w:rFonts w:ascii="Times New Roman" w:hAnsi="Times New Roman"/>
          <w:color w:val="auto"/>
          <w:szCs w:val="21"/>
          <w:highlight w:val="none"/>
        </w:rPr>
      </w:pPr>
      <w:r>
        <w:rPr>
          <w:rFonts w:hint="eastAsia" w:ascii="Times New Roman" w:hAnsi="Times New Roman"/>
          <w:color w:val="auto"/>
          <w:szCs w:val="21"/>
          <w:highlight w:val="none"/>
        </w:rPr>
        <w:t>附件14：总价合同进度款支付分解表</w:t>
      </w:r>
    </w:p>
    <w:p w14:paraId="2C0F2DBB">
      <w:pPr>
        <w:pStyle w:val="54"/>
        <w:spacing w:line="460" w:lineRule="exact"/>
        <w:ind w:firstLine="420" w:firstLineChars="200"/>
        <w:rPr>
          <w:rFonts w:ascii="Times New Roman" w:hAnsi="Times New Roman"/>
          <w:color w:val="auto"/>
          <w:szCs w:val="21"/>
          <w:highlight w:val="none"/>
        </w:rPr>
      </w:pPr>
    </w:p>
    <w:p w14:paraId="70BA6B2F">
      <w:pPr>
        <w:pStyle w:val="54"/>
        <w:spacing w:line="460" w:lineRule="exact"/>
        <w:ind w:firstLine="420" w:firstLineChars="200"/>
        <w:rPr>
          <w:rFonts w:ascii="Times New Roman" w:hAnsi="Times New Roman"/>
          <w:color w:val="auto"/>
          <w:szCs w:val="21"/>
          <w:highlight w:val="none"/>
        </w:rPr>
      </w:pPr>
    </w:p>
    <w:p w14:paraId="2B6BD6CF">
      <w:pPr>
        <w:pStyle w:val="54"/>
        <w:spacing w:line="460" w:lineRule="exact"/>
        <w:rPr>
          <w:rFonts w:ascii="Times New Roman" w:hAnsi="Times New Roman"/>
          <w:color w:val="auto"/>
          <w:szCs w:val="21"/>
          <w:highlight w:val="none"/>
        </w:rPr>
        <w:sectPr>
          <w:pgSz w:w="11906" w:h="16838"/>
          <w:pgMar w:top="1134" w:right="1134" w:bottom="567" w:left="1417" w:header="851" w:footer="992" w:gutter="0"/>
          <w:cols w:space="720" w:num="1"/>
          <w:docGrid w:type="lines" w:linePitch="312" w:charSpace="0"/>
        </w:sectPr>
      </w:pPr>
    </w:p>
    <w:p w14:paraId="62EA6BBA">
      <w:pPr>
        <w:pStyle w:val="54"/>
        <w:spacing w:line="460" w:lineRule="exact"/>
        <w:ind w:firstLine="420" w:firstLineChars="200"/>
        <w:rPr>
          <w:rFonts w:ascii="Times New Roman" w:hAnsi="Times New Roman"/>
          <w:color w:val="auto"/>
          <w:szCs w:val="21"/>
          <w:highlight w:val="none"/>
        </w:rPr>
      </w:pPr>
    </w:p>
    <w:p w14:paraId="018B7455">
      <w:pPr>
        <w:pStyle w:val="54"/>
        <w:spacing w:before="156" w:beforeLines="50" w:after="156" w:afterLines="50" w:line="440" w:lineRule="exact"/>
        <w:jc w:val="left"/>
        <w:rPr>
          <w:rFonts w:ascii="仿宋_GB2312" w:hAnsi="Times New Roman" w:eastAsia="仿宋_GB2312"/>
          <w:color w:val="auto"/>
          <w:sz w:val="30"/>
          <w:szCs w:val="30"/>
          <w:highlight w:val="none"/>
        </w:rPr>
      </w:pPr>
      <w:r>
        <w:rPr>
          <w:rFonts w:hint="eastAsia" w:ascii="仿宋_GB2312" w:hAnsi="Times New Roman" w:eastAsia="仿宋_GB2312" w:cs="仿宋_GB2312"/>
          <w:color w:val="auto"/>
          <w:sz w:val="30"/>
          <w:szCs w:val="30"/>
          <w:highlight w:val="none"/>
        </w:rPr>
        <w:t>附件</w:t>
      </w:r>
      <w:r>
        <w:rPr>
          <w:rFonts w:ascii="仿宋_GB2312" w:hAnsi="Times New Roman" w:eastAsia="仿宋_GB2312" w:cs="仿宋_GB2312"/>
          <w:color w:val="auto"/>
          <w:sz w:val="30"/>
          <w:szCs w:val="30"/>
          <w:highlight w:val="none"/>
        </w:rPr>
        <w:t>1</w:t>
      </w:r>
      <w:r>
        <w:rPr>
          <w:rFonts w:hint="eastAsia" w:ascii="仿宋_GB2312" w:hAnsi="Times New Roman" w:eastAsia="仿宋_GB2312" w:cs="仿宋_GB2312"/>
          <w:color w:val="auto"/>
          <w:sz w:val="30"/>
          <w:szCs w:val="30"/>
          <w:highlight w:val="none"/>
        </w:rPr>
        <w:t>：</w:t>
      </w:r>
    </w:p>
    <w:p w14:paraId="559BF6D3">
      <w:pPr>
        <w:pStyle w:val="54"/>
        <w:spacing w:before="156" w:beforeLines="50" w:after="156" w:afterLines="50" w:line="440" w:lineRule="exact"/>
        <w:jc w:val="center"/>
        <w:rPr>
          <w:rFonts w:ascii="Times New Roman" w:hAnsi="Times New Roman" w:eastAsia="黑体"/>
          <w:color w:val="auto"/>
          <w:sz w:val="30"/>
          <w:szCs w:val="30"/>
          <w:highlight w:val="none"/>
        </w:rPr>
      </w:pPr>
      <w:r>
        <w:rPr>
          <w:rFonts w:hint="eastAsia" w:ascii="Times New Roman" w:hAnsi="Times New Roman" w:eastAsia="黑体" w:cs="黑体"/>
          <w:color w:val="auto"/>
          <w:sz w:val="30"/>
          <w:szCs w:val="30"/>
          <w:highlight w:val="none"/>
        </w:rPr>
        <w:t>承包人承揽工程项目一览表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495A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vAlign w:val="center"/>
          </w:tcPr>
          <w:p w14:paraId="71BE6C1B">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单位工程名称</w:t>
            </w:r>
          </w:p>
        </w:tc>
        <w:tc>
          <w:tcPr>
            <w:tcW w:w="1440" w:type="dxa"/>
            <w:vAlign w:val="center"/>
          </w:tcPr>
          <w:p w14:paraId="2A4B48B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建设规模</w:t>
            </w:r>
          </w:p>
        </w:tc>
        <w:tc>
          <w:tcPr>
            <w:tcW w:w="1620" w:type="dxa"/>
            <w:vAlign w:val="center"/>
          </w:tcPr>
          <w:p w14:paraId="64FAE63C">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建筑面积</w:t>
            </w:r>
            <w:r>
              <w:rPr>
                <w:rFonts w:ascii="Times New Roman" w:hAnsi="Times New Roman" w:eastAsia="仿宋_GB2312"/>
                <w:color w:val="auto"/>
                <w:sz w:val="28"/>
                <w:szCs w:val="28"/>
                <w:highlight w:val="none"/>
              </w:rPr>
              <w:t>(</w:t>
            </w:r>
            <w:r>
              <w:rPr>
                <w:rFonts w:hint="eastAsia" w:ascii="Times New Roman" w:hAnsi="Times New Roman" w:eastAsia="仿宋_GB2312" w:cs="仿宋_GB2312"/>
                <w:color w:val="auto"/>
                <w:sz w:val="28"/>
                <w:szCs w:val="28"/>
                <w:highlight w:val="none"/>
              </w:rPr>
              <w:t>平方米</w:t>
            </w:r>
            <w:r>
              <w:rPr>
                <w:rFonts w:ascii="Times New Roman" w:hAnsi="Times New Roman" w:eastAsia="仿宋_GB2312"/>
                <w:color w:val="auto"/>
                <w:sz w:val="28"/>
                <w:szCs w:val="28"/>
                <w:highlight w:val="none"/>
              </w:rPr>
              <w:t>)</w:t>
            </w:r>
          </w:p>
        </w:tc>
        <w:tc>
          <w:tcPr>
            <w:tcW w:w="1661" w:type="dxa"/>
            <w:vAlign w:val="center"/>
          </w:tcPr>
          <w:p w14:paraId="710EF670">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结构形式</w:t>
            </w:r>
          </w:p>
        </w:tc>
        <w:tc>
          <w:tcPr>
            <w:tcW w:w="850" w:type="dxa"/>
            <w:vAlign w:val="center"/>
          </w:tcPr>
          <w:p w14:paraId="15B9B4B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层数</w:t>
            </w:r>
          </w:p>
        </w:tc>
        <w:tc>
          <w:tcPr>
            <w:tcW w:w="1560" w:type="dxa"/>
            <w:vAlign w:val="center"/>
          </w:tcPr>
          <w:p w14:paraId="2C39EA8F">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生产能力</w:t>
            </w:r>
          </w:p>
        </w:tc>
        <w:tc>
          <w:tcPr>
            <w:tcW w:w="2126" w:type="dxa"/>
            <w:vAlign w:val="center"/>
          </w:tcPr>
          <w:p w14:paraId="1B85C641">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设备安装内容</w:t>
            </w:r>
          </w:p>
        </w:tc>
        <w:tc>
          <w:tcPr>
            <w:tcW w:w="1417" w:type="dxa"/>
            <w:vAlign w:val="center"/>
          </w:tcPr>
          <w:p w14:paraId="72E1A19E">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合同价格（元）</w:t>
            </w:r>
          </w:p>
        </w:tc>
        <w:tc>
          <w:tcPr>
            <w:tcW w:w="851" w:type="dxa"/>
            <w:vAlign w:val="center"/>
          </w:tcPr>
          <w:p w14:paraId="6CAA78BA">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开工日期</w:t>
            </w:r>
          </w:p>
        </w:tc>
        <w:tc>
          <w:tcPr>
            <w:tcW w:w="850" w:type="dxa"/>
            <w:vAlign w:val="center"/>
          </w:tcPr>
          <w:p w14:paraId="390DE6F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竣工日期</w:t>
            </w:r>
          </w:p>
        </w:tc>
      </w:tr>
      <w:tr w14:paraId="6037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6E70861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40" w:type="dxa"/>
            <w:vAlign w:val="center"/>
          </w:tcPr>
          <w:p w14:paraId="34E22AFE">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20" w:type="dxa"/>
            <w:vAlign w:val="center"/>
          </w:tcPr>
          <w:p w14:paraId="54F6E1E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1" w:type="dxa"/>
            <w:vAlign w:val="center"/>
          </w:tcPr>
          <w:p w14:paraId="01AA96CA">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180828C6">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560" w:type="dxa"/>
            <w:vAlign w:val="center"/>
          </w:tcPr>
          <w:p w14:paraId="7B0C185E">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2126" w:type="dxa"/>
            <w:vAlign w:val="center"/>
          </w:tcPr>
          <w:p w14:paraId="4F18FD7F">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7" w:type="dxa"/>
            <w:vAlign w:val="center"/>
          </w:tcPr>
          <w:p w14:paraId="25E87D9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1" w:type="dxa"/>
            <w:vAlign w:val="center"/>
          </w:tcPr>
          <w:p w14:paraId="18B01D7B">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1722F364">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38BA9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6B26BDC0">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40" w:type="dxa"/>
            <w:vAlign w:val="center"/>
          </w:tcPr>
          <w:p w14:paraId="14D857BF">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20" w:type="dxa"/>
            <w:vAlign w:val="center"/>
          </w:tcPr>
          <w:p w14:paraId="5D607CE2">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1" w:type="dxa"/>
            <w:vAlign w:val="center"/>
          </w:tcPr>
          <w:p w14:paraId="214B11B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0C508B22">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560" w:type="dxa"/>
            <w:vAlign w:val="center"/>
          </w:tcPr>
          <w:p w14:paraId="3B670B9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2126" w:type="dxa"/>
            <w:vAlign w:val="center"/>
          </w:tcPr>
          <w:p w14:paraId="37A3A38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7" w:type="dxa"/>
            <w:vAlign w:val="center"/>
          </w:tcPr>
          <w:p w14:paraId="68B4CEA4">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1" w:type="dxa"/>
            <w:vAlign w:val="center"/>
          </w:tcPr>
          <w:p w14:paraId="57B69CE2">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5CD0A1DC">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1B25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4CD020B1">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40" w:type="dxa"/>
            <w:vAlign w:val="center"/>
          </w:tcPr>
          <w:p w14:paraId="3C575CF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20" w:type="dxa"/>
            <w:vAlign w:val="center"/>
          </w:tcPr>
          <w:p w14:paraId="0E9F94CC">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1" w:type="dxa"/>
            <w:vAlign w:val="center"/>
          </w:tcPr>
          <w:p w14:paraId="3659425F">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53E5E5F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560" w:type="dxa"/>
            <w:vAlign w:val="center"/>
          </w:tcPr>
          <w:p w14:paraId="724996BA">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2126" w:type="dxa"/>
            <w:vAlign w:val="center"/>
          </w:tcPr>
          <w:p w14:paraId="2EB5AF7A">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7" w:type="dxa"/>
            <w:vAlign w:val="center"/>
          </w:tcPr>
          <w:p w14:paraId="61932B44">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1" w:type="dxa"/>
            <w:vAlign w:val="center"/>
          </w:tcPr>
          <w:p w14:paraId="0228CD54">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598DC29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3A17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2DB683F1">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40" w:type="dxa"/>
            <w:vAlign w:val="center"/>
          </w:tcPr>
          <w:p w14:paraId="3386A22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20" w:type="dxa"/>
            <w:vAlign w:val="center"/>
          </w:tcPr>
          <w:p w14:paraId="6E1D53CC">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1" w:type="dxa"/>
            <w:vAlign w:val="center"/>
          </w:tcPr>
          <w:p w14:paraId="3E30853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1D635EB6">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560" w:type="dxa"/>
            <w:vAlign w:val="center"/>
          </w:tcPr>
          <w:p w14:paraId="511B97E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2126" w:type="dxa"/>
            <w:vAlign w:val="center"/>
          </w:tcPr>
          <w:p w14:paraId="51A9A77D">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7" w:type="dxa"/>
            <w:vAlign w:val="center"/>
          </w:tcPr>
          <w:p w14:paraId="45C5668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1" w:type="dxa"/>
            <w:vAlign w:val="center"/>
          </w:tcPr>
          <w:p w14:paraId="6E55DBC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64E4554D">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0364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3A82BC66">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40" w:type="dxa"/>
            <w:vAlign w:val="center"/>
          </w:tcPr>
          <w:p w14:paraId="4190F3CF">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20" w:type="dxa"/>
            <w:vAlign w:val="center"/>
          </w:tcPr>
          <w:p w14:paraId="11CBC6A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1" w:type="dxa"/>
            <w:vAlign w:val="center"/>
          </w:tcPr>
          <w:p w14:paraId="7732AA74">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6244F7A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560" w:type="dxa"/>
            <w:vAlign w:val="center"/>
          </w:tcPr>
          <w:p w14:paraId="7389CFCB">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2126" w:type="dxa"/>
            <w:vAlign w:val="center"/>
          </w:tcPr>
          <w:p w14:paraId="44ACBBB6">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7" w:type="dxa"/>
            <w:vAlign w:val="center"/>
          </w:tcPr>
          <w:p w14:paraId="20E36FE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1" w:type="dxa"/>
            <w:vAlign w:val="center"/>
          </w:tcPr>
          <w:p w14:paraId="0D4ADA0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5EFC240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521F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234965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40" w:type="dxa"/>
            <w:vAlign w:val="center"/>
          </w:tcPr>
          <w:p w14:paraId="1589F71F">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20" w:type="dxa"/>
            <w:vAlign w:val="center"/>
          </w:tcPr>
          <w:p w14:paraId="7068DFA4">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1" w:type="dxa"/>
            <w:vAlign w:val="center"/>
          </w:tcPr>
          <w:p w14:paraId="5E9C0492">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45B3EE6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560" w:type="dxa"/>
            <w:vAlign w:val="center"/>
          </w:tcPr>
          <w:p w14:paraId="4267794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2126" w:type="dxa"/>
            <w:vAlign w:val="center"/>
          </w:tcPr>
          <w:p w14:paraId="12132F6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7" w:type="dxa"/>
            <w:vAlign w:val="center"/>
          </w:tcPr>
          <w:p w14:paraId="6922446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1" w:type="dxa"/>
            <w:vAlign w:val="center"/>
          </w:tcPr>
          <w:p w14:paraId="73526AA2">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72727831">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62C9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3981F1D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40" w:type="dxa"/>
            <w:vAlign w:val="center"/>
          </w:tcPr>
          <w:p w14:paraId="07BD68FF">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20" w:type="dxa"/>
            <w:vAlign w:val="center"/>
          </w:tcPr>
          <w:p w14:paraId="2EDB7600">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1" w:type="dxa"/>
            <w:vAlign w:val="center"/>
          </w:tcPr>
          <w:p w14:paraId="3B4DB55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6BB13CB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560" w:type="dxa"/>
            <w:vAlign w:val="center"/>
          </w:tcPr>
          <w:p w14:paraId="1E4C631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2126" w:type="dxa"/>
            <w:vAlign w:val="center"/>
          </w:tcPr>
          <w:p w14:paraId="05EDF4B4">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7" w:type="dxa"/>
            <w:vAlign w:val="center"/>
          </w:tcPr>
          <w:p w14:paraId="01468B9A">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1" w:type="dxa"/>
            <w:vAlign w:val="center"/>
          </w:tcPr>
          <w:p w14:paraId="4B9E43E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038DA26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0FB6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5DAAF314">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40" w:type="dxa"/>
            <w:vAlign w:val="center"/>
          </w:tcPr>
          <w:p w14:paraId="3FCDFEE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20" w:type="dxa"/>
            <w:vAlign w:val="center"/>
          </w:tcPr>
          <w:p w14:paraId="32DBDFF4">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1" w:type="dxa"/>
            <w:vAlign w:val="center"/>
          </w:tcPr>
          <w:p w14:paraId="1B820FEB">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3ADC3AFD">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560" w:type="dxa"/>
            <w:vAlign w:val="center"/>
          </w:tcPr>
          <w:p w14:paraId="782D8A1C">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2126" w:type="dxa"/>
            <w:vAlign w:val="center"/>
          </w:tcPr>
          <w:p w14:paraId="4CB81B3B">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7" w:type="dxa"/>
            <w:vAlign w:val="center"/>
          </w:tcPr>
          <w:p w14:paraId="2179DA7D">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1" w:type="dxa"/>
            <w:vAlign w:val="center"/>
          </w:tcPr>
          <w:p w14:paraId="34B20BCB">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254F75A0">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5F38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3B5B182A">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40" w:type="dxa"/>
            <w:vAlign w:val="center"/>
          </w:tcPr>
          <w:p w14:paraId="547C8D0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20" w:type="dxa"/>
            <w:vAlign w:val="center"/>
          </w:tcPr>
          <w:p w14:paraId="71580BA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1" w:type="dxa"/>
            <w:vAlign w:val="center"/>
          </w:tcPr>
          <w:p w14:paraId="4F55366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4E03B501">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560" w:type="dxa"/>
            <w:vAlign w:val="center"/>
          </w:tcPr>
          <w:p w14:paraId="3B4C1BC4">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2126" w:type="dxa"/>
            <w:vAlign w:val="center"/>
          </w:tcPr>
          <w:p w14:paraId="5107DA3F">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7" w:type="dxa"/>
            <w:vAlign w:val="center"/>
          </w:tcPr>
          <w:p w14:paraId="32505A9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1" w:type="dxa"/>
            <w:vAlign w:val="center"/>
          </w:tcPr>
          <w:p w14:paraId="404833E0">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07AE9664">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7338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43E0CF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40" w:type="dxa"/>
            <w:vAlign w:val="center"/>
          </w:tcPr>
          <w:p w14:paraId="6802EF5F">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20" w:type="dxa"/>
            <w:vAlign w:val="center"/>
          </w:tcPr>
          <w:p w14:paraId="02A272E2">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1" w:type="dxa"/>
            <w:vAlign w:val="center"/>
          </w:tcPr>
          <w:p w14:paraId="3970BA7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30FF5796">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560" w:type="dxa"/>
            <w:vAlign w:val="center"/>
          </w:tcPr>
          <w:p w14:paraId="17D62A7F">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2126" w:type="dxa"/>
            <w:vAlign w:val="center"/>
          </w:tcPr>
          <w:p w14:paraId="071575AB">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7" w:type="dxa"/>
            <w:vAlign w:val="center"/>
          </w:tcPr>
          <w:p w14:paraId="39223EE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1" w:type="dxa"/>
            <w:vAlign w:val="center"/>
          </w:tcPr>
          <w:p w14:paraId="5572B14E">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6A101B9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bl>
    <w:p w14:paraId="2852EF05">
      <w:pPr>
        <w:pStyle w:val="54"/>
        <w:spacing w:line="460" w:lineRule="exact"/>
        <w:ind w:firstLine="420" w:firstLineChars="200"/>
        <w:rPr>
          <w:rFonts w:ascii="Times New Roman" w:hAnsi="Times New Roman"/>
          <w:color w:val="auto"/>
          <w:szCs w:val="21"/>
          <w:highlight w:val="none"/>
        </w:rPr>
        <w:sectPr>
          <w:pgSz w:w="16838" w:h="11906" w:orient="landscape"/>
          <w:pgMar w:top="1417" w:right="1134" w:bottom="1134" w:left="567" w:header="851" w:footer="992" w:gutter="0"/>
          <w:cols w:space="720" w:num="1"/>
          <w:docGrid w:type="lines" w:linePitch="312" w:charSpace="0"/>
        </w:sectPr>
      </w:pPr>
    </w:p>
    <w:p w14:paraId="2B210030">
      <w:pPr>
        <w:pStyle w:val="54"/>
        <w:spacing w:line="440" w:lineRule="exact"/>
        <w:rPr>
          <w:rFonts w:ascii="Times New Roman" w:hAnsi="Times New Roman"/>
          <w:color w:val="auto"/>
          <w:sz w:val="30"/>
          <w:szCs w:val="30"/>
          <w:highlight w:val="none"/>
        </w:rPr>
      </w:pPr>
      <w:r>
        <w:rPr>
          <w:rFonts w:hint="eastAsia" w:ascii="Times New Roman" w:hAnsi="宋体" w:cs="宋体"/>
          <w:color w:val="auto"/>
          <w:sz w:val="30"/>
          <w:szCs w:val="30"/>
          <w:highlight w:val="none"/>
        </w:rPr>
        <w:t>附件</w:t>
      </w:r>
      <w:r>
        <w:rPr>
          <w:rFonts w:hint="eastAsia" w:ascii="Times New Roman" w:hAnsi="Times New Roman"/>
          <w:color w:val="auto"/>
          <w:sz w:val="30"/>
          <w:szCs w:val="30"/>
          <w:highlight w:val="none"/>
        </w:rPr>
        <w:t>2</w:t>
      </w:r>
      <w:r>
        <w:rPr>
          <w:rFonts w:hint="eastAsia" w:ascii="Times New Roman" w:hAnsi="宋体" w:cs="宋体"/>
          <w:color w:val="auto"/>
          <w:sz w:val="30"/>
          <w:szCs w:val="30"/>
          <w:highlight w:val="none"/>
        </w:rPr>
        <w:t>：</w:t>
      </w:r>
    </w:p>
    <w:p w14:paraId="1CC563D6">
      <w:pPr>
        <w:pStyle w:val="54"/>
        <w:spacing w:before="120" w:beforeLines="50" w:after="120" w:afterLines="50" w:line="440" w:lineRule="exact"/>
        <w:jc w:val="center"/>
        <w:rPr>
          <w:rFonts w:ascii="黑体" w:hAnsi="Times New Roman" w:eastAsia="黑体"/>
          <w:color w:val="auto"/>
          <w:sz w:val="32"/>
          <w:szCs w:val="32"/>
          <w:highlight w:val="none"/>
        </w:rPr>
      </w:pPr>
      <w:r>
        <w:rPr>
          <w:rFonts w:hint="eastAsia" w:ascii="黑体" w:hAnsi="宋体" w:eastAsia="黑体" w:cs="黑体"/>
          <w:color w:val="auto"/>
          <w:sz w:val="32"/>
          <w:szCs w:val="32"/>
          <w:highlight w:val="none"/>
        </w:rPr>
        <w:t>工程质量保修书（房屋建筑工程）</w:t>
      </w:r>
    </w:p>
    <w:p w14:paraId="2B6B1224">
      <w:pPr>
        <w:pStyle w:val="54"/>
        <w:spacing w:line="440" w:lineRule="exact"/>
        <w:ind w:firstLine="420" w:firstLineChars="200"/>
        <w:rPr>
          <w:rFonts w:ascii="Times New Roman" w:hAnsi="Times New Roman"/>
          <w:color w:val="auto"/>
          <w:szCs w:val="21"/>
          <w:highlight w:val="none"/>
        </w:rPr>
      </w:pPr>
      <w:r>
        <w:rPr>
          <w:rFonts w:hint="eastAsia" w:ascii="Times New Roman" w:hAnsi="宋体" w:cs="宋体"/>
          <w:color w:val="auto"/>
          <w:szCs w:val="21"/>
          <w:highlight w:val="none"/>
        </w:rPr>
        <w:t>发包人（全称）：</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p>
    <w:p w14:paraId="6666F2B9">
      <w:pPr>
        <w:pStyle w:val="54"/>
        <w:spacing w:line="440" w:lineRule="exact"/>
        <w:ind w:firstLine="420" w:firstLineChars="200"/>
        <w:rPr>
          <w:rFonts w:ascii="Times New Roman" w:hAnsi="Times New Roman"/>
          <w:color w:val="auto"/>
          <w:szCs w:val="21"/>
          <w:highlight w:val="none"/>
        </w:rPr>
      </w:pPr>
      <w:r>
        <w:rPr>
          <w:rFonts w:hint="eastAsia" w:ascii="Times New Roman" w:hAnsi="宋体" w:cs="宋体"/>
          <w:color w:val="auto"/>
          <w:szCs w:val="21"/>
          <w:highlight w:val="none"/>
        </w:rPr>
        <w:t>承包人（全称）：</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p>
    <w:p w14:paraId="09B6A445">
      <w:pPr>
        <w:pStyle w:val="54"/>
        <w:spacing w:line="440" w:lineRule="exact"/>
        <w:rPr>
          <w:rFonts w:ascii="Times New Roman" w:hAnsi="Times New Roman"/>
          <w:color w:val="auto"/>
          <w:szCs w:val="21"/>
          <w:highlight w:val="none"/>
        </w:rPr>
      </w:pPr>
    </w:p>
    <w:p w14:paraId="0ECB2B33">
      <w:pPr>
        <w:pStyle w:val="54"/>
        <w:spacing w:line="360" w:lineRule="auto"/>
        <w:ind w:firstLine="420" w:firstLineChars="200"/>
        <w:rPr>
          <w:rFonts w:ascii="Times New Roman" w:hAnsi="宋体"/>
          <w:color w:val="auto"/>
          <w:szCs w:val="21"/>
          <w:highlight w:val="none"/>
        </w:rPr>
      </w:pPr>
      <w:r>
        <w:rPr>
          <w:rFonts w:hint="eastAsia" w:ascii="Times New Roman" w:hAnsi="宋体" w:cs="宋体"/>
          <w:color w:val="auto"/>
          <w:szCs w:val="21"/>
          <w:highlight w:val="none"/>
        </w:rPr>
        <w:t>发包人和承包人根据《中华人民共和国建筑法》和《建设工程质量管理条例》，经协商一致就</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（工程全称）签订工程质量保修书。</w:t>
      </w:r>
    </w:p>
    <w:p w14:paraId="7D9A60E6">
      <w:pPr>
        <w:pStyle w:val="54"/>
        <w:spacing w:line="360" w:lineRule="auto"/>
        <w:ind w:firstLine="420" w:firstLineChars="200"/>
        <w:rPr>
          <w:rFonts w:ascii="黑体" w:hAnsi="宋体" w:eastAsia="黑体"/>
          <w:color w:val="auto"/>
          <w:szCs w:val="21"/>
          <w:highlight w:val="none"/>
        </w:rPr>
      </w:pPr>
      <w:r>
        <w:rPr>
          <w:rFonts w:hint="eastAsia" w:ascii="黑体" w:hAnsi="宋体" w:eastAsia="黑体" w:cs="黑体"/>
          <w:color w:val="auto"/>
          <w:szCs w:val="21"/>
          <w:highlight w:val="none"/>
        </w:rPr>
        <w:t>一、工程质量保修范围和内容</w:t>
      </w:r>
    </w:p>
    <w:p w14:paraId="3E1777A5">
      <w:pPr>
        <w:pStyle w:val="54"/>
        <w:spacing w:line="360" w:lineRule="auto"/>
        <w:ind w:firstLine="420" w:firstLineChars="200"/>
        <w:rPr>
          <w:rFonts w:ascii="Times New Roman" w:hAnsi="Times New Roman"/>
          <w:color w:val="auto"/>
          <w:szCs w:val="21"/>
          <w:highlight w:val="none"/>
        </w:rPr>
      </w:pPr>
      <w:r>
        <w:rPr>
          <w:rFonts w:hint="eastAsia" w:ascii="Times New Roman" w:hAnsi="宋体" w:cs="宋体"/>
          <w:color w:val="auto"/>
          <w:szCs w:val="21"/>
          <w:highlight w:val="none"/>
        </w:rPr>
        <w:t>承包人在质量保修期内，按照有关法律规定和合同约定，承担工程质量保修责任。</w:t>
      </w:r>
    </w:p>
    <w:p w14:paraId="47102734">
      <w:pPr>
        <w:pStyle w:val="54"/>
        <w:spacing w:line="360" w:lineRule="auto"/>
        <w:ind w:firstLine="420"/>
        <w:rPr>
          <w:rFonts w:ascii="Times New Roman" w:hAnsi="宋体"/>
          <w:color w:val="auto"/>
          <w:szCs w:val="21"/>
          <w:highlight w:val="none"/>
        </w:rPr>
      </w:pPr>
      <w:r>
        <w:rPr>
          <w:rFonts w:hint="eastAsia" w:ascii="Times New Roman" w:hAnsi="宋体" w:cs="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90FF2B3">
      <w:pPr>
        <w:pStyle w:val="54"/>
        <w:spacing w:line="360" w:lineRule="auto"/>
        <w:ind w:firstLine="420"/>
        <w:rPr>
          <w:rFonts w:ascii="Times New Roman" w:hAnsi="宋体"/>
          <w:color w:val="auto"/>
          <w:szCs w:val="21"/>
          <w:highlight w:val="none"/>
        </w:rPr>
      </w:pP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w:t>
      </w:r>
    </w:p>
    <w:p w14:paraId="35B46F61">
      <w:pPr>
        <w:pStyle w:val="54"/>
        <w:spacing w:line="360" w:lineRule="auto"/>
        <w:ind w:firstLine="420"/>
        <w:rPr>
          <w:rFonts w:ascii="黑体" w:hAnsi="宋体" w:eastAsia="黑体"/>
          <w:color w:val="auto"/>
          <w:szCs w:val="21"/>
          <w:highlight w:val="none"/>
        </w:rPr>
      </w:pPr>
      <w:r>
        <w:rPr>
          <w:rFonts w:hint="eastAsia" w:ascii="黑体" w:hAnsi="宋体" w:eastAsia="黑体" w:cs="黑体"/>
          <w:color w:val="auto"/>
          <w:szCs w:val="21"/>
          <w:highlight w:val="none"/>
        </w:rPr>
        <w:t>二、质量保修期</w:t>
      </w:r>
    </w:p>
    <w:p w14:paraId="75D6A6CD">
      <w:pPr>
        <w:pStyle w:val="54"/>
        <w:spacing w:line="360" w:lineRule="auto"/>
        <w:ind w:firstLine="420"/>
        <w:rPr>
          <w:rFonts w:ascii="Times New Roman" w:hAnsi="宋体"/>
          <w:color w:val="auto"/>
          <w:szCs w:val="21"/>
          <w:highlight w:val="none"/>
        </w:rPr>
      </w:pPr>
      <w:r>
        <w:rPr>
          <w:rFonts w:hint="eastAsia" w:ascii="Times New Roman" w:hAnsi="宋体" w:cs="宋体"/>
          <w:color w:val="auto"/>
          <w:szCs w:val="21"/>
          <w:highlight w:val="none"/>
        </w:rPr>
        <w:t>根据《建设工程质量管理条例》及有关规定，工程的质量保修期如下：</w:t>
      </w:r>
    </w:p>
    <w:p w14:paraId="1616C21A">
      <w:pPr>
        <w:pStyle w:val="54"/>
        <w:spacing w:line="360" w:lineRule="auto"/>
        <w:ind w:firstLine="420"/>
        <w:rPr>
          <w:rFonts w:ascii="Times New Roman" w:hAnsi="宋体"/>
          <w:color w:val="auto"/>
          <w:szCs w:val="21"/>
          <w:highlight w:val="none"/>
        </w:rPr>
      </w:pPr>
      <w:r>
        <w:rPr>
          <w:rFonts w:ascii="Times New Roman" w:hAnsi="Times New Roman"/>
          <w:color w:val="auto"/>
          <w:szCs w:val="21"/>
          <w:highlight w:val="none"/>
        </w:rPr>
        <w:t>1</w:t>
      </w:r>
      <w:r>
        <w:rPr>
          <w:rFonts w:hint="eastAsia" w:ascii="Times New Roman" w:hAnsi="宋体" w:cs="宋体"/>
          <w:color w:val="auto"/>
          <w:szCs w:val="21"/>
          <w:highlight w:val="none"/>
        </w:rPr>
        <w:t>．地基基础工程和主体结构工程为设计文件规定的工程合理使用年限；</w:t>
      </w:r>
    </w:p>
    <w:p w14:paraId="575E5E8E">
      <w:pPr>
        <w:pStyle w:val="54"/>
        <w:spacing w:line="360" w:lineRule="auto"/>
        <w:ind w:firstLine="420"/>
        <w:rPr>
          <w:rFonts w:ascii="Times New Roman" w:hAnsi="宋体"/>
          <w:color w:val="auto"/>
          <w:szCs w:val="21"/>
          <w:highlight w:val="none"/>
        </w:rPr>
      </w:pPr>
      <w:r>
        <w:rPr>
          <w:rFonts w:ascii="Times New Roman" w:hAnsi="Times New Roman"/>
          <w:color w:val="auto"/>
          <w:szCs w:val="21"/>
          <w:highlight w:val="none"/>
        </w:rPr>
        <w:t>2</w:t>
      </w:r>
      <w:r>
        <w:rPr>
          <w:rFonts w:hint="eastAsia" w:ascii="Times New Roman" w:hAnsi="宋体" w:cs="宋体"/>
          <w:color w:val="auto"/>
          <w:szCs w:val="21"/>
          <w:highlight w:val="none"/>
        </w:rPr>
        <w:t>．屋面防水工程、有防水要求的卫生间、房间和外墙面的防渗为</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年；</w:t>
      </w:r>
    </w:p>
    <w:p w14:paraId="2E7D1783">
      <w:pPr>
        <w:pStyle w:val="54"/>
        <w:spacing w:line="360" w:lineRule="auto"/>
        <w:ind w:firstLine="420"/>
        <w:rPr>
          <w:rFonts w:ascii="Times New Roman" w:hAnsi="宋体"/>
          <w:color w:val="auto"/>
          <w:szCs w:val="21"/>
          <w:highlight w:val="none"/>
        </w:rPr>
      </w:pPr>
      <w:r>
        <w:rPr>
          <w:rFonts w:ascii="Times New Roman" w:hAnsi="Times New Roman"/>
          <w:color w:val="auto"/>
          <w:szCs w:val="21"/>
          <w:highlight w:val="none"/>
        </w:rPr>
        <w:t>3</w:t>
      </w:r>
      <w:r>
        <w:rPr>
          <w:rFonts w:hint="eastAsia" w:ascii="Times New Roman" w:hAnsi="宋体" w:cs="宋体"/>
          <w:color w:val="auto"/>
          <w:szCs w:val="21"/>
          <w:highlight w:val="none"/>
        </w:rPr>
        <w:t>．装修工程为</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年；</w:t>
      </w:r>
    </w:p>
    <w:p w14:paraId="3A5BB88B">
      <w:pPr>
        <w:pStyle w:val="54"/>
        <w:spacing w:line="360" w:lineRule="auto"/>
        <w:ind w:firstLine="420"/>
        <w:rPr>
          <w:rFonts w:ascii="Times New Roman" w:hAnsi="宋体"/>
          <w:color w:val="auto"/>
          <w:szCs w:val="21"/>
          <w:highlight w:val="none"/>
        </w:rPr>
      </w:pPr>
      <w:r>
        <w:rPr>
          <w:rFonts w:ascii="Times New Roman" w:hAnsi="Times New Roman"/>
          <w:color w:val="auto"/>
          <w:szCs w:val="21"/>
          <w:highlight w:val="none"/>
        </w:rPr>
        <w:t>4</w:t>
      </w:r>
      <w:r>
        <w:rPr>
          <w:rFonts w:hint="eastAsia" w:ascii="Times New Roman" w:hAnsi="宋体" w:cs="宋体"/>
          <w:color w:val="auto"/>
          <w:szCs w:val="21"/>
          <w:highlight w:val="none"/>
        </w:rPr>
        <w:t>．电气管线、给排水管道、设备安装工程为</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年；</w:t>
      </w:r>
    </w:p>
    <w:p w14:paraId="3EFA9AAF">
      <w:pPr>
        <w:pStyle w:val="54"/>
        <w:spacing w:line="360" w:lineRule="auto"/>
        <w:ind w:firstLine="420"/>
        <w:rPr>
          <w:rFonts w:ascii="Times New Roman" w:hAnsi="宋体"/>
          <w:color w:val="auto"/>
          <w:szCs w:val="21"/>
          <w:highlight w:val="none"/>
        </w:rPr>
      </w:pPr>
      <w:r>
        <w:rPr>
          <w:rFonts w:ascii="Times New Roman" w:hAnsi="Times New Roman"/>
          <w:color w:val="auto"/>
          <w:szCs w:val="21"/>
          <w:highlight w:val="none"/>
        </w:rPr>
        <w:t>5</w:t>
      </w:r>
      <w:r>
        <w:rPr>
          <w:rFonts w:hint="eastAsia" w:ascii="Times New Roman" w:hAnsi="宋体" w:cs="宋体"/>
          <w:color w:val="auto"/>
          <w:szCs w:val="21"/>
          <w:highlight w:val="none"/>
        </w:rPr>
        <w:t>．供热与供冷系统为</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个采暖期、供冷期；</w:t>
      </w:r>
    </w:p>
    <w:p w14:paraId="4755FEF6">
      <w:pPr>
        <w:pStyle w:val="54"/>
        <w:spacing w:line="360" w:lineRule="auto"/>
        <w:ind w:firstLine="420"/>
        <w:rPr>
          <w:rFonts w:ascii="Times New Roman" w:hAnsi="宋体"/>
          <w:color w:val="auto"/>
          <w:szCs w:val="21"/>
          <w:highlight w:val="none"/>
        </w:rPr>
      </w:pPr>
      <w:r>
        <w:rPr>
          <w:rFonts w:ascii="Times New Roman" w:hAnsi="Times New Roman"/>
          <w:color w:val="auto"/>
          <w:szCs w:val="21"/>
          <w:highlight w:val="none"/>
        </w:rPr>
        <w:t>6</w:t>
      </w:r>
      <w:r>
        <w:rPr>
          <w:rFonts w:hint="eastAsia" w:ascii="Times New Roman" w:hAnsi="宋体" w:cs="宋体"/>
          <w:color w:val="auto"/>
          <w:szCs w:val="21"/>
          <w:highlight w:val="none"/>
        </w:rPr>
        <w:t>．住宅小区内的给排水设施、道路等配套工程为</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年；</w:t>
      </w:r>
    </w:p>
    <w:p w14:paraId="1101E1FB">
      <w:pPr>
        <w:pStyle w:val="54"/>
        <w:spacing w:line="360" w:lineRule="auto"/>
        <w:ind w:firstLine="420"/>
        <w:rPr>
          <w:rFonts w:ascii="Times New Roman" w:hAnsi="宋体"/>
          <w:color w:val="auto"/>
          <w:szCs w:val="21"/>
          <w:highlight w:val="none"/>
        </w:rPr>
      </w:pPr>
      <w:r>
        <w:rPr>
          <w:rFonts w:ascii="Times New Roman" w:hAnsi="Times New Roman"/>
          <w:color w:val="auto"/>
          <w:szCs w:val="21"/>
          <w:highlight w:val="none"/>
        </w:rPr>
        <w:t>7</w:t>
      </w:r>
      <w:r>
        <w:rPr>
          <w:rFonts w:hint="eastAsia" w:ascii="Times New Roman" w:hAnsi="宋体" w:cs="宋体"/>
          <w:color w:val="auto"/>
          <w:szCs w:val="21"/>
          <w:highlight w:val="none"/>
        </w:rPr>
        <w:t>．其他项目保修期限约定如下：</w:t>
      </w:r>
    </w:p>
    <w:p w14:paraId="117543D3">
      <w:pPr>
        <w:pStyle w:val="54"/>
        <w:spacing w:line="360" w:lineRule="auto"/>
        <w:ind w:firstLine="420"/>
        <w:rPr>
          <w:rFonts w:ascii="Times New Roman" w:hAnsi="宋体"/>
          <w:color w:val="auto"/>
          <w:szCs w:val="21"/>
          <w:highlight w:val="none"/>
        </w:rPr>
      </w:pP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w:t>
      </w:r>
    </w:p>
    <w:p w14:paraId="628BF846">
      <w:pPr>
        <w:pStyle w:val="54"/>
        <w:spacing w:line="360" w:lineRule="auto"/>
        <w:ind w:firstLine="420"/>
        <w:rPr>
          <w:rFonts w:ascii="Times New Roman" w:hAnsi="宋体"/>
          <w:color w:val="auto"/>
          <w:szCs w:val="21"/>
          <w:highlight w:val="none"/>
        </w:rPr>
      </w:pPr>
      <w:r>
        <w:rPr>
          <w:rFonts w:hint="eastAsia" w:ascii="Times New Roman" w:hAnsi="宋体" w:cs="宋体"/>
          <w:color w:val="auto"/>
          <w:szCs w:val="21"/>
          <w:highlight w:val="none"/>
        </w:rPr>
        <w:t>质量保修期自工程竣工验收合格之日起计算。</w:t>
      </w:r>
    </w:p>
    <w:p w14:paraId="66881E14">
      <w:pPr>
        <w:pStyle w:val="54"/>
        <w:spacing w:line="360" w:lineRule="auto"/>
        <w:ind w:firstLine="420"/>
        <w:rPr>
          <w:rFonts w:ascii="黑体" w:hAnsi="宋体" w:eastAsia="黑体"/>
          <w:color w:val="auto"/>
          <w:szCs w:val="21"/>
          <w:highlight w:val="none"/>
        </w:rPr>
      </w:pPr>
      <w:r>
        <w:rPr>
          <w:rFonts w:hint="eastAsia" w:ascii="黑体" w:hAnsi="宋体" w:eastAsia="黑体" w:cs="黑体"/>
          <w:color w:val="auto"/>
          <w:szCs w:val="21"/>
          <w:highlight w:val="none"/>
        </w:rPr>
        <w:t>三、缺陷责任期</w:t>
      </w:r>
    </w:p>
    <w:p w14:paraId="09DC8EE2">
      <w:pPr>
        <w:pStyle w:val="54"/>
        <w:spacing w:line="360" w:lineRule="auto"/>
        <w:ind w:firstLine="420"/>
        <w:rPr>
          <w:rFonts w:ascii="Times New Roman" w:hAnsi="宋体"/>
          <w:color w:val="auto"/>
          <w:szCs w:val="21"/>
          <w:highlight w:val="none"/>
        </w:rPr>
      </w:pPr>
      <w:r>
        <w:rPr>
          <w:rFonts w:hint="eastAsia" w:ascii="Times New Roman" w:hAnsi="宋体" w:cs="宋体"/>
          <w:color w:val="auto"/>
          <w:szCs w:val="21"/>
          <w:highlight w:val="none"/>
        </w:rPr>
        <w:t>工程缺陷责任期为</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个月（最长不超过</w:t>
      </w:r>
      <w:r>
        <w:rPr>
          <w:rFonts w:ascii="Times New Roman" w:hAnsi="宋体"/>
          <w:color w:val="auto"/>
          <w:szCs w:val="21"/>
          <w:highlight w:val="none"/>
        </w:rPr>
        <w:t>24</w:t>
      </w:r>
      <w:r>
        <w:rPr>
          <w:rFonts w:hint="eastAsia" w:ascii="Times New Roman" w:hAnsi="宋体" w:cs="宋体"/>
          <w:color w:val="auto"/>
          <w:szCs w:val="21"/>
          <w:highlight w:val="none"/>
        </w:rPr>
        <w:t>个月），缺陷责任期自工程竣工验收合格之日起计算。单位工程先于全部工程进行验收，单位工程缺陷责任期自单位工程验收合格之日起算。</w:t>
      </w:r>
    </w:p>
    <w:p w14:paraId="5E56C550">
      <w:pPr>
        <w:pStyle w:val="54"/>
        <w:spacing w:line="360" w:lineRule="auto"/>
        <w:ind w:firstLine="420"/>
        <w:rPr>
          <w:rFonts w:ascii="Times New Roman" w:hAnsi="宋体"/>
          <w:color w:val="auto"/>
          <w:szCs w:val="21"/>
          <w:highlight w:val="none"/>
        </w:rPr>
      </w:pPr>
      <w:r>
        <w:rPr>
          <w:rFonts w:hint="eastAsia" w:ascii="Times New Roman" w:hAnsi="宋体" w:cs="宋体"/>
          <w:color w:val="auto"/>
          <w:szCs w:val="21"/>
          <w:highlight w:val="none"/>
        </w:rPr>
        <w:t>缺陷责任期</w:t>
      </w:r>
      <w:r>
        <w:rPr>
          <w:rFonts w:hint="eastAsia" w:ascii="Times New Roman" w:hAnsi="宋体" w:cs="宋体"/>
          <w:color w:val="auto"/>
          <w:szCs w:val="21"/>
          <w:highlight w:val="none"/>
          <w:u w:val="single"/>
        </w:rPr>
        <w:t>满</w:t>
      </w:r>
      <w:r>
        <w:rPr>
          <w:rFonts w:hint="eastAsia" w:ascii="仿宋_GB2312" w:hAnsi="宋体"/>
          <w:color w:val="auto"/>
          <w:szCs w:val="21"/>
          <w:highlight w:val="none"/>
        </w:rPr>
        <w:t>之日起</w:t>
      </w:r>
      <w:r>
        <w:rPr>
          <w:rFonts w:hint="eastAsia" w:ascii="仿宋_GB2312" w:hAnsi="宋体"/>
          <w:color w:val="auto"/>
          <w:szCs w:val="21"/>
          <w:highlight w:val="none"/>
          <w:u w:val="single"/>
        </w:rPr>
        <w:t xml:space="preserve"> </w:t>
      </w:r>
      <w:r>
        <w:rPr>
          <w:rFonts w:ascii="仿宋_GB2312" w:hAnsi="宋体"/>
          <w:color w:val="auto"/>
          <w:szCs w:val="21"/>
          <w:highlight w:val="none"/>
          <w:u w:val="single"/>
        </w:rPr>
        <w:t xml:space="preserve">  </w:t>
      </w:r>
      <w:r>
        <w:rPr>
          <w:rFonts w:hint="eastAsia" w:ascii="仿宋_GB2312" w:hAnsi="宋体"/>
          <w:color w:val="auto"/>
          <w:szCs w:val="21"/>
          <w:highlight w:val="none"/>
          <w:u w:val="single"/>
        </w:rPr>
        <w:t xml:space="preserve"> </w:t>
      </w:r>
      <w:r>
        <w:rPr>
          <w:rFonts w:hint="eastAsia" w:ascii="仿宋_GB2312" w:hAnsi="宋体"/>
          <w:color w:val="auto"/>
          <w:szCs w:val="21"/>
          <w:highlight w:val="none"/>
        </w:rPr>
        <w:t>天</w:t>
      </w:r>
      <w:r>
        <w:rPr>
          <w:rFonts w:hint="eastAsia" w:ascii="Times New Roman" w:hAnsi="宋体" w:cs="宋体"/>
          <w:color w:val="auto"/>
          <w:szCs w:val="21"/>
          <w:highlight w:val="none"/>
          <w:u w:val="single"/>
        </w:rPr>
        <w:t>（按</w:t>
      </w:r>
      <w:r>
        <w:rPr>
          <w:rFonts w:ascii="Times New Roman" w:hAnsi="宋体" w:cs="宋体"/>
          <w:color w:val="auto"/>
          <w:szCs w:val="21"/>
          <w:highlight w:val="none"/>
          <w:u w:val="single"/>
        </w:rPr>
        <w:t>合同约定期限）</w:t>
      </w:r>
      <w:r>
        <w:rPr>
          <w:rFonts w:hint="eastAsia" w:ascii="Times New Roman" w:hAnsi="宋体" w:cs="宋体"/>
          <w:color w:val="auto"/>
          <w:szCs w:val="21"/>
          <w:highlight w:val="none"/>
          <w:u w:val="single"/>
        </w:rPr>
        <w:t>，</w:t>
      </w:r>
      <w:r>
        <w:rPr>
          <w:rFonts w:hint="eastAsia" w:ascii="Times New Roman" w:hAnsi="宋体" w:cs="宋体"/>
          <w:color w:val="auto"/>
          <w:szCs w:val="21"/>
          <w:highlight w:val="none"/>
        </w:rPr>
        <w:t>发包人应退还剩余的质量保证金。</w:t>
      </w:r>
    </w:p>
    <w:p w14:paraId="77B9474F">
      <w:pPr>
        <w:pStyle w:val="54"/>
        <w:spacing w:line="360" w:lineRule="auto"/>
        <w:ind w:firstLine="420"/>
        <w:rPr>
          <w:rFonts w:ascii="黑体" w:hAnsi="宋体" w:eastAsia="黑体"/>
          <w:color w:val="auto"/>
          <w:szCs w:val="21"/>
          <w:highlight w:val="none"/>
        </w:rPr>
      </w:pPr>
      <w:r>
        <w:rPr>
          <w:rFonts w:hint="eastAsia" w:ascii="黑体" w:hAnsi="宋体" w:eastAsia="黑体" w:cs="黑体"/>
          <w:color w:val="auto"/>
          <w:szCs w:val="21"/>
          <w:highlight w:val="none"/>
        </w:rPr>
        <w:t>四、质量保修责任</w:t>
      </w:r>
    </w:p>
    <w:p w14:paraId="1E96E5E2">
      <w:pPr>
        <w:pStyle w:val="54"/>
        <w:spacing w:line="360" w:lineRule="auto"/>
        <w:ind w:left="105" w:leftChars="50" w:firstLine="430" w:firstLineChars="205"/>
        <w:rPr>
          <w:rFonts w:ascii="Times New Roman" w:hAnsi="宋体"/>
          <w:color w:val="auto"/>
          <w:szCs w:val="21"/>
          <w:highlight w:val="none"/>
        </w:rPr>
      </w:pPr>
      <w:r>
        <w:rPr>
          <w:rFonts w:ascii="Times New Roman" w:hAnsi="Times New Roman"/>
          <w:color w:val="auto"/>
          <w:szCs w:val="21"/>
          <w:highlight w:val="none"/>
        </w:rPr>
        <w:t>1</w:t>
      </w:r>
      <w:r>
        <w:rPr>
          <w:rFonts w:hint="eastAsia" w:ascii="Times New Roman" w:hAnsi="宋体" w:cs="宋体"/>
          <w:color w:val="auto"/>
          <w:szCs w:val="21"/>
          <w:highlight w:val="none"/>
        </w:rPr>
        <w:t>．属于保修范围、内容的项目，承包人应当在接到保修通知之日起</w:t>
      </w:r>
      <w:r>
        <w:rPr>
          <w:rFonts w:hint="eastAsia" w:ascii="Times New Roman" w:hAnsi="Times New Roman"/>
          <w:color w:val="auto"/>
          <w:szCs w:val="21"/>
          <w:highlight w:val="none"/>
          <w:u w:val="single"/>
        </w:rPr>
        <w:t>3</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天内派人保修。承包人不在约定期限内派人保修的，发包人可以委托他人修理，修理费用从质量保证金内扣除。</w:t>
      </w:r>
    </w:p>
    <w:p w14:paraId="612EEF51">
      <w:pPr>
        <w:pStyle w:val="54"/>
        <w:spacing w:line="360" w:lineRule="auto"/>
        <w:ind w:firstLine="420"/>
        <w:rPr>
          <w:rFonts w:ascii="Times New Roman" w:hAnsi="宋体"/>
          <w:color w:val="auto"/>
          <w:szCs w:val="21"/>
          <w:highlight w:val="none"/>
        </w:rPr>
      </w:pPr>
      <w:r>
        <w:rPr>
          <w:rFonts w:ascii="Times New Roman" w:hAnsi="Times New Roman"/>
          <w:color w:val="auto"/>
          <w:szCs w:val="21"/>
          <w:highlight w:val="none"/>
        </w:rPr>
        <w:t>2</w:t>
      </w:r>
      <w:r>
        <w:rPr>
          <w:rFonts w:hint="eastAsia" w:ascii="Times New Roman" w:hAnsi="宋体" w:cs="宋体"/>
          <w:color w:val="auto"/>
          <w:szCs w:val="21"/>
          <w:highlight w:val="none"/>
        </w:rPr>
        <w:t>．发生紧急事故需抢修的，承包人在接到事故通知后，应当立即到达事故现场抢修。</w:t>
      </w:r>
    </w:p>
    <w:p w14:paraId="39F087F2">
      <w:pPr>
        <w:pStyle w:val="54"/>
        <w:spacing w:line="360" w:lineRule="auto"/>
        <w:ind w:firstLine="420"/>
        <w:rPr>
          <w:rFonts w:ascii="Times New Roman" w:hAnsi="宋体"/>
          <w:color w:val="auto"/>
          <w:szCs w:val="21"/>
          <w:highlight w:val="none"/>
        </w:rPr>
      </w:pPr>
      <w:r>
        <w:rPr>
          <w:rFonts w:ascii="Times New Roman" w:hAnsi="Times New Roman"/>
          <w:color w:val="auto"/>
          <w:szCs w:val="21"/>
          <w:highlight w:val="none"/>
        </w:rPr>
        <w:t>3</w:t>
      </w:r>
      <w:r>
        <w:rPr>
          <w:rFonts w:hint="eastAsia" w:ascii="Times New Roman" w:hAnsi="宋体" w:cs="宋体"/>
          <w:color w:val="auto"/>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9008259">
      <w:pPr>
        <w:pStyle w:val="54"/>
        <w:spacing w:line="360" w:lineRule="auto"/>
        <w:ind w:firstLine="420"/>
        <w:rPr>
          <w:rFonts w:ascii="Times New Roman" w:hAnsi="宋体"/>
          <w:color w:val="auto"/>
          <w:szCs w:val="21"/>
          <w:highlight w:val="none"/>
        </w:rPr>
      </w:pPr>
      <w:r>
        <w:rPr>
          <w:rFonts w:ascii="Times New Roman" w:hAnsi="Times New Roman"/>
          <w:color w:val="auto"/>
          <w:szCs w:val="21"/>
          <w:highlight w:val="none"/>
        </w:rPr>
        <w:t>4</w:t>
      </w:r>
      <w:r>
        <w:rPr>
          <w:rFonts w:hint="eastAsia" w:ascii="Times New Roman" w:hAnsi="宋体" w:cs="宋体"/>
          <w:color w:val="auto"/>
          <w:szCs w:val="21"/>
          <w:highlight w:val="none"/>
        </w:rPr>
        <w:t>．质量保修完成后，由发包人组织验收。</w:t>
      </w:r>
    </w:p>
    <w:p w14:paraId="387D62AF">
      <w:pPr>
        <w:pStyle w:val="54"/>
        <w:spacing w:line="360" w:lineRule="auto"/>
        <w:ind w:firstLine="420"/>
        <w:rPr>
          <w:rFonts w:ascii="黑体" w:hAnsi="宋体" w:eastAsia="黑体"/>
          <w:color w:val="auto"/>
          <w:szCs w:val="21"/>
          <w:highlight w:val="none"/>
        </w:rPr>
      </w:pPr>
      <w:r>
        <w:rPr>
          <w:rFonts w:hint="eastAsia" w:ascii="黑体" w:hAnsi="宋体" w:eastAsia="黑体" w:cs="黑体"/>
          <w:color w:val="auto"/>
          <w:szCs w:val="21"/>
          <w:highlight w:val="none"/>
        </w:rPr>
        <w:t>五、保修费用</w:t>
      </w:r>
    </w:p>
    <w:p w14:paraId="629DD751">
      <w:pPr>
        <w:pStyle w:val="54"/>
        <w:tabs>
          <w:tab w:val="left" w:pos="7380"/>
        </w:tabs>
        <w:spacing w:line="360" w:lineRule="auto"/>
        <w:ind w:firstLine="420"/>
        <w:rPr>
          <w:rFonts w:ascii="Times New Roman" w:hAnsi="宋体"/>
          <w:color w:val="auto"/>
          <w:szCs w:val="21"/>
          <w:highlight w:val="none"/>
        </w:rPr>
      </w:pPr>
      <w:r>
        <w:rPr>
          <w:rFonts w:hint="eastAsia" w:ascii="Times New Roman" w:hAnsi="宋体" w:cs="宋体"/>
          <w:color w:val="auto"/>
          <w:szCs w:val="21"/>
          <w:highlight w:val="none"/>
        </w:rPr>
        <w:t>保修费用由造成质量缺陷的责任方承担。</w:t>
      </w:r>
    </w:p>
    <w:p w14:paraId="2A6D5353">
      <w:pPr>
        <w:pStyle w:val="54"/>
        <w:spacing w:line="360" w:lineRule="auto"/>
        <w:ind w:firstLine="420"/>
        <w:rPr>
          <w:rFonts w:ascii="黑体" w:hAnsi="宋体" w:eastAsia="黑体" w:cs="黑体"/>
          <w:color w:val="auto"/>
          <w:szCs w:val="21"/>
          <w:highlight w:val="none"/>
        </w:rPr>
      </w:pPr>
      <w:r>
        <w:rPr>
          <w:rFonts w:hint="eastAsia" w:ascii="黑体" w:hAnsi="宋体" w:eastAsia="黑体" w:cs="黑体"/>
          <w:color w:val="auto"/>
          <w:szCs w:val="21"/>
          <w:highlight w:val="none"/>
        </w:rPr>
        <w:t>六、双方约定的其他工程质量保修事项：</w:t>
      </w:r>
      <w:r>
        <w:rPr>
          <w:rFonts w:ascii="黑体" w:hAnsi="宋体" w:eastAsia="黑体" w:cs="黑体"/>
          <w:color w:val="auto"/>
          <w:szCs w:val="21"/>
          <w:highlight w:val="none"/>
        </w:rPr>
        <w:t xml:space="preserve"> </w:t>
      </w:r>
    </w:p>
    <w:p w14:paraId="39641931">
      <w:pPr>
        <w:pStyle w:val="54"/>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w:t>
      </w:r>
    </w:p>
    <w:p w14:paraId="30FCD3BB">
      <w:pPr>
        <w:pStyle w:val="54"/>
        <w:spacing w:line="360" w:lineRule="auto"/>
        <w:ind w:firstLine="399" w:firstLineChars="190"/>
        <w:rPr>
          <w:rFonts w:ascii="Times New Roman" w:hAnsi="Times New Roman"/>
          <w:color w:val="auto"/>
          <w:szCs w:val="21"/>
          <w:highlight w:val="none"/>
        </w:rPr>
      </w:pPr>
      <w:r>
        <w:rPr>
          <w:rFonts w:hint="eastAsia" w:ascii="Times New Roman" w:hAnsi="宋体" w:cs="宋体"/>
          <w:color w:val="auto"/>
          <w:szCs w:val="21"/>
          <w:highlight w:val="none"/>
        </w:rPr>
        <w:t>工程质量保修书由发包人、承包人在工程竣工验收前共同签署，作为施工合同附件，其有效期限至保修期满。</w:t>
      </w:r>
    </w:p>
    <w:p w14:paraId="77C2501C">
      <w:pPr>
        <w:pStyle w:val="54"/>
        <w:spacing w:line="360" w:lineRule="auto"/>
        <w:ind w:firstLine="420"/>
        <w:rPr>
          <w:rFonts w:ascii="Times New Roman" w:hAnsi="Times New Roman"/>
          <w:color w:val="auto"/>
          <w:szCs w:val="21"/>
          <w:highlight w:val="none"/>
        </w:rPr>
      </w:pPr>
    </w:p>
    <w:p w14:paraId="0CC64A9D">
      <w:pPr>
        <w:pStyle w:val="54"/>
        <w:spacing w:line="360" w:lineRule="auto"/>
        <w:rPr>
          <w:rFonts w:ascii="Times New Roman" w:hAnsi="Times New Roman"/>
          <w:color w:val="auto"/>
          <w:szCs w:val="21"/>
          <w:highlight w:val="none"/>
        </w:rPr>
      </w:pPr>
      <w:r>
        <w:rPr>
          <w:rFonts w:ascii="Times New Roman" w:hAnsi="宋体"/>
          <w:color w:val="auto"/>
          <w:szCs w:val="21"/>
          <w:highlight w:val="none"/>
        </w:rPr>
        <w:t>发包人</w:t>
      </w:r>
      <w:r>
        <w:rPr>
          <w:rFonts w:hint="eastAsia" w:ascii="Times New Roman" w:hAnsi="Times New Roman"/>
          <w:color w:val="auto"/>
          <w:szCs w:val="21"/>
          <w:highlight w:val="none"/>
        </w:rPr>
        <w:t>（</w:t>
      </w:r>
      <w:r>
        <w:rPr>
          <w:rFonts w:ascii="Times New Roman" w:hAnsi="宋体"/>
          <w:color w:val="auto"/>
          <w:szCs w:val="21"/>
          <w:highlight w:val="none"/>
        </w:rPr>
        <w:t>公章</w:t>
      </w:r>
      <w:r>
        <w:rPr>
          <w:rFonts w:hint="eastAsia" w:ascii="Times New Roman" w:hAnsi="Times New Roman"/>
          <w:color w:val="auto"/>
          <w:szCs w:val="21"/>
          <w:highlight w:val="none"/>
        </w:rPr>
        <w:t>）</w:t>
      </w:r>
      <w:r>
        <w:rPr>
          <w:rFonts w:ascii="Times New Roman" w:hAnsi="宋体"/>
          <w:color w:val="auto"/>
          <w:szCs w:val="21"/>
          <w:highlight w:val="none"/>
        </w:rPr>
        <w:t>：</w:t>
      </w:r>
      <w:r>
        <w:rPr>
          <w:rFonts w:ascii="Times New Roman" w:hAnsi="Times New Roman"/>
          <w:color w:val="auto"/>
          <w:szCs w:val="21"/>
          <w:highlight w:val="none"/>
          <w:u w:val="single"/>
        </w:rPr>
        <w:t xml:space="preserve"> </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承包人</w:t>
      </w:r>
      <w:r>
        <w:rPr>
          <w:rFonts w:hint="eastAsia" w:ascii="Times New Roman" w:hAnsi="Times New Roman"/>
          <w:color w:val="auto"/>
          <w:szCs w:val="21"/>
          <w:highlight w:val="none"/>
        </w:rPr>
        <w:t>（</w:t>
      </w:r>
      <w:r>
        <w:rPr>
          <w:rFonts w:ascii="Times New Roman" w:hAnsi="宋体"/>
          <w:color w:val="auto"/>
          <w:szCs w:val="21"/>
          <w:highlight w:val="none"/>
        </w:rPr>
        <w:t>公章</w:t>
      </w:r>
      <w:r>
        <w:rPr>
          <w:rFonts w:hint="eastAsia" w:ascii="Times New Roman" w:hAnsi="Times New Roman"/>
          <w:color w:val="auto"/>
          <w:szCs w:val="21"/>
          <w:highlight w:val="none"/>
        </w:rPr>
        <w:t>）</w:t>
      </w:r>
      <w:r>
        <w:rPr>
          <w:rFonts w:ascii="Times New Roman" w:hAnsi="宋体"/>
          <w:color w:val="auto"/>
          <w:szCs w:val="21"/>
          <w:highlight w:val="none"/>
        </w:rPr>
        <w:t>：</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ascii="宋体" w:hAnsi="宋体"/>
          <w:color w:val="auto"/>
          <w:szCs w:val="21"/>
          <w:highlight w:val="none"/>
          <w:u w:val="single"/>
        </w:rPr>
        <w:t></w:t>
      </w:r>
    </w:p>
    <w:p w14:paraId="7409CCAA">
      <w:pPr>
        <w:pStyle w:val="54"/>
        <w:spacing w:line="360" w:lineRule="auto"/>
        <w:rPr>
          <w:rFonts w:ascii="Times New Roman" w:hAnsi="Times New Roman"/>
          <w:color w:val="auto"/>
          <w:szCs w:val="21"/>
          <w:highlight w:val="none"/>
        </w:rPr>
      </w:pPr>
      <w:r>
        <w:rPr>
          <w:rFonts w:ascii="Times New Roman" w:hAnsi="宋体"/>
          <w:color w:val="auto"/>
          <w:szCs w:val="21"/>
          <w:highlight w:val="none"/>
        </w:rPr>
        <w:t>地</w:t>
      </w:r>
      <w:r>
        <w:rPr>
          <w:rFonts w:ascii="Times New Roman" w:hAnsi="Times New Roman"/>
          <w:color w:val="auto"/>
          <w:szCs w:val="21"/>
          <w:highlight w:val="none"/>
        </w:rPr>
        <w:t xml:space="preserve">  </w:t>
      </w:r>
      <w:r>
        <w:rPr>
          <w:rFonts w:ascii="Times New Roman" w:hAnsi="宋体"/>
          <w:color w:val="auto"/>
          <w:szCs w:val="21"/>
          <w:highlight w:val="none"/>
        </w:rPr>
        <w:t>址：</w:t>
      </w:r>
      <w:r>
        <w:rPr>
          <w:rFonts w:ascii="Times New Roman" w:hAnsi="Times New Roman"/>
          <w:color w:val="auto"/>
          <w:szCs w:val="21"/>
          <w:highlight w:val="none"/>
          <w:u w:val="single"/>
        </w:rPr>
        <w:t xml:space="preserve"> </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地</w:t>
      </w:r>
      <w:r>
        <w:rPr>
          <w:rFonts w:ascii="Times New Roman" w:hAnsi="Times New Roman"/>
          <w:color w:val="auto"/>
          <w:szCs w:val="21"/>
          <w:highlight w:val="none"/>
        </w:rPr>
        <w:t xml:space="preserve">  </w:t>
      </w:r>
      <w:r>
        <w:rPr>
          <w:rFonts w:ascii="Times New Roman" w:hAnsi="宋体"/>
          <w:color w:val="auto"/>
          <w:szCs w:val="21"/>
          <w:highlight w:val="none"/>
        </w:rPr>
        <w:t>址：</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宋体" w:hAnsi="宋体"/>
          <w:color w:val="auto"/>
          <w:szCs w:val="21"/>
          <w:highlight w:val="none"/>
          <w:u w:val="single"/>
        </w:rPr>
        <w:t></w:t>
      </w:r>
    </w:p>
    <w:p w14:paraId="2C12F311">
      <w:pPr>
        <w:pStyle w:val="54"/>
        <w:spacing w:line="360" w:lineRule="auto"/>
        <w:rPr>
          <w:rFonts w:ascii="Times New Roman" w:hAnsi="Times New Roman"/>
          <w:color w:val="auto"/>
          <w:szCs w:val="21"/>
          <w:highlight w:val="none"/>
        </w:rPr>
      </w:pPr>
      <w:r>
        <w:rPr>
          <w:rFonts w:ascii="Times New Roman" w:hAnsi="宋体"/>
          <w:color w:val="auto"/>
          <w:szCs w:val="21"/>
          <w:highlight w:val="none"/>
        </w:rPr>
        <w:t>法定代表人</w:t>
      </w:r>
      <w:r>
        <w:rPr>
          <w:rFonts w:hint="eastAsia" w:ascii="Times New Roman" w:hAnsi="Times New Roman"/>
          <w:color w:val="auto"/>
          <w:szCs w:val="21"/>
          <w:highlight w:val="none"/>
        </w:rPr>
        <w:t>（</w:t>
      </w:r>
      <w:r>
        <w:rPr>
          <w:rFonts w:ascii="Times New Roman" w:hAnsi="宋体"/>
          <w:color w:val="auto"/>
          <w:szCs w:val="21"/>
          <w:highlight w:val="none"/>
        </w:rPr>
        <w:t>签字</w:t>
      </w:r>
      <w:r>
        <w:rPr>
          <w:rFonts w:hint="eastAsia" w:ascii="Times New Roman" w:hAnsi="Times New Roman"/>
          <w:color w:val="auto"/>
          <w:szCs w:val="21"/>
          <w:highlight w:val="none"/>
        </w:rPr>
        <w:t>）</w:t>
      </w:r>
      <w:r>
        <w:rPr>
          <w:rFonts w:ascii="Times New Roman" w:hAnsi="宋体"/>
          <w:color w:val="auto"/>
          <w:szCs w:val="21"/>
          <w:highlight w:val="none"/>
        </w:rPr>
        <w:t>：</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法定代表人</w:t>
      </w:r>
      <w:r>
        <w:rPr>
          <w:rFonts w:hint="eastAsia" w:ascii="Times New Roman" w:hAnsi="Times New Roman"/>
          <w:color w:val="auto"/>
          <w:szCs w:val="21"/>
          <w:highlight w:val="none"/>
        </w:rPr>
        <w:t>（</w:t>
      </w:r>
      <w:r>
        <w:rPr>
          <w:rFonts w:ascii="Times New Roman" w:hAnsi="宋体"/>
          <w:color w:val="auto"/>
          <w:szCs w:val="21"/>
          <w:highlight w:val="none"/>
        </w:rPr>
        <w:t>签字</w:t>
      </w:r>
      <w:r>
        <w:rPr>
          <w:rFonts w:hint="eastAsia" w:ascii="Times New Roman" w:hAnsi="Times New Roman"/>
          <w:color w:val="auto"/>
          <w:szCs w:val="21"/>
          <w:highlight w:val="none"/>
        </w:rPr>
        <w:t>）</w:t>
      </w:r>
      <w:r>
        <w:rPr>
          <w:rFonts w:ascii="Times New Roman" w:hAnsi="宋体"/>
          <w:color w:val="auto"/>
          <w:szCs w:val="21"/>
          <w:highlight w:val="none"/>
        </w:rPr>
        <w:t>：</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14:paraId="2D74C017">
      <w:pPr>
        <w:pStyle w:val="54"/>
        <w:spacing w:line="360" w:lineRule="auto"/>
        <w:rPr>
          <w:rFonts w:ascii="Times New Roman" w:hAnsi="Times New Roman"/>
          <w:color w:val="auto"/>
          <w:szCs w:val="21"/>
          <w:highlight w:val="none"/>
        </w:rPr>
      </w:pPr>
      <w:r>
        <w:rPr>
          <w:rFonts w:ascii="Times New Roman" w:hAnsi="宋体"/>
          <w:color w:val="auto"/>
          <w:szCs w:val="21"/>
          <w:highlight w:val="none"/>
        </w:rPr>
        <w:t>委托代理人</w:t>
      </w:r>
      <w:r>
        <w:rPr>
          <w:rFonts w:hint="eastAsia" w:ascii="Times New Roman" w:hAnsi="Times New Roman"/>
          <w:color w:val="auto"/>
          <w:szCs w:val="21"/>
          <w:highlight w:val="none"/>
        </w:rPr>
        <w:t>（</w:t>
      </w:r>
      <w:r>
        <w:rPr>
          <w:rFonts w:ascii="Times New Roman" w:hAnsi="宋体"/>
          <w:color w:val="auto"/>
          <w:szCs w:val="21"/>
          <w:highlight w:val="none"/>
        </w:rPr>
        <w:t>签字</w:t>
      </w:r>
      <w:r>
        <w:rPr>
          <w:rFonts w:hint="eastAsia" w:ascii="Times New Roman" w:hAnsi="Times New Roman"/>
          <w:color w:val="auto"/>
          <w:szCs w:val="21"/>
          <w:highlight w:val="none"/>
        </w:rPr>
        <w:t>）</w:t>
      </w:r>
      <w:r>
        <w:rPr>
          <w:rFonts w:ascii="Times New Roman" w:hAnsi="宋体"/>
          <w:color w:val="auto"/>
          <w:szCs w:val="21"/>
          <w:highlight w:val="none"/>
        </w:rPr>
        <w:t>：</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委托代理人</w:t>
      </w:r>
      <w:r>
        <w:rPr>
          <w:rFonts w:hint="eastAsia" w:ascii="Times New Roman" w:hAnsi="Times New Roman"/>
          <w:color w:val="auto"/>
          <w:szCs w:val="21"/>
          <w:highlight w:val="none"/>
        </w:rPr>
        <w:t>（</w:t>
      </w:r>
      <w:r>
        <w:rPr>
          <w:rFonts w:ascii="Times New Roman" w:hAnsi="宋体"/>
          <w:color w:val="auto"/>
          <w:szCs w:val="21"/>
          <w:highlight w:val="none"/>
        </w:rPr>
        <w:t>签字</w:t>
      </w:r>
      <w:r>
        <w:rPr>
          <w:rFonts w:hint="eastAsia" w:ascii="Times New Roman" w:hAnsi="Times New Roman"/>
          <w:color w:val="auto"/>
          <w:szCs w:val="21"/>
          <w:highlight w:val="none"/>
        </w:rPr>
        <w:t>）</w:t>
      </w:r>
      <w:r>
        <w:rPr>
          <w:rFonts w:ascii="Times New Roman" w:hAnsi="宋体"/>
          <w:color w:val="auto"/>
          <w:szCs w:val="21"/>
          <w:highlight w:val="none"/>
        </w:rPr>
        <w:t>：</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14:paraId="5A80385F">
      <w:pPr>
        <w:pStyle w:val="54"/>
        <w:spacing w:line="360" w:lineRule="auto"/>
        <w:rPr>
          <w:rFonts w:ascii="Times New Roman" w:hAnsi="Times New Roman"/>
          <w:color w:val="auto"/>
          <w:szCs w:val="21"/>
          <w:highlight w:val="none"/>
        </w:rPr>
      </w:pPr>
      <w:r>
        <w:rPr>
          <w:rFonts w:ascii="Times New Roman" w:hAnsi="宋体"/>
          <w:color w:val="auto"/>
          <w:szCs w:val="21"/>
          <w:highlight w:val="none"/>
        </w:rPr>
        <w:t>电</w:t>
      </w:r>
      <w:r>
        <w:rPr>
          <w:rFonts w:ascii="Times New Roman" w:hAnsi="Times New Roman"/>
          <w:color w:val="auto"/>
          <w:szCs w:val="21"/>
          <w:highlight w:val="none"/>
        </w:rPr>
        <w:t xml:space="preserve">  </w:t>
      </w:r>
      <w:r>
        <w:rPr>
          <w:rFonts w:ascii="Times New Roman" w:hAnsi="宋体"/>
          <w:color w:val="auto"/>
          <w:szCs w:val="21"/>
          <w:highlight w:val="none"/>
        </w:rPr>
        <w:t>话：</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电</w:t>
      </w:r>
      <w:r>
        <w:rPr>
          <w:rFonts w:ascii="Times New Roman" w:hAnsi="Times New Roman"/>
          <w:color w:val="auto"/>
          <w:szCs w:val="21"/>
          <w:highlight w:val="none"/>
        </w:rPr>
        <w:t xml:space="preserve">  </w:t>
      </w:r>
      <w:r>
        <w:rPr>
          <w:rFonts w:ascii="Times New Roman" w:hAnsi="宋体"/>
          <w:color w:val="auto"/>
          <w:szCs w:val="21"/>
          <w:highlight w:val="none"/>
        </w:rPr>
        <w:t>话：</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14:paraId="099C7418">
      <w:pPr>
        <w:pStyle w:val="54"/>
        <w:spacing w:line="360" w:lineRule="auto"/>
        <w:rPr>
          <w:rFonts w:ascii="Times New Roman" w:hAnsi="Times New Roman"/>
          <w:color w:val="auto"/>
          <w:szCs w:val="21"/>
          <w:highlight w:val="none"/>
        </w:rPr>
      </w:pPr>
      <w:r>
        <w:rPr>
          <w:rFonts w:ascii="Times New Roman" w:hAnsi="宋体"/>
          <w:color w:val="auto"/>
          <w:szCs w:val="21"/>
          <w:highlight w:val="none"/>
        </w:rPr>
        <w:t>传</w:t>
      </w:r>
      <w:r>
        <w:rPr>
          <w:rFonts w:ascii="Times New Roman" w:hAnsi="Times New Roman"/>
          <w:color w:val="auto"/>
          <w:szCs w:val="21"/>
          <w:highlight w:val="none"/>
        </w:rPr>
        <w:t xml:space="preserve">  </w:t>
      </w:r>
      <w:r>
        <w:rPr>
          <w:rFonts w:ascii="Times New Roman" w:hAnsi="宋体"/>
          <w:color w:val="auto"/>
          <w:szCs w:val="21"/>
          <w:highlight w:val="none"/>
        </w:rPr>
        <w:t>真：</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传</w:t>
      </w:r>
      <w:r>
        <w:rPr>
          <w:rFonts w:ascii="Times New Roman" w:hAnsi="Times New Roman"/>
          <w:color w:val="auto"/>
          <w:szCs w:val="21"/>
          <w:highlight w:val="none"/>
        </w:rPr>
        <w:t xml:space="preserve">  </w:t>
      </w:r>
      <w:r>
        <w:rPr>
          <w:rFonts w:ascii="Times New Roman" w:hAnsi="宋体"/>
          <w:color w:val="auto"/>
          <w:szCs w:val="21"/>
          <w:highlight w:val="none"/>
        </w:rPr>
        <w:t>真：</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Times New Roman" w:hAnsi="Times New Roman"/>
          <w:color w:val="auto"/>
          <w:szCs w:val="21"/>
          <w:highlight w:val="none"/>
          <w:u w:val="single"/>
        </w:rPr>
        <w:t xml:space="preserve">  </w:t>
      </w:r>
      <w:r>
        <w:rPr>
          <w:rFonts w:ascii="宋体" w:hAnsi="宋体"/>
          <w:color w:val="auto"/>
          <w:szCs w:val="21"/>
          <w:highlight w:val="none"/>
          <w:u w:val="single"/>
        </w:rPr>
        <w:t></w:t>
      </w:r>
    </w:p>
    <w:p w14:paraId="6FD2843C">
      <w:pPr>
        <w:pStyle w:val="54"/>
        <w:spacing w:line="360" w:lineRule="auto"/>
        <w:rPr>
          <w:rFonts w:ascii="Times New Roman" w:hAnsi="Times New Roman"/>
          <w:color w:val="auto"/>
          <w:szCs w:val="21"/>
          <w:highlight w:val="none"/>
        </w:rPr>
      </w:pPr>
      <w:r>
        <w:rPr>
          <w:rFonts w:ascii="Times New Roman" w:hAnsi="宋体"/>
          <w:color w:val="auto"/>
          <w:szCs w:val="21"/>
          <w:highlight w:val="none"/>
        </w:rPr>
        <w:t>开户银行：</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开户银行：</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14:paraId="01D2E86B">
      <w:pPr>
        <w:pStyle w:val="54"/>
        <w:tabs>
          <w:tab w:val="left" w:pos="2880"/>
          <w:tab w:val="left" w:pos="3060"/>
          <w:tab w:val="left" w:pos="4500"/>
        </w:tabs>
        <w:spacing w:line="360" w:lineRule="auto"/>
        <w:rPr>
          <w:rFonts w:ascii="Times New Roman" w:hAnsi="Times New Roman"/>
          <w:color w:val="auto"/>
          <w:szCs w:val="21"/>
          <w:highlight w:val="none"/>
        </w:rPr>
      </w:pPr>
      <w:r>
        <w:rPr>
          <w:rFonts w:ascii="Times New Roman" w:hAnsi="宋体"/>
          <w:color w:val="auto"/>
          <w:szCs w:val="21"/>
          <w:highlight w:val="none"/>
        </w:rPr>
        <w:t>账</w:t>
      </w:r>
      <w:r>
        <w:rPr>
          <w:rFonts w:ascii="Times New Roman" w:hAnsi="Times New Roman"/>
          <w:color w:val="auto"/>
          <w:szCs w:val="21"/>
          <w:highlight w:val="none"/>
        </w:rPr>
        <w:t xml:space="preserve">  </w:t>
      </w:r>
      <w:r>
        <w:rPr>
          <w:rFonts w:ascii="Times New Roman" w:hAnsi="宋体"/>
          <w:color w:val="auto"/>
          <w:szCs w:val="21"/>
          <w:highlight w:val="none"/>
        </w:rPr>
        <w:t>号：</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账</w:t>
      </w:r>
      <w:r>
        <w:rPr>
          <w:rFonts w:ascii="Times New Roman" w:hAnsi="Times New Roman"/>
          <w:color w:val="auto"/>
          <w:szCs w:val="21"/>
          <w:highlight w:val="none"/>
        </w:rPr>
        <w:t xml:space="preserve">  </w:t>
      </w:r>
      <w:r>
        <w:rPr>
          <w:rFonts w:ascii="Times New Roman" w:hAnsi="宋体"/>
          <w:color w:val="auto"/>
          <w:szCs w:val="21"/>
          <w:highlight w:val="none"/>
        </w:rPr>
        <w:t>号：</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14:paraId="0724C244">
      <w:pPr>
        <w:pStyle w:val="54"/>
        <w:tabs>
          <w:tab w:val="left" w:pos="7200"/>
          <w:tab w:val="left" w:pos="7380"/>
          <w:tab w:val="left" w:pos="7560"/>
        </w:tabs>
        <w:spacing w:line="360" w:lineRule="auto"/>
        <w:rPr>
          <w:rFonts w:ascii="Times New Roman" w:hAnsi="Times New Roman"/>
          <w:color w:val="auto"/>
          <w:szCs w:val="21"/>
          <w:highlight w:val="none"/>
        </w:rPr>
      </w:pPr>
      <w:r>
        <w:rPr>
          <w:rFonts w:ascii="Times New Roman" w:hAnsi="宋体"/>
          <w:color w:val="auto"/>
          <w:szCs w:val="21"/>
          <w:highlight w:val="none"/>
        </w:rPr>
        <w:t>邮政编码：</w:t>
      </w:r>
      <w:r>
        <w:rPr>
          <w:rFonts w:ascii="Times New Roman" w:hAnsi="Times New Roman"/>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邮政编码：</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14:paraId="03BD61A4">
      <w:pPr>
        <w:pStyle w:val="54"/>
        <w:spacing w:before="120" w:beforeLines="50" w:after="120" w:afterLines="50" w:line="440" w:lineRule="exact"/>
        <w:jc w:val="center"/>
        <w:rPr>
          <w:rFonts w:ascii="黑体" w:hAnsi="宋体" w:eastAsia="黑体"/>
          <w:color w:val="auto"/>
          <w:sz w:val="32"/>
          <w:szCs w:val="32"/>
          <w:highlight w:val="none"/>
        </w:rPr>
      </w:pPr>
    </w:p>
    <w:p w14:paraId="7EB2986B">
      <w:pPr>
        <w:pStyle w:val="54"/>
        <w:spacing w:before="120" w:beforeLines="50" w:after="120" w:afterLines="50" w:line="440" w:lineRule="exact"/>
        <w:jc w:val="center"/>
        <w:rPr>
          <w:rFonts w:ascii="黑体" w:hAnsi="宋体" w:eastAsia="黑体"/>
          <w:color w:val="auto"/>
          <w:sz w:val="32"/>
          <w:szCs w:val="32"/>
          <w:highlight w:val="none"/>
        </w:rPr>
      </w:pPr>
    </w:p>
    <w:p w14:paraId="10E523E1">
      <w:pPr>
        <w:pStyle w:val="54"/>
        <w:spacing w:before="120" w:beforeLines="50" w:after="120" w:afterLines="50" w:line="440" w:lineRule="exact"/>
        <w:jc w:val="center"/>
        <w:rPr>
          <w:rFonts w:ascii="黑体" w:hAnsi="宋体" w:eastAsia="黑体"/>
          <w:color w:val="auto"/>
          <w:sz w:val="32"/>
          <w:szCs w:val="32"/>
          <w:highlight w:val="none"/>
        </w:rPr>
      </w:pPr>
    </w:p>
    <w:p w14:paraId="6A325127">
      <w:pPr>
        <w:pStyle w:val="54"/>
        <w:spacing w:before="120" w:beforeLines="50" w:after="120" w:afterLines="50" w:line="440" w:lineRule="exact"/>
        <w:jc w:val="center"/>
        <w:rPr>
          <w:rFonts w:ascii="黑体" w:hAnsi="宋体" w:eastAsia="黑体"/>
          <w:color w:val="auto"/>
          <w:sz w:val="32"/>
          <w:szCs w:val="32"/>
          <w:highlight w:val="none"/>
        </w:rPr>
      </w:pPr>
    </w:p>
    <w:p w14:paraId="6EBE6EC3">
      <w:pPr>
        <w:pStyle w:val="54"/>
        <w:spacing w:before="120" w:beforeLines="50" w:after="120" w:afterLines="50" w:line="440" w:lineRule="exact"/>
        <w:jc w:val="center"/>
        <w:rPr>
          <w:rFonts w:ascii="黑体" w:hAnsi="宋体" w:eastAsia="黑体"/>
          <w:color w:val="auto"/>
          <w:sz w:val="32"/>
          <w:szCs w:val="32"/>
          <w:highlight w:val="none"/>
        </w:rPr>
      </w:pPr>
    </w:p>
    <w:p w14:paraId="312B230F">
      <w:pPr>
        <w:pStyle w:val="54"/>
        <w:spacing w:before="120" w:beforeLines="50" w:after="120" w:afterLines="50" w:line="440" w:lineRule="exact"/>
        <w:jc w:val="center"/>
        <w:rPr>
          <w:rFonts w:ascii="黑体" w:hAnsi="宋体" w:eastAsia="黑体"/>
          <w:color w:val="auto"/>
          <w:sz w:val="32"/>
          <w:szCs w:val="32"/>
          <w:highlight w:val="none"/>
        </w:rPr>
      </w:pPr>
    </w:p>
    <w:p w14:paraId="44C27477">
      <w:pPr>
        <w:pStyle w:val="54"/>
        <w:spacing w:before="120" w:beforeLines="50" w:after="120" w:afterLines="50" w:line="440" w:lineRule="exact"/>
        <w:jc w:val="center"/>
        <w:rPr>
          <w:rFonts w:ascii="黑体" w:hAnsi="宋体" w:eastAsia="黑体"/>
          <w:color w:val="auto"/>
          <w:sz w:val="32"/>
          <w:szCs w:val="32"/>
          <w:highlight w:val="none"/>
        </w:rPr>
      </w:pPr>
    </w:p>
    <w:p w14:paraId="36740EE5">
      <w:pPr>
        <w:pStyle w:val="54"/>
        <w:spacing w:before="120" w:beforeLines="50" w:after="120" w:afterLines="50" w:line="440" w:lineRule="exact"/>
        <w:jc w:val="center"/>
        <w:rPr>
          <w:rFonts w:ascii="黑体" w:hAnsi="宋体" w:eastAsia="黑体"/>
          <w:color w:val="auto"/>
          <w:sz w:val="32"/>
          <w:szCs w:val="32"/>
          <w:highlight w:val="none"/>
        </w:rPr>
      </w:pPr>
    </w:p>
    <w:p w14:paraId="69FD2922">
      <w:pPr>
        <w:pStyle w:val="54"/>
        <w:spacing w:before="120" w:beforeLines="50" w:after="120" w:afterLines="50" w:line="440" w:lineRule="exact"/>
        <w:jc w:val="center"/>
        <w:rPr>
          <w:rFonts w:ascii="黑体" w:hAnsi="宋体" w:eastAsia="黑体"/>
          <w:color w:val="auto"/>
          <w:sz w:val="32"/>
          <w:szCs w:val="32"/>
          <w:highlight w:val="none"/>
        </w:rPr>
      </w:pPr>
    </w:p>
    <w:p w14:paraId="49B04694">
      <w:pPr>
        <w:pStyle w:val="54"/>
        <w:spacing w:before="120" w:beforeLines="50" w:after="120" w:afterLines="50" w:line="440" w:lineRule="exact"/>
        <w:jc w:val="center"/>
        <w:rPr>
          <w:rFonts w:ascii="黑体" w:hAnsi="宋体" w:eastAsia="黑体"/>
          <w:color w:val="auto"/>
          <w:sz w:val="32"/>
          <w:szCs w:val="32"/>
          <w:highlight w:val="none"/>
        </w:rPr>
      </w:pPr>
    </w:p>
    <w:p w14:paraId="7A90FE95">
      <w:pPr>
        <w:pStyle w:val="54"/>
        <w:spacing w:before="120" w:beforeLines="50" w:after="120" w:afterLines="50" w:line="440" w:lineRule="exact"/>
        <w:jc w:val="center"/>
        <w:rPr>
          <w:rFonts w:ascii="黑体" w:hAnsi="宋体" w:eastAsia="黑体"/>
          <w:color w:val="auto"/>
          <w:sz w:val="32"/>
          <w:szCs w:val="32"/>
          <w:highlight w:val="none"/>
        </w:rPr>
      </w:pPr>
    </w:p>
    <w:p w14:paraId="24199037">
      <w:pPr>
        <w:pStyle w:val="54"/>
        <w:spacing w:before="120" w:beforeLines="50" w:after="120" w:afterLines="50" w:line="440" w:lineRule="exact"/>
        <w:jc w:val="center"/>
        <w:rPr>
          <w:rFonts w:ascii="黑体" w:hAnsi="Times New Roman" w:eastAsia="黑体"/>
          <w:color w:val="auto"/>
          <w:sz w:val="32"/>
          <w:szCs w:val="32"/>
          <w:highlight w:val="none"/>
        </w:rPr>
      </w:pPr>
      <w:r>
        <w:rPr>
          <w:rFonts w:hint="eastAsia" w:ascii="黑体" w:hAnsi="宋体" w:eastAsia="黑体" w:cs="黑体"/>
          <w:color w:val="auto"/>
          <w:sz w:val="32"/>
          <w:szCs w:val="32"/>
          <w:highlight w:val="none"/>
        </w:rPr>
        <w:t>工程质量保修书（市政公用工程）</w:t>
      </w:r>
    </w:p>
    <w:p w14:paraId="3B7988F2">
      <w:pPr>
        <w:pStyle w:val="54"/>
        <w:spacing w:line="360" w:lineRule="auto"/>
        <w:ind w:firstLine="420" w:firstLineChars="200"/>
        <w:rPr>
          <w:rFonts w:ascii="宋体" w:hAnsi="Times New Roman"/>
          <w:color w:val="auto"/>
          <w:szCs w:val="21"/>
          <w:highlight w:val="none"/>
        </w:rPr>
      </w:pPr>
      <w:r>
        <w:rPr>
          <w:rFonts w:hint="eastAsia" w:ascii="宋体" w:hAnsi="宋体" w:cs="宋体"/>
          <w:color w:val="auto"/>
          <w:szCs w:val="21"/>
          <w:highlight w:val="none"/>
        </w:rPr>
        <w:t>发包人（全称）：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1ADE368D">
      <w:pPr>
        <w:pStyle w:val="54"/>
        <w:spacing w:line="360" w:lineRule="auto"/>
        <w:ind w:firstLine="420" w:firstLineChars="200"/>
        <w:rPr>
          <w:rFonts w:ascii="宋体" w:hAnsi="Times New Roman"/>
          <w:color w:val="auto"/>
          <w:szCs w:val="21"/>
          <w:highlight w:val="none"/>
        </w:rPr>
      </w:pPr>
      <w:r>
        <w:rPr>
          <w:rFonts w:hint="eastAsia" w:ascii="宋体" w:hAnsi="宋体" w:cs="宋体"/>
          <w:color w:val="auto"/>
          <w:szCs w:val="21"/>
          <w:highlight w:val="none"/>
        </w:rPr>
        <w:t>承包人（全称）：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085110F1">
      <w:pPr>
        <w:pStyle w:val="54"/>
        <w:spacing w:line="360" w:lineRule="auto"/>
        <w:rPr>
          <w:rFonts w:ascii="宋体" w:hAnsi="Times New Roman"/>
          <w:color w:val="auto"/>
          <w:szCs w:val="21"/>
          <w:highlight w:val="none"/>
        </w:rPr>
      </w:pPr>
    </w:p>
    <w:p w14:paraId="0D45DEA5">
      <w:pPr>
        <w:pStyle w:val="54"/>
        <w:spacing w:line="360" w:lineRule="auto"/>
        <w:ind w:firstLine="420"/>
        <w:rPr>
          <w:rFonts w:ascii="宋体" w:hAnsi="Times New Roman"/>
          <w:color w:val="auto"/>
          <w:szCs w:val="21"/>
          <w:highlight w:val="none"/>
        </w:rPr>
      </w:pPr>
      <w:r>
        <w:rPr>
          <w:rFonts w:hint="eastAsia" w:ascii="宋体" w:hAnsi="宋体" w:cs="宋体"/>
          <w:color w:val="auto"/>
          <w:szCs w:val="21"/>
          <w:highlight w:val="none"/>
        </w:rPr>
        <w:t>发包人和承包人根据《中华人民共和国建筑法》和《建设工程质量管理条例》，经协商一致就</w:t>
      </w:r>
      <w:r>
        <w:rPr>
          <w:rFonts w:ascii="宋体" w:hAnsi="宋体" w:cs="宋体"/>
          <w:color w:val="auto"/>
          <w:szCs w:val="21"/>
          <w:highlight w:val="none"/>
          <w:u w:val="single"/>
        </w:rPr>
        <w:t xml:space="preserve">                                     </w:t>
      </w:r>
      <w:r>
        <w:rPr>
          <w:rFonts w:hint="eastAsia" w:ascii="宋体" w:hAnsi="宋体" w:cs="宋体"/>
          <w:color w:val="auto"/>
          <w:szCs w:val="21"/>
          <w:highlight w:val="none"/>
        </w:rPr>
        <w:t>（工程全称）签订工程质量保修书。</w:t>
      </w:r>
    </w:p>
    <w:p w14:paraId="239C6C01">
      <w:pPr>
        <w:pStyle w:val="54"/>
        <w:spacing w:line="360" w:lineRule="auto"/>
        <w:ind w:firstLine="420" w:firstLineChars="200"/>
        <w:rPr>
          <w:rFonts w:ascii="黑体" w:hAnsi="宋体" w:eastAsia="黑体"/>
          <w:color w:val="auto"/>
          <w:szCs w:val="21"/>
          <w:highlight w:val="none"/>
        </w:rPr>
      </w:pPr>
      <w:r>
        <w:rPr>
          <w:rFonts w:hint="eastAsia" w:ascii="黑体" w:hAnsi="宋体" w:eastAsia="黑体" w:cs="黑体"/>
          <w:color w:val="auto"/>
          <w:szCs w:val="21"/>
          <w:highlight w:val="none"/>
        </w:rPr>
        <w:t>一、工程质量保修范围和内容</w:t>
      </w:r>
    </w:p>
    <w:p w14:paraId="360F1EF1">
      <w:pPr>
        <w:pStyle w:val="54"/>
        <w:spacing w:line="360" w:lineRule="auto"/>
        <w:ind w:firstLine="420" w:firstLineChars="200"/>
        <w:rPr>
          <w:rFonts w:ascii="宋体" w:hAnsi="Times New Roman"/>
          <w:color w:val="auto"/>
          <w:szCs w:val="21"/>
          <w:highlight w:val="none"/>
        </w:rPr>
      </w:pPr>
      <w:r>
        <w:rPr>
          <w:rFonts w:hint="eastAsia" w:ascii="宋体" w:hAnsi="宋体" w:cs="宋体"/>
          <w:color w:val="auto"/>
          <w:szCs w:val="21"/>
          <w:highlight w:val="none"/>
        </w:rPr>
        <w:t>承包人在质量保修期内，按照有关法律规定和合同约定，承担工程质量保修责任。</w:t>
      </w:r>
    </w:p>
    <w:p w14:paraId="017D0FB5">
      <w:pPr>
        <w:pStyle w:val="54"/>
        <w:spacing w:line="360" w:lineRule="auto"/>
        <w:ind w:firstLine="420" w:firstLineChars="200"/>
        <w:rPr>
          <w:rFonts w:ascii="宋体" w:hAnsi="Times New Roman"/>
          <w:color w:val="auto"/>
          <w:szCs w:val="21"/>
          <w:highlight w:val="none"/>
        </w:rPr>
      </w:pPr>
      <w:r>
        <w:rPr>
          <w:rFonts w:hint="eastAsia" w:ascii="宋体" w:hAnsi="宋体" w:cs="宋体"/>
          <w:color w:val="auto"/>
          <w:szCs w:val="21"/>
          <w:highlight w:val="none"/>
        </w:rPr>
        <w:t>质量保修范围包括</w:t>
      </w:r>
      <w:r>
        <w:rPr>
          <w:rFonts w:ascii="宋体" w:hAnsi="宋体" w:cs="宋体"/>
          <w:color w:val="auto"/>
          <w:szCs w:val="21"/>
          <w:highlight w:val="none"/>
          <w:u w:val="single"/>
        </w:rPr>
        <w:t xml:space="preserve">                                </w:t>
      </w:r>
      <w:r>
        <w:rPr>
          <w:rFonts w:hint="eastAsia" w:ascii="宋体" w:hAnsi="宋体" w:cs="宋体"/>
          <w:color w:val="auto"/>
          <w:szCs w:val="21"/>
          <w:highlight w:val="none"/>
        </w:rPr>
        <w:t>，以及双方约定的其他项目。具体保修的内容，双方约定如下：</w:t>
      </w:r>
    </w:p>
    <w:p w14:paraId="6731B70B">
      <w:pPr>
        <w:pStyle w:val="54"/>
        <w:spacing w:line="360" w:lineRule="auto"/>
        <w:ind w:firstLine="420" w:firstLineChars="200"/>
        <w:rPr>
          <w:rFonts w:ascii="宋体" w:hAnsi="Times New Roman"/>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1946231F">
      <w:pPr>
        <w:pStyle w:val="54"/>
        <w:spacing w:line="360" w:lineRule="auto"/>
        <w:ind w:firstLine="420" w:firstLineChars="200"/>
        <w:rPr>
          <w:rFonts w:ascii="黑体" w:hAnsi="宋体" w:eastAsia="黑体"/>
          <w:color w:val="auto"/>
          <w:szCs w:val="21"/>
          <w:highlight w:val="none"/>
        </w:rPr>
      </w:pPr>
      <w:r>
        <w:rPr>
          <w:rFonts w:hint="eastAsia" w:ascii="黑体" w:hAnsi="宋体" w:eastAsia="黑体" w:cs="黑体"/>
          <w:color w:val="auto"/>
          <w:szCs w:val="21"/>
          <w:highlight w:val="none"/>
        </w:rPr>
        <w:t>二、质量保修期</w:t>
      </w:r>
    </w:p>
    <w:p w14:paraId="5BFFE296">
      <w:pPr>
        <w:pStyle w:val="54"/>
        <w:spacing w:line="360" w:lineRule="auto"/>
        <w:ind w:firstLine="420" w:firstLineChars="200"/>
        <w:rPr>
          <w:rFonts w:ascii="宋体" w:hAnsi="Times New Roman"/>
          <w:color w:val="auto"/>
          <w:szCs w:val="21"/>
          <w:highlight w:val="none"/>
        </w:rPr>
      </w:pPr>
      <w:r>
        <w:rPr>
          <w:rFonts w:hint="eastAsia" w:ascii="宋体" w:hAnsi="宋体" w:cs="宋体"/>
          <w:color w:val="auto"/>
          <w:szCs w:val="21"/>
          <w:highlight w:val="none"/>
        </w:rPr>
        <w:t>根据《建设工程质量管理条例》及有关规定，工程的质量保修期如下：</w:t>
      </w:r>
    </w:p>
    <w:p w14:paraId="1CADD133">
      <w:pPr>
        <w:pStyle w:val="54"/>
        <w:spacing w:line="360" w:lineRule="auto"/>
        <w:ind w:firstLine="426"/>
        <w:rPr>
          <w:rFonts w:ascii="Times New Roman" w:hAnsi="Times New Roman"/>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w:t>
      </w:r>
      <w:r>
        <w:rPr>
          <w:rFonts w:hint="eastAsia" w:ascii="Times New Roman" w:hAnsi="Times New Roman" w:cs="宋体"/>
          <w:color w:val="auto"/>
          <w:szCs w:val="21"/>
          <w:highlight w:val="none"/>
        </w:rPr>
        <w:t>桥梁工程为</w:t>
      </w:r>
      <w:r>
        <w:rPr>
          <w:rFonts w:ascii="Times New Roman" w:hAnsi="Times New Roman"/>
          <w:color w:val="auto"/>
          <w:szCs w:val="21"/>
          <w:highlight w:val="none"/>
          <w:u w:val="single"/>
        </w:rPr>
        <w:t xml:space="preserve">     </w:t>
      </w:r>
      <w:r>
        <w:rPr>
          <w:rFonts w:hint="eastAsia" w:ascii="Times New Roman" w:hAnsi="Times New Roman" w:cs="宋体"/>
          <w:color w:val="auto"/>
          <w:szCs w:val="21"/>
          <w:highlight w:val="none"/>
        </w:rPr>
        <w:t>年（建议桥梁隧道主体结构工程为设计文件规定的合理使用年限）；</w:t>
      </w:r>
    </w:p>
    <w:p w14:paraId="25C6EDD7">
      <w:pPr>
        <w:pStyle w:val="54"/>
        <w:spacing w:line="360" w:lineRule="auto"/>
        <w:ind w:firstLine="426"/>
        <w:rPr>
          <w:rFonts w:ascii="Times New Roman" w:hAnsi="Times New Roman"/>
          <w:color w:val="auto"/>
          <w:szCs w:val="21"/>
          <w:highlight w:val="none"/>
        </w:rPr>
      </w:pPr>
      <w:r>
        <w:rPr>
          <w:rFonts w:ascii="Times New Roman" w:hAnsi="Times New Roman"/>
          <w:color w:val="auto"/>
          <w:szCs w:val="21"/>
          <w:highlight w:val="none"/>
        </w:rPr>
        <w:t>2</w:t>
      </w:r>
      <w:r>
        <w:rPr>
          <w:rFonts w:hint="eastAsia" w:ascii="宋体" w:hAnsi="宋体" w:cs="宋体"/>
          <w:color w:val="auto"/>
          <w:szCs w:val="21"/>
          <w:highlight w:val="none"/>
        </w:rPr>
        <w:t>．</w:t>
      </w:r>
      <w:r>
        <w:rPr>
          <w:rFonts w:hint="eastAsia" w:ascii="Times New Roman" w:hAnsi="Times New Roman" w:cs="宋体"/>
          <w:color w:val="auto"/>
          <w:szCs w:val="21"/>
          <w:highlight w:val="none"/>
        </w:rPr>
        <w:t>道路工程为</w:t>
      </w:r>
      <w:r>
        <w:rPr>
          <w:rFonts w:ascii="Times New Roman" w:hAnsi="Times New Roman"/>
          <w:color w:val="auto"/>
          <w:szCs w:val="21"/>
          <w:highlight w:val="none"/>
          <w:u w:val="single"/>
        </w:rPr>
        <w:t xml:space="preserve">     </w:t>
      </w:r>
      <w:r>
        <w:rPr>
          <w:rFonts w:hint="eastAsia" w:ascii="Times New Roman" w:hAnsi="Times New Roman" w:cs="宋体"/>
          <w:color w:val="auto"/>
          <w:szCs w:val="21"/>
          <w:highlight w:val="none"/>
        </w:rPr>
        <w:t>年（建议路基、路面、桥面为</w:t>
      </w:r>
      <w:r>
        <w:rPr>
          <w:rFonts w:ascii="Times New Roman" w:hAnsi="Times New Roman"/>
          <w:color w:val="auto"/>
          <w:szCs w:val="21"/>
          <w:highlight w:val="none"/>
        </w:rPr>
        <w:t>2</w:t>
      </w:r>
      <w:r>
        <w:rPr>
          <w:rFonts w:hint="eastAsia" w:ascii="Times New Roman" w:hAnsi="Times New Roman" w:cs="宋体"/>
          <w:color w:val="auto"/>
          <w:szCs w:val="21"/>
          <w:highlight w:val="none"/>
        </w:rPr>
        <w:t>年）；</w:t>
      </w:r>
    </w:p>
    <w:p w14:paraId="55925C22">
      <w:pPr>
        <w:pStyle w:val="54"/>
        <w:spacing w:line="360" w:lineRule="auto"/>
        <w:ind w:firstLine="426"/>
        <w:rPr>
          <w:rFonts w:ascii="Times New Roman" w:hAnsi="Times New Roman"/>
          <w:color w:val="auto"/>
          <w:szCs w:val="21"/>
          <w:highlight w:val="none"/>
        </w:rPr>
      </w:pPr>
      <w:r>
        <w:rPr>
          <w:rFonts w:ascii="Times New Roman" w:hAnsi="Times New Roman"/>
          <w:color w:val="auto"/>
          <w:szCs w:val="21"/>
          <w:highlight w:val="none"/>
        </w:rPr>
        <w:t>3</w:t>
      </w:r>
      <w:r>
        <w:rPr>
          <w:rFonts w:hint="eastAsia" w:ascii="宋体" w:hAnsi="宋体" w:cs="宋体"/>
          <w:color w:val="auto"/>
          <w:szCs w:val="21"/>
          <w:highlight w:val="none"/>
        </w:rPr>
        <w:t>．</w:t>
      </w:r>
      <w:r>
        <w:rPr>
          <w:rFonts w:hint="eastAsia" w:ascii="Times New Roman" w:hAnsi="Times New Roman" w:cs="宋体"/>
          <w:color w:val="auto"/>
          <w:szCs w:val="21"/>
          <w:highlight w:val="none"/>
        </w:rPr>
        <w:t>排水（雨水）工程为</w:t>
      </w:r>
      <w:r>
        <w:rPr>
          <w:rFonts w:ascii="Times New Roman" w:hAnsi="Times New Roman"/>
          <w:color w:val="auto"/>
          <w:szCs w:val="21"/>
          <w:highlight w:val="none"/>
          <w:u w:val="single"/>
        </w:rPr>
        <w:t xml:space="preserve">     </w:t>
      </w:r>
      <w:r>
        <w:rPr>
          <w:rFonts w:hint="eastAsia" w:ascii="Times New Roman" w:hAnsi="Times New Roman" w:cs="宋体"/>
          <w:color w:val="auto"/>
          <w:szCs w:val="21"/>
          <w:highlight w:val="none"/>
        </w:rPr>
        <w:t>年（建议道路工程中的排水工程为</w:t>
      </w:r>
      <w:r>
        <w:rPr>
          <w:rFonts w:ascii="Times New Roman" w:hAnsi="Times New Roman"/>
          <w:color w:val="auto"/>
          <w:szCs w:val="21"/>
          <w:highlight w:val="none"/>
        </w:rPr>
        <w:t>3</w:t>
      </w:r>
      <w:r>
        <w:rPr>
          <w:rFonts w:hint="eastAsia" w:ascii="Times New Roman" w:hAnsi="Times New Roman" w:cs="宋体"/>
          <w:color w:val="auto"/>
          <w:szCs w:val="21"/>
          <w:highlight w:val="none"/>
        </w:rPr>
        <w:t>年）；</w:t>
      </w:r>
    </w:p>
    <w:p w14:paraId="4E6FBC83">
      <w:pPr>
        <w:pStyle w:val="54"/>
        <w:spacing w:line="360" w:lineRule="auto"/>
        <w:ind w:firstLine="426"/>
        <w:rPr>
          <w:rFonts w:ascii="Times New Roman" w:hAnsi="Times New Roman"/>
          <w:color w:val="auto"/>
          <w:szCs w:val="21"/>
          <w:highlight w:val="none"/>
        </w:rPr>
      </w:pPr>
      <w:r>
        <w:rPr>
          <w:rFonts w:ascii="Times New Roman" w:hAnsi="Times New Roman"/>
          <w:color w:val="auto"/>
          <w:szCs w:val="21"/>
          <w:highlight w:val="none"/>
        </w:rPr>
        <w:t>4</w:t>
      </w:r>
      <w:r>
        <w:rPr>
          <w:rFonts w:hint="eastAsia" w:ascii="宋体" w:hAnsi="宋体" w:cs="宋体"/>
          <w:color w:val="auto"/>
          <w:szCs w:val="21"/>
          <w:highlight w:val="none"/>
        </w:rPr>
        <w:t>．</w:t>
      </w:r>
      <w:r>
        <w:rPr>
          <w:rFonts w:hint="eastAsia" w:ascii="Times New Roman" w:hAnsi="Times New Roman" w:cs="宋体"/>
          <w:color w:val="auto"/>
          <w:szCs w:val="21"/>
          <w:highlight w:val="none"/>
        </w:rPr>
        <w:t>绿化工程为</w:t>
      </w:r>
      <w:r>
        <w:rPr>
          <w:rFonts w:ascii="Times New Roman" w:hAnsi="Times New Roman"/>
          <w:color w:val="auto"/>
          <w:szCs w:val="21"/>
          <w:highlight w:val="none"/>
        </w:rPr>
        <w:t xml:space="preserve"> </w:t>
      </w:r>
      <w:r>
        <w:rPr>
          <w:rFonts w:hint="eastAsia" w:ascii="Times New Roman" w:hAnsi="Times New Roman" w:cs="宋体"/>
          <w:color w:val="auto"/>
          <w:szCs w:val="21"/>
          <w:highlight w:val="none"/>
          <w:u w:val="single"/>
        </w:rPr>
        <w:t>单位工程竣工验收合格后</w:t>
      </w:r>
      <w:r>
        <w:rPr>
          <w:rFonts w:ascii="Times New Roman" w:hAnsi="Times New Roman"/>
          <w:color w:val="auto"/>
          <w:szCs w:val="21"/>
          <w:highlight w:val="none"/>
          <w:u w:val="single"/>
        </w:rPr>
        <w:t xml:space="preserve">    </w:t>
      </w:r>
      <w:r>
        <w:rPr>
          <w:rFonts w:hint="eastAsia" w:ascii="Times New Roman" w:hAnsi="Times New Roman" w:cs="宋体"/>
          <w:color w:val="auto"/>
          <w:szCs w:val="21"/>
          <w:highlight w:val="none"/>
          <w:u w:val="single"/>
        </w:rPr>
        <w:t>年</w:t>
      </w:r>
      <w:r>
        <w:rPr>
          <w:rFonts w:hint="eastAsia" w:ascii="Times New Roman" w:hAnsi="Times New Roman" w:cs="宋体"/>
          <w:color w:val="auto"/>
          <w:szCs w:val="21"/>
          <w:highlight w:val="none"/>
        </w:rPr>
        <w:t>；</w:t>
      </w:r>
    </w:p>
    <w:p w14:paraId="18945024">
      <w:pPr>
        <w:pStyle w:val="54"/>
        <w:spacing w:line="360" w:lineRule="auto"/>
        <w:ind w:firstLine="426"/>
        <w:rPr>
          <w:rFonts w:ascii="Times New Roman" w:hAnsi="Times New Roman"/>
          <w:color w:val="auto"/>
          <w:szCs w:val="21"/>
          <w:highlight w:val="none"/>
        </w:rPr>
      </w:pPr>
      <w:r>
        <w:rPr>
          <w:rFonts w:ascii="Times New Roman" w:hAnsi="Times New Roman"/>
          <w:color w:val="auto"/>
          <w:szCs w:val="21"/>
          <w:highlight w:val="none"/>
        </w:rPr>
        <w:t xml:space="preserve">5.  </w:t>
      </w:r>
      <w:r>
        <w:rPr>
          <w:rFonts w:hint="eastAsia" w:ascii="Times New Roman" w:hAnsi="Times New Roman" w:cs="宋体"/>
          <w:color w:val="auto"/>
          <w:szCs w:val="21"/>
          <w:highlight w:val="none"/>
        </w:rPr>
        <w:t>地下防水工程为</w:t>
      </w:r>
      <w:r>
        <w:rPr>
          <w:rFonts w:ascii="Times New Roman" w:hAnsi="Times New Roman"/>
          <w:color w:val="auto"/>
          <w:szCs w:val="21"/>
          <w:highlight w:val="none"/>
          <w:u w:val="single"/>
        </w:rPr>
        <w:t xml:space="preserve">     </w:t>
      </w:r>
      <w:r>
        <w:rPr>
          <w:rFonts w:hint="eastAsia" w:ascii="Times New Roman" w:hAnsi="Times New Roman" w:cs="宋体"/>
          <w:color w:val="auto"/>
          <w:szCs w:val="21"/>
          <w:highlight w:val="none"/>
        </w:rPr>
        <w:t>年（建议为</w:t>
      </w:r>
      <w:r>
        <w:rPr>
          <w:rFonts w:ascii="Times New Roman" w:hAnsi="Times New Roman"/>
          <w:color w:val="auto"/>
          <w:szCs w:val="21"/>
          <w:highlight w:val="none"/>
        </w:rPr>
        <w:t>5</w:t>
      </w:r>
      <w:r>
        <w:rPr>
          <w:rFonts w:hint="eastAsia" w:ascii="Times New Roman" w:hAnsi="Times New Roman" w:cs="宋体"/>
          <w:color w:val="auto"/>
          <w:szCs w:val="21"/>
          <w:highlight w:val="none"/>
        </w:rPr>
        <w:t>年）；</w:t>
      </w:r>
    </w:p>
    <w:p w14:paraId="554DCAD1">
      <w:pPr>
        <w:pStyle w:val="54"/>
        <w:spacing w:line="360" w:lineRule="auto"/>
        <w:ind w:firstLine="426"/>
        <w:rPr>
          <w:rFonts w:ascii="Times New Roman" w:hAnsi="Times New Roman"/>
          <w:color w:val="auto"/>
          <w:szCs w:val="21"/>
          <w:highlight w:val="none"/>
        </w:rPr>
      </w:pPr>
      <w:r>
        <w:rPr>
          <w:rFonts w:ascii="Times New Roman" w:hAnsi="Times New Roman"/>
          <w:color w:val="auto"/>
          <w:szCs w:val="21"/>
          <w:highlight w:val="none"/>
        </w:rPr>
        <w:t>6</w:t>
      </w:r>
      <w:r>
        <w:rPr>
          <w:rFonts w:hint="eastAsia" w:ascii="宋体" w:hAnsi="宋体" w:cs="宋体"/>
          <w:color w:val="auto"/>
          <w:szCs w:val="21"/>
          <w:highlight w:val="none"/>
        </w:rPr>
        <w:t>．</w:t>
      </w:r>
      <w:r>
        <w:rPr>
          <w:rFonts w:hint="eastAsia" w:ascii="Times New Roman" w:hAnsi="Times New Roman" w:cs="宋体"/>
          <w:color w:val="auto"/>
          <w:szCs w:val="21"/>
          <w:highlight w:val="none"/>
        </w:rPr>
        <w:t>其他附属工程为</w:t>
      </w:r>
      <w:r>
        <w:rPr>
          <w:rFonts w:ascii="Times New Roman" w:hAnsi="Times New Roman"/>
          <w:color w:val="auto"/>
          <w:szCs w:val="21"/>
          <w:highlight w:val="none"/>
          <w:u w:val="single"/>
        </w:rPr>
        <w:t xml:space="preserve">      </w:t>
      </w:r>
      <w:r>
        <w:rPr>
          <w:rFonts w:hint="eastAsia" w:ascii="Times New Roman" w:hAnsi="Times New Roman" w:cs="宋体"/>
          <w:color w:val="auto"/>
          <w:szCs w:val="21"/>
          <w:highlight w:val="none"/>
        </w:rPr>
        <w:t>年；</w:t>
      </w:r>
    </w:p>
    <w:p w14:paraId="1287D25B">
      <w:pPr>
        <w:pStyle w:val="54"/>
        <w:spacing w:line="360" w:lineRule="auto"/>
        <w:ind w:firstLine="420" w:firstLineChars="200"/>
        <w:rPr>
          <w:rFonts w:ascii="宋体" w:hAnsi="Times New Roman"/>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．其他项目保修期限约定如下：</w:t>
      </w:r>
    </w:p>
    <w:p w14:paraId="38A1770B">
      <w:pPr>
        <w:pStyle w:val="54"/>
        <w:spacing w:line="360" w:lineRule="auto"/>
        <w:ind w:firstLine="420" w:firstLineChars="200"/>
        <w:rPr>
          <w:rFonts w:ascii="宋体" w:hAnsi="Times New Roman"/>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不少于</w:t>
      </w:r>
      <w:r>
        <w:rPr>
          <w:rFonts w:hint="eastAsia" w:ascii="宋体" w:hAnsi="宋体" w:cs="宋体"/>
          <w:color w:val="auto"/>
          <w:szCs w:val="21"/>
          <w:highlight w:val="none"/>
          <w:u w:val="single"/>
          <w:lang w:val="en-US" w:eastAsia="zh-CN"/>
        </w:rPr>
        <w:t>1年</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77FBA0C3">
      <w:pPr>
        <w:pStyle w:val="54"/>
        <w:spacing w:line="360" w:lineRule="auto"/>
        <w:ind w:firstLine="420" w:firstLineChars="200"/>
        <w:rPr>
          <w:rFonts w:ascii="宋体" w:hAnsi="Times New Roman"/>
          <w:color w:val="auto"/>
          <w:szCs w:val="21"/>
          <w:highlight w:val="none"/>
        </w:rPr>
      </w:pPr>
      <w:r>
        <w:rPr>
          <w:rFonts w:hint="eastAsia" w:ascii="宋体" w:hAnsi="宋体" w:cs="宋体"/>
          <w:color w:val="auto"/>
          <w:szCs w:val="21"/>
          <w:highlight w:val="none"/>
        </w:rPr>
        <w:t>质量保修期自工程竣工验收合格之日起计算。</w:t>
      </w:r>
    </w:p>
    <w:p w14:paraId="2C05CCB7">
      <w:pPr>
        <w:pStyle w:val="54"/>
        <w:spacing w:line="360" w:lineRule="auto"/>
        <w:ind w:firstLine="420" w:firstLineChars="200"/>
        <w:rPr>
          <w:rFonts w:ascii="黑体" w:hAnsi="宋体" w:eastAsia="黑体"/>
          <w:color w:val="auto"/>
          <w:szCs w:val="21"/>
          <w:highlight w:val="none"/>
        </w:rPr>
      </w:pPr>
      <w:r>
        <w:rPr>
          <w:rFonts w:hint="eastAsia" w:ascii="黑体" w:hAnsi="宋体" w:eastAsia="黑体" w:cs="黑体"/>
          <w:color w:val="auto"/>
          <w:szCs w:val="21"/>
          <w:highlight w:val="none"/>
        </w:rPr>
        <w:t>三、缺陷责任期</w:t>
      </w:r>
    </w:p>
    <w:p w14:paraId="12CA44D2">
      <w:pPr>
        <w:pStyle w:val="54"/>
        <w:spacing w:line="360" w:lineRule="auto"/>
        <w:ind w:firstLine="420" w:firstLineChars="200"/>
        <w:rPr>
          <w:rFonts w:ascii="宋体" w:hAnsi="Times New Roman"/>
          <w:color w:val="auto"/>
          <w:szCs w:val="21"/>
          <w:highlight w:val="none"/>
        </w:rPr>
      </w:pPr>
      <w:r>
        <w:rPr>
          <w:rFonts w:hint="eastAsia" w:ascii="宋体" w:hAnsi="宋体" w:cs="宋体"/>
          <w:color w:val="auto"/>
          <w:szCs w:val="21"/>
          <w:highlight w:val="none"/>
        </w:rPr>
        <w:t>工程缺陷责任期为</w:t>
      </w:r>
      <w:r>
        <w:rPr>
          <w:rFonts w:ascii="宋体" w:hAnsi="宋体" w:cs="宋体"/>
          <w:color w:val="auto"/>
          <w:szCs w:val="21"/>
          <w:highlight w:val="none"/>
          <w:u w:val="single"/>
        </w:rPr>
        <w:t xml:space="preserve">         </w:t>
      </w:r>
      <w:r>
        <w:rPr>
          <w:rFonts w:hint="eastAsia" w:ascii="宋体" w:hAnsi="宋体" w:cs="宋体"/>
          <w:color w:val="auto"/>
          <w:szCs w:val="21"/>
          <w:highlight w:val="none"/>
        </w:rPr>
        <w:t>个月</w:t>
      </w:r>
      <w:r>
        <w:rPr>
          <w:rFonts w:hint="eastAsia" w:ascii="Times New Roman" w:hAnsi="宋体" w:cs="宋体"/>
          <w:color w:val="auto"/>
          <w:szCs w:val="21"/>
          <w:highlight w:val="none"/>
        </w:rPr>
        <w:t>（最长不超过</w:t>
      </w:r>
      <w:r>
        <w:rPr>
          <w:rFonts w:ascii="Times New Roman" w:hAnsi="宋体"/>
          <w:color w:val="auto"/>
          <w:szCs w:val="21"/>
          <w:highlight w:val="none"/>
        </w:rPr>
        <w:t>24</w:t>
      </w:r>
      <w:r>
        <w:rPr>
          <w:rFonts w:hint="eastAsia" w:ascii="Times New Roman" w:hAnsi="宋体" w:cs="宋体"/>
          <w:color w:val="auto"/>
          <w:szCs w:val="21"/>
          <w:highlight w:val="none"/>
        </w:rPr>
        <w:t>个月）</w:t>
      </w:r>
      <w:r>
        <w:rPr>
          <w:rFonts w:hint="eastAsia" w:ascii="宋体" w:hAnsi="宋体" w:cs="宋体"/>
          <w:color w:val="auto"/>
          <w:szCs w:val="21"/>
          <w:highlight w:val="none"/>
        </w:rPr>
        <w:t>，缺陷责任期自工程竣工验收合格之日起计算。单位工程先于全部工程进行验收，单位工程缺陷责任期自单位工程验收合格之日起算。</w:t>
      </w:r>
    </w:p>
    <w:p w14:paraId="5E1596D8">
      <w:pPr>
        <w:pStyle w:val="54"/>
        <w:spacing w:line="360" w:lineRule="auto"/>
        <w:ind w:firstLine="420" w:firstLineChars="200"/>
        <w:rPr>
          <w:rFonts w:ascii="宋体" w:hAnsi="Times New Roman"/>
          <w:color w:val="auto"/>
          <w:szCs w:val="21"/>
          <w:highlight w:val="none"/>
        </w:rPr>
      </w:pPr>
      <w:r>
        <w:rPr>
          <w:rFonts w:hint="eastAsia" w:ascii="宋体" w:hAnsi="宋体" w:cs="宋体"/>
          <w:color w:val="auto"/>
          <w:szCs w:val="21"/>
          <w:highlight w:val="none"/>
        </w:rPr>
        <w:t>缺陷责任期</w:t>
      </w:r>
      <w:r>
        <w:rPr>
          <w:rFonts w:hint="eastAsia" w:ascii="Times New Roman" w:hAnsi="宋体" w:cs="宋体"/>
          <w:color w:val="auto"/>
          <w:szCs w:val="21"/>
          <w:highlight w:val="none"/>
          <w:u w:val="single"/>
        </w:rPr>
        <w:t>满</w:t>
      </w:r>
      <w:r>
        <w:rPr>
          <w:rFonts w:hint="eastAsia" w:ascii="仿宋_GB2312" w:hAnsi="宋体"/>
          <w:color w:val="auto"/>
          <w:szCs w:val="21"/>
          <w:highlight w:val="none"/>
        </w:rPr>
        <w:t>之日起</w:t>
      </w:r>
      <w:r>
        <w:rPr>
          <w:rFonts w:hint="eastAsia" w:ascii="仿宋_GB2312" w:hAnsi="宋体"/>
          <w:color w:val="auto"/>
          <w:szCs w:val="21"/>
          <w:highlight w:val="none"/>
          <w:u w:val="single"/>
        </w:rPr>
        <w:t xml:space="preserve"> </w:t>
      </w:r>
      <w:r>
        <w:rPr>
          <w:rFonts w:ascii="仿宋_GB2312" w:hAnsi="宋体"/>
          <w:color w:val="auto"/>
          <w:szCs w:val="21"/>
          <w:highlight w:val="none"/>
          <w:u w:val="single"/>
        </w:rPr>
        <w:t xml:space="preserve">  </w:t>
      </w:r>
      <w:r>
        <w:rPr>
          <w:rFonts w:hint="eastAsia" w:ascii="仿宋_GB2312" w:hAnsi="宋体"/>
          <w:color w:val="auto"/>
          <w:szCs w:val="21"/>
          <w:highlight w:val="none"/>
          <w:u w:val="single"/>
        </w:rPr>
        <w:t xml:space="preserve"> </w:t>
      </w:r>
      <w:r>
        <w:rPr>
          <w:rFonts w:hint="eastAsia" w:ascii="仿宋_GB2312" w:hAnsi="宋体"/>
          <w:color w:val="auto"/>
          <w:szCs w:val="21"/>
          <w:highlight w:val="none"/>
        </w:rPr>
        <w:t>天</w:t>
      </w:r>
      <w:r>
        <w:rPr>
          <w:rFonts w:hint="eastAsia" w:ascii="Times New Roman" w:hAnsi="宋体" w:cs="宋体"/>
          <w:color w:val="auto"/>
          <w:szCs w:val="21"/>
          <w:highlight w:val="none"/>
          <w:u w:val="single"/>
        </w:rPr>
        <w:t>（按</w:t>
      </w:r>
      <w:r>
        <w:rPr>
          <w:rFonts w:ascii="Times New Roman" w:hAnsi="宋体" w:cs="宋体"/>
          <w:color w:val="auto"/>
          <w:szCs w:val="21"/>
          <w:highlight w:val="none"/>
          <w:u w:val="single"/>
        </w:rPr>
        <w:t>合同约定期限）</w:t>
      </w:r>
      <w:r>
        <w:rPr>
          <w:rFonts w:hint="eastAsia" w:ascii="Times New Roman" w:hAnsi="宋体" w:cs="宋体"/>
          <w:color w:val="auto"/>
          <w:szCs w:val="21"/>
          <w:highlight w:val="none"/>
          <w:u w:val="single"/>
        </w:rPr>
        <w:t>，</w:t>
      </w:r>
      <w:r>
        <w:rPr>
          <w:rFonts w:hint="eastAsia" w:ascii="宋体" w:hAnsi="宋体" w:cs="宋体"/>
          <w:color w:val="auto"/>
          <w:szCs w:val="21"/>
          <w:highlight w:val="none"/>
        </w:rPr>
        <w:t>发包人应退还剩余的质量保证金。</w:t>
      </w:r>
    </w:p>
    <w:p w14:paraId="7B7111E3">
      <w:pPr>
        <w:pStyle w:val="54"/>
        <w:spacing w:line="360" w:lineRule="auto"/>
        <w:ind w:firstLine="420" w:firstLineChars="200"/>
        <w:rPr>
          <w:rFonts w:ascii="黑体" w:hAnsi="宋体" w:eastAsia="黑体"/>
          <w:color w:val="auto"/>
          <w:szCs w:val="21"/>
          <w:highlight w:val="none"/>
        </w:rPr>
      </w:pPr>
      <w:r>
        <w:rPr>
          <w:rFonts w:hint="eastAsia" w:ascii="黑体" w:hAnsi="宋体" w:eastAsia="黑体" w:cs="黑体"/>
          <w:color w:val="auto"/>
          <w:szCs w:val="21"/>
          <w:highlight w:val="none"/>
        </w:rPr>
        <w:t>四、质量保修责任</w:t>
      </w:r>
    </w:p>
    <w:p w14:paraId="0FE559A9">
      <w:pPr>
        <w:pStyle w:val="54"/>
        <w:spacing w:line="360" w:lineRule="auto"/>
        <w:ind w:firstLine="420" w:firstLineChars="200"/>
        <w:rPr>
          <w:rFonts w:ascii="宋体" w:hAnsi="Times New Roman"/>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．属于保修范围、内容的项目，承包人应当在接到保修通知之日起</w:t>
      </w:r>
      <w:r>
        <w:rPr>
          <w:rFonts w:ascii="宋体" w:hAnsi="宋体" w:cs="宋体"/>
          <w:color w:val="auto"/>
          <w:szCs w:val="21"/>
          <w:highlight w:val="none"/>
          <w:u w:val="single"/>
        </w:rPr>
        <w:t xml:space="preserve">      </w:t>
      </w:r>
      <w:r>
        <w:rPr>
          <w:rFonts w:hint="eastAsia" w:ascii="宋体" w:hAnsi="宋体" w:cs="宋体"/>
          <w:color w:val="auto"/>
          <w:szCs w:val="21"/>
          <w:highlight w:val="none"/>
        </w:rPr>
        <w:t>天内派人保修。承包人不在约定期限内派人保修的，发包人可以委托他人修理</w:t>
      </w:r>
      <w:r>
        <w:rPr>
          <w:rFonts w:hint="eastAsia" w:ascii="Times New Roman" w:hAnsi="宋体" w:cs="宋体"/>
          <w:color w:val="auto"/>
          <w:szCs w:val="21"/>
          <w:highlight w:val="none"/>
        </w:rPr>
        <w:t>，修理费用从质量保证金内扣除。</w:t>
      </w:r>
    </w:p>
    <w:p w14:paraId="505FC66C">
      <w:pPr>
        <w:pStyle w:val="54"/>
        <w:spacing w:line="360" w:lineRule="auto"/>
        <w:ind w:firstLine="420" w:firstLineChars="200"/>
        <w:rPr>
          <w:rFonts w:ascii="宋体" w:hAnsi="Times New Roman"/>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．发生紧急事故需抢修的，承包人在接到事故通知后，应当立即到达事故现场抢修。</w:t>
      </w:r>
    </w:p>
    <w:p w14:paraId="179EE9DB">
      <w:pPr>
        <w:pStyle w:val="54"/>
        <w:spacing w:line="360" w:lineRule="auto"/>
        <w:ind w:firstLine="420" w:firstLineChars="200"/>
        <w:rPr>
          <w:rFonts w:ascii="宋体" w:hAnsi="Times New Roman"/>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80E560B">
      <w:pPr>
        <w:pStyle w:val="54"/>
        <w:spacing w:line="360" w:lineRule="auto"/>
        <w:ind w:firstLine="420" w:firstLineChars="200"/>
        <w:rPr>
          <w:rFonts w:ascii="宋体" w:hAnsi="Times New Roman"/>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．质量保修完成后，由发包人组织验收。</w:t>
      </w:r>
    </w:p>
    <w:p w14:paraId="357A3308">
      <w:pPr>
        <w:pStyle w:val="54"/>
        <w:spacing w:line="360" w:lineRule="auto"/>
        <w:ind w:firstLine="420" w:firstLineChars="200"/>
        <w:rPr>
          <w:rFonts w:ascii="黑体" w:hAnsi="宋体" w:eastAsia="黑体"/>
          <w:color w:val="auto"/>
          <w:szCs w:val="21"/>
          <w:highlight w:val="none"/>
        </w:rPr>
      </w:pPr>
      <w:r>
        <w:rPr>
          <w:rFonts w:hint="eastAsia" w:ascii="黑体" w:hAnsi="宋体" w:eastAsia="黑体" w:cs="黑体"/>
          <w:color w:val="auto"/>
          <w:szCs w:val="21"/>
          <w:highlight w:val="none"/>
        </w:rPr>
        <w:t>五、保修费用</w:t>
      </w:r>
    </w:p>
    <w:p w14:paraId="24321DDC">
      <w:pPr>
        <w:pStyle w:val="54"/>
        <w:spacing w:line="360" w:lineRule="auto"/>
        <w:ind w:firstLine="420" w:firstLineChars="200"/>
        <w:rPr>
          <w:rFonts w:ascii="宋体" w:hAnsi="Times New Roman"/>
          <w:color w:val="auto"/>
          <w:szCs w:val="21"/>
          <w:highlight w:val="none"/>
        </w:rPr>
      </w:pPr>
      <w:r>
        <w:rPr>
          <w:rFonts w:hint="eastAsia" w:ascii="宋体" w:hAnsi="宋体" w:cs="宋体"/>
          <w:color w:val="auto"/>
          <w:szCs w:val="21"/>
          <w:highlight w:val="none"/>
        </w:rPr>
        <w:t>保修费用由造成质量缺陷的责任方承担。</w:t>
      </w:r>
    </w:p>
    <w:p w14:paraId="17491E15">
      <w:pPr>
        <w:pStyle w:val="54"/>
        <w:spacing w:line="360" w:lineRule="auto"/>
        <w:ind w:firstLine="420" w:firstLineChars="200"/>
        <w:rPr>
          <w:rFonts w:ascii="黑体" w:hAnsi="宋体" w:eastAsia="黑体" w:cs="黑体"/>
          <w:color w:val="auto"/>
          <w:szCs w:val="21"/>
          <w:highlight w:val="none"/>
          <w:u w:val="single"/>
        </w:rPr>
      </w:pPr>
      <w:r>
        <w:rPr>
          <w:rFonts w:hint="eastAsia" w:ascii="黑体" w:hAnsi="宋体" w:eastAsia="黑体" w:cs="黑体"/>
          <w:color w:val="auto"/>
          <w:szCs w:val="21"/>
          <w:highlight w:val="none"/>
        </w:rPr>
        <w:t>六、双方约定的其他工程质量保修事项：</w:t>
      </w:r>
      <w:r>
        <w:rPr>
          <w:rFonts w:ascii="黑体" w:hAnsi="宋体" w:eastAsia="黑体" w:cs="黑体"/>
          <w:color w:val="auto"/>
          <w:szCs w:val="21"/>
          <w:highlight w:val="none"/>
          <w:u w:val="single"/>
        </w:rPr>
        <w:t xml:space="preserve">                                          </w:t>
      </w:r>
    </w:p>
    <w:p w14:paraId="1C42E12A">
      <w:pPr>
        <w:pStyle w:val="54"/>
        <w:spacing w:line="360" w:lineRule="auto"/>
        <w:jc w:val="left"/>
        <w:rPr>
          <w:rFonts w:ascii="宋体" w:hAnsi="Times New Roman"/>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11B38C09">
      <w:pPr>
        <w:pStyle w:val="54"/>
        <w:spacing w:line="360" w:lineRule="auto"/>
        <w:ind w:firstLine="399" w:firstLineChars="190"/>
        <w:rPr>
          <w:rFonts w:ascii="宋体" w:hAnsi="Times New Roman"/>
          <w:color w:val="auto"/>
          <w:szCs w:val="21"/>
          <w:highlight w:val="none"/>
        </w:rPr>
      </w:pPr>
      <w:r>
        <w:rPr>
          <w:rFonts w:hint="eastAsia" w:ascii="宋体" w:hAnsi="宋体" w:cs="宋体"/>
          <w:color w:val="auto"/>
          <w:szCs w:val="21"/>
          <w:highlight w:val="none"/>
        </w:rPr>
        <w:t>工程质量保修书由发包人、承包人在工程竣工验收前共同签署，作为施工合同附件，其有效期限至保修期满。</w:t>
      </w:r>
    </w:p>
    <w:p w14:paraId="54C248C7">
      <w:pPr>
        <w:pStyle w:val="54"/>
        <w:spacing w:line="360" w:lineRule="auto"/>
        <w:ind w:firstLine="420"/>
        <w:rPr>
          <w:rFonts w:ascii="宋体" w:hAnsi="Times New Roman"/>
          <w:color w:val="auto"/>
          <w:szCs w:val="21"/>
          <w:highlight w:val="none"/>
        </w:rPr>
      </w:pPr>
    </w:p>
    <w:p w14:paraId="3F70F00E">
      <w:pPr>
        <w:pStyle w:val="54"/>
        <w:spacing w:line="360" w:lineRule="auto"/>
        <w:ind w:firstLine="420"/>
        <w:rPr>
          <w:rFonts w:ascii="宋体" w:hAnsi="Times New Roman"/>
          <w:color w:val="auto"/>
          <w:szCs w:val="21"/>
          <w:highlight w:val="none"/>
        </w:rPr>
      </w:pPr>
    </w:p>
    <w:p w14:paraId="4F0D5219">
      <w:pPr>
        <w:pStyle w:val="54"/>
        <w:spacing w:line="360" w:lineRule="auto"/>
        <w:rPr>
          <w:rFonts w:ascii="Times New Roman" w:hAnsi="Times New Roman"/>
          <w:color w:val="auto"/>
          <w:szCs w:val="21"/>
          <w:highlight w:val="none"/>
        </w:rPr>
      </w:pPr>
      <w:r>
        <w:rPr>
          <w:rFonts w:ascii="Times New Roman" w:hAnsi="宋体"/>
          <w:color w:val="auto"/>
          <w:szCs w:val="21"/>
          <w:highlight w:val="none"/>
        </w:rPr>
        <w:t>发包人</w:t>
      </w:r>
      <w:r>
        <w:rPr>
          <w:rFonts w:hint="eastAsia" w:ascii="Times New Roman" w:hAnsi="Times New Roman"/>
          <w:color w:val="auto"/>
          <w:szCs w:val="21"/>
          <w:highlight w:val="none"/>
        </w:rPr>
        <w:t>（</w:t>
      </w:r>
      <w:r>
        <w:rPr>
          <w:rFonts w:ascii="Times New Roman" w:hAnsi="宋体"/>
          <w:color w:val="auto"/>
          <w:szCs w:val="21"/>
          <w:highlight w:val="none"/>
        </w:rPr>
        <w:t>公章</w:t>
      </w:r>
      <w:r>
        <w:rPr>
          <w:rFonts w:hint="eastAsia" w:ascii="Times New Roman" w:hAnsi="Times New Roman"/>
          <w:color w:val="auto"/>
          <w:szCs w:val="21"/>
          <w:highlight w:val="none"/>
        </w:rPr>
        <w:t>）</w:t>
      </w:r>
      <w:r>
        <w:rPr>
          <w:rFonts w:ascii="Times New Roman" w:hAnsi="宋体"/>
          <w:color w:val="auto"/>
          <w:szCs w:val="21"/>
          <w:highlight w:val="none"/>
        </w:rPr>
        <w:t>：</w:t>
      </w:r>
      <w:r>
        <w:rPr>
          <w:rFonts w:ascii="Times New Roman" w:hAnsi="Times New Roman"/>
          <w:color w:val="auto"/>
          <w:szCs w:val="21"/>
          <w:highlight w:val="none"/>
          <w:u w:val="single"/>
        </w:rPr>
        <w:t xml:space="preserve"> </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承包人</w:t>
      </w:r>
      <w:r>
        <w:rPr>
          <w:rFonts w:hint="eastAsia" w:ascii="Times New Roman" w:hAnsi="Times New Roman"/>
          <w:color w:val="auto"/>
          <w:szCs w:val="21"/>
          <w:highlight w:val="none"/>
        </w:rPr>
        <w:t>（</w:t>
      </w:r>
      <w:r>
        <w:rPr>
          <w:rFonts w:ascii="Times New Roman" w:hAnsi="宋体"/>
          <w:color w:val="auto"/>
          <w:szCs w:val="21"/>
          <w:highlight w:val="none"/>
        </w:rPr>
        <w:t>公章</w:t>
      </w:r>
      <w:r>
        <w:rPr>
          <w:rFonts w:hint="eastAsia" w:ascii="Times New Roman" w:hAnsi="Times New Roman"/>
          <w:color w:val="auto"/>
          <w:szCs w:val="21"/>
          <w:highlight w:val="none"/>
        </w:rPr>
        <w:t>）</w:t>
      </w:r>
      <w:r>
        <w:rPr>
          <w:rFonts w:ascii="Times New Roman" w:hAnsi="宋体"/>
          <w:color w:val="auto"/>
          <w:szCs w:val="21"/>
          <w:highlight w:val="none"/>
        </w:rPr>
        <w:t>：</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ascii="宋体" w:hAnsi="宋体"/>
          <w:color w:val="auto"/>
          <w:szCs w:val="21"/>
          <w:highlight w:val="none"/>
          <w:u w:val="single"/>
        </w:rPr>
        <w:t></w:t>
      </w:r>
    </w:p>
    <w:p w14:paraId="15015988">
      <w:pPr>
        <w:pStyle w:val="54"/>
        <w:spacing w:line="360" w:lineRule="auto"/>
        <w:rPr>
          <w:rFonts w:ascii="Times New Roman" w:hAnsi="Times New Roman"/>
          <w:color w:val="auto"/>
          <w:szCs w:val="21"/>
          <w:highlight w:val="none"/>
        </w:rPr>
      </w:pPr>
      <w:r>
        <w:rPr>
          <w:rFonts w:ascii="Times New Roman" w:hAnsi="宋体"/>
          <w:color w:val="auto"/>
          <w:szCs w:val="21"/>
          <w:highlight w:val="none"/>
        </w:rPr>
        <w:t>地</w:t>
      </w:r>
      <w:r>
        <w:rPr>
          <w:rFonts w:ascii="Times New Roman" w:hAnsi="Times New Roman"/>
          <w:color w:val="auto"/>
          <w:szCs w:val="21"/>
          <w:highlight w:val="none"/>
        </w:rPr>
        <w:t xml:space="preserve">  </w:t>
      </w:r>
      <w:r>
        <w:rPr>
          <w:rFonts w:ascii="Times New Roman" w:hAnsi="宋体"/>
          <w:color w:val="auto"/>
          <w:szCs w:val="21"/>
          <w:highlight w:val="none"/>
        </w:rPr>
        <w:t>址：</w:t>
      </w:r>
      <w:r>
        <w:rPr>
          <w:rFonts w:ascii="Times New Roman" w:hAnsi="Times New Roman"/>
          <w:color w:val="auto"/>
          <w:szCs w:val="21"/>
          <w:highlight w:val="none"/>
          <w:u w:val="single"/>
        </w:rPr>
        <w:t xml:space="preserve"> </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地</w:t>
      </w:r>
      <w:r>
        <w:rPr>
          <w:rFonts w:ascii="Times New Roman" w:hAnsi="Times New Roman"/>
          <w:color w:val="auto"/>
          <w:szCs w:val="21"/>
          <w:highlight w:val="none"/>
        </w:rPr>
        <w:t xml:space="preserve">  </w:t>
      </w:r>
      <w:r>
        <w:rPr>
          <w:rFonts w:ascii="Times New Roman" w:hAnsi="宋体"/>
          <w:color w:val="auto"/>
          <w:szCs w:val="21"/>
          <w:highlight w:val="none"/>
        </w:rPr>
        <w:t>址：</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宋体" w:hAnsi="宋体"/>
          <w:color w:val="auto"/>
          <w:szCs w:val="21"/>
          <w:highlight w:val="none"/>
          <w:u w:val="single"/>
        </w:rPr>
        <w:t></w:t>
      </w:r>
    </w:p>
    <w:p w14:paraId="099B588A">
      <w:pPr>
        <w:pStyle w:val="54"/>
        <w:spacing w:line="360" w:lineRule="auto"/>
        <w:rPr>
          <w:rFonts w:ascii="Times New Roman" w:hAnsi="Times New Roman"/>
          <w:color w:val="auto"/>
          <w:szCs w:val="21"/>
          <w:highlight w:val="none"/>
        </w:rPr>
      </w:pPr>
      <w:r>
        <w:rPr>
          <w:rFonts w:ascii="Times New Roman" w:hAnsi="宋体"/>
          <w:color w:val="auto"/>
          <w:szCs w:val="21"/>
          <w:highlight w:val="none"/>
        </w:rPr>
        <w:t>法定代表人</w:t>
      </w:r>
      <w:r>
        <w:rPr>
          <w:rFonts w:hint="eastAsia" w:ascii="Times New Roman" w:hAnsi="Times New Roman"/>
          <w:color w:val="auto"/>
          <w:szCs w:val="21"/>
          <w:highlight w:val="none"/>
        </w:rPr>
        <w:t>（</w:t>
      </w:r>
      <w:r>
        <w:rPr>
          <w:rFonts w:ascii="Times New Roman" w:hAnsi="宋体"/>
          <w:color w:val="auto"/>
          <w:szCs w:val="21"/>
          <w:highlight w:val="none"/>
        </w:rPr>
        <w:t>签字</w:t>
      </w:r>
      <w:r>
        <w:rPr>
          <w:rFonts w:hint="eastAsia" w:ascii="Times New Roman" w:hAnsi="Times New Roman"/>
          <w:color w:val="auto"/>
          <w:szCs w:val="21"/>
          <w:highlight w:val="none"/>
        </w:rPr>
        <w:t>）</w:t>
      </w:r>
      <w:r>
        <w:rPr>
          <w:rFonts w:ascii="Times New Roman" w:hAnsi="宋体"/>
          <w:color w:val="auto"/>
          <w:szCs w:val="21"/>
          <w:highlight w:val="none"/>
        </w:rPr>
        <w:t>：</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法定代表人</w:t>
      </w:r>
      <w:r>
        <w:rPr>
          <w:rFonts w:hint="eastAsia" w:ascii="Times New Roman" w:hAnsi="Times New Roman"/>
          <w:color w:val="auto"/>
          <w:szCs w:val="21"/>
          <w:highlight w:val="none"/>
        </w:rPr>
        <w:t>（</w:t>
      </w:r>
      <w:r>
        <w:rPr>
          <w:rFonts w:ascii="Times New Roman" w:hAnsi="宋体"/>
          <w:color w:val="auto"/>
          <w:szCs w:val="21"/>
          <w:highlight w:val="none"/>
        </w:rPr>
        <w:t>签字</w:t>
      </w:r>
      <w:r>
        <w:rPr>
          <w:rFonts w:hint="eastAsia" w:ascii="Times New Roman" w:hAnsi="Times New Roman"/>
          <w:color w:val="auto"/>
          <w:szCs w:val="21"/>
          <w:highlight w:val="none"/>
        </w:rPr>
        <w:t>）</w:t>
      </w:r>
      <w:r>
        <w:rPr>
          <w:rFonts w:ascii="Times New Roman" w:hAnsi="宋体"/>
          <w:color w:val="auto"/>
          <w:szCs w:val="21"/>
          <w:highlight w:val="none"/>
        </w:rPr>
        <w:t>：</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14:paraId="6EBFA327">
      <w:pPr>
        <w:pStyle w:val="54"/>
        <w:spacing w:line="360" w:lineRule="auto"/>
        <w:rPr>
          <w:rFonts w:ascii="Times New Roman" w:hAnsi="Times New Roman"/>
          <w:color w:val="auto"/>
          <w:szCs w:val="21"/>
          <w:highlight w:val="none"/>
        </w:rPr>
      </w:pPr>
      <w:r>
        <w:rPr>
          <w:rFonts w:ascii="Times New Roman" w:hAnsi="宋体"/>
          <w:color w:val="auto"/>
          <w:szCs w:val="21"/>
          <w:highlight w:val="none"/>
        </w:rPr>
        <w:t>委托代理人</w:t>
      </w:r>
      <w:r>
        <w:rPr>
          <w:rFonts w:hint="eastAsia" w:ascii="Times New Roman" w:hAnsi="Times New Roman"/>
          <w:color w:val="auto"/>
          <w:szCs w:val="21"/>
          <w:highlight w:val="none"/>
        </w:rPr>
        <w:t>（</w:t>
      </w:r>
      <w:r>
        <w:rPr>
          <w:rFonts w:ascii="Times New Roman" w:hAnsi="宋体"/>
          <w:color w:val="auto"/>
          <w:szCs w:val="21"/>
          <w:highlight w:val="none"/>
        </w:rPr>
        <w:t>签字</w:t>
      </w:r>
      <w:r>
        <w:rPr>
          <w:rFonts w:hint="eastAsia" w:ascii="Times New Roman" w:hAnsi="Times New Roman"/>
          <w:color w:val="auto"/>
          <w:szCs w:val="21"/>
          <w:highlight w:val="none"/>
        </w:rPr>
        <w:t>）</w:t>
      </w:r>
      <w:r>
        <w:rPr>
          <w:rFonts w:ascii="Times New Roman" w:hAnsi="宋体"/>
          <w:color w:val="auto"/>
          <w:szCs w:val="21"/>
          <w:highlight w:val="none"/>
        </w:rPr>
        <w:t>：</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委托代理人</w:t>
      </w:r>
      <w:r>
        <w:rPr>
          <w:rFonts w:hint="eastAsia" w:ascii="Times New Roman" w:hAnsi="Times New Roman"/>
          <w:color w:val="auto"/>
          <w:szCs w:val="21"/>
          <w:highlight w:val="none"/>
        </w:rPr>
        <w:t>（</w:t>
      </w:r>
      <w:r>
        <w:rPr>
          <w:rFonts w:ascii="Times New Roman" w:hAnsi="宋体"/>
          <w:color w:val="auto"/>
          <w:szCs w:val="21"/>
          <w:highlight w:val="none"/>
        </w:rPr>
        <w:t>签字</w:t>
      </w:r>
      <w:r>
        <w:rPr>
          <w:rFonts w:hint="eastAsia" w:ascii="Times New Roman" w:hAnsi="Times New Roman"/>
          <w:color w:val="auto"/>
          <w:szCs w:val="21"/>
          <w:highlight w:val="none"/>
        </w:rPr>
        <w:t>）</w:t>
      </w:r>
      <w:r>
        <w:rPr>
          <w:rFonts w:ascii="Times New Roman" w:hAnsi="宋体"/>
          <w:color w:val="auto"/>
          <w:szCs w:val="21"/>
          <w:highlight w:val="none"/>
        </w:rPr>
        <w:t>：</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14:paraId="2668FC50">
      <w:pPr>
        <w:pStyle w:val="54"/>
        <w:spacing w:line="360" w:lineRule="auto"/>
        <w:rPr>
          <w:rFonts w:ascii="Times New Roman" w:hAnsi="Times New Roman"/>
          <w:color w:val="auto"/>
          <w:szCs w:val="21"/>
          <w:highlight w:val="none"/>
        </w:rPr>
      </w:pPr>
      <w:r>
        <w:rPr>
          <w:rFonts w:ascii="Times New Roman" w:hAnsi="宋体"/>
          <w:color w:val="auto"/>
          <w:szCs w:val="21"/>
          <w:highlight w:val="none"/>
        </w:rPr>
        <w:t>电</w:t>
      </w:r>
      <w:r>
        <w:rPr>
          <w:rFonts w:ascii="Times New Roman" w:hAnsi="Times New Roman"/>
          <w:color w:val="auto"/>
          <w:szCs w:val="21"/>
          <w:highlight w:val="none"/>
        </w:rPr>
        <w:t xml:space="preserve">  </w:t>
      </w:r>
      <w:r>
        <w:rPr>
          <w:rFonts w:ascii="Times New Roman" w:hAnsi="宋体"/>
          <w:color w:val="auto"/>
          <w:szCs w:val="21"/>
          <w:highlight w:val="none"/>
        </w:rPr>
        <w:t>话：</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电</w:t>
      </w:r>
      <w:r>
        <w:rPr>
          <w:rFonts w:ascii="Times New Roman" w:hAnsi="Times New Roman"/>
          <w:color w:val="auto"/>
          <w:szCs w:val="21"/>
          <w:highlight w:val="none"/>
        </w:rPr>
        <w:t xml:space="preserve">  </w:t>
      </w:r>
      <w:r>
        <w:rPr>
          <w:rFonts w:ascii="Times New Roman" w:hAnsi="宋体"/>
          <w:color w:val="auto"/>
          <w:szCs w:val="21"/>
          <w:highlight w:val="none"/>
        </w:rPr>
        <w:t>话：</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14:paraId="7186FAF5">
      <w:pPr>
        <w:pStyle w:val="54"/>
        <w:spacing w:line="360" w:lineRule="auto"/>
        <w:rPr>
          <w:rFonts w:ascii="Times New Roman" w:hAnsi="Times New Roman"/>
          <w:color w:val="auto"/>
          <w:szCs w:val="21"/>
          <w:highlight w:val="none"/>
        </w:rPr>
      </w:pPr>
      <w:r>
        <w:rPr>
          <w:rFonts w:ascii="Times New Roman" w:hAnsi="宋体"/>
          <w:color w:val="auto"/>
          <w:szCs w:val="21"/>
          <w:highlight w:val="none"/>
        </w:rPr>
        <w:t>传</w:t>
      </w:r>
      <w:r>
        <w:rPr>
          <w:rFonts w:ascii="Times New Roman" w:hAnsi="Times New Roman"/>
          <w:color w:val="auto"/>
          <w:szCs w:val="21"/>
          <w:highlight w:val="none"/>
        </w:rPr>
        <w:t xml:space="preserve">  </w:t>
      </w:r>
      <w:r>
        <w:rPr>
          <w:rFonts w:ascii="Times New Roman" w:hAnsi="宋体"/>
          <w:color w:val="auto"/>
          <w:szCs w:val="21"/>
          <w:highlight w:val="none"/>
        </w:rPr>
        <w:t>真：</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传</w:t>
      </w:r>
      <w:r>
        <w:rPr>
          <w:rFonts w:ascii="Times New Roman" w:hAnsi="Times New Roman"/>
          <w:color w:val="auto"/>
          <w:szCs w:val="21"/>
          <w:highlight w:val="none"/>
        </w:rPr>
        <w:t xml:space="preserve">  </w:t>
      </w:r>
      <w:r>
        <w:rPr>
          <w:rFonts w:ascii="Times New Roman" w:hAnsi="宋体"/>
          <w:color w:val="auto"/>
          <w:szCs w:val="21"/>
          <w:highlight w:val="none"/>
        </w:rPr>
        <w:t>真：</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Times New Roman" w:hAnsi="Times New Roman"/>
          <w:color w:val="auto"/>
          <w:szCs w:val="21"/>
          <w:highlight w:val="none"/>
          <w:u w:val="single"/>
        </w:rPr>
        <w:t xml:space="preserve">  </w:t>
      </w:r>
      <w:r>
        <w:rPr>
          <w:rFonts w:ascii="宋体" w:hAnsi="宋体"/>
          <w:color w:val="auto"/>
          <w:szCs w:val="21"/>
          <w:highlight w:val="none"/>
          <w:u w:val="single"/>
        </w:rPr>
        <w:t></w:t>
      </w:r>
    </w:p>
    <w:p w14:paraId="2CD9EC5B">
      <w:pPr>
        <w:pStyle w:val="54"/>
        <w:spacing w:line="360" w:lineRule="auto"/>
        <w:rPr>
          <w:rFonts w:ascii="Times New Roman" w:hAnsi="Times New Roman"/>
          <w:color w:val="auto"/>
          <w:szCs w:val="21"/>
          <w:highlight w:val="none"/>
        </w:rPr>
      </w:pPr>
      <w:r>
        <w:rPr>
          <w:rFonts w:ascii="Times New Roman" w:hAnsi="宋体"/>
          <w:color w:val="auto"/>
          <w:szCs w:val="21"/>
          <w:highlight w:val="none"/>
        </w:rPr>
        <w:t>开户银行：</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开户银行：</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14:paraId="420A162E">
      <w:pPr>
        <w:pStyle w:val="54"/>
        <w:tabs>
          <w:tab w:val="left" w:pos="2880"/>
          <w:tab w:val="left" w:pos="3060"/>
          <w:tab w:val="left" w:pos="4500"/>
        </w:tabs>
        <w:spacing w:line="360" w:lineRule="auto"/>
        <w:rPr>
          <w:rFonts w:ascii="Times New Roman" w:hAnsi="Times New Roman"/>
          <w:color w:val="auto"/>
          <w:szCs w:val="21"/>
          <w:highlight w:val="none"/>
        </w:rPr>
      </w:pPr>
      <w:r>
        <w:rPr>
          <w:rFonts w:ascii="Times New Roman" w:hAnsi="宋体"/>
          <w:color w:val="auto"/>
          <w:szCs w:val="21"/>
          <w:highlight w:val="none"/>
        </w:rPr>
        <w:t>账</w:t>
      </w:r>
      <w:r>
        <w:rPr>
          <w:rFonts w:ascii="Times New Roman" w:hAnsi="Times New Roman"/>
          <w:color w:val="auto"/>
          <w:szCs w:val="21"/>
          <w:highlight w:val="none"/>
        </w:rPr>
        <w:t xml:space="preserve">  </w:t>
      </w:r>
      <w:r>
        <w:rPr>
          <w:rFonts w:ascii="Times New Roman" w:hAnsi="宋体"/>
          <w:color w:val="auto"/>
          <w:szCs w:val="21"/>
          <w:highlight w:val="none"/>
        </w:rPr>
        <w:t>号：</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账</w:t>
      </w:r>
      <w:r>
        <w:rPr>
          <w:rFonts w:ascii="Times New Roman" w:hAnsi="Times New Roman"/>
          <w:color w:val="auto"/>
          <w:szCs w:val="21"/>
          <w:highlight w:val="none"/>
        </w:rPr>
        <w:t xml:space="preserve">  </w:t>
      </w:r>
      <w:r>
        <w:rPr>
          <w:rFonts w:ascii="Times New Roman" w:hAnsi="宋体"/>
          <w:color w:val="auto"/>
          <w:szCs w:val="21"/>
          <w:highlight w:val="none"/>
        </w:rPr>
        <w:t>号：</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14:paraId="0162908C">
      <w:pPr>
        <w:pStyle w:val="54"/>
        <w:spacing w:line="360" w:lineRule="auto"/>
        <w:rPr>
          <w:rFonts w:ascii="宋体" w:hAnsi="Times New Roman"/>
          <w:color w:val="auto"/>
          <w:szCs w:val="21"/>
          <w:highlight w:val="none"/>
          <w:u w:val="single"/>
        </w:rPr>
      </w:pPr>
      <w:r>
        <w:rPr>
          <w:rFonts w:ascii="Times New Roman" w:hAnsi="宋体"/>
          <w:color w:val="auto"/>
          <w:szCs w:val="21"/>
          <w:highlight w:val="none"/>
        </w:rPr>
        <w:t>邮政编码：</w:t>
      </w:r>
      <w:r>
        <w:rPr>
          <w:rFonts w:ascii="Times New Roman" w:hAnsi="Times New Roman"/>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邮政编码：</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p>
    <w:p w14:paraId="5C2EAEF7">
      <w:pPr>
        <w:pStyle w:val="54"/>
        <w:spacing w:line="360" w:lineRule="auto"/>
        <w:rPr>
          <w:rFonts w:ascii="宋体" w:hAnsi="Times New Roman"/>
          <w:color w:val="auto"/>
          <w:szCs w:val="21"/>
          <w:highlight w:val="none"/>
        </w:rPr>
      </w:pPr>
    </w:p>
    <w:p w14:paraId="5000E508">
      <w:pPr>
        <w:pStyle w:val="54"/>
        <w:spacing w:line="360" w:lineRule="auto"/>
        <w:rPr>
          <w:rFonts w:ascii="宋体" w:hAnsi="Times New Roman"/>
          <w:color w:val="auto"/>
          <w:szCs w:val="21"/>
          <w:highlight w:val="none"/>
        </w:rPr>
      </w:pPr>
    </w:p>
    <w:p w14:paraId="250B7BAF">
      <w:pPr>
        <w:pStyle w:val="54"/>
        <w:spacing w:line="360" w:lineRule="auto"/>
        <w:rPr>
          <w:rFonts w:ascii="宋体" w:hAnsi="Times New Roman"/>
          <w:color w:val="auto"/>
          <w:szCs w:val="21"/>
          <w:highlight w:val="none"/>
        </w:rPr>
      </w:pPr>
    </w:p>
    <w:p w14:paraId="1E7DA0FD">
      <w:pPr>
        <w:pStyle w:val="54"/>
        <w:spacing w:line="360" w:lineRule="auto"/>
        <w:rPr>
          <w:rFonts w:ascii="宋体" w:hAnsi="Times New Roman"/>
          <w:color w:val="auto"/>
          <w:szCs w:val="21"/>
          <w:highlight w:val="none"/>
        </w:rPr>
      </w:pPr>
    </w:p>
    <w:p w14:paraId="5B282DFD">
      <w:pPr>
        <w:pStyle w:val="54"/>
        <w:spacing w:line="360" w:lineRule="auto"/>
        <w:rPr>
          <w:rFonts w:ascii="宋体" w:hAnsi="Times New Roman"/>
          <w:color w:val="auto"/>
          <w:szCs w:val="21"/>
          <w:highlight w:val="none"/>
        </w:rPr>
      </w:pPr>
    </w:p>
    <w:p w14:paraId="5D5E9364">
      <w:pPr>
        <w:pStyle w:val="54"/>
        <w:spacing w:line="440" w:lineRule="exact"/>
        <w:rPr>
          <w:rFonts w:ascii="Times New Roman" w:hAnsi="Times New Roman" w:eastAsia="黑体"/>
          <w:color w:val="auto"/>
          <w:sz w:val="30"/>
          <w:szCs w:val="30"/>
          <w:highlight w:val="none"/>
        </w:rPr>
      </w:pPr>
      <w:r>
        <w:rPr>
          <w:rFonts w:ascii="Times New Roman" w:hAnsi="Times New Roman" w:eastAsia="仿宋_GB2312" w:cs="仿宋_GB2312"/>
          <w:color w:val="auto"/>
          <w:sz w:val="30"/>
          <w:szCs w:val="30"/>
          <w:highlight w:val="none"/>
        </w:rPr>
        <w:br w:type="page"/>
      </w:r>
      <w:r>
        <w:rPr>
          <w:rFonts w:ascii="Times New Roman" w:hAnsi="Times New Roman" w:eastAsia="仿宋_GB2312"/>
          <w:color w:val="auto"/>
          <w:sz w:val="30"/>
          <w:szCs w:val="30"/>
          <w:highlight w:val="none"/>
        </w:rPr>
        <w:t>附件</w:t>
      </w:r>
      <w:r>
        <w:rPr>
          <w:rFonts w:hint="eastAsia" w:ascii="Times New Roman" w:hAnsi="Times New Roman" w:eastAsia="仿宋_GB2312"/>
          <w:color w:val="auto"/>
          <w:sz w:val="30"/>
          <w:szCs w:val="30"/>
          <w:highlight w:val="none"/>
        </w:rPr>
        <w:t>3</w:t>
      </w:r>
      <w:r>
        <w:rPr>
          <w:rFonts w:ascii="Times New Roman" w:hAnsi="Times New Roman" w:eastAsia="仿宋_GB2312"/>
          <w:color w:val="auto"/>
          <w:sz w:val="30"/>
          <w:szCs w:val="30"/>
          <w:highlight w:val="none"/>
        </w:rPr>
        <w:t>：</w:t>
      </w:r>
    </w:p>
    <w:p w14:paraId="7F7AEE75">
      <w:pPr>
        <w:pStyle w:val="54"/>
        <w:spacing w:before="120" w:beforeLines="50" w:after="120" w:afterLines="50" w:line="440" w:lineRule="exact"/>
        <w:jc w:val="center"/>
        <w:rPr>
          <w:rFonts w:ascii="Times New Roman" w:hAnsi="Times New Roman" w:eastAsia="黑体"/>
          <w:color w:val="auto"/>
          <w:sz w:val="30"/>
          <w:szCs w:val="30"/>
          <w:highlight w:val="none"/>
        </w:rPr>
      </w:pPr>
      <w:r>
        <w:rPr>
          <w:rFonts w:ascii="Times New Roman" w:hAnsi="Times New Roman" w:eastAsia="黑体"/>
          <w:color w:val="auto"/>
          <w:sz w:val="30"/>
          <w:szCs w:val="30"/>
          <w:highlight w:val="none"/>
        </w:rPr>
        <w:t>主要建设工程文件目录</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BED3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1CD702AF">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30"/>
                <w:highlight w:val="none"/>
              </w:rPr>
            </w:pPr>
            <w:r>
              <w:rPr>
                <w:rFonts w:ascii="Times New Roman" w:hAnsi="Times New Roman" w:eastAsia="仿宋_GB2312"/>
                <w:color w:val="auto"/>
                <w:sz w:val="28"/>
                <w:szCs w:val="30"/>
                <w:highlight w:val="none"/>
              </w:rPr>
              <w:t>文件名称</w:t>
            </w:r>
          </w:p>
        </w:tc>
        <w:tc>
          <w:tcPr>
            <w:tcW w:w="1276" w:type="dxa"/>
            <w:tcBorders>
              <w:top w:val="single" w:color="auto" w:sz="12" w:space="0"/>
              <w:bottom w:val="double" w:color="auto" w:sz="6" w:space="0"/>
            </w:tcBorders>
            <w:vAlign w:val="center"/>
          </w:tcPr>
          <w:p w14:paraId="4C92832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30"/>
                <w:highlight w:val="none"/>
              </w:rPr>
            </w:pPr>
            <w:r>
              <w:rPr>
                <w:rFonts w:ascii="Times New Roman" w:hAnsi="Times New Roman" w:eastAsia="仿宋_GB2312"/>
                <w:color w:val="auto"/>
                <w:sz w:val="28"/>
                <w:szCs w:val="30"/>
                <w:highlight w:val="none"/>
              </w:rPr>
              <w:t>套数</w:t>
            </w:r>
          </w:p>
        </w:tc>
        <w:tc>
          <w:tcPr>
            <w:tcW w:w="1450" w:type="dxa"/>
            <w:tcBorders>
              <w:top w:val="single" w:color="auto" w:sz="12" w:space="0"/>
              <w:bottom w:val="double" w:color="auto" w:sz="6" w:space="0"/>
            </w:tcBorders>
            <w:vAlign w:val="center"/>
          </w:tcPr>
          <w:p w14:paraId="449DC48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30"/>
                <w:highlight w:val="none"/>
              </w:rPr>
            </w:pPr>
            <w:r>
              <w:rPr>
                <w:rFonts w:ascii="Times New Roman" w:hAnsi="Times New Roman" w:eastAsia="仿宋_GB2312"/>
                <w:color w:val="auto"/>
                <w:sz w:val="28"/>
                <w:szCs w:val="30"/>
                <w:highlight w:val="none"/>
              </w:rPr>
              <w:t>费用</w:t>
            </w:r>
            <w:r>
              <w:rPr>
                <w:rFonts w:hint="eastAsia" w:ascii="Times New Roman" w:hAnsi="Times New Roman" w:eastAsia="仿宋_GB2312"/>
                <w:color w:val="auto"/>
                <w:sz w:val="28"/>
                <w:szCs w:val="30"/>
                <w:highlight w:val="none"/>
              </w:rPr>
              <w:t>（元）</w:t>
            </w:r>
          </w:p>
        </w:tc>
        <w:tc>
          <w:tcPr>
            <w:tcW w:w="1243" w:type="dxa"/>
            <w:tcBorders>
              <w:top w:val="single" w:color="auto" w:sz="12" w:space="0"/>
              <w:bottom w:val="double" w:color="auto" w:sz="6" w:space="0"/>
            </w:tcBorders>
            <w:vAlign w:val="center"/>
          </w:tcPr>
          <w:p w14:paraId="5F3DCE2D">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30"/>
                <w:highlight w:val="none"/>
              </w:rPr>
            </w:pPr>
            <w:r>
              <w:rPr>
                <w:rFonts w:ascii="Times New Roman" w:hAnsi="Times New Roman" w:eastAsia="仿宋_GB2312"/>
                <w:color w:val="auto"/>
                <w:sz w:val="28"/>
                <w:szCs w:val="30"/>
                <w:highlight w:val="none"/>
              </w:rPr>
              <w:t>质量</w:t>
            </w:r>
          </w:p>
        </w:tc>
        <w:tc>
          <w:tcPr>
            <w:tcW w:w="1450" w:type="dxa"/>
            <w:tcBorders>
              <w:top w:val="single" w:color="auto" w:sz="12" w:space="0"/>
              <w:bottom w:val="double" w:color="auto" w:sz="6" w:space="0"/>
            </w:tcBorders>
          </w:tcPr>
          <w:p w14:paraId="42D1621A">
            <w:pPr>
              <w:pStyle w:val="54"/>
              <w:spacing w:line="440" w:lineRule="exact"/>
              <w:jc w:val="center"/>
              <w:rPr>
                <w:rFonts w:ascii="Times New Roman" w:hAnsi="Times New Roman" w:eastAsia="仿宋_GB2312"/>
                <w:color w:val="auto"/>
                <w:sz w:val="28"/>
                <w:szCs w:val="30"/>
                <w:highlight w:val="none"/>
              </w:rPr>
            </w:pPr>
            <w:r>
              <w:rPr>
                <w:rFonts w:ascii="Times New Roman" w:hAnsi="Times New Roman" w:eastAsia="仿宋_GB2312"/>
                <w:color w:val="auto"/>
                <w:sz w:val="28"/>
                <w:szCs w:val="30"/>
                <w:highlight w:val="none"/>
              </w:rPr>
              <w:t>移交时间</w:t>
            </w:r>
          </w:p>
        </w:tc>
        <w:tc>
          <w:tcPr>
            <w:tcW w:w="1667" w:type="dxa"/>
            <w:tcBorders>
              <w:top w:val="single" w:color="auto" w:sz="12" w:space="0"/>
              <w:bottom w:val="double" w:color="auto" w:sz="6" w:space="0"/>
            </w:tcBorders>
          </w:tcPr>
          <w:p w14:paraId="28F8025C">
            <w:pPr>
              <w:pStyle w:val="54"/>
              <w:spacing w:line="440" w:lineRule="exact"/>
              <w:jc w:val="center"/>
              <w:rPr>
                <w:rFonts w:ascii="Times New Roman" w:hAnsi="Times New Roman" w:eastAsia="仿宋_GB2312"/>
                <w:color w:val="auto"/>
                <w:sz w:val="28"/>
                <w:szCs w:val="30"/>
                <w:highlight w:val="none"/>
              </w:rPr>
            </w:pPr>
            <w:r>
              <w:rPr>
                <w:rFonts w:ascii="Times New Roman" w:hAnsi="Times New Roman" w:eastAsia="仿宋_GB2312"/>
                <w:color w:val="auto"/>
                <w:sz w:val="28"/>
                <w:szCs w:val="30"/>
                <w:highlight w:val="none"/>
              </w:rPr>
              <w:t>责任人</w:t>
            </w:r>
          </w:p>
        </w:tc>
      </w:tr>
      <w:tr w14:paraId="24351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7D2E72AE">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76" w:type="dxa"/>
            <w:tcBorders>
              <w:top w:val="double" w:color="auto" w:sz="6" w:space="0"/>
              <w:bottom w:val="single" w:color="auto" w:sz="6" w:space="0"/>
            </w:tcBorders>
            <w:vAlign w:val="center"/>
          </w:tcPr>
          <w:p w14:paraId="4BABDD60">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tcBorders>
              <w:top w:val="double" w:color="auto" w:sz="6" w:space="0"/>
              <w:bottom w:val="single" w:color="auto" w:sz="6" w:space="0"/>
            </w:tcBorders>
            <w:vAlign w:val="center"/>
          </w:tcPr>
          <w:p w14:paraId="31868D5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43" w:type="dxa"/>
            <w:tcBorders>
              <w:top w:val="double" w:color="auto" w:sz="6" w:space="0"/>
              <w:bottom w:val="single" w:color="auto" w:sz="6" w:space="0"/>
            </w:tcBorders>
            <w:vAlign w:val="center"/>
          </w:tcPr>
          <w:p w14:paraId="355EF87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tcBorders>
              <w:top w:val="double" w:color="auto" w:sz="6" w:space="0"/>
              <w:bottom w:val="single" w:color="auto" w:sz="6" w:space="0"/>
            </w:tcBorders>
            <w:vAlign w:val="center"/>
          </w:tcPr>
          <w:p w14:paraId="54BFE774">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7" w:type="dxa"/>
            <w:tcBorders>
              <w:top w:val="double" w:color="auto" w:sz="6" w:space="0"/>
              <w:bottom w:val="single" w:color="auto" w:sz="6" w:space="0"/>
            </w:tcBorders>
            <w:vAlign w:val="center"/>
          </w:tcPr>
          <w:p w14:paraId="008EF4E0">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6F8BD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07CC42FC">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76" w:type="dxa"/>
            <w:tcBorders>
              <w:top w:val="nil"/>
            </w:tcBorders>
            <w:vAlign w:val="center"/>
          </w:tcPr>
          <w:p w14:paraId="7C31D1D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tcBorders>
              <w:top w:val="nil"/>
            </w:tcBorders>
            <w:vAlign w:val="center"/>
          </w:tcPr>
          <w:p w14:paraId="17C71C10">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43" w:type="dxa"/>
            <w:tcBorders>
              <w:top w:val="nil"/>
            </w:tcBorders>
            <w:vAlign w:val="center"/>
          </w:tcPr>
          <w:p w14:paraId="26F4F87E">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tcBorders>
              <w:top w:val="nil"/>
            </w:tcBorders>
            <w:vAlign w:val="center"/>
          </w:tcPr>
          <w:p w14:paraId="17BD6C94">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7" w:type="dxa"/>
            <w:tcBorders>
              <w:top w:val="nil"/>
            </w:tcBorders>
            <w:vAlign w:val="center"/>
          </w:tcPr>
          <w:p w14:paraId="4F4E3F7C">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285042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FE859ED">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76" w:type="dxa"/>
            <w:vAlign w:val="center"/>
          </w:tcPr>
          <w:p w14:paraId="5F10AB2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vAlign w:val="center"/>
          </w:tcPr>
          <w:p w14:paraId="37544B21">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43" w:type="dxa"/>
            <w:vAlign w:val="center"/>
          </w:tcPr>
          <w:p w14:paraId="04D3906D">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vAlign w:val="center"/>
          </w:tcPr>
          <w:p w14:paraId="148A395C">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7" w:type="dxa"/>
            <w:vAlign w:val="center"/>
          </w:tcPr>
          <w:p w14:paraId="3E7AAF16">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07FA09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962882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76" w:type="dxa"/>
            <w:vAlign w:val="center"/>
          </w:tcPr>
          <w:p w14:paraId="2F196A3D">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vAlign w:val="center"/>
          </w:tcPr>
          <w:p w14:paraId="339B12FF">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43" w:type="dxa"/>
            <w:vAlign w:val="center"/>
          </w:tcPr>
          <w:p w14:paraId="4472A61F">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vAlign w:val="center"/>
          </w:tcPr>
          <w:p w14:paraId="1641D61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7" w:type="dxa"/>
            <w:vAlign w:val="center"/>
          </w:tcPr>
          <w:p w14:paraId="45FD6AA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60628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961842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76" w:type="dxa"/>
            <w:vAlign w:val="center"/>
          </w:tcPr>
          <w:p w14:paraId="7930BE40">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vAlign w:val="center"/>
          </w:tcPr>
          <w:p w14:paraId="35CCB180">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43" w:type="dxa"/>
            <w:vAlign w:val="center"/>
          </w:tcPr>
          <w:p w14:paraId="40A0CD4C">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vAlign w:val="center"/>
          </w:tcPr>
          <w:p w14:paraId="5FFB8780">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7" w:type="dxa"/>
            <w:vAlign w:val="center"/>
          </w:tcPr>
          <w:p w14:paraId="1B1C1DAF">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7999F8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C778A20">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76" w:type="dxa"/>
            <w:vAlign w:val="center"/>
          </w:tcPr>
          <w:p w14:paraId="20DBFB8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vAlign w:val="center"/>
          </w:tcPr>
          <w:p w14:paraId="3D975DBF">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43" w:type="dxa"/>
            <w:vAlign w:val="center"/>
          </w:tcPr>
          <w:p w14:paraId="504CD6F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vAlign w:val="center"/>
          </w:tcPr>
          <w:p w14:paraId="6B23BE1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7" w:type="dxa"/>
            <w:vAlign w:val="center"/>
          </w:tcPr>
          <w:p w14:paraId="376716E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6B064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9F55FD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76" w:type="dxa"/>
            <w:vAlign w:val="center"/>
          </w:tcPr>
          <w:p w14:paraId="000A075C">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vAlign w:val="center"/>
          </w:tcPr>
          <w:p w14:paraId="49E7C2B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43" w:type="dxa"/>
            <w:vAlign w:val="center"/>
          </w:tcPr>
          <w:p w14:paraId="0906136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vAlign w:val="center"/>
          </w:tcPr>
          <w:p w14:paraId="2706C0D6">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7" w:type="dxa"/>
            <w:vAlign w:val="center"/>
          </w:tcPr>
          <w:p w14:paraId="000ED80D">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632527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440F484">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76" w:type="dxa"/>
            <w:vAlign w:val="center"/>
          </w:tcPr>
          <w:p w14:paraId="7EA3825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vAlign w:val="center"/>
          </w:tcPr>
          <w:p w14:paraId="6FA12E8B">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43" w:type="dxa"/>
            <w:vAlign w:val="center"/>
          </w:tcPr>
          <w:p w14:paraId="40B61402">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vAlign w:val="center"/>
          </w:tcPr>
          <w:p w14:paraId="0E6CD25F">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7" w:type="dxa"/>
            <w:vAlign w:val="center"/>
          </w:tcPr>
          <w:p w14:paraId="283AF92F">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1E8DC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819C864">
            <w:pPr>
              <w:pStyle w:val="54"/>
              <w:rPr>
                <w:rFonts w:ascii="Times New Roman" w:hAnsi="Times New Roman" w:eastAsia="仿宋_GB2312"/>
                <w:color w:val="auto"/>
                <w:sz w:val="30"/>
                <w:szCs w:val="30"/>
                <w:highlight w:val="none"/>
              </w:rPr>
            </w:pPr>
          </w:p>
        </w:tc>
        <w:tc>
          <w:tcPr>
            <w:tcW w:w="1276" w:type="dxa"/>
          </w:tcPr>
          <w:p w14:paraId="0B73FFF2">
            <w:pPr>
              <w:pStyle w:val="54"/>
              <w:rPr>
                <w:rFonts w:ascii="Times New Roman" w:hAnsi="Times New Roman" w:eastAsia="仿宋_GB2312"/>
                <w:color w:val="auto"/>
                <w:sz w:val="30"/>
                <w:szCs w:val="30"/>
                <w:highlight w:val="none"/>
              </w:rPr>
            </w:pPr>
          </w:p>
        </w:tc>
        <w:tc>
          <w:tcPr>
            <w:tcW w:w="1450" w:type="dxa"/>
          </w:tcPr>
          <w:p w14:paraId="5AD3DA90">
            <w:pPr>
              <w:pStyle w:val="54"/>
              <w:rPr>
                <w:rFonts w:ascii="Times New Roman" w:hAnsi="Times New Roman" w:eastAsia="仿宋_GB2312"/>
                <w:color w:val="auto"/>
                <w:sz w:val="30"/>
                <w:szCs w:val="30"/>
                <w:highlight w:val="none"/>
              </w:rPr>
            </w:pPr>
          </w:p>
        </w:tc>
        <w:tc>
          <w:tcPr>
            <w:tcW w:w="1243" w:type="dxa"/>
          </w:tcPr>
          <w:p w14:paraId="3DDF9591">
            <w:pPr>
              <w:pStyle w:val="54"/>
              <w:rPr>
                <w:rFonts w:ascii="Times New Roman" w:hAnsi="Times New Roman" w:eastAsia="仿宋_GB2312"/>
                <w:color w:val="auto"/>
                <w:sz w:val="30"/>
                <w:szCs w:val="30"/>
                <w:highlight w:val="none"/>
              </w:rPr>
            </w:pPr>
          </w:p>
        </w:tc>
        <w:tc>
          <w:tcPr>
            <w:tcW w:w="1450" w:type="dxa"/>
          </w:tcPr>
          <w:p w14:paraId="2DD0ADA3">
            <w:pPr>
              <w:pStyle w:val="54"/>
              <w:rPr>
                <w:rFonts w:ascii="Times New Roman" w:hAnsi="Times New Roman" w:eastAsia="仿宋_GB2312"/>
                <w:color w:val="auto"/>
                <w:sz w:val="30"/>
                <w:szCs w:val="30"/>
                <w:highlight w:val="none"/>
              </w:rPr>
            </w:pPr>
          </w:p>
        </w:tc>
        <w:tc>
          <w:tcPr>
            <w:tcW w:w="1667" w:type="dxa"/>
          </w:tcPr>
          <w:p w14:paraId="08669D1C">
            <w:pPr>
              <w:pStyle w:val="54"/>
              <w:rPr>
                <w:rFonts w:ascii="Times New Roman" w:hAnsi="Times New Roman" w:eastAsia="仿宋_GB2312"/>
                <w:color w:val="auto"/>
                <w:sz w:val="30"/>
                <w:szCs w:val="30"/>
                <w:highlight w:val="none"/>
              </w:rPr>
            </w:pPr>
          </w:p>
        </w:tc>
      </w:tr>
      <w:tr w14:paraId="7272C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437665D">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76" w:type="dxa"/>
            <w:vAlign w:val="center"/>
          </w:tcPr>
          <w:p w14:paraId="275FD424">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vAlign w:val="center"/>
          </w:tcPr>
          <w:p w14:paraId="76A3259F">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43" w:type="dxa"/>
            <w:vAlign w:val="center"/>
          </w:tcPr>
          <w:p w14:paraId="0755BB1D">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vAlign w:val="center"/>
          </w:tcPr>
          <w:p w14:paraId="055C429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7" w:type="dxa"/>
            <w:vAlign w:val="center"/>
          </w:tcPr>
          <w:p w14:paraId="1B40291D">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78A314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025EE17">
            <w:pPr>
              <w:pStyle w:val="54"/>
              <w:rPr>
                <w:rFonts w:ascii="Times New Roman" w:hAnsi="Times New Roman" w:eastAsia="仿宋_GB2312"/>
                <w:color w:val="auto"/>
                <w:sz w:val="30"/>
                <w:szCs w:val="30"/>
                <w:highlight w:val="none"/>
              </w:rPr>
            </w:pPr>
          </w:p>
        </w:tc>
        <w:tc>
          <w:tcPr>
            <w:tcW w:w="1276" w:type="dxa"/>
          </w:tcPr>
          <w:p w14:paraId="0DA9E8C3">
            <w:pPr>
              <w:pStyle w:val="54"/>
              <w:rPr>
                <w:rFonts w:ascii="Times New Roman" w:hAnsi="Times New Roman" w:eastAsia="仿宋_GB2312"/>
                <w:color w:val="auto"/>
                <w:sz w:val="30"/>
                <w:szCs w:val="30"/>
                <w:highlight w:val="none"/>
              </w:rPr>
            </w:pPr>
          </w:p>
        </w:tc>
        <w:tc>
          <w:tcPr>
            <w:tcW w:w="1450" w:type="dxa"/>
          </w:tcPr>
          <w:p w14:paraId="6558B489">
            <w:pPr>
              <w:pStyle w:val="54"/>
              <w:rPr>
                <w:rFonts w:ascii="Times New Roman" w:hAnsi="Times New Roman" w:eastAsia="仿宋_GB2312"/>
                <w:color w:val="auto"/>
                <w:sz w:val="30"/>
                <w:szCs w:val="30"/>
                <w:highlight w:val="none"/>
              </w:rPr>
            </w:pPr>
          </w:p>
        </w:tc>
        <w:tc>
          <w:tcPr>
            <w:tcW w:w="1243" w:type="dxa"/>
          </w:tcPr>
          <w:p w14:paraId="11340AD8">
            <w:pPr>
              <w:pStyle w:val="54"/>
              <w:rPr>
                <w:rFonts w:ascii="Times New Roman" w:hAnsi="Times New Roman" w:eastAsia="仿宋_GB2312"/>
                <w:color w:val="auto"/>
                <w:sz w:val="30"/>
                <w:szCs w:val="30"/>
                <w:highlight w:val="none"/>
              </w:rPr>
            </w:pPr>
          </w:p>
        </w:tc>
        <w:tc>
          <w:tcPr>
            <w:tcW w:w="1450" w:type="dxa"/>
          </w:tcPr>
          <w:p w14:paraId="71731D9F">
            <w:pPr>
              <w:pStyle w:val="54"/>
              <w:rPr>
                <w:rFonts w:ascii="Times New Roman" w:hAnsi="Times New Roman" w:eastAsia="仿宋_GB2312"/>
                <w:color w:val="auto"/>
                <w:sz w:val="30"/>
                <w:szCs w:val="30"/>
                <w:highlight w:val="none"/>
              </w:rPr>
            </w:pPr>
          </w:p>
        </w:tc>
        <w:tc>
          <w:tcPr>
            <w:tcW w:w="1667" w:type="dxa"/>
          </w:tcPr>
          <w:p w14:paraId="1C4478A0">
            <w:pPr>
              <w:pStyle w:val="54"/>
              <w:rPr>
                <w:rFonts w:ascii="Times New Roman" w:hAnsi="Times New Roman" w:eastAsia="仿宋_GB2312"/>
                <w:color w:val="auto"/>
                <w:sz w:val="30"/>
                <w:szCs w:val="30"/>
                <w:highlight w:val="none"/>
              </w:rPr>
            </w:pPr>
          </w:p>
        </w:tc>
      </w:tr>
      <w:tr w14:paraId="01F40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9441C1B">
            <w:pPr>
              <w:pStyle w:val="54"/>
              <w:rPr>
                <w:rFonts w:ascii="Times New Roman" w:hAnsi="Times New Roman" w:eastAsia="仿宋_GB2312"/>
                <w:color w:val="auto"/>
                <w:sz w:val="30"/>
                <w:szCs w:val="30"/>
                <w:highlight w:val="none"/>
              </w:rPr>
            </w:pPr>
          </w:p>
        </w:tc>
        <w:tc>
          <w:tcPr>
            <w:tcW w:w="1276" w:type="dxa"/>
          </w:tcPr>
          <w:p w14:paraId="08A4AB78">
            <w:pPr>
              <w:pStyle w:val="54"/>
              <w:rPr>
                <w:rFonts w:ascii="Times New Roman" w:hAnsi="Times New Roman" w:eastAsia="仿宋_GB2312"/>
                <w:color w:val="auto"/>
                <w:sz w:val="30"/>
                <w:szCs w:val="30"/>
                <w:highlight w:val="none"/>
              </w:rPr>
            </w:pPr>
          </w:p>
        </w:tc>
        <w:tc>
          <w:tcPr>
            <w:tcW w:w="1450" w:type="dxa"/>
          </w:tcPr>
          <w:p w14:paraId="7BD77027">
            <w:pPr>
              <w:pStyle w:val="54"/>
              <w:rPr>
                <w:rFonts w:ascii="Times New Roman" w:hAnsi="Times New Roman" w:eastAsia="仿宋_GB2312"/>
                <w:color w:val="auto"/>
                <w:sz w:val="30"/>
                <w:szCs w:val="30"/>
                <w:highlight w:val="none"/>
              </w:rPr>
            </w:pPr>
          </w:p>
        </w:tc>
        <w:tc>
          <w:tcPr>
            <w:tcW w:w="1243" w:type="dxa"/>
          </w:tcPr>
          <w:p w14:paraId="1192D15E">
            <w:pPr>
              <w:pStyle w:val="54"/>
              <w:rPr>
                <w:rFonts w:ascii="Times New Roman" w:hAnsi="Times New Roman" w:eastAsia="仿宋_GB2312"/>
                <w:color w:val="auto"/>
                <w:sz w:val="30"/>
                <w:szCs w:val="30"/>
                <w:highlight w:val="none"/>
              </w:rPr>
            </w:pPr>
          </w:p>
        </w:tc>
        <w:tc>
          <w:tcPr>
            <w:tcW w:w="1450" w:type="dxa"/>
          </w:tcPr>
          <w:p w14:paraId="347E862E">
            <w:pPr>
              <w:pStyle w:val="54"/>
              <w:rPr>
                <w:rFonts w:ascii="Times New Roman" w:hAnsi="Times New Roman" w:eastAsia="仿宋_GB2312"/>
                <w:color w:val="auto"/>
                <w:sz w:val="30"/>
                <w:szCs w:val="30"/>
                <w:highlight w:val="none"/>
              </w:rPr>
            </w:pPr>
          </w:p>
        </w:tc>
        <w:tc>
          <w:tcPr>
            <w:tcW w:w="1667" w:type="dxa"/>
          </w:tcPr>
          <w:p w14:paraId="28A9B186">
            <w:pPr>
              <w:pStyle w:val="54"/>
              <w:rPr>
                <w:rFonts w:ascii="Times New Roman" w:hAnsi="Times New Roman" w:eastAsia="仿宋_GB2312"/>
                <w:color w:val="auto"/>
                <w:sz w:val="30"/>
                <w:szCs w:val="30"/>
                <w:highlight w:val="none"/>
              </w:rPr>
            </w:pPr>
          </w:p>
        </w:tc>
      </w:tr>
      <w:tr w14:paraId="18723E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96E4A12">
            <w:pPr>
              <w:pStyle w:val="54"/>
              <w:rPr>
                <w:rFonts w:ascii="Times New Roman" w:hAnsi="Times New Roman" w:eastAsia="仿宋_GB2312"/>
                <w:color w:val="auto"/>
                <w:sz w:val="30"/>
                <w:szCs w:val="30"/>
                <w:highlight w:val="none"/>
              </w:rPr>
            </w:pPr>
          </w:p>
        </w:tc>
        <w:tc>
          <w:tcPr>
            <w:tcW w:w="1276" w:type="dxa"/>
          </w:tcPr>
          <w:p w14:paraId="014327F3">
            <w:pPr>
              <w:pStyle w:val="54"/>
              <w:rPr>
                <w:rFonts w:ascii="Times New Roman" w:hAnsi="Times New Roman" w:eastAsia="仿宋_GB2312"/>
                <w:color w:val="auto"/>
                <w:sz w:val="30"/>
                <w:szCs w:val="30"/>
                <w:highlight w:val="none"/>
              </w:rPr>
            </w:pPr>
          </w:p>
        </w:tc>
        <w:tc>
          <w:tcPr>
            <w:tcW w:w="1450" w:type="dxa"/>
          </w:tcPr>
          <w:p w14:paraId="3D83D0C1">
            <w:pPr>
              <w:pStyle w:val="54"/>
              <w:rPr>
                <w:rFonts w:ascii="Times New Roman" w:hAnsi="Times New Roman" w:eastAsia="仿宋_GB2312"/>
                <w:color w:val="auto"/>
                <w:sz w:val="30"/>
                <w:szCs w:val="30"/>
                <w:highlight w:val="none"/>
              </w:rPr>
            </w:pPr>
          </w:p>
        </w:tc>
        <w:tc>
          <w:tcPr>
            <w:tcW w:w="1243" w:type="dxa"/>
          </w:tcPr>
          <w:p w14:paraId="13C355FD">
            <w:pPr>
              <w:pStyle w:val="54"/>
              <w:rPr>
                <w:rFonts w:ascii="Times New Roman" w:hAnsi="Times New Roman" w:eastAsia="仿宋_GB2312"/>
                <w:color w:val="auto"/>
                <w:sz w:val="30"/>
                <w:szCs w:val="30"/>
                <w:highlight w:val="none"/>
              </w:rPr>
            </w:pPr>
          </w:p>
        </w:tc>
        <w:tc>
          <w:tcPr>
            <w:tcW w:w="1450" w:type="dxa"/>
          </w:tcPr>
          <w:p w14:paraId="7387ADE5">
            <w:pPr>
              <w:pStyle w:val="54"/>
              <w:rPr>
                <w:rFonts w:ascii="Times New Roman" w:hAnsi="Times New Roman" w:eastAsia="仿宋_GB2312"/>
                <w:color w:val="auto"/>
                <w:sz w:val="30"/>
                <w:szCs w:val="30"/>
                <w:highlight w:val="none"/>
              </w:rPr>
            </w:pPr>
          </w:p>
        </w:tc>
        <w:tc>
          <w:tcPr>
            <w:tcW w:w="1667" w:type="dxa"/>
          </w:tcPr>
          <w:p w14:paraId="1521CCCF">
            <w:pPr>
              <w:pStyle w:val="54"/>
              <w:rPr>
                <w:rFonts w:ascii="Times New Roman" w:hAnsi="Times New Roman" w:eastAsia="仿宋_GB2312"/>
                <w:color w:val="auto"/>
                <w:sz w:val="30"/>
                <w:szCs w:val="30"/>
                <w:highlight w:val="none"/>
              </w:rPr>
            </w:pPr>
          </w:p>
        </w:tc>
      </w:tr>
      <w:tr w14:paraId="3B49F4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ED92140">
            <w:pPr>
              <w:pStyle w:val="54"/>
              <w:rPr>
                <w:rFonts w:ascii="Times New Roman" w:hAnsi="Times New Roman" w:eastAsia="仿宋_GB2312"/>
                <w:color w:val="auto"/>
                <w:sz w:val="30"/>
                <w:szCs w:val="30"/>
                <w:highlight w:val="none"/>
              </w:rPr>
            </w:pPr>
          </w:p>
        </w:tc>
        <w:tc>
          <w:tcPr>
            <w:tcW w:w="1276" w:type="dxa"/>
          </w:tcPr>
          <w:p w14:paraId="285ACCF8">
            <w:pPr>
              <w:pStyle w:val="54"/>
              <w:rPr>
                <w:rFonts w:ascii="Times New Roman" w:hAnsi="Times New Roman" w:eastAsia="仿宋_GB2312"/>
                <w:color w:val="auto"/>
                <w:sz w:val="30"/>
                <w:szCs w:val="30"/>
                <w:highlight w:val="none"/>
              </w:rPr>
            </w:pPr>
          </w:p>
        </w:tc>
        <w:tc>
          <w:tcPr>
            <w:tcW w:w="1450" w:type="dxa"/>
          </w:tcPr>
          <w:p w14:paraId="622B9C09">
            <w:pPr>
              <w:pStyle w:val="54"/>
              <w:rPr>
                <w:rFonts w:ascii="Times New Roman" w:hAnsi="Times New Roman" w:eastAsia="仿宋_GB2312"/>
                <w:color w:val="auto"/>
                <w:sz w:val="30"/>
                <w:szCs w:val="30"/>
                <w:highlight w:val="none"/>
              </w:rPr>
            </w:pPr>
          </w:p>
        </w:tc>
        <w:tc>
          <w:tcPr>
            <w:tcW w:w="1243" w:type="dxa"/>
          </w:tcPr>
          <w:p w14:paraId="5D418105">
            <w:pPr>
              <w:pStyle w:val="54"/>
              <w:rPr>
                <w:rFonts w:ascii="Times New Roman" w:hAnsi="Times New Roman" w:eastAsia="仿宋_GB2312"/>
                <w:color w:val="auto"/>
                <w:sz w:val="30"/>
                <w:szCs w:val="30"/>
                <w:highlight w:val="none"/>
              </w:rPr>
            </w:pPr>
          </w:p>
        </w:tc>
        <w:tc>
          <w:tcPr>
            <w:tcW w:w="1450" w:type="dxa"/>
          </w:tcPr>
          <w:p w14:paraId="10146D68">
            <w:pPr>
              <w:pStyle w:val="54"/>
              <w:rPr>
                <w:rFonts w:ascii="Times New Roman" w:hAnsi="Times New Roman" w:eastAsia="仿宋_GB2312"/>
                <w:color w:val="auto"/>
                <w:sz w:val="30"/>
                <w:szCs w:val="30"/>
                <w:highlight w:val="none"/>
              </w:rPr>
            </w:pPr>
          </w:p>
        </w:tc>
        <w:tc>
          <w:tcPr>
            <w:tcW w:w="1667" w:type="dxa"/>
          </w:tcPr>
          <w:p w14:paraId="14B08989">
            <w:pPr>
              <w:pStyle w:val="54"/>
              <w:rPr>
                <w:rFonts w:ascii="Times New Roman" w:hAnsi="Times New Roman" w:eastAsia="仿宋_GB2312"/>
                <w:color w:val="auto"/>
                <w:sz w:val="30"/>
                <w:szCs w:val="30"/>
                <w:highlight w:val="none"/>
              </w:rPr>
            </w:pPr>
          </w:p>
        </w:tc>
      </w:tr>
      <w:tr w14:paraId="0088B7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63CBB5D">
            <w:pPr>
              <w:pStyle w:val="54"/>
              <w:rPr>
                <w:rFonts w:ascii="Times New Roman" w:hAnsi="Times New Roman" w:eastAsia="仿宋_GB2312"/>
                <w:color w:val="auto"/>
                <w:sz w:val="30"/>
                <w:szCs w:val="30"/>
                <w:highlight w:val="none"/>
              </w:rPr>
            </w:pPr>
          </w:p>
        </w:tc>
        <w:tc>
          <w:tcPr>
            <w:tcW w:w="1276" w:type="dxa"/>
          </w:tcPr>
          <w:p w14:paraId="71A7EDB9">
            <w:pPr>
              <w:pStyle w:val="54"/>
              <w:rPr>
                <w:rFonts w:ascii="Times New Roman" w:hAnsi="Times New Roman" w:eastAsia="仿宋_GB2312"/>
                <w:color w:val="auto"/>
                <w:sz w:val="30"/>
                <w:szCs w:val="30"/>
                <w:highlight w:val="none"/>
              </w:rPr>
            </w:pPr>
          </w:p>
        </w:tc>
        <w:tc>
          <w:tcPr>
            <w:tcW w:w="1450" w:type="dxa"/>
          </w:tcPr>
          <w:p w14:paraId="669CB5A6">
            <w:pPr>
              <w:pStyle w:val="54"/>
              <w:rPr>
                <w:rFonts w:ascii="Times New Roman" w:hAnsi="Times New Roman" w:eastAsia="仿宋_GB2312"/>
                <w:color w:val="auto"/>
                <w:sz w:val="30"/>
                <w:szCs w:val="30"/>
                <w:highlight w:val="none"/>
              </w:rPr>
            </w:pPr>
          </w:p>
        </w:tc>
        <w:tc>
          <w:tcPr>
            <w:tcW w:w="1243" w:type="dxa"/>
          </w:tcPr>
          <w:p w14:paraId="332B8999">
            <w:pPr>
              <w:pStyle w:val="54"/>
              <w:rPr>
                <w:rFonts w:ascii="Times New Roman" w:hAnsi="Times New Roman" w:eastAsia="仿宋_GB2312"/>
                <w:color w:val="auto"/>
                <w:sz w:val="30"/>
                <w:szCs w:val="30"/>
                <w:highlight w:val="none"/>
              </w:rPr>
            </w:pPr>
          </w:p>
        </w:tc>
        <w:tc>
          <w:tcPr>
            <w:tcW w:w="1450" w:type="dxa"/>
          </w:tcPr>
          <w:p w14:paraId="4FFB9094">
            <w:pPr>
              <w:pStyle w:val="54"/>
              <w:rPr>
                <w:rFonts w:ascii="Times New Roman" w:hAnsi="Times New Roman" w:eastAsia="仿宋_GB2312"/>
                <w:color w:val="auto"/>
                <w:sz w:val="30"/>
                <w:szCs w:val="30"/>
                <w:highlight w:val="none"/>
              </w:rPr>
            </w:pPr>
          </w:p>
        </w:tc>
        <w:tc>
          <w:tcPr>
            <w:tcW w:w="1667" w:type="dxa"/>
          </w:tcPr>
          <w:p w14:paraId="59275568">
            <w:pPr>
              <w:pStyle w:val="54"/>
              <w:rPr>
                <w:rFonts w:ascii="Times New Roman" w:hAnsi="Times New Roman" w:eastAsia="仿宋_GB2312"/>
                <w:color w:val="auto"/>
                <w:sz w:val="30"/>
                <w:szCs w:val="30"/>
                <w:highlight w:val="none"/>
              </w:rPr>
            </w:pPr>
          </w:p>
        </w:tc>
      </w:tr>
      <w:tr w14:paraId="7F523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8EE1E8C">
            <w:pPr>
              <w:pStyle w:val="54"/>
              <w:rPr>
                <w:rFonts w:ascii="Times New Roman" w:hAnsi="Times New Roman" w:eastAsia="仿宋_GB2312"/>
                <w:color w:val="auto"/>
                <w:sz w:val="30"/>
                <w:szCs w:val="30"/>
                <w:highlight w:val="none"/>
              </w:rPr>
            </w:pPr>
          </w:p>
        </w:tc>
        <w:tc>
          <w:tcPr>
            <w:tcW w:w="1276" w:type="dxa"/>
          </w:tcPr>
          <w:p w14:paraId="22EEE18D">
            <w:pPr>
              <w:pStyle w:val="54"/>
              <w:rPr>
                <w:rFonts w:ascii="Times New Roman" w:hAnsi="Times New Roman" w:eastAsia="仿宋_GB2312"/>
                <w:color w:val="auto"/>
                <w:sz w:val="30"/>
                <w:szCs w:val="30"/>
                <w:highlight w:val="none"/>
              </w:rPr>
            </w:pPr>
          </w:p>
        </w:tc>
        <w:tc>
          <w:tcPr>
            <w:tcW w:w="1450" w:type="dxa"/>
          </w:tcPr>
          <w:p w14:paraId="2E63012A">
            <w:pPr>
              <w:pStyle w:val="54"/>
              <w:rPr>
                <w:rFonts w:ascii="Times New Roman" w:hAnsi="Times New Roman" w:eastAsia="仿宋_GB2312"/>
                <w:color w:val="auto"/>
                <w:sz w:val="30"/>
                <w:szCs w:val="30"/>
                <w:highlight w:val="none"/>
              </w:rPr>
            </w:pPr>
          </w:p>
        </w:tc>
        <w:tc>
          <w:tcPr>
            <w:tcW w:w="1243" w:type="dxa"/>
          </w:tcPr>
          <w:p w14:paraId="52D7DBCF">
            <w:pPr>
              <w:pStyle w:val="54"/>
              <w:rPr>
                <w:rFonts w:ascii="Times New Roman" w:hAnsi="Times New Roman" w:eastAsia="仿宋_GB2312"/>
                <w:color w:val="auto"/>
                <w:sz w:val="30"/>
                <w:szCs w:val="30"/>
                <w:highlight w:val="none"/>
              </w:rPr>
            </w:pPr>
          </w:p>
        </w:tc>
        <w:tc>
          <w:tcPr>
            <w:tcW w:w="1450" w:type="dxa"/>
          </w:tcPr>
          <w:p w14:paraId="389FD4CD">
            <w:pPr>
              <w:pStyle w:val="54"/>
              <w:rPr>
                <w:rFonts w:ascii="Times New Roman" w:hAnsi="Times New Roman" w:eastAsia="仿宋_GB2312"/>
                <w:color w:val="auto"/>
                <w:sz w:val="30"/>
                <w:szCs w:val="30"/>
                <w:highlight w:val="none"/>
              </w:rPr>
            </w:pPr>
          </w:p>
        </w:tc>
        <w:tc>
          <w:tcPr>
            <w:tcW w:w="1667" w:type="dxa"/>
          </w:tcPr>
          <w:p w14:paraId="04E15B06">
            <w:pPr>
              <w:pStyle w:val="54"/>
              <w:rPr>
                <w:rFonts w:ascii="Times New Roman" w:hAnsi="Times New Roman" w:eastAsia="仿宋_GB2312"/>
                <w:color w:val="auto"/>
                <w:sz w:val="30"/>
                <w:szCs w:val="30"/>
                <w:highlight w:val="none"/>
              </w:rPr>
            </w:pPr>
          </w:p>
        </w:tc>
      </w:tr>
      <w:tr w14:paraId="07092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6032A4D">
            <w:pPr>
              <w:pStyle w:val="54"/>
              <w:rPr>
                <w:rFonts w:ascii="Times New Roman" w:hAnsi="Times New Roman" w:eastAsia="仿宋_GB2312"/>
                <w:color w:val="auto"/>
                <w:sz w:val="30"/>
                <w:szCs w:val="30"/>
                <w:highlight w:val="none"/>
              </w:rPr>
            </w:pPr>
          </w:p>
        </w:tc>
        <w:tc>
          <w:tcPr>
            <w:tcW w:w="1276" w:type="dxa"/>
          </w:tcPr>
          <w:p w14:paraId="12021F1A">
            <w:pPr>
              <w:pStyle w:val="54"/>
              <w:rPr>
                <w:rFonts w:ascii="Times New Roman" w:hAnsi="Times New Roman" w:eastAsia="仿宋_GB2312"/>
                <w:color w:val="auto"/>
                <w:sz w:val="30"/>
                <w:szCs w:val="30"/>
                <w:highlight w:val="none"/>
              </w:rPr>
            </w:pPr>
          </w:p>
        </w:tc>
        <w:tc>
          <w:tcPr>
            <w:tcW w:w="1450" w:type="dxa"/>
          </w:tcPr>
          <w:p w14:paraId="4B159799">
            <w:pPr>
              <w:pStyle w:val="54"/>
              <w:rPr>
                <w:rFonts w:ascii="Times New Roman" w:hAnsi="Times New Roman" w:eastAsia="仿宋_GB2312"/>
                <w:color w:val="auto"/>
                <w:sz w:val="30"/>
                <w:szCs w:val="30"/>
                <w:highlight w:val="none"/>
              </w:rPr>
            </w:pPr>
          </w:p>
        </w:tc>
        <w:tc>
          <w:tcPr>
            <w:tcW w:w="1243" w:type="dxa"/>
          </w:tcPr>
          <w:p w14:paraId="70C7560B">
            <w:pPr>
              <w:pStyle w:val="54"/>
              <w:rPr>
                <w:rFonts w:ascii="Times New Roman" w:hAnsi="Times New Roman" w:eastAsia="仿宋_GB2312"/>
                <w:color w:val="auto"/>
                <w:sz w:val="30"/>
                <w:szCs w:val="30"/>
                <w:highlight w:val="none"/>
              </w:rPr>
            </w:pPr>
          </w:p>
        </w:tc>
        <w:tc>
          <w:tcPr>
            <w:tcW w:w="1450" w:type="dxa"/>
          </w:tcPr>
          <w:p w14:paraId="366C57E4">
            <w:pPr>
              <w:pStyle w:val="54"/>
              <w:rPr>
                <w:rFonts w:ascii="Times New Roman" w:hAnsi="Times New Roman" w:eastAsia="仿宋_GB2312"/>
                <w:color w:val="auto"/>
                <w:sz w:val="30"/>
                <w:szCs w:val="30"/>
                <w:highlight w:val="none"/>
              </w:rPr>
            </w:pPr>
          </w:p>
        </w:tc>
        <w:tc>
          <w:tcPr>
            <w:tcW w:w="1667" w:type="dxa"/>
          </w:tcPr>
          <w:p w14:paraId="4F58883D">
            <w:pPr>
              <w:pStyle w:val="54"/>
              <w:rPr>
                <w:rFonts w:ascii="Times New Roman" w:hAnsi="Times New Roman" w:eastAsia="仿宋_GB2312"/>
                <w:color w:val="auto"/>
                <w:sz w:val="30"/>
                <w:szCs w:val="30"/>
                <w:highlight w:val="none"/>
              </w:rPr>
            </w:pPr>
          </w:p>
        </w:tc>
      </w:tr>
      <w:tr w14:paraId="30CC7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72AD580">
            <w:pPr>
              <w:pStyle w:val="54"/>
              <w:rPr>
                <w:rFonts w:ascii="Times New Roman" w:hAnsi="Times New Roman" w:eastAsia="仿宋_GB2312"/>
                <w:color w:val="auto"/>
                <w:sz w:val="30"/>
                <w:szCs w:val="30"/>
                <w:highlight w:val="none"/>
              </w:rPr>
            </w:pPr>
          </w:p>
        </w:tc>
        <w:tc>
          <w:tcPr>
            <w:tcW w:w="1276" w:type="dxa"/>
          </w:tcPr>
          <w:p w14:paraId="3ED8213D">
            <w:pPr>
              <w:pStyle w:val="54"/>
              <w:rPr>
                <w:rFonts w:ascii="Times New Roman" w:hAnsi="Times New Roman" w:eastAsia="仿宋_GB2312"/>
                <w:color w:val="auto"/>
                <w:sz w:val="30"/>
                <w:szCs w:val="30"/>
                <w:highlight w:val="none"/>
              </w:rPr>
            </w:pPr>
          </w:p>
        </w:tc>
        <w:tc>
          <w:tcPr>
            <w:tcW w:w="1450" w:type="dxa"/>
          </w:tcPr>
          <w:p w14:paraId="67BD1B74">
            <w:pPr>
              <w:pStyle w:val="54"/>
              <w:rPr>
                <w:rFonts w:ascii="Times New Roman" w:hAnsi="Times New Roman" w:eastAsia="仿宋_GB2312"/>
                <w:color w:val="auto"/>
                <w:sz w:val="30"/>
                <w:szCs w:val="30"/>
                <w:highlight w:val="none"/>
              </w:rPr>
            </w:pPr>
          </w:p>
        </w:tc>
        <w:tc>
          <w:tcPr>
            <w:tcW w:w="1243" w:type="dxa"/>
          </w:tcPr>
          <w:p w14:paraId="04D43F2E">
            <w:pPr>
              <w:pStyle w:val="54"/>
              <w:rPr>
                <w:rFonts w:ascii="Times New Roman" w:hAnsi="Times New Roman" w:eastAsia="仿宋_GB2312"/>
                <w:color w:val="auto"/>
                <w:sz w:val="30"/>
                <w:szCs w:val="30"/>
                <w:highlight w:val="none"/>
              </w:rPr>
            </w:pPr>
          </w:p>
        </w:tc>
        <w:tc>
          <w:tcPr>
            <w:tcW w:w="1450" w:type="dxa"/>
          </w:tcPr>
          <w:p w14:paraId="4E79AB42">
            <w:pPr>
              <w:pStyle w:val="54"/>
              <w:rPr>
                <w:rFonts w:ascii="Times New Roman" w:hAnsi="Times New Roman" w:eastAsia="仿宋_GB2312"/>
                <w:color w:val="auto"/>
                <w:sz w:val="30"/>
                <w:szCs w:val="30"/>
                <w:highlight w:val="none"/>
              </w:rPr>
            </w:pPr>
          </w:p>
        </w:tc>
        <w:tc>
          <w:tcPr>
            <w:tcW w:w="1667" w:type="dxa"/>
          </w:tcPr>
          <w:p w14:paraId="3AD498C6">
            <w:pPr>
              <w:pStyle w:val="54"/>
              <w:rPr>
                <w:rFonts w:ascii="Times New Roman" w:hAnsi="Times New Roman" w:eastAsia="仿宋_GB2312"/>
                <w:color w:val="auto"/>
                <w:sz w:val="30"/>
                <w:szCs w:val="30"/>
                <w:highlight w:val="none"/>
              </w:rPr>
            </w:pPr>
          </w:p>
        </w:tc>
      </w:tr>
      <w:tr w14:paraId="27DE2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DCB7C27">
            <w:pPr>
              <w:pStyle w:val="54"/>
              <w:rPr>
                <w:rFonts w:ascii="Times New Roman" w:hAnsi="Times New Roman" w:eastAsia="仿宋_GB2312"/>
                <w:color w:val="auto"/>
                <w:sz w:val="30"/>
                <w:szCs w:val="30"/>
                <w:highlight w:val="none"/>
              </w:rPr>
            </w:pPr>
          </w:p>
        </w:tc>
        <w:tc>
          <w:tcPr>
            <w:tcW w:w="1276" w:type="dxa"/>
          </w:tcPr>
          <w:p w14:paraId="558FBA04">
            <w:pPr>
              <w:pStyle w:val="54"/>
              <w:rPr>
                <w:rFonts w:ascii="Times New Roman" w:hAnsi="Times New Roman" w:eastAsia="仿宋_GB2312"/>
                <w:color w:val="auto"/>
                <w:sz w:val="30"/>
                <w:szCs w:val="30"/>
                <w:highlight w:val="none"/>
              </w:rPr>
            </w:pPr>
          </w:p>
        </w:tc>
        <w:tc>
          <w:tcPr>
            <w:tcW w:w="1450" w:type="dxa"/>
          </w:tcPr>
          <w:p w14:paraId="6AA239CB">
            <w:pPr>
              <w:pStyle w:val="54"/>
              <w:rPr>
                <w:rFonts w:ascii="Times New Roman" w:hAnsi="Times New Roman" w:eastAsia="仿宋_GB2312"/>
                <w:color w:val="auto"/>
                <w:sz w:val="30"/>
                <w:szCs w:val="30"/>
                <w:highlight w:val="none"/>
              </w:rPr>
            </w:pPr>
          </w:p>
        </w:tc>
        <w:tc>
          <w:tcPr>
            <w:tcW w:w="1243" w:type="dxa"/>
          </w:tcPr>
          <w:p w14:paraId="60DB81C5">
            <w:pPr>
              <w:pStyle w:val="54"/>
              <w:rPr>
                <w:rFonts w:ascii="Times New Roman" w:hAnsi="Times New Roman" w:eastAsia="仿宋_GB2312"/>
                <w:color w:val="auto"/>
                <w:sz w:val="30"/>
                <w:szCs w:val="30"/>
                <w:highlight w:val="none"/>
              </w:rPr>
            </w:pPr>
          </w:p>
        </w:tc>
        <w:tc>
          <w:tcPr>
            <w:tcW w:w="1450" w:type="dxa"/>
          </w:tcPr>
          <w:p w14:paraId="748FB6D1">
            <w:pPr>
              <w:pStyle w:val="54"/>
              <w:rPr>
                <w:rFonts w:ascii="Times New Roman" w:hAnsi="Times New Roman" w:eastAsia="仿宋_GB2312"/>
                <w:color w:val="auto"/>
                <w:sz w:val="30"/>
                <w:szCs w:val="30"/>
                <w:highlight w:val="none"/>
              </w:rPr>
            </w:pPr>
          </w:p>
        </w:tc>
        <w:tc>
          <w:tcPr>
            <w:tcW w:w="1667" w:type="dxa"/>
          </w:tcPr>
          <w:p w14:paraId="2DADC972">
            <w:pPr>
              <w:pStyle w:val="54"/>
              <w:rPr>
                <w:rFonts w:ascii="Times New Roman" w:hAnsi="Times New Roman" w:eastAsia="仿宋_GB2312"/>
                <w:color w:val="auto"/>
                <w:sz w:val="30"/>
                <w:szCs w:val="30"/>
                <w:highlight w:val="none"/>
              </w:rPr>
            </w:pPr>
          </w:p>
        </w:tc>
      </w:tr>
    </w:tbl>
    <w:p w14:paraId="3C11E2C9">
      <w:pPr>
        <w:pStyle w:val="54"/>
        <w:spacing w:line="440" w:lineRule="exact"/>
        <w:rPr>
          <w:rFonts w:ascii="Times New Roman" w:hAnsi="Times New Roman" w:eastAsia="仿宋_GB2312"/>
          <w:color w:val="auto"/>
          <w:sz w:val="30"/>
          <w:szCs w:val="30"/>
          <w:highlight w:val="none"/>
        </w:rPr>
      </w:pPr>
    </w:p>
    <w:p w14:paraId="0B7B53FB">
      <w:pPr>
        <w:pStyle w:val="54"/>
        <w:spacing w:line="440" w:lineRule="exact"/>
        <w:rPr>
          <w:rFonts w:ascii="Times New Roman" w:hAnsi="Times New Roman" w:eastAsia="黑体"/>
          <w:color w:val="auto"/>
          <w:sz w:val="30"/>
          <w:szCs w:val="30"/>
          <w:highlight w:val="none"/>
        </w:rPr>
      </w:pPr>
      <w:r>
        <w:rPr>
          <w:rFonts w:ascii="Times New Roman" w:hAnsi="Times New Roman" w:eastAsia="仿宋_GB2312"/>
          <w:color w:val="auto"/>
          <w:sz w:val="30"/>
          <w:szCs w:val="30"/>
          <w:highlight w:val="none"/>
        </w:rPr>
        <w:br w:type="page"/>
      </w:r>
      <w:r>
        <w:rPr>
          <w:rFonts w:hint="eastAsia" w:ascii="Times New Roman" w:hAnsi="Times New Roman" w:eastAsia="仿宋_GB2312" w:cs="仿宋_GB2312"/>
          <w:color w:val="auto"/>
          <w:sz w:val="30"/>
          <w:szCs w:val="30"/>
          <w:highlight w:val="none"/>
        </w:rPr>
        <w:t>附件</w:t>
      </w:r>
      <w:r>
        <w:rPr>
          <w:rFonts w:hint="eastAsia" w:ascii="Times New Roman" w:hAnsi="Times New Roman" w:eastAsia="仿宋_GB2312"/>
          <w:color w:val="auto"/>
          <w:sz w:val="30"/>
          <w:szCs w:val="30"/>
          <w:highlight w:val="none"/>
        </w:rPr>
        <w:t>4</w:t>
      </w:r>
      <w:r>
        <w:rPr>
          <w:rFonts w:hint="eastAsia" w:ascii="Times New Roman" w:hAnsi="Times New Roman" w:eastAsia="仿宋_GB2312" w:cs="仿宋_GB2312"/>
          <w:color w:val="auto"/>
          <w:sz w:val="30"/>
          <w:szCs w:val="30"/>
          <w:highlight w:val="none"/>
        </w:rPr>
        <w:t>：</w:t>
      </w:r>
    </w:p>
    <w:p w14:paraId="6C7B9A55">
      <w:pPr>
        <w:pStyle w:val="54"/>
        <w:spacing w:before="120" w:beforeLines="50" w:after="120" w:afterLines="50" w:line="440" w:lineRule="exact"/>
        <w:jc w:val="center"/>
        <w:rPr>
          <w:rFonts w:ascii="Times New Roman" w:hAnsi="Times New Roman" w:eastAsia="黑体"/>
          <w:color w:val="auto"/>
          <w:sz w:val="30"/>
          <w:szCs w:val="30"/>
          <w:highlight w:val="none"/>
        </w:rPr>
      </w:pPr>
      <w:r>
        <w:rPr>
          <w:rFonts w:hint="eastAsia" w:ascii="Times New Roman" w:hAnsi="Times New Roman" w:eastAsia="黑体" w:cs="黑体"/>
          <w:color w:val="auto"/>
          <w:sz w:val="30"/>
          <w:szCs w:val="30"/>
          <w:highlight w:val="none"/>
        </w:rPr>
        <w:t>承包人用于本工程施工的机械设备表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4063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2DF653F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序号</w:t>
            </w:r>
          </w:p>
        </w:tc>
        <w:tc>
          <w:tcPr>
            <w:tcW w:w="1418" w:type="dxa"/>
            <w:vAlign w:val="center"/>
          </w:tcPr>
          <w:p w14:paraId="35A0269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机械或设备名称</w:t>
            </w:r>
          </w:p>
        </w:tc>
        <w:tc>
          <w:tcPr>
            <w:tcW w:w="850" w:type="dxa"/>
            <w:vAlign w:val="center"/>
          </w:tcPr>
          <w:p w14:paraId="0C599636">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规格型号</w:t>
            </w:r>
          </w:p>
        </w:tc>
        <w:tc>
          <w:tcPr>
            <w:tcW w:w="1058" w:type="dxa"/>
            <w:vAlign w:val="center"/>
          </w:tcPr>
          <w:p w14:paraId="4EC63EF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数量</w:t>
            </w:r>
          </w:p>
        </w:tc>
        <w:tc>
          <w:tcPr>
            <w:tcW w:w="880" w:type="dxa"/>
            <w:vAlign w:val="center"/>
          </w:tcPr>
          <w:p w14:paraId="1BE146D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产地</w:t>
            </w:r>
          </w:p>
        </w:tc>
        <w:tc>
          <w:tcPr>
            <w:tcW w:w="1020" w:type="dxa"/>
            <w:vAlign w:val="center"/>
          </w:tcPr>
          <w:p w14:paraId="71E4A82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制造年份</w:t>
            </w:r>
          </w:p>
        </w:tc>
        <w:tc>
          <w:tcPr>
            <w:tcW w:w="1480" w:type="dxa"/>
            <w:vAlign w:val="center"/>
          </w:tcPr>
          <w:p w14:paraId="1F04CC6B">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额定功率（</w:t>
            </w:r>
            <w:r>
              <w:rPr>
                <w:rFonts w:ascii="Times New Roman" w:hAnsi="Times New Roman" w:eastAsia="仿宋_GB2312"/>
                <w:color w:val="auto"/>
                <w:sz w:val="28"/>
                <w:szCs w:val="28"/>
                <w:highlight w:val="none"/>
              </w:rPr>
              <w:t>kW</w:t>
            </w:r>
            <w:r>
              <w:rPr>
                <w:rFonts w:hint="eastAsia" w:ascii="Times New Roman" w:hAnsi="Times New Roman" w:eastAsia="仿宋_GB2312" w:cs="仿宋_GB2312"/>
                <w:color w:val="auto"/>
                <w:sz w:val="28"/>
                <w:szCs w:val="28"/>
                <w:highlight w:val="none"/>
              </w:rPr>
              <w:t>）</w:t>
            </w:r>
          </w:p>
        </w:tc>
        <w:tc>
          <w:tcPr>
            <w:tcW w:w="1020" w:type="dxa"/>
            <w:vAlign w:val="center"/>
          </w:tcPr>
          <w:p w14:paraId="1B53E76D">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生产能力</w:t>
            </w:r>
          </w:p>
        </w:tc>
        <w:tc>
          <w:tcPr>
            <w:tcW w:w="921" w:type="dxa"/>
            <w:vAlign w:val="center"/>
          </w:tcPr>
          <w:p w14:paraId="5E7B69DC">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备注</w:t>
            </w:r>
          </w:p>
        </w:tc>
      </w:tr>
      <w:tr w14:paraId="32C8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B193696">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8" w:type="dxa"/>
            <w:vAlign w:val="center"/>
          </w:tcPr>
          <w:p w14:paraId="538BAF1C">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6763422B">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58" w:type="dxa"/>
            <w:vAlign w:val="center"/>
          </w:tcPr>
          <w:p w14:paraId="3C22183F">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80" w:type="dxa"/>
            <w:vAlign w:val="center"/>
          </w:tcPr>
          <w:p w14:paraId="53F5081B">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666035A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80" w:type="dxa"/>
            <w:vAlign w:val="center"/>
          </w:tcPr>
          <w:p w14:paraId="662A9A66">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228C961E">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921" w:type="dxa"/>
            <w:vAlign w:val="center"/>
          </w:tcPr>
          <w:p w14:paraId="2F44DE5C">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1785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66A525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8" w:type="dxa"/>
            <w:vAlign w:val="center"/>
          </w:tcPr>
          <w:p w14:paraId="64613CD6">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0EEA3426">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58" w:type="dxa"/>
            <w:vAlign w:val="center"/>
          </w:tcPr>
          <w:p w14:paraId="57137E34">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80" w:type="dxa"/>
            <w:vAlign w:val="center"/>
          </w:tcPr>
          <w:p w14:paraId="1690670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75A604B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80" w:type="dxa"/>
            <w:vAlign w:val="center"/>
          </w:tcPr>
          <w:p w14:paraId="3296AB3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5470F4C2">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921" w:type="dxa"/>
            <w:vAlign w:val="center"/>
          </w:tcPr>
          <w:p w14:paraId="0B5F1DC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2836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5F5B8AE">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8" w:type="dxa"/>
            <w:vAlign w:val="center"/>
          </w:tcPr>
          <w:p w14:paraId="0CD84E9B">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72EE28C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58" w:type="dxa"/>
            <w:vAlign w:val="center"/>
          </w:tcPr>
          <w:p w14:paraId="64244ECF">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80" w:type="dxa"/>
            <w:vAlign w:val="center"/>
          </w:tcPr>
          <w:p w14:paraId="2102FF66">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17897712">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80" w:type="dxa"/>
            <w:vAlign w:val="center"/>
          </w:tcPr>
          <w:p w14:paraId="05A9FE6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3EF53CC2">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921" w:type="dxa"/>
            <w:vAlign w:val="center"/>
          </w:tcPr>
          <w:p w14:paraId="2434E836">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4757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537B08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8" w:type="dxa"/>
            <w:vAlign w:val="center"/>
          </w:tcPr>
          <w:p w14:paraId="345C32A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388A181A">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58" w:type="dxa"/>
            <w:vAlign w:val="center"/>
          </w:tcPr>
          <w:p w14:paraId="56E4643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80" w:type="dxa"/>
            <w:vAlign w:val="center"/>
          </w:tcPr>
          <w:p w14:paraId="651FD251">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446A992E">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80" w:type="dxa"/>
            <w:vAlign w:val="center"/>
          </w:tcPr>
          <w:p w14:paraId="2C5F54AB">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55D4E92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921" w:type="dxa"/>
            <w:vAlign w:val="center"/>
          </w:tcPr>
          <w:p w14:paraId="3D2B3C7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6137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3F1173E">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8" w:type="dxa"/>
            <w:vAlign w:val="center"/>
          </w:tcPr>
          <w:p w14:paraId="1FD537FD">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57DB1CE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58" w:type="dxa"/>
            <w:vAlign w:val="center"/>
          </w:tcPr>
          <w:p w14:paraId="63E6609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80" w:type="dxa"/>
            <w:vAlign w:val="center"/>
          </w:tcPr>
          <w:p w14:paraId="2FAA5DEC">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6DE74CD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80" w:type="dxa"/>
            <w:vAlign w:val="center"/>
          </w:tcPr>
          <w:p w14:paraId="13737E9B">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430B5136">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921" w:type="dxa"/>
            <w:vAlign w:val="center"/>
          </w:tcPr>
          <w:p w14:paraId="47ACD47E">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5F1C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790FECE">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8" w:type="dxa"/>
            <w:vAlign w:val="center"/>
          </w:tcPr>
          <w:p w14:paraId="3D35D0A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05292694">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58" w:type="dxa"/>
            <w:vAlign w:val="center"/>
          </w:tcPr>
          <w:p w14:paraId="20125ED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80" w:type="dxa"/>
            <w:vAlign w:val="center"/>
          </w:tcPr>
          <w:p w14:paraId="3F89D6C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33FACD4C">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80" w:type="dxa"/>
            <w:vAlign w:val="center"/>
          </w:tcPr>
          <w:p w14:paraId="36D639D6">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0DBC673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921" w:type="dxa"/>
            <w:vAlign w:val="center"/>
          </w:tcPr>
          <w:p w14:paraId="7C52F2D2">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02B2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A50865A">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8" w:type="dxa"/>
            <w:vAlign w:val="center"/>
          </w:tcPr>
          <w:p w14:paraId="7AEF5896">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798DA1C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58" w:type="dxa"/>
            <w:vAlign w:val="center"/>
          </w:tcPr>
          <w:p w14:paraId="65B9B17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80" w:type="dxa"/>
            <w:vAlign w:val="center"/>
          </w:tcPr>
          <w:p w14:paraId="491AAD5E">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27C7FE7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80" w:type="dxa"/>
            <w:vAlign w:val="center"/>
          </w:tcPr>
          <w:p w14:paraId="189D4964">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2C6C3ACC">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921" w:type="dxa"/>
            <w:vAlign w:val="center"/>
          </w:tcPr>
          <w:p w14:paraId="11B4A9B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0C9A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59F862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8" w:type="dxa"/>
            <w:vAlign w:val="center"/>
          </w:tcPr>
          <w:p w14:paraId="59DDC69A">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3FA30E5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58" w:type="dxa"/>
            <w:vAlign w:val="center"/>
          </w:tcPr>
          <w:p w14:paraId="68DE41EF">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80" w:type="dxa"/>
            <w:vAlign w:val="center"/>
          </w:tcPr>
          <w:p w14:paraId="30D1979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4A9E78A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80" w:type="dxa"/>
            <w:vAlign w:val="center"/>
          </w:tcPr>
          <w:p w14:paraId="34EB754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58D1757E">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921" w:type="dxa"/>
            <w:vAlign w:val="center"/>
          </w:tcPr>
          <w:p w14:paraId="06D7909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63BB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1196ADB">
            <w:pPr>
              <w:pStyle w:val="54"/>
              <w:rPr>
                <w:rFonts w:ascii="Times New Roman" w:hAnsi="Times New Roman" w:eastAsia="仿宋_GB2312"/>
                <w:color w:val="auto"/>
                <w:sz w:val="30"/>
                <w:szCs w:val="30"/>
                <w:highlight w:val="none"/>
              </w:rPr>
            </w:pPr>
          </w:p>
        </w:tc>
        <w:tc>
          <w:tcPr>
            <w:tcW w:w="1418" w:type="dxa"/>
          </w:tcPr>
          <w:p w14:paraId="3480696F">
            <w:pPr>
              <w:pStyle w:val="54"/>
              <w:rPr>
                <w:rFonts w:ascii="Times New Roman" w:hAnsi="Times New Roman" w:eastAsia="仿宋_GB2312"/>
                <w:color w:val="auto"/>
                <w:sz w:val="30"/>
                <w:szCs w:val="30"/>
                <w:highlight w:val="none"/>
              </w:rPr>
            </w:pPr>
          </w:p>
        </w:tc>
        <w:tc>
          <w:tcPr>
            <w:tcW w:w="850" w:type="dxa"/>
          </w:tcPr>
          <w:p w14:paraId="2F3D89B7">
            <w:pPr>
              <w:pStyle w:val="54"/>
              <w:rPr>
                <w:rFonts w:ascii="Times New Roman" w:hAnsi="Times New Roman" w:eastAsia="仿宋_GB2312"/>
                <w:color w:val="auto"/>
                <w:sz w:val="30"/>
                <w:szCs w:val="30"/>
                <w:highlight w:val="none"/>
              </w:rPr>
            </w:pPr>
          </w:p>
        </w:tc>
        <w:tc>
          <w:tcPr>
            <w:tcW w:w="1058" w:type="dxa"/>
          </w:tcPr>
          <w:p w14:paraId="393E5F79">
            <w:pPr>
              <w:pStyle w:val="54"/>
              <w:rPr>
                <w:rFonts w:ascii="Times New Roman" w:hAnsi="Times New Roman" w:eastAsia="仿宋_GB2312"/>
                <w:color w:val="auto"/>
                <w:sz w:val="30"/>
                <w:szCs w:val="30"/>
                <w:highlight w:val="none"/>
              </w:rPr>
            </w:pPr>
          </w:p>
        </w:tc>
        <w:tc>
          <w:tcPr>
            <w:tcW w:w="880" w:type="dxa"/>
          </w:tcPr>
          <w:p w14:paraId="36EC0F6B">
            <w:pPr>
              <w:pStyle w:val="54"/>
              <w:rPr>
                <w:rFonts w:ascii="Times New Roman" w:hAnsi="Times New Roman" w:eastAsia="仿宋_GB2312"/>
                <w:color w:val="auto"/>
                <w:sz w:val="30"/>
                <w:szCs w:val="30"/>
                <w:highlight w:val="none"/>
              </w:rPr>
            </w:pPr>
          </w:p>
        </w:tc>
        <w:tc>
          <w:tcPr>
            <w:tcW w:w="1020" w:type="dxa"/>
          </w:tcPr>
          <w:p w14:paraId="01107BDC">
            <w:pPr>
              <w:pStyle w:val="54"/>
              <w:rPr>
                <w:rFonts w:ascii="Times New Roman" w:hAnsi="Times New Roman" w:eastAsia="仿宋_GB2312"/>
                <w:color w:val="auto"/>
                <w:sz w:val="30"/>
                <w:szCs w:val="30"/>
                <w:highlight w:val="none"/>
              </w:rPr>
            </w:pPr>
          </w:p>
        </w:tc>
        <w:tc>
          <w:tcPr>
            <w:tcW w:w="1480" w:type="dxa"/>
          </w:tcPr>
          <w:p w14:paraId="4CD97B0E">
            <w:pPr>
              <w:pStyle w:val="54"/>
              <w:rPr>
                <w:rFonts w:ascii="Times New Roman" w:hAnsi="Times New Roman" w:eastAsia="仿宋_GB2312"/>
                <w:color w:val="auto"/>
                <w:sz w:val="30"/>
                <w:szCs w:val="30"/>
                <w:highlight w:val="none"/>
              </w:rPr>
            </w:pPr>
          </w:p>
        </w:tc>
        <w:tc>
          <w:tcPr>
            <w:tcW w:w="1020" w:type="dxa"/>
          </w:tcPr>
          <w:p w14:paraId="4514ED6A">
            <w:pPr>
              <w:pStyle w:val="54"/>
              <w:rPr>
                <w:rFonts w:ascii="Times New Roman" w:hAnsi="Times New Roman" w:eastAsia="仿宋_GB2312"/>
                <w:color w:val="auto"/>
                <w:sz w:val="30"/>
                <w:szCs w:val="30"/>
                <w:highlight w:val="none"/>
              </w:rPr>
            </w:pPr>
          </w:p>
        </w:tc>
        <w:tc>
          <w:tcPr>
            <w:tcW w:w="921" w:type="dxa"/>
          </w:tcPr>
          <w:p w14:paraId="19A9B189">
            <w:pPr>
              <w:pStyle w:val="54"/>
              <w:rPr>
                <w:rFonts w:ascii="Times New Roman" w:hAnsi="Times New Roman" w:eastAsia="仿宋_GB2312"/>
                <w:color w:val="auto"/>
                <w:sz w:val="30"/>
                <w:szCs w:val="30"/>
                <w:highlight w:val="none"/>
              </w:rPr>
            </w:pPr>
          </w:p>
        </w:tc>
      </w:tr>
      <w:tr w14:paraId="1F04E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709714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8" w:type="dxa"/>
            <w:vAlign w:val="center"/>
          </w:tcPr>
          <w:p w14:paraId="39D91C3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5D2E7586">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58" w:type="dxa"/>
            <w:vAlign w:val="center"/>
          </w:tcPr>
          <w:p w14:paraId="4E17C9C4">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80" w:type="dxa"/>
            <w:vAlign w:val="center"/>
          </w:tcPr>
          <w:p w14:paraId="349E712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364C23D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80" w:type="dxa"/>
            <w:vAlign w:val="center"/>
          </w:tcPr>
          <w:p w14:paraId="5BDCC1F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0834E49A">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921" w:type="dxa"/>
            <w:vAlign w:val="center"/>
          </w:tcPr>
          <w:p w14:paraId="7CF205D6">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08E6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F8DD6AC">
            <w:pPr>
              <w:pStyle w:val="54"/>
              <w:rPr>
                <w:rFonts w:ascii="Times New Roman" w:hAnsi="Times New Roman" w:eastAsia="仿宋_GB2312"/>
                <w:color w:val="auto"/>
                <w:sz w:val="30"/>
                <w:szCs w:val="30"/>
                <w:highlight w:val="none"/>
              </w:rPr>
            </w:pPr>
          </w:p>
        </w:tc>
        <w:tc>
          <w:tcPr>
            <w:tcW w:w="1418" w:type="dxa"/>
          </w:tcPr>
          <w:p w14:paraId="62A2A618">
            <w:pPr>
              <w:pStyle w:val="54"/>
              <w:rPr>
                <w:rFonts w:ascii="Times New Roman" w:hAnsi="Times New Roman" w:eastAsia="仿宋_GB2312"/>
                <w:color w:val="auto"/>
                <w:sz w:val="30"/>
                <w:szCs w:val="30"/>
                <w:highlight w:val="none"/>
              </w:rPr>
            </w:pPr>
          </w:p>
        </w:tc>
        <w:tc>
          <w:tcPr>
            <w:tcW w:w="850" w:type="dxa"/>
          </w:tcPr>
          <w:p w14:paraId="1D155D06">
            <w:pPr>
              <w:pStyle w:val="54"/>
              <w:rPr>
                <w:rFonts w:ascii="Times New Roman" w:hAnsi="Times New Roman" w:eastAsia="仿宋_GB2312"/>
                <w:color w:val="auto"/>
                <w:sz w:val="30"/>
                <w:szCs w:val="30"/>
                <w:highlight w:val="none"/>
              </w:rPr>
            </w:pPr>
          </w:p>
        </w:tc>
        <w:tc>
          <w:tcPr>
            <w:tcW w:w="1058" w:type="dxa"/>
          </w:tcPr>
          <w:p w14:paraId="4175D163">
            <w:pPr>
              <w:pStyle w:val="54"/>
              <w:rPr>
                <w:rFonts w:ascii="Times New Roman" w:hAnsi="Times New Roman" w:eastAsia="仿宋_GB2312"/>
                <w:color w:val="auto"/>
                <w:sz w:val="30"/>
                <w:szCs w:val="30"/>
                <w:highlight w:val="none"/>
              </w:rPr>
            </w:pPr>
          </w:p>
        </w:tc>
        <w:tc>
          <w:tcPr>
            <w:tcW w:w="880" w:type="dxa"/>
          </w:tcPr>
          <w:p w14:paraId="7C3A1B58">
            <w:pPr>
              <w:pStyle w:val="54"/>
              <w:rPr>
                <w:rFonts w:ascii="Times New Roman" w:hAnsi="Times New Roman" w:eastAsia="仿宋_GB2312"/>
                <w:color w:val="auto"/>
                <w:sz w:val="30"/>
                <w:szCs w:val="30"/>
                <w:highlight w:val="none"/>
              </w:rPr>
            </w:pPr>
          </w:p>
        </w:tc>
        <w:tc>
          <w:tcPr>
            <w:tcW w:w="1020" w:type="dxa"/>
          </w:tcPr>
          <w:p w14:paraId="0A492F33">
            <w:pPr>
              <w:pStyle w:val="54"/>
              <w:rPr>
                <w:rFonts w:ascii="Times New Roman" w:hAnsi="Times New Roman" w:eastAsia="仿宋_GB2312"/>
                <w:color w:val="auto"/>
                <w:sz w:val="30"/>
                <w:szCs w:val="30"/>
                <w:highlight w:val="none"/>
              </w:rPr>
            </w:pPr>
          </w:p>
        </w:tc>
        <w:tc>
          <w:tcPr>
            <w:tcW w:w="1480" w:type="dxa"/>
          </w:tcPr>
          <w:p w14:paraId="64A4A4A3">
            <w:pPr>
              <w:pStyle w:val="54"/>
              <w:rPr>
                <w:rFonts w:ascii="Times New Roman" w:hAnsi="Times New Roman" w:eastAsia="仿宋_GB2312"/>
                <w:color w:val="auto"/>
                <w:sz w:val="30"/>
                <w:szCs w:val="30"/>
                <w:highlight w:val="none"/>
              </w:rPr>
            </w:pPr>
          </w:p>
        </w:tc>
        <w:tc>
          <w:tcPr>
            <w:tcW w:w="1020" w:type="dxa"/>
          </w:tcPr>
          <w:p w14:paraId="5AC9CEC5">
            <w:pPr>
              <w:pStyle w:val="54"/>
              <w:rPr>
                <w:rFonts w:ascii="Times New Roman" w:hAnsi="Times New Roman" w:eastAsia="仿宋_GB2312"/>
                <w:color w:val="auto"/>
                <w:sz w:val="30"/>
                <w:szCs w:val="30"/>
                <w:highlight w:val="none"/>
              </w:rPr>
            </w:pPr>
          </w:p>
        </w:tc>
        <w:tc>
          <w:tcPr>
            <w:tcW w:w="921" w:type="dxa"/>
          </w:tcPr>
          <w:p w14:paraId="6CF32942">
            <w:pPr>
              <w:pStyle w:val="54"/>
              <w:rPr>
                <w:rFonts w:ascii="Times New Roman" w:hAnsi="Times New Roman" w:eastAsia="仿宋_GB2312"/>
                <w:color w:val="auto"/>
                <w:sz w:val="30"/>
                <w:szCs w:val="30"/>
                <w:highlight w:val="none"/>
              </w:rPr>
            </w:pPr>
          </w:p>
        </w:tc>
      </w:tr>
      <w:tr w14:paraId="638A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1BA3A1B0">
            <w:pPr>
              <w:pStyle w:val="54"/>
              <w:rPr>
                <w:rFonts w:ascii="Times New Roman" w:hAnsi="Times New Roman" w:eastAsia="仿宋_GB2312"/>
                <w:color w:val="auto"/>
                <w:sz w:val="30"/>
                <w:szCs w:val="30"/>
                <w:highlight w:val="none"/>
              </w:rPr>
            </w:pPr>
          </w:p>
        </w:tc>
        <w:tc>
          <w:tcPr>
            <w:tcW w:w="1418" w:type="dxa"/>
          </w:tcPr>
          <w:p w14:paraId="019307F5">
            <w:pPr>
              <w:pStyle w:val="54"/>
              <w:rPr>
                <w:rFonts w:ascii="Times New Roman" w:hAnsi="Times New Roman" w:eastAsia="仿宋_GB2312"/>
                <w:color w:val="auto"/>
                <w:sz w:val="30"/>
                <w:szCs w:val="30"/>
                <w:highlight w:val="none"/>
              </w:rPr>
            </w:pPr>
          </w:p>
        </w:tc>
        <w:tc>
          <w:tcPr>
            <w:tcW w:w="850" w:type="dxa"/>
          </w:tcPr>
          <w:p w14:paraId="0ED62474">
            <w:pPr>
              <w:pStyle w:val="54"/>
              <w:rPr>
                <w:rFonts w:ascii="Times New Roman" w:hAnsi="Times New Roman" w:eastAsia="仿宋_GB2312"/>
                <w:color w:val="auto"/>
                <w:sz w:val="30"/>
                <w:szCs w:val="30"/>
                <w:highlight w:val="none"/>
              </w:rPr>
            </w:pPr>
          </w:p>
        </w:tc>
        <w:tc>
          <w:tcPr>
            <w:tcW w:w="1058" w:type="dxa"/>
          </w:tcPr>
          <w:p w14:paraId="7DD814E2">
            <w:pPr>
              <w:pStyle w:val="54"/>
              <w:rPr>
                <w:rFonts w:ascii="Times New Roman" w:hAnsi="Times New Roman" w:eastAsia="仿宋_GB2312"/>
                <w:color w:val="auto"/>
                <w:sz w:val="30"/>
                <w:szCs w:val="30"/>
                <w:highlight w:val="none"/>
              </w:rPr>
            </w:pPr>
          </w:p>
        </w:tc>
        <w:tc>
          <w:tcPr>
            <w:tcW w:w="880" w:type="dxa"/>
          </w:tcPr>
          <w:p w14:paraId="4CAD59B1">
            <w:pPr>
              <w:pStyle w:val="54"/>
              <w:rPr>
                <w:rFonts w:ascii="Times New Roman" w:hAnsi="Times New Roman" w:eastAsia="仿宋_GB2312"/>
                <w:color w:val="auto"/>
                <w:sz w:val="30"/>
                <w:szCs w:val="30"/>
                <w:highlight w:val="none"/>
              </w:rPr>
            </w:pPr>
          </w:p>
        </w:tc>
        <w:tc>
          <w:tcPr>
            <w:tcW w:w="1020" w:type="dxa"/>
          </w:tcPr>
          <w:p w14:paraId="276A8797">
            <w:pPr>
              <w:pStyle w:val="54"/>
              <w:rPr>
                <w:rFonts w:ascii="Times New Roman" w:hAnsi="Times New Roman" w:eastAsia="仿宋_GB2312"/>
                <w:color w:val="auto"/>
                <w:sz w:val="30"/>
                <w:szCs w:val="30"/>
                <w:highlight w:val="none"/>
              </w:rPr>
            </w:pPr>
          </w:p>
        </w:tc>
        <w:tc>
          <w:tcPr>
            <w:tcW w:w="1480" w:type="dxa"/>
          </w:tcPr>
          <w:p w14:paraId="73FB990F">
            <w:pPr>
              <w:pStyle w:val="54"/>
              <w:rPr>
                <w:rFonts w:ascii="Times New Roman" w:hAnsi="Times New Roman" w:eastAsia="仿宋_GB2312"/>
                <w:color w:val="auto"/>
                <w:sz w:val="30"/>
                <w:szCs w:val="30"/>
                <w:highlight w:val="none"/>
              </w:rPr>
            </w:pPr>
          </w:p>
        </w:tc>
        <w:tc>
          <w:tcPr>
            <w:tcW w:w="1020" w:type="dxa"/>
          </w:tcPr>
          <w:p w14:paraId="1687CB9C">
            <w:pPr>
              <w:pStyle w:val="54"/>
              <w:rPr>
                <w:rFonts w:ascii="Times New Roman" w:hAnsi="Times New Roman" w:eastAsia="仿宋_GB2312"/>
                <w:color w:val="auto"/>
                <w:sz w:val="30"/>
                <w:szCs w:val="30"/>
                <w:highlight w:val="none"/>
              </w:rPr>
            </w:pPr>
          </w:p>
        </w:tc>
        <w:tc>
          <w:tcPr>
            <w:tcW w:w="921" w:type="dxa"/>
          </w:tcPr>
          <w:p w14:paraId="30759D60">
            <w:pPr>
              <w:pStyle w:val="54"/>
              <w:rPr>
                <w:rFonts w:ascii="Times New Roman" w:hAnsi="Times New Roman" w:eastAsia="仿宋_GB2312"/>
                <w:color w:val="auto"/>
                <w:sz w:val="30"/>
                <w:szCs w:val="30"/>
                <w:highlight w:val="none"/>
              </w:rPr>
            </w:pPr>
          </w:p>
        </w:tc>
      </w:tr>
      <w:tr w14:paraId="3B1E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54B5A7F7">
            <w:pPr>
              <w:pStyle w:val="54"/>
              <w:rPr>
                <w:rFonts w:ascii="Times New Roman" w:hAnsi="Times New Roman" w:eastAsia="仿宋_GB2312"/>
                <w:color w:val="auto"/>
                <w:sz w:val="30"/>
                <w:szCs w:val="30"/>
                <w:highlight w:val="none"/>
              </w:rPr>
            </w:pPr>
          </w:p>
        </w:tc>
        <w:tc>
          <w:tcPr>
            <w:tcW w:w="1418" w:type="dxa"/>
          </w:tcPr>
          <w:p w14:paraId="33721F0B">
            <w:pPr>
              <w:pStyle w:val="54"/>
              <w:rPr>
                <w:rFonts w:ascii="Times New Roman" w:hAnsi="Times New Roman" w:eastAsia="仿宋_GB2312"/>
                <w:color w:val="auto"/>
                <w:sz w:val="30"/>
                <w:szCs w:val="30"/>
                <w:highlight w:val="none"/>
              </w:rPr>
            </w:pPr>
          </w:p>
        </w:tc>
        <w:tc>
          <w:tcPr>
            <w:tcW w:w="850" w:type="dxa"/>
          </w:tcPr>
          <w:p w14:paraId="3C24F969">
            <w:pPr>
              <w:pStyle w:val="54"/>
              <w:rPr>
                <w:rFonts w:ascii="Times New Roman" w:hAnsi="Times New Roman" w:eastAsia="仿宋_GB2312"/>
                <w:color w:val="auto"/>
                <w:sz w:val="30"/>
                <w:szCs w:val="30"/>
                <w:highlight w:val="none"/>
              </w:rPr>
            </w:pPr>
          </w:p>
        </w:tc>
        <w:tc>
          <w:tcPr>
            <w:tcW w:w="1058" w:type="dxa"/>
          </w:tcPr>
          <w:p w14:paraId="289DE862">
            <w:pPr>
              <w:pStyle w:val="54"/>
              <w:rPr>
                <w:rFonts w:ascii="Times New Roman" w:hAnsi="Times New Roman" w:eastAsia="仿宋_GB2312"/>
                <w:color w:val="auto"/>
                <w:sz w:val="30"/>
                <w:szCs w:val="30"/>
                <w:highlight w:val="none"/>
              </w:rPr>
            </w:pPr>
          </w:p>
        </w:tc>
        <w:tc>
          <w:tcPr>
            <w:tcW w:w="880" w:type="dxa"/>
          </w:tcPr>
          <w:p w14:paraId="2C6346B5">
            <w:pPr>
              <w:pStyle w:val="54"/>
              <w:rPr>
                <w:rFonts w:ascii="Times New Roman" w:hAnsi="Times New Roman" w:eastAsia="仿宋_GB2312"/>
                <w:color w:val="auto"/>
                <w:sz w:val="30"/>
                <w:szCs w:val="30"/>
                <w:highlight w:val="none"/>
              </w:rPr>
            </w:pPr>
          </w:p>
        </w:tc>
        <w:tc>
          <w:tcPr>
            <w:tcW w:w="1020" w:type="dxa"/>
          </w:tcPr>
          <w:p w14:paraId="41BC5D92">
            <w:pPr>
              <w:pStyle w:val="54"/>
              <w:rPr>
                <w:rFonts w:ascii="Times New Roman" w:hAnsi="Times New Roman" w:eastAsia="仿宋_GB2312"/>
                <w:color w:val="auto"/>
                <w:sz w:val="30"/>
                <w:szCs w:val="30"/>
                <w:highlight w:val="none"/>
              </w:rPr>
            </w:pPr>
          </w:p>
        </w:tc>
        <w:tc>
          <w:tcPr>
            <w:tcW w:w="1480" w:type="dxa"/>
          </w:tcPr>
          <w:p w14:paraId="3C83B8E4">
            <w:pPr>
              <w:pStyle w:val="54"/>
              <w:rPr>
                <w:rFonts w:ascii="Times New Roman" w:hAnsi="Times New Roman" w:eastAsia="仿宋_GB2312"/>
                <w:color w:val="auto"/>
                <w:sz w:val="30"/>
                <w:szCs w:val="30"/>
                <w:highlight w:val="none"/>
              </w:rPr>
            </w:pPr>
          </w:p>
        </w:tc>
        <w:tc>
          <w:tcPr>
            <w:tcW w:w="1020" w:type="dxa"/>
          </w:tcPr>
          <w:p w14:paraId="1BAA4A9B">
            <w:pPr>
              <w:pStyle w:val="54"/>
              <w:rPr>
                <w:rFonts w:ascii="Times New Roman" w:hAnsi="Times New Roman" w:eastAsia="仿宋_GB2312"/>
                <w:color w:val="auto"/>
                <w:sz w:val="30"/>
                <w:szCs w:val="30"/>
                <w:highlight w:val="none"/>
              </w:rPr>
            </w:pPr>
          </w:p>
        </w:tc>
        <w:tc>
          <w:tcPr>
            <w:tcW w:w="921" w:type="dxa"/>
          </w:tcPr>
          <w:p w14:paraId="1E211F42">
            <w:pPr>
              <w:pStyle w:val="54"/>
              <w:rPr>
                <w:rFonts w:ascii="Times New Roman" w:hAnsi="Times New Roman" w:eastAsia="仿宋_GB2312"/>
                <w:color w:val="auto"/>
                <w:sz w:val="30"/>
                <w:szCs w:val="30"/>
                <w:highlight w:val="none"/>
              </w:rPr>
            </w:pPr>
          </w:p>
        </w:tc>
      </w:tr>
      <w:tr w14:paraId="241D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3335834E">
            <w:pPr>
              <w:pStyle w:val="54"/>
              <w:rPr>
                <w:rFonts w:ascii="Times New Roman" w:hAnsi="Times New Roman" w:eastAsia="仿宋_GB2312"/>
                <w:color w:val="auto"/>
                <w:sz w:val="30"/>
                <w:szCs w:val="30"/>
                <w:highlight w:val="none"/>
              </w:rPr>
            </w:pPr>
          </w:p>
        </w:tc>
        <w:tc>
          <w:tcPr>
            <w:tcW w:w="1418" w:type="dxa"/>
          </w:tcPr>
          <w:p w14:paraId="329187F8">
            <w:pPr>
              <w:pStyle w:val="54"/>
              <w:rPr>
                <w:rFonts w:ascii="Times New Roman" w:hAnsi="Times New Roman" w:eastAsia="仿宋_GB2312"/>
                <w:color w:val="auto"/>
                <w:sz w:val="30"/>
                <w:szCs w:val="30"/>
                <w:highlight w:val="none"/>
              </w:rPr>
            </w:pPr>
          </w:p>
        </w:tc>
        <w:tc>
          <w:tcPr>
            <w:tcW w:w="850" w:type="dxa"/>
          </w:tcPr>
          <w:p w14:paraId="1790D82C">
            <w:pPr>
              <w:pStyle w:val="54"/>
              <w:rPr>
                <w:rFonts w:ascii="Times New Roman" w:hAnsi="Times New Roman" w:eastAsia="仿宋_GB2312"/>
                <w:color w:val="auto"/>
                <w:sz w:val="30"/>
                <w:szCs w:val="30"/>
                <w:highlight w:val="none"/>
              </w:rPr>
            </w:pPr>
          </w:p>
        </w:tc>
        <w:tc>
          <w:tcPr>
            <w:tcW w:w="1058" w:type="dxa"/>
          </w:tcPr>
          <w:p w14:paraId="5AF1A81E">
            <w:pPr>
              <w:pStyle w:val="54"/>
              <w:rPr>
                <w:rFonts w:ascii="Times New Roman" w:hAnsi="Times New Roman" w:eastAsia="仿宋_GB2312"/>
                <w:color w:val="auto"/>
                <w:sz w:val="30"/>
                <w:szCs w:val="30"/>
                <w:highlight w:val="none"/>
              </w:rPr>
            </w:pPr>
          </w:p>
        </w:tc>
        <w:tc>
          <w:tcPr>
            <w:tcW w:w="880" w:type="dxa"/>
          </w:tcPr>
          <w:p w14:paraId="55F69BF3">
            <w:pPr>
              <w:pStyle w:val="54"/>
              <w:rPr>
                <w:rFonts w:ascii="Times New Roman" w:hAnsi="Times New Roman" w:eastAsia="仿宋_GB2312"/>
                <w:color w:val="auto"/>
                <w:sz w:val="30"/>
                <w:szCs w:val="30"/>
                <w:highlight w:val="none"/>
              </w:rPr>
            </w:pPr>
          </w:p>
        </w:tc>
        <w:tc>
          <w:tcPr>
            <w:tcW w:w="1020" w:type="dxa"/>
          </w:tcPr>
          <w:p w14:paraId="11E40BEA">
            <w:pPr>
              <w:pStyle w:val="54"/>
              <w:rPr>
                <w:rFonts w:ascii="Times New Roman" w:hAnsi="Times New Roman" w:eastAsia="仿宋_GB2312"/>
                <w:color w:val="auto"/>
                <w:sz w:val="30"/>
                <w:szCs w:val="30"/>
                <w:highlight w:val="none"/>
              </w:rPr>
            </w:pPr>
          </w:p>
        </w:tc>
        <w:tc>
          <w:tcPr>
            <w:tcW w:w="1480" w:type="dxa"/>
          </w:tcPr>
          <w:p w14:paraId="30EA6608">
            <w:pPr>
              <w:pStyle w:val="54"/>
              <w:rPr>
                <w:rFonts w:ascii="Times New Roman" w:hAnsi="Times New Roman" w:eastAsia="仿宋_GB2312"/>
                <w:color w:val="auto"/>
                <w:sz w:val="30"/>
                <w:szCs w:val="30"/>
                <w:highlight w:val="none"/>
              </w:rPr>
            </w:pPr>
          </w:p>
        </w:tc>
        <w:tc>
          <w:tcPr>
            <w:tcW w:w="1020" w:type="dxa"/>
          </w:tcPr>
          <w:p w14:paraId="3F330D78">
            <w:pPr>
              <w:pStyle w:val="54"/>
              <w:rPr>
                <w:rFonts w:ascii="Times New Roman" w:hAnsi="Times New Roman" w:eastAsia="仿宋_GB2312"/>
                <w:color w:val="auto"/>
                <w:sz w:val="30"/>
                <w:szCs w:val="30"/>
                <w:highlight w:val="none"/>
              </w:rPr>
            </w:pPr>
          </w:p>
        </w:tc>
        <w:tc>
          <w:tcPr>
            <w:tcW w:w="921" w:type="dxa"/>
          </w:tcPr>
          <w:p w14:paraId="3D418AD0">
            <w:pPr>
              <w:pStyle w:val="54"/>
              <w:rPr>
                <w:rFonts w:ascii="Times New Roman" w:hAnsi="Times New Roman" w:eastAsia="仿宋_GB2312"/>
                <w:color w:val="auto"/>
                <w:sz w:val="30"/>
                <w:szCs w:val="30"/>
                <w:highlight w:val="none"/>
              </w:rPr>
            </w:pPr>
          </w:p>
        </w:tc>
      </w:tr>
      <w:tr w14:paraId="1D82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07ED180">
            <w:pPr>
              <w:pStyle w:val="54"/>
              <w:rPr>
                <w:rFonts w:ascii="Times New Roman" w:hAnsi="Times New Roman" w:eastAsia="仿宋_GB2312"/>
                <w:color w:val="auto"/>
                <w:sz w:val="30"/>
                <w:szCs w:val="30"/>
                <w:highlight w:val="none"/>
              </w:rPr>
            </w:pPr>
          </w:p>
        </w:tc>
        <w:tc>
          <w:tcPr>
            <w:tcW w:w="1418" w:type="dxa"/>
          </w:tcPr>
          <w:p w14:paraId="5000A613">
            <w:pPr>
              <w:pStyle w:val="54"/>
              <w:rPr>
                <w:rFonts w:ascii="Times New Roman" w:hAnsi="Times New Roman" w:eastAsia="仿宋_GB2312"/>
                <w:color w:val="auto"/>
                <w:sz w:val="30"/>
                <w:szCs w:val="30"/>
                <w:highlight w:val="none"/>
              </w:rPr>
            </w:pPr>
          </w:p>
        </w:tc>
        <w:tc>
          <w:tcPr>
            <w:tcW w:w="850" w:type="dxa"/>
          </w:tcPr>
          <w:p w14:paraId="2E65204C">
            <w:pPr>
              <w:pStyle w:val="54"/>
              <w:rPr>
                <w:rFonts w:ascii="Times New Roman" w:hAnsi="Times New Roman" w:eastAsia="仿宋_GB2312"/>
                <w:color w:val="auto"/>
                <w:sz w:val="30"/>
                <w:szCs w:val="30"/>
                <w:highlight w:val="none"/>
              </w:rPr>
            </w:pPr>
          </w:p>
        </w:tc>
        <w:tc>
          <w:tcPr>
            <w:tcW w:w="1058" w:type="dxa"/>
          </w:tcPr>
          <w:p w14:paraId="39618FBC">
            <w:pPr>
              <w:pStyle w:val="54"/>
              <w:rPr>
                <w:rFonts w:ascii="Times New Roman" w:hAnsi="Times New Roman" w:eastAsia="仿宋_GB2312"/>
                <w:color w:val="auto"/>
                <w:sz w:val="30"/>
                <w:szCs w:val="30"/>
                <w:highlight w:val="none"/>
              </w:rPr>
            </w:pPr>
          </w:p>
        </w:tc>
        <w:tc>
          <w:tcPr>
            <w:tcW w:w="880" w:type="dxa"/>
          </w:tcPr>
          <w:p w14:paraId="087DC9F2">
            <w:pPr>
              <w:pStyle w:val="54"/>
              <w:rPr>
                <w:rFonts w:ascii="Times New Roman" w:hAnsi="Times New Roman" w:eastAsia="仿宋_GB2312"/>
                <w:color w:val="auto"/>
                <w:sz w:val="30"/>
                <w:szCs w:val="30"/>
                <w:highlight w:val="none"/>
              </w:rPr>
            </w:pPr>
          </w:p>
        </w:tc>
        <w:tc>
          <w:tcPr>
            <w:tcW w:w="1020" w:type="dxa"/>
          </w:tcPr>
          <w:p w14:paraId="59E4A566">
            <w:pPr>
              <w:pStyle w:val="54"/>
              <w:rPr>
                <w:rFonts w:ascii="Times New Roman" w:hAnsi="Times New Roman" w:eastAsia="仿宋_GB2312"/>
                <w:color w:val="auto"/>
                <w:sz w:val="30"/>
                <w:szCs w:val="30"/>
                <w:highlight w:val="none"/>
              </w:rPr>
            </w:pPr>
          </w:p>
        </w:tc>
        <w:tc>
          <w:tcPr>
            <w:tcW w:w="1480" w:type="dxa"/>
          </w:tcPr>
          <w:p w14:paraId="7A4CC4B7">
            <w:pPr>
              <w:pStyle w:val="54"/>
              <w:rPr>
                <w:rFonts w:ascii="Times New Roman" w:hAnsi="Times New Roman" w:eastAsia="仿宋_GB2312"/>
                <w:color w:val="auto"/>
                <w:sz w:val="30"/>
                <w:szCs w:val="30"/>
                <w:highlight w:val="none"/>
              </w:rPr>
            </w:pPr>
          </w:p>
        </w:tc>
        <w:tc>
          <w:tcPr>
            <w:tcW w:w="1020" w:type="dxa"/>
          </w:tcPr>
          <w:p w14:paraId="0FA53220">
            <w:pPr>
              <w:pStyle w:val="54"/>
              <w:rPr>
                <w:rFonts w:ascii="Times New Roman" w:hAnsi="Times New Roman" w:eastAsia="仿宋_GB2312"/>
                <w:color w:val="auto"/>
                <w:sz w:val="30"/>
                <w:szCs w:val="30"/>
                <w:highlight w:val="none"/>
              </w:rPr>
            </w:pPr>
          </w:p>
        </w:tc>
        <w:tc>
          <w:tcPr>
            <w:tcW w:w="921" w:type="dxa"/>
          </w:tcPr>
          <w:p w14:paraId="5837B904">
            <w:pPr>
              <w:pStyle w:val="54"/>
              <w:rPr>
                <w:rFonts w:ascii="Times New Roman" w:hAnsi="Times New Roman" w:eastAsia="仿宋_GB2312"/>
                <w:color w:val="auto"/>
                <w:sz w:val="30"/>
                <w:szCs w:val="30"/>
                <w:highlight w:val="none"/>
              </w:rPr>
            </w:pPr>
          </w:p>
        </w:tc>
      </w:tr>
      <w:tr w14:paraId="7C9D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1C6AB3E">
            <w:pPr>
              <w:pStyle w:val="54"/>
              <w:rPr>
                <w:rFonts w:ascii="Times New Roman" w:hAnsi="Times New Roman" w:eastAsia="仿宋_GB2312"/>
                <w:color w:val="auto"/>
                <w:sz w:val="30"/>
                <w:szCs w:val="30"/>
                <w:highlight w:val="none"/>
              </w:rPr>
            </w:pPr>
          </w:p>
        </w:tc>
        <w:tc>
          <w:tcPr>
            <w:tcW w:w="1418" w:type="dxa"/>
          </w:tcPr>
          <w:p w14:paraId="5846B020">
            <w:pPr>
              <w:pStyle w:val="54"/>
              <w:rPr>
                <w:rFonts w:ascii="Times New Roman" w:hAnsi="Times New Roman" w:eastAsia="仿宋_GB2312"/>
                <w:color w:val="auto"/>
                <w:sz w:val="30"/>
                <w:szCs w:val="30"/>
                <w:highlight w:val="none"/>
              </w:rPr>
            </w:pPr>
          </w:p>
        </w:tc>
        <w:tc>
          <w:tcPr>
            <w:tcW w:w="850" w:type="dxa"/>
          </w:tcPr>
          <w:p w14:paraId="34156420">
            <w:pPr>
              <w:pStyle w:val="54"/>
              <w:rPr>
                <w:rFonts w:ascii="Times New Roman" w:hAnsi="Times New Roman" w:eastAsia="仿宋_GB2312"/>
                <w:color w:val="auto"/>
                <w:sz w:val="30"/>
                <w:szCs w:val="30"/>
                <w:highlight w:val="none"/>
              </w:rPr>
            </w:pPr>
          </w:p>
        </w:tc>
        <w:tc>
          <w:tcPr>
            <w:tcW w:w="1058" w:type="dxa"/>
          </w:tcPr>
          <w:p w14:paraId="4A2B76B6">
            <w:pPr>
              <w:pStyle w:val="54"/>
              <w:rPr>
                <w:rFonts w:ascii="Times New Roman" w:hAnsi="Times New Roman" w:eastAsia="仿宋_GB2312"/>
                <w:color w:val="auto"/>
                <w:sz w:val="30"/>
                <w:szCs w:val="30"/>
                <w:highlight w:val="none"/>
              </w:rPr>
            </w:pPr>
          </w:p>
        </w:tc>
        <w:tc>
          <w:tcPr>
            <w:tcW w:w="880" w:type="dxa"/>
          </w:tcPr>
          <w:p w14:paraId="0E908975">
            <w:pPr>
              <w:pStyle w:val="54"/>
              <w:rPr>
                <w:rFonts w:ascii="Times New Roman" w:hAnsi="Times New Roman" w:eastAsia="仿宋_GB2312"/>
                <w:color w:val="auto"/>
                <w:sz w:val="30"/>
                <w:szCs w:val="30"/>
                <w:highlight w:val="none"/>
              </w:rPr>
            </w:pPr>
          </w:p>
        </w:tc>
        <w:tc>
          <w:tcPr>
            <w:tcW w:w="1020" w:type="dxa"/>
          </w:tcPr>
          <w:p w14:paraId="1F19D9BC">
            <w:pPr>
              <w:pStyle w:val="54"/>
              <w:rPr>
                <w:rFonts w:ascii="Times New Roman" w:hAnsi="Times New Roman" w:eastAsia="仿宋_GB2312"/>
                <w:color w:val="auto"/>
                <w:sz w:val="30"/>
                <w:szCs w:val="30"/>
                <w:highlight w:val="none"/>
              </w:rPr>
            </w:pPr>
          </w:p>
        </w:tc>
        <w:tc>
          <w:tcPr>
            <w:tcW w:w="1480" w:type="dxa"/>
          </w:tcPr>
          <w:p w14:paraId="017EFA2C">
            <w:pPr>
              <w:pStyle w:val="54"/>
              <w:rPr>
                <w:rFonts w:ascii="Times New Roman" w:hAnsi="Times New Roman" w:eastAsia="仿宋_GB2312"/>
                <w:color w:val="auto"/>
                <w:sz w:val="30"/>
                <w:szCs w:val="30"/>
                <w:highlight w:val="none"/>
              </w:rPr>
            </w:pPr>
          </w:p>
        </w:tc>
        <w:tc>
          <w:tcPr>
            <w:tcW w:w="1020" w:type="dxa"/>
          </w:tcPr>
          <w:p w14:paraId="53EE5945">
            <w:pPr>
              <w:pStyle w:val="54"/>
              <w:rPr>
                <w:rFonts w:ascii="Times New Roman" w:hAnsi="Times New Roman" w:eastAsia="仿宋_GB2312"/>
                <w:color w:val="auto"/>
                <w:sz w:val="30"/>
                <w:szCs w:val="30"/>
                <w:highlight w:val="none"/>
              </w:rPr>
            </w:pPr>
          </w:p>
        </w:tc>
        <w:tc>
          <w:tcPr>
            <w:tcW w:w="921" w:type="dxa"/>
          </w:tcPr>
          <w:p w14:paraId="1A05BB7A">
            <w:pPr>
              <w:pStyle w:val="54"/>
              <w:rPr>
                <w:rFonts w:ascii="Times New Roman" w:hAnsi="Times New Roman" w:eastAsia="仿宋_GB2312"/>
                <w:color w:val="auto"/>
                <w:sz w:val="30"/>
                <w:szCs w:val="30"/>
                <w:highlight w:val="none"/>
              </w:rPr>
            </w:pPr>
          </w:p>
        </w:tc>
      </w:tr>
      <w:tr w14:paraId="6FF0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35BF765">
            <w:pPr>
              <w:pStyle w:val="54"/>
              <w:rPr>
                <w:rFonts w:ascii="Times New Roman" w:hAnsi="Times New Roman" w:eastAsia="仿宋_GB2312"/>
                <w:color w:val="auto"/>
                <w:sz w:val="30"/>
                <w:szCs w:val="30"/>
                <w:highlight w:val="none"/>
              </w:rPr>
            </w:pPr>
          </w:p>
        </w:tc>
        <w:tc>
          <w:tcPr>
            <w:tcW w:w="1418" w:type="dxa"/>
          </w:tcPr>
          <w:p w14:paraId="58D726E2">
            <w:pPr>
              <w:pStyle w:val="54"/>
              <w:rPr>
                <w:rFonts w:ascii="Times New Roman" w:hAnsi="Times New Roman" w:eastAsia="仿宋_GB2312"/>
                <w:color w:val="auto"/>
                <w:sz w:val="30"/>
                <w:szCs w:val="30"/>
                <w:highlight w:val="none"/>
              </w:rPr>
            </w:pPr>
          </w:p>
        </w:tc>
        <w:tc>
          <w:tcPr>
            <w:tcW w:w="850" w:type="dxa"/>
          </w:tcPr>
          <w:p w14:paraId="02188F6D">
            <w:pPr>
              <w:pStyle w:val="54"/>
              <w:rPr>
                <w:rFonts w:ascii="Times New Roman" w:hAnsi="Times New Roman" w:eastAsia="仿宋_GB2312"/>
                <w:color w:val="auto"/>
                <w:sz w:val="30"/>
                <w:szCs w:val="30"/>
                <w:highlight w:val="none"/>
              </w:rPr>
            </w:pPr>
          </w:p>
        </w:tc>
        <w:tc>
          <w:tcPr>
            <w:tcW w:w="1058" w:type="dxa"/>
          </w:tcPr>
          <w:p w14:paraId="74D5CF71">
            <w:pPr>
              <w:pStyle w:val="54"/>
              <w:rPr>
                <w:rFonts w:ascii="Times New Roman" w:hAnsi="Times New Roman" w:eastAsia="仿宋_GB2312"/>
                <w:color w:val="auto"/>
                <w:sz w:val="30"/>
                <w:szCs w:val="30"/>
                <w:highlight w:val="none"/>
              </w:rPr>
            </w:pPr>
          </w:p>
        </w:tc>
        <w:tc>
          <w:tcPr>
            <w:tcW w:w="880" w:type="dxa"/>
          </w:tcPr>
          <w:p w14:paraId="2C3A4ECF">
            <w:pPr>
              <w:pStyle w:val="54"/>
              <w:rPr>
                <w:rFonts w:ascii="Times New Roman" w:hAnsi="Times New Roman" w:eastAsia="仿宋_GB2312"/>
                <w:color w:val="auto"/>
                <w:sz w:val="30"/>
                <w:szCs w:val="30"/>
                <w:highlight w:val="none"/>
              </w:rPr>
            </w:pPr>
          </w:p>
        </w:tc>
        <w:tc>
          <w:tcPr>
            <w:tcW w:w="1020" w:type="dxa"/>
          </w:tcPr>
          <w:p w14:paraId="47AEE53C">
            <w:pPr>
              <w:pStyle w:val="54"/>
              <w:rPr>
                <w:rFonts w:ascii="Times New Roman" w:hAnsi="Times New Roman" w:eastAsia="仿宋_GB2312"/>
                <w:color w:val="auto"/>
                <w:sz w:val="30"/>
                <w:szCs w:val="30"/>
                <w:highlight w:val="none"/>
              </w:rPr>
            </w:pPr>
          </w:p>
        </w:tc>
        <w:tc>
          <w:tcPr>
            <w:tcW w:w="1480" w:type="dxa"/>
          </w:tcPr>
          <w:p w14:paraId="048CEBA7">
            <w:pPr>
              <w:pStyle w:val="54"/>
              <w:rPr>
                <w:rFonts w:ascii="Times New Roman" w:hAnsi="Times New Roman" w:eastAsia="仿宋_GB2312"/>
                <w:color w:val="auto"/>
                <w:sz w:val="30"/>
                <w:szCs w:val="30"/>
                <w:highlight w:val="none"/>
              </w:rPr>
            </w:pPr>
          </w:p>
        </w:tc>
        <w:tc>
          <w:tcPr>
            <w:tcW w:w="1020" w:type="dxa"/>
          </w:tcPr>
          <w:p w14:paraId="63CBCDC1">
            <w:pPr>
              <w:pStyle w:val="54"/>
              <w:rPr>
                <w:rFonts w:ascii="Times New Roman" w:hAnsi="Times New Roman" w:eastAsia="仿宋_GB2312"/>
                <w:color w:val="auto"/>
                <w:sz w:val="30"/>
                <w:szCs w:val="30"/>
                <w:highlight w:val="none"/>
              </w:rPr>
            </w:pPr>
          </w:p>
        </w:tc>
        <w:tc>
          <w:tcPr>
            <w:tcW w:w="921" w:type="dxa"/>
          </w:tcPr>
          <w:p w14:paraId="1194D9B4">
            <w:pPr>
              <w:pStyle w:val="54"/>
              <w:rPr>
                <w:rFonts w:ascii="Times New Roman" w:hAnsi="Times New Roman" w:eastAsia="仿宋_GB2312"/>
                <w:color w:val="auto"/>
                <w:sz w:val="30"/>
                <w:szCs w:val="30"/>
                <w:highlight w:val="none"/>
              </w:rPr>
            </w:pPr>
          </w:p>
        </w:tc>
      </w:tr>
      <w:tr w14:paraId="0FC7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1A047479">
            <w:pPr>
              <w:pStyle w:val="54"/>
              <w:rPr>
                <w:rFonts w:ascii="Times New Roman" w:hAnsi="Times New Roman" w:eastAsia="仿宋_GB2312"/>
                <w:color w:val="auto"/>
                <w:sz w:val="30"/>
                <w:szCs w:val="30"/>
                <w:highlight w:val="none"/>
              </w:rPr>
            </w:pPr>
          </w:p>
        </w:tc>
        <w:tc>
          <w:tcPr>
            <w:tcW w:w="1418" w:type="dxa"/>
          </w:tcPr>
          <w:p w14:paraId="3F487233">
            <w:pPr>
              <w:pStyle w:val="54"/>
              <w:rPr>
                <w:rFonts w:ascii="Times New Roman" w:hAnsi="Times New Roman" w:eastAsia="仿宋_GB2312"/>
                <w:color w:val="auto"/>
                <w:sz w:val="30"/>
                <w:szCs w:val="30"/>
                <w:highlight w:val="none"/>
              </w:rPr>
            </w:pPr>
          </w:p>
        </w:tc>
        <w:tc>
          <w:tcPr>
            <w:tcW w:w="850" w:type="dxa"/>
          </w:tcPr>
          <w:p w14:paraId="5F1A06B0">
            <w:pPr>
              <w:pStyle w:val="54"/>
              <w:rPr>
                <w:rFonts w:ascii="Times New Roman" w:hAnsi="Times New Roman" w:eastAsia="仿宋_GB2312"/>
                <w:color w:val="auto"/>
                <w:sz w:val="30"/>
                <w:szCs w:val="30"/>
                <w:highlight w:val="none"/>
              </w:rPr>
            </w:pPr>
          </w:p>
        </w:tc>
        <w:tc>
          <w:tcPr>
            <w:tcW w:w="1058" w:type="dxa"/>
          </w:tcPr>
          <w:p w14:paraId="6808298C">
            <w:pPr>
              <w:pStyle w:val="54"/>
              <w:rPr>
                <w:rFonts w:ascii="Times New Roman" w:hAnsi="Times New Roman" w:eastAsia="仿宋_GB2312"/>
                <w:color w:val="auto"/>
                <w:sz w:val="30"/>
                <w:szCs w:val="30"/>
                <w:highlight w:val="none"/>
              </w:rPr>
            </w:pPr>
          </w:p>
        </w:tc>
        <w:tc>
          <w:tcPr>
            <w:tcW w:w="880" w:type="dxa"/>
          </w:tcPr>
          <w:p w14:paraId="759471BA">
            <w:pPr>
              <w:pStyle w:val="54"/>
              <w:rPr>
                <w:rFonts w:ascii="Times New Roman" w:hAnsi="Times New Roman" w:eastAsia="仿宋_GB2312"/>
                <w:color w:val="auto"/>
                <w:sz w:val="30"/>
                <w:szCs w:val="30"/>
                <w:highlight w:val="none"/>
              </w:rPr>
            </w:pPr>
          </w:p>
        </w:tc>
        <w:tc>
          <w:tcPr>
            <w:tcW w:w="1020" w:type="dxa"/>
          </w:tcPr>
          <w:p w14:paraId="230C9596">
            <w:pPr>
              <w:pStyle w:val="54"/>
              <w:rPr>
                <w:rFonts w:ascii="Times New Roman" w:hAnsi="Times New Roman" w:eastAsia="仿宋_GB2312"/>
                <w:color w:val="auto"/>
                <w:sz w:val="30"/>
                <w:szCs w:val="30"/>
                <w:highlight w:val="none"/>
              </w:rPr>
            </w:pPr>
          </w:p>
        </w:tc>
        <w:tc>
          <w:tcPr>
            <w:tcW w:w="1480" w:type="dxa"/>
          </w:tcPr>
          <w:p w14:paraId="0B5177F4">
            <w:pPr>
              <w:pStyle w:val="54"/>
              <w:rPr>
                <w:rFonts w:ascii="Times New Roman" w:hAnsi="Times New Roman" w:eastAsia="仿宋_GB2312"/>
                <w:color w:val="auto"/>
                <w:sz w:val="30"/>
                <w:szCs w:val="30"/>
                <w:highlight w:val="none"/>
              </w:rPr>
            </w:pPr>
          </w:p>
        </w:tc>
        <w:tc>
          <w:tcPr>
            <w:tcW w:w="1020" w:type="dxa"/>
          </w:tcPr>
          <w:p w14:paraId="6C38F2CA">
            <w:pPr>
              <w:pStyle w:val="54"/>
              <w:rPr>
                <w:rFonts w:ascii="Times New Roman" w:hAnsi="Times New Roman" w:eastAsia="仿宋_GB2312"/>
                <w:color w:val="auto"/>
                <w:sz w:val="30"/>
                <w:szCs w:val="30"/>
                <w:highlight w:val="none"/>
              </w:rPr>
            </w:pPr>
          </w:p>
        </w:tc>
        <w:tc>
          <w:tcPr>
            <w:tcW w:w="921" w:type="dxa"/>
          </w:tcPr>
          <w:p w14:paraId="514E5942">
            <w:pPr>
              <w:pStyle w:val="54"/>
              <w:rPr>
                <w:rFonts w:ascii="Times New Roman" w:hAnsi="Times New Roman" w:eastAsia="仿宋_GB2312"/>
                <w:color w:val="auto"/>
                <w:sz w:val="30"/>
                <w:szCs w:val="30"/>
                <w:highlight w:val="none"/>
              </w:rPr>
            </w:pPr>
          </w:p>
        </w:tc>
      </w:tr>
      <w:tr w14:paraId="62F3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6CCD0A9">
            <w:pPr>
              <w:pStyle w:val="54"/>
              <w:rPr>
                <w:rFonts w:ascii="Times New Roman" w:hAnsi="Times New Roman" w:eastAsia="仿宋_GB2312"/>
                <w:color w:val="auto"/>
                <w:sz w:val="30"/>
                <w:szCs w:val="30"/>
                <w:highlight w:val="none"/>
              </w:rPr>
            </w:pPr>
          </w:p>
        </w:tc>
        <w:tc>
          <w:tcPr>
            <w:tcW w:w="1418" w:type="dxa"/>
          </w:tcPr>
          <w:p w14:paraId="1D6349C2">
            <w:pPr>
              <w:pStyle w:val="54"/>
              <w:rPr>
                <w:rFonts w:ascii="Times New Roman" w:hAnsi="Times New Roman" w:eastAsia="仿宋_GB2312"/>
                <w:color w:val="auto"/>
                <w:sz w:val="30"/>
                <w:szCs w:val="30"/>
                <w:highlight w:val="none"/>
              </w:rPr>
            </w:pPr>
          </w:p>
        </w:tc>
        <w:tc>
          <w:tcPr>
            <w:tcW w:w="850" w:type="dxa"/>
          </w:tcPr>
          <w:p w14:paraId="6BFED962">
            <w:pPr>
              <w:pStyle w:val="54"/>
              <w:rPr>
                <w:rFonts w:ascii="Times New Roman" w:hAnsi="Times New Roman" w:eastAsia="仿宋_GB2312"/>
                <w:color w:val="auto"/>
                <w:sz w:val="30"/>
                <w:szCs w:val="30"/>
                <w:highlight w:val="none"/>
              </w:rPr>
            </w:pPr>
          </w:p>
        </w:tc>
        <w:tc>
          <w:tcPr>
            <w:tcW w:w="1058" w:type="dxa"/>
          </w:tcPr>
          <w:p w14:paraId="6391EAB0">
            <w:pPr>
              <w:pStyle w:val="54"/>
              <w:rPr>
                <w:rFonts w:ascii="Times New Roman" w:hAnsi="Times New Roman" w:eastAsia="仿宋_GB2312"/>
                <w:color w:val="auto"/>
                <w:sz w:val="30"/>
                <w:szCs w:val="30"/>
                <w:highlight w:val="none"/>
              </w:rPr>
            </w:pPr>
          </w:p>
        </w:tc>
        <w:tc>
          <w:tcPr>
            <w:tcW w:w="880" w:type="dxa"/>
          </w:tcPr>
          <w:p w14:paraId="0797D263">
            <w:pPr>
              <w:pStyle w:val="54"/>
              <w:rPr>
                <w:rFonts w:ascii="Times New Roman" w:hAnsi="Times New Roman" w:eastAsia="仿宋_GB2312"/>
                <w:color w:val="auto"/>
                <w:sz w:val="30"/>
                <w:szCs w:val="30"/>
                <w:highlight w:val="none"/>
              </w:rPr>
            </w:pPr>
          </w:p>
        </w:tc>
        <w:tc>
          <w:tcPr>
            <w:tcW w:w="1020" w:type="dxa"/>
          </w:tcPr>
          <w:p w14:paraId="04A57FC1">
            <w:pPr>
              <w:pStyle w:val="54"/>
              <w:rPr>
                <w:rFonts w:ascii="Times New Roman" w:hAnsi="Times New Roman" w:eastAsia="仿宋_GB2312"/>
                <w:color w:val="auto"/>
                <w:sz w:val="30"/>
                <w:szCs w:val="30"/>
                <w:highlight w:val="none"/>
              </w:rPr>
            </w:pPr>
          </w:p>
        </w:tc>
        <w:tc>
          <w:tcPr>
            <w:tcW w:w="1480" w:type="dxa"/>
          </w:tcPr>
          <w:p w14:paraId="7AB49E94">
            <w:pPr>
              <w:pStyle w:val="54"/>
              <w:rPr>
                <w:rFonts w:ascii="Times New Roman" w:hAnsi="Times New Roman" w:eastAsia="仿宋_GB2312"/>
                <w:color w:val="auto"/>
                <w:sz w:val="30"/>
                <w:szCs w:val="30"/>
                <w:highlight w:val="none"/>
              </w:rPr>
            </w:pPr>
          </w:p>
        </w:tc>
        <w:tc>
          <w:tcPr>
            <w:tcW w:w="1020" w:type="dxa"/>
          </w:tcPr>
          <w:p w14:paraId="186E08BD">
            <w:pPr>
              <w:pStyle w:val="54"/>
              <w:rPr>
                <w:rFonts w:ascii="Times New Roman" w:hAnsi="Times New Roman" w:eastAsia="仿宋_GB2312"/>
                <w:color w:val="auto"/>
                <w:sz w:val="30"/>
                <w:szCs w:val="30"/>
                <w:highlight w:val="none"/>
              </w:rPr>
            </w:pPr>
          </w:p>
        </w:tc>
        <w:tc>
          <w:tcPr>
            <w:tcW w:w="921" w:type="dxa"/>
          </w:tcPr>
          <w:p w14:paraId="0C83C69D">
            <w:pPr>
              <w:pStyle w:val="54"/>
              <w:rPr>
                <w:rFonts w:ascii="Times New Roman" w:hAnsi="Times New Roman" w:eastAsia="仿宋_GB2312"/>
                <w:color w:val="auto"/>
                <w:sz w:val="30"/>
                <w:szCs w:val="30"/>
                <w:highlight w:val="none"/>
              </w:rPr>
            </w:pPr>
          </w:p>
        </w:tc>
      </w:tr>
    </w:tbl>
    <w:p w14:paraId="1ECB803B">
      <w:pPr>
        <w:pStyle w:val="54"/>
        <w:spacing w:line="440" w:lineRule="exact"/>
        <w:jc w:val="left"/>
        <w:rPr>
          <w:rFonts w:ascii="Times New Roman" w:hAnsi="Times New Roman" w:eastAsia="仿宋_GB2312" w:cs="仿宋_GB2312"/>
          <w:color w:val="auto"/>
          <w:sz w:val="30"/>
          <w:szCs w:val="30"/>
          <w:highlight w:val="none"/>
        </w:rPr>
      </w:pPr>
    </w:p>
    <w:p w14:paraId="186D8651">
      <w:pPr>
        <w:pStyle w:val="54"/>
        <w:spacing w:line="440" w:lineRule="exact"/>
        <w:jc w:val="left"/>
        <w:rPr>
          <w:rFonts w:ascii="Times New Roman" w:hAnsi="Times New Roman" w:eastAsia="仿宋_GB2312" w:cs="仿宋_GB2312"/>
          <w:color w:val="auto"/>
          <w:sz w:val="30"/>
          <w:szCs w:val="30"/>
          <w:highlight w:val="none"/>
        </w:rPr>
      </w:pPr>
    </w:p>
    <w:p w14:paraId="06E1ED1C">
      <w:pPr>
        <w:pStyle w:val="54"/>
        <w:spacing w:line="440" w:lineRule="exact"/>
        <w:jc w:val="left"/>
        <w:rPr>
          <w:rFonts w:ascii="Times New Roman" w:hAnsi="Times New Roman" w:eastAsia="仿宋_GB2312" w:cs="仿宋_GB2312"/>
          <w:color w:val="auto"/>
          <w:sz w:val="30"/>
          <w:szCs w:val="30"/>
          <w:highlight w:val="none"/>
        </w:rPr>
      </w:pPr>
    </w:p>
    <w:p w14:paraId="73143C7E">
      <w:pPr>
        <w:pStyle w:val="54"/>
        <w:spacing w:line="440" w:lineRule="exact"/>
        <w:jc w:val="left"/>
        <w:rPr>
          <w:rFonts w:ascii="Times New Roman" w:hAnsi="Times New Roman" w:eastAsia="黑体"/>
          <w:color w:val="auto"/>
          <w:sz w:val="30"/>
          <w:szCs w:val="30"/>
          <w:highlight w:val="none"/>
        </w:rPr>
      </w:pPr>
      <w:r>
        <w:rPr>
          <w:rFonts w:hint="eastAsia" w:ascii="Times New Roman" w:hAnsi="Times New Roman" w:eastAsia="仿宋_GB2312" w:cs="仿宋_GB2312"/>
          <w:color w:val="auto"/>
          <w:sz w:val="30"/>
          <w:szCs w:val="30"/>
          <w:highlight w:val="none"/>
        </w:rPr>
        <w:t>附</w:t>
      </w:r>
      <w:bookmarkStart w:id="1323" w:name="_Toc296347227"/>
      <w:bookmarkStart w:id="1324" w:name="_Toc296346729"/>
      <w:bookmarkStart w:id="1325" w:name="_Toc296891056"/>
      <w:bookmarkStart w:id="1326" w:name="_Toc296503228"/>
      <w:bookmarkStart w:id="1327" w:name="_Toc296944567"/>
      <w:bookmarkStart w:id="1328" w:name="_Toc296891268"/>
      <w:bookmarkStart w:id="1329" w:name="_Toc267261699"/>
      <w:r>
        <w:rPr>
          <w:rFonts w:hint="eastAsia" w:ascii="Times New Roman" w:hAnsi="Times New Roman" w:eastAsia="仿宋_GB2312" w:cs="仿宋_GB2312"/>
          <w:color w:val="auto"/>
          <w:sz w:val="30"/>
          <w:szCs w:val="30"/>
          <w:highlight w:val="none"/>
        </w:rPr>
        <w:t>件</w:t>
      </w:r>
      <w:r>
        <w:rPr>
          <w:rFonts w:hint="eastAsia" w:ascii="Times New Roman" w:hAnsi="Times New Roman" w:eastAsia="仿宋_GB2312"/>
          <w:color w:val="auto"/>
          <w:sz w:val="30"/>
          <w:szCs w:val="30"/>
          <w:highlight w:val="none"/>
        </w:rPr>
        <w:t>5</w:t>
      </w:r>
      <w:r>
        <w:rPr>
          <w:rFonts w:hint="eastAsia" w:ascii="Times New Roman" w:hAnsi="Times New Roman" w:eastAsia="仿宋_GB2312" w:cs="仿宋_GB2312"/>
          <w:color w:val="auto"/>
          <w:sz w:val="30"/>
          <w:szCs w:val="30"/>
          <w:highlight w:val="none"/>
        </w:rPr>
        <w:t>：</w:t>
      </w:r>
    </w:p>
    <w:bookmarkEnd w:id="1323"/>
    <w:bookmarkEnd w:id="1324"/>
    <w:bookmarkEnd w:id="1325"/>
    <w:bookmarkEnd w:id="1326"/>
    <w:bookmarkEnd w:id="1327"/>
    <w:bookmarkEnd w:id="1328"/>
    <w:bookmarkEnd w:id="1329"/>
    <w:p w14:paraId="3548EA8C">
      <w:pPr>
        <w:pStyle w:val="54"/>
        <w:spacing w:before="120" w:beforeLines="50" w:after="120" w:afterLines="50" w:line="440" w:lineRule="exact"/>
        <w:jc w:val="center"/>
        <w:rPr>
          <w:rFonts w:ascii="Times New Roman" w:hAnsi="Times New Roman" w:eastAsia="黑体"/>
          <w:color w:val="auto"/>
          <w:sz w:val="30"/>
          <w:szCs w:val="30"/>
          <w:highlight w:val="none"/>
        </w:rPr>
      </w:pPr>
      <w:r>
        <w:rPr>
          <w:rFonts w:hint="eastAsia" w:ascii="Times New Roman" w:hAnsi="Times New Roman" w:eastAsia="黑体" w:cs="黑体"/>
          <w:color w:val="auto"/>
          <w:sz w:val="30"/>
          <w:szCs w:val="30"/>
          <w:highlight w:val="none"/>
        </w:rPr>
        <w:t>承包人主要施工管理人员表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70BC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F1CD6AC">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名</w:t>
            </w:r>
            <w:r>
              <w:rPr>
                <w:rFonts w:ascii="Times New Roman" w:hAnsi="Times New Roman" w:eastAsia="仿宋_GB2312"/>
                <w:color w:val="auto"/>
                <w:sz w:val="28"/>
                <w:szCs w:val="28"/>
                <w:highlight w:val="none"/>
              </w:rPr>
              <w:t xml:space="preserve">    </w:t>
            </w:r>
            <w:r>
              <w:rPr>
                <w:rFonts w:hint="eastAsia" w:ascii="Times New Roman" w:hAnsi="Times New Roman" w:eastAsia="仿宋_GB2312" w:cs="仿宋_GB2312"/>
                <w:color w:val="auto"/>
                <w:sz w:val="28"/>
                <w:szCs w:val="28"/>
                <w:highlight w:val="none"/>
              </w:rPr>
              <w:t>称</w:t>
            </w:r>
          </w:p>
        </w:tc>
        <w:tc>
          <w:tcPr>
            <w:tcW w:w="1418" w:type="dxa"/>
            <w:vAlign w:val="center"/>
          </w:tcPr>
          <w:p w14:paraId="0037B65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姓名</w:t>
            </w:r>
          </w:p>
        </w:tc>
        <w:tc>
          <w:tcPr>
            <w:tcW w:w="1134" w:type="dxa"/>
            <w:vAlign w:val="center"/>
          </w:tcPr>
          <w:p w14:paraId="08FE695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r>
              <w:rPr>
                <w:rFonts w:hint="eastAsia" w:ascii="Times New Roman" w:hAnsi="Times New Roman" w:eastAsia="仿宋_GB2312" w:cs="仿宋_GB2312"/>
                <w:color w:val="auto"/>
                <w:sz w:val="30"/>
                <w:szCs w:val="30"/>
                <w:highlight w:val="none"/>
              </w:rPr>
              <w:t>职务</w:t>
            </w:r>
          </w:p>
        </w:tc>
        <w:tc>
          <w:tcPr>
            <w:tcW w:w="1134" w:type="dxa"/>
            <w:vAlign w:val="center"/>
          </w:tcPr>
          <w:p w14:paraId="125AC59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r>
              <w:rPr>
                <w:rFonts w:hint="eastAsia" w:ascii="Times New Roman" w:hAnsi="Times New Roman" w:eastAsia="仿宋_GB2312" w:cs="仿宋_GB2312"/>
                <w:color w:val="auto"/>
                <w:sz w:val="30"/>
                <w:szCs w:val="30"/>
                <w:highlight w:val="none"/>
              </w:rPr>
              <w:t>职称</w:t>
            </w:r>
          </w:p>
        </w:tc>
        <w:tc>
          <w:tcPr>
            <w:tcW w:w="4252" w:type="dxa"/>
            <w:vAlign w:val="center"/>
          </w:tcPr>
          <w:p w14:paraId="4487B64F">
            <w:pPr>
              <w:pStyle w:val="54"/>
              <w:keepNext/>
              <w:adjustRightInd w:val="0"/>
              <w:spacing w:line="440" w:lineRule="exact"/>
              <w:ind w:right="63" w:rightChars="30"/>
              <w:jc w:val="center"/>
              <w:textAlignment w:val="baseline"/>
              <w:rPr>
                <w:rFonts w:ascii="Times New Roman" w:hAnsi="Times New Roman" w:eastAsia="仿宋_GB2312"/>
                <w:color w:val="auto"/>
                <w:sz w:val="30"/>
                <w:szCs w:val="30"/>
                <w:highlight w:val="none"/>
              </w:rPr>
            </w:pPr>
            <w:r>
              <w:rPr>
                <w:rFonts w:hint="eastAsia" w:ascii="Times New Roman" w:hAnsi="Times New Roman" w:eastAsia="仿宋_GB2312" w:cs="仿宋_GB2312"/>
                <w:color w:val="auto"/>
                <w:sz w:val="30"/>
                <w:szCs w:val="30"/>
                <w:highlight w:val="none"/>
              </w:rPr>
              <w:t>计划进场时间</w:t>
            </w:r>
          </w:p>
        </w:tc>
      </w:tr>
      <w:tr w14:paraId="4082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6902A9EB">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一、总部人员</w:t>
            </w:r>
          </w:p>
        </w:tc>
      </w:tr>
      <w:tr w14:paraId="5D96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83337B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项目主管</w:t>
            </w:r>
          </w:p>
        </w:tc>
        <w:tc>
          <w:tcPr>
            <w:tcW w:w="1418" w:type="dxa"/>
            <w:vAlign w:val="center"/>
          </w:tcPr>
          <w:p w14:paraId="5DB9A75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591AE976">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408988DD">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376BA9DD">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4C538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4724E82E">
            <w:pPr>
              <w:pStyle w:val="54"/>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其他人员</w:t>
            </w:r>
          </w:p>
        </w:tc>
        <w:tc>
          <w:tcPr>
            <w:tcW w:w="1418" w:type="dxa"/>
            <w:vAlign w:val="center"/>
          </w:tcPr>
          <w:p w14:paraId="0333591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51FAEEC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3C1C7511">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75705041">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27F1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64DFFEF">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1F7FF4F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4935721C">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6D2779EA">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77C5CBE2">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6890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05A9AE2">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4399C85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762A6E4D">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3E96737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4355A012">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5C89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77A6A7FF">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二、现场人员</w:t>
            </w:r>
          </w:p>
        </w:tc>
      </w:tr>
      <w:tr w14:paraId="0595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A6FAB54">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项目经理</w:t>
            </w:r>
          </w:p>
        </w:tc>
        <w:tc>
          <w:tcPr>
            <w:tcW w:w="1418" w:type="dxa"/>
            <w:vAlign w:val="center"/>
          </w:tcPr>
          <w:p w14:paraId="039DC7A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18F8CAB1">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34A5F69A">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19A503AD">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0C850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84BA79A">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项目副经理</w:t>
            </w:r>
          </w:p>
        </w:tc>
        <w:tc>
          <w:tcPr>
            <w:tcW w:w="1418" w:type="dxa"/>
            <w:vAlign w:val="center"/>
          </w:tcPr>
          <w:p w14:paraId="287F6BC4">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02765EF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72DB1A8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09A8AD16">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6694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5DFACC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技术负责人</w:t>
            </w:r>
          </w:p>
        </w:tc>
        <w:tc>
          <w:tcPr>
            <w:tcW w:w="1418" w:type="dxa"/>
            <w:vAlign w:val="center"/>
          </w:tcPr>
          <w:p w14:paraId="4721AC1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5D702E3C">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2BC30642">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1C1E384B">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319C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ACF57D0">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造价管理</w:t>
            </w:r>
          </w:p>
        </w:tc>
        <w:tc>
          <w:tcPr>
            <w:tcW w:w="1418" w:type="dxa"/>
            <w:vAlign w:val="center"/>
          </w:tcPr>
          <w:p w14:paraId="6042706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307FCFFC">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52E9D5AB">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6E1193AF">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25EA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660AA341">
            <w:pPr>
              <w:pStyle w:val="54"/>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质量管理</w:t>
            </w:r>
          </w:p>
        </w:tc>
        <w:tc>
          <w:tcPr>
            <w:tcW w:w="1418" w:type="dxa"/>
            <w:vAlign w:val="center"/>
          </w:tcPr>
          <w:p w14:paraId="51FC0B4B">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318367B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3106611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7104E26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31283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BF91196">
            <w:pPr>
              <w:pStyle w:val="54"/>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709AE5CB">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1B8DFDD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7D46DF1D">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68F913C6">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122A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7228742">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25F0A8F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206F7126">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77E6BBC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31602D9D">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2A48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673F3E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材料管理</w:t>
            </w:r>
          </w:p>
        </w:tc>
        <w:tc>
          <w:tcPr>
            <w:tcW w:w="1418" w:type="dxa"/>
            <w:vAlign w:val="center"/>
          </w:tcPr>
          <w:p w14:paraId="1D92350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5F5F2B3B">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00CEDBE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5282C48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06B5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72C0C5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计划管理</w:t>
            </w:r>
          </w:p>
        </w:tc>
        <w:tc>
          <w:tcPr>
            <w:tcW w:w="1418" w:type="dxa"/>
            <w:vAlign w:val="center"/>
          </w:tcPr>
          <w:p w14:paraId="6519969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6D76DF6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5425B9A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3443F01B">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2734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71B850F7">
            <w:pPr>
              <w:pStyle w:val="54"/>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安全管理</w:t>
            </w:r>
          </w:p>
        </w:tc>
        <w:tc>
          <w:tcPr>
            <w:tcW w:w="1418" w:type="dxa"/>
            <w:vAlign w:val="center"/>
          </w:tcPr>
          <w:p w14:paraId="769B2046">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4DD1A78E">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6E124416">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376DBC6C">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6D8B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CF59A64">
            <w:pPr>
              <w:pStyle w:val="54"/>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10CEF80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1E628C42">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7B089FFC">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07B6D232">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3698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1E50D00">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2565366A">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58B534A2">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72AEA87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2461E3A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4262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007B07B">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其他人员</w:t>
            </w:r>
          </w:p>
        </w:tc>
        <w:tc>
          <w:tcPr>
            <w:tcW w:w="1418" w:type="dxa"/>
            <w:vAlign w:val="center"/>
          </w:tcPr>
          <w:p w14:paraId="5151F13F">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59D50ABF">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133000A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7670EBE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5D74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BFE513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1B4160FD">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29AEAECB">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07D0FBB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29148AC0">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3FD7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F6F834F">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04141292">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13899031">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27392E5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75BBA7BB">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09AA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DD53AED">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22E5C094">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14B07870">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6F9C1D7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1830EE8B">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6E57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0A22A4C">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7AF84D70">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6F4BE26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289958FD">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169A7CDA">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0E99A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94BD96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64EA5B2D">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499F856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46D5C9B2">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25ABEEEB">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bl>
    <w:p w14:paraId="291ABD1E">
      <w:pPr>
        <w:pStyle w:val="54"/>
        <w:spacing w:line="440" w:lineRule="exact"/>
        <w:rPr>
          <w:rFonts w:ascii="Times New Roman" w:hAnsi="Times New Roman" w:eastAsia="黑体"/>
          <w:color w:val="auto"/>
          <w:sz w:val="30"/>
          <w:szCs w:val="30"/>
          <w:highlight w:val="none"/>
        </w:rPr>
      </w:pPr>
      <w:r>
        <w:rPr>
          <w:rFonts w:ascii="Times New Roman" w:hAnsi="Times New Roman" w:eastAsia="仿宋_GB2312"/>
          <w:color w:val="auto"/>
          <w:sz w:val="30"/>
          <w:szCs w:val="30"/>
          <w:highlight w:val="none"/>
        </w:rPr>
        <w:br w:type="page"/>
      </w:r>
      <w:r>
        <w:rPr>
          <w:rFonts w:hint="eastAsia" w:ascii="Times New Roman" w:hAnsi="Times New Roman" w:eastAsia="仿宋_GB2312" w:cs="仿宋_GB2312"/>
          <w:color w:val="auto"/>
          <w:sz w:val="30"/>
          <w:szCs w:val="30"/>
          <w:highlight w:val="none"/>
        </w:rPr>
        <w:t>附</w:t>
      </w:r>
      <w:bookmarkStart w:id="1330" w:name="_Toc296503229"/>
      <w:bookmarkStart w:id="1331" w:name="_Toc296891269"/>
      <w:bookmarkStart w:id="1332" w:name="_Toc296944568"/>
      <w:bookmarkStart w:id="1333" w:name="_Toc296891057"/>
      <w:bookmarkStart w:id="1334" w:name="_Toc296347228"/>
      <w:bookmarkStart w:id="1335" w:name="_Toc296346730"/>
      <w:r>
        <w:rPr>
          <w:rFonts w:hint="eastAsia" w:ascii="Times New Roman" w:hAnsi="Times New Roman" w:eastAsia="仿宋_GB2312" w:cs="仿宋_GB2312"/>
          <w:color w:val="auto"/>
          <w:sz w:val="30"/>
          <w:szCs w:val="30"/>
          <w:highlight w:val="none"/>
        </w:rPr>
        <w:t>件</w:t>
      </w:r>
      <w:r>
        <w:rPr>
          <w:rFonts w:hint="eastAsia" w:ascii="Times New Roman" w:hAnsi="Times New Roman" w:eastAsia="仿宋_GB2312"/>
          <w:color w:val="auto"/>
          <w:sz w:val="30"/>
          <w:szCs w:val="30"/>
          <w:highlight w:val="none"/>
        </w:rPr>
        <w:t>6</w:t>
      </w:r>
      <w:r>
        <w:rPr>
          <w:rFonts w:hint="eastAsia" w:ascii="Times New Roman" w:hAnsi="Times New Roman" w:eastAsia="仿宋_GB2312" w:cs="仿宋_GB2312"/>
          <w:color w:val="auto"/>
          <w:sz w:val="30"/>
          <w:szCs w:val="30"/>
          <w:highlight w:val="none"/>
        </w:rPr>
        <w:t>：</w:t>
      </w:r>
    </w:p>
    <w:bookmarkEnd w:id="1330"/>
    <w:bookmarkEnd w:id="1331"/>
    <w:bookmarkEnd w:id="1332"/>
    <w:bookmarkEnd w:id="1333"/>
    <w:bookmarkEnd w:id="1334"/>
    <w:bookmarkEnd w:id="1335"/>
    <w:p w14:paraId="1259876B">
      <w:pPr>
        <w:pStyle w:val="54"/>
        <w:spacing w:before="120" w:beforeLines="50" w:after="120" w:afterLines="50" w:line="440" w:lineRule="exact"/>
        <w:jc w:val="center"/>
        <w:rPr>
          <w:rFonts w:ascii="Times New Roman" w:hAnsi="Times New Roman" w:eastAsia="黑体"/>
          <w:color w:val="auto"/>
          <w:sz w:val="30"/>
          <w:szCs w:val="30"/>
          <w:highlight w:val="none"/>
        </w:rPr>
      </w:pPr>
      <w:r>
        <w:rPr>
          <w:rFonts w:hint="eastAsia" w:ascii="Times New Roman" w:hAnsi="Times New Roman" w:eastAsia="黑体" w:cs="黑体"/>
          <w:color w:val="auto"/>
          <w:sz w:val="30"/>
          <w:szCs w:val="30"/>
          <w:highlight w:val="none"/>
        </w:rPr>
        <w:t>分包人主要施工管理人员表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5A4F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50DF9B0">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名</w:t>
            </w:r>
            <w:r>
              <w:rPr>
                <w:rFonts w:ascii="Times New Roman" w:hAnsi="Times New Roman" w:eastAsia="仿宋_GB2312"/>
                <w:color w:val="auto"/>
                <w:sz w:val="28"/>
                <w:szCs w:val="28"/>
                <w:highlight w:val="none"/>
              </w:rPr>
              <w:t xml:space="preserve">    </w:t>
            </w:r>
            <w:r>
              <w:rPr>
                <w:rFonts w:hint="eastAsia" w:ascii="Times New Roman" w:hAnsi="Times New Roman" w:eastAsia="仿宋_GB2312" w:cs="仿宋_GB2312"/>
                <w:color w:val="auto"/>
                <w:sz w:val="28"/>
                <w:szCs w:val="28"/>
                <w:highlight w:val="none"/>
              </w:rPr>
              <w:t>称</w:t>
            </w:r>
          </w:p>
        </w:tc>
        <w:tc>
          <w:tcPr>
            <w:tcW w:w="1418" w:type="dxa"/>
            <w:vAlign w:val="center"/>
          </w:tcPr>
          <w:p w14:paraId="04A2DB5D">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姓名</w:t>
            </w:r>
          </w:p>
        </w:tc>
        <w:tc>
          <w:tcPr>
            <w:tcW w:w="1134" w:type="dxa"/>
            <w:vAlign w:val="center"/>
          </w:tcPr>
          <w:p w14:paraId="328F6EF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r>
              <w:rPr>
                <w:rFonts w:hint="eastAsia" w:ascii="Times New Roman" w:hAnsi="Times New Roman" w:eastAsia="仿宋_GB2312" w:cs="仿宋_GB2312"/>
                <w:color w:val="auto"/>
                <w:sz w:val="30"/>
                <w:szCs w:val="30"/>
                <w:highlight w:val="none"/>
              </w:rPr>
              <w:t>职务</w:t>
            </w:r>
          </w:p>
        </w:tc>
        <w:tc>
          <w:tcPr>
            <w:tcW w:w="1134" w:type="dxa"/>
            <w:vAlign w:val="center"/>
          </w:tcPr>
          <w:p w14:paraId="7B855C04">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r>
              <w:rPr>
                <w:rFonts w:hint="eastAsia" w:ascii="Times New Roman" w:hAnsi="Times New Roman" w:eastAsia="仿宋_GB2312" w:cs="仿宋_GB2312"/>
                <w:color w:val="auto"/>
                <w:sz w:val="30"/>
                <w:szCs w:val="30"/>
                <w:highlight w:val="none"/>
              </w:rPr>
              <w:t>职称</w:t>
            </w:r>
          </w:p>
        </w:tc>
        <w:tc>
          <w:tcPr>
            <w:tcW w:w="4252" w:type="dxa"/>
            <w:vAlign w:val="center"/>
          </w:tcPr>
          <w:p w14:paraId="05B9367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r>
              <w:rPr>
                <w:rFonts w:hint="eastAsia" w:ascii="Times New Roman" w:hAnsi="Times New Roman" w:eastAsia="仿宋_GB2312" w:cs="仿宋_GB2312"/>
                <w:color w:val="auto"/>
                <w:sz w:val="30"/>
                <w:szCs w:val="30"/>
                <w:highlight w:val="none"/>
              </w:rPr>
              <w:t>主要资历、经验及承担过的项目</w:t>
            </w:r>
          </w:p>
        </w:tc>
      </w:tr>
      <w:tr w14:paraId="63A9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74FFC23F">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一、总部人员</w:t>
            </w:r>
          </w:p>
        </w:tc>
      </w:tr>
      <w:tr w14:paraId="0C4E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12551BF">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项目主管</w:t>
            </w:r>
          </w:p>
        </w:tc>
        <w:tc>
          <w:tcPr>
            <w:tcW w:w="1418" w:type="dxa"/>
            <w:vAlign w:val="center"/>
          </w:tcPr>
          <w:p w14:paraId="3609038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7475B97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5EAE336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4A33C6BE">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4BE5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99DF472">
            <w:pPr>
              <w:pStyle w:val="54"/>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其他人员</w:t>
            </w:r>
          </w:p>
        </w:tc>
        <w:tc>
          <w:tcPr>
            <w:tcW w:w="1418" w:type="dxa"/>
            <w:vAlign w:val="center"/>
          </w:tcPr>
          <w:p w14:paraId="244CF93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1783C342">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31459A71">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3B779F94">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5596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251011C">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65C9082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6CE31C0A">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76265B6D">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47445E2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58F1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8539361">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1B9791A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63ADEE2A">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7B8A9DC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7FEFE6CA">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5E94E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736D05E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二、现场人员</w:t>
            </w:r>
          </w:p>
        </w:tc>
      </w:tr>
      <w:tr w14:paraId="204A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97B480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项目经理</w:t>
            </w:r>
          </w:p>
        </w:tc>
        <w:tc>
          <w:tcPr>
            <w:tcW w:w="1418" w:type="dxa"/>
            <w:vAlign w:val="center"/>
          </w:tcPr>
          <w:p w14:paraId="49A24D1A">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415AF994">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048368B2">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7EBA620D">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0552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7BE6EAD">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项目副经理</w:t>
            </w:r>
          </w:p>
        </w:tc>
        <w:tc>
          <w:tcPr>
            <w:tcW w:w="1418" w:type="dxa"/>
            <w:vAlign w:val="center"/>
          </w:tcPr>
          <w:p w14:paraId="6BB72F36">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60968A8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03AAEA20">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33DDB64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2908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E86E5AE">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技术负责人</w:t>
            </w:r>
          </w:p>
        </w:tc>
        <w:tc>
          <w:tcPr>
            <w:tcW w:w="1418" w:type="dxa"/>
            <w:vAlign w:val="center"/>
          </w:tcPr>
          <w:p w14:paraId="531DB201">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4FE5735B">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0FDC8EA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4B7F6884">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18C6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2F1A59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造价管理</w:t>
            </w:r>
          </w:p>
        </w:tc>
        <w:tc>
          <w:tcPr>
            <w:tcW w:w="1418" w:type="dxa"/>
            <w:vAlign w:val="center"/>
          </w:tcPr>
          <w:p w14:paraId="75790637">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74B081B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314250BF">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04D70520">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7F04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78189AB">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质量管理</w:t>
            </w:r>
          </w:p>
        </w:tc>
        <w:tc>
          <w:tcPr>
            <w:tcW w:w="1418" w:type="dxa"/>
            <w:vAlign w:val="center"/>
          </w:tcPr>
          <w:p w14:paraId="17665F46">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612247A4">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4C2FAEBA">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4AE631C0">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2AF9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BC7E83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材料管理</w:t>
            </w:r>
          </w:p>
        </w:tc>
        <w:tc>
          <w:tcPr>
            <w:tcW w:w="1418" w:type="dxa"/>
            <w:vAlign w:val="center"/>
          </w:tcPr>
          <w:p w14:paraId="7771F034">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039B7D0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1A91E40F">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6AE93952">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5F68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45A3634">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计划管理</w:t>
            </w:r>
          </w:p>
        </w:tc>
        <w:tc>
          <w:tcPr>
            <w:tcW w:w="1418" w:type="dxa"/>
            <w:vAlign w:val="center"/>
          </w:tcPr>
          <w:p w14:paraId="19A6A804">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666DBEF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3C0C329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29ACEED1">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0F27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70F49F0">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安全管理</w:t>
            </w:r>
          </w:p>
        </w:tc>
        <w:tc>
          <w:tcPr>
            <w:tcW w:w="1418" w:type="dxa"/>
            <w:vAlign w:val="center"/>
          </w:tcPr>
          <w:p w14:paraId="1EA6C06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29BC6ACC">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07C51F6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4BAA430A">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10E9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717D0B04">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其他人员</w:t>
            </w:r>
          </w:p>
        </w:tc>
        <w:tc>
          <w:tcPr>
            <w:tcW w:w="1418" w:type="dxa"/>
            <w:vAlign w:val="center"/>
          </w:tcPr>
          <w:p w14:paraId="182EE04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57F77E4F">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6883DD4A">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60F8E63F">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31E2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343D54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3A46ED24">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608487AA">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2CD634CE">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5CBBD28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6B4E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6523F3B">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4C3B4E16">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0B6BA80C">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5553B1D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5A78CE7C">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17D5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35326F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1BE0FF3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6C5BDFCB">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3F700E60">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32D33614">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14AF2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7A0495C">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7788E6B8">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6D4537C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6092C381">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51DD157D">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6101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0761523">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25F2ED59">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48085EAE">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358C45E6">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000FED55">
            <w:pPr>
              <w:pStyle w:val="54"/>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bl>
    <w:p w14:paraId="5F39FC71">
      <w:pPr>
        <w:pStyle w:val="54"/>
        <w:spacing w:line="440" w:lineRule="exact"/>
        <w:rPr>
          <w:rFonts w:ascii="Times New Roman" w:hAnsi="Times New Roman" w:eastAsia="黑体"/>
          <w:color w:val="auto"/>
          <w:sz w:val="30"/>
          <w:szCs w:val="30"/>
          <w:highlight w:val="none"/>
        </w:rPr>
      </w:pPr>
      <w:r>
        <w:rPr>
          <w:rFonts w:ascii="Times New Roman" w:hAnsi="Times New Roman" w:eastAsia="仿宋_GB2312"/>
          <w:color w:val="auto"/>
          <w:sz w:val="30"/>
          <w:szCs w:val="30"/>
          <w:highlight w:val="none"/>
        </w:rPr>
        <w:br w:type="page"/>
      </w:r>
      <w:bookmarkStart w:id="1336" w:name="_Toc267261701"/>
      <w:r>
        <w:rPr>
          <w:rFonts w:hint="eastAsia" w:ascii="Times New Roman" w:hAnsi="Times New Roman" w:eastAsia="仿宋_GB2312" w:cs="仿宋_GB2312"/>
          <w:color w:val="auto"/>
          <w:sz w:val="30"/>
          <w:szCs w:val="30"/>
          <w:highlight w:val="none"/>
        </w:rPr>
        <w:t>附</w:t>
      </w:r>
      <w:bookmarkStart w:id="1337" w:name="_Toc296891059"/>
      <w:bookmarkStart w:id="1338" w:name="_Toc296891271"/>
      <w:bookmarkStart w:id="1339" w:name="_Toc296944570"/>
      <w:bookmarkStart w:id="1340" w:name="_Toc296347230"/>
      <w:bookmarkStart w:id="1341" w:name="_Toc296346732"/>
      <w:bookmarkStart w:id="1342" w:name="_Toc296503231"/>
      <w:r>
        <w:rPr>
          <w:rFonts w:hint="eastAsia" w:ascii="Times New Roman" w:hAnsi="Times New Roman" w:eastAsia="仿宋_GB2312" w:cs="仿宋_GB2312"/>
          <w:color w:val="auto"/>
          <w:sz w:val="30"/>
          <w:szCs w:val="30"/>
          <w:highlight w:val="none"/>
        </w:rPr>
        <w:t>件</w:t>
      </w:r>
      <w:r>
        <w:rPr>
          <w:rFonts w:hint="eastAsia" w:ascii="Times New Roman" w:hAnsi="Times New Roman" w:eastAsia="仿宋_GB2312"/>
          <w:color w:val="auto"/>
          <w:sz w:val="30"/>
          <w:szCs w:val="30"/>
          <w:highlight w:val="none"/>
        </w:rPr>
        <w:t>7</w:t>
      </w:r>
      <w:r>
        <w:rPr>
          <w:rFonts w:hint="eastAsia" w:ascii="Times New Roman" w:hAnsi="Times New Roman" w:eastAsia="仿宋_GB2312" w:cs="仿宋_GB2312"/>
          <w:color w:val="auto"/>
          <w:sz w:val="30"/>
          <w:szCs w:val="30"/>
          <w:highlight w:val="none"/>
        </w:rPr>
        <w:t>：</w:t>
      </w:r>
    </w:p>
    <w:bookmarkEnd w:id="1336"/>
    <w:bookmarkEnd w:id="1337"/>
    <w:bookmarkEnd w:id="1338"/>
    <w:bookmarkEnd w:id="1339"/>
    <w:bookmarkEnd w:id="1340"/>
    <w:bookmarkEnd w:id="1341"/>
    <w:bookmarkEnd w:id="1342"/>
    <w:p w14:paraId="453A53EE">
      <w:pPr>
        <w:pStyle w:val="54"/>
        <w:spacing w:before="120" w:beforeLines="50" w:after="120" w:afterLines="50" w:line="440" w:lineRule="exact"/>
        <w:jc w:val="center"/>
        <w:rPr>
          <w:rFonts w:ascii="Times New Roman" w:hAnsi="Times New Roman" w:eastAsia="黑体"/>
          <w:color w:val="auto"/>
          <w:sz w:val="30"/>
          <w:szCs w:val="30"/>
          <w:highlight w:val="none"/>
        </w:rPr>
      </w:pPr>
      <w:r>
        <w:rPr>
          <w:rFonts w:hint="eastAsia" w:ascii="Times New Roman" w:hAnsi="Times New Roman" w:eastAsia="黑体" w:cs="黑体"/>
          <w:color w:val="auto"/>
          <w:sz w:val="30"/>
          <w:szCs w:val="30"/>
          <w:highlight w:val="none"/>
        </w:rPr>
        <w:t>履约担保</w:t>
      </w:r>
    </w:p>
    <w:p w14:paraId="1B05C625">
      <w:pPr>
        <w:pStyle w:val="54"/>
        <w:spacing w:line="360" w:lineRule="auto"/>
        <w:rPr>
          <w:rFonts w:ascii="Times New Roman" w:hAnsi="Times New Roman"/>
          <w:color w:val="auto"/>
          <w:szCs w:val="21"/>
          <w:highlight w:val="none"/>
          <w:u w:val="single"/>
        </w:rPr>
      </w:pPr>
    </w:p>
    <w:p w14:paraId="59102FE6">
      <w:pPr>
        <w:pStyle w:val="54"/>
        <w:spacing w:line="360" w:lineRule="auto"/>
        <w:rPr>
          <w:rFonts w:ascii="Times New Roman" w:hAnsi="Times New Roman"/>
          <w:color w:val="auto"/>
          <w:szCs w:val="21"/>
          <w:highlight w:val="none"/>
        </w:rPr>
      </w:pP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（发包人名称）：</w:t>
      </w:r>
    </w:p>
    <w:p w14:paraId="7BF61872">
      <w:pPr>
        <w:pStyle w:val="54"/>
        <w:spacing w:line="360" w:lineRule="auto"/>
        <w:ind w:firstLine="420" w:firstLineChars="200"/>
        <w:rPr>
          <w:rFonts w:ascii="Times New Roman" w:hAnsi="Times New Roman"/>
          <w:color w:val="auto"/>
          <w:szCs w:val="21"/>
          <w:highlight w:val="none"/>
        </w:rPr>
      </w:pPr>
      <w:r>
        <w:rPr>
          <w:rFonts w:hint="eastAsia" w:ascii="Times New Roman" w:hAnsi="宋体" w:cs="宋体"/>
          <w:color w:val="auto"/>
          <w:szCs w:val="21"/>
          <w:highlight w:val="none"/>
        </w:rPr>
        <w:t>鉴于</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（发包人名称，以下简称</w:t>
      </w:r>
      <w:r>
        <w:rPr>
          <w:rFonts w:ascii="Times New Roman" w:hAnsi="Times New Roman"/>
          <w:color w:val="auto"/>
          <w:szCs w:val="21"/>
          <w:highlight w:val="none"/>
        </w:rPr>
        <w:t>“</w:t>
      </w:r>
      <w:r>
        <w:rPr>
          <w:rFonts w:hint="eastAsia" w:ascii="Times New Roman" w:hAnsi="宋体" w:cs="宋体"/>
          <w:color w:val="auto"/>
          <w:szCs w:val="21"/>
          <w:highlight w:val="none"/>
        </w:rPr>
        <w:t>发包人</w:t>
      </w:r>
      <w:r>
        <w:rPr>
          <w:rFonts w:ascii="Times New Roman" w:hAnsi="Times New Roman"/>
          <w:color w:val="auto"/>
          <w:szCs w:val="21"/>
          <w:highlight w:val="none"/>
        </w:rPr>
        <w:t>”</w:t>
      </w:r>
      <w:r>
        <w:rPr>
          <w:rFonts w:hint="eastAsia" w:ascii="Times New Roman" w:hAnsi="宋体" w:cs="宋体"/>
          <w:color w:val="auto"/>
          <w:szCs w:val="21"/>
          <w:highlight w:val="none"/>
        </w:rPr>
        <w:t>）</w:t>
      </w:r>
      <w:r>
        <w:rPr>
          <w:rFonts w:ascii="Times New Roman" w:hAnsi="宋体"/>
          <w:color w:val="auto"/>
          <w:szCs w:val="21"/>
          <w:highlight w:val="none"/>
        </w:rPr>
        <w:t xml:space="preserve"> </w:t>
      </w:r>
      <w:r>
        <w:rPr>
          <w:rFonts w:hint="eastAsia" w:ascii="Times New Roman" w:hAnsi="宋体" w:cs="宋体"/>
          <w:color w:val="auto"/>
          <w:szCs w:val="21"/>
          <w:highlight w:val="none"/>
        </w:rPr>
        <w:t>已于</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年</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月</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日发放成交通知书，明确</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（承包人名称）（以下称</w:t>
      </w:r>
      <w:r>
        <w:rPr>
          <w:rFonts w:ascii="Times New Roman" w:hAnsi="Times New Roman"/>
          <w:color w:val="auto"/>
          <w:szCs w:val="21"/>
          <w:highlight w:val="none"/>
        </w:rPr>
        <w:t>“</w:t>
      </w:r>
      <w:r>
        <w:rPr>
          <w:rFonts w:hint="eastAsia" w:ascii="Times New Roman" w:hAnsi="宋体" w:cs="宋体"/>
          <w:color w:val="auto"/>
          <w:szCs w:val="21"/>
          <w:highlight w:val="none"/>
        </w:rPr>
        <w:t>承包人</w:t>
      </w:r>
      <w:r>
        <w:rPr>
          <w:rFonts w:ascii="Times New Roman" w:hAnsi="Times New Roman"/>
          <w:color w:val="auto"/>
          <w:szCs w:val="21"/>
          <w:highlight w:val="none"/>
        </w:rPr>
        <w:t>”</w:t>
      </w:r>
      <w:r>
        <w:rPr>
          <w:rFonts w:hint="eastAsia" w:ascii="Times New Roman" w:hAnsi="宋体" w:cs="宋体"/>
          <w:color w:val="auto"/>
          <w:szCs w:val="21"/>
          <w:highlight w:val="none"/>
        </w:rPr>
        <w:t>）于</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年</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月</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日为</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（工程名称）的成交人。我方愿意无条件地、不可撤销地就承包人履行与你方签订的合同，向你方提供连带责任担保。</w:t>
      </w:r>
      <w:r>
        <w:rPr>
          <w:rFonts w:ascii="Times New Roman" w:hAnsi="Times New Roman"/>
          <w:color w:val="auto"/>
          <w:szCs w:val="21"/>
          <w:highlight w:val="none"/>
        </w:rPr>
        <w:t xml:space="preserve"> </w:t>
      </w:r>
    </w:p>
    <w:p w14:paraId="3A7C01A5">
      <w:pPr>
        <w:pStyle w:val="54"/>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 </w:t>
      </w:r>
      <w:r>
        <w:rPr>
          <w:rFonts w:hint="eastAsia" w:ascii="Times New Roman" w:hAnsi="宋体" w:cs="宋体"/>
          <w:color w:val="auto"/>
          <w:szCs w:val="21"/>
          <w:highlight w:val="none"/>
        </w:rPr>
        <w:t>担保金额人民币（大写）</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元（</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w:t>
      </w:r>
    </w:p>
    <w:p w14:paraId="6CA4A891">
      <w:pPr>
        <w:pStyle w:val="54"/>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 </w:t>
      </w:r>
      <w:r>
        <w:rPr>
          <w:rFonts w:hint="eastAsia" w:ascii="Times New Roman" w:hAnsi="宋体" w:cs="宋体"/>
          <w:color w:val="auto"/>
          <w:szCs w:val="21"/>
          <w:highlight w:val="none"/>
        </w:rPr>
        <w:t>担保有效期自你方与承包人签订的合同生效之日起至你方签发或应签发工程接收证书之日止。</w:t>
      </w:r>
    </w:p>
    <w:p w14:paraId="7F1A2B7B">
      <w:pPr>
        <w:pStyle w:val="54"/>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 </w:t>
      </w:r>
      <w:r>
        <w:rPr>
          <w:rFonts w:hint="eastAsia" w:ascii="Times New Roman" w:hAnsi="宋体" w:cs="宋体"/>
          <w:color w:val="auto"/>
          <w:szCs w:val="21"/>
          <w:highlight w:val="none"/>
        </w:rPr>
        <w:t>在本担保有效期内，因承包人违反合同约定的义务给你方造成经济损失时，我方在收到你方以书面形式提出的在担保金额内的赔偿要求后，在</w:t>
      </w:r>
      <w:r>
        <w:rPr>
          <w:rFonts w:ascii="Times New Roman" w:hAnsi="Times New Roman"/>
          <w:color w:val="auto"/>
          <w:szCs w:val="21"/>
          <w:highlight w:val="none"/>
        </w:rPr>
        <w:t>7</w:t>
      </w:r>
      <w:r>
        <w:rPr>
          <w:rFonts w:hint="eastAsia" w:ascii="Times New Roman" w:hAnsi="宋体" w:cs="宋体"/>
          <w:color w:val="auto"/>
          <w:szCs w:val="21"/>
          <w:highlight w:val="none"/>
        </w:rPr>
        <w:t>天内无条件支付。</w:t>
      </w:r>
    </w:p>
    <w:p w14:paraId="20B1B46D">
      <w:pPr>
        <w:pStyle w:val="54"/>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 </w:t>
      </w:r>
      <w:r>
        <w:rPr>
          <w:rFonts w:hint="eastAsia" w:ascii="Times New Roman" w:hAnsi="宋体" w:cs="宋体"/>
          <w:color w:val="auto"/>
          <w:szCs w:val="21"/>
          <w:highlight w:val="none"/>
        </w:rPr>
        <w:t>你方和承包人按合同约定变更合同时，我方承担本担保规定的义务不变。</w:t>
      </w:r>
    </w:p>
    <w:p w14:paraId="0725A975">
      <w:pPr>
        <w:pStyle w:val="54"/>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5. </w:t>
      </w:r>
      <w:r>
        <w:rPr>
          <w:rFonts w:hint="eastAsia" w:ascii="Times New Roman" w:hAnsi="宋体" w:cs="宋体"/>
          <w:color w:val="auto"/>
          <w:szCs w:val="21"/>
          <w:highlight w:val="none"/>
        </w:rPr>
        <w:t>因本保函发生的纠纷，可由双方协商解决，协商不成的，任何一方均可提请</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仲裁委员会仲裁。</w:t>
      </w:r>
    </w:p>
    <w:p w14:paraId="4A31E744">
      <w:pPr>
        <w:pStyle w:val="54"/>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6. </w:t>
      </w:r>
      <w:r>
        <w:rPr>
          <w:rFonts w:hint="eastAsia" w:ascii="Times New Roman" w:hAnsi="宋体" w:cs="宋体"/>
          <w:color w:val="auto"/>
          <w:szCs w:val="21"/>
          <w:highlight w:val="none"/>
        </w:rPr>
        <w:t>本保函自我方法定代表人（或其授权代理人）签字并加盖公章之日起生效。</w:t>
      </w:r>
    </w:p>
    <w:p w14:paraId="4AD0E369">
      <w:pPr>
        <w:pStyle w:val="54"/>
        <w:spacing w:line="360" w:lineRule="auto"/>
        <w:rPr>
          <w:rFonts w:ascii="Times New Roman" w:hAnsi="Times New Roman"/>
          <w:color w:val="auto"/>
          <w:szCs w:val="21"/>
          <w:highlight w:val="none"/>
        </w:rPr>
      </w:pPr>
    </w:p>
    <w:p w14:paraId="73F889F1">
      <w:pPr>
        <w:pStyle w:val="54"/>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担</w:t>
      </w:r>
      <w:r>
        <w:rPr>
          <w:rFonts w:ascii="Times New Roman" w:hAnsi="Times New Roman"/>
          <w:color w:val="auto"/>
          <w:szCs w:val="21"/>
          <w:highlight w:val="none"/>
        </w:rPr>
        <w:t xml:space="preserve"> </w:t>
      </w:r>
      <w:r>
        <w:rPr>
          <w:rFonts w:hint="eastAsia" w:ascii="Times New Roman" w:hAnsi="宋体" w:cs="宋体"/>
          <w:color w:val="auto"/>
          <w:szCs w:val="21"/>
          <w:highlight w:val="none"/>
        </w:rPr>
        <w:t>保</w:t>
      </w:r>
      <w:r>
        <w:rPr>
          <w:rFonts w:ascii="Times New Roman" w:hAnsi="Times New Roman"/>
          <w:color w:val="auto"/>
          <w:szCs w:val="21"/>
          <w:highlight w:val="none"/>
        </w:rPr>
        <w:t xml:space="preserve"> </w:t>
      </w:r>
      <w:r>
        <w:rPr>
          <w:rFonts w:hint="eastAsia" w:ascii="Times New Roman" w:hAnsi="宋体" w:cs="宋体"/>
          <w:color w:val="auto"/>
          <w:szCs w:val="21"/>
          <w:highlight w:val="none"/>
        </w:rPr>
        <w:t>人：</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（盖单位章）</w:t>
      </w:r>
    </w:p>
    <w:p w14:paraId="547E882A">
      <w:pPr>
        <w:pStyle w:val="54"/>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法定代表人或其委托代理人：</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（签字）</w:t>
      </w:r>
    </w:p>
    <w:p w14:paraId="00C96827">
      <w:pPr>
        <w:pStyle w:val="54"/>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地</w:t>
      </w:r>
      <w:r>
        <w:rPr>
          <w:rFonts w:ascii="Times New Roman" w:hAnsi="Times New Roman"/>
          <w:color w:val="auto"/>
          <w:szCs w:val="21"/>
          <w:highlight w:val="none"/>
        </w:rPr>
        <w:t xml:space="preserve">    </w:t>
      </w:r>
      <w:r>
        <w:rPr>
          <w:rFonts w:hint="eastAsia" w:ascii="Times New Roman" w:hAnsi="宋体" w:cs="宋体"/>
          <w:color w:val="auto"/>
          <w:szCs w:val="21"/>
          <w:highlight w:val="none"/>
        </w:rPr>
        <w:t>址：</w:t>
      </w:r>
      <w:r>
        <w:rPr>
          <w:rFonts w:ascii="Times New Roman" w:hAnsi="Times New Roman"/>
          <w:color w:val="auto"/>
          <w:szCs w:val="21"/>
          <w:highlight w:val="none"/>
          <w:u w:val="single"/>
        </w:rPr>
        <w:t xml:space="preserve">                                      </w:t>
      </w:r>
    </w:p>
    <w:p w14:paraId="4FBEFE95">
      <w:pPr>
        <w:pStyle w:val="54"/>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邮政编码：</w:t>
      </w:r>
      <w:r>
        <w:rPr>
          <w:rFonts w:ascii="Times New Roman" w:hAnsi="Times New Roman"/>
          <w:color w:val="auto"/>
          <w:szCs w:val="21"/>
          <w:highlight w:val="none"/>
          <w:u w:val="single"/>
        </w:rPr>
        <w:t xml:space="preserve">                                      </w:t>
      </w:r>
    </w:p>
    <w:p w14:paraId="4BAEC75A">
      <w:pPr>
        <w:pStyle w:val="54"/>
        <w:spacing w:line="360" w:lineRule="auto"/>
        <w:rPr>
          <w:rFonts w:ascii="Times New Roman" w:hAnsi="Times New Roman"/>
          <w:color w:val="auto"/>
          <w:szCs w:val="21"/>
          <w:highlight w:val="none"/>
          <w:u w:val="single"/>
        </w:rPr>
      </w:pPr>
      <w:r>
        <w:rPr>
          <w:rFonts w:hint="eastAsia" w:ascii="Times New Roman" w:hAnsi="宋体" w:cs="宋体"/>
          <w:color w:val="auto"/>
          <w:szCs w:val="21"/>
          <w:highlight w:val="none"/>
        </w:rPr>
        <w:t>电</w:t>
      </w:r>
      <w:r>
        <w:rPr>
          <w:rFonts w:ascii="Times New Roman" w:hAnsi="Times New Roman"/>
          <w:color w:val="auto"/>
          <w:szCs w:val="21"/>
          <w:highlight w:val="none"/>
        </w:rPr>
        <w:t xml:space="preserve">    </w:t>
      </w:r>
      <w:r>
        <w:rPr>
          <w:rFonts w:hint="eastAsia" w:ascii="Times New Roman" w:hAnsi="宋体" w:cs="宋体"/>
          <w:color w:val="auto"/>
          <w:szCs w:val="21"/>
          <w:highlight w:val="none"/>
        </w:rPr>
        <w:t>话：</w:t>
      </w:r>
      <w:r>
        <w:rPr>
          <w:rFonts w:ascii="Times New Roman" w:hAnsi="Times New Roman"/>
          <w:color w:val="auto"/>
          <w:szCs w:val="21"/>
          <w:highlight w:val="none"/>
          <w:u w:val="single"/>
        </w:rPr>
        <w:t xml:space="preserve">                                      </w:t>
      </w:r>
    </w:p>
    <w:p w14:paraId="595D6D43">
      <w:pPr>
        <w:pStyle w:val="54"/>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传</w:t>
      </w:r>
      <w:r>
        <w:rPr>
          <w:rFonts w:ascii="Times New Roman" w:hAnsi="Times New Roman"/>
          <w:color w:val="auto"/>
          <w:szCs w:val="21"/>
          <w:highlight w:val="none"/>
        </w:rPr>
        <w:t xml:space="preserve">    </w:t>
      </w:r>
      <w:r>
        <w:rPr>
          <w:rFonts w:hint="eastAsia" w:ascii="Times New Roman" w:hAnsi="宋体" w:cs="宋体"/>
          <w:color w:val="auto"/>
          <w:szCs w:val="21"/>
          <w:highlight w:val="none"/>
        </w:rPr>
        <w:t>真：</w:t>
      </w:r>
      <w:r>
        <w:rPr>
          <w:rFonts w:ascii="Times New Roman" w:hAnsi="Times New Roman"/>
          <w:color w:val="auto"/>
          <w:szCs w:val="21"/>
          <w:highlight w:val="none"/>
          <w:u w:val="single"/>
        </w:rPr>
        <w:t xml:space="preserve">                                      </w:t>
      </w:r>
    </w:p>
    <w:p w14:paraId="55557B15">
      <w:pPr>
        <w:pStyle w:val="54"/>
        <w:spacing w:line="360" w:lineRule="auto"/>
        <w:jc w:val="left"/>
        <w:rPr>
          <w:rFonts w:ascii="Times New Roman" w:hAnsi="Times New Roman"/>
          <w:color w:val="auto"/>
          <w:szCs w:val="21"/>
          <w:highlight w:val="none"/>
          <w:u w:val="single"/>
        </w:rPr>
      </w:pPr>
    </w:p>
    <w:p w14:paraId="3CA7BB79">
      <w:pPr>
        <w:pStyle w:val="54"/>
        <w:spacing w:line="360" w:lineRule="auto"/>
        <w:ind w:left="1329" w:hanging="1329" w:hangingChars="633"/>
        <w:rPr>
          <w:rFonts w:ascii="Times New Roman" w:hAnsi="Times New Roman"/>
          <w:color w:val="auto"/>
          <w:szCs w:val="21"/>
          <w:highlight w:val="none"/>
        </w:rPr>
      </w:pPr>
      <w:r>
        <w:rPr>
          <w:rFonts w:ascii="Times New Roman" w:hAnsi="Times New Roman"/>
          <w:color w:val="auto"/>
          <w:szCs w:val="21"/>
          <w:highlight w:val="none"/>
        </w:rPr>
        <w:t xml:space="preserve">               </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年</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月</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日</w:t>
      </w:r>
    </w:p>
    <w:p w14:paraId="490D8D1E">
      <w:pPr>
        <w:pStyle w:val="54"/>
        <w:spacing w:line="360" w:lineRule="auto"/>
        <w:ind w:left="1329" w:hanging="1329" w:hangingChars="633"/>
        <w:rPr>
          <w:rFonts w:ascii="Times New Roman" w:hAnsi="Times New Roman"/>
          <w:color w:val="auto"/>
          <w:szCs w:val="21"/>
          <w:highlight w:val="none"/>
        </w:rPr>
      </w:pPr>
    </w:p>
    <w:p w14:paraId="0F0AFA45">
      <w:pPr>
        <w:pStyle w:val="54"/>
        <w:spacing w:line="360" w:lineRule="auto"/>
        <w:ind w:right="150" w:firstLine="420" w:firstLineChars="200"/>
        <w:jc w:val="left"/>
        <w:rPr>
          <w:rFonts w:ascii="仿宋_GB2312" w:hAnsi="宋体" w:cs="宋体"/>
          <w:color w:val="auto"/>
          <w:szCs w:val="21"/>
          <w:highlight w:val="none"/>
        </w:rPr>
      </w:pPr>
      <w:r>
        <w:rPr>
          <w:rFonts w:hint="eastAsia" w:ascii="Times New Roman" w:hAnsi="宋体" w:cs="宋体"/>
          <w:color w:val="auto"/>
          <w:szCs w:val="21"/>
          <w:highlight w:val="none"/>
        </w:rPr>
        <w:t>（备注</w:t>
      </w:r>
      <w:r>
        <w:rPr>
          <w:rFonts w:ascii="Times New Roman" w:hAnsi="宋体" w:cs="宋体"/>
          <w:color w:val="auto"/>
          <w:szCs w:val="21"/>
          <w:highlight w:val="none"/>
        </w:rPr>
        <w:t>：</w:t>
      </w:r>
      <w:r>
        <w:rPr>
          <w:rFonts w:hint="eastAsia" w:ascii="Times New Roman" w:hAnsi="宋体" w:cs="宋体"/>
          <w:color w:val="auto"/>
          <w:szCs w:val="21"/>
          <w:highlight w:val="none"/>
        </w:rPr>
        <w:t>银行、保险公司和担保公司出具的</w:t>
      </w:r>
      <w:r>
        <w:rPr>
          <w:rFonts w:hint="eastAsia" w:ascii="仿宋_GB2312" w:hAnsi="宋体" w:cs="宋体"/>
          <w:color w:val="auto"/>
          <w:szCs w:val="21"/>
          <w:highlight w:val="none"/>
        </w:rPr>
        <w:t>保函格式和文本可</w:t>
      </w:r>
      <w:r>
        <w:rPr>
          <w:rFonts w:ascii="仿宋_GB2312" w:hAnsi="宋体" w:cs="宋体"/>
          <w:color w:val="auto"/>
          <w:szCs w:val="21"/>
          <w:highlight w:val="none"/>
        </w:rPr>
        <w:t>以自拟，</w:t>
      </w:r>
      <w:r>
        <w:rPr>
          <w:rFonts w:hint="eastAsia" w:ascii="仿宋_GB2312" w:hAnsi="宋体" w:cs="宋体"/>
          <w:color w:val="auto"/>
          <w:szCs w:val="21"/>
          <w:highlight w:val="none"/>
        </w:rPr>
        <w:t>但是必须包含以上条款所列全部内容</w:t>
      </w:r>
      <w:r>
        <w:rPr>
          <w:rFonts w:ascii="仿宋_GB2312" w:hAnsi="宋体" w:cs="宋体"/>
          <w:color w:val="auto"/>
          <w:szCs w:val="21"/>
          <w:highlight w:val="none"/>
        </w:rPr>
        <w:t>）</w:t>
      </w:r>
    </w:p>
    <w:p w14:paraId="20636AAB">
      <w:pPr>
        <w:pStyle w:val="54"/>
        <w:spacing w:line="360" w:lineRule="auto"/>
        <w:ind w:right="150" w:firstLine="420" w:firstLineChars="200"/>
        <w:jc w:val="left"/>
        <w:rPr>
          <w:rFonts w:ascii="仿宋_GB2312" w:hAnsi="宋体" w:cs="宋体"/>
          <w:color w:val="auto"/>
          <w:szCs w:val="21"/>
          <w:highlight w:val="none"/>
        </w:rPr>
      </w:pPr>
    </w:p>
    <w:p w14:paraId="4457D365">
      <w:pPr>
        <w:pStyle w:val="54"/>
        <w:spacing w:line="360" w:lineRule="auto"/>
        <w:ind w:right="150" w:firstLine="420" w:firstLineChars="200"/>
        <w:jc w:val="left"/>
        <w:rPr>
          <w:rFonts w:ascii="仿宋_GB2312" w:hAnsi="宋体" w:cs="宋体"/>
          <w:color w:val="auto"/>
          <w:szCs w:val="21"/>
          <w:highlight w:val="none"/>
        </w:rPr>
      </w:pPr>
    </w:p>
    <w:p w14:paraId="7F128A6B">
      <w:pPr>
        <w:pStyle w:val="54"/>
        <w:spacing w:line="360" w:lineRule="auto"/>
        <w:ind w:right="150" w:firstLine="420" w:firstLineChars="200"/>
        <w:jc w:val="left"/>
        <w:rPr>
          <w:rFonts w:ascii="仿宋_GB2312" w:hAnsi="宋体" w:cs="宋体"/>
          <w:color w:val="auto"/>
          <w:szCs w:val="21"/>
          <w:highlight w:val="none"/>
        </w:rPr>
      </w:pPr>
    </w:p>
    <w:p w14:paraId="1D0BE49C">
      <w:pPr>
        <w:pStyle w:val="54"/>
        <w:spacing w:line="360" w:lineRule="auto"/>
        <w:ind w:right="150" w:firstLine="420" w:firstLineChars="200"/>
        <w:jc w:val="left"/>
        <w:rPr>
          <w:rFonts w:ascii="仿宋_GB2312" w:hAnsi="宋体" w:cs="宋体"/>
          <w:color w:val="auto"/>
          <w:szCs w:val="21"/>
          <w:highlight w:val="none"/>
        </w:rPr>
      </w:pPr>
    </w:p>
    <w:p w14:paraId="755BAF39">
      <w:pPr>
        <w:pStyle w:val="54"/>
        <w:spacing w:line="360" w:lineRule="auto"/>
        <w:ind w:right="150" w:firstLine="420" w:firstLineChars="200"/>
        <w:jc w:val="left"/>
        <w:rPr>
          <w:rFonts w:ascii="仿宋_GB2312" w:hAnsi="宋体" w:cs="宋体"/>
          <w:color w:val="auto"/>
          <w:szCs w:val="21"/>
          <w:highlight w:val="none"/>
        </w:rPr>
      </w:pPr>
    </w:p>
    <w:p w14:paraId="48E8B8C9">
      <w:pPr>
        <w:pStyle w:val="54"/>
        <w:spacing w:line="360" w:lineRule="auto"/>
        <w:ind w:right="150" w:firstLine="420" w:firstLineChars="200"/>
        <w:jc w:val="left"/>
        <w:rPr>
          <w:rFonts w:ascii="仿宋_GB2312" w:hAnsi="宋体" w:cs="宋体"/>
          <w:color w:val="auto"/>
          <w:szCs w:val="21"/>
          <w:highlight w:val="none"/>
        </w:rPr>
      </w:pPr>
    </w:p>
    <w:p w14:paraId="1B4A4B87">
      <w:pPr>
        <w:pStyle w:val="54"/>
        <w:spacing w:line="360" w:lineRule="auto"/>
        <w:ind w:right="150" w:firstLine="420" w:firstLineChars="200"/>
        <w:jc w:val="left"/>
        <w:rPr>
          <w:rFonts w:ascii="仿宋_GB2312" w:hAnsi="宋体" w:cs="宋体"/>
          <w:color w:val="auto"/>
          <w:szCs w:val="21"/>
          <w:highlight w:val="none"/>
        </w:rPr>
      </w:pPr>
    </w:p>
    <w:p w14:paraId="45C09D49">
      <w:pPr>
        <w:pStyle w:val="54"/>
        <w:spacing w:line="360" w:lineRule="auto"/>
        <w:rPr>
          <w:rFonts w:ascii="Times New Roman" w:hAnsi="Times New Roman" w:eastAsia="黑体"/>
          <w:color w:val="auto"/>
          <w:sz w:val="30"/>
          <w:szCs w:val="30"/>
          <w:highlight w:val="none"/>
        </w:rPr>
      </w:pPr>
      <w:r>
        <w:rPr>
          <w:rFonts w:hint="eastAsia" w:ascii="Times New Roman" w:hAnsi="Times New Roman" w:eastAsia="仿宋_GB2312" w:cs="仿宋_GB2312"/>
          <w:color w:val="auto"/>
          <w:sz w:val="30"/>
          <w:szCs w:val="30"/>
          <w:highlight w:val="none"/>
        </w:rPr>
        <w:t>附件</w:t>
      </w:r>
      <w:r>
        <w:rPr>
          <w:rFonts w:hint="eastAsia" w:ascii="Times New Roman" w:hAnsi="Times New Roman" w:eastAsia="仿宋_GB2312"/>
          <w:color w:val="auto"/>
          <w:sz w:val="30"/>
          <w:szCs w:val="30"/>
          <w:highlight w:val="none"/>
        </w:rPr>
        <w:t>8</w:t>
      </w:r>
      <w:r>
        <w:rPr>
          <w:rFonts w:hint="eastAsia" w:ascii="Times New Roman" w:hAnsi="Times New Roman" w:eastAsia="仿宋_GB2312" w:cs="仿宋_GB2312"/>
          <w:color w:val="auto"/>
          <w:sz w:val="30"/>
          <w:szCs w:val="30"/>
          <w:highlight w:val="none"/>
        </w:rPr>
        <w:t>：</w:t>
      </w:r>
    </w:p>
    <w:p w14:paraId="367436A6">
      <w:pPr>
        <w:pStyle w:val="54"/>
        <w:spacing w:before="120" w:beforeLines="50" w:after="120" w:afterLines="50" w:line="440" w:lineRule="exact"/>
        <w:jc w:val="center"/>
        <w:rPr>
          <w:rFonts w:ascii="Times New Roman" w:hAnsi="Times New Roman" w:eastAsia="黑体"/>
          <w:color w:val="auto"/>
          <w:sz w:val="30"/>
          <w:szCs w:val="30"/>
          <w:highlight w:val="none"/>
        </w:rPr>
      </w:pPr>
      <w:r>
        <w:rPr>
          <w:rFonts w:hint="eastAsia" w:ascii="Times New Roman" w:hAnsi="Times New Roman" w:eastAsia="黑体" w:cs="黑体"/>
          <w:color w:val="auto"/>
          <w:sz w:val="30"/>
          <w:szCs w:val="30"/>
          <w:highlight w:val="none"/>
        </w:rPr>
        <w:t>预付款担保</w:t>
      </w:r>
    </w:p>
    <w:p w14:paraId="12A69142">
      <w:pPr>
        <w:pStyle w:val="54"/>
        <w:spacing w:line="360" w:lineRule="auto"/>
        <w:rPr>
          <w:rFonts w:ascii="Times New Roman" w:hAnsi="Times New Roman"/>
          <w:color w:val="auto"/>
          <w:szCs w:val="21"/>
          <w:highlight w:val="none"/>
        </w:rPr>
      </w:pP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宋体" w:cs="宋体"/>
          <w:color w:val="auto"/>
          <w:szCs w:val="21"/>
          <w:highlight w:val="none"/>
        </w:rPr>
        <w:t>（发包人名称）：</w:t>
      </w:r>
    </w:p>
    <w:p w14:paraId="1D204DCB">
      <w:pPr>
        <w:pStyle w:val="54"/>
        <w:spacing w:line="360" w:lineRule="auto"/>
        <w:ind w:firstLine="420" w:firstLineChars="200"/>
        <w:rPr>
          <w:rFonts w:ascii="Times New Roman" w:hAnsi="Times New Roman"/>
          <w:color w:val="auto"/>
          <w:szCs w:val="21"/>
          <w:highlight w:val="none"/>
        </w:rPr>
      </w:pPr>
      <w:r>
        <w:rPr>
          <w:rFonts w:hint="eastAsia" w:ascii="Times New Roman" w:hAnsi="宋体" w:cs="宋体"/>
          <w:color w:val="auto"/>
          <w:szCs w:val="21"/>
          <w:highlight w:val="none"/>
        </w:rPr>
        <w:t>根据</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（承包人名称）（以下称</w:t>
      </w:r>
      <w:r>
        <w:rPr>
          <w:rFonts w:ascii="Times New Roman" w:hAnsi="Times New Roman"/>
          <w:color w:val="auto"/>
          <w:szCs w:val="21"/>
          <w:highlight w:val="none"/>
        </w:rPr>
        <w:t>“</w:t>
      </w:r>
      <w:r>
        <w:rPr>
          <w:rFonts w:hint="eastAsia" w:ascii="Times New Roman" w:hAnsi="宋体" w:cs="宋体"/>
          <w:color w:val="auto"/>
          <w:szCs w:val="21"/>
          <w:highlight w:val="none"/>
        </w:rPr>
        <w:t>承包人</w:t>
      </w:r>
      <w:r>
        <w:rPr>
          <w:rFonts w:ascii="Times New Roman" w:hAnsi="Times New Roman"/>
          <w:color w:val="auto"/>
          <w:szCs w:val="21"/>
          <w:highlight w:val="none"/>
        </w:rPr>
        <w:t>”</w:t>
      </w:r>
      <w:r>
        <w:rPr>
          <w:rFonts w:hint="eastAsia" w:ascii="Times New Roman" w:hAnsi="宋体" w:cs="宋体"/>
          <w:color w:val="auto"/>
          <w:szCs w:val="21"/>
          <w:highlight w:val="none"/>
        </w:rPr>
        <w:t>）与</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（发包人名称）（以下简称</w:t>
      </w:r>
      <w:r>
        <w:rPr>
          <w:rFonts w:ascii="Times New Roman" w:hAnsi="Times New Roman"/>
          <w:color w:val="auto"/>
          <w:szCs w:val="21"/>
          <w:highlight w:val="none"/>
        </w:rPr>
        <w:t>“</w:t>
      </w:r>
      <w:r>
        <w:rPr>
          <w:rFonts w:hint="eastAsia" w:ascii="Times New Roman" w:hAnsi="宋体" w:cs="宋体"/>
          <w:color w:val="auto"/>
          <w:szCs w:val="21"/>
          <w:highlight w:val="none"/>
        </w:rPr>
        <w:t>发包人</w:t>
      </w:r>
      <w:r>
        <w:rPr>
          <w:rFonts w:ascii="Times New Roman" w:hAnsi="Times New Roman"/>
          <w:color w:val="auto"/>
          <w:szCs w:val="21"/>
          <w:highlight w:val="none"/>
        </w:rPr>
        <w:t>”</w:t>
      </w:r>
      <w:r>
        <w:rPr>
          <w:rFonts w:hint="eastAsia" w:ascii="Times New Roman" w:hAnsi="宋体" w:cs="宋体"/>
          <w:color w:val="auto"/>
          <w:szCs w:val="21"/>
          <w:highlight w:val="none"/>
        </w:rPr>
        <w:t>）于</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年</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月</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日签订的</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12B0BEAC">
      <w:pPr>
        <w:pStyle w:val="54"/>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 </w:t>
      </w:r>
      <w:r>
        <w:rPr>
          <w:rFonts w:hint="eastAsia" w:ascii="Times New Roman" w:hAnsi="宋体" w:cs="宋体"/>
          <w:color w:val="auto"/>
          <w:szCs w:val="21"/>
          <w:highlight w:val="none"/>
        </w:rPr>
        <w:t>担保金额人民币（大写）</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元（</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w:t>
      </w:r>
    </w:p>
    <w:p w14:paraId="1B2792C2">
      <w:pPr>
        <w:pStyle w:val="54"/>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 </w:t>
      </w:r>
      <w:r>
        <w:rPr>
          <w:rFonts w:hint="eastAsia" w:ascii="Times New Roman" w:hAnsi="宋体" w:cs="宋体"/>
          <w:color w:val="auto"/>
          <w:szCs w:val="21"/>
          <w:highlight w:val="none"/>
        </w:rPr>
        <w:t>担保有效期自预付款支付给承包人起生效，至你方签发的进度款支付证书说明已完全扣清止。</w:t>
      </w:r>
    </w:p>
    <w:p w14:paraId="1C38249D">
      <w:pPr>
        <w:pStyle w:val="54"/>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 </w:t>
      </w:r>
      <w:r>
        <w:rPr>
          <w:rFonts w:hint="eastAsia" w:ascii="Times New Roman" w:hAnsi="宋体" w:cs="宋体"/>
          <w:color w:val="auto"/>
          <w:szCs w:val="21"/>
          <w:highlight w:val="none"/>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1B67E9FB">
      <w:pPr>
        <w:pStyle w:val="54"/>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 </w:t>
      </w:r>
      <w:r>
        <w:rPr>
          <w:rFonts w:hint="eastAsia" w:ascii="Times New Roman" w:hAnsi="宋体" w:cs="宋体"/>
          <w:color w:val="auto"/>
          <w:szCs w:val="21"/>
          <w:highlight w:val="none"/>
        </w:rPr>
        <w:t>你方和承包人按合同约定变更合同时，我方承担本保函规定的义务不变。</w:t>
      </w:r>
    </w:p>
    <w:p w14:paraId="6729391D">
      <w:pPr>
        <w:pStyle w:val="54"/>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5. </w:t>
      </w:r>
      <w:r>
        <w:rPr>
          <w:rFonts w:hint="eastAsia" w:ascii="Times New Roman" w:hAnsi="宋体" w:cs="宋体"/>
          <w:color w:val="auto"/>
          <w:szCs w:val="21"/>
          <w:highlight w:val="none"/>
        </w:rPr>
        <w:t>因本保函发生的纠纷，可由双方协商解决，协商不成的，任何一方均可提请</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仲裁委员会仲裁。</w:t>
      </w:r>
    </w:p>
    <w:p w14:paraId="00427A7D">
      <w:pPr>
        <w:pStyle w:val="54"/>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6. </w:t>
      </w:r>
      <w:r>
        <w:rPr>
          <w:rFonts w:hint="eastAsia" w:ascii="Times New Roman" w:hAnsi="宋体" w:cs="宋体"/>
          <w:color w:val="auto"/>
          <w:szCs w:val="21"/>
          <w:highlight w:val="none"/>
        </w:rPr>
        <w:t>本保函自我方法定代表人（或其授权代理人）签字并加盖公章之日起生效。</w:t>
      </w:r>
    </w:p>
    <w:p w14:paraId="1DE2F378">
      <w:pPr>
        <w:pStyle w:val="54"/>
        <w:spacing w:line="360" w:lineRule="auto"/>
        <w:rPr>
          <w:rFonts w:ascii="Times New Roman" w:hAnsi="Times New Roman"/>
          <w:color w:val="auto"/>
          <w:szCs w:val="21"/>
          <w:highlight w:val="none"/>
        </w:rPr>
      </w:pPr>
    </w:p>
    <w:p w14:paraId="3D3F818F">
      <w:pPr>
        <w:pStyle w:val="54"/>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担保人：</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（盖单位章）</w:t>
      </w:r>
    </w:p>
    <w:p w14:paraId="037F90DB">
      <w:pPr>
        <w:pStyle w:val="54"/>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法定代表人或其委托代理人：</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（签字）</w:t>
      </w:r>
    </w:p>
    <w:p w14:paraId="6AA667EC">
      <w:pPr>
        <w:pStyle w:val="54"/>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地</w:t>
      </w:r>
      <w:r>
        <w:rPr>
          <w:rFonts w:ascii="Times New Roman" w:hAnsi="Times New Roman"/>
          <w:color w:val="auto"/>
          <w:szCs w:val="21"/>
          <w:highlight w:val="none"/>
        </w:rPr>
        <w:t xml:space="preserve">    </w:t>
      </w:r>
      <w:r>
        <w:rPr>
          <w:rFonts w:hint="eastAsia" w:ascii="Times New Roman" w:hAnsi="宋体" w:cs="宋体"/>
          <w:color w:val="auto"/>
          <w:szCs w:val="21"/>
          <w:highlight w:val="none"/>
        </w:rPr>
        <w:t>址：</w:t>
      </w:r>
      <w:r>
        <w:rPr>
          <w:rFonts w:ascii="Times New Roman" w:hAnsi="Times New Roman"/>
          <w:color w:val="auto"/>
          <w:szCs w:val="21"/>
          <w:highlight w:val="none"/>
          <w:u w:val="single"/>
        </w:rPr>
        <w:t xml:space="preserve">                            </w:t>
      </w:r>
    </w:p>
    <w:p w14:paraId="23EC566B">
      <w:pPr>
        <w:pStyle w:val="54"/>
        <w:spacing w:line="360" w:lineRule="auto"/>
        <w:rPr>
          <w:rFonts w:ascii="Times New Roman" w:hAnsi="Times New Roman"/>
          <w:color w:val="auto"/>
          <w:szCs w:val="21"/>
          <w:highlight w:val="none"/>
          <w:u w:val="single"/>
        </w:rPr>
      </w:pPr>
      <w:r>
        <w:rPr>
          <w:rFonts w:hint="eastAsia" w:ascii="Times New Roman" w:hAnsi="宋体" w:cs="宋体"/>
          <w:color w:val="auto"/>
          <w:szCs w:val="21"/>
          <w:highlight w:val="none"/>
        </w:rPr>
        <w:t>邮政编码：</w:t>
      </w:r>
      <w:r>
        <w:rPr>
          <w:rFonts w:ascii="Times New Roman" w:hAnsi="Times New Roman"/>
          <w:color w:val="auto"/>
          <w:szCs w:val="21"/>
          <w:highlight w:val="none"/>
          <w:u w:val="single"/>
        </w:rPr>
        <w:t xml:space="preserve">                            </w:t>
      </w:r>
    </w:p>
    <w:p w14:paraId="5CF3EF21">
      <w:pPr>
        <w:pStyle w:val="54"/>
        <w:spacing w:line="360" w:lineRule="auto"/>
        <w:rPr>
          <w:rFonts w:ascii="Times New Roman" w:hAnsi="Times New Roman"/>
          <w:color w:val="auto"/>
          <w:szCs w:val="21"/>
          <w:highlight w:val="none"/>
          <w:u w:val="single"/>
        </w:rPr>
      </w:pPr>
      <w:r>
        <w:rPr>
          <w:rFonts w:hint="eastAsia" w:ascii="Times New Roman" w:hAnsi="宋体" w:cs="宋体"/>
          <w:color w:val="auto"/>
          <w:szCs w:val="21"/>
          <w:highlight w:val="none"/>
        </w:rPr>
        <w:t>电</w:t>
      </w:r>
      <w:r>
        <w:rPr>
          <w:rFonts w:ascii="Times New Roman" w:hAnsi="Times New Roman"/>
          <w:color w:val="auto"/>
          <w:szCs w:val="21"/>
          <w:highlight w:val="none"/>
        </w:rPr>
        <w:t xml:space="preserve">    </w:t>
      </w:r>
      <w:r>
        <w:rPr>
          <w:rFonts w:hint="eastAsia" w:ascii="Times New Roman" w:hAnsi="宋体" w:cs="宋体"/>
          <w:color w:val="auto"/>
          <w:szCs w:val="21"/>
          <w:highlight w:val="none"/>
        </w:rPr>
        <w:t>话：</w:t>
      </w:r>
      <w:r>
        <w:rPr>
          <w:rFonts w:ascii="Times New Roman" w:hAnsi="Times New Roman"/>
          <w:color w:val="auto"/>
          <w:szCs w:val="21"/>
          <w:highlight w:val="none"/>
          <w:u w:val="single"/>
        </w:rPr>
        <w:t xml:space="preserve">                            </w:t>
      </w:r>
    </w:p>
    <w:p w14:paraId="0691DE20">
      <w:pPr>
        <w:pStyle w:val="54"/>
        <w:spacing w:line="360" w:lineRule="auto"/>
        <w:rPr>
          <w:rFonts w:ascii="Times New Roman" w:hAnsi="Times New Roman"/>
          <w:color w:val="auto"/>
          <w:szCs w:val="21"/>
          <w:highlight w:val="none"/>
          <w:u w:val="single"/>
        </w:rPr>
      </w:pPr>
      <w:r>
        <w:rPr>
          <w:rFonts w:hint="eastAsia" w:ascii="Times New Roman" w:hAnsi="宋体" w:cs="宋体"/>
          <w:color w:val="auto"/>
          <w:szCs w:val="21"/>
          <w:highlight w:val="none"/>
        </w:rPr>
        <w:t>传</w:t>
      </w:r>
      <w:r>
        <w:rPr>
          <w:rFonts w:ascii="Times New Roman" w:hAnsi="Times New Roman"/>
          <w:color w:val="auto"/>
          <w:szCs w:val="21"/>
          <w:highlight w:val="none"/>
        </w:rPr>
        <w:t xml:space="preserve">    </w:t>
      </w:r>
      <w:r>
        <w:rPr>
          <w:rFonts w:hint="eastAsia" w:ascii="Times New Roman" w:hAnsi="宋体" w:cs="宋体"/>
          <w:color w:val="auto"/>
          <w:szCs w:val="21"/>
          <w:highlight w:val="none"/>
        </w:rPr>
        <w:t>真：</w:t>
      </w:r>
      <w:r>
        <w:rPr>
          <w:rFonts w:ascii="Times New Roman" w:hAnsi="Times New Roman"/>
          <w:color w:val="auto"/>
          <w:szCs w:val="21"/>
          <w:highlight w:val="none"/>
          <w:u w:val="single"/>
        </w:rPr>
        <w:t xml:space="preserve">                            </w:t>
      </w:r>
    </w:p>
    <w:p w14:paraId="34BFAE86">
      <w:pPr>
        <w:pStyle w:val="54"/>
        <w:spacing w:line="360" w:lineRule="auto"/>
        <w:rPr>
          <w:rFonts w:ascii="Times New Roman" w:hAnsi="Times New Roman"/>
          <w:color w:val="auto"/>
          <w:szCs w:val="21"/>
          <w:highlight w:val="none"/>
          <w:u w:val="single"/>
        </w:rPr>
      </w:pPr>
    </w:p>
    <w:p w14:paraId="61ABA3D2">
      <w:pPr>
        <w:pStyle w:val="54"/>
        <w:spacing w:line="360" w:lineRule="auto"/>
        <w:rPr>
          <w:rFonts w:ascii="Times New Roman" w:hAnsi="Times New Roman"/>
          <w:color w:val="auto"/>
          <w:szCs w:val="21"/>
          <w:highlight w:val="none"/>
        </w:rPr>
      </w:pPr>
      <w:r>
        <w:rPr>
          <w:rFonts w:ascii="Times New Roman" w:hAnsi="Times New Roman"/>
          <w:color w:val="auto"/>
          <w:szCs w:val="21"/>
          <w:highlight w:val="none"/>
        </w:rPr>
        <w:t xml:space="preserve">            </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年</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月</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日</w:t>
      </w:r>
    </w:p>
    <w:p w14:paraId="1C708043">
      <w:pPr>
        <w:pStyle w:val="54"/>
        <w:spacing w:line="480" w:lineRule="auto"/>
        <w:rPr>
          <w:rFonts w:ascii="Times New Roman" w:hAnsi="宋体"/>
          <w:color w:val="auto"/>
          <w:szCs w:val="21"/>
          <w:highlight w:val="none"/>
        </w:rPr>
      </w:pPr>
    </w:p>
    <w:p w14:paraId="540E1586">
      <w:pPr>
        <w:pStyle w:val="54"/>
        <w:spacing w:line="360" w:lineRule="auto"/>
        <w:ind w:right="150" w:firstLine="420" w:firstLineChars="200"/>
        <w:jc w:val="left"/>
        <w:rPr>
          <w:rFonts w:ascii="仿宋_GB2312" w:hAnsi="宋体" w:cs="宋体"/>
          <w:color w:val="auto"/>
          <w:szCs w:val="21"/>
          <w:highlight w:val="none"/>
        </w:rPr>
      </w:pPr>
      <w:r>
        <w:rPr>
          <w:rFonts w:hint="eastAsia" w:ascii="Times New Roman" w:hAnsi="宋体" w:cs="宋体"/>
          <w:color w:val="auto"/>
          <w:szCs w:val="21"/>
          <w:highlight w:val="none"/>
        </w:rPr>
        <w:t>（备注</w:t>
      </w:r>
      <w:r>
        <w:rPr>
          <w:rFonts w:ascii="Times New Roman" w:hAnsi="宋体" w:cs="宋体"/>
          <w:color w:val="auto"/>
          <w:szCs w:val="21"/>
          <w:highlight w:val="none"/>
        </w:rPr>
        <w:t>：</w:t>
      </w:r>
      <w:r>
        <w:rPr>
          <w:rFonts w:hint="eastAsia" w:ascii="Times New Roman" w:hAnsi="宋体" w:cs="宋体"/>
          <w:color w:val="auto"/>
          <w:szCs w:val="21"/>
          <w:highlight w:val="none"/>
        </w:rPr>
        <w:t>银行、保险公司和担保公司出具的</w:t>
      </w:r>
      <w:r>
        <w:rPr>
          <w:rFonts w:hint="eastAsia" w:ascii="仿宋_GB2312" w:hAnsi="宋体" w:cs="宋体"/>
          <w:color w:val="auto"/>
          <w:szCs w:val="21"/>
          <w:highlight w:val="none"/>
        </w:rPr>
        <w:t>保函格式和文本可</w:t>
      </w:r>
      <w:r>
        <w:rPr>
          <w:rFonts w:ascii="仿宋_GB2312" w:hAnsi="宋体" w:cs="宋体"/>
          <w:color w:val="auto"/>
          <w:szCs w:val="21"/>
          <w:highlight w:val="none"/>
        </w:rPr>
        <w:t>以自拟，</w:t>
      </w:r>
      <w:r>
        <w:rPr>
          <w:rFonts w:hint="eastAsia" w:ascii="仿宋_GB2312" w:hAnsi="宋体" w:cs="宋体"/>
          <w:color w:val="auto"/>
          <w:szCs w:val="21"/>
          <w:highlight w:val="none"/>
        </w:rPr>
        <w:t>但是必须包含以上条款所列全部内容</w:t>
      </w:r>
      <w:r>
        <w:rPr>
          <w:rFonts w:ascii="仿宋_GB2312" w:hAnsi="宋体" w:cs="宋体"/>
          <w:color w:val="auto"/>
          <w:szCs w:val="21"/>
          <w:highlight w:val="none"/>
        </w:rPr>
        <w:t>）</w:t>
      </w:r>
    </w:p>
    <w:p w14:paraId="3C63A409">
      <w:pPr>
        <w:pStyle w:val="54"/>
        <w:spacing w:line="360" w:lineRule="auto"/>
        <w:ind w:right="150" w:firstLine="420" w:firstLineChars="200"/>
        <w:jc w:val="left"/>
        <w:rPr>
          <w:rFonts w:ascii="仿宋_GB2312" w:hAnsi="宋体" w:cs="宋体"/>
          <w:color w:val="auto"/>
          <w:szCs w:val="21"/>
          <w:highlight w:val="none"/>
        </w:rPr>
      </w:pPr>
    </w:p>
    <w:p w14:paraId="171E0DE3">
      <w:pPr>
        <w:pStyle w:val="54"/>
        <w:spacing w:line="360" w:lineRule="auto"/>
        <w:ind w:right="150" w:firstLine="420" w:firstLineChars="200"/>
        <w:jc w:val="left"/>
        <w:rPr>
          <w:rFonts w:ascii="仿宋_GB2312" w:hAnsi="宋体" w:cs="宋体"/>
          <w:color w:val="auto"/>
          <w:szCs w:val="21"/>
          <w:highlight w:val="none"/>
        </w:rPr>
      </w:pPr>
    </w:p>
    <w:p w14:paraId="62C03081">
      <w:pPr>
        <w:pStyle w:val="54"/>
        <w:spacing w:line="360" w:lineRule="auto"/>
        <w:ind w:right="150" w:firstLine="420" w:firstLineChars="200"/>
        <w:jc w:val="left"/>
        <w:rPr>
          <w:rFonts w:ascii="仿宋_GB2312" w:hAnsi="宋体" w:cs="宋体"/>
          <w:color w:val="auto"/>
          <w:szCs w:val="21"/>
          <w:highlight w:val="none"/>
        </w:rPr>
      </w:pPr>
    </w:p>
    <w:p w14:paraId="1306B8B1">
      <w:pPr>
        <w:pStyle w:val="54"/>
        <w:spacing w:line="360" w:lineRule="auto"/>
        <w:ind w:right="150" w:firstLine="420" w:firstLineChars="200"/>
        <w:jc w:val="left"/>
        <w:rPr>
          <w:rFonts w:ascii="仿宋_GB2312" w:hAnsi="宋体" w:cs="宋体"/>
          <w:color w:val="auto"/>
          <w:szCs w:val="21"/>
          <w:highlight w:val="none"/>
        </w:rPr>
      </w:pPr>
    </w:p>
    <w:p w14:paraId="4C9EB8FE">
      <w:pPr>
        <w:pStyle w:val="54"/>
        <w:spacing w:line="360" w:lineRule="auto"/>
        <w:ind w:right="150" w:firstLine="420" w:firstLineChars="200"/>
        <w:jc w:val="left"/>
        <w:rPr>
          <w:rFonts w:ascii="仿宋_GB2312" w:hAnsi="宋体" w:cs="宋体"/>
          <w:color w:val="auto"/>
          <w:szCs w:val="21"/>
          <w:highlight w:val="none"/>
        </w:rPr>
      </w:pPr>
    </w:p>
    <w:p w14:paraId="360F6965">
      <w:pPr>
        <w:pStyle w:val="54"/>
        <w:spacing w:line="360" w:lineRule="auto"/>
        <w:ind w:right="150" w:firstLine="420" w:firstLineChars="200"/>
        <w:jc w:val="left"/>
        <w:rPr>
          <w:rFonts w:ascii="仿宋_GB2312" w:hAnsi="宋体" w:cs="宋体"/>
          <w:color w:val="auto"/>
          <w:szCs w:val="21"/>
          <w:highlight w:val="none"/>
        </w:rPr>
      </w:pPr>
    </w:p>
    <w:p w14:paraId="22B1F706">
      <w:pPr>
        <w:pStyle w:val="54"/>
        <w:spacing w:line="440" w:lineRule="exact"/>
        <w:jc w:val="left"/>
        <w:rPr>
          <w:rFonts w:ascii="Times New Roman" w:hAnsi="Times New Roman" w:eastAsia="黑体"/>
          <w:color w:val="auto"/>
          <w:sz w:val="30"/>
          <w:szCs w:val="30"/>
          <w:highlight w:val="none"/>
        </w:rPr>
      </w:pPr>
      <w:r>
        <w:rPr>
          <w:rFonts w:hint="eastAsia" w:ascii="Times New Roman" w:hAnsi="Times New Roman" w:eastAsia="仿宋_GB2312" w:cs="仿宋_GB2312"/>
          <w:color w:val="auto"/>
          <w:sz w:val="30"/>
          <w:szCs w:val="30"/>
          <w:highlight w:val="none"/>
        </w:rPr>
        <w:t>附件</w:t>
      </w:r>
      <w:r>
        <w:rPr>
          <w:rFonts w:hint="eastAsia" w:ascii="Times New Roman" w:hAnsi="Times New Roman" w:eastAsia="仿宋_GB2312"/>
          <w:color w:val="auto"/>
          <w:sz w:val="30"/>
          <w:szCs w:val="30"/>
          <w:highlight w:val="none"/>
        </w:rPr>
        <w:t>9</w:t>
      </w:r>
      <w:r>
        <w:rPr>
          <w:rFonts w:hint="eastAsia" w:ascii="Times New Roman" w:hAnsi="Times New Roman" w:eastAsia="仿宋_GB2312" w:cs="仿宋_GB2312"/>
          <w:color w:val="auto"/>
          <w:sz w:val="30"/>
          <w:szCs w:val="30"/>
          <w:highlight w:val="none"/>
        </w:rPr>
        <w:t>：</w:t>
      </w:r>
    </w:p>
    <w:p w14:paraId="42CF1D35">
      <w:pPr>
        <w:pStyle w:val="54"/>
        <w:spacing w:before="120" w:beforeLines="50" w:after="120" w:afterLines="50" w:line="440" w:lineRule="exact"/>
        <w:jc w:val="center"/>
        <w:rPr>
          <w:rFonts w:ascii="Times New Roman" w:hAnsi="Times New Roman" w:eastAsia="黑体"/>
          <w:color w:val="auto"/>
          <w:sz w:val="30"/>
          <w:szCs w:val="30"/>
          <w:highlight w:val="none"/>
        </w:rPr>
      </w:pPr>
      <w:r>
        <w:rPr>
          <w:rFonts w:hint="eastAsia" w:ascii="Times New Roman" w:hAnsi="Times New Roman" w:eastAsia="黑体" w:cs="黑体"/>
          <w:color w:val="auto"/>
          <w:sz w:val="30"/>
          <w:szCs w:val="30"/>
          <w:highlight w:val="none"/>
        </w:rPr>
        <w:t>支付担保</w:t>
      </w:r>
    </w:p>
    <w:p w14:paraId="385FE1F7">
      <w:pPr>
        <w:pStyle w:val="54"/>
        <w:spacing w:line="360" w:lineRule="auto"/>
        <w:jc w:val="left"/>
        <w:rPr>
          <w:rFonts w:ascii="Times New Roman" w:hAnsi="Times New Roman"/>
          <w:color w:val="auto"/>
          <w:szCs w:val="21"/>
          <w:highlight w:val="none"/>
        </w:rPr>
      </w:pP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（承包人）：</w:t>
      </w:r>
    </w:p>
    <w:p w14:paraId="1AC94A39">
      <w:pPr>
        <w:pStyle w:val="54"/>
        <w:spacing w:line="360" w:lineRule="auto"/>
        <w:jc w:val="left"/>
        <w:rPr>
          <w:rFonts w:ascii="Times New Roman" w:hAnsi="Times New Roman"/>
          <w:color w:val="auto"/>
          <w:szCs w:val="21"/>
          <w:highlight w:val="none"/>
        </w:rPr>
      </w:pPr>
    </w:p>
    <w:p w14:paraId="11E2801A">
      <w:pPr>
        <w:pStyle w:val="54"/>
        <w:spacing w:line="360" w:lineRule="auto"/>
        <w:ind w:firstLine="420" w:firstLineChars="200"/>
        <w:jc w:val="left"/>
        <w:rPr>
          <w:rFonts w:ascii="Times New Roman" w:hAnsi="宋体"/>
          <w:color w:val="auto"/>
          <w:szCs w:val="21"/>
          <w:highlight w:val="none"/>
        </w:rPr>
      </w:pPr>
      <w:r>
        <w:rPr>
          <w:rFonts w:hint="eastAsia" w:ascii="Times New Roman" w:hAnsi="宋体" w:cs="宋体"/>
          <w:color w:val="auto"/>
          <w:szCs w:val="21"/>
          <w:highlight w:val="none"/>
        </w:rPr>
        <w:t>鉴于你方作为承包人已经与</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（发包人名称）（以下称</w:t>
      </w:r>
      <w:r>
        <w:rPr>
          <w:rFonts w:ascii="Times New Roman" w:hAnsi="Times New Roman"/>
          <w:color w:val="auto"/>
          <w:szCs w:val="21"/>
          <w:highlight w:val="none"/>
        </w:rPr>
        <w:t>“</w:t>
      </w:r>
      <w:r>
        <w:rPr>
          <w:rFonts w:hint="eastAsia" w:ascii="Times New Roman" w:hAnsi="宋体" w:cs="宋体"/>
          <w:color w:val="auto"/>
          <w:szCs w:val="21"/>
          <w:highlight w:val="none"/>
        </w:rPr>
        <w:t>发包人</w:t>
      </w:r>
      <w:r>
        <w:rPr>
          <w:rFonts w:ascii="Times New Roman" w:hAnsi="Times New Roman"/>
          <w:color w:val="auto"/>
          <w:szCs w:val="21"/>
          <w:highlight w:val="none"/>
        </w:rPr>
        <w:t>”</w:t>
      </w:r>
      <w:r>
        <w:rPr>
          <w:rFonts w:hint="eastAsia" w:ascii="Times New Roman" w:hAnsi="宋体" w:cs="宋体"/>
          <w:color w:val="auto"/>
          <w:szCs w:val="21"/>
          <w:highlight w:val="none"/>
        </w:rPr>
        <w:t>）于</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年</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月</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日签订了</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（工程名称）《建设工程施工合同》（以下称</w:t>
      </w:r>
      <w:r>
        <w:rPr>
          <w:rFonts w:ascii="Times New Roman" w:hAnsi="Times New Roman"/>
          <w:color w:val="auto"/>
          <w:szCs w:val="21"/>
          <w:highlight w:val="none"/>
        </w:rPr>
        <w:t>“</w:t>
      </w:r>
      <w:r>
        <w:rPr>
          <w:rFonts w:hint="eastAsia" w:ascii="Times New Roman" w:hAnsi="宋体" w:cs="宋体"/>
          <w:color w:val="auto"/>
          <w:szCs w:val="21"/>
          <w:highlight w:val="none"/>
        </w:rPr>
        <w:t>主合同</w:t>
      </w:r>
      <w:r>
        <w:rPr>
          <w:rFonts w:ascii="Times New Roman" w:hAnsi="Times New Roman"/>
          <w:color w:val="auto"/>
          <w:szCs w:val="21"/>
          <w:highlight w:val="none"/>
        </w:rPr>
        <w:t>”</w:t>
      </w:r>
      <w:r>
        <w:rPr>
          <w:rFonts w:hint="eastAsia" w:ascii="Times New Roman" w:hAnsi="宋体" w:cs="宋体"/>
          <w:color w:val="auto"/>
          <w:szCs w:val="21"/>
          <w:highlight w:val="none"/>
        </w:rPr>
        <w:t>），应发包人的申请，我方愿就发包人履行主合同约定的工程款支付义务以保证的方式向你方提供如下担保：</w:t>
      </w:r>
    </w:p>
    <w:p w14:paraId="507D40C6">
      <w:pPr>
        <w:pStyle w:val="54"/>
        <w:spacing w:line="360" w:lineRule="auto"/>
        <w:ind w:firstLine="420" w:firstLineChars="200"/>
        <w:jc w:val="left"/>
        <w:rPr>
          <w:rFonts w:ascii="黑体" w:hAnsi="Times New Roman" w:eastAsia="黑体"/>
          <w:color w:val="auto"/>
          <w:szCs w:val="21"/>
          <w:highlight w:val="none"/>
        </w:rPr>
      </w:pPr>
      <w:r>
        <w:rPr>
          <w:rFonts w:hint="eastAsia" w:ascii="黑体" w:hAnsi="宋体" w:eastAsia="黑体" w:cs="黑体"/>
          <w:color w:val="auto"/>
          <w:szCs w:val="21"/>
          <w:highlight w:val="none"/>
        </w:rPr>
        <w:t>一、保证的范围及保证金额</w:t>
      </w:r>
    </w:p>
    <w:p w14:paraId="4FFAACB0">
      <w:pPr>
        <w:pStyle w:val="54"/>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1. </w:t>
      </w:r>
      <w:r>
        <w:rPr>
          <w:rFonts w:hint="eastAsia" w:ascii="Times New Roman" w:hAnsi="宋体" w:cs="宋体"/>
          <w:color w:val="auto"/>
          <w:szCs w:val="21"/>
          <w:highlight w:val="none"/>
        </w:rPr>
        <w:t>我方的保证范围是主合同约定的工程款。</w:t>
      </w:r>
    </w:p>
    <w:p w14:paraId="534E419A">
      <w:pPr>
        <w:pStyle w:val="54"/>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2. </w:t>
      </w:r>
      <w:r>
        <w:rPr>
          <w:rFonts w:hint="eastAsia" w:ascii="Times New Roman" w:hAnsi="宋体" w:cs="宋体"/>
          <w:color w:val="auto"/>
          <w:szCs w:val="21"/>
          <w:highlight w:val="none"/>
        </w:rPr>
        <w:t>本保函所称主合同约定的工程款是指主合同约定的除工程质量保证金以外的合同价款。</w:t>
      </w:r>
    </w:p>
    <w:p w14:paraId="7FC4DBA0">
      <w:pPr>
        <w:pStyle w:val="54"/>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3. </w:t>
      </w:r>
      <w:r>
        <w:rPr>
          <w:rFonts w:hint="eastAsia" w:ascii="Times New Roman" w:hAnsi="宋体" w:cs="宋体"/>
          <w:color w:val="auto"/>
          <w:szCs w:val="21"/>
          <w:highlight w:val="none"/>
        </w:rPr>
        <w:t>我方保证的金额是主合同约定的工程款的</w:t>
      </w:r>
      <w:r>
        <w:rPr>
          <w:rFonts w:ascii="Times New Roman" w:hAnsi="Times New Roman"/>
          <w:color w:val="auto"/>
          <w:szCs w:val="21"/>
          <w:highlight w:val="none"/>
          <w:u w:val="single"/>
        </w:rPr>
        <w:t xml:space="preserve">      </w:t>
      </w:r>
      <w:r>
        <w:rPr>
          <w:rFonts w:ascii="Times New Roman" w:hAnsi="Times New Roman"/>
          <w:color w:val="auto"/>
          <w:szCs w:val="21"/>
          <w:highlight w:val="none"/>
        </w:rPr>
        <w:t>%</w:t>
      </w:r>
      <w:r>
        <w:rPr>
          <w:rFonts w:hint="eastAsia" w:ascii="Times New Roman" w:hAnsi="宋体" w:cs="宋体"/>
          <w:color w:val="auto"/>
          <w:szCs w:val="21"/>
          <w:highlight w:val="none"/>
        </w:rPr>
        <w:t>，数额最高不超过人民币元（大写：</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w:t>
      </w:r>
    </w:p>
    <w:p w14:paraId="79B78612">
      <w:pPr>
        <w:pStyle w:val="54"/>
        <w:spacing w:line="360" w:lineRule="auto"/>
        <w:ind w:firstLine="420" w:firstLineChars="200"/>
        <w:jc w:val="left"/>
        <w:rPr>
          <w:rFonts w:ascii="黑体" w:hAnsi="Times New Roman" w:eastAsia="黑体"/>
          <w:color w:val="auto"/>
          <w:szCs w:val="21"/>
          <w:highlight w:val="none"/>
        </w:rPr>
      </w:pPr>
      <w:r>
        <w:rPr>
          <w:rFonts w:hint="eastAsia" w:ascii="黑体" w:hAnsi="宋体" w:eastAsia="黑体" w:cs="黑体"/>
          <w:color w:val="auto"/>
          <w:szCs w:val="21"/>
          <w:highlight w:val="none"/>
        </w:rPr>
        <w:t>二、保证的方式及保证期间</w:t>
      </w:r>
    </w:p>
    <w:p w14:paraId="14BCCEFA">
      <w:pPr>
        <w:pStyle w:val="54"/>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1. </w:t>
      </w:r>
      <w:r>
        <w:rPr>
          <w:rFonts w:hint="eastAsia" w:ascii="Times New Roman" w:hAnsi="宋体" w:cs="宋体"/>
          <w:color w:val="auto"/>
          <w:szCs w:val="21"/>
          <w:highlight w:val="none"/>
        </w:rPr>
        <w:t>我方保证的方式为：连带责任保证。</w:t>
      </w:r>
    </w:p>
    <w:p w14:paraId="491FCD03">
      <w:pPr>
        <w:pStyle w:val="54"/>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2. </w:t>
      </w:r>
      <w:r>
        <w:rPr>
          <w:rFonts w:hint="eastAsia" w:ascii="Times New Roman" w:hAnsi="宋体" w:cs="宋体"/>
          <w:color w:val="auto"/>
          <w:szCs w:val="21"/>
          <w:highlight w:val="none"/>
        </w:rPr>
        <w:t>我方保证的期间为：自本合同生效之日起至主合同约定的工程款支付完毕之日后</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日内。</w:t>
      </w:r>
    </w:p>
    <w:p w14:paraId="269E3821">
      <w:pPr>
        <w:pStyle w:val="54"/>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3. </w:t>
      </w:r>
      <w:r>
        <w:rPr>
          <w:rFonts w:hint="eastAsia" w:ascii="Times New Roman" w:hAnsi="宋体" w:cs="宋体"/>
          <w:color w:val="auto"/>
          <w:szCs w:val="21"/>
          <w:highlight w:val="none"/>
        </w:rPr>
        <w:t>你方与发包人协议变更工程款支付日期的，经我方书面同意后，保证期间按照变更后的支付日期做相应调整。</w:t>
      </w:r>
    </w:p>
    <w:p w14:paraId="2C2EE378">
      <w:pPr>
        <w:pStyle w:val="54"/>
        <w:spacing w:line="360" w:lineRule="auto"/>
        <w:ind w:firstLine="420" w:firstLineChars="200"/>
        <w:jc w:val="left"/>
        <w:rPr>
          <w:rFonts w:ascii="黑体" w:hAnsi="Times New Roman" w:eastAsia="黑体"/>
          <w:color w:val="auto"/>
          <w:szCs w:val="21"/>
          <w:highlight w:val="none"/>
        </w:rPr>
      </w:pPr>
      <w:r>
        <w:rPr>
          <w:rFonts w:hint="eastAsia" w:ascii="黑体" w:hAnsi="宋体" w:eastAsia="黑体" w:cs="黑体"/>
          <w:color w:val="auto"/>
          <w:szCs w:val="21"/>
          <w:highlight w:val="none"/>
        </w:rPr>
        <w:t>三、承担保证责任的形式</w:t>
      </w:r>
    </w:p>
    <w:p w14:paraId="1EA2C1AB">
      <w:pPr>
        <w:pStyle w:val="54"/>
        <w:spacing w:line="360" w:lineRule="auto"/>
        <w:ind w:firstLine="420" w:firstLineChars="200"/>
        <w:jc w:val="left"/>
        <w:rPr>
          <w:rFonts w:ascii="Times New Roman" w:hAnsi="Times New Roman"/>
          <w:color w:val="auto"/>
          <w:szCs w:val="21"/>
          <w:highlight w:val="none"/>
        </w:rPr>
      </w:pPr>
      <w:r>
        <w:rPr>
          <w:rFonts w:hint="eastAsia" w:ascii="Times New Roman" w:hAnsi="宋体" w:cs="宋体"/>
          <w:color w:val="auto"/>
          <w:szCs w:val="21"/>
          <w:highlight w:val="none"/>
        </w:rPr>
        <w:t>我方承担保证责任的形式是代为支付。发包人未按主合同约定向你方支付工程款的，由我方在保证金额内代为支付。</w:t>
      </w:r>
    </w:p>
    <w:p w14:paraId="287F1632">
      <w:pPr>
        <w:pStyle w:val="54"/>
        <w:spacing w:line="360" w:lineRule="auto"/>
        <w:ind w:firstLine="420" w:firstLineChars="200"/>
        <w:jc w:val="left"/>
        <w:rPr>
          <w:rFonts w:ascii="黑体" w:hAnsi="Times New Roman" w:eastAsia="黑体"/>
          <w:color w:val="auto"/>
          <w:szCs w:val="21"/>
          <w:highlight w:val="none"/>
        </w:rPr>
      </w:pPr>
      <w:r>
        <w:rPr>
          <w:rFonts w:hint="eastAsia" w:ascii="黑体" w:hAnsi="宋体" w:eastAsia="黑体" w:cs="黑体"/>
          <w:color w:val="auto"/>
          <w:szCs w:val="21"/>
          <w:highlight w:val="none"/>
        </w:rPr>
        <w:t>四、代偿的安排</w:t>
      </w:r>
    </w:p>
    <w:p w14:paraId="76E5265F">
      <w:pPr>
        <w:pStyle w:val="54"/>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1. </w:t>
      </w:r>
      <w:r>
        <w:rPr>
          <w:rFonts w:hint="eastAsia" w:ascii="Times New Roman" w:hAnsi="宋体" w:cs="宋体"/>
          <w:color w:val="auto"/>
          <w:szCs w:val="21"/>
          <w:highlight w:val="none"/>
        </w:rPr>
        <w:t>你方要求我方承担保证责任的，应向我方发出书面索赔通知及发包人未支付主合同约定工程款的证明材料。索赔通知应写明要求索赔的金额，支付款项应到达的账号。</w:t>
      </w:r>
    </w:p>
    <w:p w14:paraId="1A2BA5C4">
      <w:pPr>
        <w:pStyle w:val="54"/>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2. </w:t>
      </w:r>
      <w:r>
        <w:rPr>
          <w:rFonts w:hint="eastAsia" w:ascii="Times New Roman" w:hAnsi="宋体" w:cs="宋体"/>
          <w:color w:val="auto"/>
          <w:szCs w:val="21"/>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12F748C4">
      <w:pPr>
        <w:pStyle w:val="54"/>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3. </w:t>
      </w:r>
      <w:r>
        <w:rPr>
          <w:rFonts w:hint="eastAsia" w:ascii="Times New Roman" w:hAnsi="宋体" w:cs="宋体"/>
          <w:color w:val="auto"/>
          <w:szCs w:val="21"/>
          <w:highlight w:val="none"/>
        </w:rPr>
        <w:t>我方收到你方的书面索赔通知及相应的证明材料后７天内无条件支付。</w:t>
      </w:r>
    </w:p>
    <w:p w14:paraId="7A1E0E52">
      <w:pPr>
        <w:pStyle w:val="54"/>
        <w:spacing w:line="360" w:lineRule="auto"/>
        <w:ind w:firstLine="420" w:firstLineChars="200"/>
        <w:jc w:val="left"/>
        <w:rPr>
          <w:rFonts w:ascii="黑体" w:hAnsi="Times New Roman" w:eastAsia="黑体"/>
          <w:color w:val="auto"/>
          <w:szCs w:val="21"/>
          <w:highlight w:val="none"/>
        </w:rPr>
      </w:pPr>
      <w:r>
        <w:rPr>
          <w:rFonts w:hint="eastAsia" w:ascii="黑体" w:hAnsi="宋体" w:eastAsia="黑体" w:cs="黑体"/>
          <w:color w:val="auto"/>
          <w:szCs w:val="21"/>
          <w:highlight w:val="none"/>
        </w:rPr>
        <w:t>五、保证责任的解除</w:t>
      </w:r>
    </w:p>
    <w:p w14:paraId="6DFF02F0">
      <w:pPr>
        <w:pStyle w:val="54"/>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1. </w:t>
      </w:r>
      <w:r>
        <w:rPr>
          <w:rFonts w:hint="eastAsia" w:ascii="Times New Roman" w:hAnsi="宋体" w:cs="宋体"/>
          <w:color w:val="auto"/>
          <w:szCs w:val="21"/>
          <w:highlight w:val="none"/>
        </w:rPr>
        <w:t>在本保函承诺的保证期间内，你方未书面向我方主张保证责任的，自保证期间届满次日起，我方保证责任解除。</w:t>
      </w:r>
    </w:p>
    <w:p w14:paraId="07A075EF">
      <w:pPr>
        <w:pStyle w:val="54"/>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2. </w:t>
      </w:r>
      <w:r>
        <w:rPr>
          <w:rFonts w:hint="eastAsia" w:ascii="Times New Roman" w:hAnsi="宋体" w:cs="宋体"/>
          <w:color w:val="auto"/>
          <w:szCs w:val="21"/>
          <w:highlight w:val="none"/>
        </w:rPr>
        <w:t>发包人按主合同约定履行了工程款的全部支付义务的，自本保函承诺的保证期间届满次日起，我方保证责任解除。</w:t>
      </w:r>
    </w:p>
    <w:p w14:paraId="4A4CEA2A">
      <w:pPr>
        <w:pStyle w:val="54"/>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3. </w:t>
      </w:r>
      <w:r>
        <w:rPr>
          <w:rFonts w:hint="eastAsia" w:ascii="Times New Roman" w:hAnsi="宋体" w:cs="宋体"/>
          <w:color w:val="auto"/>
          <w:szCs w:val="21"/>
          <w:highlight w:val="none"/>
        </w:rPr>
        <w:t>我方按照本保函向你方履行保证责任所支付金额达到本保函保证金额时，自我方向你方支付（支付款项从我方账户划出）之日起，保证责任即解除。</w:t>
      </w:r>
    </w:p>
    <w:p w14:paraId="5270B44E">
      <w:pPr>
        <w:pStyle w:val="54"/>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4. </w:t>
      </w:r>
      <w:r>
        <w:rPr>
          <w:rFonts w:hint="eastAsia" w:ascii="Times New Roman" w:hAnsi="宋体" w:cs="宋体"/>
          <w:color w:val="auto"/>
          <w:szCs w:val="21"/>
          <w:highlight w:val="none"/>
        </w:rPr>
        <w:t>按照法律法规的规定或出现应解除我方保证责任的其他情形的，我方在本保函项下的保证责任亦解除。</w:t>
      </w:r>
    </w:p>
    <w:p w14:paraId="6CAD2199">
      <w:pPr>
        <w:pStyle w:val="54"/>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5. </w:t>
      </w:r>
      <w:r>
        <w:rPr>
          <w:rFonts w:hint="eastAsia" w:ascii="Times New Roman" w:hAnsi="宋体" w:cs="宋体"/>
          <w:color w:val="auto"/>
          <w:szCs w:val="21"/>
          <w:highlight w:val="none"/>
        </w:rPr>
        <w:t>我方解除保证责任后，你方应自我方保证责任解除之日起</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个工作日内，将本保函原件返还我方。</w:t>
      </w:r>
    </w:p>
    <w:p w14:paraId="07BE8302">
      <w:pPr>
        <w:pStyle w:val="54"/>
        <w:spacing w:line="360" w:lineRule="auto"/>
        <w:ind w:firstLine="420" w:firstLineChars="200"/>
        <w:jc w:val="left"/>
        <w:rPr>
          <w:rFonts w:ascii="黑体" w:hAnsi="Times New Roman" w:eastAsia="黑体"/>
          <w:color w:val="auto"/>
          <w:szCs w:val="21"/>
          <w:highlight w:val="none"/>
        </w:rPr>
      </w:pPr>
      <w:r>
        <w:rPr>
          <w:rFonts w:hint="eastAsia" w:ascii="黑体" w:hAnsi="宋体" w:eastAsia="黑体" w:cs="黑体"/>
          <w:color w:val="auto"/>
          <w:szCs w:val="21"/>
          <w:highlight w:val="none"/>
        </w:rPr>
        <w:t>六、免责条款</w:t>
      </w:r>
    </w:p>
    <w:p w14:paraId="76D67B33">
      <w:pPr>
        <w:pStyle w:val="54"/>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1. </w:t>
      </w:r>
      <w:r>
        <w:rPr>
          <w:rFonts w:hint="eastAsia" w:ascii="Times New Roman" w:hAnsi="宋体" w:cs="宋体"/>
          <w:color w:val="auto"/>
          <w:szCs w:val="21"/>
          <w:highlight w:val="none"/>
        </w:rPr>
        <w:t>因你方违约致使发包人不能履行义务的，我方不承担保证责任。</w:t>
      </w:r>
    </w:p>
    <w:p w14:paraId="5950C94D">
      <w:pPr>
        <w:pStyle w:val="54"/>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2. </w:t>
      </w:r>
      <w:r>
        <w:rPr>
          <w:rFonts w:hint="eastAsia" w:ascii="Times New Roman" w:hAnsi="宋体" w:cs="宋体"/>
          <w:color w:val="auto"/>
          <w:szCs w:val="21"/>
          <w:highlight w:val="none"/>
        </w:rPr>
        <w:t>依照法律法规的规定或你方与发包人的另行约定，免除发包人部分或全部义务的，我方亦免除其相应的保证责任。</w:t>
      </w:r>
    </w:p>
    <w:p w14:paraId="638304A1">
      <w:pPr>
        <w:pStyle w:val="54"/>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3. </w:t>
      </w:r>
      <w:r>
        <w:rPr>
          <w:rFonts w:hint="eastAsia" w:ascii="Times New Roman" w:hAnsi="宋体" w:cs="宋体"/>
          <w:color w:val="auto"/>
          <w:szCs w:val="21"/>
          <w:highlight w:val="none"/>
        </w:rPr>
        <w:t>你方与发包人协议变更主合同的，如加重发包人责任致使我方保证责任加重的，需征得我方书面同意，否则我方不再承担因此而加重部分的保证责任，但主合同第</w:t>
      </w:r>
      <w:r>
        <w:rPr>
          <w:rFonts w:ascii="Times New Roman" w:hAnsi="Times New Roman"/>
          <w:color w:val="auto"/>
          <w:szCs w:val="21"/>
          <w:highlight w:val="none"/>
        </w:rPr>
        <w:t>10</w:t>
      </w:r>
      <w:r>
        <w:rPr>
          <w:rFonts w:hint="eastAsia" w:ascii="Times New Roman" w:hAnsi="宋体" w:cs="宋体"/>
          <w:color w:val="auto"/>
          <w:szCs w:val="21"/>
          <w:highlight w:val="none"/>
        </w:rPr>
        <w:t>条〔变更〕约定的变更不受本款限制。</w:t>
      </w:r>
    </w:p>
    <w:p w14:paraId="1C451881">
      <w:pPr>
        <w:pStyle w:val="54"/>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4. </w:t>
      </w:r>
      <w:r>
        <w:rPr>
          <w:rFonts w:hint="eastAsia" w:ascii="Times New Roman" w:hAnsi="宋体" w:cs="宋体"/>
          <w:color w:val="auto"/>
          <w:szCs w:val="21"/>
          <w:highlight w:val="none"/>
        </w:rPr>
        <w:t>因不可抗力造成发包人不能履行义务的，我方不承担保证责任。</w:t>
      </w:r>
    </w:p>
    <w:p w14:paraId="5938AE69">
      <w:pPr>
        <w:pStyle w:val="54"/>
        <w:spacing w:line="360" w:lineRule="auto"/>
        <w:ind w:firstLine="420" w:firstLineChars="200"/>
        <w:jc w:val="left"/>
        <w:rPr>
          <w:rFonts w:ascii="黑体" w:hAnsi="Times New Roman" w:eastAsia="黑体"/>
          <w:color w:val="auto"/>
          <w:szCs w:val="21"/>
          <w:highlight w:val="none"/>
        </w:rPr>
      </w:pPr>
      <w:r>
        <w:rPr>
          <w:rFonts w:hint="eastAsia" w:ascii="黑体" w:hAnsi="宋体" w:eastAsia="黑体" w:cs="黑体"/>
          <w:color w:val="auto"/>
          <w:szCs w:val="21"/>
          <w:highlight w:val="none"/>
        </w:rPr>
        <w:t>七、争议解决</w:t>
      </w:r>
    </w:p>
    <w:p w14:paraId="09B3C7CE">
      <w:pPr>
        <w:pStyle w:val="54"/>
        <w:spacing w:line="360" w:lineRule="auto"/>
        <w:ind w:firstLine="420" w:firstLineChars="200"/>
        <w:rPr>
          <w:rFonts w:ascii="Times New Roman" w:hAnsi="Times New Roman"/>
          <w:color w:val="auto"/>
          <w:szCs w:val="21"/>
          <w:highlight w:val="none"/>
        </w:rPr>
      </w:pPr>
      <w:r>
        <w:rPr>
          <w:rFonts w:hint="eastAsia" w:ascii="Times New Roman" w:hAnsi="宋体" w:cs="宋体"/>
          <w:color w:val="auto"/>
          <w:szCs w:val="21"/>
          <w:highlight w:val="none"/>
        </w:rPr>
        <w:t>因本保函或本保函相关事项发生的纠纷，可由双方协商解决，协商不成的，按下列第</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种方式解决：</w:t>
      </w:r>
    </w:p>
    <w:p w14:paraId="2658FA6D">
      <w:pPr>
        <w:pStyle w:val="54"/>
        <w:spacing w:line="360" w:lineRule="auto"/>
        <w:ind w:firstLine="420" w:firstLineChars="200"/>
        <w:jc w:val="left"/>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1</w:t>
      </w:r>
      <w:r>
        <w:rPr>
          <w:rFonts w:hint="eastAsia" w:ascii="Times New Roman" w:hAnsi="宋体" w:cs="宋体"/>
          <w:color w:val="auto"/>
          <w:szCs w:val="21"/>
          <w:highlight w:val="none"/>
        </w:rPr>
        <w:t>）向</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仲裁委员会申请仲裁；</w:t>
      </w:r>
    </w:p>
    <w:p w14:paraId="39A2044F">
      <w:pPr>
        <w:pStyle w:val="54"/>
        <w:spacing w:line="360" w:lineRule="auto"/>
        <w:ind w:firstLine="420" w:firstLineChars="200"/>
        <w:jc w:val="left"/>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2</w:t>
      </w:r>
      <w:r>
        <w:rPr>
          <w:rFonts w:hint="eastAsia" w:ascii="Times New Roman" w:hAnsi="宋体" w:cs="宋体"/>
          <w:color w:val="auto"/>
          <w:szCs w:val="21"/>
          <w:highlight w:val="none"/>
        </w:rPr>
        <w:t>）向</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人民法院起诉。</w:t>
      </w:r>
    </w:p>
    <w:p w14:paraId="2B3DD570">
      <w:pPr>
        <w:pStyle w:val="54"/>
        <w:spacing w:line="360" w:lineRule="auto"/>
        <w:ind w:firstLine="420" w:firstLineChars="200"/>
        <w:jc w:val="left"/>
        <w:rPr>
          <w:rFonts w:ascii="黑体" w:hAnsi="Times New Roman" w:eastAsia="黑体"/>
          <w:color w:val="auto"/>
          <w:szCs w:val="21"/>
          <w:highlight w:val="none"/>
        </w:rPr>
      </w:pPr>
      <w:r>
        <w:rPr>
          <w:rFonts w:hint="eastAsia" w:ascii="黑体" w:hAnsi="宋体" w:eastAsia="黑体" w:cs="黑体"/>
          <w:color w:val="auto"/>
          <w:szCs w:val="21"/>
          <w:highlight w:val="none"/>
        </w:rPr>
        <w:t>八、保函的生效</w:t>
      </w:r>
    </w:p>
    <w:p w14:paraId="3A489ACF">
      <w:pPr>
        <w:pStyle w:val="54"/>
        <w:spacing w:line="360" w:lineRule="auto"/>
        <w:ind w:firstLine="420" w:firstLineChars="200"/>
        <w:jc w:val="left"/>
        <w:rPr>
          <w:rFonts w:ascii="Times New Roman" w:hAnsi="Times New Roman"/>
          <w:color w:val="auto"/>
          <w:szCs w:val="21"/>
          <w:highlight w:val="none"/>
        </w:rPr>
      </w:pPr>
      <w:r>
        <w:rPr>
          <w:rFonts w:hint="eastAsia" w:ascii="Times New Roman" w:hAnsi="宋体" w:cs="宋体"/>
          <w:color w:val="auto"/>
          <w:szCs w:val="21"/>
          <w:highlight w:val="none"/>
        </w:rPr>
        <w:t>本保函自我方法定代表人（或其授权代理人）签字并加盖公章之日起生效。</w:t>
      </w:r>
    </w:p>
    <w:p w14:paraId="707F52F9">
      <w:pPr>
        <w:pStyle w:val="54"/>
        <w:spacing w:line="360" w:lineRule="auto"/>
        <w:ind w:right="600"/>
        <w:jc w:val="left"/>
        <w:rPr>
          <w:rFonts w:ascii="Times New Roman" w:hAnsi="Times New Roman"/>
          <w:color w:val="auto"/>
          <w:szCs w:val="21"/>
          <w:highlight w:val="none"/>
        </w:rPr>
      </w:pPr>
      <w:r>
        <w:rPr>
          <w:rFonts w:hint="eastAsia" w:ascii="Times New Roman" w:hAnsi="宋体" w:cs="宋体"/>
          <w:color w:val="auto"/>
          <w:szCs w:val="21"/>
          <w:highlight w:val="none"/>
        </w:rPr>
        <w:t>担保人：</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（盖章）</w:t>
      </w:r>
    </w:p>
    <w:p w14:paraId="4F06D750">
      <w:pPr>
        <w:pStyle w:val="54"/>
        <w:spacing w:line="360" w:lineRule="auto"/>
        <w:ind w:right="1200"/>
        <w:rPr>
          <w:rFonts w:ascii="Times New Roman" w:hAnsi="Times New Roman"/>
          <w:color w:val="auto"/>
          <w:szCs w:val="21"/>
          <w:highlight w:val="none"/>
        </w:rPr>
      </w:pPr>
      <w:r>
        <w:rPr>
          <w:rFonts w:hint="eastAsia" w:ascii="Times New Roman" w:hAnsi="宋体" w:cs="宋体"/>
          <w:color w:val="auto"/>
          <w:szCs w:val="21"/>
          <w:highlight w:val="none"/>
        </w:rPr>
        <w:t>法定代表人或委托代理人：</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（签字）</w:t>
      </w:r>
    </w:p>
    <w:p w14:paraId="47531083">
      <w:pPr>
        <w:pStyle w:val="54"/>
        <w:spacing w:line="360" w:lineRule="auto"/>
        <w:jc w:val="left"/>
        <w:rPr>
          <w:rFonts w:ascii="Times New Roman" w:hAnsi="Times New Roman"/>
          <w:color w:val="auto"/>
          <w:szCs w:val="21"/>
          <w:highlight w:val="none"/>
        </w:rPr>
      </w:pPr>
      <w:r>
        <w:rPr>
          <w:rFonts w:hint="eastAsia" w:ascii="Times New Roman" w:hAnsi="宋体" w:cs="宋体"/>
          <w:color w:val="auto"/>
          <w:szCs w:val="21"/>
          <w:highlight w:val="none"/>
        </w:rPr>
        <w:t>地</w:t>
      </w:r>
      <w:r>
        <w:rPr>
          <w:rFonts w:ascii="Times New Roman" w:hAnsi="Times New Roman"/>
          <w:color w:val="auto"/>
          <w:szCs w:val="21"/>
          <w:highlight w:val="none"/>
        </w:rPr>
        <w:t xml:space="preserve">    </w:t>
      </w:r>
      <w:r>
        <w:rPr>
          <w:rFonts w:hint="eastAsia" w:ascii="Times New Roman" w:hAnsi="宋体" w:cs="宋体"/>
          <w:color w:val="auto"/>
          <w:szCs w:val="21"/>
          <w:highlight w:val="none"/>
        </w:rPr>
        <w:t>址：</w:t>
      </w:r>
      <w:r>
        <w:rPr>
          <w:rFonts w:ascii="Times New Roman" w:hAnsi="Times New Roman"/>
          <w:color w:val="auto"/>
          <w:szCs w:val="21"/>
          <w:highlight w:val="none"/>
          <w:u w:val="single"/>
        </w:rPr>
        <w:t xml:space="preserve">                                        </w:t>
      </w:r>
    </w:p>
    <w:p w14:paraId="09CB045A">
      <w:pPr>
        <w:pStyle w:val="54"/>
        <w:spacing w:line="360" w:lineRule="auto"/>
        <w:jc w:val="left"/>
        <w:rPr>
          <w:rFonts w:ascii="Times New Roman" w:hAnsi="Times New Roman"/>
          <w:color w:val="auto"/>
          <w:szCs w:val="21"/>
          <w:highlight w:val="none"/>
        </w:rPr>
      </w:pPr>
      <w:r>
        <w:rPr>
          <w:rFonts w:hint="eastAsia" w:ascii="Times New Roman" w:hAnsi="宋体" w:cs="宋体"/>
          <w:color w:val="auto"/>
          <w:szCs w:val="21"/>
          <w:highlight w:val="none"/>
        </w:rPr>
        <w:t>邮政编码：</w:t>
      </w:r>
      <w:r>
        <w:rPr>
          <w:rFonts w:ascii="Times New Roman" w:hAnsi="Times New Roman"/>
          <w:color w:val="auto"/>
          <w:szCs w:val="21"/>
          <w:highlight w:val="none"/>
          <w:u w:val="single"/>
        </w:rPr>
        <w:t xml:space="preserve">                                        </w:t>
      </w:r>
    </w:p>
    <w:p w14:paraId="71CA17C4">
      <w:pPr>
        <w:pStyle w:val="54"/>
        <w:spacing w:line="360" w:lineRule="auto"/>
        <w:jc w:val="left"/>
        <w:rPr>
          <w:rFonts w:ascii="Times New Roman" w:hAnsi="Times New Roman"/>
          <w:color w:val="auto"/>
          <w:szCs w:val="21"/>
          <w:highlight w:val="none"/>
        </w:rPr>
      </w:pPr>
      <w:r>
        <w:rPr>
          <w:rFonts w:hint="eastAsia" w:ascii="Times New Roman" w:hAnsi="宋体" w:cs="宋体"/>
          <w:color w:val="auto"/>
          <w:szCs w:val="21"/>
          <w:highlight w:val="none"/>
        </w:rPr>
        <w:t>传</w:t>
      </w:r>
      <w:r>
        <w:rPr>
          <w:rFonts w:ascii="Times New Roman" w:hAnsi="Times New Roman"/>
          <w:color w:val="auto"/>
          <w:szCs w:val="21"/>
          <w:highlight w:val="none"/>
        </w:rPr>
        <w:t xml:space="preserve">    </w:t>
      </w:r>
      <w:r>
        <w:rPr>
          <w:rFonts w:hint="eastAsia" w:ascii="Times New Roman" w:hAnsi="宋体" w:cs="宋体"/>
          <w:color w:val="auto"/>
          <w:szCs w:val="21"/>
          <w:highlight w:val="none"/>
        </w:rPr>
        <w:t>真：</w:t>
      </w:r>
      <w:r>
        <w:rPr>
          <w:rFonts w:ascii="Times New Roman" w:hAnsi="Times New Roman"/>
          <w:color w:val="auto"/>
          <w:szCs w:val="21"/>
          <w:highlight w:val="none"/>
          <w:u w:val="single"/>
        </w:rPr>
        <w:t xml:space="preserve">                                        </w:t>
      </w:r>
    </w:p>
    <w:p w14:paraId="7BF6DC99">
      <w:pPr>
        <w:pStyle w:val="54"/>
        <w:spacing w:line="360" w:lineRule="auto"/>
        <w:ind w:right="150" w:firstLine="420" w:firstLineChars="200"/>
        <w:jc w:val="left"/>
        <w:rPr>
          <w:rFonts w:ascii="Times New Roman" w:hAnsi="Times New Roman"/>
          <w:color w:val="auto"/>
          <w:szCs w:val="21"/>
          <w:highlight w:val="none"/>
          <w:u w:val="single"/>
        </w:rPr>
      </w:pPr>
    </w:p>
    <w:p w14:paraId="39FED097">
      <w:pPr>
        <w:pStyle w:val="54"/>
        <w:spacing w:line="360" w:lineRule="auto"/>
        <w:ind w:right="150" w:firstLine="420" w:firstLineChars="200"/>
        <w:jc w:val="left"/>
        <w:rPr>
          <w:rFonts w:ascii="Times New Roman" w:hAnsi="宋体" w:cs="宋体"/>
          <w:color w:val="auto"/>
          <w:szCs w:val="21"/>
          <w:highlight w:val="none"/>
        </w:rPr>
      </w:pPr>
      <w:r>
        <w:rPr>
          <w:rFonts w:ascii="Times New Roman" w:hAnsi="Times New Roman"/>
          <w:color w:val="auto"/>
          <w:szCs w:val="21"/>
          <w:highlight w:val="none"/>
        </w:rPr>
        <w:t xml:space="preserve">             </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年</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月</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日</w:t>
      </w:r>
    </w:p>
    <w:p w14:paraId="6EE9224B">
      <w:pPr>
        <w:pStyle w:val="54"/>
        <w:spacing w:line="360" w:lineRule="auto"/>
        <w:ind w:right="150" w:firstLine="420" w:firstLineChars="200"/>
        <w:jc w:val="left"/>
        <w:rPr>
          <w:rFonts w:ascii="仿宋_GB2312" w:hAnsi="宋体" w:cs="宋体"/>
          <w:color w:val="auto"/>
          <w:szCs w:val="21"/>
          <w:highlight w:val="none"/>
        </w:rPr>
      </w:pPr>
      <w:r>
        <w:rPr>
          <w:rFonts w:hint="eastAsia" w:ascii="Times New Roman" w:hAnsi="宋体" w:cs="宋体"/>
          <w:color w:val="auto"/>
          <w:szCs w:val="21"/>
          <w:highlight w:val="none"/>
        </w:rPr>
        <w:t>（备注</w:t>
      </w:r>
      <w:r>
        <w:rPr>
          <w:rFonts w:ascii="Times New Roman" w:hAnsi="宋体" w:cs="宋体"/>
          <w:color w:val="auto"/>
          <w:szCs w:val="21"/>
          <w:highlight w:val="none"/>
        </w:rPr>
        <w:t>：</w:t>
      </w:r>
      <w:r>
        <w:rPr>
          <w:rFonts w:hint="eastAsia" w:ascii="Times New Roman" w:hAnsi="宋体" w:cs="宋体"/>
          <w:color w:val="auto"/>
          <w:szCs w:val="21"/>
          <w:highlight w:val="none"/>
        </w:rPr>
        <w:t>银行、保险公司和担保公司出具的</w:t>
      </w:r>
      <w:r>
        <w:rPr>
          <w:rFonts w:hint="eastAsia" w:ascii="仿宋_GB2312" w:hAnsi="宋体" w:cs="宋体"/>
          <w:color w:val="auto"/>
          <w:szCs w:val="21"/>
          <w:highlight w:val="none"/>
        </w:rPr>
        <w:t>保函格式和文本可</w:t>
      </w:r>
      <w:r>
        <w:rPr>
          <w:rFonts w:ascii="仿宋_GB2312" w:hAnsi="宋体" w:cs="宋体"/>
          <w:color w:val="auto"/>
          <w:szCs w:val="21"/>
          <w:highlight w:val="none"/>
        </w:rPr>
        <w:t>以自拟，</w:t>
      </w:r>
      <w:r>
        <w:rPr>
          <w:rFonts w:hint="eastAsia" w:ascii="仿宋_GB2312" w:hAnsi="宋体" w:cs="宋体"/>
          <w:color w:val="auto"/>
          <w:szCs w:val="21"/>
          <w:highlight w:val="none"/>
        </w:rPr>
        <w:t>但是必须包含以上条款所列全部内容</w:t>
      </w:r>
      <w:r>
        <w:rPr>
          <w:rFonts w:ascii="仿宋_GB2312" w:hAnsi="宋体" w:cs="宋体"/>
          <w:color w:val="auto"/>
          <w:szCs w:val="21"/>
          <w:highlight w:val="none"/>
        </w:rPr>
        <w:t>）</w:t>
      </w:r>
    </w:p>
    <w:p w14:paraId="29299783">
      <w:pPr>
        <w:pStyle w:val="54"/>
        <w:spacing w:line="360" w:lineRule="auto"/>
        <w:ind w:right="150" w:firstLine="420" w:firstLineChars="200"/>
        <w:jc w:val="left"/>
        <w:rPr>
          <w:rFonts w:ascii="仿宋_GB2312" w:hAnsi="宋体" w:cs="宋体"/>
          <w:color w:val="auto"/>
          <w:szCs w:val="21"/>
          <w:highlight w:val="none"/>
        </w:rPr>
      </w:pPr>
    </w:p>
    <w:p w14:paraId="78C5985D">
      <w:pPr>
        <w:pStyle w:val="54"/>
        <w:spacing w:line="360" w:lineRule="auto"/>
        <w:ind w:right="150" w:firstLine="420" w:firstLineChars="200"/>
        <w:jc w:val="left"/>
        <w:rPr>
          <w:rFonts w:ascii="仿宋_GB2312" w:hAnsi="宋体" w:cs="宋体"/>
          <w:color w:val="auto"/>
          <w:szCs w:val="21"/>
          <w:highlight w:val="none"/>
        </w:rPr>
      </w:pPr>
    </w:p>
    <w:p w14:paraId="072B66DA">
      <w:pPr>
        <w:pStyle w:val="54"/>
        <w:spacing w:line="360" w:lineRule="auto"/>
        <w:ind w:right="150" w:firstLine="420" w:firstLineChars="200"/>
        <w:jc w:val="left"/>
        <w:rPr>
          <w:rFonts w:ascii="仿宋_GB2312" w:hAnsi="宋体" w:cs="宋体"/>
          <w:color w:val="auto"/>
          <w:szCs w:val="21"/>
          <w:highlight w:val="none"/>
        </w:rPr>
      </w:pPr>
    </w:p>
    <w:p w14:paraId="2E6B1EFD">
      <w:pPr>
        <w:pStyle w:val="54"/>
        <w:spacing w:line="360" w:lineRule="auto"/>
        <w:ind w:right="150" w:firstLine="420" w:firstLineChars="200"/>
        <w:jc w:val="left"/>
        <w:rPr>
          <w:rFonts w:ascii="仿宋_GB2312" w:hAnsi="宋体" w:cs="宋体"/>
          <w:color w:val="auto"/>
          <w:szCs w:val="21"/>
          <w:highlight w:val="none"/>
        </w:rPr>
      </w:pPr>
    </w:p>
    <w:p w14:paraId="05FF9A91">
      <w:pPr>
        <w:pStyle w:val="54"/>
        <w:spacing w:line="360" w:lineRule="auto"/>
        <w:ind w:right="150" w:firstLine="420" w:firstLineChars="200"/>
        <w:jc w:val="left"/>
        <w:rPr>
          <w:rFonts w:ascii="仿宋_GB2312" w:hAnsi="宋体" w:cs="宋体"/>
          <w:color w:val="auto"/>
          <w:szCs w:val="21"/>
          <w:highlight w:val="none"/>
        </w:rPr>
      </w:pPr>
    </w:p>
    <w:p w14:paraId="3BFA670C">
      <w:pPr>
        <w:pStyle w:val="54"/>
        <w:spacing w:line="360" w:lineRule="auto"/>
        <w:ind w:right="150" w:firstLine="420" w:firstLineChars="200"/>
        <w:jc w:val="left"/>
        <w:rPr>
          <w:rFonts w:ascii="仿宋_GB2312" w:hAnsi="宋体" w:cs="宋体"/>
          <w:color w:val="auto"/>
          <w:szCs w:val="21"/>
          <w:highlight w:val="none"/>
        </w:rPr>
      </w:pPr>
    </w:p>
    <w:p w14:paraId="4309BDE2">
      <w:pPr>
        <w:pStyle w:val="54"/>
        <w:spacing w:line="360" w:lineRule="auto"/>
        <w:ind w:right="150" w:firstLine="420" w:firstLineChars="200"/>
        <w:jc w:val="left"/>
        <w:rPr>
          <w:rFonts w:ascii="仿宋_GB2312" w:hAnsi="宋体" w:cs="宋体"/>
          <w:color w:val="auto"/>
          <w:szCs w:val="21"/>
          <w:highlight w:val="none"/>
        </w:rPr>
      </w:pPr>
    </w:p>
    <w:p w14:paraId="7C4512D8">
      <w:pPr>
        <w:pStyle w:val="54"/>
        <w:spacing w:line="360" w:lineRule="auto"/>
        <w:ind w:right="150" w:firstLine="420" w:firstLineChars="200"/>
        <w:jc w:val="left"/>
        <w:rPr>
          <w:rFonts w:ascii="仿宋_GB2312" w:hAnsi="宋体" w:cs="宋体"/>
          <w:color w:val="auto"/>
          <w:szCs w:val="21"/>
          <w:highlight w:val="none"/>
        </w:rPr>
      </w:pPr>
    </w:p>
    <w:p w14:paraId="21998091">
      <w:pPr>
        <w:pStyle w:val="54"/>
        <w:spacing w:line="360" w:lineRule="auto"/>
        <w:ind w:right="150" w:firstLine="420" w:firstLineChars="200"/>
        <w:jc w:val="left"/>
        <w:rPr>
          <w:rFonts w:ascii="仿宋_GB2312" w:hAnsi="宋体" w:cs="宋体"/>
          <w:color w:val="auto"/>
          <w:szCs w:val="21"/>
          <w:highlight w:val="none"/>
        </w:rPr>
      </w:pPr>
    </w:p>
    <w:p w14:paraId="188082C6">
      <w:pPr>
        <w:pStyle w:val="54"/>
        <w:jc w:val="left"/>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 xml:space="preserve"> </w:t>
      </w:r>
    </w:p>
    <w:p w14:paraId="4B2F2324">
      <w:pPr>
        <w:pStyle w:val="54"/>
        <w:jc w:val="left"/>
        <w:rPr>
          <w:rFonts w:ascii="Times New Roman" w:hAnsi="宋体" w:cs="宋体"/>
          <w:color w:val="auto"/>
          <w:sz w:val="30"/>
          <w:szCs w:val="30"/>
          <w:highlight w:val="none"/>
        </w:rPr>
      </w:pPr>
      <w:r>
        <w:rPr>
          <w:rFonts w:hint="eastAsia" w:ascii="Times New Roman" w:hAnsi="宋体" w:cs="宋体"/>
          <w:color w:val="auto"/>
          <w:sz w:val="30"/>
          <w:szCs w:val="30"/>
          <w:highlight w:val="none"/>
        </w:rPr>
        <w:t>附件10：</w:t>
      </w:r>
    </w:p>
    <w:p w14:paraId="52E2F949">
      <w:pPr>
        <w:pStyle w:val="54"/>
        <w:jc w:val="center"/>
        <w:outlineLvl w:val="0"/>
        <w:rPr>
          <w:rFonts w:ascii="Times New Roman" w:hAnsi="Times New Roman"/>
          <w:b/>
          <w:color w:val="auto"/>
          <w:sz w:val="36"/>
          <w:szCs w:val="36"/>
          <w:highlight w:val="none"/>
        </w:rPr>
      </w:pPr>
      <w:bookmarkStart w:id="1343" w:name="_Toc1838"/>
      <w:r>
        <w:rPr>
          <w:rFonts w:hint="eastAsia" w:ascii="Times New Roman" w:hAnsi="Times New Roman"/>
          <w:b/>
          <w:color w:val="auto"/>
          <w:sz w:val="36"/>
          <w:szCs w:val="36"/>
          <w:highlight w:val="none"/>
        </w:rPr>
        <w:t>预付款支付申请（核准）表</w:t>
      </w:r>
      <w:bookmarkEnd w:id="1343"/>
    </w:p>
    <w:p w14:paraId="198481FB">
      <w:pPr>
        <w:pStyle w:val="54"/>
        <w:rPr>
          <w:rFonts w:ascii="Times New Roman" w:hAnsi="Times New Roman"/>
          <w:color w:val="auto"/>
          <w:sz w:val="24"/>
          <w:szCs w:val="24"/>
          <w:highlight w:val="none"/>
        </w:rPr>
      </w:pPr>
      <w:r>
        <w:rPr>
          <w:rFonts w:hint="eastAsia" w:ascii="Times New Roman" w:hAnsi="Times New Roman"/>
          <w:color w:val="auto"/>
          <w:sz w:val="24"/>
          <w:szCs w:val="24"/>
          <w:highlight w:val="none"/>
        </w:rPr>
        <w:t>工程名称：                                             编号：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8"/>
        <w:gridCol w:w="4697"/>
      </w:tblGrid>
      <w:tr w14:paraId="5784F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185" w:type="dxa"/>
            <w:gridSpan w:val="2"/>
          </w:tcPr>
          <w:p w14:paraId="465F7E71">
            <w:pPr>
              <w:pStyle w:val="54"/>
              <w:spacing w:line="480" w:lineRule="exact"/>
              <w:ind w:left="525" w:leftChars="149" w:hanging="212" w:hangingChars="101"/>
              <w:rPr>
                <w:rFonts w:ascii="Times New Roman" w:hAnsi="Times New Roman"/>
                <w:color w:val="auto"/>
                <w:szCs w:val="21"/>
                <w:highlight w:val="none"/>
                <w:u w:val="single"/>
              </w:rPr>
            </w:pPr>
            <w:r>
              <w:rPr>
                <w:rFonts w:hint="eastAsia" w:ascii="Times New Roman" w:hAnsi="Times New Roman"/>
                <w:color w:val="auto"/>
                <w:szCs w:val="21"/>
                <w:highlight w:val="none"/>
              </w:rPr>
              <w:t>致：</w:t>
            </w:r>
            <w:r>
              <w:rPr>
                <w:rFonts w:hint="eastAsia" w:ascii="Times New Roman" w:hAnsi="Times New Roman"/>
                <w:color w:val="auto"/>
                <w:szCs w:val="21"/>
                <w:highlight w:val="none"/>
                <w:u w:val="single"/>
              </w:rPr>
              <w:t xml:space="preserve">                                   （发包人全称）</w:t>
            </w:r>
          </w:p>
          <w:p w14:paraId="0750D53A">
            <w:pPr>
              <w:pStyle w:val="54"/>
              <w:spacing w:line="400" w:lineRule="exact"/>
              <w:ind w:left="-4" w:leftChars="-2" w:firstLine="315" w:firstLineChars="150"/>
              <w:rPr>
                <w:rFonts w:ascii="Times New Roman" w:hAnsi="Times New Roman"/>
                <w:color w:val="auto"/>
                <w:szCs w:val="21"/>
                <w:highlight w:val="none"/>
              </w:rPr>
            </w:pPr>
            <w:r>
              <w:rPr>
                <w:rFonts w:hint="eastAsia" w:ascii="Times New Roman" w:hAnsi="Times New Roman"/>
                <w:color w:val="auto"/>
                <w:szCs w:val="21"/>
                <w:highlight w:val="none"/>
              </w:rPr>
              <w:t>我方根据施工合同的约定，现申请支付工程预付款额为(大写)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元，(小写)</w:t>
            </w:r>
          </w:p>
          <w:p w14:paraId="13575C49">
            <w:pPr>
              <w:pStyle w:val="54"/>
              <w:spacing w:line="400" w:lineRule="exact"/>
              <w:rPr>
                <w:rFonts w:ascii="Times New Roman" w:hAnsi="Times New Roman"/>
                <w:color w:val="auto"/>
                <w:szCs w:val="21"/>
                <w:highlight w:val="none"/>
              </w:rPr>
            </w:pP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元，请予核准。</w:t>
            </w:r>
          </w:p>
          <w:tbl>
            <w:tblPr>
              <w:tblStyle w:val="22"/>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764"/>
              <w:gridCol w:w="2240"/>
              <w:gridCol w:w="1080"/>
            </w:tblGrid>
            <w:tr w14:paraId="39C3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456111D3">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序号</w:t>
                  </w:r>
                </w:p>
              </w:tc>
              <w:tc>
                <w:tcPr>
                  <w:tcW w:w="3340" w:type="dxa"/>
                  <w:vAlign w:val="center"/>
                </w:tcPr>
                <w:p w14:paraId="2C4A27D6">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名      称</w:t>
                  </w:r>
                </w:p>
              </w:tc>
              <w:tc>
                <w:tcPr>
                  <w:tcW w:w="1764" w:type="dxa"/>
                  <w:vAlign w:val="center"/>
                </w:tcPr>
                <w:p w14:paraId="2BCDAC9B">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申请金额（元）</w:t>
                  </w:r>
                </w:p>
              </w:tc>
              <w:tc>
                <w:tcPr>
                  <w:tcW w:w="2240" w:type="dxa"/>
                  <w:vAlign w:val="center"/>
                </w:tcPr>
                <w:p w14:paraId="6EBA8475">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复核金额（元）</w:t>
                  </w:r>
                </w:p>
              </w:tc>
              <w:tc>
                <w:tcPr>
                  <w:tcW w:w="1080" w:type="dxa"/>
                  <w:vAlign w:val="center"/>
                </w:tcPr>
                <w:p w14:paraId="67459C7B">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备注</w:t>
                  </w:r>
                </w:p>
              </w:tc>
            </w:tr>
            <w:tr w14:paraId="2B73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C613259">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1</w:t>
                  </w:r>
                </w:p>
              </w:tc>
              <w:tc>
                <w:tcPr>
                  <w:tcW w:w="3340" w:type="dxa"/>
                </w:tcPr>
                <w:p w14:paraId="44624469">
                  <w:pPr>
                    <w:pStyle w:val="54"/>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已签约合同价款金额</w:t>
                  </w:r>
                </w:p>
              </w:tc>
              <w:tc>
                <w:tcPr>
                  <w:tcW w:w="1764" w:type="dxa"/>
                </w:tcPr>
                <w:p w14:paraId="1C88EF10">
                  <w:pPr>
                    <w:pStyle w:val="54"/>
                    <w:spacing w:line="280" w:lineRule="exact"/>
                    <w:rPr>
                      <w:rFonts w:ascii="Times New Roman" w:hAnsi="Times New Roman"/>
                      <w:color w:val="auto"/>
                      <w:szCs w:val="21"/>
                      <w:highlight w:val="none"/>
                    </w:rPr>
                  </w:pPr>
                </w:p>
              </w:tc>
              <w:tc>
                <w:tcPr>
                  <w:tcW w:w="2240" w:type="dxa"/>
                </w:tcPr>
                <w:p w14:paraId="68572155">
                  <w:pPr>
                    <w:pStyle w:val="54"/>
                    <w:spacing w:line="280" w:lineRule="exact"/>
                    <w:rPr>
                      <w:rFonts w:ascii="Times New Roman" w:hAnsi="Times New Roman"/>
                      <w:color w:val="auto"/>
                      <w:szCs w:val="21"/>
                      <w:highlight w:val="none"/>
                    </w:rPr>
                  </w:pPr>
                </w:p>
              </w:tc>
              <w:tc>
                <w:tcPr>
                  <w:tcW w:w="1080" w:type="dxa"/>
                </w:tcPr>
                <w:p w14:paraId="0DAB9F05">
                  <w:pPr>
                    <w:pStyle w:val="54"/>
                    <w:spacing w:line="280" w:lineRule="exact"/>
                    <w:rPr>
                      <w:rFonts w:ascii="Times New Roman" w:hAnsi="Times New Roman"/>
                      <w:color w:val="auto"/>
                      <w:szCs w:val="21"/>
                      <w:highlight w:val="none"/>
                    </w:rPr>
                  </w:pPr>
                </w:p>
              </w:tc>
            </w:tr>
            <w:tr w14:paraId="32B4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7B94DAE">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2</w:t>
                  </w:r>
                </w:p>
              </w:tc>
              <w:tc>
                <w:tcPr>
                  <w:tcW w:w="3340" w:type="dxa"/>
                </w:tcPr>
                <w:p w14:paraId="74DC9952">
                  <w:pPr>
                    <w:pStyle w:val="54"/>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其中：安全文明施工费</w:t>
                  </w:r>
                </w:p>
              </w:tc>
              <w:tc>
                <w:tcPr>
                  <w:tcW w:w="1764" w:type="dxa"/>
                </w:tcPr>
                <w:p w14:paraId="3BD2C20F">
                  <w:pPr>
                    <w:pStyle w:val="54"/>
                    <w:spacing w:line="280" w:lineRule="exact"/>
                    <w:rPr>
                      <w:rFonts w:ascii="Times New Roman" w:hAnsi="Times New Roman"/>
                      <w:color w:val="auto"/>
                      <w:szCs w:val="21"/>
                      <w:highlight w:val="none"/>
                    </w:rPr>
                  </w:pPr>
                </w:p>
              </w:tc>
              <w:tc>
                <w:tcPr>
                  <w:tcW w:w="2240" w:type="dxa"/>
                </w:tcPr>
                <w:p w14:paraId="7F582379">
                  <w:pPr>
                    <w:pStyle w:val="54"/>
                    <w:spacing w:line="280" w:lineRule="exact"/>
                    <w:rPr>
                      <w:rFonts w:ascii="Times New Roman" w:hAnsi="Times New Roman"/>
                      <w:color w:val="auto"/>
                      <w:szCs w:val="21"/>
                      <w:highlight w:val="none"/>
                    </w:rPr>
                  </w:pPr>
                </w:p>
              </w:tc>
              <w:tc>
                <w:tcPr>
                  <w:tcW w:w="1080" w:type="dxa"/>
                </w:tcPr>
                <w:p w14:paraId="58F75450">
                  <w:pPr>
                    <w:pStyle w:val="54"/>
                    <w:spacing w:line="280" w:lineRule="exact"/>
                    <w:rPr>
                      <w:rFonts w:ascii="Times New Roman" w:hAnsi="Times New Roman"/>
                      <w:color w:val="auto"/>
                      <w:szCs w:val="21"/>
                      <w:highlight w:val="none"/>
                    </w:rPr>
                  </w:pPr>
                </w:p>
              </w:tc>
            </w:tr>
            <w:tr w14:paraId="19E7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B3E0AD4">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3</w:t>
                  </w:r>
                </w:p>
              </w:tc>
              <w:tc>
                <w:tcPr>
                  <w:tcW w:w="3340" w:type="dxa"/>
                </w:tcPr>
                <w:p w14:paraId="0564E116">
                  <w:pPr>
                    <w:pStyle w:val="54"/>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应支付的预付款</w:t>
                  </w:r>
                </w:p>
              </w:tc>
              <w:tc>
                <w:tcPr>
                  <w:tcW w:w="1764" w:type="dxa"/>
                </w:tcPr>
                <w:p w14:paraId="30548B2C">
                  <w:pPr>
                    <w:pStyle w:val="54"/>
                    <w:spacing w:line="280" w:lineRule="exact"/>
                    <w:rPr>
                      <w:rFonts w:ascii="Times New Roman" w:hAnsi="Times New Roman"/>
                      <w:color w:val="auto"/>
                      <w:szCs w:val="21"/>
                      <w:highlight w:val="none"/>
                    </w:rPr>
                  </w:pPr>
                </w:p>
              </w:tc>
              <w:tc>
                <w:tcPr>
                  <w:tcW w:w="2240" w:type="dxa"/>
                </w:tcPr>
                <w:p w14:paraId="3BA7BE76">
                  <w:pPr>
                    <w:pStyle w:val="54"/>
                    <w:spacing w:line="280" w:lineRule="exact"/>
                    <w:rPr>
                      <w:rFonts w:ascii="Times New Roman" w:hAnsi="Times New Roman"/>
                      <w:color w:val="auto"/>
                      <w:szCs w:val="21"/>
                      <w:highlight w:val="none"/>
                    </w:rPr>
                  </w:pPr>
                </w:p>
              </w:tc>
              <w:tc>
                <w:tcPr>
                  <w:tcW w:w="1080" w:type="dxa"/>
                </w:tcPr>
                <w:p w14:paraId="3B940D03">
                  <w:pPr>
                    <w:pStyle w:val="54"/>
                    <w:spacing w:line="280" w:lineRule="exact"/>
                    <w:rPr>
                      <w:rFonts w:ascii="Times New Roman" w:hAnsi="Times New Roman"/>
                      <w:color w:val="auto"/>
                      <w:szCs w:val="21"/>
                      <w:highlight w:val="none"/>
                    </w:rPr>
                  </w:pPr>
                </w:p>
              </w:tc>
            </w:tr>
            <w:tr w14:paraId="6925E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F5DA051">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4</w:t>
                  </w:r>
                </w:p>
              </w:tc>
              <w:tc>
                <w:tcPr>
                  <w:tcW w:w="3340" w:type="dxa"/>
                </w:tcPr>
                <w:p w14:paraId="305DBDDF">
                  <w:pPr>
                    <w:pStyle w:val="54"/>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应支付的安全文明施工费预付款</w:t>
                  </w:r>
                </w:p>
              </w:tc>
              <w:tc>
                <w:tcPr>
                  <w:tcW w:w="1764" w:type="dxa"/>
                </w:tcPr>
                <w:p w14:paraId="395F17C9">
                  <w:pPr>
                    <w:pStyle w:val="54"/>
                    <w:spacing w:line="280" w:lineRule="exact"/>
                    <w:rPr>
                      <w:rFonts w:ascii="Times New Roman" w:hAnsi="Times New Roman"/>
                      <w:color w:val="auto"/>
                      <w:szCs w:val="21"/>
                      <w:highlight w:val="none"/>
                    </w:rPr>
                  </w:pPr>
                </w:p>
              </w:tc>
              <w:tc>
                <w:tcPr>
                  <w:tcW w:w="2240" w:type="dxa"/>
                </w:tcPr>
                <w:p w14:paraId="7745A58D">
                  <w:pPr>
                    <w:pStyle w:val="54"/>
                    <w:spacing w:line="280" w:lineRule="exact"/>
                    <w:rPr>
                      <w:rFonts w:ascii="Times New Roman" w:hAnsi="Times New Roman"/>
                      <w:color w:val="auto"/>
                      <w:szCs w:val="21"/>
                      <w:highlight w:val="none"/>
                    </w:rPr>
                  </w:pPr>
                </w:p>
              </w:tc>
              <w:tc>
                <w:tcPr>
                  <w:tcW w:w="1080" w:type="dxa"/>
                </w:tcPr>
                <w:p w14:paraId="64A43936">
                  <w:pPr>
                    <w:pStyle w:val="54"/>
                    <w:spacing w:line="280" w:lineRule="exact"/>
                    <w:rPr>
                      <w:rFonts w:ascii="Times New Roman" w:hAnsi="Times New Roman"/>
                      <w:color w:val="auto"/>
                      <w:szCs w:val="21"/>
                      <w:highlight w:val="none"/>
                    </w:rPr>
                  </w:pPr>
                </w:p>
              </w:tc>
            </w:tr>
            <w:tr w14:paraId="0DD5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CFFAD41">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5</w:t>
                  </w:r>
                </w:p>
              </w:tc>
              <w:tc>
                <w:tcPr>
                  <w:tcW w:w="3340" w:type="dxa"/>
                </w:tcPr>
                <w:p w14:paraId="47A002F4">
                  <w:pPr>
                    <w:pStyle w:val="54"/>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合计应支付的预付款</w:t>
                  </w:r>
                </w:p>
              </w:tc>
              <w:tc>
                <w:tcPr>
                  <w:tcW w:w="1764" w:type="dxa"/>
                </w:tcPr>
                <w:p w14:paraId="5A41D757">
                  <w:pPr>
                    <w:pStyle w:val="54"/>
                    <w:spacing w:line="280" w:lineRule="exact"/>
                    <w:rPr>
                      <w:rFonts w:ascii="Times New Roman" w:hAnsi="Times New Roman"/>
                      <w:color w:val="auto"/>
                      <w:szCs w:val="21"/>
                      <w:highlight w:val="none"/>
                    </w:rPr>
                  </w:pPr>
                </w:p>
              </w:tc>
              <w:tc>
                <w:tcPr>
                  <w:tcW w:w="2240" w:type="dxa"/>
                </w:tcPr>
                <w:p w14:paraId="4BEF79BF">
                  <w:pPr>
                    <w:pStyle w:val="54"/>
                    <w:spacing w:line="280" w:lineRule="exact"/>
                    <w:rPr>
                      <w:rFonts w:ascii="Times New Roman" w:hAnsi="Times New Roman"/>
                      <w:color w:val="auto"/>
                      <w:szCs w:val="21"/>
                      <w:highlight w:val="none"/>
                    </w:rPr>
                  </w:pPr>
                </w:p>
              </w:tc>
              <w:tc>
                <w:tcPr>
                  <w:tcW w:w="1080" w:type="dxa"/>
                </w:tcPr>
                <w:p w14:paraId="71BC2226">
                  <w:pPr>
                    <w:pStyle w:val="54"/>
                    <w:spacing w:line="280" w:lineRule="exact"/>
                    <w:rPr>
                      <w:rFonts w:ascii="Times New Roman" w:hAnsi="Times New Roman"/>
                      <w:color w:val="auto"/>
                      <w:szCs w:val="21"/>
                      <w:highlight w:val="none"/>
                    </w:rPr>
                  </w:pPr>
                </w:p>
              </w:tc>
            </w:tr>
            <w:tr w14:paraId="1A6C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A018515">
                  <w:pPr>
                    <w:pStyle w:val="54"/>
                    <w:spacing w:line="280" w:lineRule="exact"/>
                    <w:jc w:val="center"/>
                    <w:rPr>
                      <w:rFonts w:ascii="Times New Roman" w:hAnsi="Times New Roman"/>
                      <w:color w:val="auto"/>
                      <w:szCs w:val="21"/>
                      <w:highlight w:val="none"/>
                    </w:rPr>
                  </w:pPr>
                </w:p>
              </w:tc>
              <w:tc>
                <w:tcPr>
                  <w:tcW w:w="3340" w:type="dxa"/>
                </w:tcPr>
                <w:p w14:paraId="029AC241">
                  <w:pPr>
                    <w:pStyle w:val="54"/>
                    <w:spacing w:line="280" w:lineRule="exact"/>
                    <w:rPr>
                      <w:rFonts w:ascii="Times New Roman" w:hAnsi="Times New Roman"/>
                      <w:color w:val="auto"/>
                      <w:szCs w:val="21"/>
                      <w:highlight w:val="none"/>
                    </w:rPr>
                  </w:pPr>
                </w:p>
              </w:tc>
              <w:tc>
                <w:tcPr>
                  <w:tcW w:w="1764" w:type="dxa"/>
                </w:tcPr>
                <w:p w14:paraId="715183AE">
                  <w:pPr>
                    <w:pStyle w:val="54"/>
                    <w:spacing w:line="280" w:lineRule="exact"/>
                    <w:rPr>
                      <w:rFonts w:ascii="Times New Roman" w:hAnsi="Times New Roman"/>
                      <w:color w:val="auto"/>
                      <w:szCs w:val="21"/>
                      <w:highlight w:val="none"/>
                    </w:rPr>
                  </w:pPr>
                </w:p>
              </w:tc>
              <w:tc>
                <w:tcPr>
                  <w:tcW w:w="2240" w:type="dxa"/>
                </w:tcPr>
                <w:p w14:paraId="0CDB9979">
                  <w:pPr>
                    <w:pStyle w:val="54"/>
                    <w:spacing w:line="280" w:lineRule="exact"/>
                    <w:rPr>
                      <w:rFonts w:ascii="Times New Roman" w:hAnsi="Times New Roman"/>
                      <w:color w:val="auto"/>
                      <w:szCs w:val="21"/>
                      <w:highlight w:val="none"/>
                    </w:rPr>
                  </w:pPr>
                </w:p>
              </w:tc>
              <w:tc>
                <w:tcPr>
                  <w:tcW w:w="1080" w:type="dxa"/>
                </w:tcPr>
                <w:p w14:paraId="67342AE8">
                  <w:pPr>
                    <w:pStyle w:val="54"/>
                    <w:spacing w:line="280" w:lineRule="exact"/>
                    <w:rPr>
                      <w:rFonts w:ascii="Times New Roman" w:hAnsi="Times New Roman"/>
                      <w:color w:val="auto"/>
                      <w:szCs w:val="21"/>
                      <w:highlight w:val="none"/>
                    </w:rPr>
                  </w:pPr>
                </w:p>
              </w:tc>
            </w:tr>
          </w:tbl>
          <w:p w14:paraId="0B7536BE">
            <w:pPr>
              <w:pStyle w:val="54"/>
              <w:wordWrap w:val="0"/>
              <w:spacing w:line="400" w:lineRule="exact"/>
              <w:ind w:right="420"/>
              <w:rPr>
                <w:rFonts w:ascii="Times New Roman" w:hAnsi="Times New Roman"/>
                <w:color w:val="auto"/>
                <w:szCs w:val="21"/>
                <w:highlight w:val="none"/>
              </w:rPr>
            </w:pPr>
          </w:p>
          <w:p w14:paraId="6787D883">
            <w:pPr>
              <w:pStyle w:val="54"/>
              <w:wordWrap w:val="0"/>
              <w:spacing w:line="400" w:lineRule="exact"/>
              <w:ind w:right="420"/>
              <w:rPr>
                <w:rFonts w:ascii="Times New Roman" w:hAnsi="Times New Roman"/>
                <w:color w:val="auto"/>
                <w:szCs w:val="21"/>
                <w:highlight w:val="none"/>
              </w:rPr>
            </w:pPr>
            <w:r>
              <w:rPr>
                <w:rFonts w:hint="eastAsia" w:ascii="Times New Roman" w:hAnsi="Times New Roman"/>
                <w:color w:val="auto"/>
                <w:szCs w:val="21"/>
                <w:highlight w:val="none"/>
              </w:rPr>
              <w:t xml:space="preserve">                                            承包人（章）             </w:t>
            </w:r>
          </w:p>
          <w:p w14:paraId="4B0735AA">
            <w:pPr>
              <w:pStyle w:val="54"/>
              <w:spacing w:line="400" w:lineRule="exact"/>
              <w:ind w:right="420" w:firstLine="435"/>
              <w:rPr>
                <w:rFonts w:ascii="Times New Roman" w:hAnsi="Times New Roman"/>
                <w:color w:val="auto"/>
                <w:szCs w:val="21"/>
                <w:highlight w:val="none"/>
              </w:rPr>
            </w:pPr>
            <w:r>
              <w:rPr>
                <w:rFonts w:hint="eastAsia" w:ascii="Times New Roman" w:hAnsi="Times New Roman"/>
                <w:color w:val="auto"/>
                <w:szCs w:val="21"/>
                <w:highlight w:val="none"/>
              </w:rPr>
              <w:t>造价人员</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承包人代表</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日      期</w:t>
            </w:r>
            <w:r>
              <w:rPr>
                <w:rFonts w:hint="eastAsia" w:ascii="Times New Roman" w:hAnsi="Times New Roman"/>
                <w:color w:val="auto"/>
                <w:szCs w:val="21"/>
                <w:highlight w:val="none"/>
                <w:u w:val="single"/>
              </w:rPr>
              <w:t xml:space="preserve">               </w:t>
            </w:r>
          </w:p>
        </w:tc>
      </w:tr>
      <w:tr w14:paraId="1C0D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488" w:type="dxa"/>
          </w:tcPr>
          <w:p w14:paraId="1CBACBDC">
            <w:pPr>
              <w:pStyle w:val="54"/>
              <w:spacing w:line="360" w:lineRule="exact"/>
              <w:rPr>
                <w:rFonts w:ascii="Times New Roman" w:hAnsi="Times New Roman"/>
                <w:color w:val="auto"/>
                <w:szCs w:val="21"/>
                <w:highlight w:val="none"/>
              </w:rPr>
            </w:pPr>
            <w:r>
              <w:rPr>
                <w:rFonts w:hint="eastAsia" w:ascii="Times New Roman" w:hAnsi="Times New Roman"/>
                <w:color w:val="auto"/>
                <w:szCs w:val="21"/>
                <w:highlight w:val="none"/>
              </w:rPr>
              <w:t>复核意见：</w:t>
            </w:r>
          </w:p>
          <w:p w14:paraId="2CF22812">
            <w:pPr>
              <w:pStyle w:val="54"/>
              <w:spacing w:line="360" w:lineRule="exact"/>
              <w:ind w:firstLine="312"/>
              <w:rPr>
                <w:rFonts w:ascii="Times New Roman" w:hAnsi="Times New Roman"/>
                <w:color w:val="auto"/>
                <w:szCs w:val="21"/>
                <w:highlight w:val="none"/>
              </w:rPr>
            </w:pPr>
            <w:r>
              <w:rPr>
                <w:rFonts w:hint="eastAsia" w:ascii="Times New Roman" w:hAnsi="Times New Roman"/>
                <w:color w:val="auto"/>
                <w:szCs w:val="21"/>
                <w:highlight w:val="none"/>
              </w:rPr>
              <w:t>□与合同约定不相符，修改意见见附件。</w:t>
            </w:r>
          </w:p>
          <w:p w14:paraId="10649C19">
            <w:pPr>
              <w:pStyle w:val="54"/>
              <w:spacing w:line="360" w:lineRule="exact"/>
              <w:ind w:firstLine="312"/>
              <w:rPr>
                <w:rFonts w:ascii="Times New Roman" w:hAnsi="Times New Roman"/>
                <w:color w:val="auto"/>
                <w:szCs w:val="21"/>
                <w:highlight w:val="none"/>
              </w:rPr>
            </w:pPr>
            <w:r>
              <w:rPr>
                <w:rFonts w:hint="eastAsia" w:ascii="Times New Roman" w:hAnsi="Times New Roman"/>
                <w:color w:val="auto"/>
                <w:szCs w:val="21"/>
                <w:highlight w:val="none"/>
              </w:rPr>
              <w:t>□与合同约定相符，具体金额由造价工程师复核。</w:t>
            </w:r>
          </w:p>
          <w:p w14:paraId="7D7B3E3A">
            <w:pPr>
              <w:pStyle w:val="54"/>
              <w:spacing w:line="360" w:lineRule="exact"/>
              <w:ind w:firstLine="435"/>
              <w:jc w:val="right"/>
              <w:rPr>
                <w:rFonts w:ascii="Times New Roman" w:hAnsi="Times New Roman"/>
                <w:color w:val="auto"/>
                <w:szCs w:val="21"/>
                <w:highlight w:val="none"/>
              </w:rPr>
            </w:pPr>
          </w:p>
          <w:p w14:paraId="79E228BF">
            <w:pPr>
              <w:pStyle w:val="54"/>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监理工程师</w:t>
            </w:r>
            <w:r>
              <w:rPr>
                <w:rFonts w:hint="eastAsia" w:ascii="Times New Roman" w:hAnsi="Times New Roman"/>
                <w:color w:val="auto"/>
                <w:szCs w:val="21"/>
                <w:highlight w:val="none"/>
                <w:u w:val="single"/>
              </w:rPr>
              <w:t xml:space="preserve">           </w:t>
            </w:r>
          </w:p>
          <w:p w14:paraId="2A976B8B">
            <w:pPr>
              <w:pStyle w:val="54"/>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日      期</w:t>
            </w:r>
            <w:r>
              <w:rPr>
                <w:rFonts w:hint="eastAsia" w:ascii="Times New Roman" w:hAnsi="Times New Roman"/>
                <w:color w:val="auto"/>
                <w:szCs w:val="21"/>
                <w:highlight w:val="none"/>
                <w:u w:val="single"/>
              </w:rPr>
              <w:t xml:space="preserve">           </w:t>
            </w:r>
          </w:p>
        </w:tc>
        <w:tc>
          <w:tcPr>
            <w:tcW w:w="4697" w:type="dxa"/>
          </w:tcPr>
          <w:p w14:paraId="797E5194">
            <w:pPr>
              <w:pStyle w:val="54"/>
              <w:spacing w:line="360" w:lineRule="exact"/>
              <w:rPr>
                <w:rFonts w:ascii="Times New Roman" w:hAnsi="Times New Roman"/>
                <w:color w:val="auto"/>
                <w:szCs w:val="21"/>
                <w:highlight w:val="none"/>
              </w:rPr>
            </w:pPr>
            <w:r>
              <w:rPr>
                <w:rFonts w:hint="eastAsia" w:ascii="Times New Roman" w:hAnsi="Times New Roman"/>
                <w:color w:val="auto"/>
                <w:szCs w:val="21"/>
                <w:highlight w:val="none"/>
              </w:rPr>
              <w:t>复核意见：</w:t>
            </w:r>
          </w:p>
          <w:p w14:paraId="749B201C">
            <w:pPr>
              <w:pStyle w:val="54"/>
              <w:spacing w:line="360" w:lineRule="exact"/>
              <w:ind w:firstLine="435"/>
              <w:rPr>
                <w:rFonts w:ascii="Times New Roman" w:hAnsi="Times New Roman"/>
                <w:color w:val="auto"/>
                <w:szCs w:val="21"/>
                <w:highlight w:val="none"/>
              </w:rPr>
            </w:pPr>
            <w:r>
              <w:rPr>
                <w:rFonts w:hint="eastAsia" w:ascii="Times New Roman" w:hAnsi="Times New Roman"/>
                <w:color w:val="auto"/>
                <w:szCs w:val="21"/>
                <w:highlight w:val="none"/>
              </w:rPr>
              <w:t>你方提出的支付申请经复核，应支付预付款金额为(大写)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元，（小写）</w:t>
            </w:r>
          </w:p>
          <w:p w14:paraId="233F6C72">
            <w:pPr>
              <w:pStyle w:val="54"/>
              <w:spacing w:line="360" w:lineRule="exact"/>
              <w:rPr>
                <w:rFonts w:ascii="Times New Roman" w:hAnsi="Times New Roman"/>
                <w:color w:val="auto"/>
                <w:szCs w:val="21"/>
                <w:highlight w:val="none"/>
              </w:rPr>
            </w:pP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 xml:space="preserve"> 元。</w:t>
            </w:r>
          </w:p>
          <w:p w14:paraId="2010F998">
            <w:pPr>
              <w:pStyle w:val="54"/>
              <w:spacing w:line="360" w:lineRule="exact"/>
              <w:rPr>
                <w:rFonts w:ascii="Times New Roman" w:hAnsi="Times New Roman"/>
                <w:color w:val="auto"/>
                <w:szCs w:val="21"/>
                <w:highlight w:val="none"/>
                <w:u w:val="single"/>
              </w:rPr>
            </w:pPr>
          </w:p>
          <w:p w14:paraId="1453F034">
            <w:pPr>
              <w:pStyle w:val="54"/>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造价工程师</w:t>
            </w:r>
            <w:r>
              <w:rPr>
                <w:rFonts w:hint="eastAsia" w:ascii="Times New Roman" w:hAnsi="Times New Roman"/>
                <w:color w:val="auto"/>
                <w:szCs w:val="21"/>
                <w:highlight w:val="none"/>
                <w:u w:val="single"/>
              </w:rPr>
              <w:t xml:space="preserve">           </w:t>
            </w:r>
          </w:p>
          <w:p w14:paraId="3914AF78">
            <w:pPr>
              <w:pStyle w:val="54"/>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日      期</w:t>
            </w:r>
            <w:r>
              <w:rPr>
                <w:rFonts w:hint="eastAsia" w:ascii="Times New Roman" w:hAnsi="Times New Roman"/>
                <w:color w:val="auto"/>
                <w:szCs w:val="21"/>
                <w:highlight w:val="none"/>
                <w:u w:val="single"/>
              </w:rPr>
              <w:t xml:space="preserve">           </w:t>
            </w:r>
          </w:p>
        </w:tc>
      </w:tr>
      <w:tr w14:paraId="629E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185" w:type="dxa"/>
            <w:gridSpan w:val="2"/>
          </w:tcPr>
          <w:p w14:paraId="55079DF5">
            <w:pPr>
              <w:pStyle w:val="54"/>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审核意见：</w:t>
            </w:r>
          </w:p>
          <w:p w14:paraId="39CD2D56">
            <w:pPr>
              <w:pStyle w:val="54"/>
              <w:spacing w:line="400" w:lineRule="exact"/>
              <w:ind w:firstLine="435"/>
              <w:rPr>
                <w:rFonts w:ascii="Times New Roman" w:hAnsi="Times New Roman"/>
                <w:color w:val="auto"/>
                <w:szCs w:val="21"/>
                <w:highlight w:val="none"/>
              </w:rPr>
            </w:pPr>
            <w:r>
              <w:rPr>
                <w:rFonts w:hint="eastAsia" w:ascii="Times New Roman" w:hAnsi="Times New Roman"/>
                <w:color w:val="auto"/>
                <w:szCs w:val="21"/>
                <w:highlight w:val="none"/>
              </w:rPr>
              <w:t>□不同意。</w:t>
            </w:r>
          </w:p>
          <w:p w14:paraId="2F0AD17F">
            <w:pPr>
              <w:pStyle w:val="54"/>
              <w:spacing w:line="4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□同意。</w:t>
            </w:r>
          </w:p>
          <w:p w14:paraId="53F251D3">
            <w:pPr>
              <w:pStyle w:val="54"/>
              <w:wordWrap w:val="0"/>
              <w:spacing w:line="400" w:lineRule="exact"/>
              <w:ind w:firstLine="420" w:firstLineChars="200"/>
              <w:jc w:val="right"/>
              <w:rPr>
                <w:rFonts w:ascii="Times New Roman" w:hAnsi="Times New Roman"/>
                <w:color w:val="auto"/>
                <w:szCs w:val="21"/>
                <w:highlight w:val="none"/>
              </w:rPr>
            </w:pPr>
            <w:r>
              <w:rPr>
                <w:rFonts w:hint="eastAsia" w:ascii="Times New Roman" w:hAnsi="Times New Roman"/>
                <w:color w:val="auto"/>
                <w:szCs w:val="21"/>
                <w:highlight w:val="none"/>
              </w:rPr>
              <w:t xml:space="preserve">发包人（章）           </w:t>
            </w:r>
          </w:p>
          <w:p w14:paraId="05581906">
            <w:pPr>
              <w:pStyle w:val="54"/>
              <w:wordWrap w:val="0"/>
              <w:spacing w:line="400" w:lineRule="exact"/>
              <w:ind w:firstLine="420" w:firstLineChars="200"/>
              <w:jc w:val="right"/>
              <w:rPr>
                <w:rFonts w:ascii="Times New Roman" w:hAnsi="Times New Roman"/>
                <w:color w:val="auto"/>
                <w:szCs w:val="21"/>
                <w:highlight w:val="none"/>
                <w:u w:val="single"/>
              </w:rPr>
            </w:pPr>
            <w:r>
              <w:rPr>
                <w:rFonts w:hint="eastAsia" w:ascii="Times New Roman" w:hAnsi="Times New Roman"/>
                <w:color w:val="auto"/>
                <w:szCs w:val="21"/>
                <w:highlight w:val="none"/>
              </w:rPr>
              <w:t>发包人代表</w:t>
            </w:r>
            <w:r>
              <w:rPr>
                <w:rFonts w:hint="eastAsia" w:ascii="Times New Roman" w:hAnsi="Times New Roman"/>
                <w:color w:val="auto"/>
                <w:szCs w:val="21"/>
                <w:highlight w:val="none"/>
                <w:u w:val="single"/>
              </w:rPr>
              <w:t xml:space="preserve">             </w:t>
            </w:r>
          </w:p>
          <w:p w14:paraId="73E0AE17">
            <w:pPr>
              <w:pStyle w:val="54"/>
              <w:wordWrap w:val="0"/>
              <w:spacing w:line="400" w:lineRule="exact"/>
              <w:ind w:firstLine="420" w:firstLineChars="200"/>
              <w:jc w:val="right"/>
              <w:rPr>
                <w:rFonts w:ascii="Times New Roman" w:hAnsi="Times New Roman"/>
                <w:color w:val="auto"/>
                <w:szCs w:val="21"/>
                <w:highlight w:val="none"/>
                <w:u w:val="single"/>
              </w:rPr>
            </w:pPr>
            <w:r>
              <w:rPr>
                <w:rFonts w:hint="eastAsia" w:ascii="Times New Roman" w:hAnsi="Times New Roman"/>
                <w:color w:val="auto"/>
                <w:szCs w:val="21"/>
                <w:highlight w:val="none"/>
              </w:rPr>
              <w:t>日      期</w:t>
            </w:r>
            <w:r>
              <w:rPr>
                <w:rFonts w:hint="eastAsia" w:ascii="Times New Roman" w:hAnsi="Times New Roman"/>
                <w:color w:val="auto"/>
                <w:szCs w:val="21"/>
                <w:highlight w:val="none"/>
                <w:u w:val="single"/>
              </w:rPr>
              <w:t xml:space="preserve">             </w:t>
            </w:r>
          </w:p>
        </w:tc>
      </w:tr>
    </w:tbl>
    <w:p w14:paraId="5EDF2C6A">
      <w:pPr>
        <w:pStyle w:val="54"/>
        <w:spacing w:before="120" w:beforeLines="50"/>
        <w:ind w:firstLine="360" w:firstLineChars="200"/>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注：1.在选择栏中的“□”内作标识“√”。 </w:t>
      </w:r>
    </w:p>
    <w:p w14:paraId="09D36BC9">
      <w:pPr>
        <w:pStyle w:val="54"/>
        <w:spacing w:before="120" w:beforeLines="50"/>
        <w:ind w:left="720" w:hanging="720" w:hangingChars="400"/>
        <w:rPr>
          <w:rFonts w:ascii="Times New Roman" w:hAnsi="Times New Roman" w:eastAsia="仿宋_GB2312"/>
          <w:color w:val="auto"/>
          <w:sz w:val="30"/>
          <w:szCs w:val="30"/>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 xml:space="preserve">  2.本表一式四份，由承包人填报，发包人、监理人、造价咨询人、承包人各存一份。</w:t>
      </w:r>
    </w:p>
    <w:p w14:paraId="6ABD2126">
      <w:pPr>
        <w:pStyle w:val="54"/>
        <w:spacing w:before="120" w:beforeLines="50"/>
        <w:ind w:left="1200" w:hanging="1200" w:hangingChars="400"/>
        <w:rPr>
          <w:rFonts w:ascii="Times New Roman" w:hAnsi="Times New Roman" w:eastAsia="仿宋_GB2312"/>
          <w:color w:val="auto"/>
          <w:sz w:val="30"/>
          <w:szCs w:val="30"/>
          <w:highlight w:val="none"/>
        </w:rPr>
      </w:pPr>
    </w:p>
    <w:p w14:paraId="682BB727">
      <w:pPr>
        <w:pStyle w:val="54"/>
        <w:spacing w:before="120" w:beforeLines="50"/>
        <w:ind w:left="1200" w:hanging="1200" w:hangingChars="400"/>
        <w:rPr>
          <w:rFonts w:ascii="Times New Roman" w:hAnsi="Times New Roman" w:eastAsia="仿宋_GB2312"/>
          <w:color w:val="auto"/>
          <w:sz w:val="30"/>
          <w:szCs w:val="30"/>
          <w:highlight w:val="none"/>
        </w:rPr>
      </w:pPr>
      <w:r>
        <w:rPr>
          <w:rFonts w:hint="eastAsia" w:ascii="Times New Roman" w:hAnsi="Times New Roman" w:eastAsia="仿宋_GB2312"/>
          <w:color w:val="auto"/>
          <w:sz w:val="30"/>
          <w:szCs w:val="30"/>
          <w:highlight w:val="none"/>
        </w:rPr>
        <w:t>附件11：</w:t>
      </w:r>
    </w:p>
    <w:p w14:paraId="4C9B3DD8">
      <w:pPr>
        <w:pStyle w:val="54"/>
        <w:jc w:val="center"/>
        <w:rPr>
          <w:rFonts w:ascii="Times New Roman" w:hAnsi="Times New Roman"/>
          <w:b/>
          <w:color w:val="auto"/>
          <w:sz w:val="36"/>
          <w:szCs w:val="36"/>
          <w:highlight w:val="none"/>
        </w:rPr>
      </w:pPr>
      <w:r>
        <w:rPr>
          <w:rFonts w:hint="eastAsia" w:ascii="Times New Roman" w:hAnsi="Times New Roman"/>
          <w:b/>
          <w:color w:val="auto"/>
          <w:sz w:val="36"/>
          <w:szCs w:val="36"/>
          <w:highlight w:val="none"/>
        </w:rPr>
        <w:t>进度款支付申请（核准）表</w:t>
      </w:r>
    </w:p>
    <w:p w14:paraId="1E0568F7">
      <w:pPr>
        <w:pStyle w:val="54"/>
        <w:rPr>
          <w:rFonts w:ascii="Times New Roman" w:hAnsi="Times New Roman"/>
          <w:color w:val="auto"/>
          <w:sz w:val="24"/>
          <w:szCs w:val="24"/>
          <w:highlight w:val="none"/>
        </w:rPr>
      </w:pPr>
      <w:r>
        <w:rPr>
          <w:rFonts w:hint="eastAsia" w:ascii="Times New Roman" w:hAnsi="Times New Roman"/>
          <w:color w:val="auto"/>
          <w:sz w:val="24"/>
          <w:szCs w:val="24"/>
          <w:highlight w:val="none"/>
        </w:rPr>
        <w:t>工程名称：                                             编号：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52"/>
      </w:tblGrid>
      <w:tr w14:paraId="3DDE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14:paraId="6FC93B75">
            <w:pPr>
              <w:pStyle w:val="54"/>
              <w:spacing w:line="480" w:lineRule="exact"/>
              <w:ind w:left="525" w:leftChars="149" w:hanging="212" w:hangingChars="101"/>
              <w:rPr>
                <w:rFonts w:ascii="Times New Roman" w:hAnsi="Times New Roman"/>
                <w:color w:val="auto"/>
                <w:szCs w:val="21"/>
                <w:highlight w:val="none"/>
                <w:u w:val="single"/>
              </w:rPr>
            </w:pPr>
            <w:r>
              <w:rPr>
                <w:rFonts w:hint="eastAsia" w:ascii="Times New Roman" w:hAnsi="Times New Roman"/>
                <w:color w:val="auto"/>
                <w:szCs w:val="21"/>
                <w:highlight w:val="none"/>
              </w:rPr>
              <w:t>致：</w:t>
            </w:r>
            <w:r>
              <w:rPr>
                <w:rFonts w:hint="eastAsia" w:ascii="Times New Roman" w:hAnsi="Times New Roman"/>
                <w:color w:val="auto"/>
                <w:szCs w:val="21"/>
                <w:highlight w:val="none"/>
                <w:u w:val="single"/>
              </w:rPr>
              <w:t xml:space="preserve">                                   （发包人全称）</w:t>
            </w:r>
          </w:p>
          <w:p w14:paraId="42F48B3D">
            <w:pPr>
              <w:pStyle w:val="54"/>
              <w:spacing w:line="400" w:lineRule="exact"/>
              <w:ind w:left="-4" w:leftChars="-2" w:firstLine="315" w:firstLineChars="150"/>
              <w:rPr>
                <w:rFonts w:ascii="Times New Roman" w:hAnsi="Times New Roman"/>
                <w:color w:val="auto"/>
                <w:szCs w:val="21"/>
                <w:highlight w:val="none"/>
              </w:rPr>
            </w:pPr>
            <w:r>
              <w:rPr>
                <w:rFonts w:hint="eastAsia" w:ascii="Times New Roman" w:hAnsi="Times New Roman"/>
                <w:color w:val="auto"/>
                <w:szCs w:val="21"/>
                <w:highlight w:val="none"/>
              </w:rPr>
              <w:t>我方于</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至</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期间已完成了</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工作，根据施工合同的约定，现申请支付本期的合同款额为(大写)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元，(小写)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元，请予核准。</w:t>
            </w:r>
          </w:p>
          <w:tbl>
            <w:tblPr>
              <w:tblStyle w:val="22"/>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76"/>
              <w:gridCol w:w="1328"/>
              <w:gridCol w:w="1426"/>
              <w:gridCol w:w="1250"/>
              <w:gridCol w:w="919"/>
            </w:tblGrid>
            <w:tr w14:paraId="2F38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4" w:type="dxa"/>
                  <w:vAlign w:val="center"/>
                </w:tcPr>
                <w:p w14:paraId="429AC76B">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序号</w:t>
                  </w:r>
                </w:p>
              </w:tc>
              <w:tc>
                <w:tcPr>
                  <w:tcW w:w="3276" w:type="dxa"/>
                  <w:vAlign w:val="center"/>
                </w:tcPr>
                <w:p w14:paraId="3A09429F">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名      称</w:t>
                  </w:r>
                </w:p>
              </w:tc>
              <w:tc>
                <w:tcPr>
                  <w:tcW w:w="1328" w:type="dxa"/>
                  <w:vAlign w:val="center"/>
                </w:tcPr>
                <w:p w14:paraId="77A4013B">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实际金额（元）</w:t>
                  </w:r>
                </w:p>
              </w:tc>
              <w:tc>
                <w:tcPr>
                  <w:tcW w:w="1426" w:type="dxa"/>
                  <w:vAlign w:val="center"/>
                </w:tcPr>
                <w:p w14:paraId="3C5410D6">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申请金额（元）</w:t>
                  </w:r>
                </w:p>
              </w:tc>
              <w:tc>
                <w:tcPr>
                  <w:tcW w:w="1250" w:type="dxa"/>
                  <w:vAlign w:val="center"/>
                </w:tcPr>
                <w:p w14:paraId="038221C2">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复核金额（元）</w:t>
                  </w:r>
                </w:p>
              </w:tc>
              <w:tc>
                <w:tcPr>
                  <w:tcW w:w="919" w:type="dxa"/>
                  <w:vAlign w:val="center"/>
                </w:tcPr>
                <w:p w14:paraId="4299A690">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备注</w:t>
                  </w:r>
                </w:p>
              </w:tc>
            </w:tr>
            <w:tr w14:paraId="685E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AFD5F8C">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1</w:t>
                  </w:r>
                </w:p>
              </w:tc>
              <w:tc>
                <w:tcPr>
                  <w:tcW w:w="3276" w:type="dxa"/>
                </w:tcPr>
                <w:p w14:paraId="28696E78">
                  <w:pPr>
                    <w:pStyle w:val="54"/>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累计已完成的工程价款</w:t>
                  </w:r>
                </w:p>
              </w:tc>
              <w:tc>
                <w:tcPr>
                  <w:tcW w:w="1328" w:type="dxa"/>
                </w:tcPr>
                <w:p w14:paraId="2991B7AD">
                  <w:pPr>
                    <w:pStyle w:val="54"/>
                    <w:spacing w:line="280" w:lineRule="exact"/>
                    <w:rPr>
                      <w:rFonts w:ascii="Times New Roman" w:hAnsi="Times New Roman"/>
                      <w:color w:val="auto"/>
                      <w:szCs w:val="21"/>
                      <w:highlight w:val="none"/>
                    </w:rPr>
                  </w:pPr>
                </w:p>
              </w:tc>
              <w:tc>
                <w:tcPr>
                  <w:tcW w:w="1426" w:type="dxa"/>
                </w:tcPr>
                <w:p w14:paraId="62FB6881">
                  <w:pPr>
                    <w:pStyle w:val="54"/>
                    <w:spacing w:line="280" w:lineRule="exact"/>
                    <w:rPr>
                      <w:rFonts w:ascii="Times New Roman" w:hAnsi="Times New Roman"/>
                      <w:color w:val="auto"/>
                      <w:szCs w:val="21"/>
                      <w:highlight w:val="none"/>
                    </w:rPr>
                  </w:pPr>
                </w:p>
              </w:tc>
              <w:tc>
                <w:tcPr>
                  <w:tcW w:w="1250" w:type="dxa"/>
                </w:tcPr>
                <w:p w14:paraId="542BC9B0">
                  <w:pPr>
                    <w:pStyle w:val="54"/>
                    <w:spacing w:line="280" w:lineRule="exact"/>
                    <w:rPr>
                      <w:rFonts w:ascii="Times New Roman" w:hAnsi="Times New Roman"/>
                      <w:color w:val="auto"/>
                      <w:szCs w:val="21"/>
                      <w:highlight w:val="none"/>
                    </w:rPr>
                  </w:pPr>
                </w:p>
              </w:tc>
              <w:tc>
                <w:tcPr>
                  <w:tcW w:w="919" w:type="dxa"/>
                </w:tcPr>
                <w:p w14:paraId="241368F2">
                  <w:pPr>
                    <w:pStyle w:val="54"/>
                    <w:spacing w:line="280" w:lineRule="exact"/>
                    <w:rPr>
                      <w:rFonts w:ascii="Times New Roman" w:hAnsi="Times New Roman"/>
                      <w:color w:val="auto"/>
                      <w:szCs w:val="21"/>
                      <w:highlight w:val="none"/>
                    </w:rPr>
                  </w:pPr>
                </w:p>
              </w:tc>
            </w:tr>
            <w:tr w14:paraId="0B16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6AF60F8B">
                  <w:pPr>
                    <w:pStyle w:val="54"/>
                    <w:spacing w:line="280" w:lineRule="exact"/>
                    <w:jc w:val="center"/>
                    <w:rPr>
                      <w:rFonts w:ascii="Times New Roman" w:hAnsi="Times New Roman"/>
                      <w:color w:val="auto"/>
                      <w:szCs w:val="21"/>
                      <w:highlight w:val="none"/>
                    </w:rPr>
                  </w:pPr>
                </w:p>
              </w:tc>
              <w:tc>
                <w:tcPr>
                  <w:tcW w:w="3276" w:type="dxa"/>
                </w:tcPr>
                <w:p w14:paraId="6A9FEC90">
                  <w:pPr>
                    <w:pStyle w:val="54"/>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其中：人工费</w:t>
                  </w:r>
                </w:p>
              </w:tc>
              <w:tc>
                <w:tcPr>
                  <w:tcW w:w="1328" w:type="dxa"/>
                </w:tcPr>
                <w:p w14:paraId="23E7479D">
                  <w:pPr>
                    <w:pStyle w:val="54"/>
                    <w:spacing w:line="280" w:lineRule="exact"/>
                    <w:rPr>
                      <w:rFonts w:ascii="Times New Roman" w:hAnsi="Times New Roman"/>
                      <w:color w:val="auto"/>
                      <w:szCs w:val="21"/>
                      <w:highlight w:val="none"/>
                    </w:rPr>
                  </w:pPr>
                </w:p>
              </w:tc>
              <w:tc>
                <w:tcPr>
                  <w:tcW w:w="1426" w:type="dxa"/>
                </w:tcPr>
                <w:p w14:paraId="68504648">
                  <w:pPr>
                    <w:pStyle w:val="54"/>
                    <w:spacing w:line="280" w:lineRule="exact"/>
                    <w:rPr>
                      <w:rFonts w:ascii="Times New Roman" w:hAnsi="Times New Roman"/>
                      <w:color w:val="auto"/>
                      <w:szCs w:val="21"/>
                      <w:highlight w:val="none"/>
                    </w:rPr>
                  </w:pPr>
                </w:p>
              </w:tc>
              <w:tc>
                <w:tcPr>
                  <w:tcW w:w="1250" w:type="dxa"/>
                </w:tcPr>
                <w:p w14:paraId="6F093DE8">
                  <w:pPr>
                    <w:pStyle w:val="54"/>
                    <w:spacing w:line="280" w:lineRule="exact"/>
                    <w:rPr>
                      <w:rFonts w:ascii="Times New Roman" w:hAnsi="Times New Roman"/>
                      <w:color w:val="auto"/>
                      <w:szCs w:val="21"/>
                      <w:highlight w:val="none"/>
                    </w:rPr>
                  </w:pPr>
                </w:p>
              </w:tc>
              <w:tc>
                <w:tcPr>
                  <w:tcW w:w="919" w:type="dxa"/>
                </w:tcPr>
                <w:p w14:paraId="2F9235C5">
                  <w:pPr>
                    <w:pStyle w:val="54"/>
                    <w:spacing w:line="280" w:lineRule="exact"/>
                    <w:rPr>
                      <w:rFonts w:ascii="Times New Roman" w:hAnsi="Times New Roman"/>
                      <w:color w:val="auto"/>
                      <w:szCs w:val="21"/>
                      <w:highlight w:val="none"/>
                    </w:rPr>
                  </w:pPr>
                </w:p>
              </w:tc>
            </w:tr>
            <w:tr w14:paraId="5DAD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A228F7D">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2</w:t>
                  </w:r>
                </w:p>
              </w:tc>
              <w:tc>
                <w:tcPr>
                  <w:tcW w:w="3276" w:type="dxa"/>
                </w:tcPr>
                <w:p w14:paraId="059CF8A7">
                  <w:pPr>
                    <w:pStyle w:val="54"/>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累计已实际支付的工程价款</w:t>
                  </w:r>
                </w:p>
              </w:tc>
              <w:tc>
                <w:tcPr>
                  <w:tcW w:w="1328" w:type="dxa"/>
                </w:tcPr>
                <w:p w14:paraId="490DE8CC">
                  <w:pPr>
                    <w:pStyle w:val="54"/>
                    <w:spacing w:line="280" w:lineRule="exact"/>
                    <w:rPr>
                      <w:rFonts w:ascii="Times New Roman" w:hAnsi="Times New Roman"/>
                      <w:color w:val="auto"/>
                      <w:szCs w:val="21"/>
                      <w:highlight w:val="none"/>
                    </w:rPr>
                  </w:pPr>
                </w:p>
              </w:tc>
              <w:tc>
                <w:tcPr>
                  <w:tcW w:w="1426" w:type="dxa"/>
                </w:tcPr>
                <w:p w14:paraId="33BBBB0D">
                  <w:pPr>
                    <w:pStyle w:val="54"/>
                    <w:spacing w:line="280" w:lineRule="exact"/>
                    <w:rPr>
                      <w:rFonts w:ascii="Times New Roman" w:hAnsi="Times New Roman"/>
                      <w:color w:val="auto"/>
                      <w:szCs w:val="21"/>
                      <w:highlight w:val="none"/>
                    </w:rPr>
                  </w:pPr>
                </w:p>
              </w:tc>
              <w:tc>
                <w:tcPr>
                  <w:tcW w:w="1250" w:type="dxa"/>
                </w:tcPr>
                <w:p w14:paraId="39327D62">
                  <w:pPr>
                    <w:pStyle w:val="54"/>
                    <w:spacing w:line="280" w:lineRule="exact"/>
                    <w:rPr>
                      <w:rFonts w:ascii="Times New Roman" w:hAnsi="Times New Roman"/>
                      <w:color w:val="auto"/>
                      <w:szCs w:val="21"/>
                      <w:highlight w:val="none"/>
                    </w:rPr>
                  </w:pPr>
                </w:p>
              </w:tc>
              <w:tc>
                <w:tcPr>
                  <w:tcW w:w="919" w:type="dxa"/>
                </w:tcPr>
                <w:p w14:paraId="3C20485E">
                  <w:pPr>
                    <w:pStyle w:val="54"/>
                    <w:spacing w:line="280" w:lineRule="exact"/>
                    <w:rPr>
                      <w:rFonts w:ascii="Times New Roman" w:hAnsi="Times New Roman"/>
                      <w:color w:val="auto"/>
                      <w:szCs w:val="21"/>
                      <w:highlight w:val="none"/>
                    </w:rPr>
                  </w:pPr>
                </w:p>
              </w:tc>
            </w:tr>
            <w:tr w14:paraId="0C66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1EE25C3">
                  <w:pPr>
                    <w:pStyle w:val="54"/>
                    <w:spacing w:line="280" w:lineRule="exact"/>
                    <w:jc w:val="center"/>
                    <w:rPr>
                      <w:rFonts w:ascii="Times New Roman" w:hAnsi="Times New Roman"/>
                      <w:color w:val="auto"/>
                      <w:szCs w:val="21"/>
                      <w:highlight w:val="none"/>
                    </w:rPr>
                  </w:pPr>
                </w:p>
              </w:tc>
              <w:tc>
                <w:tcPr>
                  <w:tcW w:w="3276" w:type="dxa"/>
                </w:tcPr>
                <w:p w14:paraId="22B26756">
                  <w:pPr>
                    <w:pStyle w:val="54"/>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其中：人工费</w:t>
                  </w:r>
                </w:p>
              </w:tc>
              <w:tc>
                <w:tcPr>
                  <w:tcW w:w="1328" w:type="dxa"/>
                </w:tcPr>
                <w:p w14:paraId="7E386504">
                  <w:pPr>
                    <w:pStyle w:val="54"/>
                    <w:spacing w:line="280" w:lineRule="exact"/>
                    <w:rPr>
                      <w:rFonts w:ascii="Times New Roman" w:hAnsi="Times New Roman"/>
                      <w:color w:val="auto"/>
                      <w:szCs w:val="21"/>
                      <w:highlight w:val="none"/>
                    </w:rPr>
                  </w:pPr>
                </w:p>
              </w:tc>
              <w:tc>
                <w:tcPr>
                  <w:tcW w:w="1426" w:type="dxa"/>
                </w:tcPr>
                <w:p w14:paraId="2E0C1094">
                  <w:pPr>
                    <w:pStyle w:val="54"/>
                    <w:spacing w:line="280" w:lineRule="exact"/>
                    <w:rPr>
                      <w:rFonts w:ascii="Times New Roman" w:hAnsi="Times New Roman"/>
                      <w:color w:val="auto"/>
                      <w:szCs w:val="21"/>
                      <w:highlight w:val="none"/>
                    </w:rPr>
                  </w:pPr>
                </w:p>
              </w:tc>
              <w:tc>
                <w:tcPr>
                  <w:tcW w:w="1250" w:type="dxa"/>
                </w:tcPr>
                <w:p w14:paraId="747252C3">
                  <w:pPr>
                    <w:pStyle w:val="54"/>
                    <w:spacing w:line="280" w:lineRule="exact"/>
                    <w:rPr>
                      <w:rFonts w:ascii="Times New Roman" w:hAnsi="Times New Roman"/>
                      <w:color w:val="auto"/>
                      <w:szCs w:val="21"/>
                      <w:highlight w:val="none"/>
                    </w:rPr>
                  </w:pPr>
                </w:p>
              </w:tc>
              <w:tc>
                <w:tcPr>
                  <w:tcW w:w="919" w:type="dxa"/>
                </w:tcPr>
                <w:p w14:paraId="2AA35EC0">
                  <w:pPr>
                    <w:pStyle w:val="54"/>
                    <w:spacing w:line="280" w:lineRule="exact"/>
                    <w:rPr>
                      <w:rFonts w:ascii="Times New Roman" w:hAnsi="Times New Roman"/>
                      <w:color w:val="auto"/>
                      <w:szCs w:val="21"/>
                      <w:highlight w:val="none"/>
                    </w:rPr>
                  </w:pPr>
                </w:p>
              </w:tc>
            </w:tr>
            <w:tr w14:paraId="4620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14D0A3F">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3</w:t>
                  </w:r>
                </w:p>
              </w:tc>
              <w:tc>
                <w:tcPr>
                  <w:tcW w:w="3276" w:type="dxa"/>
                </w:tcPr>
                <w:p w14:paraId="37956B72">
                  <w:pPr>
                    <w:pStyle w:val="54"/>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本周期已完成的工程价款</w:t>
                  </w:r>
                </w:p>
              </w:tc>
              <w:tc>
                <w:tcPr>
                  <w:tcW w:w="1328" w:type="dxa"/>
                </w:tcPr>
                <w:p w14:paraId="6940E762">
                  <w:pPr>
                    <w:pStyle w:val="54"/>
                    <w:spacing w:line="280" w:lineRule="exact"/>
                    <w:rPr>
                      <w:rFonts w:ascii="Times New Roman" w:hAnsi="Times New Roman"/>
                      <w:color w:val="auto"/>
                      <w:szCs w:val="21"/>
                      <w:highlight w:val="none"/>
                    </w:rPr>
                  </w:pPr>
                </w:p>
              </w:tc>
              <w:tc>
                <w:tcPr>
                  <w:tcW w:w="1426" w:type="dxa"/>
                </w:tcPr>
                <w:p w14:paraId="4537B4C5">
                  <w:pPr>
                    <w:pStyle w:val="54"/>
                    <w:spacing w:line="280" w:lineRule="exact"/>
                    <w:rPr>
                      <w:rFonts w:ascii="Times New Roman" w:hAnsi="Times New Roman"/>
                      <w:color w:val="auto"/>
                      <w:szCs w:val="21"/>
                      <w:highlight w:val="none"/>
                    </w:rPr>
                  </w:pPr>
                </w:p>
              </w:tc>
              <w:tc>
                <w:tcPr>
                  <w:tcW w:w="1250" w:type="dxa"/>
                </w:tcPr>
                <w:p w14:paraId="23745CF3">
                  <w:pPr>
                    <w:pStyle w:val="54"/>
                    <w:spacing w:line="280" w:lineRule="exact"/>
                    <w:rPr>
                      <w:rFonts w:ascii="Times New Roman" w:hAnsi="Times New Roman"/>
                      <w:color w:val="auto"/>
                      <w:szCs w:val="21"/>
                      <w:highlight w:val="none"/>
                    </w:rPr>
                  </w:pPr>
                </w:p>
              </w:tc>
              <w:tc>
                <w:tcPr>
                  <w:tcW w:w="919" w:type="dxa"/>
                </w:tcPr>
                <w:p w14:paraId="17C34071">
                  <w:pPr>
                    <w:pStyle w:val="54"/>
                    <w:spacing w:line="280" w:lineRule="exact"/>
                    <w:rPr>
                      <w:rFonts w:ascii="Times New Roman" w:hAnsi="Times New Roman"/>
                      <w:color w:val="auto"/>
                      <w:szCs w:val="21"/>
                      <w:highlight w:val="none"/>
                    </w:rPr>
                  </w:pPr>
                </w:p>
              </w:tc>
            </w:tr>
            <w:tr w14:paraId="0D13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68F97317">
                  <w:pPr>
                    <w:pStyle w:val="54"/>
                    <w:spacing w:line="280" w:lineRule="exact"/>
                    <w:jc w:val="center"/>
                    <w:rPr>
                      <w:rFonts w:ascii="Times New Roman" w:hAnsi="Times New Roman"/>
                      <w:color w:val="auto"/>
                      <w:szCs w:val="21"/>
                      <w:highlight w:val="none"/>
                    </w:rPr>
                  </w:pPr>
                </w:p>
              </w:tc>
              <w:tc>
                <w:tcPr>
                  <w:tcW w:w="3276" w:type="dxa"/>
                </w:tcPr>
                <w:p w14:paraId="7A903D38">
                  <w:pPr>
                    <w:pStyle w:val="54"/>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其中：人工费</w:t>
                  </w:r>
                </w:p>
              </w:tc>
              <w:tc>
                <w:tcPr>
                  <w:tcW w:w="1328" w:type="dxa"/>
                </w:tcPr>
                <w:p w14:paraId="5F76B2BD">
                  <w:pPr>
                    <w:pStyle w:val="54"/>
                    <w:spacing w:line="280" w:lineRule="exact"/>
                    <w:rPr>
                      <w:rFonts w:ascii="Times New Roman" w:hAnsi="Times New Roman"/>
                      <w:color w:val="auto"/>
                      <w:szCs w:val="21"/>
                      <w:highlight w:val="none"/>
                    </w:rPr>
                  </w:pPr>
                </w:p>
              </w:tc>
              <w:tc>
                <w:tcPr>
                  <w:tcW w:w="1426" w:type="dxa"/>
                </w:tcPr>
                <w:p w14:paraId="5A5DD1AB">
                  <w:pPr>
                    <w:pStyle w:val="54"/>
                    <w:spacing w:line="280" w:lineRule="exact"/>
                    <w:rPr>
                      <w:rFonts w:ascii="Times New Roman" w:hAnsi="Times New Roman"/>
                      <w:color w:val="auto"/>
                      <w:szCs w:val="21"/>
                      <w:highlight w:val="none"/>
                    </w:rPr>
                  </w:pPr>
                </w:p>
              </w:tc>
              <w:tc>
                <w:tcPr>
                  <w:tcW w:w="1250" w:type="dxa"/>
                </w:tcPr>
                <w:p w14:paraId="4952F484">
                  <w:pPr>
                    <w:pStyle w:val="54"/>
                    <w:spacing w:line="280" w:lineRule="exact"/>
                    <w:rPr>
                      <w:rFonts w:ascii="Times New Roman" w:hAnsi="Times New Roman"/>
                      <w:color w:val="auto"/>
                      <w:szCs w:val="21"/>
                      <w:highlight w:val="none"/>
                    </w:rPr>
                  </w:pPr>
                </w:p>
              </w:tc>
              <w:tc>
                <w:tcPr>
                  <w:tcW w:w="919" w:type="dxa"/>
                </w:tcPr>
                <w:p w14:paraId="430FB9FA">
                  <w:pPr>
                    <w:pStyle w:val="54"/>
                    <w:spacing w:line="280" w:lineRule="exact"/>
                    <w:rPr>
                      <w:rFonts w:ascii="Times New Roman" w:hAnsi="Times New Roman"/>
                      <w:color w:val="auto"/>
                      <w:szCs w:val="21"/>
                      <w:highlight w:val="none"/>
                    </w:rPr>
                  </w:pPr>
                </w:p>
              </w:tc>
            </w:tr>
            <w:tr w14:paraId="0910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925B90F">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4</w:t>
                  </w:r>
                </w:p>
              </w:tc>
              <w:tc>
                <w:tcPr>
                  <w:tcW w:w="3276" w:type="dxa"/>
                </w:tcPr>
                <w:p w14:paraId="589335B2">
                  <w:pPr>
                    <w:pStyle w:val="54"/>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本周期应扣减的金额</w:t>
                  </w:r>
                </w:p>
              </w:tc>
              <w:tc>
                <w:tcPr>
                  <w:tcW w:w="1328" w:type="dxa"/>
                </w:tcPr>
                <w:p w14:paraId="400FF155">
                  <w:pPr>
                    <w:pStyle w:val="54"/>
                    <w:spacing w:line="280" w:lineRule="exact"/>
                    <w:rPr>
                      <w:rFonts w:ascii="Times New Roman" w:hAnsi="Times New Roman"/>
                      <w:color w:val="auto"/>
                      <w:szCs w:val="21"/>
                      <w:highlight w:val="none"/>
                    </w:rPr>
                  </w:pPr>
                </w:p>
              </w:tc>
              <w:tc>
                <w:tcPr>
                  <w:tcW w:w="1426" w:type="dxa"/>
                </w:tcPr>
                <w:p w14:paraId="3628C5B0">
                  <w:pPr>
                    <w:pStyle w:val="54"/>
                    <w:spacing w:line="280" w:lineRule="exact"/>
                    <w:rPr>
                      <w:rFonts w:ascii="Times New Roman" w:hAnsi="Times New Roman"/>
                      <w:color w:val="auto"/>
                      <w:szCs w:val="21"/>
                      <w:highlight w:val="none"/>
                    </w:rPr>
                  </w:pPr>
                </w:p>
              </w:tc>
              <w:tc>
                <w:tcPr>
                  <w:tcW w:w="1250" w:type="dxa"/>
                </w:tcPr>
                <w:p w14:paraId="16C116EE">
                  <w:pPr>
                    <w:pStyle w:val="54"/>
                    <w:spacing w:line="280" w:lineRule="exact"/>
                    <w:rPr>
                      <w:rFonts w:ascii="Times New Roman" w:hAnsi="Times New Roman"/>
                      <w:color w:val="auto"/>
                      <w:szCs w:val="21"/>
                      <w:highlight w:val="none"/>
                    </w:rPr>
                  </w:pPr>
                </w:p>
              </w:tc>
              <w:tc>
                <w:tcPr>
                  <w:tcW w:w="919" w:type="dxa"/>
                </w:tcPr>
                <w:p w14:paraId="49BC87FB">
                  <w:pPr>
                    <w:pStyle w:val="54"/>
                    <w:spacing w:line="280" w:lineRule="exact"/>
                    <w:rPr>
                      <w:rFonts w:ascii="Times New Roman" w:hAnsi="Times New Roman"/>
                      <w:color w:val="auto"/>
                      <w:szCs w:val="21"/>
                      <w:highlight w:val="none"/>
                    </w:rPr>
                  </w:pPr>
                </w:p>
              </w:tc>
            </w:tr>
            <w:tr w14:paraId="2D67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FC99497">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4.1</w:t>
                  </w:r>
                </w:p>
              </w:tc>
              <w:tc>
                <w:tcPr>
                  <w:tcW w:w="3276" w:type="dxa"/>
                </w:tcPr>
                <w:p w14:paraId="21EC87DA">
                  <w:pPr>
                    <w:pStyle w:val="54"/>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本周期实际应抵扣的预付款</w:t>
                  </w:r>
                </w:p>
              </w:tc>
              <w:tc>
                <w:tcPr>
                  <w:tcW w:w="1328" w:type="dxa"/>
                </w:tcPr>
                <w:p w14:paraId="6F47B2C0">
                  <w:pPr>
                    <w:pStyle w:val="54"/>
                    <w:spacing w:line="280" w:lineRule="exact"/>
                    <w:rPr>
                      <w:rFonts w:ascii="Times New Roman" w:hAnsi="Times New Roman"/>
                      <w:color w:val="auto"/>
                      <w:szCs w:val="21"/>
                      <w:highlight w:val="none"/>
                    </w:rPr>
                  </w:pPr>
                </w:p>
              </w:tc>
              <w:tc>
                <w:tcPr>
                  <w:tcW w:w="1426" w:type="dxa"/>
                </w:tcPr>
                <w:p w14:paraId="4112845A">
                  <w:pPr>
                    <w:pStyle w:val="54"/>
                    <w:spacing w:line="280" w:lineRule="exact"/>
                    <w:rPr>
                      <w:rFonts w:ascii="Times New Roman" w:hAnsi="Times New Roman"/>
                      <w:color w:val="auto"/>
                      <w:szCs w:val="21"/>
                      <w:highlight w:val="none"/>
                    </w:rPr>
                  </w:pPr>
                </w:p>
              </w:tc>
              <w:tc>
                <w:tcPr>
                  <w:tcW w:w="1250" w:type="dxa"/>
                </w:tcPr>
                <w:p w14:paraId="0FFF8BA5">
                  <w:pPr>
                    <w:pStyle w:val="54"/>
                    <w:spacing w:line="280" w:lineRule="exact"/>
                    <w:rPr>
                      <w:rFonts w:ascii="Times New Roman" w:hAnsi="Times New Roman"/>
                      <w:color w:val="auto"/>
                      <w:szCs w:val="21"/>
                      <w:highlight w:val="none"/>
                    </w:rPr>
                  </w:pPr>
                </w:p>
              </w:tc>
              <w:tc>
                <w:tcPr>
                  <w:tcW w:w="919" w:type="dxa"/>
                </w:tcPr>
                <w:p w14:paraId="4B757243">
                  <w:pPr>
                    <w:pStyle w:val="54"/>
                    <w:spacing w:line="280" w:lineRule="exact"/>
                    <w:rPr>
                      <w:rFonts w:ascii="Times New Roman" w:hAnsi="Times New Roman"/>
                      <w:color w:val="auto"/>
                      <w:szCs w:val="21"/>
                      <w:highlight w:val="none"/>
                    </w:rPr>
                  </w:pPr>
                </w:p>
              </w:tc>
            </w:tr>
            <w:tr w14:paraId="7518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0080396">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4.2</w:t>
                  </w:r>
                </w:p>
              </w:tc>
              <w:tc>
                <w:tcPr>
                  <w:tcW w:w="3276" w:type="dxa"/>
                </w:tcPr>
                <w:p w14:paraId="7383011A">
                  <w:pPr>
                    <w:pStyle w:val="54"/>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本周期应扣减的金额</w:t>
                  </w:r>
                </w:p>
              </w:tc>
              <w:tc>
                <w:tcPr>
                  <w:tcW w:w="1328" w:type="dxa"/>
                </w:tcPr>
                <w:p w14:paraId="789C5B80">
                  <w:pPr>
                    <w:pStyle w:val="54"/>
                    <w:spacing w:line="280" w:lineRule="exact"/>
                    <w:rPr>
                      <w:rFonts w:ascii="Times New Roman" w:hAnsi="Times New Roman"/>
                      <w:color w:val="auto"/>
                      <w:szCs w:val="21"/>
                      <w:highlight w:val="none"/>
                    </w:rPr>
                  </w:pPr>
                </w:p>
              </w:tc>
              <w:tc>
                <w:tcPr>
                  <w:tcW w:w="1426" w:type="dxa"/>
                </w:tcPr>
                <w:p w14:paraId="75E7D3CF">
                  <w:pPr>
                    <w:pStyle w:val="54"/>
                    <w:spacing w:line="280" w:lineRule="exact"/>
                    <w:rPr>
                      <w:rFonts w:ascii="Times New Roman" w:hAnsi="Times New Roman"/>
                      <w:color w:val="auto"/>
                      <w:szCs w:val="21"/>
                      <w:highlight w:val="none"/>
                    </w:rPr>
                  </w:pPr>
                </w:p>
              </w:tc>
              <w:tc>
                <w:tcPr>
                  <w:tcW w:w="1250" w:type="dxa"/>
                </w:tcPr>
                <w:p w14:paraId="5D523488">
                  <w:pPr>
                    <w:pStyle w:val="54"/>
                    <w:spacing w:line="280" w:lineRule="exact"/>
                    <w:rPr>
                      <w:rFonts w:ascii="Times New Roman" w:hAnsi="Times New Roman"/>
                      <w:color w:val="auto"/>
                      <w:szCs w:val="21"/>
                      <w:highlight w:val="none"/>
                    </w:rPr>
                  </w:pPr>
                </w:p>
              </w:tc>
              <w:tc>
                <w:tcPr>
                  <w:tcW w:w="919" w:type="dxa"/>
                </w:tcPr>
                <w:p w14:paraId="336AE7AA">
                  <w:pPr>
                    <w:pStyle w:val="54"/>
                    <w:spacing w:line="280" w:lineRule="exact"/>
                    <w:rPr>
                      <w:rFonts w:ascii="Times New Roman" w:hAnsi="Times New Roman"/>
                      <w:color w:val="auto"/>
                      <w:szCs w:val="21"/>
                      <w:highlight w:val="none"/>
                    </w:rPr>
                  </w:pPr>
                </w:p>
              </w:tc>
            </w:tr>
            <w:tr w14:paraId="7D43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C226145">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5</w:t>
                  </w:r>
                </w:p>
              </w:tc>
              <w:tc>
                <w:tcPr>
                  <w:tcW w:w="3276" w:type="dxa"/>
                </w:tcPr>
                <w:p w14:paraId="4878910E">
                  <w:pPr>
                    <w:pStyle w:val="54"/>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本周期应支付的合同价款</w:t>
                  </w:r>
                </w:p>
              </w:tc>
              <w:tc>
                <w:tcPr>
                  <w:tcW w:w="1328" w:type="dxa"/>
                </w:tcPr>
                <w:p w14:paraId="6EC81983">
                  <w:pPr>
                    <w:pStyle w:val="54"/>
                    <w:spacing w:line="280" w:lineRule="exact"/>
                    <w:rPr>
                      <w:rFonts w:ascii="Times New Roman" w:hAnsi="Times New Roman"/>
                      <w:color w:val="auto"/>
                      <w:szCs w:val="21"/>
                      <w:highlight w:val="none"/>
                    </w:rPr>
                  </w:pPr>
                </w:p>
              </w:tc>
              <w:tc>
                <w:tcPr>
                  <w:tcW w:w="1426" w:type="dxa"/>
                </w:tcPr>
                <w:p w14:paraId="589E4711">
                  <w:pPr>
                    <w:pStyle w:val="54"/>
                    <w:spacing w:line="280" w:lineRule="exact"/>
                    <w:rPr>
                      <w:rFonts w:ascii="Times New Roman" w:hAnsi="Times New Roman"/>
                      <w:color w:val="auto"/>
                      <w:szCs w:val="21"/>
                      <w:highlight w:val="none"/>
                    </w:rPr>
                  </w:pPr>
                </w:p>
              </w:tc>
              <w:tc>
                <w:tcPr>
                  <w:tcW w:w="1250" w:type="dxa"/>
                </w:tcPr>
                <w:p w14:paraId="1CEE5BA8">
                  <w:pPr>
                    <w:pStyle w:val="54"/>
                    <w:spacing w:line="280" w:lineRule="exact"/>
                    <w:rPr>
                      <w:rFonts w:ascii="Times New Roman" w:hAnsi="Times New Roman"/>
                      <w:color w:val="auto"/>
                      <w:szCs w:val="21"/>
                      <w:highlight w:val="none"/>
                    </w:rPr>
                  </w:pPr>
                </w:p>
              </w:tc>
              <w:tc>
                <w:tcPr>
                  <w:tcW w:w="919" w:type="dxa"/>
                </w:tcPr>
                <w:p w14:paraId="49845591">
                  <w:pPr>
                    <w:pStyle w:val="54"/>
                    <w:spacing w:line="280" w:lineRule="exact"/>
                    <w:rPr>
                      <w:rFonts w:ascii="Times New Roman" w:hAnsi="Times New Roman"/>
                      <w:color w:val="auto"/>
                      <w:szCs w:val="21"/>
                      <w:highlight w:val="none"/>
                    </w:rPr>
                  </w:pPr>
                </w:p>
              </w:tc>
            </w:tr>
            <w:tr w14:paraId="51C1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1272864">
                  <w:pPr>
                    <w:pStyle w:val="54"/>
                    <w:spacing w:line="280" w:lineRule="exact"/>
                    <w:jc w:val="center"/>
                    <w:rPr>
                      <w:rFonts w:ascii="Times New Roman" w:hAnsi="Times New Roman"/>
                      <w:color w:val="auto"/>
                      <w:szCs w:val="21"/>
                      <w:highlight w:val="none"/>
                    </w:rPr>
                  </w:pPr>
                </w:p>
              </w:tc>
              <w:tc>
                <w:tcPr>
                  <w:tcW w:w="3276" w:type="dxa"/>
                </w:tcPr>
                <w:p w14:paraId="0F3294C1">
                  <w:pPr>
                    <w:pStyle w:val="54"/>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其中：人工费</w:t>
                  </w:r>
                </w:p>
              </w:tc>
              <w:tc>
                <w:tcPr>
                  <w:tcW w:w="1328" w:type="dxa"/>
                </w:tcPr>
                <w:p w14:paraId="22D429D5">
                  <w:pPr>
                    <w:pStyle w:val="54"/>
                    <w:spacing w:line="280" w:lineRule="exact"/>
                    <w:rPr>
                      <w:rFonts w:ascii="Times New Roman" w:hAnsi="Times New Roman"/>
                      <w:color w:val="auto"/>
                      <w:szCs w:val="21"/>
                      <w:highlight w:val="none"/>
                    </w:rPr>
                  </w:pPr>
                </w:p>
              </w:tc>
              <w:tc>
                <w:tcPr>
                  <w:tcW w:w="1426" w:type="dxa"/>
                </w:tcPr>
                <w:p w14:paraId="0F279A33">
                  <w:pPr>
                    <w:pStyle w:val="54"/>
                    <w:spacing w:line="280" w:lineRule="exact"/>
                    <w:rPr>
                      <w:rFonts w:ascii="Times New Roman" w:hAnsi="Times New Roman"/>
                      <w:color w:val="auto"/>
                      <w:szCs w:val="21"/>
                      <w:highlight w:val="none"/>
                    </w:rPr>
                  </w:pPr>
                </w:p>
              </w:tc>
              <w:tc>
                <w:tcPr>
                  <w:tcW w:w="1250" w:type="dxa"/>
                </w:tcPr>
                <w:p w14:paraId="3D120494">
                  <w:pPr>
                    <w:pStyle w:val="54"/>
                    <w:spacing w:line="280" w:lineRule="exact"/>
                    <w:rPr>
                      <w:rFonts w:ascii="Times New Roman" w:hAnsi="Times New Roman"/>
                      <w:color w:val="auto"/>
                      <w:szCs w:val="21"/>
                      <w:highlight w:val="none"/>
                    </w:rPr>
                  </w:pPr>
                </w:p>
              </w:tc>
              <w:tc>
                <w:tcPr>
                  <w:tcW w:w="919" w:type="dxa"/>
                </w:tcPr>
                <w:p w14:paraId="1E59A5C3">
                  <w:pPr>
                    <w:pStyle w:val="54"/>
                    <w:spacing w:line="280" w:lineRule="exact"/>
                    <w:rPr>
                      <w:rFonts w:ascii="Times New Roman" w:hAnsi="Times New Roman"/>
                      <w:color w:val="auto"/>
                      <w:szCs w:val="21"/>
                      <w:highlight w:val="none"/>
                    </w:rPr>
                  </w:pPr>
                </w:p>
              </w:tc>
            </w:tr>
          </w:tbl>
          <w:p w14:paraId="41FA70C7">
            <w:pPr>
              <w:pStyle w:val="54"/>
              <w:wordWrap w:val="0"/>
              <w:spacing w:line="400" w:lineRule="exact"/>
              <w:ind w:right="420"/>
              <w:rPr>
                <w:rFonts w:ascii="Times New Roman" w:hAnsi="Times New Roman"/>
                <w:color w:val="auto"/>
                <w:szCs w:val="21"/>
                <w:highlight w:val="none"/>
              </w:rPr>
            </w:pPr>
            <w:r>
              <w:rPr>
                <w:rFonts w:hint="eastAsia" w:ascii="Times New Roman" w:hAnsi="Times New Roman"/>
                <w:color w:val="auto"/>
                <w:szCs w:val="21"/>
                <w:highlight w:val="none"/>
              </w:rPr>
              <w:t>附：上述3、4详见附件清单。</w:t>
            </w:r>
          </w:p>
          <w:p w14:paraId="5AAA79B5">
            <w:pPr>
              <w:pStyle w:val="54"/>
              <w:wordWrap w:val="0"/>
              <w:spacing w:line="400" w:lineRule="exact"/>
              <w:ind w:right="420"/>
              <w:rPr>
                <w:rFonts w:ascii="Times New Roman" w:hAnsi="Times New Roman"/>
                <w:color w:val="auto"/>
                <w:szCs w:val="21"/>
                <w:highlight w:val="none"/>
              </w:rPr>
            </w:pPr>
            <w:r>
              <w:rPr>
                <w:rFonts w:hint="eastAsia" w:ascii="Times New Roman" w:hAnsi="Times New Roman"/>
                <w:color w:val="auto"/>
                <w:szCs w:val="21"/>
                <w:highlight w:val="none"/>
              </w:rPr>
              <w:t xml:space="preserve">                                            承包人（章）             </w:t>
            </w:r>
          </w:p>
          <w:p w14:paraId="7F2FA7E7">
            <w:pPr>
              <w:pStyle w:val="54"/>
              <w:spacing w:line="400" w:lineRule="exact"/>
              <w:ind w:right="420" w:firstLine="435"/>
              <w:rPr>
                <w:rFonts w:ascii="Times New Roman" w:hAnsi="Times New Roman"/>
                <w:color w:val="auto"/>
                <w:szCs w:val="21"/>
                <w:highlight w:val="none"/>
              </w:rPr>
            </w:pPr>
            <w:r>
              <w:rPr>
                <w:rFonts w:hint="eastAsia" w:ascii="Times New Roman" w:hAnsi="Times New Roman"/>
                <w:color w:val="auto"/>
                <w:szCs w:val="21"/>
                <w:highlight w:val="none"/>
              </w:rPr>
              <w:t>造价人员</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承包人代表</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日      期</w:t>
            </w:r>
            <w:r>
              <w:rPr>
                <w:rFonts w:hint="eastAsia" w:ascii="Times New Roman" w:hAnsi="Times New Roman"/>
                <w:color w:val="auto"/>
                <w:szCs w:val="21"/>
                <w:highlight w:val="none"/>
                <w:u w:val="single"/>
              </w:rPr>
              <w:t xml:space="preserve">               </w:t>
            </w:r>
          </w:p>
        </w:tc>
      </w:tr>
      <w:tr w14:paraId="3C23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14:paraId="4BF6191B">
            <w:pPr>
              <w:pStyle w:val="54"/>
              <w:spacing w:line="360" w:lineRule="exact"/>
              <w:rPr>
                <w:rFonts w:ascii="Times New Roman" w:hAnsi="Times New Roman"/>
                <w:color w:val="auto"/>
                <w:szCs w:val="21"/>
                <w:highlight w:val="none"/>
              </w:rPr>
            </w:pPr>
            <w:r>
              <w:rPr>
                <w:rFonts w:hint="eastAsia" w:ascii="Times New Roman" w:hAnsi="Times New Roman"/>
                <w:color w:val="auto"/>
                <w:szCs w:val="21"/>
                <w:highlight w:val="none"/>
              </w:rPr>
              <w:t>复核意见：</w:t>
            </w:r>
          </w:p>
          <w:p w14:paraId="5AE957A8">
            <w:pPr>
              <w:pStyle w:val="54"/>
              <w:spacing w:line="360" w:lineRule="exact"/>
              <w:ind w:firstLine="312"/>
              <w:rPr>
                <w:rFonts w:ascii="Times New Roman" w:hAnsi="Times New Roman"/>
                <w:color w:val="auto"/>
                <w:szCs w:val="21"/>
                <w:highlight w:val="none"/>
              </w:rPr>
            </w:pPr>
            <w:r>
              <w:rPr>
                <w:rFonts w:hint="eastAsia" w:ascii="Times New Roman" w:hAnsi="Times New Roman"/>
                <w:color w:val="auto"/>
                <w:szCs w:val="21"/>
                <w:highlight w:val="none"/>
              </w:rPr>
              <w:t>□与实际施工情况不相符，修改意见见附件。</w:t>
            </w:r>
          </w:p>
          <w:p w14:paraId="6105EA1A">
            <w:pPr>
              <w:pStyle w:val="54"/>
              <w:spacing w:line="360" w:lineRule="exact"/>
              <w:ind w:firstLine="312"/>
              <w:rPr>
                <w:rFonts w:ascii="Times New Roman" w:hAnsi="Times New Roman"/>
                <w:color w:val="auto"/>
                <w:szCs w:val="21"/>
                <w:highlight w:val="none"/>
              </w:rPr>
            </w:pPr>
            <w:r>
              <w:rPr>
                <w:rFonts w:hint="eastAsia" w:ascii="Times New Roman" w:hAnsi="Times New Roman"/>
                <w:color w:val="auto"/>
                <w:szCs w:val="21"/>
                <w:highlight w:val="none"/>
              </w:rPr>
              <w:t>□与实际施工情况相符，具体金额由造价工程师复核。</w:t>
            </w:r>
          </w:p>
          <w:p w14:paraId="24D67E18">
            <w:pPr>
              <w:pStyle w:val="54"/>
              <w:spacing w:line="360" w:lineRule="exact"/>
              <w:ind w:firstLine="435"/>
              <w:jc w:val="right"/>
              <w:rPr>
                <w:rFonts w:ascii="Times New Roman" w:hAnsi="Times New Roman"/>
                <w:color w:val="auto"/>
                <w:szCs w:val="21"/>
                <w:highlight w:val="none"/>
              </w:rPr>
            </w:pPr>
          </w:p>
          <w:p w14:paraId="3011A1F7">
            <w:pPr>
              <w:pStyle w:val="54"/>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监理工程师</w:t>
            </w:r>
            <w:r>
              <w:rPr>
                <w:rFonts w:hint="eastAsia" w:ascii="Times New Roman" w:hAnsi="Times New Roman"/>
                <w:color w:val="auto"/>
                <w:szCs w:val="21"/>
                <w:highlight w:val="none"/>
                <w:u w:val="single"/>
              </w:rPr>
              <w:t xml:space="preserve">           </w:t>
            </w:r>
          </w:p>
          <w:p w14:paraId="0203712E">
            <w:pPr>
              <w:pStyle w:val="54"/>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日      期</w:t>
            </w:r>
            <w:r>
              <w:rPr>
                <w:rFonts w:hint="eastAsia" w:ascii="Times New Roman" w:hAnsi="Times New Roman"/>
                <w:color w:val="auto"/>
                <w:szCs w:val="21"/>
                <w:highlight w:val="none"/>
                <w:u w:val="single"/>
              </w:rPr>
              <w:t xml:space="preserve">           </w:t>
            </w:r>
          </w:p>
        </w:tc>
        <w:tc>
          <w:tcPr>
            <w:tcW w:w="4552" w:type="dxa"/>
          </w:tcPr>
          <w:p w14:paraId="36096468">
            <w:pPr>
              <w:pStyle w:val="54"/>
              <w:spacing w:line="360" w:lineRule="exact"/>
              <w:rPr>
                <w:rFonts w:ascii="Times New Roman" w:hAnsi="Times New Roman"/>
                <w:color w:val="auto"/>
                <w:szCs w:val="21"/>
                <w:highlight w:val="none"/>
              </w:rPr>
            </w:pPr>
            <w:r>
              <w:rPr>
                <w:rFonts w:hint="eastAsia" w:ascii="Times New Roman" w:hAnsi="Times New Roman"/>
                <w:color w:val="auto"/>
                <w:szCs w:val="21"/>
                <w:highlight w:val="none"/>
              </w:rPr>
              <w:t>复核意见：</w:t>
            </w:r>
          </w:p>
          <w:p w14:paraId="1C23B4CA">
            <w:pPr>
              <w:pStyle w:val="54"/>
              <w:spacing w:line="360" w:lineRule="exact"/>
              <w:ind w:firstLine="435"/>
              <w:rPr>
                <w:rFonts w:ascii="Times New Roman" w:hAnsi="Times New Roman"/>
                <w:color w:val="auto"/>
                <w:szCs w:val="21"/>
                <w:highlight w:val="none"/>
              </w:rPr>
            </w:pPr>
            <w:r>
              <w:rPr>
                <w:rFonts w:hint="eastAsia" w:ascii="Times New Roman" w:hAnsi="Times New Roman"/>
                <w:color w:val="auto"/>
                <w:szCs w:val="21"/>
                <w:highlight w:val="none"/>
              </w:rPr>
              <w:t>你方提出的支付申请经复核，本周期已完成工程价款为(大写)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元，（小写）</w:t>
            </w:r>
          </w:p>
          <w:p w14:paraId="106D3FE5">
            <w:pPr>
              <w:pStyle w:val="54"/>
              <w:spacing w:line="360" w:lineRule="exact"/>
              <w:rPr>
                <w:rFonts w:ascii="Times New Roman" w:hAnsi="Times New Roman"/>
                <w:color w:val="auto"/>
                <w:szCs w:val="21"/>
                <w:highlight w:val="none"/>
              </w:rPr>
            </w:pP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 xml:space="preserve"> 元，本期间应支付金额为（大写）</w:t>
            </w:r>
          </w:p>
          <w:p w14:paraId="7774518A">
            <w:pPr>
              <w:pStyle w:val="54"/>
              <w:spacing w:line="360" w:lineRule="exact"/>
              <w:rPr>
                <w:rFonts w:ascii="Times New Roman" w:hAnsi="Times New Roman"/>
                <w:color w:val="auto"/>
                <w:szCs w:val="21"/>
                <w:highlight w:val="none"/>
                <w:u w:val="single"/>
              </w:rPr>
            </w:pP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元，（小写）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w:t>
            </w:r>
          </w:p>
          <w:p w14:paraId="6FAD8FCE">
            <w:pPr>
              <w:pStyle w:val="54"/>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造价工程师</w:t>
            </w:r>
            <w:r>
              <w:rPr>
                <w:rFonts w:hint="eastAsia" w:ascii="Times New Roman" w:hAnsi="Times New Roman"/>
                <w:color w:val="auto"/>
                <w:szCs w:val="21"/>
                <w:highlight w:val="none"/>
                <w:u w:val="single"/>
              </w:rPr>
              <w:t xml:space="preserve">           </w:t>
            </w:r>
          </w:p>
          <w:p w14:paraId="52820368">
            <w:pPr>
              <w:pStyle w:val="54"/>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日      期</w:t>
            </w:r>
            <w:r>
              <w:rPr>
                <w:rFonts w:hint="eastAsia" w:ascii="Times New Roman" w:hAnsi="Times New Roman"/>
                <w:color w:val="auto"/>
                <w:szCs w:val="21"/>
                <w:highlight w:val="none"/>
                <w:u w:val="single"/>
              </w:rPr>
              <w:t xml:space="preserve">           </w:t>
            </w:r>
          </w:p>
        </w:tc>
      </w:tr>
      <w:tr w14:paraId="2542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2519AF0D">
            <w:pPr>
              <w:pStyle w:val="54"/>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审核意见：</w:t>
            </w:r>
          </w:p>
          <w:p w14:paraId="3B2058D4">
            <w:pPr>
              <w:pStyle w:val="54"/>
              <w:spacing w:line="400" w:lineRule="exact"/>
              <w:ind w:firstLine="435"/>
              <w:rPr>
                <w:rFonts w:ascii="Times New Roman" w:hAnsi="Times New Roman"/>
                <w:color w:val="auto"/>
                <w:szCs w:val="21"/>
                <w:highlight w:val="none"/>
              </w:rPr>
            </w:pPr>
            <w:r>
              <w:rPr>
                <w:rFonts w:hint="eastAsia" w:ascii="Times New Roman" w:hAnsi="Times New Roman"/>
                <w:color w:val="auto"/>
                <w:szCs w:val="21"/>
                <w:highlight w:val="none"/>
              </w:rPr>
              <w:t>□不同意。</w:t>
            </w:r>
          </w:p>
          <w:p w14:paraId="1E3A7EAA">
            <w:pPr>
              <w:pStyle w:val="54"/>
              <w:spacing w:line="4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□同意。</w:t>
            </w:r>
          </w:p>
          <w:p w14:paraId="5C72115C">
            <w:pPr>
              <w:pStyle w:val="54"/>
              <w:wordWrap w:val="0"/>
              <w:spacing w:line="400" w:lineRule="exact"/>
              <w:ind w:firstLine="420" w:firstLineChars="200"/>
              <w:jc w:val="right"/>
              <w:rPr>
                <w:rFonts w:ascii="Times New Roman" w:hAnsi="Times New Roman"/>
                <w:color w:val="auto"/>
                <w:szCs w:val="21"/>
                <w:highlight w:val="none"/>
              </w:rPr>
            </w:pPr>
            <w:r>
              <w:rPr>
                <w:rFonts w:hint="eastAsia" w:ascii="Times New Roman" w:hAnsi="Times New Roman"/>
                <w:color w:val="auto"/>
                <w:szCs w:val="21"/>
                <w:highlight w:val="none"/>
              </w:rPr>
              <w:t xml:space="preserve">发包人（章）           </w:t>
            </w:r>
          </w:p>
          <w:p w14:paraId="4E1A3073">
            <w:pPr>
              <w:pStyle w:val="54"/>
              <w:wordWrap w:val="0"/>
              <w:spacing w:line="400" w:lineRule="exact"/>
              <w:ind w:firstLine="420" w:firstLineChars="200"/>
              <w:jc w:val="right"/>
              <w:rPr>
                <w:rFonts w:ascii="Times New Roman" w:hAnsi="Times New Roman"/>
                <w:color w:val="auto"/>
                <w:szCs w:val="21"/>
                <w:highlight w:val="none"/>
                <w:u w:val="single"/>
              </w:rPr>
            </w:pPr>
            <w:r>
              <w:rPr>
                <w:rFonts w:hint="eastAsia" w:ascii="Times New Roman" w:hAnsi="Times New Roman"/>
                <w:color w:val="auto"/>
                <w:szCs w:val="21"/>
                <w:highlight w:val="none"/>
              </w:rPr>
              <w:t>发包人代表</w:t>
            </w:r>
            <w:r>
              <w:rPr>
                <w:rFonts w:hint="eastAsia" w:ascii="Times New Roman" w:hAnsi="Times New Roman"/>
                <w:color w:val="auto"/>
                <w:szCs w:val="21"/>
                <w:highlight w:val="none"/>
                <w:u w:val="single"/>
              </w:rPr>
              <w:t xml:space="preserve">             </w:t>
            </w:r>
          </w:p>
          <w:p w14:paraId="0C668AB2">
            <w:pPr>
              <w:pStyle w:val="54"/>
              <w:wordWrap w:val="0"/>
              <w:spacing w:line="400" w:lineRule="exact"/>
              <w:ind w:firstLine="420" w:firstLineChars="200"/>
              <w:jc w:val="right"/>
              <w:rPr>
                <w:rFonts w:ascii="Times New Roman" w:hAnsi="Times New Roman"/>
                <w:color w:val="auto"/>
                <w:szCs w:val="21"/>
                <w:highlight w:val="none"/>
                <w:u w:val="single"/>
              </w:rPr>
            </w:pPr>
            <w:r>
              <w:rPr>
                <w:rFonts w:hint="eastAsia" w:ascii="Times New Roman" w:hAnsi="Times New Roman"/>
                <w:color w:val="auto"/>
                <w:szCs w:val="21"/>
                <w:highlight w:val="none"/>
              </w:rPr>
              <w:t>日      期</w:t>
            </w:r>
            <w:r>
              <w:rPr>
                <w:rFonts w:hint="eastAsia" w:ascii="Times New Roman" w:hAnsi="Times New Roman"/>
                <w:color w:val="auto"/>
                <w:szCs w:val="21"/>
                <w:highlight w:val="none"/>
                <w:u w:val="single"/>
              </w:rPr>
              <w:t xml:space="preserve">             </w:t>
            </w:r>
          </w:p>
        </w:tc>
      </w:tr>
    </w:tbl>
    <w:p w14:paraId="623BF4E5">
      <w:pPr>
        <w:pStyle w:val="54"/>
        <w:spacing w:before="120" w:beforeLines="50"/>
        <w:ind w:firstLine="360" w:firstLineChars="200"/>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注：1.在选择栏中的“□”内作标识“√”。 </w:t>
      </w:r>
    </w:p>
    <w:p w14:paraId="271051F2">
      <w:pPr>
        <w:pStyle w:val="54"/>
        <w:spacing w:before="120" w:beforeLines="50"/>
        <w:ind w:left="720" w:hanging="720" w:hangingChars="400"/>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 xml:space="preserve">  2.本表一式四份，由承包人填报，发包人、监理人、造价咨询人、承包人各存一份。</w:t>
      </w:r>
    </w:p>
    <w:p w14:paraId="304A3860">
      <w:pPr>
        <w:pStyle w:val="54"/>
        <w:spacing w:before="120" w:beforeLines="50"/>
        <w:ind w:left="840" w:hanging="840" w:hangingChars="400"/>
        <w:rPr>
          <w:rFonts w:ascii="宋体" w:hAnsi="Times New Roman"/>
          <w:color w:val="auto"/>
          <w:szCs w:val="21"/>
          <w:highlight w:val="none"/>
        </w:rPr>
      </w:pPr>
    </w:p>
    <w:p w14:paraId="7A6F11BB">
      <w:pPr>
        <w:pStyle w:val="54"/>
        <w:jc w:val="left"/>
        <w:rPr>
          <w:rFonts w:ascii="Times New Roman" w:hAnsi="Times New Roman"/>
          <w:color w:val="auto"/>
          <w:sz w:val="30"/>
          <w:szCs w:val="30"/>
          <w:highlight w:val="none"/>
        </w:rPr>
      </w:pPr>
      <w:r>
        <w:rPr>
          <w:rFonts w:hint="eastAsia" w:ascii="Times New Roman" w:hAnsi="Times New Roman"/>
          <w:color w:val="auto"/>
          <w:sz w:val="30"/>
          <w:szCs w:val="30"/>
          <w:highlight w:val="none"/>
        </w:rPr>
        <w:t>附件12</w:t>
      </w:r>
    </w:p>
    <w:p w14:paraId="5F383B88">
      <w:pPr>
        <w:pStyle w:val="54"/>
        <w:jc w:val="center"/>
        <w:rPr>
          <w:rFonts w:ascii="Times New Roman" w:hAnsi="Times New Roman"/>
          <w:b/>
          <w:color w:val="auto"/>
          <w:sz w:val="36"/>
          <w:szCs w:val="36"/>
          <w:highlight w:val="none"/>
        </w:rPr>
      </w:pPr>
      <w:r>
        <w:rPr>
          <w:rFonts w:hint="eastAsia" w:ascii="Times New Roman" w:hAnsi="Times New Roman"/>
          <w:b/>
          <w:color w:val="auto"/>
          <w:sz w:val="36"/>
          <w:szCs w:val="36"/>
          <w:highlight w:val="none"/>
        </w:rPr>
        <w:t>竣工结算款支付申请（核准）表</w:t>
      </w:r>
    </w:p>
    <w:p w14:paraId="2621105C">
      <w:pPr>
        <w:pStyle w:val="54"/>
        <w:rPr>
          <w:rFonts w:ascii="Times New Roman" w:hAnsi="Times New Roman"/>
          <w:color w:val="auto"/>
          <w:sz w:val="24"/>
          <w:szCs w:val="24"/>
          <w:highlight w:val="none"/>
        </w:rPr>
      </w:pPr>
      <w:r>
        <w:rPr>
          <w:rFonts w:hint="eastAsia" w:ascii="Times New Roman" w:hAnsi="Times New Roman"/>
          <w:color w:val="auto"/>
          <w:sz w:val="24"/>
          <w:szCs w:val="24"/>
          <w:highlight w:val="none"/>
        </w:rPr>
        <w:t>工程名称：                                              编号：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14:paraId="1E10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072" w:type="dxa"/>
            <w:gridSpan w:val="2"/>
          </w:tcPr>
          <w:p w14:paraId="6E9DEC3A">
            <w:pPr>
              <w:pStyle w:val="54"/>
              <w:spacing w:line="480" w:lineRule="exact"/>
              <w:ind w:left="525" w:leftChars="149" w:hanging="212" w:hangingChars="101"/>
              <w:rPr>
                <w:rFonts w:ascii="Times New Roman" w:hAnsi="Times New Roman"/>
                <w:color w:val="auto"/>
                <w:szCs w:val="21"/>
                <w:highlight w:val="none"/>
                <w:u w:val="single"/>
              </w:rPr>
            </w:pPr>
            <w:r>
              <w:rPr>
                <w:rFonts w:hint="eastAsia" w:ascii="Times New Roman" w:hAnsi="Times New Roman"/>
                <w:color w:val="auto"/>
                <w:szCs w:val="21"/>
                <w:highlight w:val="none"/>
              </w:rPr>
              <w:t>致：</w:t>
            </w:r>
            <w:r>
              <w:rPr>
                <w:rFonts w:hint="eastAsia" w:ascii="Times New Roman" w:hAnsi="Times New Roman"/>
                <w:color w:val="auto"/>
                <w:szCs w:val="21"/>
                <w:highlight w:val="none"/>
                <w:u w:val="single"/>
              </w:rPr>
              <w:t xml:space="preserve">                                   （发包人全称）</w:t>
            </w:r>
          </w:p>
          <w:p w14:paraId="3E9F1BDA">
            <w:pPr>
              <w:pStyle w:val="54"/>
              <w:spacing w:line="400" w:lineRule="exact"/>
              <w:ind w:left="-4" w:leftChars="-2" w:firstLine="315" w:firstLineChars="150"/>
              <w:rPr>
                <w:rFonts w:ascii="Times New Roman" w:hAnsi="Times New Roman"/>
                <w:color w:val="auto"/>
                <w:szCs w:val="21"/>
                <w:highlight w:val="none"/>
              </w:rPr>
            </w:pPr>
            <w:r>
              <w:rPr>
                <w:rFonts w:hint="eastAsia" w:ascii="Times New Roman" w:hAnsi="Times New Roman"/>
                <w:color w:val="auto"/>
                <w:szCs w:val="21"/>
                <w:highlight w:val="none"/>
              </w:rPr>
              <w:t>我方于</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至</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期间已完成了合同约定的工作，根据施工合同的约定，现申请支付竣工结算的工程款额为(大写)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元，(小写)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元，请予核准。</w:t>
            </w:r>
          </w:p>
          <w:tbl>
            <w:tblPr>
              <w:tblStyle w:val="22"/>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3362"/>
              <w:gridCol w:w="1605"/>
              <w:gridCol w:w="1605"/>
              <w:gridCol w:w="1628"/>
            </w:tblGrid>
            <w:tr w14:paraId="7757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3" w:type="dxa"/>
                  <w:vAlign w:val="center"/>
                </w:tcPr>
                <w:p w14:paraId="74A46960">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序号</w:t>
                  </w:r>
                </w:p>
              </w:tc>
              <w:tc>
                <w:tcPr>
                  <w:tcW w:w="3362" w:type="dxa"/>
                  <w:vAlign w:val="center"/>
                </w:tcPr>
                <w:p w14:paraId="678663C3">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名      称</w:t>
                  </w:r>
                </w:p>
              </w:tc>
              <w:tc>
                <w:tcPr>
                  <w:tcW w:w="1605" w:type="dxa"/>
                  <w:vAlign w:val="center"/>
                </w:tcPr>
                <w:p w14:paraId="189BC2A9">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申请金额（元）</w:t>
                  </w:r>
                </w:p>
              </w:tc>
              <w:tc>
                <w:tcPr>
                  <w:tcW w:w="1605" w:type="dxa"/>
                  <w:vAlign w:val="center"/>
                </w:tcPr>
                <w:p w14:paraId="64970622">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复核金额（元）</w:t>
                  </w:r>
                </w:p>
              </w:tc>
              <w:tc>
                <w:tcPr>
                  <w:tcW w:w="1628" w:type="dxa"/>
                  <w:vAlign w:val="center"/>
                </w:tcPr>
                <w:p w14:paraId="224321E0">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备注</w:t>
                  </w:r>
                </w:p>
              </w:tc>
            </w:tr>
            <w:tr w14:paraId="3C3C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14:paraId="20AF7113">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1</w:t>
                  </w:r>
                </w:p>
              </w:tc>
              <w:tc>
                <w:tcPr>
                  <w:tcW w:w="3362" w:type="dxa"/>
                </w:tcPr>
                <w:p w14:paraId="3BD56929">
                  <w:pPr>
                    <w:pStyle w:val="54"/>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竣工结算合同价款总额</w:t>
                  </w:r>
                </w:p>
              </w:tc>
              <w:tc>
                <w:tcPr>
                  <w:tcW w:w="1605" w:type="dxa"/>
                </w:tcPr>
                <w:p w14:paraId="2438289D">
                  <w:pPr>
                    <w:pStyle w:val="54"/>
                    <w:spacing w:line="280" w:lineRule="exact"/>
                    <w:rPr>
                      <w:rFonts w:ascii="Times New Roman" w:hAnsi="Times New Roman"/>
                      <w:color w:val="auto"/>
                      <w:szCs w:val="21"/>
                      <w:highlight w:val="none"/>
                    </w:rPr>
                  </w:pPr>
                </w:p>
              </w:tc>
              <w:tc>
                <w:tcPr>
                  <w:tcW w:w="1605" w:type="dxa"/>
                </w:tcPr>
                <w:p w14:paraId="746DFEBF">
                  <w:pPr>
                    <w:pStyle w:val="54"/>
                    <w:spacing w:line="280" w:lineRule="exact"/>
                    <w:rPr>
                      <w:rFonts w:ascii="Times New Roman" w:hAnsi="Times New Roman"/>
                      <w:color w:val="auto"/>
                      <w:szCs w:val="21"/>
                      <w:highlight w:val="none"/>
                    </w:rPr>
                  </w:pPr>
                </w:p>
              </w:tc>
              <w:tc>
                <w:tcPr>
                  <w:tcW w:w="1628" w:type="dxa"/>
                </w:tcPr>
                <w:p w14:paraId="348FA6E1">
                  <w:pPr>
                    <w:pStyle w:val="54"/>
                    <w:spacing w:line="280" w:lineRule="exact"/>
                    <w:rPr>
                      <w:rFonts w:ascii="Times New Roman" w:hAnsi="Times New Roman"/>
                      <w:color w:val="auto"/>
                      <w:szCs w:val="21"/>
                      <w:highlight w:val="none"/>
                    </w:rPr>
                  </w:pPr>
                </w:p>
              </w:tc>
            </w:tr>
            <w:tr w14:paraId="404B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14:paraId="24343AE8">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2</w:t>
                  </w:r>
                </w:p>
              </w:tc>
              <w:tc>
                <w:tcPr>
                  <w:tcW w:w="3362" w:type="dxa"/>
                </w:tcPr>
                <w:p w14:paraId="4D1FCB7B">
                  <w:pPr>
                    <w:pStyle w:val="54"/>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累计已实际支付的合同价款</w:t>
                  </w:r>
                </w:p>
              </w:tc>
              <w:tc>
                <w:tcPr>
                  <w:tcW w:w="1605" w:type="dxa"/>
                </w:tcPr>
                <w:p w14:paraId="3F2C3C28">
                  <w:pPr>
                    <w:pStyle w:val="54"/>
                    <w:spacing w:line="280" w:lineRule="exact"/>
                    <w:rPr>
                      <w:rFonts w:ascii="Times New Roman" w:hAnsi="Times New Roman"/>
                      <w:color w:val="auto"/>
                      <w:szCs w:val="21"/>
                      <w:highlight w:val="none"/>
                    </w:rPr>
                  </w:pPr>
                </w:p>
              </w:tc>
              <w:tc>
                <w:tcPr>
                  <w:tcW w:w="1605" w:type="dxa"/>
                </w:tcPr>
                <w:p w14:paraId="4258234F">
                  <w:pPr>
                    <w:pStyle w:val="54"/>
                    <w:spacing w:line="280" w:lineRule="exact"/>
                    <w:rPr>
                      <w:rFonts w:ascii="Times New Roman" w:hAnsi="Times New Roman"/>
                      <w:color w:val="auto"/>
                      <w:szCs w:val="21"/>
                      <w:highlight w:val="none"/>
                    </w:rPr>
                  </w:pPr>
                </w:p>
              </w:tc>
              <w:tc>
                <w:tcPr>
                  <w:tcW w:w="1628" w:type="dxa"/>
                </w:tcPr>
                <w:p w14:paraId="641DAD8C">
                  <w:pPr>
                    <w:pStyle w:val="54"/>
                    <w:spacing w:line="280" w:lineRule="exact"/>
                    <w:rPr>
                      <w:rFonts w:ascii="Times New Roman" w:hAnsi="Times New Roman"/>
                      <w:color w:val="auto"/>
                      <w:szCs w:val="21"/>
                      <w:highlight w:val="none"/>
                    </w:rPr>
                  </w:pPr>
                </w:p>
              </w:tc>
            </w:tr>
            <w:tr w14:paraId="18A8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14:paraId="65BDCC63">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3</w:t>
                  </w:r>
                </w:p>
              </w:tc>
              <w:tc>
                <w:tcPr>
                  <w:tcW w:w="3362" w:type="dxa"/>
                </w:tcPr>
                <w:p w14:paraId="29DF6821">
                  <w:pPr>
                    <w:pStyle w:val="54"/>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应预留的质量保证金</w:t>
                  </w:r>
                </w:p>
              </w:tc>
              <w:tc>
                <w:tcPr>
                  <w:tcW w:w="1605" w:type="dxa"/>
                </w:tcPr>
                <w:p w14:paraId="28247A23">
                  <w:pPr>
                    <w:pStyle w:val="54"/>
                    <w:spacing w:line="280" w:lineRule="exact"/>
                    <w:rPr>
                      <w:rFonts w:ascii="Times New Roman" w:hAnsi="Times New Roman"/>
                      <w:color w:val="auto"/>
                      <w:szCs w:val="21"/>
                      <w:highlight w:val="none"/>
                    </w:rPr>
                  </w:pPr>
                </w:p>
              </w:tc>
              <w:tc>
                <w:tcPr>
                  <w:tcW w:w="1605" w:type="dxa"/>
                </w:tcPr>
                <w:p w14:paraId="229F558C">
                  <w:pPr>
                    <w:pStyle w:val="54"/>
                    <w:spacing w:line="280" w:lineRule="exact"/>
                    <w:rPr>
                      <w:rFonts w:ascii="Times New Roman" w:hAnsi="Times New Roman"/>
                      <w:color w:val="auto"/>
                      <w:szCs w:val="21"/>
                      <w:highlight w:val="none"/>
                    </w:rPr>
                  </w:pPr>
                </w:p>
              </w:tc>
              <w:tc>
                <w:tcPr>
                  <w:tcW w:w="1628" w:type="dxa"/>
                </w:tcPr>
                <w:p w14:paraId="6539BBBF">
                  <w:pPr>
                    <w:pStyle w:val="54"/>
                    <w:spacing w:line="280" w:lineRule="exact"/>
                    <w:rPr>
                      <w:rFonts w:ascii="Times New Roman" w:hAnsi="Times New Roman"/>
                      <w:color w:val="auto"/>
                      <w:szCs w:val="21"/>
                      <w:highlight w:val="none"/>
                    </w:rPr>
                  </w:pPr>
                </w:p>
              </w:tc>
            </w:tr>
            <w:tr w14:paraId="6562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14:paraId="36BC7BE7">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4</w:t>
                  </w:r>
                </w:p>
              </w:tc>
              <w:tc>
                <w:tcPr>
                  <w:tcW w:w="3362" w:type="dxa"/>
                </w:tcPr>
                <w:p w14:paraId="53EFB95F">
                  <w:pPr>
                    <w:pStyle w:val="54"/>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应支付的竣工结算款金额</w:t>
                  </w:r>
                </w:p>
              </w:tc>
              <w:tc>
                <w:tcPr>
                  <w:tcW w:w="1605" w:type="dxa"/>
                </w:tcPr>
                <w:p w14:paraId="0EA2BF46">
                  <w:pPr>
                    <w:pStyle w:val="54"/>
                    <w:spacing w:line="280" w:lineRule="exact"/>
                    <w:rPr>
                      <w:rFonts w:ascii="Times New Roman" w:hAnsi="Times New Roman"/>
                      <w:color w:val="auto"/>
                      <w:szCs w:val="21"/>
                      <w:highlight w:val="none"/>
                    </w:rPr>
                  </w:pPr>
                </w:p>
              </w:tc>
              <w:tc>
                <w:tcPr>
                  <w:tcW w:w="1605" w:type="dxa"/>
                </w:tcPr>
                <w:p w14:paraId="43FCDD1C">
                  <w:pPr>
                    <w:pStyle w:val="54"/>
                    <w:spacing w:line="280" w:lineRule="exact"/>
                    <w:rPr>
                      <w:rFonts w:ascii="Times New Roman" w:hAnsi="Times New Roman"/>
                      <w:color w:val="auto"/>
                      <w:szCs w:val="21"/>
                      <w:highlight w:val="none"/>
                    </w:rPr>
                  </w:pPr>
                </w:p>
              </w:tc>
              <w:tc>
                <w:tcPr>
                  <w:tcW w:w="1628" w:type="dxa"/>
                </w:tcPr>
                <w:p w14:paraId="0D8B47C1">
                  <w:pPr>
                    <w:pStyle w:val="54"/>
                    <w:spacing w:line="280" w:lineRule="exact"/>
                    <w:rPr>
                      <w:rFonts w:ascii="Times New Roman" w:hAnsi="Times New Roman"/>
                      <w:color w:val="auto"/>
                      <w:szCs w:val="21"/>
                      <w:highlight w:val="none"/>
                    </w:rPr>
                  </w:pPr>
                </w:p>
              </w:tc>
            </w:tr>
            <w:tr w14:paraId="6B3D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14:paraId="1DCC591E">
                  <w:pPr>
                    <w:pStyle w:val="54"/>
                    <w:spacing w:line="280" w:lineRule="exact"/>
                    <w:jc w:val="center"/>
                    <w:rPr>
                      <w:rFonts w:ascii="Times New Roman" w:hAnsi="Times New Roman"/>
                      <w:color w:val="auto"/>
                      <w:szCs w:val="21"/>
                      <w:highlight w:val="none"/>
                    </w:rPr>
                  </w:pPr>
                </w:p>
              </w:tc>
              <w:tc>
                <w:tcPr>
                  <w:tcW w:w="3362" w:type="dxa"/>
                </w:tcPr>
                <w:p w14:paraId="56D110FD">
                  <w:pPr>
                    <w:pStyle w:val="54"/>
                    <w:spacing w:line="280" w:lineRule="exact"/>
                    <w:rPr>
                      <w:rFonts w:ascii="Times New Roman" w:hAnsi="Times New Roman"/>
                      <w:color w:val="auto"/>
                      <w:szCs w:val="21"/>
                      <w:highlight w:val="none"/>
                    </w:rPr>
                  </w:pPr>
                </w:p>
              </w:tc>
              <w:tc>
                <w:tcPr>
                  <w:tcW w:w="1605" w:type="dxa"/>
                </w:tcPr>
                <w:p w14:paraId="6C9579C6">
                  <w:pPr>
                    <w:pStyle w:val="54"/>
                    <w:spacing w:line="280" w:lineRule="exact"/>
                    <w:rPr>
                      <w:rFonts w:ascii="Times New Roman" w:hAnsi="Times New Roman"/>
                      <w:color w:val="auto"/>
                      <w:szCs w:val="21"/>
                      <w:highlight w:val="none"/>
                    </w:rPr>
                  </w:pPr>
                </w:p>
              </w:tc>
              <w:tc>
                <w:tcPr>
                  <w:tcW w:w="1605" w:type="dxa"/>
                </w:tcPr>
                <w:p w14:paraId="4F552FF3">
                  <w:pPr>
                    <w:pStyle w:val="54"/>
                    <w:spacing w:line="280" w:lineRule="exact"/>
                    <w:rPr>
                      <w:rFonts w:ascii="Times New Roman" w:hAnsi="Times New Roman"/>
                      <w:color w:val="auto"/>
                      <w:szCs w:val="21"/>
                      <w:highlight w:val="none"/>
                    </w:rPr>
                  </w:pPr>
                </w:p>
              </w:tc>
              <w:tc>
                <w:tcPr>
                  <w:tcW w:w="1628" w:type="dxa"/>
                </w:tcPr>
                <w:p w14:paraId="6754D484">
                  <w:pPr>
                    <w:pStyle w:val="54"/>
                    <w:spacing w:line="280" w:lineRule="exact"/>
                    <w:rPr>
                      <w:rFonts w:ascii="Times New Roman" w:hAnsi="Times New Roman"/>
                      <w:color w:val="auto"/>
                      <w:szCs w:val="21"/>
                      <w:highlight w:val="none"/>
                    </w:rPr>
                  </w:pPr>
                </w:p>
              </w:tc>
            </w:tr>
            <w:tr w14:paraId="1A45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14:paraId="3860A1EE">
                  <w:pPr>
                    <w:pStyle w:val="54"/>
                    <w:spacing w:line="280" w:lineRule="exact"/>
                    <w:jc w:val="center"/>
                    <w:rPr>
                      <w:rFonts w:ascii="Times New Roman" w:hAnsi="Times New Roman"/>
                      <w:color w:val="auto"/>
                      <w:szCs w:val="21"/>
                      <w:highlight w:val="none"/>
                    </w:rPr>
                  </w:pPr>
                </w:p>
              </w:tc>
              <w:tc>
                <w:tcPr>
                  <w:tcW w:w="3362" w:type="dxa"/>
                </w:tcPr>
                <w:p w14:paraId="7AB6896E">
                  <w:pPr>
                    <w:pStyle w:val="54"/>
                    <w:spacing w:line="280" w:lineRule="exact"/>
                    <w:rPr>
                      <w:rFonts w:ascii="Times New Roman" w:hAnsi="Times New Roman"/>
                      <w:color w:val="auto"/>
                      <w:szCs w:val="21"/>
                      <w:highlight w:val="none"/>
                    </w:rPr>
                  </w:pPr>
                </w:p>
              </w:tc>
              <w:tc>
                <w:tcPr>
                  <w:tcW w:w="1605" w:type="dxa"/>
                </w:tcPr>
                <w:p w14:paraId="5D35DBA7">
                  <w:pPr>
                    <w:pStyle w:val="54"/>
                    <w:spacing w:line="280" w:lineRule="exact"/>
                    <w:rPr>
                      <w:rFonts w:ascii="Times New Roman" w:hAnsi="Times New Roman"/>
                      <w:color w:val="auto"/>
                      <w:szCs w:val="21"/>
                      <w:highlight w:val="none"/>
                    </w:rPr>
                  </w:pPr>
                </w:p>
              </w:tc>
              <w:tc>
                <w:tcPr>
                  <w:tcW w:w="1605" w:type="dxa"/>
                </w:tcPr>
                <w:p w14:paraId="548F95D4">
                  <w:pPr>
                    <w:pStyle w:val="54"/>
                    <w:spacing w:line="280" w:lineRule="exact"/>
                    <w:rPr>
                      <w:rFonts w:ascii="Times New Roman" w:hAnsi="Times New Roman"/>
                      <w:color w:val="auto"/>
                      <w:szCs w:val="21"/>
                      <w:highlight w:val="none"/>
                    </w:rPr>
                  </w:pPr>
                </w:p>
              </w:tc>
              <w:tc>
                <w:tcPr>
                  <w:tcW w:w="1628" w:type="dxa"/>
                </w:tcPr>
                <w:p w14:paraId="2DFF3C38">
                  <w:pPr>
                    <w:pStyle w:val="54"/>
                    <w:spacing w:line="280" w:lineRule="exact"/>
                    <w:rPr>
                      <w:rFonts w:ascii="Times New Roman" w:hAnsi="Times New Roman"/>
                      <w:color w:val="auto"/>
                      <w:szCs w:val="21"/>
                      <w:highlight w:val="none"/>
                    </w:rPr>
                  </w:pPr>
                </w:p>
              </w:tc>
            </w:tr>
            <w:tr w14:paraId="223D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14:paraId="317A38B5">
                  <w:pPr>
                    <w:pStyle w:val="54"/>
                    <w:spacing w:line="280" w:lineRule="exact"/>
                    <w:jc w:val="center"/>
                    <w:rPr>
                      <w:rFonts w:ascii="Times New Roman" w:hAnsi="Times New Roman"/>
                      <w:color w:val="auto"/>
                      <w:szCs w:val="21"/>
                      <w:highlight w:val="none"/>
                    </w:rPr>
                  </w:pPr>
                </w:p>
              </w:tc>
              <w:tc>
                <w:tcPr>
                  <w:tcW w:w="3362" w:type="dxa"/>
                </w:tcPr>
                <w:p w14:paraId="5ADD40F8">
                  <w:pPr>
                    <w:pStyle w:val="54"/>
                    <w:spacing w:line="280" w:lineRule="exact"/>
                    <w:rPr>
                      <w:rFonts w:ascii="Times New Roman" w:hAnsi="Times New Roman"/>
                      <w:color w:val="auto"/>
                      <w:szCs w:val="21"/>
                      <w:highlight w:val="none"/>
                    </w:rPr>
                  </w:pPr>
                </w:p>
              </w:tc>
              <w:tc>
                <w:tcPr>
                  <w:tcW w:w="1605" w:type="dxa"/>
                </w:tcPr>
                <w:p w14:paraId="19494F73">
                  <w:pPr>
                    <w:pStyle w:val="54"/>
                    <w:spacing w:line="280" w:lineRule="exact"/>
                    <w:rPr>
                      <w:rFonts w:ascii="Times New Roman" w:hAnsi="Times New Roman"/>
                      <w:color w:val="auto"/>
                      <w:szCs w:val="21"/>
                      <w:highlight w:val="none"/>
                    </w:rPr>
                  </w:pPr>
                </w:p>
              </w:tc>
              <w:tc>
                <w:tcPr>
                  <w:tcW w:w="1605" w:type="dxa"/>
                </w:tcPr>
                <w:p w14:paraId="52BF8C61">
                  <w:pPr>
                    <w:pStyle w:val="54"/>
                    <w:spacing w:line="280" w:lineRule="exact"/>
                    <w:rPr>
                      <w:rFonts w:ascii="Times New Roman" w:hAnsi="Times New Roman"/>
                      <w:color w:val="auto"/>
                      <w:szCs w:val="21"/>
                      <w:highlight w:val="none"/>
                    </w:rPr>
                  </w:pPr>
                </w:p>
              </w:tc>
              <w:tc>
                <w:tcPr>
                  <w:tcW w:w="1628" w:type="dxa"/>
                </w:tcPr>
                <w:p w14:paraId="4356DB13">
                  <w:pPr>
                    <w:pStyle w:val="54"/>
                    <w:spacing w:line="280" w:lineRule="exact"/>
                    <w:rPr>
                      <w:rFonts w:ascii="Times New Roman" w:hAnsi="Times New Roman"/>
                      <w:color w:val="auto"/>
                      <w:szCs w:val="21"/>
                      <w:highlight w:val="none"/>
                    </w:rPr>
                  </w:pPr>
                </w:p>
              </w:tc>
            </w:tr>
            <w:tr w14:paraId="33C8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14:paraId="08627C36">
                  <w:pPr>
                    <w:pStyle w:val="54"/>
                    <w:spacing w:line="280" w:lineRule="exact"/>
                    <w:jc w:val="center"/>
                    <w:rPr>
                      <w:rFonts w:ascii="Times New Roman" w:hAnsi="Times New Roman"/>
                      <w:color w:val="auto"/>
                      <w:szCs w:val="21"/>
                      <w:highlight w:val="none"/>
                    </w:rPr>
                  </w:pPr>
                </w:p>
              </w:tc>
              <w:tc>
                <w:tcPr>
                  <w:tcW w:w="3362" w:type="dxa"/>
                </w:tcPr>
                <w:p w14:paraId="09EA301F">
                  <w:pPr>
                    <w:pStyle w:val="54"/>
                    <w:spacing w:line="280" w:lineRule="exact"/>
                    <w:rPr>
                      <w:rFonts w:ascii="Times New Roman" w:hAnsi="Times New Roman"/>
                      <w:color w:val="auto"/>
                      <w:szCs w:val="21"/>
                      <w:highlight w:val="none"/>
                    </w:rPr>
                  </w:pPr>
                </w:p>
              </w:tc>
              <w:tc>
                <w:tcPr>
                  <w:tcW w:w="1605" w:type="dxa"/>
                </w:tcPr>
                <w:p w14:paraId="6BB712C7">
                  <w:pPr>
                    <w:pStyle w:val="54"/>
                    <w:spacing w:line="280" w:lineRule="exact"/>
                    <w:rPr>
                      <w:rFonts w:ascii="Times New Roman" w:hAnsi="Times New Roman"/>
                      <w:color w:val="auto"/>
                      <w:szCs w:val="21"/>
                      <w:highlight w:val="none"/>
                    </w:rPr>
                  </w:pPr>
                </w:p>
              </w:tc>
              <w:tc>
                <w:tcPr>
                  <w:tcW w:w="1605" w:type="dxa"/>
                </w:tcPr>
                <w:p w14:paraId="7F5B0008">
                  <w:pPr>
                    <w:pStyle w:val="54"/>
                    <w:spacing w:line="280" w:lineRule="exact"/>
                    <w:rPr>
                      <w:rFonts w:ascii="Times New Roman" w:hAnsi="Times New Roman"/>
                      <w:color w:val="auto"/>
                      <w:szCs w:val="21"/>
                      <w:highlight w:val="none"/>
                    </w:rPr>
                  </w:pPr>
                </w:p>
              </w:tc>
              <w:tc>
                <w:tcPr>
                  <w:tcW w:w="1628" w:type="dxa"/>
                </w:tcPr>
                <w:p w14:paraId="12B39D2C">
                  <w:pPr>
                    <w:pStyle w:val="54"/>
                    <w:spacing w:line="280" w:lineRule="exact"/>
                    <w:rPr>
                      <w:rFonts w:ascii="Times New Roman" w:hAnsi="Times New Roman"/>
                      <w:color w:val="auto"/>
                      <w:szCs w:val="21"/>
                      <w:highlight w:val="none"/>
                    </w:rPr>
                  </w:pPr>
                </w:p>
              </w:tc>
            </w:tr>
            <w:tr w14:paraId="5A72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14:paraId="3FF7AF3E">
                  <w:pPr>
                    <w:pStyle w:val="54"/>
                    <w:spacing w:line="280" w:lineRule="exact"/>
                    <w:jc w:val="center"/>
                    <w:rPr>
                      <w:rFonts w:ascii="Times New Roman" w:hAnsi="Times New Roman"/>
                      <w:color w:val="auto"/>
                      <w:szCs w:val="21"/>
                      <w:highlight w:val="none"/>
                    </w:rPr>
                  </w:pPr>
                </w:p>
              </w:tc>
              <w:tc>
                <w:tcPr>
                  <w:tcW w:w="3362" w:type="dxa"/>
                </w:tcPr>
                <w:p w14:paraId="1DB70EEB">
                  <w:pPr>
                    <w:pStyle w:val="54"/>
                    <w:spacing w:line="280" w:lineRule="exact"/>
                    <w:rPr>
                      <w:rFonts w:ascii="Times New Roman" w:hAnsi="Times New Roman"/>
                      <w:color w:val="auto"/>
                      <w:szCs w:val="21"/>
                      <w:highlight w:val="none"/>
                    </w:rPr>
                  </w:pPr>
                </w:p>
              </w:tc>
              <w:tc>
                <w:tcPr>
                  <w:tcW w:w="1605" w:type="dxa"/>
                </w:tcPr>
                <w:p w14:paraId="6ACE6F2A">
                  <w:pPr>
                    <w:pStyle w:val="54"/>
                    <w:spacing w:line="280" w:lineRule="exact"/>
                    <w:rPr>
                      <w:rFonts w:ascii="Times New Roman" w:hAnsi="Times New Roman"/>
                      <w:color w:val="auto"/>
                      <w:szCs w:val="21"/>
                      <w:highlight w:val="none"/>
                    </w:rPr>
                  </w:pPr>
                </w:p>
              </w:tc>
              <w:tc>
                <w:tcPr>
                  <w:tcW w:w="1605" w:type="dxa"/>
                </w:tcPr>
                <w:p w14:paraId="7A79C737">
                  <w:pPr>
                    <w:pStyle w:val="54"/>
                    <w:spacing w:line="280" w:lineRule="exact"/>
                    <w:rPr>
                      <w:rFonts w:ascii="Times New Roman" w:hAnsi="Times New Roman"/>
                      <w:color w:val="auto"/>
                      <w:szCs w:val="21"/>
                      <w:highlight w:val="none"/>
                    </w:rPr>
                  </w:pPr>
                </w:p>
              </w:tc>
              <w:tc>
                <w:tcPr>
                  <w:tcW w:w="1628" w:type="dxa"/>
                </w:tcPr>
                <w:p w14:paraId="3C619477">
                  <w:pPr>
                    <w:pStyle w:val="54"/>
                    <w:spacing w:line="280" w:lineRule="exact"/>
                    <w:rPr>
                      <w:rFonts w:ascii="Times New Roman" w:hAnsi="Times New Roman"/>
                      <w:color w:val="auto"/>
                      <w:szCs w:val="21"/>
                      <w:highlight w:val="none"/>
                    </w:rPr>
                  </w:pPr>
                </w:p>
              </w:tc>
            </w:tr>
          </w:tbl>
          <w:p w14:paraId="5BD2D65A">
            <w:pPr>
              <w:pStyle w:val="54"/>
              <w:spacing w:line="400" w:lineRule="exact"/>
              <w:ind w:right="420" w:firstLine="435"/>
              <w:jc w:val="center"/>
              <w:rPr>
                <w:rFonts w:ascii="Times New Roman" w:hAnsi="Times New Roman"/>
                <w:color w:val="auto"/>
                <w:szCs w:val="21"/>
                <w:highlight w:val="none"/>
              </w:rPr>
            </w:pPr>
          </w:p>
          <w:p w14:paraId="522092F2">
            <w:pPr>
              <w:pStyle w:val="54"/>
              <w:spacing w:line="400" w:lineRule="exact"/>
              <w:ind w:right="420" w:firstLine="435"/>
              <w:jc w:val="center"/>
              <w:rPr>
                <w:rFonts w:ascii="Times New Roman" w:hAnsi="Times New Roman"/>
                <w:color w:val="auto"/>
                <w:szCs w:val="21"/>
                <w:highlight w:val="none"/>
              </w:rPr>
            </w:pPr>
            <w:r>
              <w:rPr>
                <w:rFonts w:hint="eastAsia" w:ascii="Times New Roman" w:hAnsi="Times New Roman"/>
                <w:color w:val="auto"/>
                <w:szCs w:val="21"/>
                <w:highlight w:val="none"/>
              </w:rPr>
              <w:t xml:space="preserve">                                            承包人（章）             </w:t>
            </w:r>
          </w:p>
          <w:p w14:paraId="45216D25">
            <w:pPr>
              <w:pStyle w:val="54"/>
              <w:spacing w:line="400" w:lineRule="exact"/>
              <w:ind w:right="420" w:firstLine="435"/>
              <w:rPr>
                <w:rFonts w:ascii="Times New Roman" w:hAnsi="Times New Roman"/>
                <w:color w:val="auto"/>
                <w:szCs w:val="21"/>
                <w:highlight w:val="none"/>
              </w:rPr>
            </w:pPr>
            <w:r>
              <w:rPr>
                <w:rFonts w:hint="eastAsia" w:ascii="Times New Roman" w:hAnsi="Times New Roman"/>
                <w:color w:val="auto"/>
                <w:szCs w:val="21"/>
                <w:highlight w:val="none"/>
              </w:rPr>
              <w:t>造价人员</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承包人代表</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日      期</w:t>
            </w:r>
            <w:r>
              <w:rPr>
                <w:rFonts w:hint="eastAsia" w:ascii="Times New Roman" w:hAnsi="Times New Roman"/>
                <w:color w:val="auto"/>
                <w:szCs w:val="21"/>
                <w:highlight w:val="none"/>
                <w:u w:val="single"/>
              </w:rPr>
              <w:t xml:space="preserve">               </w:t>
            </w:r>
          </w:p>
        </w:tc>
      </w:tr>
      <w:tr w14:paraId="32639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tcPr>
          <w:p w14:paraId="6FBA9E4C">
            <w:pPr>
              <w:pStyle w:val="54"/>
              <w:spacing w:line="360" w:lineRule="exact"/>
              <w:rPr>
                <w:rFonts w:ascii="Times New Roman" w:hAnsi="Times New Roman"/>
                <w:color w:val="auto"/>
                <w:szCs w:val="21"/>
                <w:highlight w:val="none"/>
              </w:rPr>
            </w:pPr>
            <w:r>
              <w:rPr>
                <w:rFonts w:hint="eastAsia" w:ascii="Times New Roman" w:hAnsi="Times New Roman"/>
                <w:color w:val="auto"/>
                <w:szCs w:val="21"/>
                <w:highlight w:val="none"/>
              </w:rPr>
              <w:t>复核意见：</w:t>
            </w:r>
          </w:p>
          <w:p w14:paraId="4851C16B">
            <w:pPr>
              <w:pStyle w:val="54"/>
              <w:spacing w:line="360" w:lineRule="exact"/>
              <w:ind w:firstLine="312"/>
              <w:rPr>
                <w:rFonts w:ascii="Times New Roman" w:hAnsi="Times New Roman"/>
                <w:color w:val="auto"/>
                <w:szCs w:val="21"/>
                <w:highlight w:val="none"/>
              </w:rPr>
            </w:pPr>
            <w:r>
              <w:rPr>
                <w:rFonts w:hint="eastAsia" w:ascii="Times New Roman" w:hAnsi="Times New Roman"/>
                <w:color w:val="auto"/>
                <w:szCs w:val="21"/>
                <w:highlight w:val="none"/>
              </w:rPr>
              <w:t>□与实际施工情况不相符，修改意见见附件。</w:t>
            </w:r>
          </w:p>
          <w:p w14:paraId="447A50C4">
            <w:pPr>
              <w:pStyle w:val="54"/>
              <w:spacing w:line="360" w:lineRule="exact"/>
              <w:ind w:firstLine="312"/>
              <w:rPr>
                <w:rFonts w:ascii="Times New Roman" w:hAnsi="Times New Roman"/>
                <w:color w:val="auto"/>
                <w:szCs w:val="21"/>
                <w:highlight w:val="none"/>
              </w:rPr>
            </w:pPr>
            <w:r>
              <w:rPr>
                <w:rFonts w:hint="eastAsia" w:ascii="Times New Roman" w:hAnsi="Times New Roman"/>
                <w:color w:val="auto"/>
                <w:szCs w:val="21"/>
                <w:highlight w:val="none"/>
              </w:rPr>
              <w:t>□与实际施工情况相符，具体金额由造价工程师复核。</w:t>
            </w:r>
          </w:p>
          <w:p w14:paraId="424C580F">
            <w:pPr>
              <w:pStyle w:val="54"/>
              <w:spacing w:line="360" w:lineRule="exact"/>
              <w:ind w:firstLine="435"/>
              <w:jc w:val="right"/>
              <w:rPr>
                <w:rFonts w:ascii="Times New Roman" w:hAnsi="Times New Roman"/>
                <w:color w:val="auto"/>
                <w:szCs w:val="21"/>
                <w:highlight w:val="none"/>
              </w:rPr>
            </w:pPr>
          </w:p>
          <w:p w14:paraId="7421D7AC">
            <w:pPr>
              <w:pStyle w:val="54"/>
              <w:spacing w:line="360" w:lineRule="exact"/>
              <w:ind w:firstLine="435"/>
              <w:jc w:val="right"/>
              <w:rPr>
                <w:rFonts w:ascii="Times New Roman" w:hAnsi="Times New Roman"/>
                <w:color w:val="auto"/>
                <w:szCs w:val="21"/>
                <w:highlight w:val="none"/>
              </w:rPr>
            </w:pPr>
          </w:p>
          <w:p w14:paraId="0688F940">
            <w:pPr>
              <w:pStyle w:val="54"/>
              <w:spacing w:line="360" w:lineRule="exact"/>
              <w:ind w:firstLine="435"/>
              <w:jc w:val="center"/>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p>
          <w:p w14:paraId="2E4CE7BE">
            <w:pPr>
              <w:pStyle w:val="54"/>
              <w:spacing w:line="360" w:lineRule="exact"/>
              <w:ind w:firstLine="435"/>
              <w:jc w:val="center"/>
              <w:rPr>
                <w:rFonts w:ascii="Times New Roman" w:hAnsi="Times New Roman"/>
                <w:color w:val="auto"/>
                <w:szCs w:val="21"/>
                <w:highlight w:val="none"/>
                <w:u w:val="single"/>
              </w:rPr>
            </w:pPr>
            <w:r>
              <w:rPr>
                <w:rFonts w:hint="eastAsia" w:ascii="Times New Roman" w:hAnsi="Times New Roman"/>
                <w:color w:val="auto"/>
                <w:szCs w:val="21"/>
                <w:highlight w:val="none"/>
              </w:rPr>
              <w:t xml:space="preserve">      监理工程师</w:t>
            </w:r>
            <w:r>
              <w:rPr>
                <w:rFonts w:hint="eastAsia" w:ascii="Times New Roman" w:hAnsi="Times New Roman"/>
                <w:color w:val="auto"/>
                <w:szCs w:val="21"/>
                <w:highlight w:val="none"/>
                <w:u w:val="single"/>
              </w:rPr>
              <w:t xml:space="preserve">           </w:t>
            </w:r>
          </w:p>
          <w:p w14:paraId="4247011E">
            <w:pPr>
              <w:pStyle w:val="54"/>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日      期</w:t>
            </w:r>
            <w:r>
              <w:rPr>
                <w:rFonts w:hint="eastAsia" w:ascii="Times New Roman" w:hAnsi="Times New Roman"/>
                <w:color w:val="auto"/>
                <w:szCs w:val="21"/>
                <w:highlight w:val="none"/>
                <w:u w:val="single"/>
              </w:rPr>
              <w:t xml:space="preserve">           </w:t>
            </w:r>
          </w:p>
        </w:tc>
        <w:tc>
          <w:tcPr>
            <w:tcW w:w="4533" w:type="dxa"/>
          </w:tcPr>
          <w:p w14:paraId="0B7F679B">
            <w:pPr>
              <w:pStyle w:val="54"/>
              <w:spacing w:line="360" w:lineRule="exact"/>
              <w:rPr>
                <w:rFonts w:ascii="Times New Roman" w:hAnsi="Times New Roman"/>
                <w:color w:val="auto"/>
                <w:szCs w:val="21"/>
                <w:highlight w:val="none"/>
              </w:rPr>
            </w:pPr>
            <w:r>
              <w:rPr>
                <w:rFonts w:hint="eastAsia" w:ascii="Times New Roman" w:hAnsi="Times New Roman"/>
                <w:color w:val="auto"/>
                <w:szCs w:val="21"/>
                <w:highlight w:val="none"/>
              </w:rPr>
              <w:t>复核意见：</w:t>
            </w:r>
          </w:p>
          <w:p w14:paraId="4A849EA8">
            <w:pPr>
              <w:pStyle w:val="54"/>
              <w:spacing w:line="360" w:lineRule="exact"/>
              <w:ind w:firstLine="435"/>
              <w:rPr>
                <w:rFonts w:ascii="Times New Roman" w:hAnsi="Times New Roman"/>
                <w:color w:val="auto"/>
                <w:szCs w:val="21"/>
                <w:highlight w:val="none"/>
                <w:u w:val="single"/>
              </w:rPr>
            </w:pPr>
            <w:r>
              <w:rPr>
                <w:rFonts w:hint="eastAsia" w:ascii="Times New Roman" w:hAnsi="Times New Roman"/>
                <w:color w:val="auto"/>
                <w:szCs w:val="21"/>
                <w:highlight w:val="none"/>
              </w:rPr>
              <w:t>你方提出的竣工结算支付申请经复核，竣工结算款总额为(大写)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元，（小写）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 xml:space="preserve"> 元，扣除前期支付以及质量保证金后应支付金额为（大写）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元，（小写）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w:t>
            </w:r>
          </w:p>
          <w:p w14:paraId="6D3057D4">
            <w:pPr>
              <w:pStyle w:val="54"/>
              <w:spacing w:line="360" w:lineRule="exact"/>
              <w:ind w:firstLine="435"/>
              <w:jc w:val="center"/>
              <w:rPr>
                <w:rFonts w:ascii="Times New Roman" w:hAnsi="Times New Roman"/>
                <w:color w:val="auto"/>
                <w:szCs w:val="21"/>
                <w:highlight w:val="none"/>
              </w:rPr>
            </w:pPr>
            <w:r>
              <w:rPr>
                <w:rFonts w:ascii="Times New Roman" w:hAnsi="Times New Roman"/>
                <w:color w:val="auto"/>
                <w:szCs w:val="21"/>
                <w:highlight w:val="none"/>
              </w:rPr>
              <w:t xml:space="preserve">    </w:t>
            </w:r>
          </w:p>
          <w:p w14:paraId="1F293CD6">
            <w:pPr>
              <w:pStyle w:val="54"/>
              <w:spacing w:line="360" w:lineRule="exact"/>
              <w:ind w:firstLine="435"/>
              <w:jc w:val="center"/>
              <w:rPr>
                <w:rFonts w:ascii="Times New Roman" w:hAnsi="Times New Roman"/>
                <w:color w:val="auto"/>
                <w:szCs w:val="21"/>
                <w:highlight w:val="none"/>
                <w:u w:val="single"/>
              </w:rPr>
            </w:pPr>
            <w:r>
              <w:rPr>
                <w:rFonts w:hint="eastAsia" w:ascii="Times New Roman" w:hAnsi="Times New Roman"/>
                <w:color w:val="auto"/>
                <w:szCs w:val="21"/>
                <w:highlight w:val="none"/>
              </w:rPr>
              <w:t xml:space="preserve">    造价工程师</w:t>
            </w:r>
            <w:r>
              <w:rPr>
                <w:rFonts w:hint="eastAsia" w:ascii="Times New Roman" w:hAnsi="Times New Roman"/>
                <w:color w:val="auto"/>
                <w:szCs w:val="21"/>
                <w:highlight w:val="none"/>
                <w:u w:val="single"/>
              </w:rPr>
              <w:t xml:space="preserve">           </w:t>
            </w:r>
          </w:p>
          <w:p w14:paraId="367C196C">
            <w:pPr>
              <w:pStyle w:val="54"/>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日      期</w:t>
            </w:r>
            <w:r>
              <w:rPr>
                <w:rFonts w:hint="eastAsia" w:ascii="Times New Roman" w:hAnsi="Times New Roman"/>
                <w:color w:val="auto"/>
                <w:szCs w:val="21"/>
                <w:highlight w:val="none"/>
                <w:u w:val="single"/>
              </w:rPr>
              <w:t xml:space="preserve">           </w:t>
            </w:r>
          </w:p>
        </w:tc>
      </w:tr>
      <w:tr w14:paraId="2BED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245FFAA6">
            <w:pPr>
              <w:pStyle w:val="54"/>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审核意见：</w:t>
            </w:r>
          </w:p>
          <w:p w14:paraId="16431C61">
            <w:pPr>
              <w:pStyle w:val="54"/>
              <w:spacing w:line="400" w:lineRule="exact"/>
              <w:ind w:firstLine="435"/>
              <w:rPr>
                <w:rFonts w:ascii="Times New Roman" w:hAnsi="Times New Roman"/>
                <w:color w:val="auto"/>
                <w:szCs w:val="21"/>
                <w:highlight w:val="none"/>
              </w:rPr>
            </w:pPr>
            <w:r>
              <w:rPr>
                <w:rFonts w:hint="eastAsia" w:ascii="Times New Roman" w:hAnsi="Times New Roman"/>
                <w:color w:val="auto"/>
                <w:szCs w:val="21"/>
                <w:highlight w:val="none"/>
              </w:rPr>
              <w:t>□不同意。</w:t>
            </w:r>
          </w:p>
          <w:p w14:paraId="2910A1E1">
            <w:pPr>
              <w:pStyle w:val="54"/>
              <w:spacing w:line="4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□同意。</w:t>
            </w:r>
          </w:p>
          <w:p w14:paraId="52C26488">
            <w:pPr>
              <w:pStyle w:val="54"/>
              <w:wordWrap w:val="0"/>
              <w:spacing w:line="400" w:lineRule="exact"/>
              <w:ind w:firstLine="420" w:firstLineChars="200"/>
              <w:jc w:val="right"/>
              <w:rPr>
                <w:rFonts w:ascii="Times New Roman" w:hAnsi="Times New Roman"/>
                <w:color w:val="auto"/>
                <w:szCs w:val="21"/>
                <w:highlight w:val="none"/>
              </w:rPr>
            </w:pPr>
            <w:r>
              <w:rPr>
                <w:rFonts w:hint="eastAsia" w:ascii="Times New Roman" w:hAnsi="Times New Roman"/>
                <w:color w:val="auto"/>
                <w:szCs w:val="21"/>
                <w:highlight w:val="none"/>
              </w:rPr>
              <w:t xml:space="preserve">发包人（章）           </w:t>
            </w:r>
          </w:p>
          <w:p w14:paraId="324C67BB">
            <w:pPr>
              <w:pStyle w:val="54"/>
              <w:wordWrap w:val="0"/>
              <w:spacing w:line="400" w:lineRule="exact"/>
              <w:ind w:firstLine="420" w:firstLineChars="200"/>
              <w:jc w:val="right"/>
              <w:rPr>
                <w:rFonts w:ascii="Times New Roman" w:hAnsi="Times New Roman"/>
                <w:color w:val="auto"/>
                <w:szCs w:val="21"/>
                <w:highlight w:val="none"/>
                <w:u w:val="single"/>
              </w:rPr>
            </w:pPr>
            <w:r>
              <w:rPr>
                <w:rFonts w:hint="eastAsia" w:ascii="Times New Roman" w:hAnsi="Times New Roman"/>
                <w:color w:val="auto"/>
                <w:szCs w:val="21"/>
                <w:highlight w:val="none"/>
              </w:rPr>
              <w:t>发包人代表</w:t>
            </w:r>
            <w:r>
              <w:rPr>
                <w:rFonts w:hint="eastAsia" w:ascii="Times New Roman" w:hAnsi="Times New Roman"/>
                <w:color w:val="auto"/>
                <w:szCs w:val="21"/>
                <w:highlight w:val="none"/>
                <w:u w:val="single"/>
              </w:rPr>
              <w:t xml:space="preserve">             </w:t>
            </w:r>
          </w:p>
          <w:p w14:paraId="74393F53">
            <w:pPr>
              <w:pStyle w:val="54"/>
              <w:wordWrap w:val="0"/>
              <w:spacing w:line="400" w:lineRule="exact"/>
              <w:ind w:firstLine="420" w:firstLineChars="200"/>
              <w:jc w:val="right"/>
              <w:rPr>
                <w:rFonts w:ascii="Times New Roman" w:hAnsi="Times New Roman"/>
                <w:color w:val="auto"/>
                <w:szCs w:val="21"/>
                <w:highlight w:val="none"/>
                <w:u w:val="single"/>
              </w:rPr>
            </w:pPr>
            <w:r>
              <w:rPr>
                <w:rFonts w:hint="eastAsia" w:ascii="Times New Roman" w:hAnsi="Times New Roman"/>
                <w:color w:val="auto"/>
                <w:szCs w:val="21"/>
                <w:highlight w:val="none"/>
              </w:rPr>
              <w:t>日      期</w:t>
            </w:r>
            <w:r>
              <w:rPr>
                <w:rFonts w:hint="eastAsia" w:ascii="Times New Roman" w:hAnsi="Times New Roman"/>
                <w:color w:val="auto"/>
                <w:szCs w:val="21"/>
                <w:highlight w:val="none"/>
                <w:u w:val="single"/>
              </w:rPr>
              <w:t xml:space="preserve">             </w:t>
            </w:r>
          </w:p>
        </w:tc>
      </w:tr>
    </w:tbl>
    <w:p w14:paraId="7363FBDC">
      <w:pPr>
        <w:pStyle w:val="54"/>
        <w:spacing w:before="120" w:beforeLines="50"/>
        <w:ind w:firstLine="360" w:firstLineChars="200"/>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注：1.在选择栏中的“□”内作标识“√”。 </w:t>
      </w:r>
    </w:p>
    <w:p w14:paraId="5DF864BA">
      <w:pPr>
        <w:pStyle w:val="54"/>
        <w:numPr>
          <w:ilvl w:val="0"/>
          <w:numId w:val="5"/>
        </w:numPr>
        <w:spacing w:before="120" w:beforeLines="50"/>
        <w:rPr>
          <w:rFonts w:ascii="Times New Roman" w:hAnsi="Times New Roman"/>
          <w:color w:val="auto"/>
          <w:sz w:val="18"/>
          <w:szCs w:val="18"/>
          <w:highlight w:val="none"/>
        </w:rPr>
      </w:pPr>
      <w:r>
        <w:rPr>
          <w:rFonts w:hint="eastAsia" w:ascii="Times New Roman" w:hAnsi="Times New Roman"/>
          <w:color w:val="auto"/>
          <w:sz w:val="18"/>
          <w:szCs w:val="18"/>
          <w:highlight w:val="none"/>
        </w:rPr>
        <w:t>本表一式四份，由承包人填报，发包人、监理人、造价咨询人、承包人各存一份。</w:t>
      </w:r>
    </w:p>
    <w:p w14:paraId="3F758169">
      <w:pPr>
        <w:pStyle w:val="54"/>
        <w:spacing w:before="120" w:beforeLines="50"/>
        <w:rPr>
          <w:rFonts w:ascii="Times New Roman" w:hAnsi="Times New Roman"/>
          <w:color w:val="auto"/>
          <w:sz w:val="18"/>
          <w:szCs w:val="18"/>
          <w:highlight w:val="none"/>
        </w:rPr>
      </w:pPr>
    </w:p>
    <w:p w14:paraId="07DC4720">
      <w:pPr>
        <w:pStyle w:val="54"/>
        <w:ind w:right="360"/>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p>
    <w:p w14:paraId="2FAC0762">
      <w:pPr>
        <w:pStyle w:val="54"/>
        <w:jc w:val="left"/>
        <w:rPr>
          <w:rFonts w:ascii="Times New Roman" w:hAnsi="Times New Roman"/>
          <w:b/>
          <w:color w:val="auto"/>
          <w:sz w:val="30"/>
          <w:szCs w:val="30"/>
          <w:highlight w:val="none"/>
        </w:rPr>
      </w:pPr>
      <w:r>
        <w:rPr>
          <w:rFonts w:hint="eastAsia" w:ascii="Times New Roman" w:hAnsi="宋体" w:cs="宋体"/>
          <w:color w:val="auto"/>
          <w:sz w:val="30"/>
          <w:szCs w:val="30"/>
          <w:highlight w:val="none"/>
        </w:rPr>
        <w:t>附件13：</w:t>
      </w:r>
    </w:p>
    <w:p w14:paraId="0769568E">
      <w:pPr>
        <w:pStyle w:val="54"/>
        <w:jc w:val="center"/>
        <w:rPr>
          <w:rFonts w:ascii="Times New Roman" w:hAnsi="Times New Roman"/>
          <w:b/>
          <w:color w:val="auto"/>
          <w:sz w:val="36"/>
          <w:szCs w:val="36"/>
          <w:highlight w:val="none"/>
        </w:rPr>
      </w:pPr>
      <w:r>
        <w:rPr>
          <w:rFonts w:hint="eastAsia" w:ascii="Times New Roman" w:hAnsi="Times New Roman"/>
          <w:b/>
          <w:color w:val="auto"/>
          <w:sz w:val="36"/>
          <w:szCs w:val="36"/>
          <w:highlight w:val="none"/>
        </w:rPr>
        <w:t>最终结算款支付申请（核准）表</w:t>
      </w:r>
    </w:p>
    <w:p w14:paraId="6D4A03BD">
      <w:pPr>
        <w:pStyle w:val="54"/>
        <w:rPr>
          <w:rFonts w:ascii="Times New Roman" w:hAnsi="Times New Roman"/>
          <w:color w:val="auto"/>
          <w:sz w:val="24"/>
          <w:szCs w:val="24"/>
          <w:highlight w:val="none"/>
        </w:rPr>
      </w:pPr>
      <w:r>
        <w:rPr>
          <w:rFonts w:hint="eastAsia" w:ascii="Times New Roman" w:hAnsi="Times New Roman"/>
          <w:color w:val="auto"/>
          <w:sz w:val="24"/>
          <w:szCs w:val="24"/>
          <w:highlight w:val="none"/>
        </w:rPr>
        <w:t>工程名称：                                             编号：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32"/>
      </w:tblGrid>
      <w:tr w14:paraId="049A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072" w:type="dxa"/>
            <w:gridSpan w:val="2"/>
          </w:tcPr>
          <w:p w14:paraId="5A3723EF">
            <w:pPr>
              <w:pStyle w:val="54"/>
              <w:spacing w:line="480" w:lineRule="exact"/>
              <w:ind w:left="525" w:leftChars="149" w:hanging="212" w:hangingChars="101"/>
              <w:rPr>
                <w:rFonts w:ascii="Times New Roman" w:hAnsi="Times New Roman"/>
                <w:color w:val="auto"/>
                <w:szCs w:val="21"/>
                <w:highlight w:val="none"/>
                <w:u w:val="single"/>
              </w:rPr>
            </w:pPr>
            <w:r>
              <w:rPr>
                <w:rFonts w:hint="eastAsia" w:ascii="Times New Roman" w:hAnsi="Times New Roman"/>
                <w:color w:val="auto"/>
                <w:szCs w:val="21"/>
                <w:highlight w:val="none"/>
              </w:rPr>
              <w:t>致：</w:t>
            </w:r>
            <w:r>
              <w:rPr>
                <w:rFonts w:hint="eastAsia" w:ascii="Times New Roman" w:hAnsi="Times New Roman"/>
                <w:color w:val="auto"/>
                <w:szCs w:val="21"/>
                <w:highlight w:val="none"/>
                <w:u w:val="single"/>
              </w:rPr>
              <w:t xml:space="preserve">                                   （发包人全称）</w:t>
            </w:r>
          </w:p>
          <w:p w14:paraId="2E995D84">
            <w:pPr>
              <w:pStyle w:val="54"/>
              <w:spacing w:line="400" w:lineRule="exact"/>
              <w:ind w:left="-4" w:leftChars="-2" w:firstLine="315" w:firstLineChars="150"/>
              <w:rPr>
                <w:rFonts w:ascii="Times New Roman" w:hAnsi="Times New Roman"/>
                <w:color w:val="auto"/>
                <w:szCs w:val="21"/>
                <w:highlight w:val="none"/>
              </w:rPr>
            </w:pPr>
            <w:r>
              <w:rPr>
                <w:rFonts w:hint="eastAsia" w:ascii="Times New Roman" w:hAnsi="Times New Roman"/>
                <w:color w:val="auto"/>
                <w:szCs w:val="21"/>
                <w:highlight w:val="none"/>
              </w:rPr>
              <w:t>我方于</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至</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期间已完成了缺陷修复工作，根据施工合同的约定，现申请支付最终结清合同款额为(大写)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元，(小写)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元，请予核准。</w:t>
            </w:r>
          </w:p>
          <w:tbl>
            <w:tblPr>
              <w:tblStyle w:val="22"/>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3364"/>
              <w:gridCol w:w="1605"/>
              <w:gridCol w:w="1605"/>
              <w:gridCol w:w="1627"/>
            </w:tblGrid>
            <w:tr w14:paraId="02BE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2" w:type="dxa"/>
                  <w:vAlign w:val="center"/>
                </w:tcPr>
                <w:p w14:paraId="01351A24">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序号</w:t>
                  </w:r>
                </w:p>
              </w:tc>
              <w:tc>
                <w:tcPr>
                  <w:tcW w:w="3364" w:type="dxa"/>
                  <w:vAlign w:val="center"/>
                </w:tcPr>
                <w:p w14:paraId="3FA66F6A">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名      称</w:t>
                  </w:r>
                </w:p>
              </w:tc>
              <w:tc>
                <w:tcPr>
                  <w:tcW w:w="1605" w:type="dxa"/>
                  <w:vAlign w:val="center"/>
                </w:tcPr>
                <w:p w14:paraId="4125E477">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申请金额（元）</w:t>
                  </w:r>
                </w:p>
              </w:tc>
              <w:tc>
                <w:tcPr>
                  <w:tcW w:w="1605" w:type="dxa"/>
                  <w:vAlign w:val="center"/>
                </w:tcPr>
                <w:p w14:paraId="265CF1B9">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复核金额（元）</w:t>
                  </w:r>
                </w:p>
              </w:tc>
              <w:tc>
                <w:tcPr>
                  <w:tcW w:w="1627" w:type="dxa"/>
                  <w:vAlign w:val="center"/>
                </w:tcPr>
                <w:p w14:paraId="223FB2EC">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备注</w:t>
                  </w:r>
                </w:p>
              </w:tc>
            </w:tr>
            <w:tr w14:paraId="4061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14:paraId="52186511">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1</w:t>
                  </w:r>
                </w:p>
              </w:tc>
              <w:tc>
                <w:tcPr>
                  <w:tcW w:w="3364" w:type="dxa"/>
                </w:tcPr>
                <w:p w14:paraId="6F01E6A4">
                  <w:pPr>
                    <w:pStyle w:val="54"/>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已预留的质量保证金</w:t>
                  </w:r>
                </w:p>
              </w:tc>
              <w:tc>
                <w:tcPr>
                  <w:tcW w:w="1605" w:type="dxa"/>
                </w:tcPr>
                <w:p w14:paraId="24432084">
                  <w:pPr>
                    <w:pStyle w:val="54"/>
                    <w:spacing w:line="280" w:lineRule="exact"/>
                    <w:rPr>
                      <w:rFonts w:ascii="Times New Roman" w:hAnsi="Times New Roman"/>
                      <w:color w:val="auto"/>
                      <w:szCs w:val="21"/>
                      <w:highlight w:val="none"/>
                    </w:rPr>
                  </w:pPr>
                </w:p>
              </w:tc>
              <w:tc>
                <w:tcPr>
                  <w:tcW w:w="1605" w:type="dxa"/>
                </w:tcPr>
                <w:p w14:paraId="2E6B558B">
                  <w:pPr>
                    <w:pStyle w:val="54"/>
                    <w:spacing w:line="280" w:lineRule="exact"/>
                    <w:rPr>
                      <w:rFonts w:ascii="Times New Roman" w:hAnsi="Times New Roman"/>
                      <w:color w:val="auto"/>
                      <w:szCs w:val="21"/>
                      <w:highlight w:val="none"/>
                    </w:rPr>
                  </w:pPr>
                </w:p>
              </w:tc>
              <w:tc>
                <w:tcPr>
                  <w:tcW w:w="1627" w:type="dxa"/>
                </w:tcPr>
                <w:p w14:paraId="509E548B">
                  <w:pPr>
                    <w:pStyle w:val="54"/>
                    <w:spacing w:line="280" w:lineRule="exact"/>
                    <w:rPr>
                      <w:rFonts w:ascii="Times New Roman" w:hAnsi="Times New Roman"/>
                      <w:color w:val="auto"/>
                      <w:szCs w:val="21"/>
                      <w:highlight w:val="none"/>
                    </w:rPr>
                  </w:pPr>
                </w:p>
              </w:tc>
            </w:tr>
            <w:tr w14:paraId="450E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14:paraId="7C76F82E">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2</w:t>
                  </w:r>
                </w:p>
              </w:tc>
              <w:tc>
                <w:tcPr>
                  <w:tcW w:w="3364" w:type="dxa"/>
                </w:tcPr>
                <w:p w14:paraId="4219283C">
                  <w:pPr>
                    <w:pStyle w:val="54"/>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应增加因发包人原因造成缺陷的修复金额</w:t>
                  </w:r>
                </w:p>
              </w:tc>
              <w:tc>
                <w:tcPr>
                  <w:tcW w:w="1605" w:type="dxa"/>
                </w:tcPr>
                <w:p w14:paraId="73333824">
                  <w:pPr>
                    <w:pStyle w:val="54"/>
                    <w:spacing w:line="280" w:lineRule="exact"/>
                    <w:rPr>
                      <w:rFonts w:ascii="Times New Roman" w:hAnsi="Times New Roman"/>
                      <w:color w:val="auto"/>
                      <w:szCs w:val="21"/>
                      <w:highlight w:val="none"/>
                    </w:rPr>
                  </w:pPr>
                </w:p>
              </w:tc>
              <w:tc>
                <w:tcPr>
                  <w:tcW w:w="1605" w:type="dxa"/>
                </w:tcPr>
                <w:p w14:paraId="075DEF0E">
                  <w:pPr>
                    <w:pStyle w:val="54"/>
                    <w:spacing w:line="280" w:lineRule="exact"/>
                    <w:rPr>
                      <w:rFonts w:ascii="Times New Roman" w:hAnsi="Times New Roman"/>
                      <w:color w:val="auto"/>
                      <w:szCs w:val="21"/>
                      <w:highlight w:val="none"/>
                    </w:rPr>
                  </w:pPr>
                </w:p>
              </w:tc>
              <w:tc>
                <w:tcPr>
                  <w:tcW w:w="1627" w:type="dxa"/>
                </w:tcPr>
                <w:p w14:paraId="37EFE997">
                  <w:pPr>
                    <w:pStyle w:val="54"/>
                    <w:spacing w:line="280" w:lineRule="exact"/>
                    <w:rPr>
                      <w:rFonts w:ascii="Times New Roman" w:hAnsi="Times New Roman"/>
                      <w:color w:val="auto"/>
                      <w:szCs w:val="21"/>
                      <w:highlight w:val="none"/>
                    </w:rPr>
                  </w:pPr>
                </w:p>
              </w:tc>
            </w:tr>
            <w:tr w14:paraId="61E7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14:paraId="6B7CBE96">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3</w:t>
                  </w:r>
                </w:p>
              </w:tc>
              <w:tc>
                <w:tcPr>
                  <w:tcW w:w="3364" w:type="dxa"/>
                </w:tcPr>
                <w:p w14:paraId="0487A746">
                  <w:pPr>
                    <w:pStyle w:val="54"/>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应扣减承包人不修复缺陷、发包人组织修复的金额</w:t>
                  </w:r>
                </w:p>
              </w:tc>
              <w:tc>
                <w:tcPr>
                  <w:tcW w:w="1605" w:type="dxa"/>
                </w:tcPr>
                <w:p w14:paraId="7AF3C8F5">
                  <w:pPr>
                    <w:pStyle w:val="54"/>
                    <w:spacing w:line="280" w:lineRule="exact"/>
                    <w:rPr>
                      <w:rFonts w:ascii="Times New Roman" w:hAnsi="Times New Roman"/>
                      <w:color w:val="auto"/>
                      <w:szCs w:val="21"/>
                      <w:highlight w:val="none"/>
                    </w:rPr>
                  </w:pPr>
                </w:p>
              </w:tc>
              <w:tc>
                <w:tcPr>
                  <w:tcW w:w="1605" w:type="dxa"/>
                </w:tcPr>
                <w:p w14:paraId="2786EB08">
                  <w:pPr>
                    <w:pStyle w:val="54"/>
                    <w:spacing w:line="280" w:lineRule="exact"/>
                    <w:rPr>
                      <w:rFonts w:ascii="Times New Roman" w:hAnsi="Times New Roman"/>
                      <w:color w:val="auto"/>
                      <w:szCs w:val="21"/>
                      <w:highlight w:val="none"/>
                    </w:rPr>
                  </w:pPr>
                </w:p>
              </w:tc>
              <w:tc>
                <w:tcPr>
                  <w:tcW w:w="1627" w:type="dxa"/>
                </w:tcPr>
                <w:p w14:paraId="6A37B3B0">
                  <w:pPr>
                    <w:pStyle w:val="54"/>
                    <w:spacing w:line="280" w:lineRule="exact"/>
                    <w:rPr>
                      <w:rFonts w:ascii="Times New Roman" w:hAnsi="Times New Roman"/>
                      <w:color w:val="auto"/>
                      <w:szCs w:val="21"/>
                      <w:highlight w:val="none"/>
                    </w:rPr>
                  </w:pPr>
                </w:p>
              </w:tc>
            </w:tr>
            <w:tr w14:paraId="4763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14:paraId="6B1B8754">
                  <w:pPr>
                    <w:pStyle w:val="5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4</w:t>
                  </w:r>
                </w:p>
              </w:tc>
              <w:tc>
                <w:tcPr>
                  <w:tcW w:w="3364" w:type="dxa"/>
                </w:tcPr>
                <w:p w14:paraId="7DAAA5EF">
                  <w:pPr>
                    <w:pStyle w:val="54"/>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最终应支付的合同价款</w:t>
                  </w:r>
                </w:p>
              </w:tc>
              <w:tc>
                <w:tcPr>
                  <w:tcW w:w="1605" w:type="dxa"/>
                </w:tcPr>
                <w:p w14:paraId="78DB2A4B">
                  <w:pPr>
                    <w:pStyle w:val="54"/>
                    <w:spacing w:line="280" w:lineRule="exact"/>
                    <w:rPr>
                      <w:rFonts w:ascii="Times New Roman" w:hAnsi="Times New Roman"/>
                      <w:color w:val="auto"/>
                      <w:szCs w:val="21"/>
                      <w:highlight w:val="none"/>
                    </w:rPr>
                  </w:pPr>
                </w:p>
              </w:tc>
              <w:tc>
                <w:tcPr>
                  <w:tcW w:w="1605" w:type="dxa"/>
                </w:tcPr>
                <w:p w14:paraId="13D9D3A7">
                  <w:pPr>
                    <w:pStyle w:val="54"/>
                    <w:spacing w:line="280" w:lineRule="exact"/>
                    <w:rPr>
                      <w:rFonts w:ascii="Times New Roman" w:hAnsi="Times New Roman"/>
                      <w:color w:val="auto"/>
                      <w:szCs w:val="21"/>
                      <w:highlight w:val="none"/>
                    </w:rPr>
                  </w:pPr>
                </w:p>
              </w:tc>
              <w:tc>
                <w:tcPr>
                  <w:tcW w:w="1627" w:type="dxa"/>
                </w:tcPr>
                <w:p w14:paraId="1F828CA1">
                  <w:pPr>
                    <w:pStyle w:val="54"/>
                    <w:spacing w:line="280" w:lineRule="exact"/>
                    <w:rPr>
                      <w:rFonts w:ascii="Times New Roman" w:hAnsi="Times New Roman"/>
                      <w:color w:val="auto"/>
                      <w:szCs w:val="21"/>
                      <w:highlight w:val="none"/>
                    </w:rPr>
                  </w:pPr>
                </w:p>
              </w:tc>
            </w:tr>
            <w:tr w14:paraId="43326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14:paraId="28571D49">
                  <w:pPr>
                    <w:pStyle w:val="54"/>
                    <w:spacing w:line="280" w:lineRule="exact"/>
                    <w:jc w:val="center"/>
                    <w:rPr>
                      <w:rFonts w:ascii="Times New Roman" w:hAnsi="Times New Roman"/>
                      <w:color w:val="auto"/>
                      <w:szCs w:val="21"/>
                      <w:highlight w:val="none"/>
                    </w:rPr>
                  </w:pPr>
                </w:p>
              </w:tc>
              <w:tc>
                <w:tcPr>
                  <w:tcW w:w="3364" w:type="dxa"/>
                </w:tcPr>
                <w:p w14:paraId="1584E596">
                  <w:pPr>
                    <w:pStyle w:val="54"/>
                    <w:spacing w:line="280" w:lineRule="exact"/>
                    <w:rPr>
                      <w:rFonts w:ascii="Times New Roman" w:hAnsi="Times New Roman"/>
                      <w:color w:val="auto"/>
                      <w:szCs w:val="21"/>
                      <w:highlight w:val="none"/>
                    </w:rPr>
                  </w:pPr>
                </w:p>
              </w:tc>
              <w:tc>
                <w:tcPr>
                  <w:tcW w:w="1605" w:type="dxa"/>
                </w:tcPr>
                <w:p w14:paraId="4687D072">
                  <w:pPr>
                    <w:pStyle w:val="54"/>
                    <w:spacing w:line="280" w:lineRule="exact"/>
                    <w:rPr>
                      <w:rFonts w:ascii="Times New Roman" w:hAnsi="Times New Roman"/>
                      <w:color w:val="auto"/>
                      <w:szCs w:val="21"/>
                      <w:highlight w:val="none"/>
                    </w:rPr>
                  </w:pPr>
                </w:p>
              </w:tc>
              <w:tc>
                <w:tcPr>
                  <w:tcW w:w="1605" w:type="dxa"/>
                </w:tcPr>
                <w:p w14:paraId="6DEF3181">
                  <w:pPr>
                    <w:pStyle w:val="54"/>
                    <w:spacing w:line="280" w:lineRule="exact"/>
                    <w:rPr>
                      <w:rFonts w:ascii="Times New Roman" w:hAnsi="Times New Roman"/>
                      <w:color w:val="auto"/>
                      <w:szCs w:val="21"/>
                      <w:highlight w:val="none"/>
                    </w:rPr>
                  </w:pPr>
                </w:p>
              </w:tc>
              <w:tc>
                <w:tcPr>
                  <w:tcW w:w="1627" w:type="dxa"/>
                </w:tcPr>
                <w:p w14:paraId="1ACCB248">
                  <w:pPr>
                    <w:pStyle w:val="54"/>
                    <w:spacing w:line="280" w:lineRule="exact"/>
                    <w:rPr>
                      <w:rFonts w:ascii="Times New Roman" w:hAnsi="Times New Roman"/>
                      <w:color w:val="auto"/>
                      <w:szCs w:val="21"/>
                      <w:highlight w:val="none"/>
                    </w:rPr>
                  </w:pPr>
                </w:p>
              </w:tc>
            </w:tr>
            <w:tr w14:paraId="4201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14:paraId="5B1BE0C2">
                  <w:pPr>
                    <w:pStyle w:val="54"/>
                    <w:spacing w:line="280" w:lineRule="exact"/>
                    <w:jc w:val="center"/>
                    <w:rPr>
                      <w:rFonts w:ascii="Times New Roman" w:hAnsi="Times New Roman"/>
                      <w:color w:val="auto"/>
                      <w:szCs w:val="21"/>
                      <w:highlight w:val="none"/>
                    </w:rPr>
                  </w:pPr>
                </w:p>
              </w:tc>
              <w:tc>
                <w:tcPr>
                  <w:tcW w:w="3364" w:type="dxa"/>
                </w:tcPr>
                <w:p w14:paraId="1668EFF1">
                  <w:pPr>
                    <w:pStyle w:val="54"/>
                    <w:spacing w:line="280" w:lineRule="exact"/>
                    <w:rPr>
                      <w:rFonts w:ascii="Times New Roman" w:hAnsi="Times New Roman"/>
                      <w:color w:val="auto"/>
                      <w:szCs w:val="21"/>
                      <w:highlight w:val="none"/>
                    </w:rPr>
                  </w:pPr>
                </w:p>
              </w:tc>
              <w:tc>
                <w:tcPr>
                  <w:tcW w:w="1605" w:type="dxa"/>
                </w:tcPr>
                <w:p w14:paraId="6839B42C">
                  <w:pPr>
                    <w:pStyle w:val="54"/>
                    <w:spacing w:line="280" w:lineRule="exact"/>
                    <w:rPr>
                      <w:rFonts w:ascii="Times New Roman" w:hAnsi="Times New Roman"/>
                      <w:color w:val="auto"/>
                      <w:szCs w:val="21"/>
                      <w:highlight w:val="none"/>
                    </w:rPr>
                  </w:pPr>
                </w:p>
              </w:tc>
              <w:tc>
                <w:tcPr>
                  <w:tcW w:w="1605" w:type="dxa"/>
                </w:tcPr>
                <w:p w14:paraId="48466B5E">
                  <w:pPr>
                    <w:pStyle w:val="54"/>
                    <w:spacing w:line="280" w:lineRule="exact"/>
                    <w:rPr>
                      <w:rFonts w:ascii="Times New Roman" w:hAnsi="Times New Roman"/>
                      <w:color w:val="auto"/>
                      <w:szCs w:val="21"/>
                      <w:highlight w:val="none"/>
                    </w:rPr>
                  </w:pPr>
                </w:p>
              </w:tc>
              <w:tc>
                <w:tcPr>
                  <w:tcW w:w="1627" w:type="dxa"/>
                </w:tcPr>
                <w:p w14:paraId="4C8E79BB">
                  <w:pPr>
                    <w:pStyle w:val="54"/>
                    <w:spacing w:line="280" w:lineRule="exact"/>
                    <w:rPr>
                      <w:rFonts w:ascii="Times New Roman" w:hAnsi="Times New Roman"/>
                      <w:color w:val="auto"/>
                      <w:szCs w:val="21"/>
                      <w:highlight w:val="none"/>
                    </w:rPr>
                  </w:pPr>
                </w:p>
              </w:tc>
            </w:tr>
            <w:tr w14:paraId="594A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14:paraId="22B3DF64">
                  <w:pPr>
                    <w:pStyle w:val="54"/>
                    <w:spacing w:line="280" w:lineRule="exact"/>
                    <w:jc w:val="center"/>
                    <w:rPr>
                      <w:rFonts w:ascii="Times New Roman" w:hAnsi="Times New Roman"/>
                      <w:color w:val="auto"/>
                      <w:szCs w:val="21"/>
                      <w:highlight w:val="none"/>
                    </w:rPr>
                  </w:pPr>
                </w:p>
              </w:tc>
              <w:tc>
                <w:tcPr>
                  <w:tcW w:w="3364" w:type="dxa"/>
                </w:tcPr>
                <w:p w14:paraId="5FFC269B">
                  <w:pPr>
                    <w:pStyle w:val="54"/>
                    <w:spacing w:line="280" w:lineRule="exact"/>
                    <w:rPr>
                      <w:rFonts w:ascii="Times New Roman" w:hAnsi="Times New Roman"/>
                      <w:color w:val="auto"/>
                      <w:szCs w:val="21"/>
                      <w:highlight w:val="none"/>
                    </w:rPr>
                  </w:pPr>
                </w:p>
              </w:tc>
              <w:tc>
                <w:tcPr>
                  <w:tcW w:w="1605" w:type="dxa"/>
                </w:tcPr>
                <w:p w14:paraId="067D4B65">
                  <w:pPr>
                    <w:pStyle w:val="54"/>
                    <w:spacing w:line="280" w:lineRule="exact"/>
                    <w:rPr>
                      <w:rFonts w:ascii="Times New Roman" w:hAnsi="Times New Roman"/>
                      <w:color w:val="auto"/>
                      <w:szCs w:val="21"/>
                      <w:highlight w:val="none"/>
                    </w:rPr>
                  </w:pPr>
                </w:p>
              </w:tc>
              <w:tc>
                <w:tcPr>
                  <w:tcW w:w="1605" w:type="dxa"/>
                </w:tcPr>
                <w:p w14:paraId="5F7B2691">
                  <w:pPr>
                    <w:pStyle w:val="54"/>
                    <w:spacing w:line="280" w:lineRule="exact"/>
                    <w:rPr>
                      <w:rFonts w:ascii="Times New Roman" w:hAnsi="Times New Roman"/>
                      <w:color w:val="auto"/>
                      <w:szCs w:val="21"/>
                      <w:highlight w:val="none"/>
                    </w:rPr>
                  </w:pPr>
                </w:p>
              </w:tc>
              <w:tc>
                <w:tcPr>
                  <w:tcW w:w="1627" w:type="dxa"/>
                </w:tcPr>
                <w:p w14:paraId="11BCD26C">
                  <w:pPr>
                    <w:pStyle w:val="54"/>
                    <w:spacing w:line="280" w:lineRule="exact"/>
                    <w:rPr>
                      <w:rFonts w:ascii="Times New Roman" w:hAnsi="Times New Roman"/>
                      <w:color w:val="auto"/>
                      <w:szCs w:val="21"/>
                      <w:highlight w:val="none"/>
                    </w:rPr>
                  </w:pPr>
                </w:p>
              </w:tc>
            </w:tr>
            <w:tr w14:paraId="4463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14:paraId="00948EBF">
                  <w:pPr>
                    <w:pStyle w:val="54"/>
                    <w:spacing w:line="280" w:lineRule="exact"/>
                    <w:jc w:val="center"/>
                    <w:rPr>
                      <w:rFonts w:ascii="Times New Roman" w:hAnsi="Times New Roman"/>
                      <w:color w:val="auto"/>
                      <w:szCs w:val="21"/>
                      <w:highlight w:val="none"/>
                    </w:rPr>
                  </w:pPr>
                </w:p>
              </w:tc>
              <w:tc>
                <w:tcPr>
                  <w:tcW w:w="3364" w:type="dxa"/>
                </w:tcPr>
                <w:p w14:paraId="589A715A">
                  <w:pPr>
                    <w:pStyle w:val="54"/>
                    <w:spacing w:line="280" w:lineRule="exact"/>
                    <w:rPr>
                      <w:rFonts w:ascii="Times New Roman" w:hAnsi="Times New Roman"/>
                      <w:color w:val="auto"/>
                      <w:szCs w:val="21"/>
                      <w:highlight w:val="none"/>
                    </w:rPr>
                  </w:pPr>
                </w:p>
              </w:tc>
              <w:tc>
                <w:tcPr>
                  <w:tcW w:w="1605" w:type="dxa"/>
                </w:tcPr>
                <w:p w14:paraId="18EB5836">
                  <w:pPr>
                    <w:pStyle w:val="54"/>
                    <w:spacing w:line="280" w:lineRule="exact"/>
                    <w:rPr>
                      <w:rFonts w:ascii="Times New Roman" w:hAnsi="Times New Roman"/>
                      <w:color w:val="auto"/>
                      <w:szCs w:val="21"/>
                      <w:highlight w:val="none"/>
                    </w:rPr>
                  </w:pPr>
                </w:p>
              </w:tc>
              <w:tc>
                <w:tcPr>
                  <w:tcW w:w="1605" w:type="dxa"/>
                </w:tcPr>
                <w:p w14:paraId="68152A7F">
                  <w:pPr>
                    <w:pStyle w:val="54"/>
                    <w:spacing w:line="280" w:lineRule="exact"/>
                    <w:rPr>
                      <w:rFonts w:ascii="Times New Roman" w:hAnsi="Times New Roman"/>
                      <w:color w:val="auto"/>
                      <w:szCs w:val="21"/>
                      <w:highlight w:val="none"/>
                    </w:rPr>
                  </w:pPr>
                </w:p>
              </w:tc>
              <w:tc>
                <w:tcPr>
                  <w:tcW w:w="1627" w:type="dxa"/>
                </w:tcPr>
                <w:p w14:paraId="290F8E81">
                  <w:pPr>
                    <w:pStyle w:val="54"/>
                    <w:spacing w:line="280" w:lineRule="exact"/>
                    <w:rPr>
                      <w:rFonts w:ascii="Times New Roman" w:hAnsi="Times New Roman"/>
                      <w:color w:val="auto"/>
                      <w:szCs w:val="21"/>
                      <w:highlight w:val="none"/>
                    </w:rPr>
                  </w:pPr>
                </w:p>
              </w:tc>
            </w:tr>
          </w:tbl>
          <w:p w14:paraId="134538B3">
            <w:pPr>
              <w:pStyle w:val="54"/>
              <w:spacing w:line="400" w:lineRule="exact"/>
              <w:ind w:right="420" w:firstLine="435"/>
              <w:jc w:val="center"/>
              <w:rPr>
                <w:rFonts w:ascii="Times New Roman" w:hAnsi="Times New Roman"/>
                <w:color w:val="auto"/>
                <w:szCs w:val="21"/>
                <w:highlight w:val="none"/>
              </w:rPr>
            </w:pPr>
            <w:r>
              <w:rPr>
                <w:rFonts w:hint="eastAsia" w:ascii="Times New Roman" w:hAnsi="Times New Roman"/>
                <w:color w:val="auto"/>
                <w:szCs w:val="21"/>
                <w:highlight w:val="none"/>
              </w:rPr>
              <w:t xml:space="preserve">                                            承包人（章）             </w:t>
            </w:r>
          </w:p>
          <w:p w14:paraId="34A37C06">
            <w:pPr>
              <w:pStyle w:val="54"/>
              <w:spacing w:line="400" w:lineRule="exact"/>
              <w:ind w:right="420" w:firstLine="435"/>
              <w:rPr>
                <w:rFonts w:ascii="Times New Roman" w:hAnsi="Times New Roman"/>
                <w:color w:val="auto"/>
                <w:szCs w:val="21"/>
                <w:highlight w:val="none"/>
              </w:rPr>
            </w:pPr>
            <w:r>
              <w:rPr>
                <w:rFonts w:hint="eastAsia" w:ascii="Times New Roman" w:hAnsi="Times New Roman"/>
                <w:color w:val="auto"/>
                <w:szCs w:val="21"/>
                <w:highlight w:val="none"/>
              </w:rPr>
              <w:t>造价人员</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承包人代表</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日      期</w:t>
            </w:r>
            <w:r>
              <w:rPr>
                <w:rFonts w:hint="eastAsia" w:ascii="Times New Roman" w:hAnsi="Times New Roman"/>
                <w:color w:val="auto"/>
                <w:szCs w:val="21"/>
                <w:highlight w:val="none"/>
                <w:u w:val="single"/>
              </w:rPr>
              <w:t xml:space="preserve">               </w:t>
            </w:r>
          </w:p>
        </w:tc>
      </w:tr>
      <w:tr w14:paraId="23F8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40" w:type="dxa"/>
          </w:tcPr>
          <w:p w14:paraId="4CA8CF28">
            <w:pPr>
              <w:pStyle w:val="54"/>
              <w:spacing w:line="360" w:lineRule="exact"/>
              <w:rPr>
                <w:rFonts w:ascii="Times New Roman" w:hAnsi="Times New Roman"/>
                <w:color w:val="auto"/>
                <w:szCs w:val="21"/>
                <w:highlight w:val="none"/>
              </w:rPr>
            </w:pPr>
            <w:r>
              <w:rPr>
                <w:rFonts w:hint="eastAsia" w:ascii="Times New Roman" w:hAnsi="Times New Roman"/>
                <w:color w:val="auto"/>
                <w:szCs w:val="21"/>
                <w:highlight w:val="none"/>
              </w:rPr>
              <w:t>复核意见：</w:t>
            </w:r>
          </w:p>
          <w:p w14:paraId="71018BE3">
            <w:pPr>
              <w:pStyle w:val="54"/>
              <w:spacing w:line="360" w:lineRule="exact"/>
              <w:ind w:firstLine="312"/>
              <w:rPr>
                <w:rFonts w:ascii="Times New Roman" w:hAnsi="Times New Roman"/>
                <w:color w:val="auto"/>
                <w:szCs w:val="21"/>
                <w:highlight w:val="none"/>
              </w:rPr>
            </w:pPr>
            <w:r>
              <w:rPr>
                <w:rFonts w:hint="eastAsia" w:ascii="Times New Roman" w:hAnsi="Times New Roman"/>
                <w:color w:val="auto"/>
                <w:szCs w:val="21"/>
                <w:highlight w:val="none"/>
              </w:rPr>
              <w:t>□与实际施工情况不相符，修改意见见附件。</w:t>
            </w:r>
          </w:p>
          <w:p w14:paraId="08912841">
            <w:pPr>
              <w:pStyle w:val="54"/>
              <w:spacing w:line="360" w:lineRule="exact"/>
              <w:ind w:firstLine="312"/>
              <w:rPr>
                <w:rFonts w:ascii="Times New Roman" w:hAnsi="Times New Roman"/>
                <w:color w:val="auto"/>
                <w:szCs w:val="21"/>
                <w:highlight w:val="none"/>
              </w:rPr>
            </w:pPr>
            <w:r>
              <w:rPr>
                <w:rFonts w:hint="eastAsia" w:ascii="Times New Roman" w:hAnsi="Times New Roman"/>
                <w:color w:val="auto"/>
                <w:szCs w:val="21"/>
                <w:highlight w:val="none"/>
              </w:rPr>
              <w:t>□与实际施工情况相符，具体金额由造价工程师复核。</w:t>
            </w:r>
          </w:p>
          <w:p w14:paraId="6EAE7254">
            <w:pPr>
              <w:pStyle w:val="54"/>
              <w:spacing w:line="360" w:lineRule="exact"/>
              <w:ind w:firstLine="435"/>
              <w:jc w:val="right"/>
              <w:rPr>
                <w:rFonts w:ascii="Times New Roman" w:hAnsi="Times New Roman"/>
                <w:color w:val="auto"/>
                <w:szCs w:val="21"/>
                <w:highlight w:val="none"/>
              </w:rPr>
            </w:pPr>
          </w:p>
          <w:p w14:paraId="2E8AEF9E">
            <w:pPr>
              <w:pStyle w:val="54"/>
              <w:spacing w:line="360" w:lineRule="exact"/>
              <w:ind w:firstLine="435"/>
              <w:jc w:val="right"/>
              <w:rPr>
                <w:rFonts w:ascii="Times New Roman" w:hAnsi="Times New Roman"/>
                <w:color w:val="auto"/>
                <w:szCs w:val="21"/>
                <w:highlight w:val="none"/>
              </w:rPr>
            </w:pPr>
          </w:p>
          <w:p w14:paraId="28E77BED">
            <w:pPr>
              <w:pStyle w:val="54"/>
              <w:spacing w:line="360" w:lineRule="exact"/>
              <w:ind w:firstLine="435"/>
              <w:jc w:val="center"/>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p>
          <w:p w14:paraId="6733DFD9">
            <w:pPr>
              <w:pStyle w:val="54"/>
              <w:spacing w:line="360" w:lineRule="exact"/>
              <w:ind w:firstLine="435"/>
              <w:jc w:val="center"/>
              <w:rPr>
                <w:rFonts w:ascii="Times New Roman" w:hAnsi="Times New Roman"/>
                <w:color w:val="auto"/>
                <w:szCs w:val="21"/>
                <w:highlight w:val="none"/>
                <w:u w:val="single"/>
              </w:rPr>
            </w:pPr>
            <w:r>
              <w:rPr>
                <w:rFonts w:hint="eastAsia" w:ascii="Times New Roman" w:hAnsi="Times New Roman"/>
                <w:color w:val="auto"/>
                <w:szCs w:val="21"/>
                <w:highlight w:val="none"/>
              </w:rPr>
              <w:t xml:space="preserve">        监理工程师</w:t>
            </w:r>
            <w:r>
              <w:rPr>
                <w:rFonts w:hint="eastAsia" w:ascii="Times New Roman" w:hAnsi="Times New Roman"/>
                <w:color w:val="auto"/>
                <w:szCs w:val="21"/>
                <w:highlight w:val="none"/>
                <w:u w:val="single"/>
              </w:rPr>
              <w:t xml:space="preserve">           </w:t>
            </w:r>
          </w:p>
          <w:p w14:paraId="1BFC3513">
            <w:pPr>
              <w:pStyle w:val="54"/>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日      期</w:t>
            </w:r>
            <w:r>
              <w:rPr>
                <w:rFonts w:hint="eastAsia" w:ascii="Times New Roman" w:hAnsi="Times New Roman"/>
                <w:color w:val="auto"/>
                <w:szCs w:val="21"/>
                <w:highlight w:val="none"/>
                <w:u w:val="single"/>
              </w:rPr>
              <w:t xml:space="preserve">           </w:t>
            </w:r>
          </w:p>
        </w:tc>
        <w:tc>
          <w:tcPr>
            <w:tcW w:w="4532" w:type="dxa"/>
          </w:tcPr>
          <w:p w14:paraId="623E2A89">
            <w:pPr>
              <w:pStyle w:val="54"/>
              <w:spacing w:line="360" w:lineRule="exact"/>
              <w:rPr>
                <w:rFonts w:ascii="Times New Roman" w:hAnsi="Times New Roman"/>
                <w:color w:val="auto"/>
                <w:szCs w:val="21"/>
                <w:highlight w:val="none"/>
              </w:rPr>
            </w:pPr>
            <w:r>
              <w:rPr>
                <w:rFonts w:hint="eastAsia" w:ascii="Times New Roman" w:hAnsi="Times New Roman"/>
                <w:color w:val="auto"/>
                <w:szCs w:val="21"/>
                <w:highlight w:val="none"/>
              </w:rPr>
              <w:t>复核意见：</w:t>
            </w:r>
          </w:p>
          <w:p w14:paraId="4A173B98">
            <w:pPr>
              <w:pStyle w:val="54"/>
              <w:spacing w:line="360" w:lineRule="exact"/>
              <w:ind w:firstLine="435"/>
              <w:rPr>
                <w:rFonts w:ascii="Times New Roman" w:hAnsi="Times New Roman"/>
                <w:color w:val="auto"/>
                <w:szCs w:val="21"/>
                <w:highlight w:val="none"/>
                <w:u w:val="single"/>
              </w:rPr>
            </w:pPr>
            <w:r>
              <w:rPr>
                <w:rFonts w:hint="eastAsia" w:ascii="Times New Roman" w:hAnsi="Times New Roman"/>
                <w:color w:val="auto"/>
                <w:szCs w:val="21"/>
                <w:highlight w:val="none"/>
              </w:rPr>
              <w:t>你方提出的支付申请经复核，最终应支付金额为（大写）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 xml:space="preserve">元，（小写）  </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w:t>
            </w:r>
          </w:p>
          <w:p w14:paraId="7310C056">
            <w:pPr>
              <w:pStyle w:val="54"/>
              <w:spacing w:line="360" w:lineRule="exact"/>
              <w:ind w:firstLine="435"/>
              <w:jc w:val="center"/>
              <w:rPr>
                <w:rFonts w:ascii="Times New Roman" w:hAnsi="Times New Roman"/>
                <w:color w:val="auto"/>
                <w:szCs w:val="21"/>
                <w:highlight w:val="none"/>
              </w:rPr>
            </w:pPr>
            <w:r>
              <w:rPr>
                <w:rFonts w:ascii="Times New Roman" w:hAnsi="Times New Roman"/>
                <w:color w:val="auto"/>
                <w:szCs w:val="21"/>
                <w:highlight w:val="none"/>
              </w:rPr>
              <w:t xml:space="preserve">    </w:t>
            </w:r>
          </w:p>
          <w:p w14:paraId="635CC787">
            <w:pPr>
              <w:pStyle w:val="54"/>
              <w:spacing w:line="360" w:lineRule="exact"/>
              <w:ind w:firstLine="435"/>
              <w:jc w:val="center"/>
              <w:rPr>
                <w:rFonts w:ascii="Times New Roman" w:hAnsi="Times New Roman"/>
                <w:color w:val="auto"/>
                <w:szCs w:val="21"/>
                <w:highlight w:val="none"/>
              </w:rPr>
            </w:pPr>
          </w:p>
          <w:p w14:paraId="487A02F6">
            <w:pPr>
              <w:pStyle w:val="54"/>
              <w:spacing w:line="360" w:lineRule="exact"/>
              <w:ind w:firstLine="435"/>
              <w:jc w:val="center"/>
              <w:rPr>
                <w:rFonts w:ascii="Times New Roman" w:hAnsi="Times New Roman"/>
                <w:color w:val="auto"/>
                <w:szCs w:val="21"/>
                <w:highlight w:val="none"/>
              </w:rPr>
            </w:pPr>
          </w:p>
          <w:p w14:paraId="0DFD9335">
            <w:pPr>
              <w:pStyle w:val="54"/>
              <w:spacing w:line="360" w:lineRule="exact"/>
              <w:ind w:firstLine="435"/>
              <w:jc w:val="center"/>
              <w:rPr>
                <w:rFonts w:ascii="Times New Roman" w:hAnsi="Times New Roman"/>
                <w:color w:val="auto"/>
                <w:szCs w:val="21"/>
                <w:highlight w:val="none"/>
              </w:rPr>
            </w:pPr>
          </w:p>
          <w:p w14:paraId="6B5DB3CB">
            <w:pPr>
              <w:pStyle w:val="54"/>
              <w:spacing w:line="360" w:lineRule="exact"/>
              <w:ind w:firstLine="435"/>
              <w:jc w:val="center"/>
              <w:rPr>
                <w:rFonts w:ascii="Times New Roman" w:hAnsi="Times New Roman"/>
                <w:color w:val="auto"/>
                <w:szCs w:val="21"/>
                <w:highlight w:val="none"/>
                <w:u w:val="single"/>
              </w:rPr>
            </w:pPr>
            <w:r>
              <w:rPr>
                <w:rFonts w:hint="eastAsia" w:ascii="Times New Roman" w:hAnsi="Times New Roman"/>
                <w:color w:val="auto"/>
                <w:szCs w:val="21"/>
                <w:highlight w:val="none"/>
              </w:rPr>
              <w:t xml:space="preserve">    造价工程师</w:t>
            </w:r>
            <w:r>
              <w:rPr>
                <w:rFonts w:hint="eastAsia" w:ascii="Times New Roman" w:hAnsi="Times New Roman"/>
                <w:color w:val="auto"/>
                <w:szCs w:val="21"/>
                <w:highlight w:val="none"/>
                <w:u w:val="single"/>
              </w:rPr>
              <w:t xml:space="preserve">           </w:t>
            </w:r>
          </w:p>
          <w:p w14:paraId="7957C5B9">
            <w:pPr>
              <w:pStyle w:val="54"/>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日      期</w:t>
            </w:r>
            <w:r>
              <w:rPr>
                <w:rFonts w:hint="eastAsia" w:ascii="Times New Roman" w:hAnsi="Times New Roman"/>
                <w:color w:val="auto"/>
                <w:szCs w:val="21"/>
                <w:highlight w:val="none"/>
                <w:u w:val="single"/>
              </w:rPr>
              <w:t xml:space="preserve">           </w:t>
            </w:r>
          </w:p>
        </w:tc>
      </w:tr>
      <w:tr w14:paraId="0BA3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0935C40C">
            <w:pPr>
              <w:pStyle w:val="54"/>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审核意见：</w:t>
            </w:r>
          </w:p>
          <w:p w14:paraId="05058FB6">
            <w:pPr>
              <w:pStyle w:val="54"/>
              <w:spacing w:line="400" w:lineRule="exact"/>
              <w:ind w:firstLine="435"/>
              <w:rPr>
                <w:rFonts w:ascii="Times New Roman" w:hAnsi="Times New Roman"/>
                <w:color w:val="auto"/>
                <w:szCs w:val="21"/>
                <w:highlight w:val="none"/>
              </w:rPr>
            </w:pPr>
            <w:r>
              <w:rPr>
                <w:rFonts w:hint="eastAsia" w:ascii="Times New Roman" w:hAnsi="Times New Roman"/>
                <w:color w:val="auto"/>
                <w:szCs w:val="21"/>
                <w:highlight w:val="none"/>
              </w:rPr>
              <w:t>□不同意。</w:t>
            </w:r>
          </w:p>
          <w:p w14:paraId="5B0D4FF6">
            <w:pPr>
              <w:pStyle w:val="54"/>
              <w:spacing w:line="4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□同意。</w:t>
            </w:r>
          </w:p>
          <w:p w14:paraId="7FF1C19E">
            <w:pPr>
              <w:pStyle w:val="54"/>
              <w:wordWrap w:val="0"/>
              <w:spacing w:line="400" w:lineRule="exact"/>
              <w:ind w:firstLine="420" w:firstLineChars="200"/>
              <w:jc w:val="right"/>
              <w:rPr>
                <w:rFonts w:ascii="Times New Roman" w:hAnsi="Times New Roman"/>
                <w:color w:val="auto"/>
                <w:szCs w:val="21"/>
                <w:highlight w:val="none"/>
              </w:rPr>
            </w:pPr>
            <w:r>
              <w:rPr>
                <w:rFonts w:hint="eastAsia" w:ascii="Times New Roman" w:hAnsi="Times New Roman"/>
                <w:color w:val="auto"/>
                <w:szCs w:val="21"/>
                <w:highlight w:val="none"/>
              </w:rPr>
              <w:t xml:space="preserve">发包人（章）           </w:t>
            </w:r>
          </w:p>
          <w:p w14:paraId="0FF8C37D">
            <w:pPr>
              <w:pStyle w:val="54"/>
              <w:wordWrap w:val="0"/>
              <w:spacing w:line="400" w:lineRule="exact"/>
              <w:ind w:firstLine="420" w:firstLineChars="200"/>
              <w:jc w:val="right"/>
              <w:rPr>
                <w:rFonts w:ascii="Times New Roman" w:hAnsi="Times New Roman"/>
                <w:color w:val="auto"/>
                <w:szCs w:val="21"/>
                <w:highlight w:val="none"/>
                <w:u w:val="single"/>
              </w:rPr>
            </w:pPr>
            <w:r>
              <w:rPr>
                <w:rFonts w:hint="eastAsia" w:ascii="Times New Roman" w:hAnsi="Times New Roman"/>
                <w:color w:val="auto"/>
                <w:szCs w:val="21"/>
                <w:highlight w:val="none"/>
              </w:rPr>
              <w:t>发包人代表</w:t>
            </w:r>
            <w:r>
              <w:rPr>
                <w:rFonts w:hint="eastAsia" w:ascii="Times New Roman" w:hAnsi="Times New Roman"/>
                <w:color w:val="auto"/>
                <w:szCs w:val="21"/>
                <w:highlight w:val="none"/>
                <w:u w:val="single"/>
              </w:rPr>
              <w:t xml:space="preserve">             </w:t>
            </w:r>
          </w:p>
          <w:p w14:paraId="43D7DEA6">
            <w:pPr>
              <w:pStyle w:val="54"/>
              <w:wordWrap w:val="0"/>
              <w:spacing w:line="400" w:lineRule="exact"/>
              <w:ind w:firstLine="420" w:firstLineChars="200"/>
              <w:jc w:val="right"/>
              <w:rPr>
                <w:rFonts w:ascii="Times New Roman" w:hAnsi="Times New Roman"/>
                <w:color w:val="auto"/>
                <w:szCs w:val="21"/>
                <w:highlight w:val="none"/>
                <w:u w:val="single"/>
              </w:rPr>
            </w:pPr>
            <w:r>
              <w:rPr>
                <w:rFonts w:hint="eastAsia" w:ascii="Times New Roman" w:hAnsi="Times New Roman"/>
                <w:color w:val="auto"/>
                <w:szCs w:val="21"/>
                <w:highlight w:val="none"/>
              </w:rPr>
              <w:t>日      期</w:t>
            </w:r>
            <w:r>
              <w:rPr>
                <w:rFonts w:hint="eastAsia" w:ascii="Times New Roman" w:hAnsi="Times New Roman"/>
                <w:color w:val="auto"/>
                <w:szCs w:val="21"/>
                <w:highlight w:val="none"/>
                <w:u w:val="single"/>
              </w:rPr>
              <w:t xml:space="preserve">             </w:t>
            </w:r>
          </w:p>
        </w:tc>
      </w:tr>
    </w:tbl>
    <w:p w14:paraId="51347EB5">
      <w:pPr>
        <w:pStyle w:val="54"/>
        <w:spacing w:before="120" w:beforeLines="50"/>
        <w:ind w:firstLine="360" w:firstLineChars="200"/>
        <w:rPr>
          <w:rFonts w:ascii="Times New Roman" w:hAnsi="Times New Roman"/>
          <w:color w:val="auto"/>
          <w:sz w:val="18"/>
          <w:szCs w:val="18"/>
          <w:highlight w:val="none"/>
        </w:rPr>
      </w:pPr>
      <w:r>
        <w:rPr>
          <w:rFonts w:hint="eastAsia" w:ascii="Times New Roman" w:hAnsi="Times New Roman"/>
          <w:color w:val="auto"/>
          <w:sz w:val="18"/>
          <w:szCs w:val="18"/>
          <w:highlight w:val="none"/>
        </w:rPr>
        <w:t>注：1.在选择栏中的“□”内作标识“√”。 如监理人已退场，监理工程师栏可空缺。</w:t>
      </w:r>
    </w:p>
    <w:p w14:paraId="6855D337">
      <w:pPr>
        <w:pStyle w:val="54"/>
        <w:spacing w:before="120" w:beforeLines="50"/>
        <w:ind w:left="720" w:hanging="720" w:hangingChars="400"/>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 xml:space="preserve">  2.本表一式四份，由承包人填报，发包人、监理人、造价咨询人、承包人各存一份。</w:t>
      </w:r>
    </w:p>
    <w:p w14:paraId="20AEC1F5">
      <w:pPr>
        <w:pStyle w:val="54"/>
        <w:spacing w:line="360" w:lineRule="auto"/>
        <w:jc w:val="left"/>
        <w:rPr>
          <w:rFonts w:ascii="Times New Roman" w:hAnsi="宋体" w:cs="宋体"/>
          <w:color w:val="auto"/>
          <w:sz w:val="30"/>
          <w:szCs w:val="30"/>
          <w:highlight w:val="none"/>
        </w:rPr>
      </w:pPr>
      <w:r>
        <w:rPr>
          <w:rFonts w:hint="eastAsia" w:ascii="Times New Roman" w:hAnsi="Times New Roman"/>
          <w:color w:val="auto"/>
          <w:sz w:val="30"/>
          <w:szCs w:val="30"/>
          <w:highlight w:val="none"/>
        </w:rPr>
        <w:t>附件14：</w:t>
      </w:r>
    </w:p>
    <w:p w14:paraId="36771EDE">
      <w:pPr>
        <w:pStyle w:val="54"/>
        <w:spacing w:line="360" w:lineRule="auto"/>
        <w:ind w:firstLine="720" w:firstLineChars="200"/>
        <w:jc w:val="center"/>
        <w:rPr>
          <w:rFonts w:ascii="宋体" w:hAnsi="宋体" w:cs="宋体"/>
          <w:color w:val="auto"/>
          <w:kern w:val="0"/>
          <w:sz w:val="36"/>
          <w:szCs w:val="36"/>
          <w:highlight w:val="none"/>
        </w:rPr>
      </w:pPr>
      <w:r>
        <w:rPr>
          <w:rFonts w:hint="eastAsia" w:ascii="宋体" w:hAnsi="宋体" w:cs="宋体"/>
          <w:color w:val="auto"/>
          <w:kern w:val="0"/>
          <w:sz w:val="36"/>
          <w:szCs w:val="36"/>
          <w:highlight w:val="none"/>
        </w:rPr>
        <w:t>总价合同进度款支付分解表</w:t>
      </w:r>
    </w:p>
    <w:p w14:paraId="6A757465">
      <w:pPr>
        <w:pStyle w:val="54"/>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工程名称：</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3119"/>
        <w:gridCol w:w="675"/>
        <w:gridCol w:w="2268"/>
        <w:gridCol w:w="1276"/>
      </w:tblGrid>
      <w:tr w14:paraId="6479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4FC691A5">
            <w:pPr>
              <w:pStyle w:val="54"/>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进度款期次</w:t>
            </w:r>
          </w:p>
        </w:tc>
        <w:tc>
          <w:tcPr>
            <w:tcW w:w="3794" w:type="dxa"/>
            <w:gridSpan w:val="2"/>
          </w:tcPr>
          <w:p w14:paraId="0FAD00D2">
            <w:pPr>
              <w:pStyle w:val="54"/>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形象进度</w:t>
            </w:r>
          </w:p>
        </w:tc>
        <w:tc>
          <w:tcPr>
            <w:tcW w:w="2268" w:type="dxa"/>
          </w:tcPr>
          <w:p w14:paraId="461813F4">
            <w:pPr>
              <w:pStyle w:val="54"/>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进度款付款金额（元）</w:t>
            </w:r>
          </w:p>
        </w:tc>
        <w:tc>
          <w:tcPr>
            <w:tcW w:w="1276" w:type="dxa"/>
          </w:tcPr>
          <w:p w14:paraId="6F4345DC">
            <w:pPr>
              <w:pStyle w:val="54"/>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14:paraId="3C02D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3FE5F9A4">
            <w:pPr>
              <w:pStyle w:val="54"/>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第一期</w:t>
            </w:r>
          </w:p>
        </w:tc>
        <w:tc>
          <w:tcPr>
            <w:tcW w:w="3794" w:type="dxa"/>
            <w:gridSpan w:val="2"/>
          </w:tcPr>
          <w:p w14:paraId="420A60C7">
            <w:pPr>
              <w:pStyle w:val="54"/>
              <w:spacing w:line="360" w:lineRule="auto"/>
              <w:jc w:val="center"/>
              <w:rPr>
                <w:rFonts w:ascii="宋体" w:hAnsi="宋体" w:cs="宋体"/>
                <w:color w:val="auto"/>
                <w:kern w:val="0"/>
                <w:szCs w:val="21"/>
                <w:highlight w:val="none"/>
              </w:rPr>
            </w:pPr>
          </w:p>
        </w:tc>
        <w:tc>
          <w:tcPr>
            <w:tcW w:w="2268" w:type="dxa"/>
          </w:tcPr>
          <w:p w14:paraId="2A8286DF">
            <w:pPr>
              <w:pStyle w:val="54"/>
              <w:spacing w:line="360" w:lineRule="auto"/>
              <w:jc w:val="center"/>
              <w:rPr>
                <w:rFonts w:ascii="宋体" w:hAnsi="宋体" w:cs="宋体"/>
                <w:color w:val="auto"/>
                <w:kern w:val="0"/>
                <w:szCs w:val="21"/>
                <w:highlight w:val="none"/>
              </w:rPr>
            </w:pPr>
          </w:p>
        </w:tc>
        <w:tc>
          <w:tcPr>
            <w:tcW w:w="1276" w:type="dxa"/>
          </w:tcPr>
          <w:p w14:paraId="7CAC49CA">
            <w:pPr>
              <w:pStyle w:val="54"/>
              <w:spacing w:line="360" w:lineRule="auto"/>
              <w:jc w:val="center"/>
              <w:rPr>
                <w:rFonts w:ascii="宋体" w:hAnsi="宋体" w:cs="宋体"/>
                <w:color w:val="auto"/>
                <w:kern w:val="0"/>
                <w:szCs w:val="21"/>
                <w:highlight w:val="none"/>
              </w:rPr>
            </w:pPr>
          </w:p>
        </w:tc>
      </w:tr>
      <w:tr w14:paraId="3AD2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50CC261A">
            <w:pPr>
              <w:pStyle w:val="54"/>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第二期</w:t>
            </w:r>
          </w:p>
        </w:tc>
        <w:tc>
          <w:tcPr>
            <w:tcW w:w="3794" w:type="dxa"/>
            <w:gridSpan w:val="2"/>
          </w:tcPr>
          <w:p w14:paraId="00E92D7D">
            <w:pPr>
              <w:pStyle w:val="54"/>
              <w:spacing w:line="360" w:lineRule="auto"/>
              <w:jc w:val="center"/>
              <w:rPr>
                <w:rFonts w:ascii="宋体" w:hAnsi="宋体" w:cs="宋体"/>
                <w:color w:val="auto"/>
                <w:kern w:val="0"/>
                <w:szCs w:val="21"/>
                <w:highlight w:val="none"/>
              </w:rPr>
            </w:pPr>
          </w:p>
        </w:tc>
        <w:tc>
          <w:tcPr>
            <w:tcW w:w="2268" w:type="dxa"/>
          </w:tcPr>
          <w:p w14:paraId="40479F55">
            <w:pPr>
              <w:pStyle w:val="54"/>
              <w:spacing w:line="360" w:lineRule="auto"/>
              <w:jc w:val="center"/>
              <w:rPr>
                <w:rFonts w:ascii="宋体" w:hAnsi="宋体" w:cs="宋体"/>
                <w:color w:val="auto"/>
                <w:kern w:val="0"/>
                <w:szCs w:val="21"/>
                <w:highlight w:val="none"/>
              </w:rPr>
            </w:pPr>
          </w:p>
        </w:tc>
        <w:tc>
          <w:tcPr>
            <w:tcW w:w="1276" w:type="dxa"/>
          </w:tcPr>
          <w:p w14:paraId="482FB1DE">
            <w:pPr>
              <w:pStyle w:val="54"/>
              <w:spacing w:line="360" w:lineRule="auto"/>
              <w:jc w:val="center"/>
              <w:rPr>
                <w:rFonts w:ascii="宋体" w:hAnsi="宋体" w:cs="宋体"/>
                <w:color w:val="auto"/>
                <w:kern w:val="0"/>
                <w:szCs w:val="21"/>
                <w:highlight w:val="none"/>
              </w:rPr>
            </w:pPr>
          </w:p>
        </w:tc>
      </w:tr>
      <w:tr w14:paraId="068B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4F72C69C">
            <w:pPr>
              <w:pStyle w:val="54"/>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第三期</w:t>
            </w:r>
          </w:p>
        </w:tc>
        <w:tc>
          <w:tcPr>
            <w:tcW w:w="3794" w:type="dxa"/>
            <w:gridSpan w:val="2"/>
          </w:tcPr>
          <w:p w14:paraId="71A264F9">
            <w:pPr>
              <w:pStyle w:val="54"/>
              <w:spacing w:line="360" w:lineRule="auto"/>
              <w:jc w:val="center"/>
              <w:rPr>
                <w:rFonts w:ascii="宋体" w:hAnsi="宋体" w:cs="宋体"/>
                <w:color w:val="auto"/>
                <w:kern w:val="0"/>
                <w:szCs w:val="21"/>
                <w:highlight w:val="none"/>
              </w:rPr>
            </w:pPr>
          </w:p>
        </w:tc>
        <w:tc>
          <w:tcPr>
            <w:tcW w:w="2268" w:type="dxa"/>
          </w:tcPr>
          <w:p w14:paraId="766CE43D">
            <w:pPr>
              <w:pStyle w:val="54"/>
              <w:spacing w:line="360" w:lineRule="auto"/>
              <w:jc w:val="center"/>
              <w:rPr>
                <w:rFonts w:ascii="宋体" w:hAnsi="宋体" w:cs="宋体"/>
                <w:color w:val="auto"/>
                <w:kern w:val="0"/>
                <w:szCs w:val="21"/>
                <w:highlight w:val="none"/>
              </w:rPr>
            </w:pPr>
          </w:p>
        </w:tc>
        <w:tc>
          <w:tcPr>
            <w:tcW w:w="1276" w:type="dxa"/>
          </w:tcPr>
          <w:p w14:paraId="24ACFCC5">
            <w:pPr>
              <w:pStyle w:val="54"/>
              <w:spacing w:line="360" w:lineRule="auto"/>
              <w:jc w:val="center"/>
              <w:rPr>
                <w:rFonts w:ascii="宋体" w:hAnsi="宋体" w:cs="宋体"/>
                <w:color w:val="auto"/>
                <w:kern w:val="0"/>
                <w:szCs w:val="21"/>
                <w:highlight w:val="none"/>
              </w:rPr>
            </w:pPr>
          </w:p>
        </w:tc>
      </w:tr>
      <w:tr w14:paraId="2B5E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49E16304">
            <w:pPr>
              <w:pStyle w:val="54"/>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w:t>
            </w:r>
          </w:p>
        </w:tc>
        <w:tc>
          <w:tcPr>
            <w:tcW w:w="3794" w:type="dxa"/>
            <w:gridSpan w:val="2"/>
          </w:tcPr>
          <w:p w14:paraId="5D725A0B">
            <w:pPr>
              <w:pStyle w:val="54"/>
              <w:spacing w:line="360" w:lineRule="auto"/>
              <w:jc w:val="center"/>
              <w:rPr>
                <w:rFonts w:ascii="宋体" w:hAnsi="宋体" w:cs="宋体"/>
                <w:color w:val="auto"/>
                <w:kern w:val="0"/>
                <w:szCs w:val="21"/>
                <w:highlight w:val="none"/>
              </w:rPr>
            </w:pPr>
          </w:p>
        </w:tc>
        <w:tc>
          <w:tcPr>
            <w:tcW w:w="2268" w:type="dxa"/>
          </w:tcPr>
          <w:p w14:paraId="744D013F">
            <w:pPr>
              <w:pStyle w:val="54"/>
              <w:spacing w:line="360" w:lineRule="auto"/>
              <w:jc w:val="center"/>
              <w:rPr>
                <w:rFonts w:ascii="宋体" w:hAnsi="宋体" w:cs="宋体"/>
                <w:color w:val="auto"/>
                <w:kern w:val="0"/>
                <w:szCs w:val="21"/>
                <w:highlight w:val="none"/>
              </w:rPr>
            </w:pPr>
          </w:p>
        </w:tc>
        <w:tc>
          <w:tcPr>
            <w:tcW w:w="1276" w:type="dxa"/>
          </w:tcPr>
          <w:p w14:paraId="20F64E53">
            <w:pPr>
              <w:pStyle w:val="54"/>
              <w:spacing w:line="360" w:lineRule="auto"/>
              <w:jc w:val="center"/>
              <w:rPr>
                <w:rFonts w:ascii="宋体" w:hAnsi="宋体" w:cs="宋体"/>
                <w:color w:val="auto"/>
                <w:kern w:val="0"/>
                <w:szCs w:val="21"/>
                <w:highlight w:val="none"/>
              </w:rPr>
            </w:pPr>
          </w:p>
        </w:tc>
      </w:tr>
      <w:tr w14:paraId="7A50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4536" w:type="dxa"/>
            <w:gridSpan w:val="2"/>
          </w:tcPr>
          <w:p w14:paraId="77D8D96B">
            <w:pPr>
              <w:pStyle w:val="54"/>
              <w:spacing w:line="360" w:lineRule="exact"/>
              <w:ind w:firstLine="435"/>
              <w:jc w:val="right"/>
              <w:rPr>
                <w:rFonts w:ascii="Times New Roman" w:hAnsi="Times New Roman"/>
                <w:color w:val="auto"/>
                <w:szCs w:val="21"/>
                <w:highlight w:val="none"/>
              </w:rPr>
            </w:pPr>
          </w:p>
          <w:p w14:paraId="5714C753">
            <w:pPr>
              <w:pStyle w:val="54"/>
              <w:spacing w:line="360" w:lineRule="exact"/>
              <w:ind w:firstLine="435"/>
              <w:jc w:val="center"/>
              <w:rPr>
                <w:rFonts w:ascii="Times New Roman" w:hAnsi="Times New Roman"/>
                <w:color w:val="auto"/>
                <w:szCs w:val="21"/>
                <w:highlight w:val="none"/>
              </w:rPr>
            </w:pPr>
          </w:p>
          <w:p w14:paraId="645883CC">
            <w:pPr>
              <w:pStyle w:val="54"/>
              <w:spacing w:line="360" w:lineRule="exact"/>
              <w:ind w:firstLine="435"/>
              <w:jc w:val="center"/>
              <w:rPr>
                <w:rFonts w:ascii="Times New Roman" w:hAnsi="Times New Roman"/>
                <w:color w:val="auto"/>
                <w:szCs w:val="21"/>
                <w:highlight w:val="none"/>
              </w:rPr>
            </w:pPr>
            <w:r>
              <w:rPr>
                <w:rFonts w:hint="eastAsia" w:ascii="Times New Roman" w:hAnsi="Times New Roman"/>
                <w:color w:val="auto"/>
                <w:szCs w:val="21"/>
                <w:highlight w:val="none"/>
              </w:rPr>
              <w:t>发包人代表签字：</w:t>
            </w:r>
          </w:p>
          <w:p w14:paraId="53914695">
            <w:pPr>
              <w:pStyle w:val="54"/>
              <w:spacing w:line="360" w:lineRule="exact"/>
              <w:ind w:firstLine="435"/>
              <w:jc w:val="center"/>
              <w:rPr>
                <w:rFonts w:ascii="Times New Roman" w:hAnsi="Times New Roman"/>
                <w:color w:val="auto"/>
                <w:szCs w:val="21"/>
                <w:highlight w:val="none"/>
              </w:rPr>
            </w:pPr>
          </w:p>
          <w:p w14:paraId="4E62C3AF">
            <w:pPr>
              <w:pStyle w:val="54"/>
              <w:spacing w:line="360" w:lineRule="exact"/>
              <w:ind w:firstLine="435"/>
              <w:jc w:val="center"/>
              <w:rPr>
                <w:rFonts w:ascii="Times New Roman" w:hAnsi="Times New Roman"/>
                <w:color w:val="auto"/>
                <w:szCs w:val="21"/>
                <w:highlight w:val="none"/>
              </w:rPr>
            </w:pPr>
            <w:r>
              <w:rPr>
                <w:rFonts w:hint="eastAsia" w:ascii="Times New Roman" w:hAnsi="Times New Roman"/>
                <w:color w:val="auto"/>
                <w:szCs w:val="21"/>
                <w:highlight w:val="none"/>
              </w:rPr>
              <w:t>发包人（盖公章）</w:t>
            </w:r>
          </w:p>
          <w:p w14:paraId="30B47B2B">
            <w:pPr>
              <w:pStyle w:val="54"/>
              <w:spacing w:line="360" w:lineRule="exact"/>
              <w:ind w:firstLine="435"/>
              <w:jc w:val="center"/>
              <w:rPr>
                <w:rFonts w:ascii="Times New Roman" w:hAnsi="Times New Roman"/>
                <w:color w:val="auto"/>
                <w:szCs w:val="21"/>
                <w:highlight w:val="none"/>
              </w:rPr>
            </w:pPr>
          </w:p>
          <w:p w14:paraId="27C57755">
            <w:pPr>
              <w:pStyle w:val="54"/>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日      期        </w:t>
            </w:r>
            <w:r>
              <w:rPr>
                <w:rFonts w:hint="eastAsia" w:ascii="Times New Roman" w:hAnsi="Times New Roman"/>
                <w:color w:val="auto"/>
                <w:szCs w:val="21"/>
                <w:highlight w:val="none"/>
                <w:u w:val="single"/>
              </w:rPr>
              <w:t xml:space="preserve">   </w:t>
            </w:r>
          </w:p>
        </w:tc>
        <w:tc>
          <w:tcPr>
            <w:tcW w:w="4219" w:type="dxa"/>
            <w:gridSpan w:val="3"/>
          </w:tcPr>
          <w:p w14:paraId="4DA44B96">
            <w:pPr>
              <w:pStyle w:val="54"/>
              <w:spacing w:line="360" w:lineRule="exact"/>
              <w:ind w:firstLine="435"/>
              <w:jc w:val="center"/>
              <w:rPr>
                <w:rFonts w:ascii="Times New Roman" w:hAnsi="Times New Roman"/>
                <w:color w:val="auto"/>
                <w:szCs w:val="21"/>
                <w:highlight w:val="none"/>
              </w:rPr>
            </w:pPr>
          </w:p>
          <w:p w14:paraId="03D8BFDD">
            <w:pPr>
              <w:pStyle w:val="54"/>
              <w:spacing w:line="360" w:lineRule="exact"/>
              <w:ind w:firstLine="435"/>
              <w:jc w:val="center"/>
              <w:rPr>
                <w:rFonts w:ascii="Times New Roman" w:hAnsi="Times New Roman"/>
                <w:color w:val="auto"/>
                <w:szCs w:val="21"/>
                <w:highlight w:val="none"/>
                <w:u w:val="single"/>
              </w:rPr>
            </w:pPr>
          </w:p>
          <w:p w14:paraId="61A46A23">
            <w:pPr>
              <w:pStyle w:val="54"/>
              <w:spacing w:line="360" w:lineRule="exact"/>
              <w:ind w:firstLine="435"/>
              <w:jc w:val="center"/>
              <w:rPr>
                <w:rFonts w:ascii="Times New Roman" w:hAnsi="Times New Roman"/>
                <w:color w:val="auto"/>
                <w:szCs w:val="21"/>
                <w:highlight w:val="none"/>
              </w:rPr>
            </w:pPr>
            <w:r>
              <w:rPr>
                <w:rFonts w:hint="eastAsia" w:ascii="Times New Roman" w:hAnsi="Times New Roman"/>
                <w:color w:val="auto"/>
                <w:szCs w:val="21"/>
                <w:highlight w:val="none"/>
              </w:rPr>
              <w:t>承包人代表签字：</w:t>
            </w:r>
          </w:p>
          <w:p w14:paraId="334DD483">
            <w:pPr>
              <w:pStyle w:val="54"/>
              <w:spacing w:line="360" w:lineRule="exact"/>
              <w:ind w:firstLine="435"/>
              <w:jc w:val="center"/>
              <w:rPr>
                <w:rFonts w:ascii="Times New Roman" w:hAnsi="Times New Roman"/>
                <w:color w:val="auto"/>
                <w:szCs w:val="21"/>
                <w:highlight w:val="none"/>
              </w:rPr>
            </w:pPr>
          </w:p>
          <w:p w14:paraId="6A9E6EFA">
            <w:pPr>
              <w:pStyle w:val="54"/>
              <w:spacing w:line="360" w:lineRule="exact"/>
              <w:ind w:firstLine="435"/>
              <w:jc w:val="center"/>
              <w:rPr>
                <w:rFonts w:ascii="Times New Roman" w:hAnsi="Times New Roman"/>
                <w:color w:val="auto"/>
                <w:szCs w:val="21"/>
                <w:highlight w:val="none"/>
              </w:rPr>
            </w:pPr>
            <w:r>
              <w:rPr>
                <w:rFonts w:hint="eastAsia" w:ascii="Times New Roman" w:hAnsi="Times New Roman"/>
                <w:color w:val="auto"/>
                <w:szCs w:val="21"/>
                <w:highlight w:val="none"/>
              </w:rPr>
              <w:t>承包人（盖公章）</w:t>
            </w:r>
          </w:p>
          <w:p w14:paraId="678B7A54">
            <w:pPr>
              <w:pStyle w:val="54"/>
              <w:spacing w:line="360" w:lineRule="exact"/>
              <w:ind w:firstLine="435"/>
              <w:jc w:val="center"/>
              <w:rPr>
                <w:rFonts w:ascii="Times New Roman" w:hAnsi="Times New Roman"/>
                <w:color w:val="auto"/>
                <w:szCs w:val="21"/>
                <w:highlight w:val="none"/>
              </w:rPr>
            </w:pPr>
          </w:p>
          <w:p w14:paraId="1328153F">
            <w:pPr>
              <w:pStyle w:val="54"/>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日      期</w:t>
            </w:r>
            <w:r>
              <w:rPr>
                <w:rFonts w:hint="eastAsia" w:ascii="Times New Roman" w:hAnsi="Times New Roman"/>
                <w:color w:val="auto"/>
                <w:szCs w:val="21"/>
                <w:highlight w:val="none"/>
                <w:u w:val="single"/>
              </w:rPr>
              <w:t xml:space="preserve">        </w:t>
            </w:r>
          </w:p>
        </w:tc>
      </w:tr>
    </w:tbl>
    <w:p w14:paraId="2329B3CC">
      <w:pPr>
        <w:pStyle w:val="15"/>
        <w:rPr>
          <w:color w:val="auto"/>
          <w:highlight w:val="none"/>
        </w:rPr>
      </w:pPr>
    </w:p>
    <w:p w14:paraId="00F605FA">
      <w:pPr>
        <w:pStyle w:val="15"/>
        <w:rPr>
          <w:color w:val="auto"/>
          <w:highlight w:val="none"/>
        </w:rPr>
      </w:pPr>
    </w:p>
    <w:p w14:paraId="74F5F41E">
      <w:pPr>
        <w:pStyle w:val="15"/>
        <w:rPr>
          <w:color w:val="auto"/>
          <w:highlight w:val="none"/>
        </w:rPr>
      </w:pPr>
    </w:p>
    <w:p w14:paraId="0FF753DE">
      <w:pPr>
        <w:pStyle w:val="15"/>
        <w:rPr>
          <w:color w:val="auto"/>
          <w:highlight w:val="none"/>
        </w:rPr>
      </w:pPr>
    </w:p>
    <w:p w14:paraId="225C6738">
      <w:pPr>
        <w:pStyle w:val="15"/>
        <w:rPr>
          <w:color w:val="auto"/>
          <w:highlight w:val="none"/>
        </w:rPr>
      </w:pPr>
    </w:p>
    <w:p w14:paraId="3B55F30D">
      <w:pPr>
        <w:pStyle w:val="15"/>
        <w:rPr>
          <w:color w:val="auto"/>
          <w:highlight w:val="none"/>
        </w:rPr>
      </w:pPr>
    </w:p>
    <w:p w14:paraId="4688A105">
      <w:pPr>
        <w:pStyle w:val="15"/>
        <w:rPr>
          <w:color w:val="auto"/>
          <w:highlight w:val="none"/>
        </w:rPr>
      </w:pPr>
    </w:p>
    <w:p w14:paraId="5B486B39">
      <w:pPr>
        <w:pStyle w:val="15"/>
        <w:rPr>
          <w:color w:val="auto"/>
          <w:highlight w:val="none"/>
        </w:rPr>
      </w:pPr>
    </w:p>
    <w:p w14:paraId="3E71C451">
      <w:pPr>
        <w:pStyle w:val="15"/>
        <w:rPr>
          <w:color w:val="auto"/>
          <w:highlight w:val="none"/>
        </w:rPr>
      </w:pPr>
    </w:p>
    <w:p w14:paraId="631DAD63">
      <w:pPr>
        <w:pStyle w:val="15"/>
        <w:rPr>
          <w:color w:val="auto"/>
          <w:highlight w:val="none"/>
        </w:rPr>
      </w:pPr>
    </w:p>
    <w:p w14:paraId="7D8352B2">
      <w:pPr>
        <w:pStyle w:val="15"/>
        <w:rPr>
          <w:color w:val="auto"/>
          <w:highlight w:val="none"/>
        </w:rPr>
      </w:pPr>
    </w:p>
    <w:p w14:paraId="66EBAE70">
      <w:pPr>
        <w:pStyle w:val="15"/>
        <w:rPr>
          <w:color w:val="auto"/>
          <w:highlight w:val="none"/>
        </w:rPr>
      </w:pPr>
    </w:p>
    <w:p w14:paraId="1BEEAB84">
      <w:pPr>
        <w:pStyle w:val="15"/>
        <w:rPr>
          <w:color w:val="auto"/>
          <w:highlight w:val="none"/>
        </w:rPr>
      </w:pPr>
    </w:p>
    <w:p w14:paraId="73855153">
      <w:pPr>
        <w:pStyle w:val="15"/>
        <w:rPr>
          <w:color w:val="auto"/>
          <w:highlight w:val="none"/>
        </w:rPr>
      </w:pPr>
    </w:p>
    <w:p w14:paraId="2B18DB27">
      <w:pPr>
        <w:pStyle w:val="15"/>
        <w:rPr>
          <w:color w:val="auto"/>
          <w:highlight w:val="none"/>
        </w:rPr>
      </w:pPr>
    </w:p>
    <w:p w14:paraId="1504FB8B">
      <w:pPr>
        <w:pStyle w:val="15"/>
        <w:rPr>
          <w:color w:val="auto"/>
          <w:highlight w:val="none"/>
        </w:rPr>
      </w:pPr>
    </w:p>
    <w:p w14:paraId="436EC151">
      <w:pPr>
        <w:pStyle w:val="15"/>
        <w:rPr>
          <w:color w:val="auto"/>
          <w:highlight w:val="none"/>
        </w:rPr>
      </w:pPr>
    </w:p>
    <w:p w14:paraId="5363D3F4">
      <w:pPr>
        <w:pStyle w:val="15"/>
        <w:rPr>
          <w:color w:val="auto"/>
          <w:highlight w:val="none"/>
        </w:rPr>
      </w:pPr>
    </w:p>
    <w:p w14:paraId="23AEDE3D">
      <w:pPr>
        <w:pStyle w:val="15"/>
        <w:rPr>
          <w:color w:val="auto"/>
          <w:highlight w:val="none"/>
        </w:rPr>
      </w:pPr>
    </w:p>
    <w:p w14:paraId="0AEEDFC7">
      <w:pPr>
        <w:pStyle w:val="15"/>
        <w:rPr>
          <w:color w:val="auto"/>
          <w:highlight w:val="none"/>
        </w:rPr>
      </w:pPr>
    </w:p>
    <w:p w14:paraId="0C10BD27">
      <w:pPr>
        <w:pStyle w:val="15"/>
        <w:rPr>
          <w:color w:val="auto"/>
          <w:highlight w:val="none"/>
        </w:rPr>
      </w:pPr>
    </w:p>
    <w:p w14:paraId="4BAC153D">
      <w:pPr>
        <w:pStyle w:val="15"/>
        <w:rPr>
          <w:color w:val="auto"/>
          <w:highlight w:val="none"/>
        </w:rPr>
      </w:pPr>
    </w:p>
    <w:p w14:paraId="65A4E24C">
      <w:pPr>
        <w:pStyle w:val="15"/>
        <w:rPr>
          <w:color w:val="auto"/>
          <w:highlight w:val="none"/>
        </w:rPr>
      </w:pPr>
    </w:p>
    <w:p w14:paraId="5B017BF4">
      <w:pPr>
        <w:pStyle w:val="15"/>
        <w:rPr>
          <w:color w:val="auto"/>
          <w:highlight w:val="none"/>
        </w:rPr>
      </w:pPr>
    </w:p>
    <w:p w14:paraId="64213B16">
      <w:pPr>
        <w:pStyle w:val="15"/>
        <w:rPr>
          <w:color w:val="auto"/>
          <w:highlight w:val="none"/>
        </w:rPr>
      </w:pPr>
    </w:p>
    <w:p w14:paraId="71097023">
      <w:pPr>
        <w:pStyle w:val="15"/>
        <w:rPr>
          <w:color w:val="auto"/>
          <w:highlight w:val="none"/>
        </w:rPr>
      </w:pPr>
    </w:p>
    <w:p w14:paraId="7CD6FA09">
      <w:pPr>
        <w:pStyle w:val="15"/>
        <w:rPr>
          <w:color w:val="auto"/>
          <w:highlight w:val="none"/>
        </w:rPr>
      </w:pPr>
    </w:p>
    <w:p w14:paraId="452D5EC1">
      <w:pPr>
        <w:pStyle w:val="15"/>
        <w:rPr>
          <w:color w:val="auto"/>
          <w:highlight w:val="none"/>
        </w:rPr>
      </w:pPr>
    </w:p>
    <w:p w14:paraId="7EBFBAC7">
      <w:pPr>
        <w:pStyle w:val="15"/>
        <w:rPr>
          <w:color w:val="auto"/>
          <w:highlight w:val="none"/>
        </w:rPr>
      </w:pPr>
    </w:p>
    <w:p w14:paraId="29210E9D">
      <w:pPr>
        <w:pStyle w:val="15"/>
        <w:rPr>
          <w:color w:val="auto"/>
          <w:highlight w:val="none"/>
        </w:rPr>
      </w:pPr>
    </w:p>
    <w:p w14:paraId="0E3B538F">
      <w:pPr>
        <w:pStyle w:val="15"/>
        <w:rPr>
          <w:color w:val="auto"/>
          <w:highlight w:val="none"/>
        </w:rPr>
      </w:pPr>
    </w:p>
    <w:p w14:paraId="3C62184A">
      <w:pPr>
        <w:pStyle w:val="3"/>
        <w:spacing w:line="500" w:lineRule="exact"/>
        <w:jc w:val="center"/>
        <w:rPr>
          <w:color w:val="auto"/>
          <w:sz w:val="32"/>
          <w:szCs w:val="32"/>
          <w:highlight w:val="none"/>
        </w:rPr>
      </w:pPr>
      <w:bookmarkStart w:id="1344" w:name="_Toc30066"/>
      <w:bookmarkStart w:id="1345" w:name="_Toc5432"/>
      <w:r>
        <w:rPr>
          <w:rFonts w:hint="eastAsia" w:ascii="宋体" w:hAnsi="宋体" w:cs="宋体"/>
          <w:color w:val="auto"/>
          <w:sz w:val="32"/>
          <w:szCs w:val="32"/>
          <w:highlight w:val="none"/>
        </w:rPr>
        <w:t>第</w:t>
      </w:r>
      <w:r>
        <w:rPr>
          <w:rFonts w:hint="eastAsia" w:ascii="宋体" w:hAnsi="宋体" w:cs="宋体"/>
          <w:color w:val="auto"/>
          <w:sz w:val="32"/>
          <w:szCs w:val="32"/>
          <w:highlight w:val="none"/>
          <w:lang w:eastAsia="zh-CN"/>
        </w:rPr>
        <w:t>五</w:t>
      </w:r>
      <w:r>
        <w:rPr>
          <w:rFonts w:hint="eastAsia" w:ascii="宋体" w:hAnsi="宋体" w:cs="宋体"/>
          <w:color w:val="auto"/>
          <w:sz w:val="32"/>
          <w:szCs w:val="32"/>
          <w:highlight w:val="none"/>
        </w:rPr>
        <w:t>章  工程量清单</w:t>
      </w:r>
      <w:bookmarkEnd w:id="232"/>
      <w:bookmarkEnd w:id="233"/>
      <w:bookmarkEnd w:id="234"/>
      <w:bookmarkEnd w:id="235"/>
      <w:bookmarkEnd w:id="1344"/>
      <w:bookmarkEnd w:id="1345"/>
    </w:p>
    <w:bookmarkEnd w:id="236"/>
    <w:p w14:paraId="1CC583E4">
      <w:pPr>
        <w:spacing w:line="500" w:lineRule="exact"/>
        <w:rPr>
          <w:rFonts w:ascii="宋体" w:hAnsi="宋体" w:cs="宋体"/>
          <w:color w:val="auto"/>
          <w:highlight w:val="none"/>
        </w:rPr>
      </w:pPr>
    </w:p>
    <w:p w14:paraId="3C6CED7A">
      <w:pPr>
        <w:spacing w:line="500" w:lineRule="exact"/>
        <w:jc w:val="center"/>
        <w:rPr>
          <w:rFonts w:ascii="宋体" w:hAnsi="宋体" w:cs="宋体"/>
          <w:color w:val="auto"/>
          <w:highlight w:val="none"/>
        </w:rPr>
        <w:sectPr>
          <w:footerReference r:id="rId6" w:type="default"/>
          <w:pgSz w:w="11905" w:h="16838"/>
          <w:pgMar w:top="1440" w:right="1083" w:bottom="1440" w:left="1083" w:header="851" w:footer="850" w:gutter="0"/>
          <w:cols w:space="0" w:num="1"/>
          <w:docGrid w:linePitch="312" w:charSpace="0"/>
        </w:sectPr>
      </w:pPr>
      <w:r>
        <w:rPr>
          <w:rFonts w:hint="eastAsia" w:ascii="宋体" w:hAnsi="宋体" w:cs="宋体"/>
          <w:b/>
          <w:bCs/>
          <w:color w:val="auto"/>
          <w:sz w:val="32"/>
          <w:szCs w:val="32"/>
          <w:highlight w:val="none"/>
        </w:rPr>
        <w:t>（另附</w:t>
      </w:r>
      <w:r>
        <w:rPr>
          <w:rFonts w:hint="eastAsia" w:ascii="宋体" w:hAnsi="宋体" w:cs="宋体"/>
          <w:b/>
          <w:color w:val="auto"/>
          <w:sz w:val="32"/>
          <w:szCs w:val="32"/>
          <w:highlight w:val="none"/>
        </w:rPr>
        <w:t>）</w:t>
      </w:r>
    </w:p>
    <w:p w14:paraId="21F1FCAA">
      <w:pPr>
        <w:pStyle w:val="4"/>
        <w:spacing w:line="500" w:lineRule="exact"/>
        <w:jc w:val="center"/>
        <w:outlineLvl w:val="0"/>
        <w:rPr>
          <w:rFonts w:ascii="宋体" w:hAnsi="宋体" w:cs="宋体"/>
          <w:b/>
          <w:bCs w:val="0"/>
          <w:color w:val="auto"/>
          <w:kern w:val="0"/>
          <w:sz w:val="32"/>
          <w:highlight w:val="none"/>
        </w:rPr>
      </w:pPr>
      <w:bookmarkStart w:id="1346" w:name="_Toc20938"/>
      <w:bookmarkStart w:id="1347" w:name="_Toc267582061"/>
      <w:bookmarkStart w:id="1348" w:name="_Toc389145997"/>
      <w:bookmarkStart w:id="1349" w:name="_Toc31497"/>
      <w:bookmarkStart w:id="1350" w:name="_Toc207443031"/>
      <w:bookmarkStart w:id="1351" w:name="_Toc455670848"/>
      <w:r>
        <w:rPr>
          <w:rFonts w:hint="eastAsia" w:ascii="宋体" w:hAnsi="宋体" w:cs="宋体"/>
          <w:b/>
          <w:bCs w:val="0"/>
          <w:color w:val="auto"/>
          <w:kern w:val="0"/>
          <w:sz w:val="32"/>
          <w:highlight w:val="none"/>
        </w:rPr>
        <w:t>第</w:t>
      </w:r>
      <w:r>
        <w:rPr>
          <w:rFonts w:hint="eastAsia" w:ascii="宋体" w:hAnsi="宋体" w:cs="宋体"/>
          <w:b/>
          <w:bCs w:val="0"/>
          <w:color w:val="auto"/>
          <w:kern w:val="0"/>
          <w:sz w:val="32"/>
          <w:highlight w:val="none"/>
          <w:lang w:val="en-US" w:eastAsia="zh-CN"/>
        </w:rPr>
        <w:t>六</w:t>
      </w:r>
      <w:r>
        <w:rPr>
          <w:rFonts w:hint="eastAsia" w:ascii="宋体" w:hAnsi="宋体" w:cs="宋体"/>
          <w:b/>
          <w:bCs w:val="0"/>
          <w:color w:val="auto"/>
          <w:kern w:val="0"/>
          <w:sz w:val="32"/>
          <w:highlight w:val="none"/>
        </w:rPr>
        <w:t>章</w:t>
      </w:r>
      <w:r>
        <w:rPr>
          <w:rFonts w:hint="eastAsia" w:ascii="宋体" w:hAnsi="宋体" w:cs="宋体"/>
          <w:b/>
          <w:bCs w:val="0"/>
          <w:color w:val="auto"/>
          <w:kern w:val="0"/>
          <w:sz w:val="32"/>
          <w:highlight w:val="none"/>
        </w:rPr>
        <w:tab/>
      </w:r>
      <w:r>
        <w:rPr>
          <w:rFonts w:hint="eastAsia" w:ascii="宋体" w:hAnsi="宋体" w:cs="宋体"/>
          <w:b/>
          <w:bCs w:val="0"/>
          <w:color w:val="auto"/>
          <w:kern w:val="0"/>
          <w:sz w:val="32"/>
          <w:highlight w:val="none"/>
        </w:rPr>
        <w:t>技术标准</w:t>
      </w:r>
      <w:bookmarkEnd w:id="1346"/>
      <w:bookmarkEnd w:id="1347"/>
      <w:bookmarkEnd w:id="1348"/>
      <w:bookmarkEnd w:id="1349"/>
      <w:bookmarkEnd w:id="1350"/>
      <w:bookmarkEnd w:id="1351"/>
    </w:p>
    <w:p w14:paraId="5D281C11">
      <w:pPr>
        <w:spacing w:line="500" w:lineRule="exact"/>
        <w:rPr>
          <w:rFonts w:ascii="宋体" w:hAnsi="宋体" w:cs="宋体"/>
          <w:color w:val="auto"/>
          <w:kern w:val="0"/>
          <w:sz w:val="10"/>
          <w:szCs w:val="10"/>
          <w:highlight w:val="none"/>
        </w:rPr>
      </w:pPr>
    </w:p>
    <w:p w14:paraId="479BC3B1">
      <w:pPr>
        <w:spacing w:line="50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符合国家行业和地方现行标准、规范和规程。</w:t>
      </w:r>
    </w:p>
    <w:p w14:paraId="736C6932">
      <w:pPr>
        <w:spacing w:line="460" w:lineRule="exact"/>
        <w:jc w:val="center"/>
        <w:outlineLvl w:val="9"/>
        <w:rPr>
          <w:rFonts w:ascii="华文中宋" w:hAnsi="华文中宋" w:eastAsia="华文中宋" w:cs="华文中宋"/>
          <w:b/>
          <w:bCs/>
          <w:color w:val="auto"/>
          <w:sz w:val="32"/>
          <w:szCs w:val="32"/>
          <w:highlight w:val="none"/>
        </w:rPr>
      </w:pPr>
    </w:p>
    <w:p w14:paraId="20DA7250">
      <w:pPr>
        <w:spacing w:line="460" w:lineRule="exact"/>
        <w:jc w:val="center"/>
        <w:outlineLvl w:val="9"/>
        <w:rPr>
          <w:rFonts w:ascii="华文中宋" w:hAnsi="华文中宋" w:eastAsia="华文中宋" w:cs="华文中宋"/>
          <w:b/>
          <w:bCs/>
          <w:color w:val="auto"/>
          <w:sz w:val="32"/>
          <w:szCs w:val="32"/>
          <w:highlight w:val="none"/>
        </w:rPr>
      </w:pPr>
    </w:p>
    <w:p w14:paraId="34132B3D">
      <w:pPr>
        <w:spacing w:line="460" w:lineRule="exact"/>
        <w:jc w:val="center"/>
        <w:outlineLvl w:val="9"/>
        <w:rPr>
          <w:rFonts w:ascii="华文中宋" w:hAnsi="华文中宋" w:eastAsia="华文中宋" w:cs="华文中宋"/>
          <w:b/>
          <w:bCs/>
          <w:color w:val="auto"/>
          <w:sz w:val="32"/>
          <w:szCs w:val="32"/>
          <w:highlight w:val="none"/>
        </w:rPr>
      </w:pPr>
    </w:p>
    <w:p w14:paraId="39BBEE85">
      <w:pPr>
        <w:spacing w:line="460" w:lineRule="exact"/>
        <w:jc w:val="center"/>
        <w:outlineLvl w:val="9"/>
        <w:rPr>
          <w:rFonts w:ascii="华文中宋" w:hAnsi="华文中宋" w:eastAsia="华文中宋" w:cs="华文中宋"/>
          <w:b/>
          <w:bCs/>
          <w:color w:val="auto"/>
          <w:sz w:val="32"/>
          <w:szCs w:val="32"/>
          <w:highlight w:val="none"/>
        </w:rPr>
      </w:pPr>
    </w:p>
    <w:p w14:paraId="07140AC1">
      <w:pPr>
        <w:spacing w:line="460" w:lineRule="exact"/>
        <w:jc w:val="center"/>
        <w:outlineLvl w:val="9"/>
        <w:rPr>
          <w:rFonts w:ascii="华文中宋" w:hAnsi="华文中宋" w:eastAsia="华文中宋" w:cs="华文中宋"/>
          <w:b/>
          <w:bCs/>
          <w:color w:val="auto"/>
          <w:sz w:val="32"/>
          <w:szCs w:val="32"/>
          <w:highlight w:val="none"/>
        </w:rPr>
      </w:pPr>
    </w:p>
    <w:p w14:paraId="106FF211">
      <w:pPr>
        <w:spacing w:line="460" w:lineRule="exact"/>
        <w:jc w:val="center"/>
        <w:outlineLvl w:val="9"/>
        <w:rPr>
          <w:rFonts w:ascii="华文中宋" w:hAnsi="华文中宋" w:eastAsia="华文中宋" w:cs="华文中宋"/>
          <w:b/>
          <w:bCs/>
          <w:color w:val="auto"/>
          <w:sz w:val="32"/>
          <w:szCs w:val="32"/>
          <w:highlight w:val="none"/>
        </w:rPr>
      </w:pPr>
    </w:p>
    <w:p w14:paraId="66AC5EE0">
      <w:pPr>
        <w:spacing w:line="460" w:lineRule="exact"/>
        <w:jc w:val="center"/>
        <w:outlineLvl w:val="9"/>
        <w:rPr>
          <w:rFonts w:ascii="华文中宋" w:hAnsi="华文中宋" w:eastAsia="华文中宋" w:cs="华文中宋"/>
          <w:b/>
          <w:bCs/>
          <w:color w:val="auto"/>
          <w:sz w:val="32"/>
          <w:szCs w:val="32"/>
          <w:highlight w:val="none"/>
        </w:rPr>
      </w:pPr>
    </w:p>
    <w:p w14:paraId="47FD6FA4">
      <w:pPr>
        <w:spacing w:line="440" w:lineRule="exact"/>
        <w:ind w:firstLine="611"/>
        <w:rPr>
          <w:rFonts w:hAnsi="Courier New"/>
          <w:color w:val="auto"/>
          <w:highlight w:val="none"/>
        </w:rPr>
      </w:pPr>
    </w:p>
    <w:p w14:paraId="5AB222F5">
      <w:pPr>
        <w:spacing w:line="460" w:lineRule="exact"/>
        <w:jc w:val="center"/>
        <w:outlineLvl w:val="9"/>
        <w:rPr>
          <w:rFonts w:ascii="华文中宋" w:hAnsi="华文中宋" w:eastAsia="华文中宋" w:cs="华文中宋"/>
          <w:b/>
          <w:bCs/>
          <w:color w:val="auto"/>
          <w:sz w:val="32"/>
          <w:szCs w:val="32"/>
          <w:highlight w:val="none"/>
        </w:rPr>
      </w:pPr>
    </w:p>
    <w:p w14:paraId="09711901">
      <w:pPr>
        <w:spacing w:line="460" w:lineRule="exact"/>
        <w:jc w:val="center"/>
        <w:outlineLvl w:val="9"/>
        <w:rPr>
          <w:rFonts w:ascii="华文中宋" w:hAnsi="华文中宋" w:eastAsia="华文中宋" w:cs="华文中宋"/>
          <w:b/>
          <w:bCs/>
          <w:color w:val="auto"/>
          <w:sz w:val="32"/>
          <w:szCs w:val="32"/>
          <w:highlight w:val="none"/>
        </w:rPr>
      </w:pPr>
    </w:p>
    <w:p w14:paraId="1CA5F5E7">
      <w:pPr>
        <w:spacing w:line="460" w:lineRule="exact"/>
        <w:jc w:val="center"/>
        <w:outlineLvl w:val="9"/>
        <w:rPr>
          <w:rFonts w:ascii="华文中宋" w:hAnsi="华文中宋" w:eastAsia="华文中宋" w:cs="华文中宋"/>
          <w:b/>
          <w:bCs/>
          <w:color w:val="auto"/>
          <w:sz w:val="32"/>
          <w:szCs w:val="32"/>
          <w:highlight w:val="none"/>
        </w:rPr>
      </w:pPr>
    </w:p>
    <w:p w14:paraId="0A4087B1">
      <w:pPr>
        <w:spacing w:line="460" w:lineRule="exact"/>
        <w:jc w:val="center"/>
        <w:outlineLvl w:val="9"/>
        <w:rPr>
          <w:rFonts w:ascii="华文中宋" w:hAnsi="华文中宋" w:eastAsia="华文中宋" w:cs="华文中宋"/>
          <w:b/>
          <w:bCs/>
          <w:color w:val="auto"/>
          <w:sz w:val="32"/>
          <w:szCs w:val="32"/>
          <w:highlight w:val="none"/>
        </w:rPr>
      </w:pPr>
    </w:p>
    <w:p w14:paraId="7DB551F0">
      <w:pPr>
        <w:spacing w:line="460" w:lineRule="exact"/>
        <w:jc w:val="center"/>
        <w:outlineLvl w:val="9"/>
        <w:rPr>
          <w:rFonts w:ascii="华文中宋" w:hAnsi="华文中宋" w:eastAsia="华文中宋" w:cs="华文中宋"/>
          <w:b/>
          <w:bCs/>
          <w:color w:val="auto"/>
          <w:sz w:val="32"/>
          <w:szCs w:val="32"/>
          <w:highlight w:val="none"/>
        </w:rPr>
      </w:pPr>
    </w:p>
    <w:p w14:paraId="081FB410">
      <w:pPr>
        <w:spacing w:line="460" w:lineRule="exact"/>
        <w:jc w:val="center"/>
        <w:outlineLvl w:val="9"/>
        <w:rPr>
          <w:rFonts w:ascii="华文中宋" w:hAnsi="华文中宋" w:eastAsia="华文中宋" w:cs="华文中宋"/>
          <w:b/>
          <w:bCs/>
          <w:color w:val="auto"/>
          <w:sz w:val="32"/>
          <w:szCs w:val="32"/>
          <w:highlight w:val="none"/>
        </w:rPr>
      </w:pPr>
    </w:p>
    <w:p w14:paraId="43BFDDF7">
      <w:pPr>
        <w:spacing w:line="460" w:lineRule="exact"/>
        <w:jc w:val="center"/>
        <w:outlineLvl w:val="9"/>
        <w:rPr>
          <w:rFonts w:ascii="华文中宋" w:hAnsi="华文中宋" w:eastAsia="华文中宋" w:cs="华文中宋"/>
          <w:b/>
          <w:bCs/>
          <w:color w:val="auto"/>
          <w:sz w:val="32"/>
          <w:szCs w:val="32"/>
          <w:highlight w:val="none"/>
        </w:rPr>
      </w:pPr>
    </w:p>
    <w:p w14:paraId="02744604">
      <w:pPr>
        <w:spacing w:line="460" w:lineRule="exact"/>
        <w:jc w:val="center"/>
        <w:outlineLvl w:val="9"/>
        <w:rPr>
          <w:rFonts w:ascii="华文中宋" w:hAnsi="华文中宋" w:eastAsia="华文中宋" w:cs="华文中宋"/>
          <w:b/>
          <w:bCs/>
          <w:color w:val="auto"/>
          <w:sz w:val="32"/>
          <w:szCs w:val="32"/>
          <w:highlight w:val="none"/>
        </w:rPr>
      </w:pPr>
    </w:p>
    <w:p w14:paraId="033DEDD7">
      <w:pPr>
        <w:spacing w:line="460" w:lineRule="exact"/>
        <w:jc w:val="center"/>
        <w:outlineLvl w:val="9"/>
        <w:rPr>
          <w:rFonts w:ascii="华文中宋" w:hAnsi="华文中宋" w:eastAsia="华文中宋" w:cs="华文中宋"/>
          <w:b/>
          <w:bCs/>
          <w:color w:val="auto"/>
          <w:sz w:val="32"/>
          <w:szCs w:val="32"/>
          <w:highlight w:val="none"/>
        </w:rPr>
      </w:pPr>
    </w:p>
    <w:p w14:paraId="0497DBBD">
      <w:pPr>
        <w:spacing w:line="460" w:lineRule="exact"/>
        <w:jc w:val="center"/>
        <w:outlineLvl w:val="9"/>
        <w:rPr>
          <w:rFonts w:ascii="华文中宋" w:hAnsi="华文中宋" w:eastAsia="华文中宋" w:cs="华文中宋"/>
          <w:b/>
          <w:bCs/>
          <w:color w:val="auto"/>
          <w:sz w:val="32"/>
          <w:szCs w:val="32"/>
          <w:highlight w:val="none"/>
        </w:rPr>
      </w:pPr>
    </w:p>
    <w:p w14:paraId="7F8D9517">
      <w:pPr>
        <w:spacing w:line="460" w:lineRule="exact"/>
        <w:jc w:val="center"/>
        <w:outlineLvl w:val="9"/>
        <w:rPr>
          <w:rFonts w:ascii="华文中宋" w:hAnsi="华文中宋" w:eastAsia="华文中宋" w:cs="华文中宋"/>
          <w:b/>
          <w:bCs/>
          <w:color w:val="auto"/>
          <w:sz w:val="32"/>
          <w:szCs w:val="32"/>
          <w:highlight w:val="none"/>
        </w:rPr>
      </w:pPr>
    </w:p>
    <w:p w14:paraId="52FEE2CC">
      <w:pPr>
        <w:spacing w:line="460" w:lineRule="exact"/>
        <w:jc w:val="center"/>
        <w:outlineLvl w:val="9"/>
        <w:rPr>
          <w:rFonts w:ascii="华文中宋" w:hAnsi="华文中宋" w:eastAsia="华文中宋" w:cs="华文中宋"/>
          <w:b/>
          <w:bCs/>
          <w:color w:val="auto"/>
          <w:sz w:val="32"/>
          <w:szCs w:val="32"/>
          <w:highlight w:val="none"/>
        </w:rPr>
      </w:pPr>
    </w:p>
    <w:p w14:paraId="55C38503">
      <w:pPr>
        <w:spacing w:line="460" w:lineRule="exact"/>
        <w:jc w:val="center"/>
        <w:outlineLvl w:val="9"/>
        <w:rPr>
          <w:rFonts w:ascii="华文中宋" w:hAnsi="华文中宋" w:eastAsia="华文中宋" w:cs="华文中宋"/>
          <w:b/>
          <w:bCs/>
          <w:color w:val="auto"/>
          <w:sz w:val="32"/>
          <w:szCs w:val="32"/>
          <w:highlight w:val="none"/>
        </w:rPr>
      </w:pPr>
    </w:p>
    <w:p w14:paraId="50F84EA4">
      <w:pPr>
        <w:spacing w:line="460" w:lineRule="exact"/>
        <w:jc w:val="center"/>
        <w:outlineLvl w:val="9"/>
        <w:rPr>
          <w:rFonts w:ascii="华文中宋" w:hAnsi="华文中宋" w:eastAsia="华文中宋" w:cs="华文中宋"/>
          <w:b/>
          <w:bCs/>
          <w:color w:val="auto"/>
          <w:sz w:val="32"/>
          <w:szCs w:val="32"/>
          <w:highlight w:val="none"/>
        </w:rPr>
      </w:pPr>
    </w:p>
    <w:p w14:paraId="1B36AC14">
      <w:pPr>
        <w:spacing w:line="460" w:lineRule="exact"/>
        <w:jc w:val="center"/>
        <w:outlineLvl w:val="9"/>
        <w:rPr>
          <w:rFonts w:ascii="华文中宋" w:hAnsi="华文中宋" w:eastAsia="华文中宋" w:cs="华文中宋"/>
          <w:b/>
          <w:bCs/>
          <w:color w:val="auto"/>
          <w:sz w:val="32"/>
          <w:szCs w:val="32"/>
          <w:highlight w:val="none"/>
        </w:rPr>
      </w:pPr>
    </w:p>
    <w:p w14:paraId="28FD5E36">
      <w:pPr>
        <w:spacing w:line="460" w:lineRule="exact"/>
        <w:jc w:val="center"/>
        <w:outlineLvl w:val="9"/>
        <w:rPr>
          <w:rFonts w:ascii="华文中宋" w:hAnsi="华文中宋" w:eastAsia="华文中宋" w:cs="华文中宋"/>
          <w:b/>
          <w:bCs/>
          <w:color w:val="auto"/>
          <w:sz w:val="32"/>
          <w:szCs w:val="32"/>
          <w:highlight w:val="none"/>
        </w:rPr>
      </w:pPr>
    </w:p>
    <w:p w14:paraId="752B2577">
      <w:pPr>
        <w:spacing w:line="460" w:lineRule="exact"/>
        <w:jc w:val="center"/>
        <w:outlineLvl w:val="9"/>
        <w:rPr>
          <w:rFonts w:ascii="华文中宋" w:hAnsi="华文中宋" w:eastAsia="华文中宋" w:cs="华文中宋"/>
          <w:b/>
          <w:bCs/>
          <w:color w:val="auto"/>
          <w:sz w:val="32"/>
          <w:szCs w:val="32"/>
          <w:highlight w:val="none"/>
        </w:rPr>
      </w:pPr>
    </w:p>
    <w:p w14:paraId="0648BCCB">
      <w:pPr>
        <w:spacing w:line="460" w:lineRule="exact"/>
        <w:jc w:val="center"/>
        <w:outlineLvl w:val="9"/>
        <w:rPr>
          <w:rFonts w:ascii="华文中宋" w:hAnsi="华文中宋" w:eastAsia="华文中宋" w:cs="华文中宋"/>
          <w:b/>
          <w:bCs/>
          <w:color w:val="auto"/>
          <w:sz w:val="32"/>
          <w:szCs w:val="32"/>
          <w:highlight w:val="none"/>
        </w:rPr>
      </w:pPr>
    </w:p>
    <w:p w14:paraId="10F14CBA">
      <w:pPr>
        <w:pStyle w:val="4"/>
        <w:spacing w:line="500" w:lineRule="exact"/>
        <w:outlineLvl w:val="9"/>
        <w:rPr>
          <w:rFonts w:ascii="宋体" w:hAnsi="宋体" w:cs="宋体"/>
          <w:color w:val="auto"/>
          <w:kern w:val="0"/>
          <w:sz w:val="32"/>
          <w:highlight w:val="none"/>
        </w:rPr>
      </w:pPr>
    </w:p>
    <w:p w14:paraId="36DB878B">
      <w:pPr>
        <w:pStyle w:val="28"/>
        <w:rPr>
          <w:color w:val="auto"/>
          <w:highlight w:val="none"/>
        </w:rPr>
      </w:pPr>
    </w:p>
    <w:p w14:paraId="683EF4FD">
      <w:pPr>
        <w:pStyle w:val="4"/>
        <w:spacing w:line="500" w:lineRule="exact"/>
        <w:jc w:val="center"/>
        <w:outlineLvl w:val="0"/>
        <w:rPr>
          <w:rFonts w:ascii="宋体" w:hAnsi="宋体" w:cs="宋体"/>
          <w:b/>
          <w:bCs w:val="0"/>
          <w:color w:val="auto"/>
          <w:kern w:val="0"/>
          <w:sz w:val="32"/>
          <w:highlight w:val="none"/>
        </w:rPr>
      </w:pPr>
      <w:bookmarkStart w:id="1352" w:name="_Toc7053"/>
      <w:bookmarkStart w:id="1353" w:name="_Toc18289"/>
      <w:r>
        <w:rPr>
          <w:rFonts w:hint="eastAsia" w:ascii="宋体" w:hAnsi="宋体" w:cs="宋体"/>
          <w:b/>
          <w:bCs w:val="0"/>
          <w:color w:val="auto"/>
          <w:kern w:val="0"/>
          <w:sz w:val="32"/>
          <w:highlight w:val="none"/>
        </w:rPr>
        <w:t>第</w:t>
      </w:r>
      <w:r>
        <w:rPr>
          <w:rFonts w:hint="eastAsia" w:ascii="宋体" w:hAnsi="宋体" w:cs="宋体"/>
          <w:b/>
          <w:bCs w:val="0"/>
          <w:color w:val="auto"/>
          <w:kern w:val="0"/>
          <w:sz w:val="32"/>
          <w:highlight w:val="none"/>
          <w:lang w:val="en-US" w:eastAsia="zh-CN"/>
        </w:rPr>
        <w:t>七</w:t>
      </w:r>
      <w:r>
        <w:rPr>
          <w:rFonts w:hint="eastAsia" w:ascii="宋体" w:hAnsi="宋体" w:cs="宋体"/>
          <w:b/>
          <w:bCs w:val="0"/>
          <w:color w:val="auto"/>
          <w:kern w:val="0"/>
          <w:sz w:val="32"/>
          <w:highlight w:val="none"/>
        </w:rPr>
        <w:t>章</w:t>
      </w:r>
      <w:r>
        <w:rPr>
          <w:rFonts w:hint="eastAsia" w:ascii="宋体" w:hAnsi="宋体" w:cs="宋体"/>
          <w:b/>
          <w:bCs w:val="0"/>
          <w:color w:val="auto"/>
          <w:kern w:val="0"/>
          <w:sz w:val="32"/>
          <w:highlight w:val="none"/>
        </w:rPr>
        <w:tab/>
      </w:r>
      <w:r>
        <w:rPr>
          <w:rFonts w:hint="eastAsia" w:ascii="宋体" w:hAnsi="宋体" w:cs="宋体"/>
          <w:b/>
          <w:bCs w:val="0"/>
          <w:color w:val="auto"/>
          <w:kern w:val="0"/>
          <w:sz w:val="32"/>
          <w:highlight w:val="none"/>
        </w:rPr>
        <w:t>响应文件格式</w:t>
      </w:r>
      <w:bookmarkEnd w:id="1352"/>
      <w:bookmarkEnd w:id="1353"/>
    </w:p>
    <w:p w14:paraId="7CDF8880">
      <w:pPr>
        <w:spacing w:line="500" w:lineRule="exact"/>
        <w:rPr>
          <w:rFonts w:ascii="宋体" w:hAnsi="宋体" w:cs="宋体"/>
          <w:color w:val="auto"/>
          <w:kern w:val="0"/>
          <w:sz w:val="10"/>
          <w:szCs w:val="10"/>
          <w:highlight w:val="none"/>
        </w:rPr>
      </w:pPr>
    </w:p>
    <w:p w14:paraId="399C9AB6">
      <w:pPr>
        <w:spacing w:line="500" w:lineRule="exact"/>
        <w:rPr>
          <w:rFonts w:ascii="宋体" w:hAnsi="宋体" w:cs="宋体"/>
          <w:color w:val="auto"/>
          <w:kern w:val="0"/>
          <w:sz w:val="20"/>
          <w:szCs w:val="20"/>
          <w:highlight w:val="none"/>
        </w:rPr>
      </w:pPr>
    </w:p>
    <w:p w14:paraId="44F9FB48">
      <w:pPr>
        <w:pStyle w:val="10"/>
        <w:spacing w:before="101" w:line="225" w:lineRule="auto"/>
        <w:jc w:val="center"/>
        <w:outlineLvl w:val="1"/>
        <w:rPr>
          <w:color w:val="auto"/>
          <w:sz w:val="31"/>
          <w:szCs w:val="31"/>
          <w:highlight w:val="none"/>
        </w:rPr>
      </w:pPr>
      <w:r>
        <w:rPr>
          <w:color w:val="auto"/>
          <w:spacing w:val="7"/>
          <w:sz w:val="31"/>
          <w:szCs w:val="31"/>
          <w:highlight w:val="none"/>
        </w:rPr>
        <w:t>第一节 封面格式</w:t>
      </w:r>
    </w:p>
    <w:p w14:paraId="2E0AE3A0">
      <w:pPr>
        <w:spacing w:line="244" w:lineRule="auto"/>
        <w:rPr>
          <w:rFonts w:ascii="Arial"/>
          <w:color w:val="auto"/>
          <w:sz w:val="21"/>
          <w:highlight w:val="none"/>
        </w:rPr>
      </w:pPr>
    </w:p>
    <w:p w14:paraId="2B349912">
      <w:pPr>
        <w:spacing w:line="244" w:lineRule="auto"/>
        <w:rPr>
          <w:rFonts w:ascii="Arial"/>
          <w:color w:val="auto"/>
          <w:sz w:val="21"/>
          <w:highlight w:val="none"/>
        </w:rPr>
      </w:pPr>
    </w:p>
    <w:p w14:paraId="73A4B928">
      <w:pPr>
        <w:spacing w:line="245" w:lineRule="auto"/>
        <w:rPr>
          <w:rFonts w:ascii="Arial"/>
          <w:color w:val="auto"/>
          <w:sz w:val="21"/>
          <w:highlight w:val="none"/>
        </w:rPr>
      </w:pPr>
    </w:p>
    <w:p w14:paraId="64CFEE38">
      <w:pPr>
        <w:spacing w:line="245" w:lineRule="auto"/>
        <w:rPr>
          <w:rFonts w:ascii="Arial"/>
          <w:color w:val="auto"/>
          <w:sz w:val="21"/>
          <w:highlight w:val="none"/>
        </w:rPr>
      </w:pPr>
    </w:p>
    <w:p w14:paraId="3A3F753A">
      <w:pPr>
        <w:spacing w:line="245" w:lineRule="auto"/>
        <w:rPr>
          <w:rFonts w:ascii="Arial"/>
          <w:color w:val="auto"/>
          <w:sz w:val="21"/>
          <w:highlight w:val="none"/>
        </w:rPr>
      </w:pPr>
    </w:p>
    <w:p w14:paraId="04BF03CF">
      <w:pPr>
        <w:pStyle w:val="10"/>
        <w:spacing w:before="179" w:line="223" w:lineRule="auto"/>
        <w:jc w:val="center"/>
        <w:rPr>
          <w:color w:val="auto"/>
          <w:sz w:val="55"/>
          <w:szCs w:val="55"/>
          <w:highlight w:val="none"/>
        </w:rPr>
      </w:pPr>
      <w:bookmarkStart w:id="1354" w:name="bookmark6"/>
      <w:bookmarkEnd w:id="1354"/>
      <w:r>
        <w:rPr>
          <w:b/>
          <w:bCs/>
          <w:color w:val="auto"/>
          <w:spacing w:val="-24"/>
          <w:sz w:val="55"/>
          <w:szCs w:val="55"/>
          <w:highlight w:val="none"/>
        </w:rPr>
        <w:t>响</w:t>
      </w:r>
      <w:r>
        <w:rPr>
          <w:color w:val="auto"/>
          <w:spacing w:val="19"/>
          <w:sz w:val="55"/>
          <w:szCs w:val="55"/>
          <w:highlight w:val="none"/>
        </w:rPr>
        <w:t xml:space="preserve">  </w:t>
      </w:r>
      <w:r>
        <w:rPr>
          <w:b/>
          <w:bCs/>
          <w:color w:val="auto"/>
          <w:spacing w:val="-24"/>
          <w:sz w:val="55"/>
          <w:szCs w:val="55"/>
          <w:highlight w:val="none"/>
        </w:rPr>
        <w:t>应</w:t>
      </w:r>
      <w:r>
        <w:rPr>
          <w:color w:val="auto"/>
          <w:spacing w:val="20"/>
          <w:sz w:val="55"/>
          <w:szCs w:val="55"/>
          <w:highlight w:val="none"/>
        </w:rPr>
        <w:t xml:space="preserve">  </w:t>
      </w:r>
      <w:r>
        <w:rPr>
          <w:b/>
          <w:bCs/>
          <w:color w:val="auto"/>
          <w:spacing w:val="-24"/>
          <w:sz w:val="55"/>
          <w:szCs w:val="55"/>
          <w:highlight w:val="none"/>
        </w:rPr>
        <w:t>文</w:t>
      </w:r>
      <w:r>
        <w:rPr>
          <w:color w:val="auto"/>
          <w:spacing w:val="18"/>
          <w:sz w:val="55"/>
          <w:szCs w:val="55"/>
          <w:highlight w:val="none"/>
        </w:rPr>
        <w:t xml:space="preserve">  </w:t>
      </w:r>
      <w:r>
        <w:rPr>
          <w:b/>
          <w:bCs/>
          <w:color w:val="auto"/>
          <w:spacing w:val="-24"/>
          <w:sz w:val="55"/>
          <w:szCs w:val="55"/>
          <w:highlight w:val="none"/>
        </w:rPr>
        <w:t>件</w:t>
      </w:r>
    </w:p>
    <w:p w14:paraId="3FBCF902">
      <w:pPr>
        <w:spacing w:line="269" w:lineRule="auto"/>
        <w:rPr>
          <w:rFonts w:ascii="Arial"/>
          <w:color w:val="auto"/>
          <w:sz w:val="21"/>
          <w:highlight w:val="none"/>
        </w:rPr>
      </w:pPr>
    </w:p>
    <w:p w14:paraId="3A64BC73">
      <w:pPr>
        <w:spacing w:line="269" w:lineRule="auto"/>
        <w:rPr>
          <w:rFonts w:ascii="Arial"/>
          <w:color w:val="auto"/>
          <w:sz w:val="21"/>
          <w:highlight w:val="none"/>
        </w:rPr>
      </w:pPr>
    </w:p>
    <w:p w14:paraId="40401C8F">
      <w:pPr>
        <w:spacing w:line="269" w:lineRule="auto"/>
        <w:rPr>
          <w:rFonts w:ascii="Arial"/>
          <w:color w:val="auto"/>
          <w:sz w:val="21"/>
          <w:highlight w:val="none"/>
        </w:rPr>
      </w:pPr>
    </w:p>
    <w:p w14:paraId="592E7940">
      <w:pPr>
        <w:spacing w:line="270" w:lineRule="auto"/>
        <w:rPr>
          <w:rFonts w:ascii="Arial"/>
          <w:color w:val="auto"/>
          <w:sz w:val="21"/>
          <w:highlight w:val="none"/>
        </w:rPr>
      </w:pPr>
    </w:p>
    <w:p w14:paraId="3E8233E3">
      <w:pPr>
        <w:spacing w:line="270" w:lineRule="auto"/>
        <w:rPr>
          <w:rFonts w:ascii="Arial"/>
          <w:color w:val="auto"/>
          <w:sz w:val="21"/>
          <w:highlight w:val="none"/>
        </w:rPr>
      </w:pPr>
    </w:p>
    <w:p w14:paraId="72672D12">
      <w:pPr>
        <w:spacing w:line="270" w:lineRule="auto"/>
        <w:rPr>
          <w:rFonts w:ascii="Arial"/>
          <w:color w:val="auto"/>
          <w:sz w:val="21"/>
          <w:highlight w:val="none"/>
        </w:rPr>
      </w:pPr>
    </w:p>
    <w:p w14:paraId="4EAE91E0">
      <w:pPr>
        <w:pStyle w:val="10"/>
        <w:spacing w:before="101" w:line="226" w:lineRule="auto"/>
        <w:ind w:left="175"/>
        <w:rPr>
          <w:color w:val="auto"/>
          <w:sz w:val="31"/>
          <w:szCs w:val="31"/>
          <w:highlight w:val="none"/>
        </w:rPr>
      </w:pPr>
      <w:r>
        <w:rPr>
          <w:color w:val="auto"/>
          <w:spacing w:val="4"/>
          <w:sz w:val="31"/>
          <w:szCs w:val="31"/>
          <w:highlight w:val="none"/>
        </w:rPr>
        <w:t>项目名称：</w:t>
      </w:r>
    </w:p>
    <w:p w14:paraId="51BB4873">
      <w:pPr>
        <w:spacing w:line="338" w:lineRule="auto"/>
        <w:rPr>
          <w:rFonts w:ascii="Arial"/>
          <w:color w:val="auto"/>
          <w:sz w:val="21"/>
          <w:highlight w:val="none"/>
        </w:rPr>
      </w:pPr>
    </w:p>
    <w:p w14:paraId="71F1B428">
      <w:pPr>
        <w:spacing w:line="339" w:lineRule="auto"/>
        <w:rPr>
          <w:rFonts w:ascii="Arial"/>
          <w:color w:val="auto"/>
          <w:sz w:val="21"/>
          <w:highlight w:val="none"/>
        </w:rPr>
      </w:pPr>
    </w:p>
    <w:p w14:paraId="5B5B444E">
      <w:pPr>
        <w:pStyle w:val="10"/>
        <w:spacing w:before="101" w:line="225" w:lineRule="auto"/>
        <w:ind w:left="175"/>
        <w:rPr>
          <w:color w:val="auto"/>
          <w:sz w:val="31"/>
          <w:szCs w:val="31"/>
          <w:highlight w:val="none"/>
        </w:rPr>
      </w:pPr>
      <w:r>
        <w:rPr>
          <w:color w:val="auto"/>
          <w:spacing w:val="4"/>
          <w:sz w:val="31"/>
          <w:szCs w:val="31"/>
          <w:highlight w:val="none"/>
        </w:rPr>
        <w:t>项目编号：</w:t>
      </w:r>
    </w:p>
    <w:p w14:paraId="27153B02">
      <w:pPr>
        <w:spacing w:line="338" w:lineRule="auto"/>
        <w:rPr>
          <w:rFonts w:ascii="Arial"/>
          <w:color w:val="auto"/>
          <w:sz w:val="21"/>
          <w:highlight w:val="none"/>
        </w:rPr>
      </w:pPr>
    </w:p>
    <w:p w14:paraId="568186F3">
      <w:pPr>
        <w:spacing w:line="339" w:lineRule="auto"/>
        <w:rPr>
          <w:rFonts w:ascii="Arial"/>
          <w:color w:val="auto"/>
          <w:sz w:val="21"/>
          <w:highlight w:val="none"/>
        </w:rPr>
      </w:pPr>
    </w:p>
    <w:p w14:paraId="11D292A7">
      <w:pPr>
        <w:pStyle w:val="10"/>
        <w:spacing w:before="101" w:line="225" w:lineRule="auto"/>
        <w:ind w:left="170"/>
        <w:rPr>
          <w:color w:val="auto"/>
          <w:sz w:val="31"/>
          <w:szCs w:val="31"/>
          <w:highlight w:val="none"/>
        </w:rPr>
      </w:pPr>
      <w:r>
        <w:rPr>
          <w:color w:val="auto"/>
          <w:spacing w:val="5"/>
          <w:sz w:val="31"/>
          <w:szCs w:val="31"/>
          <w:highlight w:val="none"/>
        </w:rPr>
        <w:t>供应商名称：</w:t>
      </w:r>
    </w:p>
    <w:p w14:paraId="1D0E8CEF">
      <w:pPr>
        <w:spacing w:line="340" w:lineRule="auto"/>
        <w:rPr>
          <w:rFonts w:ascii="Arial"/>
          <w:color w:val="auto"/>
          <w:sz w:val="21"/>
          <w:highlight w:val="none"/>
        </w:rPr>
      </w:pPr>
    </w:p>
    <w:p w14:paraId="0BAEF594">
      <w:pPr>
        <w:spacing w:line="340" w:lineRule="auto"/>
        <w:rPr>
          <w:rFonts w:ascii="Arial"/>
          <w:color w:val="auto"/>
          <w:sz w:val="21"/>
          <w:highlight w:val="none"/>
        </w:rPr>
      </w:pPr>
    </w:p>
    <w:p w14:paraId="28369E6F">
      <w:pPr>
        <w:pStyle w:val="10"/>
        <w:spacing w:before="101" w:line="225" w:lineRule="auto"/>
        <w:jc w:val="center"/>
        <w:rPr>
          <w:color w:val="auto"/>
          <w:sz w:val="31"/>
          <w:szCs w:val="31"/>
          <w:highlight w:val="none"/>
        </w:rPr>
      </w:pPr>
      <w:r>
        <w:rPr>
          <w:color w:val="auto"/>
          <w:spacing w:val="8"/>
          <w:sz w:val="31"/>
          <w:szCs w:val="31"/>
          <w:highlight w:val="none"/>
        </w:rPr>
        <w:t>首次响应文件提交截止时间前不得解密</w:t>
      </w:r>
    </w:p>
    <w:p w14:paraId="5514E299">
      <w:pPr>
        <w:spacing w:line="340" w:lineRule="auto"/>
        <w:rPr>
          <w:rFonts w:ascii="Arial"/>
          <w:color w:val="auto"/>
          <w:sz w:val="21"/>
          <w:highlight w:val="none"/>
        </w:rPr>
      </w:pPr>
    </w:p>
    <w:p w14:paraId="1A096607">
      <w:pPr>
        <w:spacing w:line="341" w:lineRule="auto"/>
        <w:rPr>
          <w:rFonts w:ascii="Arial"/>
          <w:color w:val="auto"/>
          <w:sz w:val="21"/>
          <w:highlight w:val="none"/>
        </w:rPr>
      </w:pPr>
    </w:p>
    <w:p w14:paraId="5E159596">
      <w:pPr>
        <w:spacing w:line="500" w:lineRule="exact"/>
        <w:ind w:firstLine="3751" w:firstLineChars="1259"/>
        <w:rPr>
          <w:rFonts w:ascii="宋体" w:hAnsi="宋体" w:cs="宋体"/>
          <w:color w:val="auto"/>
          <w:kern w:val="0"/>
          <w:sz w:val="28"/>
          <w:szCs w:val="28"/>
          <w:highlight w:val="none"/>
        </w:rPr>
      </w:pPr>
      <w:r>
        <w:rPr>
          <w:color w:val="auto"/>
          <w:spacing w:val="-6"/>
          <w:sz w:val="31"/>
          <w:szCs w:val="31"/>
          <w:highlight w:val="none"/>
        </w:rPr>
        <w:t>年</w:t>
      </w:r>
      <w:r>
        <w:rPr>
          <w:color w:val="auto"/>
          <w:spacing w:val="10"/>
          <w:sz w:val="31"/>
          <w:szCs w:val="31"/>
          <w:highlight w:val="none"/>
        </w:rPr>
        <w:t xml:space="preserve">    </w:t>
      </w:r>
      <w:r>
        <w:rPr>
          <w:color w:val="auto"/>
          <w:spacing w:val="-6"/>
          <w:sz w:val="31"/>
          <w:szCs w:val="31"/>
          <w:highlight w:val="none"/>
        </w:rPr>
        <w:t>月</w:t>
      </w:r>
      <w:r>
        <w:rPr>
          <w:color w:val="auto"/>
          <w:spacing w:val="22"/>
          <w:sz w:val="31"/>
          <w:szCs w:val="31"/>
          <w:highlight w:val="none"/>
        </w:rPr>
        <w:t xml:space="preserve">    </w:t>
      </w:r>
      <w:r>
        <w:rPr>
          <w:color w:val="auto"/>
          <w:spacing w:val="-6"/>
          <w:sz w:val="31"/>
          <w:szCs w:val="31"/>
          <w:highlight w:val="none"/>
        </w:rPr>
        <w:t>日</w:t>
      </w:r>
    </w:p>
    <w:p w14:paraId="541D71AD">
      <w:pPr>
        <w:spacing w:line="500" w:lineRule="exact"/>
        <w:rPr>
          <w:rFonts w:ascii="宋体" w:hAnsi="宋体" w:cs="宋体"/>
          <w:color w:val="auto"/>
          <w:kern w:val="0"/>
          <w:sz w:val="20"/>
          <w:szCs w:val="20"/>
          <w:highlight w:val="none"/>
        </w:rPr>
      </w:pPr>
    </w:p>
    <w:p w14:paraId="3BBB4A69">
      <w:pPr>
        <w:rPr>
          <w:rFonts w:ascii="宋体" w:hAnsi="宋体" w:cs="宋体"/>
          <w:color w:val="auto"/>
          <w:kern w:val="0"/>
          <w:highlight w:val="none"/>
        </w:rPr>
      </w:pPr>
      <w:r>
        <w:rPr>
          <w:rFonts w:ascii="宋体" w:hAnsi="宋体" w:cs="宋体"/>
          <w:color w:val="auto"/>
          <w:kern w:val="0"/>
          <w:highlight w:val="none"/>
        </w:rPr>
        <w:br w:type="page"/>
      </w:r>
    </w:p>
    <w:p w14:paraId="27E550ED">
      <w:pPr>
        <w:pStyle w:val="10"/>
        <w:spacing w:before="101" w:line="225" w:lineRule="auto"/>
        <w:ind w:left="2667"/>
        <w:outlineLvl w:val="1"/>
        <w:rPr>
          <w:color w:val="auto"/>
          <w:sz w:val="31"/>
          <w:szCs w:val="31"/>
          <w:highlight w:val="none"/>
        </w:rPr>
      </w:pPr>
      <w:bookmarkStart w:id="1355" w:name="_Toc317079956"/>
      <w:bookmarkStart w:id="1356" w:name="_Toc207443055"/>
      <w:bookmarkStart w:id="1357" w:name="_Toc369505632"/>
      <w:bookmarkStart w:id="1358" w:name="_Toc389146001"/>
      <w:bookmarkStart w:id="1359" w:name="_Toc455670852"/>
      <w:bookmarkStart w:id="1360" w:name="_Toc267582067"/>
      <w:r>
        <w:rPr>
          <w:color w:val="auto"/>
          <w:spacing w:val="8"/>
          <w:sz w:val="31"/>
          <w:szCs w:val="31"/>
          <w:highlight w:val="none"/>
        </w:rPr>
        <w:t>第二节 资格证明文件格式</w:t>
      </w:r>
    </w:p>
    <w:p w14:paraId="349DAF0E">
      <w:pPr>
        <w:spacing w:line="248" w:lineRule="auto"/>
        <w:rPr>
          <w:rFonts w:ascii="Arial"/>
          <w:color w:val="auto"/>
          <w:sz w:val="21"/>
          <w:highlight w:val="none"/>
        </w:rPr>
      </w:pPr>
    </w:p>
    <w:p w14:paraId="7C0E07EF">
      <w:pPr>
        <w:pStyle w:val="10"/>
        <w:spacing w:before="65" w:line="228" w:lineRule="auto"/>
        <w:jc w:val="right"/>
        <w:rPr>
          <w:color w:val="auto"/>
          <w:sz w:val="20"/>
          <w:szCs w:val="20"/>
          <w:highlight w:val="none"/>
        </w:rPr>
      </w:pPr>
      <w:r>
        <w:rPr>
          <w:color w:val="auto"/>
          <w:spacing w:val="8"/>
          <w:sz w:val="20"/>
          <w:szCs w:val="20"/>
          <w:highlight w:val="none"/>
        </w:rPr>
        <w:t>全流程电子文件</w:t>
      </w:r>
    </w:p>
    <w:p w14:paraId="6C40BF68">
      <w:pPr>
        <w:spacing w:line="248" w:lineRule="auto"/>
        <w:rPr>
          <w:rFonts w:ascii="Arial"/>
          <w:color w:val="auto"/>
          <w:sz w:val="21"/>
          <w:highlight w:val="none"/>
        </w:rPr>
      </w:pPr>
    </w:p>
    <w:p w14:paraId="3B6485CB">
      <w:pPr>
        <w:spacing w:line="248" w:lineRule="auto"/>
        <w:rPr>
          <w:rFonts w:ascii="Arial"/>
          <w:color w:val="auto"/>
          <w:sz w:val="21"/>
          <w:highlight w:val="none"/>
        </w:rPr>
      </w:pPr>
    </w:p>
    <w:p w14:paraId="562D7A37">
      <w:pPr>
        <w:spacing w:line="248" w:lineRule="auto"/>
        <w:rPr>
          <w:rFonts w:ascii="Arial"/>
          <w:color w:val="auto"/>
          <w:sz w:val="21"/>
          <w:highlight w:val="none"/>
        </w:rPr>
      </w:pPr>
    </w:p>
    <w:p w14:paraId="1EA8A4BE">
      <w:pPr>
        <w:spacing w:line="248" w:lineRule="auto"/>
        <w:rPr>
          <w:rFonts w:ascii="Arial"/>
          <w:color w:val="auto"/>
          <w:sz w:val="21"/>
          <w:highlight w:val="none"/>
        </w:rPr>
      </w:pPr>
    </w:p>
    <w:p w14:paraId="01FE4A84">
      <w:pPr>
        <w:spacing w:line="248" w:lineRule="auto"/>
        <w:rPr>
          <w:rFonts w:ascii="Arial"/>
          <w:color w:val="auto"/>
          <w:sz w:val="21"/>
          <w:highlight w:val="none"/>
        </w:rPr>
      </w:pPr>
    </w:p>
    <w:p w14:paraId="06EE8014">
      <w:pPr>
        <w:spacing w:line="249" w:lineRule="auto"/>
        <w:rPr>
          <w:rFonts w:ascii="Arial"/>
          <w:color w:val="auto"/>
          <w:sz w:val="21"/>
          <w:highlight w:val="none"/>
        </w:rPr>
      </w:pPr>
    </w:p>
    <w:p w14:paraId="645EE178">
      <w:pPr>
        <w:pStyle w:val="10"/>
        <w:spacing w:before="169" w:line="220" w:lineRule="auto"/>
        <w:ind w:left="1585"/>
        <w:rPr>
          <w:color w:val="auto"/>
          <w:sz w:val="52"/>
          <w:szCs w:val="52"/>
          <w:highlight w:val="none"/>
        </w:rPr>
      </w:pPr>
      <w:r>
        <w:rPr>
          <w:rFonts w:hint="eastAsia"/>
          <w:b/>
          <w:bCs/>
          <w:color w:val="auto"/>
          <w:spacing w:val="-7"/>
          <w:sz w:val="52"/>
          <w:szCs w:val="52"/>
          <w:highlight w:val="none"/>
        </w:rPr>
        <w:t>资格证明文件</w:t>
      </w:r>
      <w:r>
        <w:rPr>
          <w:b/>
          <w:bCs/>
          <w:color w:val="auto"/>
          <w:spacing w:val="-7"/>
          <w:sz w:val="52"/>
          <w:szCs w:val="52"/>
          <w:highlight w:val="none"/>
        </w:rPr>
        <w:t>（封面）</w:t>
      </w:r>
    </w:p>
    <w:p w14:paraId="27650E2B">
      <w:pPr>
        <w:spacing w:line="246" w:lineRule="auto"/>
        <w:rPr>
          <w:rFonts w:ascii="Arial"/>
          <w:color w:val="auto"/>
          <w:sz w:val="21"/>
          <w:highlight w:val="none"/>
        </w:rPr>
      </w:pPr>
    </w:p>
    <w:p w14:paraId="7B932CBA">
      <w:pPr>
        <w:spacing w:line="246" w:lineRule="auto"/>
        <w:rPr>
          <w:rFonts w:ascii="Arial"/>
          <w:color w:val="auto"/>
          <w:sz w:val="21"/>
          <w:highlight w:val="none"/>
        </w:rPr>
      </w:pPr>
    </w:p>
    <w:p w14:paraId="6ADF4204">
      <w:pPr>
        <w:spacing w:line="246" w:lineRule="auto"/>
        <w:rPr>
          <w:rFonts w:ascii="Arial"/>
          <w:color w:val="auto"/>
          <w:sz w:val="21"/>
          <w:highlight w:val="none"/>
        </w:rPr>
      </w:pPr>
    </w:p>
    <w:p w14:paraId="611009E0">
      <w:pPr>
        <w:spacing w:line="246" w:lineRule="auto"/>
        <w:rPr>
          <w:rFonts w:ascii="Arial"/>
          <w:color w:val="auto"/>
          <w:sz w:val="21"/>
          <w:highlight w:val="none"/>
        </w:rPr>
      </w:pPr>
    </w:p>
    <w:p w14:paraId="65F33627">
      <w:pPr>
        <w:spacing w:line="246" w:lineRule="auto"/>
        <w:rPr>
          <w:rFonts w:ascii="Arial"/>
          <w:color w:val="auto"/>
          <w:sz w:val="21"/>
          <w:highlight w:val="none"/>
        </w:rPr>
      </w:pPr>
    </w:p>
    <w:p w14:paraId="35D864D2">
      <w:pPr>
        <w:spacing w:line="246" w:lineRule="auto"/>
        <w:rPr>
          <w:rFonts w:ascii="Arial"/>
          <w:color w:val="auto"/>
          <w:sz w:val="21"/>
          <w:highlight w:val="none"/>
        </w:rPr>
      </w:pPr>
    </w:p>
    <w:p w14:paraId="18C51BC2">
      <w:pPr>
        <w:spacing w:line="246" w:lineRule="auto"/>
        <w:rPr>
          <w:rFonts w:ascii="Arial"/>
          <w:color w:val="auto"/>
          <w:sz w:val="21"/>
          <w:highlight w:val="none"/>
        </w:rPr>
      </w:pPr>
    </w:p>
    <w:p w14:paraId="69553C3D">
      <w:pPr>
        <w:spacing w:line="247" w:lineRule="auto"/>
        <w:rPr>
          <w:rFonts w:ascii="Arial"/>
          <w:color w:val="auto"/>
          <w:sz w:val="21"/>
          <w:highlight w:val="none"/>
        </w:rPr>
      </w:pPr>
    </w:p>
    <w:p w14:paraId="104920EF">
      <w:pPr>
        <w:spacing w:line="247" w:lineRule="auto"/>
        <w:rPr>
          <w:rFonts w:ascii="Arial"/>
          <w:color w:val="auto"/>
          <w:sz w:val="21"/>
          <w:highlight w:val="none"/>
        </w:rPr>
      </w:pPr>
    </w:p>
    <w:p w14:paraId="5AEA11BD">
      <w:pPr>
        <w:spacing w:line="247" w:lineRule="auto"/>
        <w:rPr>
          <w:rFonts w:ascii="Arial"/>
          <w:color w:val="auto"/>
          <w:sz w:val="21"/>
          <w:highlight w:val="none"/>
        </w:rPr>
      </w:pPr>
    </w:p>
    <w:p w14:paraId="6E698D5C">
      <w:pPr>
        <w:pStyle w:val="10"/>
        <w:spacing w:before="101" w:line="226" w:lineRule="auto"/>
        <w:ind w:left="175"/>
        <w:rPr>
          <w:color w:val="auto"/>
          <w:sz w:val="31"/>
          <w:szCs w:val="31"/>
          <w:highlight w:val="none"/>
        </w:rPr>
      </w:pPr>
      <w:r>
        <w:rPr>
          <w:color w:val="auto"/>
          <w:spacing w:val="4"/>
          <w:sz w:val="31"/>
          <w:szCs w:val="31"/>
          <w:highlight w:val="none"/>
        </w:rPr>
        <w:t>项目名称：</w:t>
      </w:r>
    </w:p>
    <w:p w14:paraId="545DC8CF">
      <w:pPr>
        <w:spacing w:line="338" w:lineRule="auto"/>
        <w:rPr>
          <w:rFonts w:ascii="Arial"/>
          <w:color w:val="auto"/>
          <w:sz w:val="21"/>
          <w:highlight w:val="none"/>
        </w:rPr>
      </w:pPr>
    </w:p>
    <w:p w14:paraId="30B4493C">
      <w:pPr>
        <w:spacing w:line="339" w:lineRule="auto"/>
        <w:rPr>
          <w:rFonts w:ascii="Arial"/>
          <w:color w:val="auto"/>
          <w:sz w:val="21"/>
          <w:highlight w:val="none"/>
        </w:rPr>
      </w:pPr>
    </w:p>
    <w:p w14:paraId="4A95D82E">
      <w:pPr>
        <w:pStyle w:val="10"/>
        <w:spacing w:before="101" w:line="225" w:lineRule="auto"/>
        <w:ind w:left="175"/>
        <w:rPr>
          <w:color w:val="auto"/>
          <w:sz w:val="31"/>
          <w:szCs w:val="31"/>
          <w:highlight w:val="none"/>
        </w:rPr>
      </w:pPr>
      <w:r>
        <w:rPr>
          <w:color w:val="auto"/>
          <w:spacing w:val="4"/>
          <w:sz w:val="31"/>
          <w:szCs w:val="31"/>
          <w:highlight w:val="none"/>
        </w:rPr>
        <w:t>项目编号：</w:t>
      </w:r>
    </w:p>
    <w:p w14:paraId="05FA53AD">
      <w:pPr>
        <w:spacing w:line="281" w:lineRule="auto"/>
        <w:rPr>
          <w:rFonts w:ascii="Arial"/>
          <w:color w:val="auto"/>
          <w:sz w:val="21"/>
          <w:highlight w:val="none"/>
        </w:rPr>
      </w:pPr>
    </w:p>
    <w:p w14:paraId="6042A7BF">
      <w:pPr>
        <w:spacing w:line="282" w:lineRule="auto"/>
        <w:rPr>
          <w:rFonts w:ascii="Arial"/>
          <w:color w:val="auto"/>
          <w:sz w:val="21"/>
          <w:highlight w:val="none"/>
        </w:rPr>
      </w:pPr>
    </w:p>
    <w:p w14:paraId="7D05B31B">
      <w:pPr>
        <w:pStyle w:val="10"/>
        <w:spacing w:before="100" w:line="225" w:lineRule="auto"/>
        <w:ind w:left="170"/>
        <w:rPr>
          <w:color w:val="auto"/>
          <w:sz w:val="31"/>
          <w:szCs w:val="31"/>
          <w:highlight w:val="none"/>
        </w:rPr>
      </w:pPr>
      <w:r>
        <w:rPr>
          <w:color w:val="auto"/>
          <w:spacing w:val="5"/>
          <w:sz w:val="31"/>
          <w:szCs w:val="31"/>
          <w:highlight w:val="none"/>
        </w:rPr>
        <w:t>供应商名称：</w:t>
      </w:r>
    </w:p>
    <w:p w14:paraId="099925AA">
      <w:pPr>
        <w:spacing w:line="248" w:lineRule="auto"/>
        <w:rPr>
          <w:rFonts w:ascii="Arial"/>
          <w:color w:val="auto"/>
          <w:sz w:val="21"/>
          <w:highlight w:val="none"/>
        </w:rPr>
      </w:pPr>
    </w:p>
    <w:p w14:paraId="1D42FEBA">
      <w:pPr>
        <w:spacing w:line="248" w:lineRule="auto"/>
        <w:rPr>
          <w:rFonts w:ascii="Arial"/>
          <w:color w:val="auto"/>
          <w:sz w:val="21"/>
          <w:highlight w:val="none"/>
        </w:rPr>
      </w:pPr>
    </w:p>
    <w:p w14:paraId="4D871CAF">
      <w:pPr>
        <w:spacing w:line="248" w:lineRule="auto"/>
        <w:rPr>
          <w:rFonts w:ascii="Arial"/>
          <w:color w:val="auto"/>
          <w:sz w:val="21"/>
          <w:highlight w:val="none"/>
        </w:rPr>
      </w:pPr>
    </w:p>
    <w:p w14:paraId="12FE61D6">
      <w:pPr>
        <w:spacing w:line="248" w:lineRule="auto"/>
        <w:rPr>
          <w:rFonts w:ascii="Arial"/>
          <w:color w:val="auto"/>
          <w:sz w:val="21"/>
          <w:highlight w:val="none"/>
        </w:rPr>
      </w:pPr>
    </w:p>
    <w:p w14:paraId="22F67315">
      <w:pPr>
        <w:spacing w:line="248" w:lineRule="auto"/>
        <w:rPr>
          <w:rFonts w:ascii="Arial"/>
          <w:color w:val="auto"/>
          <w:sz w:val="21"/>
          <w:highlight w:val="none"/>
        </w:rPr>
      </w:pPr>
    </w:p>
    <w:p w14:paraId="37CAEF84">
      <w:pPr>
        <w:spacing w:line="248" w:lineRule="auto"/>
        <w:rPr>
          <w:rFonts w:ascii="Arial"/>
          <w:color w:val="auto"/>
          <w:sz w:val="21"/>
          <w:highlight w:val="none"/>
        </w:rPr>
      </w:pPr>
    </w:p>
    <w:p w14:paraId="689F0E9A">
      <w:pPr>
        <w:pStyle w:val="10"/>
        <w:spacing w:before="102" w:line="225" w:lineRule="auto"/>
        <w:ind w:left="3059"/>
        <w:rPr>
          <w:color w:val="auto"/>
          <w:sz w:val="31"/>
          <w:szCs w:val="31"/>
          <w:highlight w:val="none"/>
        </w:rPr>
      </w:pPr>
      <w:r>
        <w:rPr>
          <w:color w:val="auto"/>
          <w:spacing w:val="-6"/>
          <w:sz w:val="31"/>
          <w:szCs w:val="31"/>
          <w:highlight w:val="none"/>
        </w:rPr>
        <w:t>年</w:t>
      </w:r>
      <w:r>
        <w:rPr>
          <w:color w:val="auto"/>
          <w:spacing w:val="10"/>
          <w:sz w:val="31"/>
          <w:szCs w:val="31"/>
          <w:highlight w:val="none"/>
        </w:rPr>
        <w:t xml:space="preserve">    </w:t>
      </w:r>
      <w:r>
        <w:rPr>
          <w:color w:val="auto"/>
          <w:spacing w:val="-6"/>
          <w:sz w:val="31"/>
          <w:szCs w:val="31"/>
          <w:highlight w:val="none"/>
        </w:rPr>
        <w:t>月</w:t>
      </w:r>
      <w:r>
        <w:rPr>
          <w:color w:val="auto"/>
          <w:spacing w:val="22"/>
          <w:sz w:val="31"/>
          <w:szCs w:val="31"/>
          <w:highlight w:val="none"/>
        </w:rPr>
        <w:t xml:space="preserve">    </w:t>
      </w:r>
      <w:r>
        <w:rPr>
          <w:color w:val="auto"/>
          <w:spacing w:val="-6"/>
          <w:sz w:val="31"/>
          <w:szCs w:val="31"/>
          <w:highlight w:val="none"/>
        </w:rPr>
        <w:t>日</w:t>
      </w:r>
    </w:p>
    <w:p w14:paraId="764C3A48">
      <w:pPr>
        <w:spacing w:line="249" w:lineRule="auto"/>
        <w:rPr>
          <w:rFonts w:ascii="Arial"/>
          <w:color w:val="auto"/>
          <w:sz w:val="21"/>
          <w:highlight w:val="none"/>
        </w:rPr>
      </w:pPr>
    </w:p>
    <w:p w14:paraId="51D81978">
      <w:pPr>
        <w:rPr>
          <w:b/>
          <w:bCs/>
          <w:color w:val="auto"/>
          <w:spacing w:val="2"/>
          <w:sz w:val="31"/>
          <w:szCs w:val="31"/>
          <w:highlight w:val="none"/>
        </w:rPr>
      </w:pPr>
      <w:r>
        <w:rPr>
          <w:b/>
          <w:bCs/>
          <w:color w:val="auto"/>
          <w:spacing w:val="2"/>
          <w:sz w:val="31"/>
          <w:szCs w:val="31"/>
          <w:highlight w:val="none"/>
        </w:rPr>
        <w:br w:type="page"/>
      </w:r>
    </w:p>
    <w:p w14:paraId="1721B7D6">
      <w:pPr>
        <w:pStyle w:val="10"/>
        <w:spacing w:before="101" w:line="225" w:lineRule="auto"/>
        <w:jc w:val="center"/>
        <w:rPr>
          <w:color w:val="auto"/>
          <w:sz w:val="31"/>
          <w:szCs w:val="31"/>
          <w:highlight w:val="none"/>
        </w:rPr>
      </w:pPr>
      <w:r>
        <w:rPr>
          <w:b/>
          <w:bCs/>
          <w:color w:val="auto"/>
          <w:spacing w:val="2"/>
          <w:sz w:val="31"/>
          <w:szCs w:val="31"/>
          <w:highlight w:val="none"/>
        </w:rPr>
        <w:t>资格证明文件目录</w:t>
      </w:r>
    </w:p>
    <w:p w14:paraId="3CC23160">
      <w:pPr>
        <w:spacing w:line="277" w:lineRule="auto"/>
        <w:rPr>
          <w:rFonts w:ascii="Arial"/>
          <w:color w:val="auto"/>
          <w:sz w:val="21"/>
          <w:highlight w:val="none"/>
        </w:rPr>
      </w:pPr>
    </w:p>
    <w:p w14:paraId="38E3E72F">
      <w:pPr>
        <w:pStyle w:val="10"/>
        <w:spacing w:before="65" w:line="228" w:lineRule="auto"/>
        <w:ind w:left="411"/>
        <w:rPr>
          <w:color w:val="auto"/>
          <w:sz w:val="20"/>
          <w:szCs w:val="20"/>
          <w:highlight w:val="none"/>
        </w:rPr>
      </w:pPr>
      <w:r>
        <w:rPr>
          <w:color w:val="auto"/>
          <w:spacing w:val="9"/>
          <w:sz w:val="20"/>
          <w:szCs w:val="20"/>
          <w:highlight w:val="none"/>
        </w:rPr>
        <w:t>根据磋商文件规定及供应商提供的材料自行编写目录（部分格式后附）。</w:t>
      </w:r>
    </w:p>
    <w:p w14:paraId="1274B65B">
      <w:pPr>
        <w:spacing w:line="228" w:lineRule="auto"/>
        <w:rPr>
          <w:color w:val="auto"/>
          <w:sz w:val="20"/>
          <w:szCs w:val="20"/>
          <w:highlight w:val="none"/>
        </w:rPr>
        <w:sectPr>
          <w:footerReference r:id="rId7" w:type="default"/>
          <w:pgSz w:w="11910" w:h="16840"/>
          <w:pgMar w:top="1440" w:right="1083" w:bottom="1440" w:left="1083" w:header="0" w:footer="843" w:gutter="0"/>
          <w:pgNumType w:fmt="decimal"/>
          <w:cols w:space="720" w:num="1"/>
        </w:sectPr>
      </w:pPr>
    </w:p>
    <w:bookmarkEnd w:id="1355"/>
    <w:bookmarkEnd w:id="1356"/>
    <w:bookmarkEnd w:id="1357"/>
    <w:bookmarkEnd w:id="1358"/>
    <w:bookmarkEnd w:id="1359"/>
    <w:bookmarkEnd w:id="1360"/>
    <w:p w14:paraId="222CC438">
      <w:pPr>
        <w:spacing w:line="520" w:lineRule="exact"/>
        <w:jc w:val="center"/>
        <w:rPr>
          <w:rFonts w:ascii="方正小标宋简体" w:eastAsia="方正小标宋简体"/>
          <w:color w:val="auto"/>
          <w:sz w:val="36"/>
          <w:szCs w:val="36"/>
          <w:highlight w:val="none"/>
        </w:rPr>
      </w:pPr>
      <w:bookmarkStart w:id="1361" w:name="_Toc317079957"/>
      <w:bookmarkStart w:id="1362" w:name="_Toc369505633"/>
      <w:bookmarkStart w:id="1363" w:name="_Toc14944"/>
      <w:bookmarkStart w:id="1364" w:name="_Toc389146002"/>
      <w:bookmarkStart w:id="1365" w:name="_Toc455670853"/>
      <w:bookmarkStart w:id="1366" w:name="_Toc267582068"/>
    </w:p>
    <w:p w14:paraId="17385173">
      <w:pPr>
        <w:spacing w:line="520" w:lineRule="exact"/>
        <w:jc w:val="center"/>
        <w:rPr>
          <w:rFonts w:ascii="方正小标宋简体" w:eastAsia="方正小标宋简体"/>
          <w:color w:val="auto"/>
          <w:sz w:val="36"/>
          <w:szCs w:val="36"/>
          <w:highlight w:val="none"/>
        </w:rPr>
      </w:pPr>
      <w:r>
        <w:rPr>
          <w:rFonts w:hint="eastAsia" w:ascii="方正小标宋简体" w:eastAsia="方正小标宋简体"/>
          <w:color w:val="auto"/>
          <w:sz w:val="36"/>
          <w:szCs w:val="36"/>
          <w:highlight w:val="none"/>
        </w:rPr>
        <w:t>防城港市政府采购供应商信用承诺函（格式</w:t>
      </w:r>
      <w:r>
        <w:rPr>
          <w:rFonts w:ascii="方正小标宋简体" w:eastAsia="方正小标宋简体"/>
          <w:color w:val="auto"/>
          <w:sz w:val="36"/>
          <w:szCs w:val="36"/>
          <w:highlight w:val="none"/>
        </w:rPr>
        <w:t>）</w:t>
      </w:r>
    </w:p>
    <w:p w14:paraId="7427C730">
      <w:pPr>
        <w:spacing w:line="520" w:lineRule="exact"/>
        <w:ind w:firstLine="640" w:firstLineChars="200"/>
        <w:rPr>
          <w:rFonts w:ascii="仿宋_GB2312" w:eastAsia="仿宋_GB2312"/>
          <w:color w:val="auto"/>
          <w:sz w:val="32"/>
          <w:szCs w:val="32"/>
          <w:highlight w:val="none"/>
        </w:rPr>
      </w:pPr>
    </w:p>
    <w:p w14:paraId="72916DFA">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致（采购人或采购代理机构） ：</w:t>
      </w:r>
    </w:p>
    <w:p w14:paraId="428F4B1A">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我方自愿参加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u w:val="single"/>
        </w:rPr>
        <w:t xml:space="preserve">项目编号：         </w:t>
      </w:r>
      <w:r>
        <w:rPr>
          <w:rFonts w:hint="eastAsia" w:ascii="宋体" w:hAnsi="宋体" w:eastAsia="宋体" w:cs="宋体"/>
          <w:color w:val="auto"/>
          <w:sz w:val="24"/>
          <w:szCs w:val="24"/>
          <w:highlight w:val="none"/>
        </w:rPr>
        <w:t xml:space="preserve">）的政府采购活动，严格遵守《中华人民共和国政府采购法》及相关法律法规，依法诚信经营，无条件遵守本次政府采购活动的各项规定，并郑重承诺： </w:t>
      </w:r>
    </w:p>
    <w:p w14:paraId="2CFD1D0D">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1.我方具有符合采购文件资格要求的财务状况报告。 </w:t>
      </w:r>
    </w:p>
    <w:p w14:paraId="716E418F">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2.我方具有符合采购文件资格要求的依法缴纳税收和社会保障资金的良好记录。 </w:t>
      </w:r>
    </w:p>
    <w:p w14:paraId="5186EF3F">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3.我方参加政府采购活动前三年内在经营活动中没有重大违法记录。 </w:t>
      </w:r>
    </w:p>
    <w:p w14:paraId="677D1354">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我方对以上承诺内容的真实性负责。如有虚假，将依法承担相应责任。</w:t>
      </w:r>
    </w:p>
    <w:p w14:paraId="32FCAD38">
      <w:pPr>
        <w:spacing w:line="520" w:lineRule="exact"/>
        <w:ind w:firstLine="2760" w:firstLineChars="1150"/>
        <w:rPr>
          <w:rFonts w:hint="eastAsia" w:ascii="宋体" w:hAnsi="宋体" w:eastAsia="宋体" w:cs="宋体"/>
          <w:color w:val="auto"/>
          <w:sz w:val="24"/>
          <w:szCs w:val="24"/>
          <w:highlight w:val="none"/>
        </w:rPr>
      </w:pPr>
    </w:p>
    <w:p w14:paraId="323FCB9E">
      <w:pPr>
        <w:spacing w:line="520" w:lineRule="exact"/>
        <w:ind w:firstLine="2760" w:firstLineChars="1150"/>
        <w:rPr>
          <w:rFonts w:hint="eastAsia" w:ascii="宋体" w:hAnsi="宋体" w:eastAsia="宋体" w:cs="宋体"/>
          <w:color w:val="auto"/>
          <w:sz w:val="24"/>
          <w:szCs w:val="24"/>
          <w:highlight w:val="none"/>
        </w:rPr>
      </w:pPr>
    </w:p>
    <w:p w14:paraId="6CD4FC0E">
      <w:pPr>
        <w:spacing w:line="520" w:lineRule="exact"/>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w:t>
      </w:r>
    </w:p>
    <w:p w14:paraId="45B99B1B">
      <w:pPr>
        <w:spacing w:line="600" w:lineRule="exact"/>
        <w:ind w:firstLine="5040"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p w14:paraId="61FF6CC5">
      <w:pPr>
        <w:spacing w:line="520" w:lineRule="exact"/>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法定代表人或授权代表(签名)：</w:t>
      </w:r>
    </w:p>
    <w:p w14:paraId="5781DFB0">
      <w:pPr>
        <w:spacing w:line="520" w:lineRule="exact"/>
        <w:ind w:firstLine="6720" w:firstLineChars="2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0B06321A">
      <w:pPr>
        <w:spacing w:line="600" w:lineRule="exact"/>
        <w:ind w:firstLine="480" w:firstLineChars="200"/>
        <w:rPr>
          <w:rFonts w:hint="eastAsia" w:ascii="宋体" w:hAnsi="宋体" w:eastAsia="宋体" w:cs="宋体"/>
          <w:color w:val="auto"/>
          <w:sz w:val="24"/>
          <w:szCs w:val="24"/>
          <w:highlight w:val="none"/>
        </w:rPr>
      </w:pPr>
    </w:p>
    <w:p w14:paraId="78F4FDE2">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注：1.供应商须在投标（响应）文件中按此模板提供承诺函，未提供视为未实质性响应招标（采购）文件要求，按无效投标（响应）处理。</w:t>
      </w:r>
    </w:p>
    <w:p w14:paraId="55E36437">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2.供应商的法定代表人（其他组织的为负责人）或者授权代表的签名或盖章应真实、有效，如由授权代表签名或盖章的，应提供“法定代表人授权书”。</w:t>
      </w:r>
    </w:p>
    <w:p w14:paraId="4B897578">
      <w:pPr>
        <w:pStyle w:val="15"/>
        <w:rPr>
          <w:rFonts w:ascii="宋体" w:hAnsi="宋体" w:cs="宋体"/>
          <w:b/>
          <w:color w:val="auto"/>
          <w:w w:val="99"/>
          <w:kern w:val="0"/>
          <w:sz w:val="32"/>
          <w:szCs w:val="32"/>
          <w:highlight w:val="none"/>
        </w:rPr>
      </w:pPr>
    </w:p>
    <w:bookmarkEnd w:id="1361"/>
    <w:bookmarkEnd w:id="1362"/>
    <w:bookmarkEnd w:id="1363"/>
    <w:bookmarkEnd w:id="1364"/>
    <w:bookmarkEnd w:id="1365"/>
    <w:bookmarkEnd w:id="1366"/>
    <w:p w14:paraId="6F025409">
      <w:pPr>
        <w:rPr>
          <w:rFonts w:ascii="宋体" w:hAnsi="宋体" w:cs="宋体"/>
          <w:b/>
          <w:bCs/>
          <w:color w:val="auto"/>
          <w:w w:val="99"/>
          <w:kern w:val="0"/>
          <w:sz w:val="30"/>
          <w:szCs w:val="32"/>
          <w:highlight w:val="none"/>
        </w:rPr>
      </w:pPr>
      <w:r>
        <w:rPr>
          <w:rFonts w:hint="eastAsia" w:ascii="宋体" w:hAnsi="宋体" w:cs="宋体"/>
          <w:b/>
          <w:bCs/>
          <w:color w:val="auto"/>
          <w:w w:val="99"/>
          <w:kern w:val="0"/>
          <w:sz w:val="30"/>
          <w:szCs w:val="32"/>
          <w:highlight w:val="none"/>
        </w:rPr>
        <w:br w:type="page"/>
      </w:r>
    </w:p>
    <w:p w14:paraId="47C80D7D">
      <w:pPr>
        <w:pStyle w:val="10"/>
        <w:spacing w:before="98" w:line="219" w:lineRule="auto"/>
        <w:ind w:left="2831"/>
        <w:rPr>
          <w:color w:val="auto"/>
          <w:sz w:val="30"/>
          <w:szCs w:val="30"/>
          <w:highlight w:val="none"/>
        </w:rPr>
      </w:pPr>
      <w:r>
        <w:rPr>
          <w:b/>
          <w:bCs/>
          <w:color w:val="auto"/>
          <w:spacing w:val="-3"/>
          <w:sz w:val="30"/>
          <w:szCs w:val="30"/>
          <w:highlight w:val="none"/>
        </w:rPr>
        <w:t>供应商直接控股、管理关系信息表</w:t>
      </w:r>
    </w:p>
    <w:p w14:paraId="0A450FAC">
      <w:pPr>
        <w:spacing w:line="354" w:lineRule="auto"/>
        <w:rPr>
          <w:rFonts w:ascii="Arial"/>
          <w:color w:val="auto"/>
          <w:sz w:val="21"/>
          <w:highlight w:val="none"/>
        </w:rPr>
      </w:pPr>
    </w:p>
    <w:p w14:paraId="2E46BBB5">
      <w:pPr>
        <w:spacing w:line="354" w:lineRule="auto"/>
        <w:rPr>
          <w:rFonts w:ascii="Arial"/>
          <w:color w:val="auto"/>
          <w:sz w:val="21"/>
          <w:highlight w:val="none"/>
        </w:rPr>
      </w:pPr>
    </w:p>
    <w:p w14:paraId="3473D7DF">
      <w:pPr>
        <w:pStyle w:val="10"/>
        <w:spacing w:before="98" w:line="219" w:lineRule="auto"/>
        <w:ind w:left="3282"/>
        <w:rPr>
          <w:color w:val="auto"/>
          <w:sz w:val="30"/>
          <w:szCs w:val="30"/>
          <w:highlight w:val="none"/>
        </w:rPr>
      </w:pPr>
      <w:r>
        <w:rPr>
          <w:b/>
          <w:bCs/>
          <w:color w:val="auto"/>
          <w:spacing w:val="-4"/>
          <w:sz w:val="30"/>
          <w:szCs w:val="30"/>
          <w:highlight w:val="none"/>
        </w:rPr>
        <w:t>供应商直接控股股东信息表</w:t>
      </w:r>
    </w:p>
    <w:p w14:paraId="32768175">
      <w:pPr>
        <w:spacing w:line="183" w:lineRule="exact"/>
        <w:rPr>
          <w:color w:val="auto"/>
          <w:highlight w:val="none"/>
        </w:rPr>
      </w:pPr>
    </w:p>
    <w:tbl>
      <w:tblPr>
        <w:tblStyle w:val="58"/>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654"/>
        <w:gridCol w:w="1454"/>
        <w:gridCol w:w="4285"/>
        <w:gridCol w:w="874"/>
      </w:tblGrid>
      <w:tr w14:paraId="2548C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84" w:type="dxa"/>
            <w:vAlign w:val="top"/>
          </w:tcPr>
          <w:p w14:paraId="265132B0">
            <w:pPr>
              <w:pStyle w:val="57"/>
              <w:spacing w:before="159" w:line="222" w:lineRule="auto"/>
              <w:ind w:left="207"/>
              <w:rPr>
                <w:color w:val="auto"/>
                <w:sz w:val="24"/>
                <w:szCs w:val="24"/>
                <w:highlight w:val="none"/>
              </w:rPr>
            </w:pPr>
            <w:r>
              <w:rPr>
                <w:b/>
                <w:bCs/>
                <w:color w:val="auto"/>
                <w:spacing w:val="-7"/>
                <w:sz w:val="24"/>
                <w:szCs w:val="24"/>
                <w:highlight w:val="none"/>
              </w:rPr>
              <w:t>序号</w:t>
            </w:r>
          </w:p>
        </w:tc>
        <w:tc>
          <w:tcPr>
            <w:tcW w:w="2654" w:type="dxa"/>
            <w:vAlign w:val="top"/>
          </w:tcPr>
          <w:p w14:paraId="4A65526C">
            <w:pPr>
              <w:pStyle w:val="57"/>
              <w:spacing w:before="159" w:line="220" w:lineRule="auto"/>
              <w:ind w:left="370"/>
              <w:rPr>
                <w:color w:val="auto"/>
                <w:sz w:val="24"/>
                <w:szCs w:val="24"/>
                <w:highlight w:val="none"/>
              </w:rPr>
            </w:pPr>
            <w:r>
              <w:rPr>
                <w:b/>
                <w:bCs/>
                <w:color w:val="auto"/>
                <w:spacing w:val="-4"/>
                <w:sz w:val="24"/>
                <w:szCs w:val="24"/>
                <w:highlight w:val="none"/>
              </w:rPr>
              <w:t>直接控股股东名称</w:t>
            </w:r>
          </w:p>
        </w:tc>
        <w:tc>
          <w:tcPr>
            <w:tcW w:w="1454" w:type="dxa"/>
            <w:vAlign w:val="top"/>
          </w:tcPr>
          <w:p w14:paraId="19E7425E">
            <w:pPr>
              <w:pStyle w:val="57"/>
              <w:spacing w:before="159" w:line="222" w:lineRule="auto"/>
              <w:ind w:left="271"/>
              <w:rPr>
                <w:color w:val="auto"/>
                <w:sz w:val="24"/>
                <w:szCs w:val="24"/>
                <w:highlight w:val="none"/>
              </w:rPr>
            </w:pPr>
            <w:r>
              <w:rPr>
                <w:b/>
                <w:bCs/>
                <w:color w:val="auto"/>
                <w:spacing w:val="-10"/>
                <w:sz w:val="24"/>
                <w:szCs w:val="24"/>
                <w:highlight w:val="none"/>
              </w:rPr>
              <w:t>出资比例</w:t>
            </w:r>
          </w:p>
        </w:tc>
        <w:tc>
          <w:tcPr>
            <w:tcW w:w="4285" w:type="dxa"/>
            <w:vAlign w:val="top"/>
          </w:tcPr>
          <w:p w14:paraId="485B1186">
            <w:pPr>
              <w:pStyle w:val="57"/>
              <w:spacing w:before="160" w:line="219" w:lineRule="auto"/>
              <w:ind w:left="349"/>
              <w:rPr>
                <w:color w:val="auto"/>
                <w:sz w:val="24"/>
                <w:szCs w:val="24"/>
                <w:highlight w:val="none"/>
              </w:rPr>
            </w:pPr>
            <w:r>
              <w:rPr>
                <w:b/>
                <w:bCs/>
                <w:color w:val="auto"/>
                <w:spacing w:val="-3"/>
                <w:sz w:val="24"/>
                <w:szCs w:val="24"/>
                <w:highlight w:val="none"/>
              </w:rPr>
              <w:t>身份证号码或者统一社会信用代码</w:t>
            </w:r>
          </w:p>
        </w:tc>
        <w:tc>
          <w:tcPr>
            <w:tcW w:w="874" w:type="dxa"/>
            <w:vAlign w:val="top"/>
          </w:tcPr>
          <w:p w14:paraId="1C6ABEA1">
            <w:pPr>
              <w:pStyle w:val="57"/>
              <w:spacing w:before="159" w:line="222" w:lineRule="auto"/>
              <w:ind w:left="205"/>
              <w:rPr>
                <w:color w:val="auto"/>
                <w:sz w:val="24"/>
                <w:szCs w:val="24"/>
                <w:highlight w:val="none"/>
              </w:rPr>
            </w:pPr>
            <w:r>
              <w:rPr>
                <w:b/>
                <w:bCs/>
                <w:color w:val="auto"/>
                <w:spacing w:val="-9"/>
                <w:sz w:val="24"/>
                <w:szCs w:val="24"/>
                <w:highlight w:val="none"/>
              </w:rPr>
              <w:t>备注</w:t>
            </w:r>
          </w:p>
        </w:tc>
      </w:tr>
      <w:tr w14:paraId="3B0C4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vAlign w:val="top"/>
          </w:tcPr>
          <w:p w14:paraId="65124FE1">
            <w:pPr>
              <w:pStyle w:val="57"/>
              <w:spacing w:before="156" w:line="242" w:lineRule="auto"/>
              <w:ind w:left="405"/>
              <w:rPr>
                <w:color w:val="auto"/>
                <w:sz w:val="24"/>
                <w:szCs w:val="24"/>
                <w:highlight w:val="none"/>
              </w:rPr>
            </w:pPr>
            <w:r>
              <w:rPr>
                <w:color w:val="auto"/>
                <w:sz w:val="24"/>
                <w:szCs w:val="24"/>
                <w:highlight w:val="none"/>
              </w:rPr>
              <w:t>1</w:t>
            </w:r>
          </w:p>
        </w:tc>
        <w:tc>
          <w:tcPr>
            <w:tcW w:w="2654" w:type="dxa"/>
            <w:vAlign w:val="top"/>
          </w:tcPr>
          <w:p w14:paraId="2BFBD024">
            <w:pPr>
              <w:rPr>
                <w:rFonts w:ascii="Arial"/>
                <w:color w:val="auto"/>
                <w:sz w:val="21"/>
                <w:highlight w:val="none"/>
              </w:rPr>
            </w:pPr>
          </w:p>
        </w:tc>
        <w:tc>
          <w:tcPr>
            <w:tcW w:w="1454" w:type="dxa"/>
            <w:vAlign w:val="top"/>
          </w:tcPr>
          <w:p w14:paraId="3DB9D436">
            <w:pPr>
              <w:rPr>
                <w:rFonts w:ascii="Arial"/>
                <w:color w:val="auto"/>
                <w:sz w:val="21"/>
                <w:highlight w:val="none"/>
              </w:rPr>
            </w:pPr>
          </w:p>
        </w:tc>
        <w:tc>
          <w:tcPr>
            <w:tcW w:w="4285" w:type="dxa"/>
            <w:vAlign w:val="top"/>
          </w:tcPr>
          <w:p w14:paraId="59363619">
            <w:pPr>
              <w:rPr>
                <w:rFonts w:ascii="Arial"/>
                <w:color w:val="auto"/>
                <w:sz w:val="21"/>
                <w:highlight w:val="none"/>
              </w:rPr>
            </w:pPr>
          </w:p>
        </w:tc>
        <w:tc>
          <w:tcPr>
            <w:tcW w:w="874" w:type="dxa"/>
            <w:vAlign w:val="top"/>
          </w:tcPr>
          <w:p w14:paraId="2928B725">
            <w:pPr>
              <w:rPr>
                <w:rFonts w:ascii="Arial"/>
                <w:color w:val="auto"/>
                <w:sz w:val="21"/>
                <w:highlight w:val="none"/>
              </w:rPr>
            </w:pPr>
          </w:p>
        </w:tc>
      </w:tr>
      <w:tr w14:paraId="05258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84" w:type="dxa"/>
            <w:vAlign w:val="top"/>
          </w:tcPr>
          <w:p w14:paraId="46E3E63A">
            <w:pPr>
              <w:pStyle w:val="57"/>
              <w:spacing w:before="158" w:line="242" w:lineRule="auto"/>
              <w:ind w:left="391"/>
              <w:rPr>
                <w:color w:val="auto"/>
                <w:sz w:val="24"/>
                <w:szCs w:val="24"/>
                <w:highlight w:val="none"/>
              </w:rPr>
            </w:pPr>
            <w:r>
              <w:rPr>
                <w:color w:val="auto"/>
                <w:sz w:val="24"/>
                <w:szCs w:val="24"/>
                <w:highlight w:val="none"/>
              </w:rPr>
              <w:t>2</w:t>
            </w:r>
          </w:p>
        </w:tc>
        <w:tc>
          <w:tcPr>
            <w:tcW w:w="2654" w:type="dxa"/>
            <w:vAlign w:val="top"/>
          </w:tcPr>
          <w:p w14:paraId="5E3B5405">
            <w:pPr>
              <w:rPr>
                <w:rFonts w:ascii="Arial"/>
                <w:color w:val="auto"/>
                <w:sz w:val="21"/>
                <w:highlight w:val="none"/>
              </w:rPr>
            </w:pPr>
          </w:p>
        </w:tc>
        <w:tc>
          <w:tcPr>
            <w:tcW w:w="1454" w:type="dxa"/>
            <w:vAlign w:val="top"/>
          </w:tcPr>
          <w:p w14:paraId="0B0A0E66">
            <w:pPr>
              <w:rPr>
                <w:rFonts w:ascii="Arial"/>
                <w:color w:val="auto"/>
                <w:sz w:val="21"/>
                <w:highlight w:val="none"/>
              </w:rPr>
            </w:pPr>
          </w:p>
        </w:tc>
        <w:tc>
          <w:tcPr>
            <w:tcW w:w="4285" w:type="dxa"/>
            <w:vAlign w:val="top"/>
          </w:tcPr>
          <w:p w14:paraId="4F552FBF">
            <w:pPr>
              <w:rPr>
                <w:rFonts w:ascii="Arial"/>
                <w:color w:val="auto"/>
                <w:sz w:val="21"/>
                <w:highlight w:val="none"/>
              </w:rPr>
            </w:pPr>
          </w:p>
        </w:tc>
        <w:tc>
          <w:tcPr>
            <w:tcW w:w="874" w:type="dxa"/>
            <w:vAlign w:val="top"/>
          </w:tcPr>
          <w:p w14:paraId="433F69F8">
            <w:pPr>
              <w:rPr>
                <w:rFonts w:ascii="Arial"/>
                <w:color w:val="auto"/>
                <w:sz w:val="21"/>
                <w:highlight w:val="none"/>
              </w:rPr>
            </w:pPr>
          </w:p>
        </w:tc>
      </w:tr>
      <w:tr w14:paraId="41456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vAlign w:val="top"/>
          </w:tcPr>
          <w:p w14:paraId="4B329632">
            <w:pPr>
              <w:pStyle w:val="57"/>
              <w:spacing w:before="159"/>
              <w:ind w:left="392"/>
              <w:rPr>
                <w:color w:val="auto"/>
                <w:sz w:val="24"/>
                <w:szCs w:val="24"/>
                <w:highlight w:val="none"/>
              </w:rPr>
            </w:pPr>
            <w:r>
              <w:rPr>
                <w:color w:val="auto"/>
                <w:sz w:val="24"/>
                <w:szCs w:val="24"/>
                <w:highlight w:val="none"/>
              </w:rPr>
              <w:t>3</w:t>
            </w:r>
          </w:p>
        </w:tc>
        <w:tc>
          <w:tcPr>
            <w:tcW w:w="2654" w:type="dxa"/>
            <w:vAlign w:val="top"/>
          </w:tcPr>
          <w:p w14:paraId="175C7403">
            <w:pPr>
              <w:rPr>
                <w:rFonts w:ascii="Arial"/>
                <w:color w:val="auto"/>
                <w:sz w:val="21"/>
                <w:highlight w:val="none"/>
              </w:rPr>
            </w:pPr>
          </w:p>
        </w:tc>
        <w:tc>
          <w:tcPr>
            <w:tcW w:w="1454" w:type="dxa"/>
            <w:vAlign w:val="top"/>
          </w:tcPr>
          <w:p w14:paraId="77A56294">
            <w:pPr>
              <w:rPr>
                <w:rFonts w:ascii="Arial"/>
                <w:color w:val="auto"/>
                <w:sz w:val="21"/>
                <w:highlight w:val="none"/>
              </w:rPr>
            </w:pPr>
          </w:p>
        </w:tc>
        <w:tc>
          <w:tcPr>
            <w:tcW w:w="4285" w:type="dxa"/>
            <w:vAlign w:val="top"/>
          </w:tcPr>
          <w:p w14:paraId="71428110">
            <w:pPr>
              <w:rPr>
                <w:rFonts w:ascii="Arial"/>
                <w:color w:val="auto"/>
                <w:sz w:val="21"/>
                <w:highlight w:val="none"/>
              </w:rPr>
            </w:pPr>
          </w:p>
        </w:tc>
        <w:tc>
          <w:tcPr>
            <w:tcW w:w="874" w:type="dxa"/>
            <w:vAlign w:val="top"/>
          </w:tcPr>
          <w:p w14:paraId="23BB6FEC">
            <w:pPr>
              <w:rPr>
                <w:rFonts w:ascii="Arial"/>
                <w:color w:val="auto"/>
                <w:sz w:val="21"/>
                <w:highlight w:val="none"/>
              </w:rPr>
            </w:pPr>
          </w:p>
        </w:tc>
      </w:tr>
      <w:tr w14:paraId="43BDB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4" w:type="dxa"/>
            <w:vAlign w:val="top"/>
          </w:tcPr>
          <w:p w14:paraId="4CDFBD4A">
            <w:pPr>
              <w:pStyle w:val="57"/>
              <w:spacing w:before="160" w:line="379" w:lineRule="exact"/>
              <w:ind w:left="223"/>
              <w:rPr>
                <w:color w:val="auto"/>
                <w:sz w:val="24"/>
                <w:szCs w:val="24"/>
                <w:highlight w:val="none"/>
              </w:rPr>
            </w:pPr>
            <w:r>
              <w:rPr>
                <w:color w:val="auto"/>
                <w:spacing w:val="-13"/>
                <w:position w:val="3"/>
                <w:sz w:val="24"/>
                <w:szCs w:val="24"/>
                <w:highlight w:val="none"/>
              </w:rPr>
              <w:t>……</w:t>
            </w:r>
          </w:p>
        </w:tc>
        <w:tc>
          <w:tcPr>
            <w:tcW w:w="2654" w:type="dxa"/>
            <w:vAlign w:val="top"/>
          </w:tcPr>
          <w:p w14:paraId="6DCCD05C">
            <w:pPr>
              <w:rPr>
                <w:rFonts w:ascii="Arial"/>
                <w:color w:val="auto"/>
                <w:sz w:val="21"/>
                <w:highlight w:val="none"/>
              </w:rPr>
            </w:pPr>
          </w:p>
        </w:tc>
        <w:tc>
          <w:tcPr>
            <w:tcW w:w="1454" w:type="dxa"/>
            <w:vAlign w:val="top"/>
          </w:tcPr>
          <w:p w14:paraId="60614300">
            <w:pPr>
              <w:rPr>
                <w:rFonts w:ascii="Arial"/>
                <w:color w:val="auto"/>
                <w:sz w:val="21"/>
                <w:highlight w:val="none"/>
              </w:rPr>
            </w:pPr>
          </w:p>
        </w:tc>
        <w:tc>
          <w:tcPr>
            <w:tcW w:w="4285" w:type="dxa"/>
            <w:vAlign w:val="top"/>
          </w:tcPr>
          <w:p w14:paraId="50837D19">
            <w:pPr>
              <w:rPr>
                <w:rFonts w:ascii="Arial"/>
                <w:color w:val="auto"/>
                <w:sz w:val="21"/>
                <w:highlight w:val="none"/>
              </w:rPr>
            </w:pPr>
          </w:p>
        </w:tc>
        <w:tc>
          <w:tcPr>
            <w:tcW w:w="874" w:type="dxa"/>
            <w:vAlign w:val="top"/>
          </w:tcPr>
          <w:p w14:paraId="591460D9">
            <w:pPr>
              <w:rPr>
                <w:rFonts w:ascii="Arial"/>
                <w:color w:val="auto"/>
                <w:sz w:val="21"/>
                <w:highlight w:val="none"/>
              </w:rPr>
            </w:pPr>
          </w:p>
        </w:tc>
      </w:tr>
    </w:tbl>
    <w:p w14:paraId="39E671EA">
      <w:pPr>
        <w:pStyle w:val="10"/>
        <w:spacing w:before="37" w:line="224" w:lineRule="auto"/>
        <w:ind w:left="436"/>
        <w:rPr>
          <w:color w:val="auto"/>
          <w:highlight w:val="none"/>
        </w:rPr>
      </w:pPr>
      <w:r>
        <w:rPr>
          <w:color w:val="auto"/>
          <w:spacing w:val="-5"/>
          <w:highlight w:val="none"/>
        </w:rPr>
        <w:t>注：</w:t>
      </w:r>
    </w:p>
    <w:p w14:paraId="7944A78A">
      <w:pPr>
        <w:pStyle w:val="10"/>
        <w:spacing w:before="175" w:line="324" w:lineRule="auto"/>
        <w:ind w:left="435" w:right="427" w:firstLine="498"/>
        <w:rPr>
          <w:color w:val="auto"/>
          <w:highlight w:val="none"/>
        </w:rPr>
      </w:pPr>
      <w:r>
        <w:rPr>
          <w:color w:val="auto"/>
          <w:spacing w:val="-2"/>
          <w:highlight w:val="none"/>
        </w:rPr>
        <w:t>1.直接控股股东：是指其出资额占有限责任公司资本总额百分</w:t>
      </w:r>
      <w:r>
        <w:rPr>
          <w:color w:val="auto"/>
          <w:spacing w:val="-3"/>
          <w:highlight w:val="none"/>
        </w:rPr>
        <w:t>之五十以上或者其持有</w:t>
      </w:r>
      <w:r>
        <w:rPr>
          <w:color w:val="auto"/>
          <w:spacing w:val="-2"/>
          <w:highlight w:val="none"/>
        </w:rPr>
        <w:t>的股份占股份有限公司股份总额百分之五十以上的股东；出资额或者持有股份的比例虽然不足百分之五十，但依其出资额或者持有的股份所享有的表决权已足以对股东会、股东大</w:t>
      </w:r>
      <w:r>
        <w:rPr>
          <w:color w:val="auto"/>
          <w:spacing w:val="-1"/>
          <w:highlight w:val="none"/>
        </w:rPr>
        <w:t>会的决议产生重大影响的股东。</w:t>
      </w:r>
    </w:p>
    <w:p w14:paraId="49A4AF38">
      <w:pPr>
        <w:pStyle w:val="10"/>
        <w:spacing w:before="179" w:line="290" w:lineRule="auto"/>
        <w:ind w:left="438" w:right="427" w:firstLine="480"/>
        <w:rPr>
          <w:color w:val="auto"/>
          <w:highlight w:val="none"/>
        </w:rPr>
      </w:pPr>
      <w:r>
        <w:rPr>
          <w:color w:val="auto"/>
          <w:spacing w:val="-2"/>
          <w:highlight w:val="none"/>
        </w:rPr>
        <w:t>2.本表所指的控股关系仅限于直接控股关系，不包括间接的控股关系。公司实际控制</w:t>
      </w:r>
      <w:r>
        <w:rPr>
          <w:color w:val="auto"/>
          <w:spacing w:val="-1"/>
          <w:highlight w:val="none"/>
        </w:rPr>
        <w:t>人与公司之间的关系不属于本表所指的直接控股关系。</w:t>
      </w:r>
    </w:p>
    <w:p w14:paraId="6613F918">
      <w:pPr>
        <w:pStyle w:val="10"/>
        <w:spacing w:before="181" w:line="219" w:lineRule="auto"/>
        <w:ind w:left="921"/>
        <w:rPr>
          <w:color w:val="auto"/>
          <w:highlight w:val="none"/>
        </w:rPr>
      </w:pPr>
      <w:r>
        <w:rPr>
          <w:color w:val="auto"/>
          <w:spacing w:val="-1"/>
          <w:highlight w:val="none"/>
        </w:rPr>
        <w:t>3.供应商不存在直接控股股东的，则填</w:t>
      </w:r>
      <w:r>
        <w:rPr>
          <w:rFonts w:hint="eastAsia"/>
          <w:color w:val="auto"/>
          <w:spacing w:val="-1"/>
          <w:highlight w:val="none"/>
          <w:lang w:eastAsia="zh-CN"/>
        </w:rPr>
        <w:t>“</w:t>
      </w:r>
      <w:r>
        <w:rPr>
          <w:color w:val="auto"/>
          <w:spacing w:val="-1"/>
          <w:highlight w:val="none"/>
        </w:rPr>
        <w:t>无</w:t>
      </w:r>
      <w:r>
        <w:rPr>
          <w:rFonts w:hint="eastAsia"/>
          <w:color w:val="auto"/>
          <w:spacing w:val="-1"/>
          <w:highlight w:val="none"/>
          <w:lang w:eastAsia="zh-CN"/>
        </w:rPr>
        <w:t>”</w:t>
      </w:r>
      <w:r>
        <w:rPr>
          <w:color w:val="auto"/>
          <w:spacing w:val="-1"/>
          <w:highlight w:val="none"/>
        </w:rPr>
        <w:t>。</w:t>
      </w:r>
    </w:p>
    <w:p w14:paraId="081F7C62">
      <w:pPr>
        <w:spacing w:line="258" w:lineRule="auto"/>
        <w:rPr>
          <w:rFonts w:ascii="Arial"/>
          <w:color w:val="auto"/>
          <w:sz w:val="21"/>
          <w:highlight w:val="none"/>
        </w:rPr>
      </w:pPr>
    </w:p>
    <w:p w14:paraId="6538D5AC">
      <w:pPr>
        <w:spacing w:line="258" w:lineRule="auto"/>
        <w:rPr>
          <w:rFonts w:ascii="Arial"/>
          <w:color w:val="auto"/>
          <w:sz w:val="21"/>
          <w:highlight w:val="none"/>
        </w:rPr>
      </w:pPr>
    </w:p>
    <w:p w14:paraId="570BC531">
      <w:pPr>
        <w:spacing w:line="258" w:lineRule="auto"/>
        <w:rPr>
          <w:rFonts w:ascii="Arial"/>
          <w:color w:val="auto"/>
          <w:sz w:val="21"/>
          <w:highlight w:val="none"/>
        </w:rPr>
      </w:pPr>
    </w:p>
    <w:p w14:paraId="5F3FD27F">
      <w:pPr>
        <w:spacing w:line="258" w:lineRule="auto"/>
        <w:rPr>
          <w:rFonts w:ascii="Arial"/>
          <w:color w:val="auto"/>
          <w:sz w:val="21"/>
          <w:highlight w:val="none"/>
        </w:rPr>
      </w:pPr>
    </w:p>
    <w:p w14:paraId="76863D38">
      <w:pPr>
        <w:pStyle w:val="10"/>
        <w:spacing w:before="78" w:line="219" w:lineRule="auto"/>
        <w:ind w:left="4321"/>
        <w:rPr>
          <w:color w:val="auto"/>
          <w:highlight w:val="none"/>
        </w:rPr>
      </w:pPr>
      <w:r>
        <w:rPr>
          <w:color w:val="auto"/>
          <w:spacing w:val="-1"/>
          <w:highlight w:val="none"/>
        </w:rPr>
        <w:t>供应商名称（电子签章</w:t>
      </w:r>
      <w:r>
        <w:rPr>
          <w:color w:val="auto"/>
          <w:highlight w:val="none"/>
        </w:rPr>
        <w:t>）：</w:t>
      </w:r>
    </w:p>
    <w:p w14:paraId="52383695">
      <w:pPr>
        <w:pStyle w:val="10"/>
        <w:spacing w:before="181" w:line="220" w:lineRule="auto"/>
        <w:ind w:left="6597"/>
        <w:rPr>
          <w:color w:val="auto"/>
          <w:highlight w:val="none"/>
        </w:rPr>
      </w:pPr>
      <w:r>
        <w:rPr>
          <w:color w:val="auto"/>
          <w:spacing w:val="-13"/>
          <w:highlight w:val="none"/>
        </w:rPr>
        <w:t>日期：</w:t>
      </w:r>
      <w:r>
        <w:rPr>
          <w:color w:val="auto"/>
          <w:spacing w:val="5"/>
          <w:highlight w:val="none"/>
        </w:rPr>
        <w:t xml:space="preserve">  </w:t>
      </w:r>
      <w:r>
        <w:rPr>
          <w:color w:val="auto"/>
          <w:spacing w:val="-13"/>
          <w:highlight w:val="none"/>
        </w:rPr>
        <w:t>年</w:t>
      </w:r>
      <w:r>
        <w:rPr>
          <w:color w:val="auto"/>
          <w:spacing w:val="5"/>
          <w:highlight w:val="none"/>
        </w:rPr>
        <w:t xml:space="preserve">   </w:t>
      </w:r>
      <w:r>
        <w:rPr>
          <w:color w:val="auto"/>
          <w:spacing w:val="-13"/>
          <w:highlight w:val="none"/>
        </w:rPr>
        <w:t>月</w:t>
      </w:r>
      <w:r>
        <w:rPr>
          <w:color w:val="auto"/>
          <w:spacing w:val="17"/>
          <w:highlight w:val="none"/>
        </w:rPr>
        <w:t xml:space="preserve">   </w:t>
      </w:r>
      <w:r>
        <w:rPr>
          <w:color w:val="auto"/>
          <w:spacing w:val="-13"/>
          <w:highlight w:val="none"/>
        </w:rPr>
        <w:t>日</w:t>
      </w:r>
    </w:p>
    <w:p w14:paraId="012DC1DD">
      <w:pPr>
        <w:spacing w:line="220" w:lineRule="auto"/>
        <w:rPr>
          <w:color w:val="auto"/>
          <w:highlight w:val="none"/>
        </w:rPr>
        <w:sectPr>
          <w:footerReference r:id="rId8" w:type="default"/>
          <w:pgSz w:w="11910" w:h="16840"/>
          <w:pgMar w:top="1440" w:right="1083" w:bottom="1440" w:left="1083" w:header="0" w:footer="843" w:gutter="0"/>
          <w:pgNumType w:fmt="decimal"/>
          <w:cols w:space="720" w:num="1"/>
        </w:sectPr>
      </w:pPr>
    </w:p>
    <w:p w14:paraId="24ED5BBA">
      <w:pPr>
        <w:pStyle w:val="10"/>
        <w:spacing w:before="98" w:line="219" w:lineRule="auto"/>
        <w:ind w:left="3034"/>
        <w:rPr>
          <w:color w:val="auto"/>
          <w:sz w:val="30"/>
          <w:szCs w:val="30"/>
          <w:highlight w:val="none"/>
        </w:rPr>
      </w:pPr>
      <w:r>
        <w:rPr>
          <w:b/>
          <w:bCs/>
          <w:color w:val="auto"/>
          <w:spacing w:val="-4"/>
          <w:sz w:val="30"/>
          <w:szCs w:val="30"/>
          <w:highlight w:val="none"/>
        </w:rPr>
        <w:t>供应商直接管理关系信息表</w:t>
      </w:r>
    </w:p>
    <w:p w14:paraId="1897DE8A">
      <w:pPr>
        <w:spacing w:line="182" w:lineRule="exact"/>
        <w:rPr>
          <w:color w:val="auto"/>
          <w:highlight w:val="none"/>
        </w:rPr>
      </w:pPr>
    </w:p>
    <w:tbl>
      <w:tblPr>
        <w:tblStyle w:val="58"/>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739E9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12" w:type="dxa"/>
            <w:vAlign w:val="top"/>
          </w:tcPr>
          <w:p w14:paraId="0879B9F2">
            <w:pPr>
              <w:pStyle w:val="57"/>
              <w:spacing w:before="159" w:line="222" w:lineRule="auto"/>
              <w:ind w:left="170"/>
              <w:rPr>
                <w:color w:val="auto"/>
                <w:sz w:val="24"/>
                <w:szCs w:val="24"/>
                <w:highlight w:val="none"/>
              </w:rPr>
            </w:pPr>
            <w:r>
              <w:rPr>
                <w:b/>
                <w:bCs/>
                <w:color w:val="auto"/>
                <w:spacing w:val="-7"/>
                <w:sz w:val="24"/>
                <w:szCs w:val="24"/>
                <w:highlight w:val="none"/>
              </w:rPr>
              <w:t>序号</w:t>
            </w:r>
          </w:p>
        </w:tc>
        <w:tc>
          <w:tcPr>
            <w:tcW w:w="3598" w:type="dxa"/>
            <w:vAlign w:val="top"/>
          </w:tcPr>
          <w:p w14:paraId="1945B01F">
            <w:pPr>
              <w:pStyle w:val="57"/>
              <w:spacing w:before="160" w:line="220" w:lineRule="auto"/>
              <w:ind w:left="602"/>
              <w:rPr>
                <w:color w:val="auto"/>
                <w:sz w:val="24"/>
                <w:szCs w:val="24"/>
                <w:highlight w:val="none"/>
              </w:rPr>
            </w:pPr>
            <w:r>
              <w:rPr>
                <w:b/>
                <w:bCs/>
                <w:color w:val="auto"/>
                <w:spacing w:val="-3"/>
                <w:sz w:val="24"/>
                <w:szCs w:val="24"/>
                <w:highlight w:val="none"/>
              </w:rPr>
              <w:t>直接管理关系单位名称</w:t>
            </w:r>
          </w:p>
        </w:tc>
        <w:tc>
          <w:tcPr>
            <w:tcW w:w="3553" w:type="dxa"/>
            <w:vAlign w:val="top"/>
          </w:tcPr>
          <w:p w14:paraId="21702B5A">
            <w:pPr>
              <w:pStyle w:val="57"/>
              <w:spacing w:before="160" w:line="219" w:lineRule="auto"/>
              <w:ind w:left="826"/>
              <w:rPr>
                <w:color w:val="auto"/>
                <w:sz w:val="24"/>
                <w:szCs w:val="24"/>
                <w:highlight w:val="none"/>
              </w:rPr>
            </w:pPr>
            <w:r>
              <w:rPr>
                <w:b/>
                <w:bCs/>
                <w:color w:val="auto"/>
                <w:spacing w:val="-4"/>
                <w:sz w:val="24"/>
                <w:szCs w:val="24"/>
                <w:highlight w:val="none"/>
              </w:rPr>
              <w:t>统一社会信用代码</w:t>
            </w:r>
          </w:p>
        </w:tc>
        <w:tc>
          <w:tcPr>
            <w:tcW w:w="1693" w:type="dxa"/>
            <w:vAlign w:val="top"/>
          </w:tcPr>
          <w:p w14:paraId="1F79633A">
            <w:pPr>
              <w:pStyle w:val="57"/>
              <w:spacing w:before="159" w:line="222" w:lineRule="auto"/>
              <w:ind w:left="616"/>
              <w:rPr>
                <w:color w:val="auto"/>
                <w:sz w:val="24"/>
                <w:szCs w:val="24"/>
                <w:highlight w:val="none"/>
              </w:rPr>
            </w:pPr>
            <w:r>
              <w:rPr>
                <w:b/>
                <w:bCs/>
                <w:color w:val="auto"/>
                <w:spacing w:val="-9"/>
                <w:sz w:val="24"/>
                <w:szCs w:val="24"/>
                <w:highlight w:val="none"/>
              </w:rPr>
              <w:t>备注</w:t>
            </w:r>
          </w:p>
        </w:tc>
      </w:tr>
      <w:tr w14:paraId="4FFAE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2" w:type="dxa"/>
            <w:vAlign w:val="top"/>
          </w:tcPr>
          <w:p w14:paraId="5051FF30">
            <w:pPr>
              <w:pStyle w:val="57"/>
              <w:spacing w:before="157" w:line="242" w:lineRule="auto"/>
              <w:ind w:left="371"/>
              <w:rPr>
                <w:color w:val="auto"/>
                <w:sz w:val="24"/>
                <w:szCs w:val="24"/>
                <w:highlight w:val="none"/>
              </w:rPr>
            </w:pPr>
            <w:r>
              <w:rPr>
                <w:color w:val="auto"/>
                <w:sz w:val="24"/>
                <w:szCs w:val="24"/>
                <w:highlight w:val="none"/>
              </w:rPr>
              <w:t>1</w:t>
            </w:r>
          </w:p>
        </w:tc>
        <w:tc>
          <w:tcPr>
            <w:tcW w:w="3598" w:type="dxa"/>
            <w:vAlign w:val="top"/>
          </w:tcPr>
          <w:p w14:paraId="0B1727C8">
            <w:pPr>
              <w:rPr>
                <w:rFonts w:ascii="Arial"/>
                <w:color w:val="auto"/>
                <w:sz w:val="21"/>
                <w:highlight w:val="none"/>
              </w:rPr>
            </w:pPr>
          </w:p>
        </w:tc>
        <w:tc>
          <w:tcPr>
            <w:tcW w:w="3553" w:type="dxa"/>
            <w:vAlign w:val="top"/>
          </w:tcPr>
          <w:p w14:paraId="180A567E">
            <w:pPr>
              <w:rPr>
                <w:rFonts w:ascii="Arial"/>
                <w:color w:val="auto"/>
                <w:sz w:val="21"/>
                <w:highlight w:val="none"/>
              </w:rPr>
            </w:pPr>
          </w:p>
        </w:tc>
        <w:tc>
          <w:tcPr>
            <w:tcW w:w="1693" w:type="dxa"/>
            <w:vAlign w:val="top"/>
          </w:tcPr>
          <w:p w14:paraId="65809CFB">
            <w:pPr>
              <w:rPr>
                <w:rFonts w:ascii="Arial"/>
                <w:color w:val="auto"/>
                <w:sz w:val="21"/>
                <w:highlight w:val="none"/>
              </w:rPr>
            </w:pPr>
          </w:p>
        </w:tc>
      </w:tr>
      <w:tr w14:paraId="045E4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1" w:hRule="atLeast"/>
        </w:trPr>
        <w:tc>
          <w:tcPr>
            <w:tcW w:w="812" w:type="dxa"/>
            <w:vAlign w:val="top"/>
          </w:tcPr>
          <w:p w14:paraId="2A9E1EC2">
            <w:pPr>
              <w:pStyle w:val="57"/>
              <w:spacing w:before="159" w:line="242" w:lineRule="auto"/>
              <w:ind w:left="356"/>
              <w:rPr>
                <w:color w:val="auto"/>
                <w:sz w:val="24"/>
                <w:szCs w:val="24"/>
                <w:highlight w:val="none"/>
              </w:rPr>
            </w:pPr>
            <w:r>
              <w:rPr>
                <w:color w:val="auto"/>
                <w:sz w:val="24"/>
                <w:szCs w:val="24"/>
                <w:highlight w:val="none"/>
              </w:rPr>
              <w:t>2</w:t>
            </w:r>
          </w:p>
        </w:tc>
        <w:tc>
          <w:tcPr>
            <w:tcW w:w="3598" w:type="dxa"/>
            <w:vAlign w:val="top"/>
          </w:tcPr>
          <w:p w14:paraId="706A3F2B">
            <w:pPr>
              <w:rPr>
                <w:rFonts w:ascii="Arial"/>
                <w:color w:val="auto"/>
                <w:sz w:val="21"/>
                <w:highlight w:val="none"/>
              </w:rPr>
            </w:pPr>
          </w:p>
        </w:tc>
        <w:tc>
          <w:tcPr>
            <w:tcW w:w="3553" w:type="dxa"/>
            <w:vAlign w:val="top"/>
          </w:tcPr>
          <w:p w14:paraId="75FA5C92">
            <w:pPr>
              <w:rPr>
                <w:rFonts w:ascii="Arial"/>
                <w:color w:val="auto"/>
                <w:sz w:val="21"/>
                <w:highlight w:val="none"/>
              </w:rPr>
            </w:pPr>
          </w:p>
        </w:tc>
        <w:tc>
          <w:tcPr>
            <w:tcW w:w="1693" w:type="dxa"/>
            <w:vAlign w:val="top"/>
          </w:tcPr>
          <w:p w14:paraId="0338254C">
            <w:pPr>
              <w:rPr>
                <w:rFonts w:ascii="Arial"/>
                <w:color w:val="auto"/>
                <w:sz w:val="21"/>
                <w:highlight w:val="none"/>
              </w:rPr>
            </w:pPr>
          </w:p>
        </w:tc>
      </w:tr>
      <w:tr w14:paraId="7F30B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2" w:type="dxa"/>
            <w:vAlign w:val="top"/>
          </w:tcPr>
          <w:p w14:paraId="7819DC4D">
            <w:pPr>
              <w:pStyle w:val="57"/>
              <w:spacing w:before="158"/>
              <w:ind w:left="358"/>
              <w:rPr>
                <w:color w:val="auto"/>
                <w:sz w:val="24"/>
                <w:szCs w:val="24"/>
                <w:highlight w:val="none"/>
              </w:rPr>
            </w:pPr>
            <w:r>
              <w:rPr>
                <w:color w:val="auto"/>
                <w:sz w:val="24"/>
                <w:szCs w:val="24"/>
                <w:highlight w:val="none"/>
              </w:rPr>
              <w:t>3</w:t>
            </w:r>
          </w:p>
        </w:tc>
        <w:tc>
          <w:tcPr>
            <w:tcW w:w="3598" w:type="dxa"/>
            <w:vAlign w:val="top"/>
          </w:tcPr>
          <w:p w14:paraId="069E77D5">
            <w:pPr>
              <w:rPr>
                <w:rFonts w:ascii="Arial"/>
                <w:color w:val="auto"/>
                <w:sz w:val="21"/>
                <w:highlight w:val="none"/>
              </w:rPr>
            </w:pPr>
          </w:p>
        </w:tc>
        <w:tc>
          <w:tcPr>
            <w:tcW w:w="3553" w:type="dxa"/>
            <w:vAlign w:val="top"/>
          </w:tcPr>
          <w:p w14:paraId="16A4D24F">
            <w:pPr>
              <w:rPr>
                <w:rFonts w:ascii="Arial"/>
                <w:color w:val="auto"/>
                <w:sz w:val="21"/>
                <w:highlight w:val="none"/>
              </w:rPr>
            </w:pPr>
          </w:p>
        </w:tc>
        <w:tc>
          <w:tcPr>
            <w:tcW w:w="1693" w:type="dxa"/>
            <w:vAlign w:val="top"/>
          </w:tcPr>
          <w:p w14:paraId="030327B1">
            <w:pPr>
              <w:rPr>
                <w:rFonts w:ascii="Arial"/>
                <w:color w:val="auto"/>
                <w:sz w:val="21"/>
                <w:highlight w:val="none"/>
              </w:rPr>
            </w:pPr>
          </w:p>
        </w:tc>
      </w:tr>
      <w:tr w14:paraId="4CC77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2" w:type="dxa"/>
            <w:vAlign w:val="top"/>
          </w:tcPr>
          <w:p w14:paraId="3ED47FD7">
            <w:pPr>
              <w:pStyle w:val="57"/>
              <w:spacing w:before="160" w:line="379" w:lineRule="exact"/>
              <w:ind w:left="188"/>
              <w:rPr>
                <w:color w:val="auto"/>
                <w:sz w:val="24"/>
                <w:szCs w:val="24"/>
                <w:highlight w:val="none"/>
              </w:rPr>
            </w:pPr>
            <w:r>
              <w:rPr>
                <w:color w:val="auto"/>
                <w:spacing w:val="-13"/>
                <w:position w:val="3"/>
                <w:sz w:val="24"/>
                <w:szCs w:val="24"/>
                <w:highlight w:val="none"/>
              </w:rPr>
              <w:t>……</w:t>
            </w:r>
          </w:p>
        </w:tc>
        <w:tc>
          <w:tcPr>
            <w:tcW w:w="3598" w:type="dxa"/>
            <w:vAlign w:val="top"/>
          </w:tcPr>
          <w:p w14:paraId="65C52D02">
            <w:pPr>
              <w:rPr>
                <w:rFonts w:ascii="Arial"/>
                <w:color w:val="auto"/>
                <w:sz w:val="21"/>
                <w:highlight w:val="none"/>
              </w:rPr>
            </w:pPr>
          </w:p>
        </w:tc>
        <w:tc>
          <w:tcPr>
            <w:tcW w:w="3553" w:type="dxa"/>
            <w:vAlign w:val="top"/>
          </w:tcPr>
          <w:p w14:paraId="5AB6FF19">
            <w:pPr>
              <w:rPr>
                <w:rFonts w:ascii="Arial"/>
                <w:color w:val="auto"/>
                <w:sz w:val="21"/>
                <w:highlight w:val="none"/>
              </w:rPr>
            </w:pPr>
          </w:p>
        </w:tc>
        <w:tc>
          <w:tcPr>
            <w:tcW w:w="1693" w:type="dxa"/>
            <w:vAlign w:val="top"/>
          </w:tcPr>
          <w:p w14:paraId="3AF0118F">
            <w:pPr>
              <w:rPr>
                <w:rFonts w:ascii="Arial"/>
                <w:color w:val="auto"/>
                <w:sz w:val="21"/>
                <w:highlight w:val="none"/>
              </w:rPr>
            </w:pPr>
          </w:p>
        </w:tc>
      </w:tr>
    </w:tbl>
    <w:p w14:paraId="01B762AE">
      <w:pPr>
        <w:pStyle w:val="10"/>
        <w:spacing w:before="36" w:line="224" w:lineRule="auto"/>
        <w:ind w:left="668"/>
        <w:rPr>
          <w:color w:val="auto"/>
          <w:highlight w:val="none"/>
        </w:rPr>
      </w:pPr>
      <w:r>
        <w:rPr>
          <w:color w:val="auto"/>
          <w:spacing w:val="-5"/>
          <w:highlight w:val="none"/>
        </w:rPr>
        <w:t>注：</w:t>
      </w:r>
    </w:p>
    <w:p w14:paraId="6C0D049A">
      <w:pPr>
        <w:pStyle w:val="10"/>
        <w:spacing w:before="174" w:line="290" w:lineRule="auto"/>
        <w:ind w:left="192" w:right="180" w:firstLine="493"/>
        <w:rPr>
          <w:color w:val="auto"/>
          <w:highlight w:val="none"/>
        </w:rPr>
      </w:pPr>
      <w:r>
        <w:rPr>
          <w:color w:val="auto"/>
          <w:spacing w:val="-2"/>
          <w:highlight w:val="none"/>
        </w:rPr>
        <w:t>1.管理关系：是指不具有出资持股关系的其他单位之间存在的</w:t>
      </w:r>
      <w:r>
        <w:rPr>
          <w:color w:val="auto"/>
          <w:spacing w:val="-3"/>
          <w:highlight w:val="none"/>
        </w:rPr>
        <w:t>管理与被管理关系，如</w:t>
      </w:r>
      <w:r>
        <w:rPr>
          <w:color w:val="auto"/>
          <w:spacing w:val="-1"/>
          <w:highlight w:val="none"/>
        </w:rPr>
        <w:t>一些上下级关系的事业单位和团体组织。</w:t>
      </w:r>
    </w:p>
    <w:p w14:paraId="7117C7FF">
      <w:pPr>
        <w:pStyle w:val="10"/>
        <w:spacing w:before="179" w:line="219" w:lineRule="auto"/>
        <w:ind w:left="671"/>
        <w:rPr>
          <w:color w:val="auto"/>
          <w:highlight w:val="none"/>
        </w:rPr>
      </w:pPr>
      <w:r>
        <w:rPr>
          <w:color w:val="auto"/>
          <w:spacing w:val="-1"/>
          <w:highlight w:val="none"/>
        </w:rPr>
        <w:t>2.本表所指的管理关系仅限于直接管理关系，不包括间接的管理关系。</w:t>
      </w:r>
    </w:p>
    <w:p w14:paraId="055CACBC">
      <w:pPr>
        <w:pStyle w:val="10"/>
        <w:spacing w:before="183" w:line="219" w:lineRule="auto"/>
        <w:ind w:left="673"/>
        <w:rPr>
          <w:color w:val="auto"/>
          <w:highlight w:val="none"/>
        </w:rPr>
      </w:pPr>
      <w:r>
        <w:rPr>
          <w:color w:val="auto"/>
          <w:spacing w:val="-1"/>
          <w:highlight w:val="none"/>
        </w:rPr>
        <w:t>3.供应商不存在直接管理关系的，则填</w:t>
      </w:r>
      <w:r>
        <w:rPr>
          <w:rFonts w:hint="eastAsia"/>
          <w:color w:val="auto"/>
          <w:spacing w:val="-1"/>
          <w:highlight w:val="none"/>
          <w:lang w:eastAsia="zh-CN"/>
        </w:rPr>
        <w:t>“</w:t>
      </w:r>
      <w:r>
        <w:rPr>
          <w:color w:val="auto"/>
          <w:spacing w:val="-1"/>
          <w:highlight w:val="none"/>
        </w:rPr>
        <w:t>无</w:t>
      </w:r>
      <w:r>
        <w:rPr>
          <w:color w:val="auto"/>
          <w:spacing w:val="-81"/>
          <w:highlight w:val="none"/>
        </w:rPr>
        <w:t xml:space="preserve"> </w:t>
      </w:r>
      <w:r>
        <w:rPr>
          <w:rFonts w:hint="eastAsia"/>
          <w:color w:val="auto"/>
          <w:spacing w:val="-1"/>
          <w:highlight w:val="none"/>
          <w:lang w:eastAsia="zh-CN"/>
        </w:rPr>
        <w:t>”</w:t>
      </w:r>
      <w:r>
        <w:rPr>
          <w:color w:val="auto"/>
          <w:spacing w:val="-1"/>
          <w:highlight w:val="none"/>
        </w:rPr>
        <w:t>。</w:t>
      </w:r>
    </w:p>
    <w:p w14:paraId="30F16D34">
      <w:pPr>
        <w:spacing w:line="249" w:lineRule="auto"/>
        <w:rPr>
          <w:rFonts w:ascii="Arial"/>
          <w:color w:val="auto"/>
          <w:sz w:val="21"/>
          <w:highlight w:val="none"/>
        </w:rPr>
      </w:pPr>
    </w:p>
    <w:p w14:paraId="70CC97DA">
      <w:pPr>
        <w:spacing w:line="249" w:lineRule="auto"/>
        <w:rPr>
          <w:rFonts w:ascii="Arial"/>
          <w:color w:val="auto"/>
          <w:sz w:val="21"/>
          <w:highlight w:val="none"/>
        </w:rPr>
      </w:pPr>
    </w:p>
    <w:p w14:paraId="2E31629A">
      <w:pPr>
        <w:spacing w:line="249" w:lineRule="auto"/>
        <w:rPr>
          <w:rFonts w:ascii="Arial"/>
          <w:color w:val="auto"/>
          <w:sz w:val="21"/>
          <w:highlight w:val="none"/>
        </w:rPr>
      </w:pPr>
    </w:p>
    <w:p w14:paraId="76957CFA">
      <w:pPr>
        <w:spacing w:line="249" w:lineRule="auto"/>
        <w:rPr>
          <w:rFonts w:ascii="Arial"/>
          <w:color w:val="auto"/>
          <w:sz w:val="21"/>
          <w:highlight w:val="none"/>
        </w:rPr>
      </w:pPr>
    </w:p>
    <w:p w14:paraId="75116FC1">
      <w:pPr>
        <w:spacing w:line="249" w:lineRule="auto"/>
        <w:rPr>
          <w:rFonts w:ascii="Arial"/>
          <w:color w:val="auto"/>
          <w:sz w:val="21"/>
          <w:highlight w:val="none"/>
        </w:rPr>
      </w:pPr>
    </w:p>
    <w:p w14:paraId="473ACD17">
      <w:pPr>
        <w:spacing w:line="250" w:lineRule="auto"/>
        <w:rPr>
          <w:rFonts w:ascii="Arial"/>
          <w:color w:val="auto"/>
          <w:sz w:val="21"/>
          <w:highlight w:val="none"/>
        </w:rPr>
      </w:pPr>
    </w:p>
    <w:p w14:paraId="1271FE21">
      <w:pPr>
        <w:pStyle w:val="10"/>
        <w:spacing w:before="79" w:line="219" w:lineRule="auto"/>
        <w:ind w:left="4073"/>
        <w:rPr>
          <w:color w:val="auto"/>
          <w:highlight w:val="none"/>
        </w:rPr>
      </w:pPr>
      <w:r>
        <w:rPr>
          <w:color w:val="auto"/>
          <w:spacing w:val="-1"/>
          <w:highlight w:val="none"/>
        </w:rPr>
        <w:t>供应商名称（电子签章</w:t>
      </w:r>
      <w:r>
        <w:rPr>
          <w:color w:val="auto"/>
          <w:highlight w:val="none"/>
        </w:rPr>
        <w:t>）：</w:t>
      </w:r>
    </w:p>
    <w:p w14:paraId="27836432">
      <w:pPr>
        <w:pStyle w:val="10"/>
        <w:spacing w:before="180" w:line="220" w:lineRule="auto"/>
        <w:ind w:left="6349"/>
        <w:rPr>
          <w:color w:val="auto"/>
          <w:highlight w:val="none"/>
        </w:rPr>
      </w:pPr>
      <w:r>
        <w:rPr>
          <w:color w:val="auto"/>
          <w:spacing w:val="-13"/>
          <w:highlight w:val="none"/>
        </w:rPr>
        <w:t>日期：</w:t>
      </w:r>
      <w:r>
        <w:rPr>
          <w:color w:val="auto"/>
          <w:spacing w:val="5"/>
          <w:highlight w:val="none"/>
        </w:rPr>
        <w:t xml:space="preserve">  </w:t>
      </w:r>
      <w:r>
        <w:rPr>
          <w:color w:val="auto"/>
          <w:spacing w:val="-13"/>
          <w:highlight w:val="none"/>
        </w:rPr>
        <w:t>年</w:t>
      </w:r>
      <w:r>
        <w:rPr>
          <w:color w:val="auto"/>
          <w:spacing w:val="8"/>
          <w:highlight w:val="none"/>
        </w:rPr>
        <w:t xml:space="preserve">  </w:t>
      </w:r>
      <w:r>
        <w:rPr>
          <w:color w:val="auto"/>
          <w:spacing w:val="-13"/>
          <w:highlight w:val="none"/>
        </w:rPr>
        <w:t>月</w:t>
      </w:r>
      <w:r>
        <w:rPr>
          <w:color w:val="auto"/>
          <w:spacing w:val="17"/>
          <w:highlight w:val="none"/>
        </w:rPr>
        <w:t xml:space="preserve">   </w:t>
      </w:r>
      <w:r>
        <w:rPr>
          <w:color w:val="auto"/>
          <w:spacing w:val="-13"/>
          <w:highlight w:val="none"/>
        </w:rPr>
        <w:t>日</w:t>
      </w:r>
    </w:p>
    <w:p w14:paraId="5EBD6F72">
      <w:pPr>
        <w:spacing w:line="220" w:lineRule="auto"/>
        <w:rPr>
          <w:color w:val="auto"/>
          <w:highlight w:val="none"/>
        </w:rPr>
        <w:sectPr>
          <w:footerReference r:id="rId9" w:type="default"/>
          <w:pgSz w:w="11910" w:h="16840"/>
          <w:pgMar w:top="1440" w:right="1083" w:bottom="1440" w:left="1083" w:header="0" w:footer="843" w:gutter="0"/>
          <w:pgNumType w:fmt="decimal"/>
          <w:cols w:space="720" w:num="1"/>
        </w:sectPr>
      </w:pPr>
    </w:p>
    <w:p w14:paraId="67C1603A">
      <w:pPr>
        <w:pStyle w:val="10"/>
        <w:spacing w:before="97" w:line="220" w:lineRule="auto"/>
        <w:ind w:left="3914"/>
        <w:rPr>
          <w:color w:val="auto"/>
          <w:sz w:val="30"/>
          <w:szCs w:val="30"/>
          <w:highlight w:val="none"/>
        </w:rPr>
      </w:pPr>
      <w:r>
        <w:rPr>
          <w:b/>
          <w:bCs/>
          <w:color w:val="auto"/>
          <w:spacing w:val="-8"/>
          <w:sz w:val="30"/>
          <w:szCs w:val="30"/>
          <w:highlight w:val="none"/>
        </w:rPr>
        <w:t>资格声明函</w:t>
      </w:r>
    </w:p>
    <w:p w14:paraId="579099AD">
      <w:pPr>
        <w:spacing w:line="262" w:lineRule="auto"/>
        <w:rPr>
          <w:rFonts w:ascii="Arial"/>
          <w:color w:val="auto"/>
          <w:sz w:val="21"/>
          <w:highlight w:val="none"/>
        </w:rPr>
      </w:pPr>
    </w:p>
    <w:p w14:paraId="5B103CC7">
      <w:pPr>
        <w:pStyle w:val="10"/>
        <w:spacing w:before="78" w:line="220" w:lineRule="auto"/>
        <w:ind w:left="1"/>
        <w:rPr>
          <w:color w:val="auto"/>
          <w:sz w:val="24"/>
          <w:szCs w:val="32"/>
          <w:highlight w:val="none"/>
        </w:rPr>
      </w:pPr>
      <w:r>
        <w:rPr>
          <w:color w:val="auto"/>
          <w:spacing w:val="-1"/>
          <w:sz w:val="24"/>
          <w:szCs w:val="32"/>
          <w:highlight w:val="none"/>
        </w:rPr>
        <w:t>致：</w:t>
      </w:r>
      <w:r>
        <w:rPr>
          <w:color w:val="auto"/>
          <w:spacing w:val="-1"/>
          <w:sz w:val="24"/>
          <w:szCs w:val="32"/>
          <w:highlight w:val="none"/>
          <w:u w:val="single" w:color="auto"/>
        </w:rPr>
        <w:t>广西建通工程咨询有限责任公司</w:t>
      </w:r>
    </w:p>
    <w:p w14:paraId="4ECA3FF7">
      <w:pPr>
        <w:pStyle w:val="10"/>
        <w:tabs>
          <w:tab w:val="left" w:pos="607"/>
        </w:tabs>
        <w:spacing w:before="179" w:line="219" w:lineRule="auto"/>
        <w:ind w:left="472"/>
        <w:rPr>
          <w:color w:val="auto"/>
          <w:sz w:val="24"/>
          <w:szCs w:val="32"/>
          <w:highlight w:val="none"/>
        </w:rPr>
      </w:pPr>
      <w:r>
        <w:rPr>
          <w:color w:val="auto"/>
          <w:sz w:val="24"/>
          <w:szCs w:val="32"/>
          <w:highlight w:val="none"/>
          <w:u w:val="single" w:color="auto"/>
        </w:rPr>
        <w:tab/>
      </w:r>
      <w:r>
        <w:rPr>
          <w:color w:val="auto"/>
          <w:spacing w:val="-3"/>
          <w:sz w:val="24"/>
          <w:szCs w:val="32"/>
          <w:highlight w:val="none"/>
          <w:u w:val="single" w:color="auto"/>
        </w:rPr>
        <w:t>（供应商名称）</w:t>
      </w:r>
      <w:r>
        <w:rPr>
          <w:color w:val="auto"/>
          <w:spacing w:val="-3"/>
          <w:sz w:val="24"/>
          <w:szCs w:val="32"/>
          <w:highlight w:val="none"/>
        </w:rPr>
        <w:t>系中华人民共和国合法供应商，经营地址</w:t>
      </w:r>
      <w:r>
        <w:rPr>
          <w:color w:val="auto"/>
          <w:spacing w:val="-3"/>
          <w:sz w:val="24"/>
          <w:szCs w:val="32"/>
          <w:highlight w:val="none"/>
          <w:u w:val="single" w:color="auto"/>
        </w:rPr>
        <w:t xml:space="preserve">                  </w:t>
      </w:r>
      <w:r>
        <w:rPr>
          <w:color w:val="auto"/>
          <w:spacing w:val="-4"/>
          <w:sz w:val="24"/>
          <w:szCs w:val="32"/>
          <w:highlight w:val="none"/>
          <w:u w:val="single" w:color="auto"/>
        </w:rPr>
        <w:t xml:space="preserve"> </w:t>
      </w:r>
      <w:r>
        <w:rPr>
          <w:color w:val="auto"/>
          <w:spacing w:val="-4"/>
          <w:sz w:val="24"/>
          <w:szCs w:val="32"/>
          <w:highlight w:val="none"/>
        </w:rPr>
        <w:t>。</w:t>
      </w:r>
    </w:p>
    <w:p w14:paraId="4DE17314">
      <w:pPr>
        <w:pStyle w:val="10"/>
        <w:spacing w:before="181" w:line="359" w:lineRule="auto"/>
        <w:ind w:left="4" w:firstLine="479"/>
        <w:jc w:val="both"/>
        <w:rPr>
          <w:color w:val="auto"/>
          <w:sz w:val="24"/>
          <w:szCs w:val="32"/>
          <w:highlight w:val="none"/>
        </w:rPr>
      </w:pPr>
      <w:r>
        <w:rPr>
          <w:color w:val="auto"/>
          <w:spacing w:val="5"/>
          <w:sz w:val="24"/>
          <w:szCs w:val="32"/>
          <w:highlight w:val="none"/>
        </w:rPr>
        <w:t>我方愿意参加贵方组织的</w:t>
      </w:r>
      <w:r>
        <w:rPr>
          <w:rFonts w:hint="eastAsia"/>
          <w:color w:val="auto"/>
          <w:spacing w:val="5"/>
          <w:sz w:val="24"/>
          <w:szCs w:val="32"/>
          <w:highlight w:val="none"/>
          <w:u w:val="single" w:color="auto"/>
        </w:rPr>
        <w:t>防城港职业技术学院供水管道维修工程（二期）</w:t>
      </w:r>
      <w:r>
        <w:rPr>
          <w:color w:val="auto"/>
          <w:spacing w:val="-2"/>
          <w:sz w:val="24"/>
          <w:szCs w:val="32"/>
          <w:highlight w:val="none"/>
        </w:rPr>
        <w:t>项目的竞标，为便于贵方公正、择优地确定成交供应商及其竞标产品和服务，我方就本次</w:t>
      </w:r>
      <w:r>
        <w:rPr>
          <w:color w:val="auto"/>
          <w:spacing w:val="-1"/>
          <w:sz w:val="24"/>
          <w:szCs w:val="32"/>
          <w:highlight w:val="none"/>
        </w:rPr>
        <w:t>竞标有关事项郑重声明如下：</w:t>
      </w:r>
    </w:p>
    <w:p w14:paraId="19A30187">
      <w:pPr>
        <w:pStyle w:val="10"/>
        <w:spacing w:before="1" w:line="220" w:lineRule="auto"/>
        <w:ind w:left="499"/>
        <w:rPr>
          <w:color w:val="auto"/>
          <w:sz w:val="24"/>
          <w:szCs w:val="32"/>
          <w:highlight w:val="none"/>
        </w:rPr>
      </w:pPr>
      <w:r>
        <w:rPr>
          <w:color w:val="auto"/>
          <w:spacing w:val="-1"/>
          <w:sz w:val="24"/>
          <w:szCs w:val="32"/>
          <w:highlight w:val="none"/>
        </w:rPr>
        <w:t>1.我方向贵方提交的所有响应文件、资料都是准确的和真实的。</w:t>
      </w:r>
    </w:p>
    <w:p w14:paraId="4BAECADD">
      <w:pPr>
        <w:pStyle w:val="10"/>
        <w:spacing w:before="180" w:line="313" w:lineRule="auto"/>
        <w:ind w:left="47" w:firstLine="437"/>
        <w:rPr>
          <w:color w:val="auto"/>
          <w:sz w:val="24"/>
          <w:szCs w:val="32"/>
          <w:highlight w:val="none"/>
        </w:rPr>
      </w:pPr>
      <w:r>
        <w:rPr>
          <w:color w:val="auto"/>
          <w:spacing w:val="-2"/>
          <w:sz w:val="24"/>
          <w:szCs w:val="32"/>
          <w:highlight w:val="none"/>
        </w:rPr>
        <w:t>2.我方不是采购人的附属机构；不是为本次采购项目提供整体设计、规范编制或者项</w:t>
      </w:r>
      <w:r>
        <w:rPr>
          <w:color w:val="auto"/>
          <w:spacing w:val="-3"/>
          <w:sz w:val="24"/>
          <w:szCs w:val="32"/>
          <w:highlight w:val="none"/>
        </w:rPr>
        <w:t>目管理、监理、检测等服务的供应商；在获知本项目采购信息后，与采购人聘请的为此项目提供咨询服务的公司及其附属机构没有任何联系。</w:t>
      </w:r>
    </w:p>
    <w:p w14:paraId="77B631CF">
      <w:pPr>
        <w:pStyle w:val="10"/>
        <w:spacing w:before="180" w:line="219" w:lineRule="auto"/>
        <w:ind w:left="486"/>
        <w:rPr>
          <w:color w:val="auto"/>
          <w:sz w:val="24"/>
          <w:szCs w:val="32"/>
          <w:highlight w:val="none"/>
        </w:rPr>
      </w:pPr>
      <w:r>
        <w:rPr>
          <w:color w:val="auto"/>
          <w:spacing w:val="-2"/>
          <w:sz w:val="24"/>
          <w:szCs w:val="32"/>
          <w:highlight w:val="none"/>
        </w:rPr>
        <w:t>3.在此，我方宣布同意如下：</w:t>
      </w:r>
    </w:p>
    <w:p w14:paraId="6FF79F19">
      <w:pPr>
        <w:pStyle w:val="10"/>
        <w:spacing w:before="183" w:line="220" w:lineRule="auto"/>
        <w:ind w:left="493"/>
        <w:rPr>
          <w:color w:val="auto"/>
          <w:sz w:val="24"/>
          <w:szCs w:val="32"/>
          <w:highlight w:val="none"/>
        </w:rPr>
      </w:pPr>
      <w:r>
        <w:rPr>
          <w:color w:val="auto"/>
          <w:spacing w:val="-1"/>
          <w:sz w:val="24"/>
          <w:szCs w:val="32"/>
          <w:highlight w:val="none"/>
        </w:rPr>
        <w:t>（1）将按磋商文件的约定履行合同责任和义务；</w:t>
      </w:r>
    </w:p>
    <w:p w14:paraId="4DDE2422">
      <w:pPr>
        <w:pStyle w:val="10"/>
        <w:spacing w:before="179" w:line="219" w:lineRule="auto"/>
        <w:ind w:left="493"/>
        <w:rPr>
          <w:color w:val="auto"/>
          <w:sz w:val="24"/>
          <w:szCs w:val="32"/>
          <w:highlight w:val="none"/>
        </w:rPr>
      </w:pPr>
      <w:r>
        <w:rPr>
          <w:color w:val="auto"/>
          <w:spacing w:val="-1"/>
          <w:sz w:val="24"/>
          <w:szCs w:val="32"/>
          <w:highlight w:val="none"/>
        </w:rPr>
        <w:t>（2）已详细审查全部磋商文件，包括澄清或者更正公告（如有</w:t>
      </w:r>
      <w:r>
        <w:rPr>
          <w:color w:val="auto"/>
          <w:spacing w:val="3"/>
          <w:sz w:val="24"/>
          <w:szCs w:val="32"/>
          <w:highlight w:val="none"/>
        </w:rPr>
        <w:t>）；</w:t>
      </w:r>
    </w:p>
    <w:p w14:paraId="1B522218">
      <w:pPr>
        <w:pStyle w:val="10"/>
        <w:spacing w:before="185" w:line="219" w:lineRule="auto"/>
        <w:ind w:left="493"/>
        <w:rPr>
          <w:color w:val="auto"/>
          <w:sz w:val="24"/>
          <w:szCs w:val="32"/>
          <w:highlight w:val="none"/>
        </w:rPr>
      </w:pPr>
      <w:r>
        <w:rPr>
          <w:color w:val="auto"/>
          <w:spacing w:val="-1"/>
          <w:sz w:val="24"/>
          <w:szCs w:val="32"/>
          <w:highlight w:val="none"/>
        </w:rPr>
        <w:t>（3）同意提供按照贵方可能要求的与磋商有关的一切数据或者资料；</w:t>
      </w:r>
    </w:p>
    <w:p w14:paraId="31FE3065">
      <w:pPr>
        <w:pStyle w:val="10"/>
        <w:spacing w:before="183" w:line="220" w:lineRule="auto"/>
        <w:ind w:left="493"/>
        <w:rPr>
          <w:color w:val="auto"/>
          <w:sz w:val="24"/>
          <w:szCs w:val="32"/>
          <w:highlight w:val="none"/>
        </w:rPr>
      </w:pPr>
      <w:r>
        <w:rPr>
          <w:color w:val="auto"/>
          <w:spacing w:val="-2"/>
          <w:sz w:val="24"/>
          <w:szCs w:val="32"/>
          <w:highlight w:val="none"/>
        </w:rPr>
        <w:t>（4）响应磋商文件规定的竞标有效期。</w:t>
      </w:r>
    </w:p>
    <w:p w14:paraId="39BCB9AC">
      <w:pPr>
        <w:pStyle w:val="10"/>
        <w:spacing w:before="181" w:line="312" w:lineRule="auto"/>
        <w:ind w:firstLine="480"/>
        <w:rPr>
          <w:color w:val="auto"/>
          <w:spacing w:val="-4"/>
          <w:sz w:val="24"/>
          <w:szCs w:val="32"/>
          <w:highlight w:val="none"/>
        </w:rPr>
      </w:pPr>
      <w:r>
        <w:rPr>
          <w:color w:val="auto"/>
          <w:spacing w:val="-2"/>
          <w:sz w:val="24"/>
          <w:szCs w:val="32"/>
          <w:highlight w:val="none"/>
        </w:rPr>
        <w:t>4.我方承诺已经具备《中华人民共和国政府采购法》第二十二条中规定的参加政府采</w:t>
      </w:r>
      <w:r>
        <w:rPr>
          <w:color w:val="auto"/>
          <w:spacing w:val="9"/>
          <w:sz w:val="24"/>
          <w:szCs w:val="32"/>
          <w:highlight w:val="none"/>
        </w:rPr>
        <w:t xml:space="preserve"> </w:t>
      </w:r>
      <w:r>
        <w:rPr>
          <w:color w:val="auto"/>
          <w:spacing w:val="-2"/>
          <w:sz w:val="24"/>
          <w:szCs w:val="32"/>
          <w:highlight w:val="none"/>
        </w:rPr>
        <w:t>购活动的供应商应当具备的条件并按本项目</w:t>
      </w:r>
      <w:r>
        <w:rPr>
          <w:color w:val="auto"/>
          <w:spacing w:val="-3"/>
          <w:sz w:val="24"/>
          <w:szCs w:val="32"/>
          <w:highlight w:val="none"/>
        </w:rPr>
        <w:t>响应文件</w:t>
      </w:r>
      <w:r>
        <w:rPr>
          <w:rFonts w:hint="eastAsia"/>
          <w:color w:val="auto"/>
          <w:spacing w:val="-3"/>
          <w:sz w:val="24"/>
          <w:szCs w:val="32"/>
          <w:highlight w:val="none"/>
          <w:lang w:eastAsia="zh-CN"/>
        </w:rPr>
        <w:t>“</w:t>
      </w:r>
      <w:r>
        <w:rPr>
          <w:color w:val="auto"/>
          <w:spacing w:val="-3"/>
          <w:sz w:val="24"/>
          <w:szCs w:val="32"/>
          <w:highlight w:val="none"/>
        </w:rPr>
        <w:t>第三章</w:t>
      </w:r>
      <w:r>
        <w:rPr>
          <w:color w:val="auto"/>
          <w:spacing w:val="-89"/>
          <w:sz w:val="24"/>
          <w:szCs w:val="32"/>
          <w:highlight w:val="none"/>
        </w:rPr>
        <w:t xml:space="preserve"> </w:t>
      </w:r>
      <w:r>
        <w:rPr>
          <w:rFonts w:hint="eastAsia"/>
          <w:color w:val="auto"/>
          <w:spacing w:val="-3"/>
          <w:sz w:val="24"/>
          <w:szCs w:val="32"/>
          <w:highlight w:val="none"/>
          <w:lang w:eastAsia="zh-CN"/>
        </w:rPr>
        <w:t>”“</w:t>
      </w:r>
      <w:r>
        <w:rPr>
          <w:color w:val="auto"/>
          <w:spacing w:val="-3"/>
          <w:sz w:val="24"/>
          <w:szCs w:val="32"/>
          <w:highlight w:val="none"/>
        </w:rPr>
        <w:t>第一节供应商须知前附</w:t>
      </w:r>
      <w:r>
        <w:rPr>
          <w:color w:val="auto"/>
          <w:spacing w:val="-4"/>
          <w:sz w:val="24"/>
          <w:szCs w:val="32"/>
          <w:highlight w:val="none"/>
        </w:rPr>
        <w:t>表</w:t>
      </w:r>
      <w:r>
        <w:rPr>
          <w:rFonts w:hint="eastAsia"/>
          <w:color w:val="auto"/>
          <w:spacing w:val="-3"/>
          <w:sz w:val="24"/>
          <w:szCs w:val="32"/>
          <w:highlight w:val="none"/>
          <w:lang w:eastAsia="zh-CN"/>
        </w:rPr>
        <w:t>”</w:t>
      </w:r>
      <w:r>
        <w:rPr>
          <w:color w:val="auto"/>
          <w:spacing w:val="-4"/>
          <w:sz w:val="24"/>
          <w:szCs w:val="32"/>
          <w:highlight w:val="none"/>
        </w:rPr>
        <w:t>中</w:t>
      </w:r>
      <w:r>
        <w:rPr>
          <w:rFonts w:hint="eastAsia"/>
          <w:color w:val="auto"/>
          <w:spacing w:val="-3"/>
          <w:sz w:val="24"/>
          <w:szCs w:val="32"/>
          <w:highlight w:val="none"/>
          <w:lang w:eastAsia="zh-CN"/>
        </w:rPr>
        <w:t>“</w:t>
      </w:r>
      <w:r>
        <w:rPr>
          <w:color w:val="auto"/>
          <w:spacing w:val="-4"/>
          <w:sz w:val="24"/>
          <w:szCs w:val="32"/>
          <w:highlight w:val="none"/>
        </w:rPr>
        <w:t>资格证明文件组成</w:t>
      </w:r>
      <w:r>
        <w:rPr>
          <w:rFonts w:hint="eastAsia"/>
          <w:color w:val="auto"/>
          <w:spacing w:val="-3"/>
          <w:sz w:val="24"/>
          <w:szCs w:val="32"/>
          <w:highlight w:val="none"/>
          <w:lang w:eastAsia="zh-CN"/>
        </w:rPr>
        <w:t>”</w:t>
      </w:r>
      <w:r>
        <w:rPr>
          <w:color w:val="auto"/>
          <w:spacing w:val="-4"/>
          <w:sz w:val="24"/>
          <w:szCs w:val="32"/>
          <w:highlight w:val="none"/>
        </w:rPr>
        <w:t>完整提供证明材料。</w:t>
      </w:r>
    </w:p>
    <w:p w14:paraId="36FD9DCB">
      <w:pPr>
        <w:pStyle w:val="10"/>
        <w:spacing w:before="181" w:line="312" w:lineRule="auto"/>
        <w:ind w:firstLine="480"/>
        <w:rPr>
          <w:color w:val="auto"/>
          <w:sz w:val="24"/>
          <w:szCs w:val="32"/>
          <w:highlight w:val="none"/>
        </w:rPr>
      </w:pPr>
      <w:r>
        <w:rPr>
          <w:color w:val="auto"/>
          <w:spacing w:val="-2"/>
          <w:sz w:val="24"/>
          <w:szCs w:val="32"/>
          <w:highlight w:val="none"/>
        </w:rPr>
        <w:t>5.我方在此声明，我方在参加本项目的政府采购活动前三年内，在经营活动中没有重大违法记录（重大违法记录是指供应商因违法经营受到刑事处罚或者责令停产停业、吊销</w:t>
      </w:r>
      <w:r>
        <w:rPr>
          <w:color w:val="auto"/>
          <w:spacing w:val="-1"/>
          <w:sz w:val="24"/>
          <w:szCs w:val="32"/>
          <w:highlight w:val="none"/>
        </w:rPr>
        <w:t>许可证或者执照、较大数额罚款等行政处罚</w:t>
      </w:r>
      <w:r>
        <w:rPr>
          <w:color w:val="auto"/>
          <w:spacing w:val="-8"/>
          <w:sz w:val="24"/>
          <w:szCs w:val="32"/>
          <w:highlight w:val="none"/>
        </w:rPr>
        <w:t>），</w:t>
      </w:r>
      <w:r>
        <w:rPr>
          <w:color w:val="auto"/>
          <w:spacing w:val="-1"/>
          <w:sz w:val="24"/>
          <w:szCs w:val="32"/>
          <w:highlight w:val="none"/>
        </w:rPr>
        <w:t>未被列入</w:t>
      </w:r>
      <w:r>
        <w:rPr>
          <w:color w:val="auto"/>
          <w:spacing w:val="-2"/>
          <w:sz w:val="24"/>
          <w:szCs w:val="32"/>
          <w:highlight w:val="none"/>
        </w:rPr>
        <w:t>失信被执行人、重大税收违法案</w:t>
      </w:r>
      <w:r>
        <w:rPr>
          <w:color w:val="auto"/>
          <w:sz w:val="24"/>
          <w:szCs w:val="32"/>
          <w:highlight w:val="none"/>
        </w:rPr>
        <w:t xml:space="preserve"> </w:t>
      </w:r>
      <w:r>
        <w:rPr>
          <w:color w:val="auto"/>
          <w:spacing w:val="-2"/>
          <w:sz w:val="24"/>
          <w:szCs w:val="32"/>
          <w:highlight w:val="none"/>
        </w:rPr>
        <w:t>件当事人名单、政府采购严重违法失信行为记录名单，完全符合《中华人民共和国政府采</w:t>
      </w:r>
      <w:r>
        <w:rPr>
          <w:color w:val="auto"/>
          <w:sz w:val="24"/>
          <w:szCs w:val="32"/>
          <w:highlight w:val="none"/>
        </w:rPr>
        <w:t>购法》第二十二条规定的供应商资格条件，我方对此声</w:t>
      </w:r>
      <w:r>
        <w:rPr>
          <w:color w:val="auto"/>
          <w:spacing w:val="-1"/>
          <w:sz w:val="24"/>
          <w:szCs w:val="32"/>
          <w:highlight w:val="none"/>
        </w:rPr>
        <w:t>明负全部法律责任。</w:t>
      </w:r>
    </w:p>
    <w:p w14:paraId="260DCDF0">
      <w:pPr>
        <w:pStyle w:val="10"/>
        <w:spacing w:before="182" w:line="313" w:lineRule="auto"/>
        <w:ind w:left="1" w:firstLine="481"/>
        <w:rPr>
          <w:color w:val="auto"/>
          <w:sz w:val="24"/>
          <w:szCs w:val="32"/>
          <w:highlight w:val="none"/>
        </w:rPr>
      </w:pPr>
      <w:r>
        <w:rPr>
          <w:color w:val="auto"/>
          <w:spacing w:val="-2"/>
          <w:sz w:val="24"/>
          <w:szCs w:val="32"/>
          <w:highlight w:val="none"/>
        </w:rPr>
        <w:t>6.根据《中华人民共和国政府采购法实施条例》第五十条要求对政府采购合同进行公告，但政府采购合同中涉及国家秘密、商业秘密的内容除外。我方就对本次响应文件进行</w:t>
      </w:r>
      <w:r>
        <w:rPr>
          <w:color w:val="auto"/>
          <w:spacing w:val="1"/>
          <w:sz w:val="24"/>
          <w:szCs w:val="32"/>
          <w:highlight w:val="none"/>
        </w:rPr>
        <w:t>注明如下</w:t>
      </w:r>
      <w:r>
        <w:rPr>
          <w:color w:val="auto"/>
          <w:spacing w:val="-14"/>
          <w:sz w:val="24"/>
          <w:szCs w:val="32"/>
          <w:highlight w:val="none"/>
        </w:rPr>
        <w:t>：（</w:t>
      </w:r>
      <w:r>
        <w:rPr>
          <w:color w:val="auto"/>
          <w:spacing w:val="1"/>
          <w:sz w:val="24"/>
          <w:szCs w:val="32"/>
          <w:highlight w:val="none"/>
        </w:rPr>
        <w:t>两项内容中必须选择一项）</w:t>
      </w:r>
    </w:p>
    <w:p w14:paraId="58C655F6">
      <w:pPr>
        <w:pStyle w:val="10"/>
        <w:spacing w:before="180" w:line="219" w:lineRule="auto"/>
        <w:ind w:left="506"/>
        <w:rPr>
          <w:color w:val="auto"/>
          <w:sz w:val="24"/>
          <w:szCs w:val="32"/>
          <w:highlight w:val="none"/>
        </w:rPr>
      </w:pPr>
      <w:r>
        <w:rPr>
          <w:rFonts w:hint="eastAsia"/>
          <w:color w:val="auto"/>
          <w:spacing w:val="-2"/>
          <w:sz w:val="24"/>
          <w:szCs w:val="32"/>
          <w:highlight w:val="none"/>
          <w:lang w:eastAsia="zh-CN"/>
        </w:rPr>
        <w:t>□</w:t>
      </w:r>
      <w:r>
        <w:rPr>
          <w:color w:val="auto"/>
          <w:spacing w:val="-2"/>
          <w:sz w:val="24"/>
          <w:szCs w:val="32"/>
          <w:highlight w:val="none"/>
        </w:rPr>
        <w:t>我方本次响应文件内容中未涉及商业秘密；</w:t>
      </w:r>
    </w:p>
    <w:p w14:paraId="3D918903">
      <w:pPr>
        <w:pStyle w:val="10"/>
        <w:spacing w:before="180" w:line="219" w:lineRule="auto"/>
        <w:ind w:left="506"/>
        <w:rPr>
          <w:color w:val="auto"/>
          <w:sz w:val="24"/>
          <w:szCs w:val="32"/>
          <w:highlight w:val="none"/>
        </w:rPr>
      </w:pPr>
      <w:r>
        <w:rPr>
          <w:rFonts w:hint="eastAsia"/>
          <w:color w:val="auto"/>
          <w:spacing w:val="-2"/>
          <w:sz w:val="24"/>
          <w:szCs w:val="32"/>
          <w:highlight w:val="none"/>
          <w:lang w:eastAsia="zh-CN"/>
        </w:rPr>
        <w:t>□</w:t>
      </w:r>
      <w:r>
        <w:rPr>
          <w:color w:val="auto"/>
          <w:spacing w:val="-2"/>
          <w:sz w:val="24"/>
          <w:szCs w:val="32"/>
          <w:highlight w:val="none"/>
        </w:rPr>
        <w:t>我方本次响应文件涉及商业秘密的内容有</w:t>
      </w:r>
      <w:r>
        <w:rPr>
          <w:color w:val="auto"/>
          <w:spacing w:val="1"/>
          <w:sz w:val="24"/>
          <w:szCs w:val="32"/>
          <w:highlight w:val="none"/>
        </w:rPr>
        <w:t>：</w:t>
      </w:r>
      <w:r>
        <w:rPr>
          <w:color w:val="auto"/>
          <w:sz w:val="24"/>
          <w:szCs w:val="32"/>
          <w:highlight w:val="none"/>
          <w:u w:val="single" w:color="auto"/>
        </w:rPr>
        <w:t xml:space="preserve">                         </w:t>
      </w:r>
      <w:r>
        <w:rPr>
          <w:color w:val="auto"/>
          <w:spacing w:val="1"/>
          <w:sz w:val="24"/>
          <w:szCs w:val="32"/>
          <w:highlight w:val="none"/>
        </w:rPr>
        <w:t>；</w:t>
      </w:r>
    </w:p>
    <w:p w14:paraId="0646FB02">
      <w:pPr>
        <w:pStyle w:val="10"/>
        <w:spacing w:before="78" w:line="219" w:lineRule="auto"/>
        <w:ind w:left="483"/>
        <w:rPr>
          <w:color w:val="auto"/>
          <w:sz w:val="24"/>
          <w:szCs w:val="32"/>
          <w:highlight w:val="none"/>
        </w:rPr>
      </w:pPr>
      <w:r>
        <w:rPr>
          <w:color w:val="auto"/>
          <w:spacing w:val="-1"/>
          <w:sz w:val="24"/>
          <w:szCs w:val="32"/>
          <w:highlight w:val="none"/>
        </w:rPr>
        <w:t>7.与本磋商有关的一切正式往来信函请寄：</w:t>
      </w:r>
      <w:r>
        <w:rPr>
          <w:color w:val="auto"/>
          <w:spacing w:val="-1"/>
          <w:sz w:val="24"/>
          <w:szCs w:val="32"/>
          <w:highlight w:val="none"/>
          <w:u w:val="single" w:color="auto"/>
        </w:rPr>
        <w:t xml:space="preserve">        </w:t>
      </w:r>
      <w:r>
        <w:rPr>
          <w:color w:val="auto"/>
          <w:spacing w:val="-2"/>
          <w:sz w:val="24"/>
          <w:szCs w:val="32"/>
          <w:highlight w:val="none"/>
          <w:u w:val="single" w:color="auto"/>
        </w:rPr>
        <w:t xml:space="preserve">   </w:t>
      </w:r>
      <w:r>
        <w:rPr>
          <w:color w:val="auto"/>
          <w:spacing w:val="-93"/>
          <w:sz w:val="24"/>
          <w:szCs w:val="32"/>
          <w:highlight w:val="none"/>
        </w:rPr>
        <w:t xml:space="preserve"> </w:t>
      </w:r>
      <w:r>
        <w:rPr>
          <w:color w:val="auto"/>
          <w:spacing w:val="-2"/>
          <w:sz w:val="24"/>
          <w:szCs w:val="32"/>
          <w:highlight w:val="none"/>
        </w:rPr>
        <w:t>邮政编号：</w:t>
      </w:r>
      <w:r>
        <w:rPr>
          <w:color w:val="auto"/>
          <w:sz w:val="24"/>
          <w:szCs w:val="32"/>
          <w:highlight w:val="none"/>
          <w:u w:val="single" w:color="auto"/>
        </w:rPr>
        <w:t xml:space="preserve">        </w:t>
      </w:r>
    </w:p>
    <w:p w14:paraId="3A6ECAD4">
      <w:pPr>
        <w:pStyle w:val="10"/>
        <w:spacing w:before="180" w:line="219" w:lineRule="auto"/>
        <w:ind w:left="506"/>
        <w:rPr>
          <w:color w:val="auto"/>
          <w:sz w:val="24"/>
          <w:szCs w:val="32"/>
          <w:highlight w:val="none"/>
        </w:rPr>
      </w:pPr>
      <w:r>
        <w:rPr>
          <w:color w:val="auto"/>
          <w:spacing w:val="-7"/>
          <w:sz w:val="24"/>
          <w:szCs w:val="32"/>
          <w:highlight w:val="none"/>
        </w:rPr>
        <w:t>电话/传真：</w:t>
      </w:r>
      <w:r>
        <w:rPr>
          <w:color w:val="auto"/>
          <w:sz w:val="24"/>
          <w:szCs w:val="32"/>
          <w:highlight w:val="none"/>
          <w:u w:val="single" w:color="auto"/>
        </w:rPr>
        <w:t xml:space="preserve">                        </w:t>
      </w:r>
      <w:r>
        <w:rPr>
          <w:color w:val="auto"/>
          <w:spacing w:val="38"/>
          <w:sz w:val="24"/>
          <w:szCs w:val="32"/>
          <w:highlight w:val="none"/>
        </w:rPr>
        <w:t xml:space="preserve"> </w:t>
      </w:r>
      <w:r>
        <w:rPr>
          <w:color w:val="auto"/>
          <w:spacing w:val="-7"/>
          <w:sz w:val="24"/>
          <w:szCs w:val="32"/>
          <w:highlight w:val="none"/>
        </w:rPr>
        <w:t>电子函件：</w:t>
      </w:r>
      <w:r>
        <w:rPr>
          <w:color w:val="auto"/>
          <w:sz w:val="24"/>
          <w:szCs w:val="32"/>
          <w:highlight w:val="none"/>
          <w:u w:val="single" w:color="auto"/>
        </w:rPr>
        <w:t xml:space="preserve">                            </w:t>
      </w:r>
    </w:p>
    <w:p w14:paraId="17A95580">
      <w:pPr>
        <w:pStyle w:val="10"/>
        <w:spacing w:before="180" w:line="221" w:lineRule="auto"/>
        <w:ind w:left="500"/>
        <w:rPr>
          <w:color w:val="auto"/>
          <w:sz w:val="24"/>
          <w:szCs w:val="32"/>
          <w:highlight w:val="none"/>
        </w:rPr>
      </w:pPr>
      <w:r>
        <w:rPr>
          <w:color w:val="auto"/>
          <w:spacing w:val="-2"/>
          <w:sz w:val="24"/>
          <w:szCs w:val="32"/>
          <w:highlight w:val="none"/>
        </w:rPr>
        <w:t>开户银行：</w:t>
      </w:r>
      <w:r>
        <w:rPr>
          <w:color w:val="auto"/>
          <w:spacing w:val="-2"/>
          <w:sz w:val="24"/>
          <w:szCs w:val="32"/>
          <w:highlight w:val="none"/>
          <w:u w:val="single" w:color="auto"/>
        </w:rPr>
        <w:t xml:space="preserve">                         </w:t>
      </w:r>
      <w:r>
        <w:rPr>
          <w:color w:val="auto"/>
          <w:spacing w:val="14"/>
          <w:sz w:val="24"/>
          <w:szCs w:val="32"/>
          <w:highlight w:val="none"/>
        </w:rPr>
        <w:t xml:space="preserve"> </w:t>
      </w:r>
      <w:r>
        <w:rPr>
          <w:color w:val="auto"/>
          <w:spacing w:val="-2"/>
          <w:sz w:val="24"/>
          <w:szCs w:val="32"/>
          <w:highlight w:val="none"/>
        </w:rPr>
        <w:t>账号：</w:t>
      </w:r>
      <w:r>
        <w:rPr>
          <w:color w:val="auto"/>
          <w:spacing w:val="-2"/>
          <w:sz w:val="24"/>
          <w:szCs w:val="32"/>
          <w:highlight w:val="none"/>
          <w:u w:val="single" w:color="auto"/>
        </w:rPr>
        <w:t xml:space="preserve">               </w:t>
      </w:r>
      <w:r>
        <w:rPr>
          <w:color w:val="auto"/>
          <w:spacing w:val="-3"/>
          <w:sz w:val="24"/>
          <w:szCs w:val="32"/>
          <w:highlight w:val="none"/>
          <w:u w:val="single" w:color="auto"/>
        </w:rPr>
        <w:t xml:space="preserve">                 </w:t>
      </w:r>
    </w:p>
    <w:p w14:paraId="37E26EEC">
      <w:pPr>
        <w:pStyle w:val="10"/>
        <w:spacing w:before="181" w:line="359" w:lineRule="auto"/>
        <w:ind w:firstLine="479"/>
        <w:rPr>
          <w:color w:val="auto"/>
          <w:sz w:val="24"/>
          <w:szCs w:val="32"/>
          <w:highlight w:val="none"/>
        </w:rPr>
      </w:pPr>
      <w:r>
        <w:rPr>
          <w:color w:val="auto"/>
          <w:spacing w:val="-2"/>
          <w:sz w:val="24"/>
          <w:szCs w:val="32"/>
          <w:highlight w:val="none"/>
        </w:rPr>
        <w:t>8.以上事项如有虚假或者隐瞒，我方愿意承担一切后果，并不再寻求任何旨在减轻或者免除法律责任的辩解。</w:t>
      </w:r>
    </w:p>
    <w:p w14:paraId="2DB99DA5">
      <w:pPr>
        <w:pStyle w:val="10"/>
        <w:spacing w:line="220" w:lineRule="auto"/>
        <w:ind w:left="499"/>
        <w:rPr>
          <w:color w:val="auto"/>
          <w:sz w:val="24"/>
          <w:szCs w:val="32"/>
          <w:highlight w:val="none"/>
        </w:rPr>
      </w:pPr>
      <w:r>
        <w:rPr>
          <w:color w:val="auto"/>
          <w:spacing w:val="-2"/>
          <w:sz w:val="24"/>
          <w:szCs w:val="32"/>
          <w:highlight w:val="none"/>
        </w:rPr>
        <w:t>特此承诺。</w:t>
      </w:r>
    </w:p>
    <w:p w14:paraId="42E661C3">
      <w:pPr>
        <w:spacing w:line="257" w:lineRule="auto"/>
        <w:rPr>
          <w:rFonts w:ascii="Arial"/>
          <w:color w:val="auto"/>
          <w:sz w:val="24"/>
          <w:szCs w:val="32"/>
          <w:highlight w:val="none"/>
        </w:rPr>
      </w:pPr>
    </w:p>
    <w:p w14:paraId="6E195F16">
      <w:pPr>
        <w:spacing w:line="258" w:lineRule="auto"/>
        <w:rPr>
          <w:rFonts w:ascii="Arial"/>
          <w:color w:val="auto"/>
          <w:sz w:val="24"/>
          <w:szCs w:val="32"/>
          <w:highlight w:val="none"/>
        </w:rPr>
      </w:pPr>
    </w:p>
    <w:p w14:paraId="25E20502">
      <w:pPr>
        <w:spacing w:line="258" w:lineRule="auto"/>
        <w:rPr>
          <w:rFonts w:ascii="Arial"/>
          <w:color w:val="auto"/>
          <w:sz w:val="24"/>
          <w:szCs w:val="32"/>
          <w:highlight w:val="none"/>
        </w:rPr>
      </w:pPr>
    </w:p>
    <w:p w14:paraId="382FEECA">
      <w:pPr>
        <w:spacing w:line="258" w:lineRule="auto"/>
        <w:rPr>
          <w:rFonts w:ascii="Arial"/>
          <w:color w:val="auto"/>
          <w:sz w:val="24"/>
          <w:szCs w:val="32"/>
          <w:highlight w:val="none"/>
        </w:rPr>
      </w:pPr>
    </w:p>
    <w:p w14:paraId="194E630F">
      <w:pPr>
        <w:pStyle w:val="10"/>
        <w:spacing w:before="78" w:line="219" w:lineRule="auto"/>
        <w:ind w:left="3883"/>
        <w:rPr>
          <w:color w:val="auto"/>
          <w:sz w:val="24"/>
          <w:szCs w:val="32"/>
          <w:highlight w:val="none"/>
        </w:rPr>
      </w:pPr>
      <w:r>
        <w:rPr>
          <w:color w:val="auto"/>
          <w:spacing w:val="-1"/>
          <w:sz w:val="24"/>
          <w:szCs w:val="32"/>
          <w:highlight w:val="none"/>
        </w:rPr>
        <w:t>供应商名称（电子签章</w:t>
      </w:r>
      <w:r>
        <w:rPr>
          <w:color w:val="auto"/>
          <w:sz w:val="24"/>
          <w:szCs w:val="32"/>
          <w:highlight w:val="none"/>
        </w:rPr>
        <w:t>）：</w:t>
      </w:r>
    </w:p>
    <w:p w14:paraId="424FF405">
      <w:pPr>
        <w:pStyle w:val="10"/>
        <w:spacing w:before="181" w:line="220" w:lineRule="auto"/>
        <w:ind w:left="6159"/>
        <w:rPr>
          <w:color w:val="auto"/>
          <w:sz w:val="24"/>
          <w:szCs w:val="32"/>
          <w:highlight w:val="none"/>
        </w:rPr>
      </w:pPr>
      <w:r>
        <w:rPr>
          <w:color w:val="auto"/>
          <w:spacing w:val="-13"/>
          <w:sz w:val="24"/>
          <w:szCs w:val="32"/>
          <w:highlight w:val="none"/>
        </w:rPr>
        <w:t>日期：</w:t>
      </w:r>
      <w:r>
        <w:rPr>
          <w:color w:val="auto"/>
          <w:spacing w:val="5"/>
          <w:sz w:val="24"/>
          <w:szCs w:val="32"/>
          <w:highlight w:val="none"/>
        </w:rPr>
        <w:t xml:space="preserve">  </w:t>
      </w:r>
      <w:r>
        <w:rPr>
          <w:color w:val="auto"/>
          <w:spacing w:val="-13"/>
          <w:sz w:val="24"/>
          <w:szCs w:val="32"/>
          <w:highlight w:val="none"/>
        </w:rPr>
        <w:t>年</w:t>
      </w:r>
      <w:r>
        <w:rPr>
          <w:color w:val="auto"/>
          <w:spacing w:val="8"/>
          <w:sz w:val="24"/>
          <w:szCs w:val="32"/>
          <w:highlight w:val="none"/>
        </w:rPr>
        <w:t xml:space="preserve">  </w:t>
      </w:r>
      <w:r>
        <w:rPr>
          <w:color w:val="auto"/>
          <w:spacing w:val="-13"/>
          <w:sz w:val="24"/>
          <w:szCs w:val="32"/>
          <w:highlight w:val="none"/>
        </w:rPr>
        <w:t>月</w:t>
      </w:r>
      <w:r>
        <w:rPr>
          <w:color w:val="auto"/>
          <w:spacing w:val="17"/>
          <w:sz w:val="24"/>
          <w:szCs w:val="32"/>
          <w:highlight w:val="none"/>
        </w:rPr>
        <w:t xml:space="preserve">   </w:t>
      </w:r>
      <w:r>
        <w:rPr>
          <w:color w:val="auto"/>
          <w:spacing w:val="-13"/>
          <w:sz w:val="24"/>
          <w:szCs w:val="32"/>
          <w:highlight w:val="none"/>
        </w:rPr>
        <w:t>日</w:t>
      </w:r>
    </w:p>
    <w:p w14:paraId="572C913A">
      <w:pPr>
        <w:spacing w:line="220" w:lineRule="auto"/>
        <w:rPr>
          <w:color w:val="auto"/>
          <w:sz w:val="24"/>
          <w:szCs w:val="32"/>
          <w:highlight w:val="none"/>
        </w:rPr>
        <w:sectPr>
          <w:footerReference r:id="rId10" w:type="default"/>
          <w:pgSz w:w="11910" w:h="16840"/>
          <w:pgMar w:top="1440" w:right="1083" w:bottom="1440" w:left="1083" w:header="0" w:footer="843" w:gutter="0"/>
          <w:pgNumType w:fmt="decimal"/>
          <w:cols w:space="720" w:num="1"/>
        </w:sectPr>
      </w:pPr>
    </w:p>
    <w:p w14:paraId="3B91384E">
      <w:pPr>
        <w:pStyle w:val="10"/>
        <w:spacing w:before="78" w:line="219" w:lineRule="auto"/>
        <w:ind w:left="3337"/>
        <w:rPr>
          <w:color w:val="auto"/>
          <w:sz w:val="30"/>
          <w:szCs w:val="30"/>
          <w:highlight w:val="none"/>
        </w:rPr>
      </w:pPr>
      <w:r>
        <w:rPr>
          <w:b/>
          <w:bCs/>
          <w:color w:val="auto"/>
          <w:spacing w:val="-3"/>
          <w:sz w:val="30"/>
          <w:szCs w:val="30"/>
          <w:highlight w:val="none"/>
        </w:rPr>
        <w:t>建设工程项目管理承诺书</w:t>
      </w:r>
    </w:p>
    <w:p w14:paraId="3FD47776">
      <w:pPr>
        <w:spacing w:line="252" w:lineRule="auto"/>
        <w:rPr>
          <w:rFonts w:ascii="Arial"/>
          <w:color w:val="auto"/>
          <w:sz w:val="21"/>
          <w:highlight w:val="none"/>
        </w:rPr>
      </w:pPr>
    </w:p>
    <w:p w14:paraId="7B2FA631">
      <w:pPr>
        <w:spacing w:line="253" w:lineRule="auto"/>
        <w:rPr>
          <w:rFonts w:ascii="Arial"/>
          <w:color w:val="auto"/>
          <w:sz w:val="21"/>
          <w:highlight w:val="none"/>
        </w:rPr>
      </w:pPr>
    </w:p>
    <w:p w14:paraId="67634194">
      <w:pPr>
        <w:pStyle w:val="10"/>
        <w:spacing w:before="65" w:line="228" w:lineRule="auto"/>
        <w:ind w:left="9"/>
        <w:rPr>
          <w:color w:val="auto"/>
          <w:sz w:val="21"/>
          <w:szCs w:val="21"/>
          <w:highlight w:val="none"/>
        </w:rPr>
      </w:pPr>
      <w:r>
        <w:rPr>
          <w:color w:val="auto"/>
          <w:spacing w:val="6"/>
          <w:sz w:val="21"/>
          <w:szCs w:val="21"/>
          <w:highlight w:val="none"/>
        </w:rPr>
        <w:t>致</w:t>
      </w:r>
      <w:r>
        <w:rPr>
          <w:color w:val="auto"/>
          <w:spacing w:val="-99"/>
          <w:sz w:val="21"/>
          <w:szCs w:val="21"/>
          <w:highlight w:val="none"/>
        </w:rPr>
        <w:t xml:space="preserve"> </w:t>
      </w:r>
      <w:r>
        <w:rPr>
          <w:color w:val="auto"/>
          <w:spacing w:val="6"/>
          <w:sz w:val="21"/>
          <w:szCs w:val="21"/>
          <w:highlight w:val="none"/>
          <w:u w:val="single" w:color="auto"/>
        </w:rPr>
        <w:t xml:space="preserve">                      </w:t>
      </w:r>
      <w:r>
        <w:rPr>
          <w:color w:val="auto"/>
          <w:spacing w:val="5"/>
          <w:sz w:val="21"/>
          <w:szCs w:val="21"/>
          <w:highlight w:val="none"/>
          <w:u w:val="single" w:color="auto"/>
        </w:rPr>
        <w:t xml:space="preserve">  </w:t>
      </w:r>
      <w:r>
        <w:rPr>
          <w:color w:val="auto"/>
          <w:spacing w:val="5"/>
          <w:sz w:val="21"/>
          <w:szCs w:val="21"/>
          <w:highlight w:val="none"/>
        </w:rPr>
        <w:t>（采购人名称</w:t>
      </w:r>
      <w:r>
        <w:rPr>
          <w:color w:val="auto"/>
          <w:sz w:val="21"/>
          <w:szCs w:val="21"/>
          <w:highlight w:val="none"/>
        </w:rPr>
        <w:t>）：</w:t>
      </w:r>
    </w:p>
    <w:p w14:paraId="14ACFD9B">
      <w:pPr>
        <w:pStyle w:val="10"/>
        <w:spacing w:before="193" w:line="406" w:lineRule="auto"/>
        <w:ind w:right="64" w:firstLine="456"/>
        <w:rPr>
          <w:color w:val="auto"/>
          <w:sz w:val="21"/>
          <w:szCs w:val="21"/>
          <w:highlight w:val="none"/>
        </w:rPr>
      </w:pPr>
      <w:r>
        <w:rPr>
          <w:color w:val="auto"/>
          <w:spacing w:val="7"/>
          <w:sz w:val="21"/>
          <w:szCs w:val="21"/>
          <w:highlight w:val="none"/>
        </w:rPr>
        <w:t>作为参与</w:t>
      </w:r>
      <w:r>
        <w:rPr>
          <w:color w:val="auto"/>
          <w:spacing w:val="-98"/>
          <w:sz w:val="21"/>
          <w:szCs w:val="21"/>
          <w:highlight w:val="none"/>
        </w:rPr>
        <w:t xml:space="preserve"> </w:t>
      </w:r>
      <w:r>
        <w:rPr>
          <w:color w:val="auto"/>
          <w:spacing w:val="7"/>
          <w:sz w:val="21"/>
          <w:szCs w:val="21"/>
          <w:highlight w:val="none"/>
          <w:u w:val="single" w:color="auto"/>
        </w:rPr>
        <w:t xml:space="preserve">                  </w:t>
      </w:r>
      <w:r>
        <w:rPr>
          <w:color w:val="auto"/>
          <w:spacing w:val="7"/>
          <w:sz w:val="21"/>
          <w:szCs w:val="21"/>
          <w:highlight w:val="none"/>
        </w:rPr>
        <w:t>（工程名称）项目的投标方，根据国家、</w:t>
      </w:r>
      <w:r>
        <w:rPr>
          <w:color w:val="auto"/>
          <w:spacing w:val="-49"/>
          <w:sz w:val="21"/>
          <w:szCs w:val="21"/>
          <w:highlight w:val="none"/>
        </w:rPr>
        <w:t xml:space="preserve"> </w:t>
      </w:r>
      <w:r>
        <w:rPr>
          <w:color w:val="auto"/>
          <w:spacing w:val="7"/>
          <w:sz w:val="21"/>
          <w:szCs w:val="21"/>
          <w:highlight w:val="none"/>
        </w:rPr>
        <w:t>自治区相关文件规定，我</w:t>
      </w:r>
      <w:r>
        <w:rPr>
          <w:color w:val="auto"/>
          <w:sz w:val="21"/>
          <w:szCs w:val="21"/>
          <w:highlight w:val="none"/>
        </w:rPr>
        <w:t xml:space="preserve"> </w:t>
      </w:r>
      <w:r>
        <w:rPr>
          <w:color w:val="auto"/>
          <w:spacing w:val="8"/>
          <w:sz w:val="21"/>
          <w:szCs w:val="21"/>
          <w:highlight w:val="none"/>
        </w:rPr>
        <w:t>方在此向采购人承诺：</w:t>
      </w:r>
    </w:p>
    <w:p w14:paraId="103C656F">
      <w:pPr>
        <w:pStyle w:val="10"/>
        <w:spacing w:before="3" w:line="361" w:lineRule="auto"/>
        <w:ind w:right="35" w:firstLine="470"/>
        <w:rPr>
          <w:color w:val="auto"/>
          <w:sz w:val="21"/>
          <w:szCs w:val="21"/>
          <w:highlight w:val="none"/>
        </w:rPr>
      </w:pPr>
      <w:r>
        <w:rPr>
          <w:color w:val="auto"/>
          <w:spacing w:val="7"/>
          <w:sz w:val="21"/>
          <w:szCs w:val="21"/>
          <w:highlight w:val="none"/>
        </w:rPr>
        <w:t>1、一旦中标，我方保证按照政府相关部门的规定，在中标后</w:t>
      </w:r>
      <w:r>
        <w:rPr>
          <w:color w:val="auto"/>
          <w:spacing w:val="-32"/>
          <w:sz w:val="21"/>
          <w:szCs w:val="21"/>
          <w:highlight w:val="none"/>
        </w:rPr>
        <w:t xml:space="preserve"> </w:t>
      </w:r>
      <w:r>
        <w:rPr>
          <w:color w:val="auto"/>
          <w:spacing w:val="7"/>
          <w:sz w:val="21"/>
          <w:szCs w:val="21"/>
          <w:highlight w:val="none"/>
        </w:rPr>
        <w:t>7</w:t>
      </w:r>
      <w:r>
        <w:rPr>
          <w:color w:val="auto"/>
          <w:spacing w:val="-38"/>
          <w:sz w:val="21"/>
          <w:szCs w:val="21"/>
          <w:highlight w:val="none"/>
        </w:rPr>
        <w:t xml:space="preserve"> </w:t>
      </w:r>
      <w:r>
        <w:rPr>
          <w:color w:val="auto"/>
          <w:spacing w:val="7"/>
          <w:sz w:val="21"/>
          <w:szCs w:val="21"/>
          <w:highlight w:val="none"/>
        </w:rPr>
        <w:t>个工作日内，按照</w:t>
      </w:r>
      <w:r>
        <w:rPr>
          <w:color w:val="auto"/>
          <w:spacing w:val="6"/>
          <w:sz w:val="21"/>
          <w:szCs w:val="21"/>
          <w:highlight w:val="none"/>
        </w:rPr>
        <w:t>《保障农民工工</w:t>
      </w:r>
      <w:r>
        <w:rPr>
          <w:color w:val="auto"/>
          <w:sz w:val="21"/>
          <w:szCs w:val="21"/>
          <w:highlight w:val="none"/>
        </w:rPr>
        <w:t xml:space="preserve"> </w:t>
      </w:r>
      <w:r>
        <w:rPr>
          <w:color w:val="auto"/>
          <w:spacing w:val="10"/>
          <w:sz w:val="21"/>
          <w:szCs w:val="21"/>
          <w:highlight w:val="none"/>
        </w:rPr>
        <w:t>资支付条例》规定及广西壮族自治区有关规定开设农民工工资专用账户</w:t>
      </w:r>
      <w:r>
        <w:rPr>
          <w:color w:val="auto"/>
          <w:spacing w:val="9"/>
          <w:sz w:val="21"/>
          <w:szCs w:val="21"/>
          <w:highlight w:val="none"/>
        </w:rPr>
        <w:t>，并按</w:t>
      </w:r>
      <w:r>
        <w:rPr>
          <w:color w:val="auto"/>
          <w:spacing w:val="9"/>
          <w:sz w:val="21"/>
          <w:szCs w:val="21"/>
          <w:highlight w:val="none"/>
          <w:u w:val="single" w:color="auto"/>
        </w:rPr>
        <w:t>要求</w:t>
      </w:r>
      <w:r>
        <w:rPr>
          <w:color w:val="auto"/>
          <w:spacing w:val="9"/>
          <w:sz w:val="21"/>
          <w:szCs w:val="21"/>
          <w:highlight w:val="none"/>
        </w:rPr>
        <w:t>比例将农民工工资</w:t>
      </w:r>
      <w:r>
        <w:rPr>
          <w:color w:val="auto"/>
          <w:spacing w:val="10"/>
          <w:sz w:val="21"/>
          <w:szCs w:val="21"/>
          <w:highlight w:val="none"/>
        </w:rPr>
        <w:t>保证金存入帐户，专项用于支付本工程提供劳动的农民工被拖欠的工资</w:t>
      </w:r>
      <w:r>
        <w:rPr>
          <w:color w:val="auto"/>
          <w:spacing w:val="9"/>
          <w:sz w:val="21"/>
          <w:szCs w:val="21"/>
          <w:highlight w:val="none"/>
        </w:rPr>
        <w:t>。按照与农民工依法约定的工</w:t>
      </w:r>
      <w:r>
        <w:rPr>
          <w:color w:val="auto"/>
          <w:sz w:val="21"/>
          <w:szCs w:val="21"/>
          <w:highlight w:val="none"/>
        </w:rPr>
        <w:t xml:space="preserve"> </w:t>
      </w:r>
      <w:r>
        <w:rPr>
          <w:color w:val="auto"/>
          <w:spacing w:val="9"/>
          <w:sz w:val="21"/>
          <w:szCs w:val="21"/>
          <w:highlight w:val="none"/>
        </w:rPr>
        <w:t>资支付周期和具体支付日期支付工资，保证每月至少向农民工足额支付一次工资。</w:t>
      </w:r>
    </w:p>
    <w:p w14:paraId="39B523FD">
      <w:pPr>
        <w:pStyle w:val="10"/>
        <w:spacing w:before="190" w:line="362" w:lineRule="auto"/>
        <w:ind w:right="35" w:firstLine="458"/>
        <w:rPr>
          <w:color w:val="auto"/>
          <w:sz w:val="21"/>
          <w:szCs w:val="21"/>
          <w:highlight w:val="none"/>
        </w:rPr>
      </w:pPr>
      <w:r>
        <w:rPr>
          <w:color w:val="auto"/>
          <w:spacing w:val="8"/>
          <w:sz w:val="21"/>
          <w:szCs w:val="21"/>
          <w:highlight w:val="none"/>
        </w:rPr>
        <w:t>2、一旦中标，我方保证在施工过程中，严格执行《广西壮族自治区建筑工程安全</w:t>
      </w:r>
      <w:r>
        <w:rPr>
          <w:color w:val="auto"/>
          <w:spacing w:val="7"/>
          <w:sz w:val="21"/>
          <w:szCs w:val="21"/>
          <w:highlight w:val="none"/>
        </w:rPr>
        <w:t>文明施工费使用</w:t>
      </w:r>
      <w:r>
        <w:rPr>
          <w:color w:val="auto"/>
          <w:sz w:val="21"/>
          <w:szCs w:val="21"/>
          <w:highlight w:val="none"/>
        </w:rPr>
        <w:t xml:space="preserve"> </w:t>
      </w:r>
      <w:r>
        <w:rPr>
          <w:color w:val="auto"/>
          <w:spacing w:val="9"/>
          <w:sz w:val="21"/>
          <w:szCs w:val="21"/>
          <w:highlight w:val="none"/>
        </w:rPr>
        <w:t>管理细则》（桂建质〔2015〕16</w:t>
      </w:r>
      <w:r>
        <w:rPr>
          <w:color w:val="auto"/>
          <w:spacing w:val="-35"/>
          <w:sz w:val="21"/>
          <w:szCs w:val="21"/>
          <w:highlight w:val="none"/>
        </w:rPr>
        <w:t xml:space="preserve"> </w:t>
      </w:r>
      <w:r>
        <w:rPr>
          <w:color w:val="auto"/>
          <w:spacing w:val="9"/>
          <w:sz w:val="21"/>
          <w:szCs w:val="21"/>
          <w:highlight w:val="none"/>
        </w:rPr>
        <w:t>号）的有关规定，确保建设工程各项安全防护、文明</w:t>
      </w:r>
      <w:r>
        <w:rPr>
          <w:color w:val="auto"/>
          <w:spacing w:val="8"/>
          <w:sz w:val="21"/>
          <w:szCs w:val="21"/>
          <w:highlight w:val="none"/>
        </w:rPr>
        <w:t>施工措施落实到</w:t>
      </w:r>
      <w:r>
        <w:rPr>
          <w:color w:val="auto"/>
          <w:spacing w:val="9"/>
          <w:sz w:val="21"/>
          <w:szCs w:val="21"/>
          <w:highlight w:val="none"/>
        </w:rPr>
        <w:t>位。如我方在该项目的承包中出现未按桂建质〔2015〕16</w:t>
      </w:r>
      <w:r>
        <w:rPr>
          <w:color w:val="auto"/>
          <w:spacing w:val="-35"/>
          <w:sz w:val="21"/>
          <w:szCs w:val="21"/>
          <w:highlight w:val="none"/>
        </w:rPr>
        <w:t xml:space="preserve"> </w:t>
      </w:r>
      <w:r>
        <w:rPr>
          <w:color w:val="auto"/>
          <w:spacing w:val="9"/>
          <w:sz w:val="21"/>
          <w:szCs w:val="21"/>
          <w:highlight w:val="none"/>
        </w:rPr>
        <w:t>号文附件一规定执行的情形</w:t>
      </w:r>
      <w:r>
        <w:rPr>
          <w:color w:val="auto"/>
          <w:spacing w:val="8"/>
          <w:sz w:val="21"/>
          <w:szCs w:val="21"/>
          <w:highlight w:val="none"/>
        </w:rPr>
        <w:t>，我方愿意按照</w:t>
      </w:r>
      <w:r>
        <w:rPr>
          <w:color w:val="auto"/>
          <w:sz w:val="21"/>
          <w:szCs w:val="21"/>
          <w:highlight w:val="none"/>
        </w:rPr>
        <w:t xml:space="preserve"> </w:t>
      </w:r>
      <w:r>
        <w:rPr>
          <w:color w:val="auto"/>
          <w:spacing w:val="9"/>
          <w:sz w:val="21"/>
          <w:szCs w:val="21"/>
          <w:highlight w:val="none"/>
        </w:rPr>
        <w:t>相关规定接受建设单位及有关主管部门的处罚。</w:t>
      </w:r>
    </w:p>
    <w:p w14:paraId="1FD1A4D9">
      <w:pPr>
        <w:pStyle w:val="10"/>
        <w:spacing w:before="192" w:line="347" w:lineRule="auto"/>
        <w:ind w:left="8" w:right="33" w:firstLine="453"/>
        <w:rPr>
          <w:color w:val="auto"/>
          <w:sz w:val="21"/>
          <w:szCs w:val="21"/>
          <w:highlight w:val="none"/>
        </w:rPr>
      </w:pPr>
      <w:r>
        <w:rPr>
          <w:color w:val="auto"/>
          <w:spacing w:val="8"/>
          <w:sz w:val="21"/>
          <w:szCs w:val="21"/>
          <w:highlight w:val="none"/>
        </w:rPr>
        <w:t>3、一旦中标，我方保证在施工过程中，严格执行散装水泥和预拌混凝土管理</w:t>
      </w:r>
      <w:r>
        <w:rPr>
          <w:color w:val="auto"/>
          <w:spacing w:val="7"/>
          <w:sz w:val="21"/>
          <w:szCs w:val="21"/>
          <w:highlight w:val="none"/>
        </w:rPr>
        <w:t>的有关规定，确保建</w:t>
      </w:r>
      <w:r>
        <w:rPr>
          <w:color w:val="auto"/>
          <w:sz w:val="21"/>
          <w:szCs w:val="21"/>
          <w:highlight w:val="none"/>
        </w:rPr>
        <w:t xml:space="preserve"> </w:t>
      </w:r>
      <w:r>
        <w:rPr>
          <w:color w:val="auto"/>
          <w:spacing w:val="10"/>
          <w:sz w:val="21"/>
          <w:szCs w:val="21"/>
          <w:highlight w:val="none"/>
        </w:rPr>
        <w:t>设工程按规定使用散装水泥和预拌混凝土。如我方在该项目的承包中</w:t>
      </w:r>
      <w:r>
        <w:rPr>
          <w:color w:val="auto"/>
          <w:spacing w:val="9"/>
          <w:sz w:val="21"/>
          <w:szCs w:val="21"/>
          <w:highlight w:val="none"/>
        </w:rPr>
        <w:t>出现未按规定执行的情形，我方愿意按照相关规定接受建设单位及有关主管部门的处罚。</w:t>
      </w:r>
    </w:p>
    <w:p w14:paraId="3960C84D">
      <w:pPr>
        <w:pStyle w:val="10"/>
        <w:spacing w:before="192" w:line="347" w:lineRule="auto"/>
        <w:ind w:left="4" w:right="35" w:firstLine="450"/>
        <w:rPr>
          <w:color w:val="auto"/>
          <w:sz w:val="21"/>
          <w:szCs w:val="21"/>
          <w:highlight w:val="none"/>
        </w:rPr>
      </w:pPr>
      <w:r>
        <w:rPr>
          <w:color w:val="auto"/>
          <w:spacing w:val="8"/>
          <w:sz w:val="21"/>
          <w:szCs w:val="21"/>
          <w:highlight w:val="none"/>
        </w:rPr>
        <w:t>4、一旦中标，我方保证在施工过程中，严格执行《关于禁止使用不符合规范要求的竹脚</w:t>
      </w:r>
      <w:r>
        <w:rPr>
          <w:color w:val="auto"/>
          <w:spacing w:val="7"/>
          <w:sz w:val="21"/>
          <w:szCs w:val="21"/>
          <w:highlight w:val="none"/>
        </w:rPr>
        <w:t>手架的通</w:t>
      </w:r>
      <w:r>
        <w:rPr>
          <w:color w:val="auto"/>
          <w:sz w:val="21"/>
          <w:szCs w:val="21"/>
          <w:highlight w:val="none"/>
        </w:rPr>
        <w:t xml:space="preserve"> </w:t>
      </w:r>
      <w:r>
        <w:rPr>
          <w:color w:val="auto"/>
          <w:spacing w:val="9"/>
          <w:sz w:val="21"/>
          <w:szCs w:val="21"/>
          <w:highlight w:val="none"/>
        </w:rPr>
        <w:t>知》（桂建管字〔2003〕40</w:t>
      </w:r>
      <w:r>
        <w:rPr>
          <w:color w:val="auto"/>
          <w:spacing w:val="-35"/>
          <w:sz w:val="21"/>
          <w:szCs w:val="21"/>
          <w:highlight w:val="none"/>
        </w:rPr>
        <w:t xml:space="preserve"> </w:t>
      </w:r>
      <w:r>
        <w:rPr>
          <w:color w:val="auto"/>
          <w:spacing w:val="9"/>
          <w:sz w:val="21"/>
          <w:szCs w:val="21"/>
          <w:highlight w:val="none"/>
        </w:rPr>
        <w:t>号）的有关规定，不使用竹脚手架。如我方在该</w:t>
      </w:r>
      <w:r>
        <w:rPr>
          <w:color w:val="auto"/>
          <w:spacing w:val="8"/>
          <w:sz w:val="21"/>
          <w:szCs w:val="21"/>
          <w:highlight w:val="none"/>
        </w:rPr>
        <w:t>项目的承包中出现未按规</w:t>
      </w:r>
      <w:r>
        <w:rPr>
          <w:color w:val="auto"/>
          <w:spacing w:val="9"/>
          <w:sz w:val="21"/>
          <w:szCs w:val="21"/>
          <w:highlight w:val="none"/>
        </w:rPr>
        <w:t>定执行的情形，我方愿意按照相关规定接受建设单位及有关主管部门的处罚。</w:t>
      </w:r>
    </w:p>
    <w:p w14:paraId="29923FB6">
      <w:pPr>
        <w:pStyle w:val="10"/>
        <w:spacing w:before="193" w:line="347" w:lineRule="auto"/>
        <w:ind w:left="4" w:firstLine="456"/>
        <w:rPr>
          <w:color w:val="auto"/>
          <w:sz w:val="21"/>
          <w:szCs w:val="21"/>
          <w:highlight w:val="none"/>
        </w:rPr>
      </w:pPr>
      <w:r>
        <w:rPr>
          <w:color w:val="auto"/>
          <w:spacing w:val="8"/>
          <w:sz w:val="21"/>
          <w:szCs w:val="21"/>
          <w:highlight w:val="none"/>
        </w:rPr>
        <w:t>5、一旦中标，我方保证严格执行《危险性较大的分部分项工程安全管理规定》（建办质〔2018〕</w:t>
      </w:r>
      <w:r>
        <w:rPr>
          <w:color w:val="auto"/>
          <w:spacing w:val="11"/>
          <w:sz w:val="21"/>
          <w:szCs w:val="21"/>
          <w:highlight w:val="none"/>
        </w:rPr>
        <w:t xml:space="preserve"> </w:t>
      </w:r>
      <w:r>
        <w:rPr>
          <w:color w:val="auto"/>
          <w:spacing w:val="9"/>
          <w:sz w:val="21"/>
          <w:szCs w:val="21"/>
          <w:highlight w:val="none"/>
        </w:rPr>
        <w:t>31</w:t>
      </w:r>
      <w:r>
        <w:rPr>
          <w:color w:val="auto"/>
          <w:spacing w:val="-29"/>
          <w:sz w:val="21"/>
          <w:szCs w:val="21"/>
          <w:highlight w:val="none"/>
        </w:rPr>
        <w:t xml:space="preserve"> </w:t>
      </w:r>
      <w:r>
        <w:rPr>
          <w:color w:val="auto"/>
          <w:spacing w:val="9"/>
          <w:sz w:val="21"/>
          <w:szCs w:val="21"/>
          <w:highlight w:val="none"/>
        </w:rPr>
        <w:t>号）的规定，强化对深基坑、高切坡、高大模板、人工挖孔桩、起重吊装、临时活动板房等重大危险源的专项施工方案的编制、论证、审批、实施、检测的风险管理。</w:t>
      </w:r>
    </w:p>
    <w:p w14:paraId="6F6A2A7E">
      <w:pPr>
        <w:spacing w:line="256" w:lineRule="auto"/>
        <w:rPr>
          <w:rFonts w:ascii="Arial"/>
          <w:color w:val="auto"/>
          <w:sz w:val="21"/>
          <w:szCs w:val="21"/>
          <w:highlight w:val="none"/>
        </w:rPr>
      </w:pPr>
    </w:p>
    <w:p w14:paraId="510DDA8D">
      <w:pPr>
        <w:spacing w:line="257" w:lineRule="auto"/>
        <w:rPr>
          <w:rFonts w:ascii="Arial"/>
          <w:color w:val="auto"/>
          <w:sz w:val="21"/>
          <w:szCs w:val="21"/>
          <w:highlight w:val="none"/>
        </w:rPr>
      </w:pPr>
    </w:p>
    <w:p w14:paraId="06B89589">
      <w:pPr>
        <w:spacing w:line="257" w:lineRule="auto"/>
        <w:rPr>
          <w:rFonts w:ascii="Arial"/>
          <w:color w:val="auto"/>
          <w:sz w:val="21"/>
          <w:szCs w:val="21"/>
          <w:highlight w:val="none"/>
        </w:rPr>
      </w:pPr>
    </w:p>
    <w:p w14:paraId="3D7F2F8D">
      <w:pPr>
        <w:spacing w:line="257" w:lineRule="auto"/>
        <w:rPr>
          <w:rFonts w:ascii="Arial"/>
          <w:color w:val="auto"/>
          <w:sz w:val="21"/>
          <w:szCs w:val="21"/>
          <w:highlight w:val="none"/>
        </w:rPr>
      </w:pPr>
    </w:p>
    <w:p w14:paraId="0BEB12AC">
      <w:pPr>
        <w:pStyle w:val="10"/>
        <w:spacing w:before="65" w:line="228" w:lineRule="auto"/>
        <w:ind w:left="3895"/>
        <w:rPr>
          <w:color w:val="auto"/>
          <w:sz w:val="21"/>
          <w:szCs w:val="21"/>
          <w:highlight w:val="none"/>
        </w:rPr>
      </w:pPr>
      <w:r>
        <w:rPr>
          <w:color w:val="auto"/>
          <w:spacing w:val="8"/>
          <w:sz w:val="21"/>
          <w:szCs w:val="21"/>
          <w:highlight w:val="none"/>
        </w:rPr>
        <w:t>供应商名称（电子签章</w:t>
      </w:r>
      <w:r>
        <w:rPr>
          <w:color w:val="auto"/>
          <w:spacing w:val="4"/>
          <w:sz w:val="21"/>
          <w:szCs w:val="21"/>
          <w:highlight w:val="none"/>
        </w:rPr>
        <w:t>）：</w:t>
      </w:r>
    </w:p>
    <w:p w14:paraId="76E51812">
      <w:pPr>
        <w:spacing w:line="339" w:lineRule="auto"/>
        <w:rPr>
          <w:rFonts w:ascii="Arial"/>
          <w:color w:val="auto"/>
          <w:sz w:val="21"/>
          <w:szCs w:val="21"/>
          <w:highlight w:val="none"/>
        </w:rPr>
      </w:pPr>
    </w:p>
    <w:p w14:paraId="4797D5BE">
      <w:pPr>
        <w:spacing w:line="339" w:lineRule="auto"/>
        <w:rPr>
          <w:rFonts w:ascii="Arial"/>
          <w:color w:val="auto"/>
          <w:sz w:val="21"/>
          <w:szCs w:val="21"/>
          <w:highlight w:val="none"/>
        </w:rPr>
      </w:pPr>
    </w:p>
    <w:p w14:paraId="1162F939">
      <w:pPr>
        <w:pStyle w:val="10"/>
        <w:spacing w:before="65" w:line="228" w:lineRule="auto"/>
        <w:ind w:left="5402"/>
        <w:rPr>
          <w:color w:val="auto"/>
          <w:sz w:val="21"/>
          <w:szCs w:val="21"/>
          <w:highlight w:val="none"/>
        </w:rPr>
      </w:pPr>
      <w:r>
        <w:rPr>
          <w:color w:val="auto"/>
          <w:spacing w:val="-6"/>
          <w:sz w:val="21"/>
          <w:szCs w:val="21"/>
          <w:highlight w:val="none"/>
        </w:rPr>
        <w:t>日期：</w:t>
      </w:r>
      <w:r>
        <w:rPr>
          <w:color w:val="auto"/>
          <w:spacing w:val="17"/>
          <w:sz w:val="21"/>
          <w:szCs w:val="21"/>
          <w:highlight w:val="none"/>
        </w:rPr>
        <w:t xml:space="preserve">  </w:t>
      </w:r>
      <w:r>
        <w:rPr>
          <w:color w:val="auto"/>
          <w:spacing w:val="-6"/>
          <w:sz w:val="21"/>
          <w:szCs w:val="21"/>
          <w:highlight w:val="none"/>
        </w:rPr>
        <w:t>年</w:t>
      </w:r>
      <w:r>
        <w:rPr>
          <w:color w:val="auto"/>
          <w:spacing w:val="12"/>
          <w:sz w:val="21"/>
          <w:szCs w:val="21"/>
          <w:highlight w:val="none"/>
        </w:rPr>
        <w:t xml:space="preserve">  </w:t>
      </w:r>
      <w:r>
        <w:rPr>
          <w:color w:val="auto"/>
          <w:spacing w:val="-6"/>
          <w:sz w:val="21"/>
          <w:szCs w:val="21"/>
          <w:highlight w:val="none"/>
        </w:rPr>
        <w:t>月</w:t>
      </w:r>
      <w:r>
        <w:rPr>
          <w:color w:val="auto"/>
          <w:spacing w:val="20"/>
          <w:sz w:val="21"/>
          <w:szCs w:val="21"/>
          <w:highlight w:val="none"/>
        </w:rPr>
        <w:t xml:space="preserve">   </w:t>
      </w:r>
      <w:r>
        <w:rPr>
          <w:color w:val="auto"/>
          <w:spacing w:val="-6"/>
          <w:sz w:val="21"/>
          <w:szCs w:val="21"/>
          <w:highlight w:val="none"/>
        </w:rPr>
        <w:t>日</w:t>
      </w:r>
    </w:p>
    <w:p w14:paraId="25663068">
      <w:pPr>
        <w:spacing w:line="228" w:lineRule="auto"/>
        <w:rPr>
          <w:color w:val="auto"/>
          <w:sz w:val="21"/>
          <w:szCs w:val="21"/>
          <w:highlight w:val="none"/>
        </w:rPr>
        <w:sectPr>
          <w:footerReference r:id="rId11" w:type="default"/>
          <w:pgSz w:w="11905" w:h="16839"/>
          <w:pgMar w:top="1440" w:right="1083" w:bottom="1440" w:left="1083" w:header="0" w:footer="843" w:gutter="0"/>
          <w:pgNumType w:fmt="decimal"/>
          <w:cols w:space="720" w:num="1"/>
        </w:sectPr>
      </w:pPr>
    </w:p>
    <w:p w14:paraId="0CE8A06C">
      <w:pPr>
        <w:pStyle w:val="10"/>
        <w:spacing w:before="91" w:line="221" w:lineRule="auto"/>
        <w:ind w:left="1159"/>
        <w:rPr>
          <w:color w:val="auto"/>
          <w:sz w:val="28"/>
          <w:szCs w:val="28"/>
          <w:highlight w:val="none"/>
        </w:rPr>
      </w:pPr>
      <w:r>
        <w:rPr>
          <w:b/>
          <w:bCs/>
          <w:color w:val="auto"/>
          <w:spacing w:val="-3"/>
          <w:sz w:val="28"/>
          <w:szCs w:val="28"/>
          <w:highlight w:val="none"/>
        </w:rPr>
        <w:t>广西壮族自治区建筑工程安全文明施工措施项目清单内容</w:t>
      </w:r>
    </w:p>
    <w:p w14:paraId="76144A71">
      <w:pPr>
        <w:pStyle w:val="10"/>
        <w:spacing w:before="123" w:line="219" w:lineRule="auto"/>
        <w:ind w:left="3152"/>
        <w:rPr>
          <w:color w:val="auto"/>
          <w:highlight w:val="none"/>
        </w:rPr>
      </w:pPr>
      <w:r>
        <w:rPr>
          <w:color w:val="auto"/>
          <w:spacing w:val="-2"/>
          <w:highlight w:val="none"/>
        </w:rPr>
        <w:t>（桂建质〔2015〕16</w:t>
      </w:r>
      <w:r>
        <w:rPr>
          <w:color w:val="auto"/>
          <w:spacing w:val="-45"/>
          <w:highlight w:val="none"/>
        </w:rPr>
        <w:t xml:space="preserve"> </w:t>
      </w:r>
      <w:r>
        <w:rPr>
          <w:color w:val="auto"/>
          <w:spacing w:val="-2"/>
          <w:highlight w:val="none"/>
        </w:rPr>
        <w:t>号文附件一）</w:t>
      </w:r>
    </w:p>
    <w:p w14:paraId="72A5215F">
      <w:pPr>
        <w:pStyle w:val="10"/>
        <w:spacing w:before="127" w:line="220" w:lineRule="auto"/>
        <w:ind w:left="3829"/>
        <w:rPr>
          <w:color w:val="auto"/>
          <w:highlight w:val="none"/>
        </w:rPr>
      </w:pPr>
      <w:r>
        <w:rPr>
          <w:b/>
          <w:bCs/>
          <w:color w:val="auto"/>
          <w:spacing w:val="-4"/>
          <w:highlight w:val="none"/>
        </w:rPr>
        <w:t>广西壮族自治区</w:t>
      </w:r>
    </w:p>
    <w:p w14:paraId="084A3775">
      <w:pPr>
        <w:pStyle w:val="10"/>
        <w:spacing w:before="45" w:line="220" w:lineRule="auto"/>
        <w:ind w:left="2981"/>
        <w:rPr>
          <w:color w:val="auto"/>
          <w:highlight w:val="none"/>
        </w:rPr>
      </w:pPr>
      <w:r>
        <w:rPr>
          <w:b/>
          <w:bCs/>
          <w:color w:val="auto"/>
          <w:spacing w:val="-24"/>
          <w:highlight w:val="none"/>
        </w:rPr>
        <w:t>建设工程安全文明施工措施项目清单内容</w:t>
      </w:r>
    </w:p>
    <w:p w14:paraId="25ACF8DD">
      <w:pPr>
        <w:spacing w:before="89"/>
        <w:rPr>
          <w:color w:val="auto"/>
          <w:highlight w:val="none"/>
        </w:rPr>
      </w:pPr>
    </w:p>
    <w:tbl>
      <w:tblPr>
        <w:tblStyle w:val="58"/>
        <w:tblW w:w="945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523"/>
        <w:gridCol w:w="1541"/>
        <w:gridCol w:w="6642"/>
      </w:tblGrid>
      <w:tr w14:paraId="60631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750" w:type="dxa"/>
            <w:tcBorders>
              <w:top w:val="single" w:color="000000" w:sz="10" w:space="0"/>
              <w:left w:val="single" w:color="000000" w:sz="10" w:space="0"/>
            </w:tcBorders>
            <w:vAlign w:val="top"/>
          </w:tcPr>
          <w:p w14:paraId="4109830B">
            <w:pPr>
              <w:pStyle w:val="57"/>
              <w:spacing w:before="150" w:line="228" w:lineRule="auto"/>
              <w:ind w:left="155"/>
              <w:rPr>
                <w:color w:val="auto"/>
                <w:highlight w:val="none"/>
              </w:rPr>
            </w:pPr>
            <w:r>
              <w:rPr>
                <w:b/>
                <w:bCs/>
                <w:color w:val="auto"/>
                <w:spacing w:val="3"/>
                <w:highlight w:val="none"/>
              </w:rPr>
              <w:t>类别</w:t>
            </w:r>
          </w:p>
        </w:tc>
        <w:tc>
          <w:tcPr>
            <w:tcW w:w="2064" w:type="dxa"/>
            <w:gridSpan w:val="2"/>
            <w:tcBorders>
              <w:top w:val="single" w:color="000000" w:sz="10" w:space="0"/>
            </w:tcBorders>
            <w:vAlign w:val="top"/>
          </w:tcPr>
          <w:p w14:paraId="580FD1C7">
            <w:pPr>
              <w:pStyle w:val="57"/>
              <w:spacing w:before="150" w:line="229" w:lineRule="auto"/>
              <w:ind w:left="611"/>
              <w:rPr>
                <w:color w:val="auto"/>
                <w:highlight w:val="none"/>
              </w:rPr>
            </w:pPr>
            <w:r>
              <w:rPr>
                <w:b/>
                <w:bCs/>
                <w:color w:val="auto"/>
                <w:spacing w:val="5"/>
                <w:highlight w:val="none"/>
              </w:rPr>
              <w:t>项目名称</w:t>
            </w:r>
          </w:p>
        </w:tc>
        <w:tc>
          <w:tcPr>
            <w:tcW w:w="6642" w:type="dxa"/>
            <w:tcBorders>
              <w:top w:val="single" w:color="000000" w:sz="10" w:space="0"/>
              <w:right w:val="single" w:color="000000" w:sz="10" w:space="0"/>
            </w:tcBorders>
            <w:vAlign w:val="top"/>
          </w:tcPr>
          <w:p w14:paraId="2D6D8F47">
            <w:pPr>
              <w:pStyle w:val="57"/>
              <w:spacing w:before="150" w:line="228" w:lineRule="auto"/>
              <w:ind w:left="2587"/>
              <w:rPr>
                <w:color w:val="auto"/>
                <w:highlight w:val="none"/>
              </w:rPr>
            </w:pPr>
            <w:r>
              <w:rPr>
                <w:b/>
                <w:bCs/>
                <w:color w:val="auto"/>
                <w:spacing w:val="7"/>
                <w:highlight w:val="none"/>
              </w:rPr>
              <w:t>主要内容和要求</w:t>
            </w:r>
          </w:p>
        </w:tc>
      </w:tr>
      <w:tr w14:paraId="7534C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50" w:type="dxa"/>
            <w:vMerge w:val="restart"/>
            <w:tcBorders>
              <w:left w:val="single" w:color="000000" w:sz="10" w:space="0"/>
              <w:bottom w:val="nil"/>
            </w:tcBorders>
            <w:vAlign w:val="top"/>
          </w:tcPr>
          <w:p w14:paraId="7D8174D3">
            <w:pPr>
              <w:spacing w:line="247" w:lineRule="auto"/>
              <w:rPr>
                <w:rFonts w:ascii="Arial"/>
                <w:color w:val="auto"/>
                <w:sz w:val="21"/>
                <w:highlight w:val="none"/>
              </w:rPr>
            </w:pPr>
          </w:p>
          <w:p w14:paraId="7E7711F5">
            <w:pPr>
              <w:spacing w:line="247" w:lineRule="auto"/>
              <w:rPr>
                <w:rFonts w:ascii="Arial"/>
                <w:color w:val="auto"/>
                <w:sz w:val="21"/>
                <w:highlight w:val="none"/>
              </w:rPr>
            </w:pPr>
          </w:p>
          <w:p w14:paraId="05D5B43D">
            <w:pPr>
              <w:spacing w:line="247" w:lineRule="auto"/>
              <w:rPr>
                <w:rFonts w:ascii="Arial"/>
                <w:color w:val="auto"/>
                <w:sz w:val="21"/>
                <w:highlight w:val="none"/>
              </w:rPr>
            </w:pPr>
          </w:p>
          <w:p w14:paraId="1F1FF87A">
            <w:pPr>
              <w:spacing w:line="247" w:lineRule="auto"/>
              <w:rPr>
                <w:rFonts w:ascii="Arial"/>
                <w:color w:val="auto"/>
                <w:sz w:val="21"/>
                <w:highlight w:val="none"/>
              </w:rPr>
            </w:pPr>
          </w:p>
          <w:p w14:paraId="0FD3A90D">
            <w:pPr>
              <w:spacing w:line="247" w:lineRule="auto"/>
              <w:rPr>
                <w:rFonts w:ascii="Arial"/>
                <w:color w:val="auto"/>
                <w:sz w:val="21"/>
                <w:highlight w:val="none"/>
              </w:rPr>
            </w:pPr>
          </w:p>
          <w:p w14:paraId="649B8DCB">
            <w:pPr>
              <w:spacing w:line="248" w:lineRule="auto"/>
              <w:rPr>
                <w:rFonts w:ascii="Arial"/>
                <w:color w:val="auto"/>
                <w:sz w:val="21"/>
                <w:highlight w:val="none"/>
              </w:rPr>
            </w:pPr>
          </w:p>
          <w:p w14:paraId="11BAC093">
            <w:pPr>
              <w:spacing w:line="248" w:lineRule="auto"/>
              <w:rPr>
                <w:rFonts w:ascii="Arial"/>
                <w:color w:val="auto"/>
                <w:sz w:val="21"/>
                <w:highlight w:val="none"/>
              </w:rPr>
            </w:pPr>
          </w:p>
          <w:p w14:paraId="56C12C0F">
            <w:pPr>
              <w:spacing w:line="248" w:lineRule="auto"/>
              <w:rPr>
                <w:rFonts w:ascii="Arial"/>
                <w:color w:val="auto"/>
                <w:sz w:val="21"/>
                <w:highlight w:val="none"/>
              </w:rPr>
            </w:pPr>
          </w:p>
          <w:p w14:paraId="0D4CBADB">
            <w:pPr>
              <w:spacing w:line="248" w:lineRule="auto"/>
              <w:rPr>
                <w:rFonts w:ascii="Arial"/>
                <w:color w:val="auto"/>
                <w:sz w:val="21"/>
                <w:highlight w:val="none"/>
              </w:rPr>
            </w:pPr>
          </w:p>
          <w:p w14:paraId="27F57C78">
            <w:pPr>
              <w:spacing w:line="248" w:lineRule="auto"/>
              <w:rPr>
                <w:rFonts w:ascii="Arial"/>
                <w:color w:val="auto"/>
                <w:sz w:val="21"/>
                <w:highlight w:val="none"/>
              </w:rPr>
            </w:pPr>
          </w:p>
          <w:p w14:paraId="58CE248A">
            <w:pPr>
              <w:pStyle w:val="57"/>
              <w:spacing w:before="65" w:line="228" w:lineRule="auto"/>
              <w:ind w:left="159"/>
              <w:rPr>
                <w:color w:val="auto"/>
                <w:highlight w:val="none"/>
              </w:rPr>
            </w:pPr>
            <w:r>
              <w:rPr>
                <w:color w:val="auto"/>
                <w:spacing w:val="3"/>
                <w:highlight w:val="none"/>
              </w:rPr>
              <w:t>文明</w:t>
            </w:r>
          </w:p>
          <w:p w14:paraId="6704C520">
            <w:pPr>
              <w:pStyle w:val="57"/>
              <w:spacing w:before="52" w:line="277" w:lineRule="auto"/>
              <w:ind w:left="264" w:right="167" w:hanging="108"/>
              <w:rPr>
                <w:color w:val="auto"/>
                <w:highlight w:val="none"/>
              </w:rPr>
            </w:pPr>
            <w:r>
              <w:rPr>
                <w:color w:val="auto"/>
                <w:spacing w:val="5"/>
                <w:highlight w:val="none"/>
              </w:rPr>
              <w:t>施工</w:t>
            </w:r>
            <w:r>
              <w:rPr>
                <w:color w:val="auto"/>
                <w:highlight w:val="none"/>
              </w:rPr>
              <w:t xml:space="preserve"> 与</w:t>
            </w:r>
          </w:p>
          <w:p w14:paraId="618AD7DC">
            <w:pPr>
              <w:pStyle w:val="57"/>
              <w:spacing w:line="229" w:lineRule="auto"/>
              <w:ind w:left="157"/>
              <w:rPr>
                <w:color w:val="auto"/>
                <w:highlight w:val="none"/>
              </w:rPr>
            </w:pPr>
            <w:r>
              <w:rPr>
                <w:color w:val="auto"/>
                <w:spacing w:val="4"/>
                <w:highlight w:val="none"/>
              </w:rPr>
              <w:t>环境</w:t>
            </w:r>
          </w:p>
          <w:p w14:paraId="6ED1740A">
            <w:pPr>
              <w:pStyle w:val="57"/>
              <w:spacing w:before="51" w:line="229" w:lineRule="auto"/>
              <w:ind w:left="158"/>
              <w:rPr>
                <w:color w:val="auto"/>
                <w:highlight w:val="none"/>
              </w:rPr>
            </w:pPr>
            <w:r>
              <w:rPr>
                <w:color w:val="auto"/>
                <w:spacing w:val="4"/>
                <w:highlight w:val="none"/>
              </w:rPr>
              <w:t>保护</w:t>
            </w:r>
          </w:p>
        </w:tc>
        <w:tc>
          <w:tcPr>
            <w:tcW w:w="2064" w:type="dxa"/>
            <w:gridSpan w:val="2"/>
            <w:vAlign w:val="top"/>
          </w:tcPr>
          <w:p w14:paraId="6A966553">
            <w:pPr>
              <w:pStyle w:val="57"/>
              <w:spacing w:before="61" w:line="228" w:lineRule="auto"/>
              <w:ind w:left="614"/>
              <w:rPr>
                <w:color w:val="auto"/>
                <w:highlight w:val="none"/>
              </w:rPr>
            </w:pPr>
            <w:r>
              <w:rPr>
                <w:color w:val="auto"/>
                <w:spacing w:val="6"/>
                <w:highlight w:val="none"/>
              </w:rPr>
              <w:t>安全警示</w:t>
            </w:r>
          </w:p>
          <w:p w14:paraId="1F0C8008">
            <w:pPr>
              <w:pStyle w:val="57"/>
              <w:spacing w:before="52" w:line="214" w:lineRule="auto"/>
              <w:ind w:left="716"/>
              <w:rPr>
                <w:color w:val="auto"/>
                <w:highlight w:val="none"/>
              </w:rPr>
            </w:pPr>
            <w:r>
              <w:rPr>
                <w:color w:val="auto"/>
                <w:spacing w:val="6"/>
                <w:highlight w:val="none"/>
              </w:rPr>
              <w:t>标志牌</w:t>
            </w:r>
          </w:p>
        </w:tc>
        <w:tc>
          <w:tcPr>
            <w:tcW w:w="6642" w:type="dxa"/>
            <w:tcBorders>
              <w:right w:val="single" w:color="000000" w:sz="10" w:space="0"/>
            </w:tcBorders>
            <w:vAlign w:val="top"/>
          </w:tcPr>
          <w:p w14:paraId="191ADEFD">
            <w:pPr>
              <w:pStyle w:val="57"/>
              <w:spacing w:before="62" w:line="245" w:lineRule="auto"/>
              <w:ind w:left="108" w:right="99" w:hanging="1"/>
              <w:rPr>
                <w:color w:val="auto"/>
                <w:highlight w:val="none"/>
              </w:rPr>
            </w:pPr>
            <w:r>
              <w:rPr>
                <w:color w:val="auto"/>
                <w:spacing w:val="7"/>
                <w:highlight w:val="none"/>
              </w:rPr>
              <w:t>在易发伤亡事故（或危险）处设置明显的、符合国家标准要求的安全警</w:t>
            </w:r>
            <w:r>
              <w:rPr>
                <w:color w:val="auto"/>
                <w:spacing w:val="5"/>
                <w:highlight w:val="none"/>
              </w:rPr>
              <w:t>示标志牌。</w:t>
            </w:r>
          </w:p>
        </w:tc>
      </w:tr>
      <w:tr w14:paraId="79564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50" w:type="dxa"/>
            <w:vMerge w:val="continue"/>
            <w:tcBorders>
              <w:top w:val="nil"/>
              <w:left w:val="single" w:color="000000" w:sz="10" w:space="0"/>
              <w:bottom w:val="nil"/>
            </w:tcBorders>
            <w:vAlign w:val="top"/>
          </w:tcPr>
          <w:p w14:paraId="09876A1B">
            <w:pPr>
              <w:rPr>
                <w:rFonts w:ascii="Arial"/>
                <w:color w:val="auto"/>
                <w:sz w:val="21"/>
                <w:highlight w:val="none"/>
              </w:rPr>
            </w:pPr>
          </w:p>
        </w:tc>
        <w:tc>
          <w:tcPr>
            <w:tcW w:w="2064" w:type="dxa"/>
            <w:gridSpan w:val="2"/>
            <w:vAlign w:val="top"/>
          </w:tcPr>
          <w:p w14:paraId="7DD12B57">
            <w:pPr>
              <w:pStyle w:val="57"/>
              <w:spacing w:before="212" w:line="228" w:lineRule="auto"/>
              <w:ind w:left="612"/>
              <w:rPr>
                <w:color w:val="auto"/>
                <w:highlight w:val="none"/>
              </w:rPr>
            </w:pPr>
            <w:r>
              <w:rPr>
                <w:color w:val="auto"/>
                <w:spacing w:val="6"/>
                <w:highlight w:val="none"/>
              </w:rPr>
              <w:t>现场围挡</w:t>
            </w:r>
          </w:p>
        </w:tc>
        <w:tc>
          <w:tcPr>
            <w:tcW w:w="6642" w:type="dxa"/>
            <w:tcBorders>
              <w:right w:val="single" w:color="000000" w:sz="10" w:space="0"/>
            </w:tcBorders>
            <w:vAlign w:val="top"/>
          </w:tcPr>
          <w:p w14:paraId="5B1CC697">
            <w:pPr>
              <w:pStyle w:val="57"/>
              <w:spacing w:before="62" w:line="228" w:lineRule="auto"/>
              <w:ind w:left="124"/>
              <w:rPr>
                <w:color w:val="auto"/>
                <w:highlight w:val="none"/>
              </w:rPr>
            </w:pPr>
            <w:r>
              <w:rPr>
                <w:color w:val="auto"/>
                <w:spacing w:val="5"/>
                <w:highlight w:val="none"/>
              </w:rPr>
              <w:t>1.现场采用封闭围挡，高度不小于1.8m。</w:t>
            </w:r>
          </w:p>
          <w:p w14:paraId="4F64D49E">
            <w:pPr>
              <w:pStyle w:val="57"/>
              <w:spacing w:before="53" w:line="212" w:lineRule="auto"/>
              <w:ind w:left="111"/>
              <w:rPr>
                <w:color w:val="auto"/>
                <w:highlight w:val="none"/>
              </w:rPr>
            </w:pPr>
            <w:r>
              <w:rPr>
                <w:color w:val="auto"/>
                <w:spacing w:val="7"/>
                <w:highlight w:val="none"/>
              </w:rPr>
              <w:t>2.围挡材料可用彩色、定型钢板，砌块等墙体。</w:t>
            </w:r>
          </w:p>
        </w:tc>
      </w:tr>
      <w:tr w14:paraId="08819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750" w:type="dxa"/>
            <w:vMerge w:val="continue"/>
            <w:tcBorders>
              <w:top w:val="nil"/>
              <w:left w:val="single" w:color="000000" w:sz="10" w:space="0"/>
              <w:bottom w:val="nil"/>
            </w:tcBorders>
            <w:vAlign w:val="top"/>
          </w:tcPr>
          <w:p w14:paraId="13C2598C">
            <w:pPr>
              <w:rPr>
                <w:rFonts w:ascii="Arial"/>
                <w:color w:val="auto"/>
                <w:sz w:val="21"/>
                <w:highlight w:val="none"/>
              </w:rPr>
            </w:pPr>
          </w:p>
        </w:tc>
        <w:tc>
          <w:tcPr>
            <w:tcW w:w="2064" w:type="dxa"/>
            <w:gridSpan w:val="2"/>
            <w:vAlign w:val="top"/>
          </w:tcPr>
          <w:p w14:paraId="32A84E8D">
            <w:pPr>
              <w:spacing w:line="298" w:lineRule="auto"/>
              <w:rPr>
                <w:rFonts w:ascii="Arial"/>
                <w:color w:val="auto"/>
                <w:sz w:val="21"/>
                <w:highlight w:val="none"/>
              </w:rPr>
            </w:pPr>
          </w:p>
          <w:p w14:paraId="7079000C">
            <w:pPr>
              <w:pStyle w:val="57"/>
              <w:spacing w:before="65" w:line="228" w:lineRule="auto"/>
              <w:ind w:left="609"/>
              <w:rPr>
                <w:color w:val="auto"/>
                <w:highlight w:val="none"/>
              </w:rPr>
            </w:pPr>
            <w:r>
              <w:rPr>
                <w:color w:val="auto"/>
                <w:spacing w:val="7"/>
                <w:highlight w:val="none"/>
              </w:rPr>
              <w:t>七牌二图</w:t>
            </w:r>
          </w:p>
        </w:tc>
        <w:tc>
          <w:tcPr>
            <w:tcW w:w="6642" w:type="dxa"/>
            <w:tcBorders>
              <w:right w:val="single" w:color="000000" w:sz="10" w:space="0"/>
            </w:tcBorders>
            <w:vAlign w:val="top"/>
          </w:tcPr>
          <w:p w14:paraId="53156775">
            <w:pPr>
              <w:pStyle w:val="57"/>
              <w:spacing w:before="64" w:line="255" w:lineRule="auto"/>
              <w:ind w:left="107" w:right="96"/>
              <w:jc w:val="both"/>
              <w:rPr>
                <w:color w:val="auto"/>
                <w:highlight w:val="none"/>
              </w:rPr>
            </w:pPr>
            <w:r>
              <w:rPr>
                <w:color w:val="auto"/>
                <w:spacing w:val="7"/>
                <w:highlight w:val="none"/>
              </w:rPr>
              <w:t>在进门处悬挂工程概况、现场出入制度、管理人员名单及监督电话、安</w:t>
            </w:r>
            <w:r>
              <w:rPr>
                <w:color w:val="auto"/>
                <w:spacing w:val="4"/>
                <w:highlight w:val="none"/>
              </w:rPr>
              <w:t xml:space="preserve"> </w:t>
            </w:r>
            <w:r>
              <w:rPr>
                <w:color w:val="auto"/>
                <w:spacing w:val="7"/>
                <w:highlight w:val="none"/>
              </w:rPr>
              <w:t>全生产规定、文明施工、消防保卫、节能公示等七牌以及施工现场总平</w:t>
            </w:r>
            <w:r>
              <w:rPr>
                <w:color w:val="auto"/>
                <w:spacing w:val="3"/>
                <w:highlight w:val="none"/>
              </w:rPr>
              <w:t xml:space="preserve"> </w:t>
            </w:r>
            <w:r>
              <w:rPr>
                <w:color w:val="auto"/>
                <w:spacing w:val="7"/>
                <w:highlight w:val="none"/>
              </w:rPr>
              <w:t>面图、工程效果图。</w:t>
            </w:r>
          </w:p>
        </w:tc>
      </w:tr>
      <w:tr w14:paraId="56741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50" w:type="dxa"/>
            <w:vMerge w:val="continue"/>
            <w:tcBorders>
              <w:top w:val="nil"/>
              <w:left w:val="single" w:color="000000" w:sz="10" w:space="0"/>
              <w:bottom w:val="nil"/>
            </w:tcBorders>
            <w:vAlign w:val="top"/>
          </w:tcPr>
          <w:p w14:paraId="3B505EBC">
            <w:pPr>
              <w:rPr>
                <w:rFonts w:ascii="Arial"/>
                <w:color w:val="auto"/>
                <w:sz w:val="21"/>
                <w:highlight w:val="none"/>
              </w:rPr>
            </w:pPr>
          </w:p>
        </w:tc>
        <w:tc>
          <w:tcPr>
            <w:tcW w:w="2064" w:type="dxa"/>
            <w:gridSpan w:val="2"/>
            <w:vAlign w:val="top"/>
          </w:tcPr>
          <w:p w14:paraId="3679FA89">
            <w:pPr>
              <w:pStyle w:val="57"/>
              <w:spacing w:before="172" w:line="229" w:lineRule="auto"/>
              <w:ind w:left="613"/>
              <w:rPr>
                <w:color w:val="auto"/>
                <w:highlight w:val="none"/>
              </w:rPr>
            </w:pPr>
            <w:r>
              <w:rPr>
                <w:color w:val="auto"/>
                <w:spacing w:val="6"/>
                <w:highlight w:val="none"/>
              </w:rPr>
              <w:t>企业标志</w:t>
            </w:r>
          </w:p>
        </w:tc>
        <w:tc>
          <w:tcPr>
            <w:tcW w:w="6642" w:type="dxa"/>
            <w:tcBorders>
              <w:right w:val="single" w:color="000000" w:sz="10" w:space="0"/>
            </w:tcBorders>
            <w:vAlign w:val="top"/>
          </w:tcPr>
          <w:p w14:paraId="6E9B316E">
            <w:pPr>
              <w:pStyle w:val="57"/>
              <w:spacing w:before="171" w:line="228" w:lineRule="auto"/>
              <w:ind w:left="110"/>
              <w:rPr>
                <w:color w:val="auto"/>
                <w:highlight w:val="none"/>
              </w:rPr>
            </w:pPr>
            <w:r>
              <w:rPr>
                <w:color w:val="auto"/>
                <w:spacing w:val="8"/>
                <w:highlight w:val="none"/>
              </w:rPr>
              <w:t>现场出入的大门应设有本企业标志或企业标识。</w:t>
            </w:r>
          </w:p>
        </w:tc>
      </w:tr>
      <w:tr w14:paraId="5F1E4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750" w:type="dxa"/>
            <w:vMerge w:val="continue"/>
            <w:tcBorders>
              <w:top w:val="nil"/>
              <w:left w:val="single" w:color="000000" w:sz="10" w:space="0"/>
              <w:bottom w:val="nil"/>
            </w:tcBorders>
            <w:vAlign w:val="top"/>
          </w:tcPr>
          <w:p w14:paraId="1E8CC360">
            <w:pPr>
              <w:rPr>
                <w:rFonts w:ascii="Arial"/>
                <w:color w:val="auto"/>
                <w:sz w:val="21"/>
                <w:highlight w:val="none"/>
              </w:rPr>
            </w:pPr>
          </w:p>
        </w:tc>
        <w:tc>
          <w:tcPr>
            <w:tcW w:w="2064" w:type="dxa"/>
            <w:gridSpan w:val="2"/>
            <w:vAlign w:val="top"/>
          </w:tcPr>
          <w:p w14:paraId="740E5813">
            <w:pPr>
              <w:spacing w:line="448" w:lineRule="auto"/>
              <w:rPr>
                <w:rFonts w:ascii="Arial"/>
                <w:color w:val="auto"/>
                <w:sz w:val="21"/>
                <w:highlight w:val="none"/>
              </w:rPr>
            </w:pPr>
          </w:p>
          <w:p w14:paraId="474FA87C">
            <w:pPr>
              <w:pStyle w:val="57"/>
              <w:spacing w:before="65" w:line="228" w:lineRule="auto"/>
              <w:ind w:left="609"/>
              <w:rPr>
                <w:color w:val="auto"/>
                <w:highlight w:val="none"/>
              </w:rPr>
            </w:pPr>
            <w:r>
              <w:rPr>
                <w:color w:val="auto"/>
                <w:spacing w:val="7"/>
                <w:highlight w:val="none"/>
              </w:rPr>
              <w:t>场容场貌</w:t>
            </w:r>
          </w:p>
        </w:tc>
        <w:tc>
          <w:tcPr>
            <w:tcW w:w="6642" w:type="dxa"/>
            <w:tcBorders>
              <w:right w:val="single" w:color="000000" w:sz="10" w:space="0"/>
            </w:tcBorders>
            <w:vAlign w:val="top"/>
          </w:tcPr>
          <w:p w14:paraId="6218F9AE">
            <w:pPr>
              <w:pStyle w:val="57"/>
              <w:spacing w:before="68" w:line="228" w:lineRule="auto"/>
              <w:ind w:left="124"/>
              <w:rPr>
                <w:color w:val="auto"/>
                <w:highlight w:val="none"/>
              </w:rPr>
            </w:pPr>
            <w:r>
              <w:rPr>
                <w:color w:val="auto"/>
                <w:spacing w:val="2"/>
                <w:highlight w:val="none"/>
              </w:rPr>
              <w:t>1.道路畅通。</w:t>
            </w:r>
          </w:p>
          <w:p w14:paraId="02D29982">
            <w:pPr>
              <w:pStyle w:val="57"/>
              <w:spacing w:before="53" w:line="228" w:lineRule="auto"/>
              <w:ind w:left="111"/>
              <w:rPr>
                <w:color w:val="auto"/>
                <w:highlight w:val="none"/>
              </w:rPr>
            </w:pPr>
            <w:r>
              <w:rPr>
                <w:color w:val="auto"/>
                <w:spacing w:val="6"/>
                <w:highlight w:val="none"/>
              </w:rPr>
              <w:t>2.排水设施齐全畅通。</w:t>
            </w:r>
          </w:p>
          <w:p w14:paraId="5A2B5DA5">
            <w:pPr>
              <w:pStyle w:val="57"/>
              <w:spacing w:before="52" w:line="242" w:lineRule="auto"/>
              <w:ind w:left="109" w:right="96" w:firstLine="3"/>
              <w:rPr>
                <w:color w:val="auto"/>
                <w:highlight w:val="none"/>
              </w:rPr>
            </w:pPr>
            <w:r>
              <w:rPr>
                <w:color w:val="auto"/>
                <w:spacing w:val="10"/>
                <w:highlight w:val="none"/>
              </w:rPr>
              <w:t>3.工地地面硬化处理（办公区、生活区、现场道路、材料堆</w:t>
            </w:r>
            <w:r>
              <w:rPr>
                <w:color w:val="auto"/>
                <w:spacing w:val="9"/>
                <w:highlight w:val="none"/>
              </w:rPr>
              <w:t>放、混凝土搅拌、砂浆搅拌、钢筋加工等场地和外脚</w:t>
            </w:r>
            <w:r>
              <w:rPr>
                <w:color w:val="auto"/>
                <w:spacing w:val="8"/>
                <w:highlight w:val="none"/>
              </w:rPr>
              <w:t>手架基础等）。</w:t>
            </w:r>
          </w:p>
        </w:tc>
      </w:tr>
      <w:tr w14:paraId="5DC2C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750" w:type="dxa"/>
            <w:vMerge w:val="continue"/>
            <w:tcBorders>
              <w:top w:val="nil"/>
              <w:left w:val="single" w:color="000000" w:sz="10" w:space="0"/>
              <w:bottom w:val="nil"/>
            </w:tcBorders>
            <w:vAlign w:val="top"/>
          </w:tcPr>
          <w:p w14:paraId="3663E39D">
            <w:pPr>
              <w:rPr>
                <w:rFonts w:ascii="Arial"/>
                <w:color w:val="auto"/>
                <w:sz w:val="21"/>
                <w:highlight w:val="none"/>
              </w:rPr>
            </w:pPr>
          </w:p>
        </w:tc>
        <w:tc>
          <w:tcPr>
            <w:tcW w:w="2064" w:type="dxa"/>
            <w:gridSpan w:val="2"/>
            <w:vAlign w:val="top"/>
          </w:tcPr>
          <w:p w14:paraId="08D5F27B">
            <w:pPr>
              <w:spacing w:line="303" w:lineRule="auto"/>
              <w:rPr>
                <w:rFonts w:ascii="Arial"/>
                <w:color w:val="auto"/>
                <w:sz w:val="21"/>
                <w:highlight w:val="none"/>
              </w:rPr>
            </w:pPr>
          </w:p>
          <w:p w14:paraId="1DE4E4C0">
            <w:pPr>
              <w:pStyle w:val="57"/>
              <w:spacing w:before="65" w:line="228" w:lineRule="auto"/>
              <w:ind w:left="610"/>
              <w:rPr>
                <w:color w:val="auto"/>
                <w:highlight w:val="none"/>
              </w:rPr>
            </w:pPr>
            <w:r>
              <w:rPr>
                <w:color w:val="auto"/>
                <w:spacing w:val="7"/>
                <w:highlight w:val="none"/>
              </w:rPr>
              <w:t>材料堆放</w:t>
            </w:r>
          </w:p>
        </w:tc>
        <w:tc>
          <w:tcPr>
            <w:tcW w:w="6642" w:type="dxa"/>
            <w:tcBorders>
              <w:right w:val="single" w:color="000000" w:sz="10" w:space="0"/>
            </w:tcBorders>
            <w:vAlign w:val="top"/>
          </w:tcPr>
          <w:p w14:paraId="6A84EEDF">
            <w:pPr>
              <w:pStyle w:val="57"/>
              <w:spacing w:before="70" w:line="226" w:lineRule="auto"/>
              <w:ind w:left="124"/>
              <w:rPr>
                <w:color w:val="auto"/>
                <w:highlight w:val="none"/>
              </w:rPr>
            </w:pPr>
            <w:r>
              <w:rPr>
                <w:color w:val="auto"/>
                <w:spacing w:val="8"/>
                <w:highlight w:val="none"/>
              </w:rPr>
              <w:t>1.材料、构件、料具等堆放时，应有名称、品种、规格等标牌。</w:t>
            </w:r>
          </w:p>
          <w:p w14:paraId="0A83C32A">
            <w:pPr>
              <w:pStyle w:val="57"/>
              <w:spacing w:before="55" w:line="226" w:lineRule="auto"/>
              <w:ind w:left="111"/>
              <w:rPr>
                <w:color w:val="auto"/>
                <w:highlight w:val="none"/>
              </w:rPr>
            </w:pPr>
            <w:r>
              <w:rPr>
                <w:color w:val="auto"/>
                <w:spacing w:val="9"/>
                <w:highlight w:val="none"/>
              </w:rPr>
              <w:t>2.水泥和其它易飞扬细颗粒建筑材料应封闭存放或采取</w:t>
            </w:r>
            <w:r>
              <w:rPr>
                <w:color w:val="auto"/>
                <w:spacing w:val="8"/>
                <w:highlight w:val="none"/>
              </w:rPr>
              <w:t>覆盖等措施。</w:t>
            </w:r>
          </w:p>
          <w:p w14:paraId="617F91AB">
            <w:pPr>
              <w:pStyle w:val="57"/>
              <w:spacing w:before="55" w:line="205" w:lineRule="auto"/>
              <w:ind w:left="112"/>
              <w:rPr>
                <w:color w:val="auto"/>
                <w:highlight w:val="none"/>
              </w:rPr>
            </w:pPr>
            <w:r>
              <w:rPr>
                <w:color w:val="auto"/>
                <w:spacing w:val="8"/>
                <w:highlight w:val="none"/>
              </w:rPr>
              <w:t>3.易燃、易爆和有毒有害物品分类存放。</w:t>
            </w:r>
          </w:p>
        </w:tc>
      </w:tr>
      <w:tr w14:paraId="79B4F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50" w:type="dxa"/>
            <w:vMerge w:val="continue"/>
            <w:tcBorders>
              <w:top w:val="nil"/>
              <w:left w:val="single" w:color="000000" w:sz="10" w:space="0"/>
              <w:bottom w:val="nil"/>
            </w:tcBorders>
            <w:vAlign w:val="top"/>
          </w:tcPr>
          <w:p w14:paraId="170FB22D">
            <w:pPr>
              <w:rPr>
                <w:rFonts w:ascii="Arial"/>
                <w:color w:val="auto"/>
                <w:sz w:val="21"/>
                <w:highlight w:val="none"/>
              </w:rPr>
            </w:pPr>
          </w:p>
        </w:tc>
        <w:tc>
          <w:tcPr>
            <w:tcW w:w="2064" w:type="dxa"/>
            <w:gridSpan w:val="2"/>
            <w:vAlign w:val="top"/>
          </w:tcPr>
          <w:p w14:paraId="460FDF91">
            <w:pPr>
              <w:pStyle w:val="57"/>
              <w:spacing w:before="173" w:line="228" w:lineRule="auto"/>
              <w:ind w:left="612"/>
              <w:rPr>
                <w:color w:val="auto"/>
                <w:highlight w:val="none"/>
              </w:rPr>
            </w:pPr>
            <w:r>
              <w:rPr>
                <w:color w:val="auto"/>
                <w:spacing w:val="6"/>
                <w:highlight w:val="none"/>
              </w:rPr>
              <w:t>现场防火</w:t>
            </w:r>
          </w:p>
        </w:tc>
        <w:tc>
          <w:tcPr>
            <w:tcW w:w="6642" w:type="dxa"/>
            <w:tcBorders>
              <w:right w:val="single" w:color="000000" w:sz="10" w:space="0"/>
            </w:tcBorders>
            <w:vAlign w:val="top"/>
          </w:tcPr>
          <w:p w14:paraId="621E4440">
            <w:pPr>
              <w:pStyle w:val="57"/>
              <w:spacing w:before="172" w:line="228" w:lineRule="auto"/>
              <w:ind w:left="112"/>
              <w:rPr>
                <w:color w:val="auto"/>
                <w:highlight w:val="none"/>
              </w:rPr>
            </w:pPr>
            <w:r>
              <w:rPr>
                <w:color w:val="auto"/>
                <w:spacing w:val="8"/>
                <w:highlight w:val="none"/>
              </w:rPr>
              <w:t>消防器材配置合理，符合消防要求。</w:t>
            </w:r>
          </w:p>
        </w:tc>
      </w:tr>
      <w:tr w14:paraId="4EC28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50" w:type="dxa"/>
            <w:vMerge w:val="continue"/>
            <w:tcBorders>
              <w:top w:val="nil"/>
              <w:left w:val="single" w:color="000000" w:sz="10" w:space="0"/>
              <w:bottom w:val="nil"/>
            </w:tcBorders>
            <w:vAlign w:val="top"/>
          </w:tcPr>
          <w:p w14:paraId="7ED029F0">
            <w:pPr>
              <w:rPr>
                <w:rFonts w:ascii="Arial"/>
                <w:color w:val="auto"/>
                <w:sz w:val="21"/>
                <w:highlight w:val="none"/>
              </w:rPr>
            </w:pPr>
          </w:p>
        </w:tc>
        <w:tc>
          <w:tcPr>
            <w:tcW w:w="2064" w:type="dxa"/>
            <w:gridSpan w:val="2"/>
            <w:vAlign w:val="top"/>
          </w:tcPr>
          <w:p w14:paraId="0F0E1C0C">
            <w:pPr>
              <w:pStyle w:val="57"/>
              <w:spacing w:before="223" w:line="229" w:lineRule="auto"/>
              <w:ind w:left="612"/>
              <w:rPr>
                <w:color w:val="auto"/>
                <w:highlight w:val="none"/>
              </w:rPr>
            </w:pPr>
            <w:r>
              <w:rPr>
                <w:color w:val="auto"/>
                <w:spacing w:val="6"/>
                <w:highlight w:val="none"/>
              </w:rPr>
              <w:t>垃圾清运</w:t>
            </w:r>
          </w:p>
        </w:tc>
        <w:tc>
          <w:tcPr>
            <w:tcW w:w="6642" w:type="dxa"/>
            <w:tcBorders>
              <w:right w:val="single" w:color="000000" w:sz="10" w:space="0"/>
            </w:tcBorders>
            <w:vAlign w:val="top"/>
          </w:tcPr>
          <w:p w14:paraId="3A905DBF">
            <w:pPr>
              <w:pStyle w:val="57"/>
              <w:spacing w:before="74" w:line="228" w:lineRule="auto"/>
              <w:ind w:left="124"/>
              <w:rPr>
                <w:color w:val="auto"/>
                <w:highlight w:val="none"/>
              </w:rPr>
            </w:pPr>
            <w:r>
              <w:rPr>
                <w:color w:val="auto"/>
                <w:spacing w:val="8"/>
                <w:highlight w:val="none"/>
              </w:rPr>
              <w:t>1.施工现场应设置密闭式垃圾站，施工垃圾、生活垃圾应分类存放。</w:t>
            </w:r>
          </w:p>
          <w:p w14:paraId="39892434">
            <w:pPr>
              <w:pStyle w:val="57"/>
              <w:spacing w:before="52" w:line="203" w:lineRule="auto"/>
              <w:ind w:left="111"/>
              <w:rPr>
                <w:color w:val="auto"/>
                <w:highlight w:val="none"/>
              </w:rPr>
            </w:pPr>
            <w:r>
              <w:rPr>
                <w:color w:val="auto"/>
                <w:spacing w:val="8"/>
                <w:highlight w:val="none"/>
              </w:rPr>
              <w:t>2.施工垃圾必须采用相应容器或管道运输。</w:t>
            </w:r>
          </w:p>
        </w:tc>
      </w:tr>
      <w:tr w14:paraId="02631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50" w:type="dxa"/>
            <w:vMerge w:val="continue"/>
            <w:tcBorders>
              <w:top w:val="nil"/>
              <w:left w:val="single" w:color="000000" w:sz="10" w:space="0"/>
            </w:tcBorders>
            <w:vAlign w:val="top"/>
          </w:tcPr>
          <w:p w14:paraId="55AEE4E6">
            <w:pPr>
              <w:rPr>
                <w:rFonts w:ascii="Arial"/>
                <w:color w:val="auto"/>
                <w:sz w:val="21"/>
                <w:highlight w:val="none"/>
              </w:rPr>
            </w:pPr>
          </w:p>
        </w:tc>
        <w:tc>
          <w:tcPr>
            <w:tcW w:w="2064" w:type="dxa"/>
            <w:gridSpan w:val="2"/>
            <w:vAlign w:val="top"/>
          </w:tcPr>
          <w:p w14:paraId="7439589B">
            <w:pPr>
              <w:pStyle w:val="57"/>
              <w:spacing w:before="74"/>
              <w:ind w:left="124" w:right="110" w:hanging="17"/>
              <w:rPr>
                <w:color w:val="auto"/>
                <w:highlight w:val="none"/>
              </w:rPr>
            </w:pPr>
            <w:r>
              <w:rPr>
                <w:color w:val="auto"/>
                <w:spacing w:val="4"/>
                <w:highlight w:val="none"/>
              </w:rPr>
              <w:t xml:space="preserve">宣传栏、环保及不扰 </w:t>
            </w:r>
            <w:r>
              <w:rPr>
                <w:color w:val="auto"/>
                <w:highlight w:val="none"/>
              </w:rPr>
              <w:t>民措施</w:t>
            </w:r>
          </w:p>
        </w:tc>
        <w:tc>
          <w:tcPr>
            <w:tcW w:w="6642" w:type="dxa"/>
            <w:tcBorders>
              <w:right w:val="single" w:color="000000" w:sz="10" w:space="0"/>
            </w:tcBorders>
            <w:vAlign w:val="top"/>
          </w:tcPr>
          <w:p w14:paraId="519F36A0">
            <w:pPr>
              <w:pStyle w:val="57"/>
              <w:spacing w:before="74"/>
              <w:ind w:left="109" w:right="96" w:firstLine="2"/>
              <w:rPr>
                <w:color w:val="auto"/>
                <w:highlight w:val="none"/>
              </w:rPr>
            </w:pPr>
            <w:r>
              <w:rPr>
                <w:color w:val="auto"/>
                <w:spacing w:val="7"/>
                <w:highlight w:val="none"/>
              </w:rPr>
              <w:t>宣传栏、安全宣传标语等，洗车（防止污染市区道路）、粉尘、噪声控</w:t>
            </w:r>
            <w:r>
              <w:rPr>
                <w:color w:val="auto"/>
                <w:highlight w:val="none"/>
              </w:rPr>
              <w:t xml:space="preserve"> </w:t>
            </w:r>
            <w:r>
              <w:rPr>
                <w:color w:val="auto"/>
                <w:spacing w:val="8"/>
                <w:highlight w:val="none"/>
              </w:rPr>
              <w:t>制和排污（污水、废气）措施等。</w:t>
            </w:r>
          </w:p>
        </w:tc>
      </w:tr>
      <w:tr w14:paraId="6F527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750" w:type="dxa"/>
            <w:vMerge w:val="restart"/>
            <w:tcBorders>
              <w:left w:val="single" w:color="000000" w:sz="10" w:space="0"/>
              <w:bottom w:val="nil"/>
            </w:tcBorders>
            <w:vAlign w:val="top"/>
          </w:tcPr>
          <w:p w14:paraId="6FEA4D91">
            <w:pPr>
              <w:spacing w:line="243" w:lineRule="auto"/>
              <w:rPr>
                <w:rFonts w:ascii="Arial"/>
                <w:color w:val="auto"/>
                <w:sz w:val="21"/>
                <w:highlight w:val="none"/>
              </w:rPr>
            </w:pPr>
          </w:p>
          <w:p w14:paraId="3BBFFED4">
            <w:pPr>
              <w:spacing w:line="243" w:lineRule="auto"/>
              <w:rPr>
                <w:rFonts w:ascii="Arial"/>
                <w:color w:val="auto"/>
                <w:sz w:val="21"/>
                <w:highlight w:val="none"/>
              </w:rPr>
            </w:pPr>
          </w:p>
          <w:p w14:paraId="635CA4D4">
            <w:pPr>
              <w:spacing w:line="244" w:lineRule="auto"/>
              <w:rPr>
                <w:rFonts w:ascii="Arial"/>
                <w:color w:val="auto"/>
                <w:sz w:val="21"/>
                <w:highlight w:val="none"/>
              </w:rPr>
            </w:pPr>
          </w:p>
          <w:p w14:paraId="1010139E">
            <w:pPr>
              <w:spacing w:line="244" w:lineRule="auto"/>
              <w:rPr>
                <w:rFonts w:ascii="Arial"/>
                <w:color w:val="auto"/>
                <w:sz w:val="21"/>
                <w:highlight w:val="none"/>
              </w:rPr>
            </w:pPr>
          </w:p>
          <w:p w14:paraId="021D9607">
            <w:pPr>
              <w:spacing w:line="244" w:lineRule="auto"/>
              <w:rPr>
                <w:rFonts w:ascii="Arial"/>
                <w:color w:val="auto"/>
                <w:sz w:val="21"/>
                <w:highlight w:val="none"/>
              </w:rPr>
            </w:pPr>
          </w:p>
          <w:p w14:paraId="191FD043">
            <w:pPr>
              <w:spacing w:line="244" w:lineRule="auto"/>
              <w:rPr>
                <w:rFonts w:ascii="Arial"/>
                <w:color w:val="auto"/>
                <w:sz w:val="21"/>
                <w:highlight w:val="none"/>
              </w:rPr>
            </w:pPr>
          </w:p>
          <w:p w14:paraId="6D0551AD">
            <w:pPr>
              <w:spacing w:line="244" w:lineRule="auto"/>
              <w:rPr>
                <w:rFonts w:ascii="Arial"/>
                <w:color w:val="auto"/>
                <w:sz w:val="21"/>
                <w:highlight w:val="none"/>
              </w:rPr>
            </w:pPr>
          </w:p>
          <w:p w14:paraId="066D1228">
            <w:pPr>
              <w:spacing w:line="244" w:lineRule="auto"/>
              <w:rPr>
                <w:rFonts w:ascii="Arial"/>
                <w:color w:val="auto"/>
                <w:sz w:val="21"/>
                <w:highlight w:val="none"/>
              </w:rPr>
            </w:pPr>
          </w:p>
          <w:p w14:paraId="7435A013">
            <w:pPr>
              <w:pStyle w:val="57"/>
              <w:spacing w:before="65" w:line="228" w:lineRule="auto"/>
              <w:ind w:left="169"/>
              <w:rPr>
                <w:color w:val="auto"/>
                <w:highlight w:val="none"/>
              </w:rPr>
            </w:pPr>
            <w:r>
              <w:rPr>
                <w:color w:val="auto"/>
                <w:spacing w:val="-1"/>
                <w:highlight w:val="none"/>
              </w:rPr>
              <w:t>临时</w:t>
            </w:r>
          </w:p>
          <w:p w14:paraId="1E166F30">
            <w:pPr>
              <w:pStyle w:val="57"/>
              <w:spacing w:before="52" w:line="230" w:lineRule="auto"/>
              <w:ind w:left="160"/>
              <w:rPr>
                <w:color w:val="auto"/>
                <w:highlight w:val="none"/>
              </w:rPr>
            </w:pPr>
            <w:r>
              <w:rPr>
                <w:color w:val="auto"/>
                <w:spacing w:val="3"/>
                <w:highlight w:val="none"/>
              </w:rPr>
              <w:t>设施</w:t>
            </w:r>
          </w:p>
        </w:tc>
        <w:tc>
          <w:tcPr>
            <w:tcW w:w="2064" w:type="dxa"/>
            <w:gridSpan w:val="2"/>
            <w:vAlign w:val="top"/>
          </w:tcPr>
          <w:p w14:paraId="33409F76">
            <w:pPr>
              <w:pStyle w:val="57"/>
              <w:spacing w:before="224" w:line="228" w:lineRule="auto"/>
              <w:ind w:left="612"/>
              <w:rPr>
                <w:color w:val="auto"/>
                <w:highlight w:val="none"/>
              </w:rPr>
            </w:pPr>
            <w:r>
              <w:rPr>
                <w:color w:val="auto"/>
                <w:spacing w:val="6"/>
                <w:highlight w:val="none"/>
              </w:rPr>
              <w:t>现场办公</w:t>
            </w:r>
          </w:p>
          <w:p w14:paraId="7BA443BC">
            <w:pPr>
              <w:pStyle w:val="57"/>
              <w:spacing w:before="52" w:line="229" w:lineRule="auto"/>
              <w:ind w:left="612"/>
              <w:rPr>
                <w:color w:val="auto"/>
                <w:highlight w:val="none"/>
              </w:rPr>
            </w:pPr>
            <w:r>
              <w:rPr>
                <w:color w:val="auto"/>
                <w:spacing w:val="6"/>
                <w:highlight w:val="none"/>
              </w:rPr>
              <w:t>生活设施</w:t>
            </w:r>
          </w:p>
        </w:tc>
        <w:tc>
          <w:tcPr>
            <w:tcW w:w="6642" w:type="dxa"/>
            <w:tcBorders>
              <w:right w:val="single" w:color="000000" w:sz="10" w:space="0"/>
            </w:tcBorders>
            <w:vAlign w:val="top"/>
          </w:tcPr>
          <w:p w14:paraId="35FD4915">
            <w:pPr>
              <w:pStyle w:val="57"/>
              <w:spacing w:before="76" w:line="228" w:lineRule="auto"/>
              <w:ind w:left="124"/>
              <w:rPr>
                <w:color w:val="auto"/>
                <w:highlight w:val="none"/>
              </w:rPr>
            </w:pPr>
            <w:r>
              <w:rPr>
                <w:color w:val="auto"/>
                <w:spacing w:val="8"/>
                <w:highlight w:val="none"/>
              </w:rPr>
              <w:t>1.施工现场办公、生活区与作业区分开设置，保持安全距离。</w:t>
            </w:r>
          </w:p>
          <w:p w14:paraId="3B6F398B">
            <w:pPr>
              <w:pStyle w:val="57"/>
              <w:spacing w:before="52" w:line="239" w:lineRule="auto"/>
              <w:ind w:left="109" w:right="96" w:firstLine="1"/>
              <w:rPr>
                <w:color w:val="auto"/>
                <w:highlight w:val="none"/>
              </w:rPr>
            </w:pPr>
            <w:r>
              <w:rPr>
                <w:color w:val="auto"/>
                <w:spacing w:val="10"/>
                <w:highlight w:val="none"/>
              </w:rPr>
              <w:t>2.工地办公室、现场宿舍、食堂、厕所、饮水、沐浴、休息场</w:t>
            </w:r>
            <w:r>
              <w:rPr>
                <w:color w:val="auto"/>
                <w:spacing w:val="9"/>
                <w:highlight w:val="none"/>
              </w:rPr>
              <w:t>所等符</w:t>
            </w:r>
            <w:r>
              <w:rPr>
                <w:color w:val="auto"/>
                <w:highlight w:val="none"/>
              </w:rPr>
              <w:t xml:space="preserve"> </w:t>
            </w:r>
            <w:r>
              <w:rPr>
                <w:color w:val="auto"/>
                <w:spacing w:val="8"/>
                <w:highlight w:val="none"/>
              </w:rPr>
              <w:t>合卫生、消防安全要求。</w:t>
            </w:r>
          </w:p>
        </w:tc>
      </w:tr>
      <w:tr w14:paraId="341FF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750" w:type="dxa"/>
            <w:vMerge w:val="continue"/>
            <w:tcBorders>
              <w:top w:val="nil"/>
              <w:left w:val="single" w:color="000000" w:sz="10" w:space="0"/>
              <w:bottom w:val="nil"/>
            </w:tcBorders>
            <w:vAlign w:val="top"/>
          </w:tcPr>
          <w:p w14:paraId="3F6DB14C">
            <w:pPr>
              <w:rPr>
                <w:rFonts w:ascii="Arial"/>
                <w:color w:val="auto"/>
                <w:sz w:val="21"/>
                <w:highlight w:val="none"/>
              </w:rPr>
            </w:pPr>
          </w:p>
        </w:tc>
        <w:tc>
          <w:tcPr>
            <w:tcW w:w="523" w:type="dxa"/>
            <w:vMerge w:val="restart"/>
            <w:tcBorders>
              <w:bottom w:val="nil"/>
            </w:tcBorders>
            <w:textDirection w:val="tbRlV"/>
            <w:vAlign w:val="top"/>
          </w:tcPr>
          <w:p w14:paraId="0DC159EB">
            <w:pPr>
              <w:pStyle w:val="57"/>
              <w:spacing w:before="165" w:line="216" w:lineRule="auto"/>
              <w:ind w:left="674"/>
              <w:rPr>
                <w:color w:val="auto"/>
                <w:highlight w:val="none"/>
              </w:rPr>
            </w:pPr>
            <w:r>
              <w:rPr>
                <w:color w:val="auto"/>
                <w:spacing w:val="7"/>
                <w:highlight w:val="none"/>
              </w:rPr>
              <w:t>施 工</w:t>
            </w:r>
            <w:r>
              <w:rPr>
                <w:color w:val="auto"/>
                <w:spacing w:val="-7"/>
                <w:highlight w:val="none"/>
              </w:rPr>
              <w:t xml:space="preserve"> </w:t>
            </w:r>
            <w:r>
              <w:rPr>
                <w:color w:val="auto"/>
                <w:spacing w:val="7"/>
                <w:highlight w:val="none"/>
              </w:rPr>
              <w:t>现</w:t>
            </w:r>
            <w:r>
              <w:rPr>
                <w:color w:val="auto"/>
                <w:spacing w:val="-9"/>
                <w:highlight w:val="none"/>
              </w:rPr>
              <w:t xml:space="preserve"> </w:t>
            </w:r>
            <w:r>
              <w:rPr>
                <w:color w:val="auto"/>
                <w:spacing w:val="7"/>
                <w:highlight w:val="none"/>
              </w:rPr>
              <w:t>场</w:t>
            </w:r>
            <w:r>
              <w:rPr>
                <w:color w:val="auto"/>
                <w:spacing w:val="-10"/>
                <w:highlight w:val="none"/>
              </w:rPr>
              <w:t xml:space="preserve"> </w:t>
            </w:r>
            <w:r>
              <w:rPr>
                <w:color w:val="auto"/>
                <w:spacing w:val="7"/>
                <w:highlight w:val="none"/>
              </w:rPr>
              <w:t>临</w:t>
            </w:r>
            <w:r>
              <w:rPr>
                <w:color w:val="auto"/>
                <w:spacing w:val="-10"/>
                <w:highlight w:val="none"/>
              </w:rPr>
              <w:t xml:space="preserve"> </w:t>
            </w:r>
            <w:r>
              <w:rPr>
                <w:color w:val="auto"/>
                <w:spacing w:val="7"/>
                <w:highlight w:val="none"/>
              </w:rPr>
              <w:t>时</w:t>
            </w:r>
            <w:r>
              <w:rPr>
                <w:color w:val="auto"/>
                <w:spacing w:val="-9"/>
                <w:highlight w:val="none"/>
              </w:rPr>
              <w:t xml:space="preserve"> </w:t>
            </w:r>
            <w:r>
              <w:rPr>
                <w:color w:val="auto"/>
                <w:spacing w:val="7"/>
                <w:highlight w:val="none"/>
              </w:rPr>
              <w:t>用</w:t>
            </w:r>
            <w:r>
              <w:rPr>
                <w:color w:val="auto"/>
                <w:spacing w:val="-10"/>
                <w:highlight w:val="none"/>
              </w:rPr>
              <w:t xml:space="preserve"> </w:t>
            </w:r>
            <w:r>
              <w:rPr>
                <w:color w:val="auto"/>
                <w:spacing w:val="7"/>
                <w:highlight w:val="none"/>
              </w:rPr>
              <w:t>电</w:t>
            </w:r>
          </w:p>
        </w:tc>
        <w:tc>
          <w:tcPr>
            <w:tcW w:w="1541" w:type="dxa"/>
            <w:vAlign w:val="top"/>
          </w:tcPr>
          <w:p w14:paraId="48BAABDC">
            <w:pPr>
              <w:spacing w:line="461" w:lineRule="auto"/>
              <w:rPr>
                <w:rFonts w:ascii="Arial"/>
                <w:color w:val="auto"/>
                <w:sz w:val="21"/>
                <w:highlight w:val="none"/>
              </w:rPr>
            </w:pPr>
          </w:p>
          <w:p w14:paraId="199A4B87">
            <w:pPr>
              <w:pStyle w:val="57"/>
              <w:spacing w:before="65" w:line="228" w:lineRule="auto"/>
              <w:ind w:left="348"/>
              <w:rPr>
                <w:color w:val="auto"/>
                <w:highlight w:val="none"/>
              </w:rPr>
            </w:pPr>
            <w:r>
              <w:rPr>
                <w:color w:val="auto"/>
                <w:spacing w:val="7"/>
                <w:highlight w:val="none"/>
              </w:rPr>
              <w:t>配电线路</w:t>
            </w:r>
          </w:p>
        </w:tc>
        <w:tc>
          <w:tcPr>
            <w:tcW w:w="6642" w:type="dxa"/>
            <w:tcBorders>
              <w:right w:val="single" w:color="000000" w:sz="10" w:space="0"/>
            </w:tcBorders>
            <w:vAlign w:val="top"/>
          </w:tcPr>
          <w:p w14:paraId="4FBA7C06">
            <w:pPr>
              <w:pStyle w:val="57"/>
              <w:spacing w:before="77" w:line="228" w:lineRule="auto"/>
              <w:ind w:left="124"/>
              <w:rPr>
                <w:color w:val="auto"/>
                <w:highlight w:val="none"/>
              </w:rPr>
            </w:pPr>
            <w:r>
              <w:rPr>
                <w:color w:val="auto"/>
                <w:spacing w:val="7"/>
                <w:highlight w:val="none"/>
              </w:rPr>
              <w:t>1.按照</w:t>
            </w:r>
            <w:r>
              <w:rPr>
                <w:color w:val="auto"/>
                <w:spacing w:val="-27"/>
                <w:highlight w:val="none"/>
              </w:rPr>
              <w:t xml:space="preserve"> </w:t>
            </w:r>
            <w:r>
              <w:rPr>
                <w:color w:val="auto"/>
                <w:highlight w:val="none"/>
              </w:rPr>
              <w:t>TN</w:t>
            </w:r>
            <w:r>
              <w:rPr>
                <w:color w:val="auto"/>
                <w:spacing w:val="7"/>
                <w:highlight w:val="none"/>
              </w:rPr>
              <w:t>-S</w:t>
            </w:r>
            <w:r>
              <w:rPr>
                <w:color w:val="auto"/>
                <w:spacing w:val="-36"/>
                <w:highlight w:val="none"/>
              </w:rPr>
              <w:t xml:space="preserve"> </w:t>
            </w:r>
            <w:r>
              <w:rPr>
                <w:color w:val="auto"/>
                <w:spacing w:val="7"/>
                <w:highlight w:val="none"/>
              </w:rPr>
              <w:t>系统要求配备五芯电缆、四芯电缆和三芯电缆。</w:t>
            </w:r>
          </w:p>
          <w:p w14:paraId="61C86A60">
            <w:pPr>
              <w:pStyle w:val="57"/>
              <w:spacing w:before="52" w:line="253" w:lineRule="auto"/>
              <w:ind w:left="108" w:right="96" w:firstLine="2"/>
              <w:rPr>
                <w:color w:val="auto"/>
                <w:highlight w:val="none"/>
              </w:rPr>
            </w:pPr>
            <w:r>
              <w:rPr>
                <w:color w:val="auto"/>
                <w:spacing w:val="10"/>
                <w:highlight w:val="none"/>
              </w:rPr>
              <w:t>2.按要求架设临时用电线路的电杆、横担、瓷夹、瓷瓶等，或</w:t>
            </w:r>
            <w:r>
              <w:rPr>
                <w:color w:val="auto"/>
                <w:spacing w:val="9"/>
                <w:highlight w:val="none"/>
              </w:rPr>
              <w:t>电缆埋</w:t>
            </w:r>
            <w:r>
              <w:rPr>
                <w:color w:val="auto"/>
                <w:spacing w:val="5"/>
                <w:highlight w:val="none"/>
              </w:rPr>
              <w:t>地的地沟。</w:t>
            </w:r>
          </w:p>
          <w:p w14:paraId="6559AE14">
            <w:pPr>
              <w:pStyle w:val="57"/>
              <w:spacing w:before="52" w:line="198" w:lineRule="auto"/>
              <w:ind w:right="2"/>
              <w:jc w:val="right"/>
              <w:rPr>
                <w:color w:val="auto"/>
                <w:highlight w:val="none"/>
              </w:rPr>
            </w:pPr>
            <w:r>
              <w:rPr>
                <w:rFonts w:hint="eastAsia"/>
                <w:color w:val="auto"/>
                <w:spacing w:val="6"/>
                <w:highlight w:val="none"/>
                <w:lang w:val="en-US" w:eastAsia="zh-CN"/>
              </w:rPr>
              <w:t xml:space="preserve"> </w:t>
            </w:r>
            <w:r>
              <w:rPr>
                <w:color w:val="auto"/>
                <w:spacing w:val="6"/>
                <w:highlight w:val="none"/>
              </w:rPr>
              <w:t>3.对靠近施工现场的外电线路，设置木质、塑料等绝缘体的防护设施。</w:t>
            </w:r>
          </w:p>
        </w:tc>
      </w:tr>
      <w:tr w14:paraId="0B0E6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1" w:hRule="atLeast"/>
        </w:trPr>
        <w:tc>
          <w:tcPr>
            <w:tcW w:w="750" w:type="dxa"/>
            <w:vMerge w:val="continue"/>
            <w:tcBorders>
              <w:top w:val="nil"/>
              <w:left w:val="single" w:color="000000" w:sz="10" w:space="0"/>
              <w:bottom w:val="nil"/>
            </w:tcBorders>
            <w:vAlign w:val="top"/>
          </w:tcPr>
          <w:p w14:paraId="3D890024">
            <w:pPr>
              <w:rPr>
                <w:rFonts w:ascii="Arial"/>
                <w:color w:val="auto"/>
                <w:sz w:val="21"/>
                <w:highlight w:val="none"/>
              </w:rPr>
            </w:pPr>
          </w:p>
        </w:tc>
        <w:tc>
          <w:tcPr>
            <w:tcW w:w="523" w:type="dxa"/>
            <w:vMerge w:val="continue"/>
            <w:tcBorders>
              <w:top w:val="nil"/>
              <w:bottom w:val="nil"/>
            </w:tcBorders>
            <w:textDirection w:val="tbRlV"/>
            <w:vAlign w:val="top"/>
          </w:tcPr>
          <w:p w14:paraId="5A29AE43">
            <w:pPr>
              <w:rPr>
                <w:rFonts w:ascii="Arial"/>
                <w:color w:val="auto"/>
                <w:sz w:val="21"/>
                <w:highlight w:val="none"/>
              </w:rPr>
            </w:pPr>
          </w:p>
        </w:tc>
        <w:tc>
          <w:tcPr>
            <w:tcW w:w="1541" w:type="dxa"/>
            <w:vAlign w:val="top"/>
          </w:tcPr>
          <w:p w14:paraId="726A0B0A">
            <w:pPr>
              <w:spacing w:line="305" w:lineRule="auto"/>
              <w:rPr>
                <w:rFonts w:ascii="Arial"/>
                <w:color w:val="auto"/>
                <w:sz w:val="21"/>
                <w:highlight w:val="none"/>
              </w:rPr>
            </w:pPr>
          </w:p>
          <w:p w14:paraId="7B5868D4">
            <w:pPr>
              <w:spacing w:line="306" w:lineRule="auto"/>
              <w:rPr>
                <w:rFonts w:ascii="Arial"/>
                <w:color w:val="auto"/>
                <w:sz w:val="21"/>
                <w:highlight w:val="none"/>
              </w:rPr>
            </w:pPr>
          </w:p>
          <w:p w14:paraId="306A2716">
            <w:pPr>
              <w:pStyle w:val="57"/>
              <w:spacing w:before="65" w:line="229" w:lineRule="auto"/>
              <w:ind w:left="454"/>
              <w:rPr>
                <w:color w:val="auto"/>
                <w:highlight w:val="none"/>
              </w:rPr>
            </w:pPr>
            <w:r>
              <w:rPr>
                <w:color w:val="auto"/>
                <w:spacing w:val="6"/>
                <w:highlight w:val="none"/>
              </w:rPr>
              <w:t>配电箱</w:t>
            </w:r>
          </w:p>
          <w:p w14:paraId="591C5006">
            <w:pPr>
              <w:pStyle w:val="57"/>
              <w:spacing w:before="51" w:line="229" w:lineRule="auto"/>
              <w:ind w:left="455"/>
              <w:rPr>
                <w:color w:val="auto"/>
                <w:highlight w:val="none"/>
              </w:rPr>
            </w:pPr>
            <w:r>
              <w:rPr>
                <w:color w:val="auto"/>
                <w:spacing w:val="6"/>
                <w:highlight w:val="none"/>
              </w:rPr>
              <w:t>开关箱</w:t>
            </w:r>
          </w:p>
        </w:tc>
        <w:tc>
          <w:tcPr>
            <w:tcW w:w="6642" w:type="dxa"/>
            <w:tcBorders>
              <w:right w:val="single" w:color="000000" w:sz="10" w:space="0"/>
            </w:tcBorders>
            <w:vAlign w:val="top"/>
          </w:tcPr>
          <w:p w14:paraId="3C841AD9">
            <w:pPr>
              <w:pStyle w:val="57"/>
              <w:spacing w:before="79" w:line="261" w:lineRule="auto"/>
              <w:ind w:left="109" w:right="99" w:firstLine="14"/>
              <w:rPr>
                <w:color w:val="auto"/>
                <w:highlight w:val="none"/>
              </w:rPr>
            </w:pPr>
            <w:r>
              <w:rPr>
                <w:color w:val="auto"/>
                <w:spacing w:val="9"/>
                <w:highlight w:val="none"/>
              </w:rPr>
              <w:t>1.按三级配电要求，配备总配电箱、分配电箱、开关箱三类（铁</w:t>
            </w:r>
            <w:r>
              <w:rPr>
                <w:color w:val="auto"/>
                <w:spacing w:val="8"/>
                <w:highlight w:val="none"/>
              </w:rPr>
              <w:t>质）</w:t>
            </w:r>
            <w:r>
              <w:rPr>
                <w:color w:val="auto"/>
                <w:highlight w:val="none"/>
              </w:rPr>
              <w:t xml:space="preserve"> </w:t>
            </w:r>
            <w:r>
              <w:rPr>
                <w:color w:val="auto"/>
                <w:spacing w:val="6"/>
                <w:highlight w:val="none"/>
              </w:rPr>
              <w:t>标准电箱，开关箱应符合“一机、一箱、一闸、一漏</w:t>
            </w:r>
            <w:r>
              <w:rPr>
                <w:color w:val="auto"/>
                <w:spacing w:val="-69"/>
                <w:highlight w:val="none"/>
              </w:rPr>
              <w:t xml:space="preserve"> </w:t>
            </w:r>
            <w:r>
              <w:rPr>
                <w:color w:val="auto"/>
                <w:spacing w:val="6"/>
                <w:highlight w:val="none"/>
              </w:rPr>
              <w:t>”，三类电箱中的</w:t>
            </w:r>
            <w:r>
              <w:rPr>
                <w:color w:val="auto"/>
                <w:spacing w:val="7"/>
                <w:highlight w:val="none"/>
              </w:rPr>
              <w:t>各类电器应是合格品。</w:t>
            </w:r>
          </w:p>
          <w:p w14:paraId="20ED2AD2">
            <w:pPr>
              <w:pStyle w:val="57"/>
              <w:spacing w:before="52" w:line="253" w:lineRule="auto"/>
              <w:ind w:left="111" w:right="96"/>
              <w:rPr>
                <w:color w:val="auto"/>
                <w:highlight w:val="none"/>
              </w:rPr>
            </w:pPr>
            <w:r>
              <w:rPr>
                <w:color w:val="auto"/>
                <w:spacing w:val="10"/>
                <w:highlight w:val="none"/>
              </w:rPr>
              <w:t>2.按两级保护的要求，选取符合容量要求和质量合格的总配电</w:t>
            </w:r>
            <w:r>
              <w:rPr>
                <w:color w:val="auto"/>
                <w:spacing w:val="9"/>
                <w:highlight w:val="none"/>
              </w:rPr>
              <w:t>箱和开</w:t>
            </w:r>
            <w:r>
              <w:rPr>
                <w:color w:val="auto"/>
                <w:spacing w:val="7"/>
                <w:highlight w:val="none"/>
              </w:rPr>
              <w:t>关箱中的漏电保护器。</w:t>
            </w:r>
          </w:p>
          <w:p w14:paraId="5479CF30">
            <w:pPr>
              <w:pStyle w:val="57"/>
              <w:spacing w:before="51" w:line="195" w:lineRule="auto"/>
              <w:ind w:left="112"/>
              <w:rPr>
                <w:color w:val="auto"/>
                <w:highlight w:val="none"/>
              </w:rPr>
            </w:pPr>
            <w:r>
              <w:rPr>
                <w:color w:val="auto"/>
                <w:spacing w:val="9"/>
                <w:highlight w:val="none"/>
              </w:rPr>
              <w:t>3.对大型、落地式分配电箱、开关箱设置防</w:t>
            </w:r>
            <w:r>
              <w:rPr>
                <w:color w:val="auto"/>
                <w:spacing w:val="8"/>
                <w:highlight w:val="none"/>
              </w:rPr>
              <w:t>护棚和通透式围挡。</w:t>
            </w:r>
          </w:p>
        </w:tc>
      </w:tr>
      <w:tr w14:paraId="42C9D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750" w:type="dxa"/>
            <w:vMerge w:val="continue"/>
            <w:tcBorders>
              <w:top w:val="nil"/>
              <w:left w:val="single" w:color="000000" w:sz="10" w:space="0"/>
              <w:bottom w:val="single" w:color="000000" w:sz="10" w:space="0"/>
            </w:tcBorders>
            <w:vAlign w:val="top"/>
          </w:tcPr>
          <w:p w14:paraId="3D2A62AF">
            <w:pPr>
              <w:rPr>
                <w:rFonts w:ascii="Arial"/>
                <w:color w:val="auto"/>
                <w:sz w:val="21"/>
                <w:highlight w:val="none"/>
              </w:rPr>
            </w:pPr>
          </w:p>
        </w:tc>
        <w:tc>
          <w:tcPr>
            <w:tcW w:w="523" w:type="dxa"/>
            <w:vMerge w:val="continue"/>
            <w:tcBorders>
              <w:top w:val="nil"/>
              <w:bottom w:val="single" w:color="000000" w:sz="10" w:space="0"/>
            </w:tcBorders>
            <w:textDirection w:val="tbRlV"/>
            <w:vAlign w:val="top"/>
          </w:tcPr>
          <w:p w14:paraId="66A755B0">
            <w:pPr>
              <w:rPr>
                <w:rFonts w:ascii="Arial"/>
                <w:color w:val="auto"/>
                <w:sz w:val="21"/>
                <w:highlight w:val="none"/>
              </w:rPr>
            </w:pPr>
          </w:p>
        </w:tc>
        <w:tc>
          <w:tcPr>
            <w:tcW w:w="1541" w:type="dxa"/>
            <w:tcBorders>
              <w:bottom w:val="single" w:color="000000" w:sz="10" w:space="0"/>
            </w:tcBorders>
            <w:vAlign w:val="top"/>
          </w:tcPr>
          <w:p w14:paraId="64111E0E">
            <w:pPr>
              <w:pStyle w:val="57"/>
              <w:spacing w:before="220" w:line="228" w:lineRule="auto"/>
              <w:ind w:left="348"/>
              <w:rPr>
                <w:color w:val="auto"/>
                <w:highlight w:val="none"/>
              </w:rPr>
            </w:pPr>
            <w:r>
              <w:rPr>
                <w:color w:val="auto"/>
                <w:spacing w:val="7"/>
                <w:highlight w:val="none"/>
              </w:rPr>
              <w:t>接地装置</w:t>
            </w:r>
          </w:p>
        </w:tc>
        <w:tc>
          <w:tcPr>
            <w:tcW w:w="6642" w:type="dxa"/>
            <w:tcBorders>
              <w:bottom w:val="single" w:color="000000" w:sz="10" w:space="0"/>
              <w:right w:val="single" w:color="000000" w:sz="10" w:space="0"/>
            </w:tcBorders>
            <w:vAlign w:val="top"/>
          </w:tcPr>
          <w:p w14:paraId="42B91778">
            <w:pPr>
              <w:pStyle w:val="57"/>
              <w:spacing w:before="220" w:line="228" w:lineRule="auto"/>
              <w:ind w:left="107"/>
              <w:rPr>
                <w:color w:val="auto"/>
                <w:highlight w:val="none"/>
              </w:rPr>
            </w:pPr>
            <w:r>
              <w:rPr>
                <w:color w:val="auto"/>
                <w:spacing w:val="9"/>
                <w:highlight w:val="none"/>
              </w:rPr>
              <w:t>施工现场应设置不少于三处的重复接地装置。</w:t>
            </w:r>
          </w:p>
        </w:tc>
      </w:tr>
    </w:tbl>
    <w:p w14:paraId="2FBA2EB4">
      <w:pPr>
        <w:rPr>
          <w:rFonts w:ascii="Arial"/>
          <w:color w:val="auto"/>
          <w:sz w:val="21"/>
          <w:highlight w:val="none"/>
        </w:rPr>
      </w:pPr>
    </w:p>
    <w:p w14:paraId="4A5202AE">
      <w:pPr>
        <w:rPr>
          <w:rFonts w:ascii="Arial" w:hAnsi="Arial" w:eastAsia="Arial" w:cs="Arial"/>
          <w:color w:val="auto"/>
          <w:sz w:val="21"/>
          <w:szCs w:val="21"/>
          <w:highlight w:val="none"/>
        </w:rPr>
        <w:sectPr>
          <w:footerReference r:id="rId12" w:type="default"/>
          <w:pgSz w:w="11905" w:h="16839"/>
          <w:pgMar w:top="1440" w:right="1083" w:bottom="1440" w:left="1083" w:header="0" w:footer="843" w:gutter="0"/>
          <w:pgNumType w:fmt="decimal"/>
          <w:cols w:space="720" w:num="1"/>
        </w:sectPr>
      </w:pPr>
    </w:p>
    <w:p w14:paraId="752AF437">
      <w:pPr>
        <w:spacing w:before="60"/>
        <w:rPr>
          <w:color w:val="auto"/>
          <w:highlight w:val="none"/>
        </w:rPr>
      </w:pPr>
    </w:p>
    <w:p w14:paraId="5453B65D">
      <w:pPr>
        <w:spacing w:before="60"/>
        <w:rPr>
          <w:color w:val="auto"/>
          <w:highlight w:val="none"/>
        </w:rPr>
      </w:pPr>
    </w:p>
    <w:p w14:paraId="78C3C501">
      <w:pPr>
        <w:spacing w:before="59"/>
        <w:rPr>
          <w:color w:val="auto"/>
          <w:highlight w:val="none"/>
        </w:rPr>
      </w:pPr>
    </w:p>
    <w:tbl>
      <w:tblPr>
        <w:tblStyle w:val="58"/>
        <w:tblW w:w="945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523"/>
        <w:gridCol w:w="1541"/>
        <w:gridCol w:w="6642"/>
      </w:tblGrid>
      <w:tr w14:paraId="252C5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50" w:type="dxa"/>
            <w:tcBorders>
              <w:top w:val="single" w:color="000000" w:sz="10" w:space="0"/>
              <w:left w:val="single" w:color="000000" w:sz="10" w:space="0"/>
            </w:tcBorders>
            <w:vAlign w:val="top"/>
          </w:tcPr>
          <w:p w14:paraId="4C516AE6">
            <w:pPr>
              <w:rPr>
                <w:rFonts w:ascii="Arial"/>
                <w:color w:val="auto"/>
                <w:sz w:val="21"/>
                <w:highlight w:val="none"/>
              </w:rPr>
            </w:pPr>
          </w:p>
        </w:tc>
        <w:tc>
          <w:tcPr>
            <w:tcW w:w="523" w:type="dxa"/>
            <w:tcBorders>
              <w:top w:val="single" w:color="000000" w:sz="10" w:space="0"/>
            </w:tcBorders>
            <w:vAlign w:val="top"/>
          </w:tcPr>
          <w:p w14:paraId="25DED0DD">
            <w:pPr>
              <w:rPr>
                <w:rFonts w:ascii="Arial"/>
                <w:color w:val="auto"/>
                <w:sz w:val="21"/>
                <w:highlight w:val="none"/>
              </w:rPr>
            </w:pPr>
          </w:p>
        </w:tc>
        <w:tc>
          <w:tcPr>
            <w:tcW w:w="1541" w:type="dxa"/>
            <w:tcBorders>
              <w:top w:val="single" w:color="000000" w:sz="10" w:space="0"/>
            </w:tcBorders>
            <w:vAlign w:val="top"/>
          </w:tcPr>
          <w:p w14:paraId="6A71DF0A">
            <w:pPr>
              <w:pStyle w:val="57"/>
              <w:spacing w:before="223" w:line="229" w:lineRule="auto"/>
              <w:ind w:left="141"/>
              <w:rPr>
                <w:color w:val="auto"/>
                <w:highlight w:val="none"/>
              </w:rPr>
            </w:pPr>
            <w:r>
              <w:rPr>
                <w:color w:val="auto"/>
                <w:spacing w:val="7"/>
                <w:highlight w:val="none"/>
              </w:rPr>
              <w:t>现场变配电装</w:t>
            </w:r>
          </w:p>
          <w:p w14:paraId="3C3A6349">
            <w:pPr>
              <w:pStyle w:val="57"/>
              <w:spacing w:before="51" w:line="234" w:lineRule="auto"/>
              <w:ind w:left="661"/>
              <w:rPr>
                <w:color w:val="auto"/>
                <w:highlight w:val="none"/>
              </w:rPr>
            </w:pPr>
            <w:r>
              <w:rPr>
                <w:color w:val="auto"/>
                <w:spacing w:val="2"/>
                <w:highlight w:val="none"/>
              </w:rPr>
              <w:t>置</w:t>
            </w:r>
          </w:p>
        </w:tc>
        <w:tc>
          <w:tcPr>
            <w:tcW w:w="6642" w:type="dxa"/>
            <w:tcBorders>
              <w:top w:val="single" w:color="000000" w:sz="10" w:space="0"/>
              <w:right w:val="single" w:color="000000" w:sz="10" w:space="0"/>
            </w:tcBorders>
            <w:vAlign w:val="top"/>
          </w:tcPr>
          <w:p w14:paraId="2D8151DD">
            <w:pPr>
              <w:spacing w:line="306" w:lineRule="auto"/>
              <w:rPr>
                <w:rFonts w:ascii="Arial"/>
                <w:color w:val="auto"/>
                <w:sz w:val="21"/>
                <w:highlight w:val="none"/>
              </w:rPr>
            </w:pPr>
          </w:p>
          <w:p w14:paraId="61EBDCD4">
            <w:pPr>
              <w:pStyle w:val="57"/>
              <w:spacing w:before="65" w:line="228" w:lineRule="auto"/>
              <w:ind w:left="111"/>
              <w:rPr>
                <w:color w:val="auto"/>
                <w:highlight w:val="none"/>
              </w:rPr>
            </w:pPr>
            <w:r>
              <w:rPr>
                <w:color w:val="auto"/>
                <w:spacing w:val="8"/>
                <w:highlight w:val="none"/>
              </w:rPr>
              <w:t>总配电房建筑材料必须达到消防防火要求，室内做硬地坪、</w:t>
            </w:r>
            <w:r>
              <w:rPr>
                <w:color w:val="auto"/>
                <w:spacing w:val="-59"/>
                <w:highlight w:val="none"/>
              </w:rPr>
              <w:t xml:space="preserve"> </w:t>
            </w:r>
            <w:r>
              <w:rPr>
                <w:color w:val="auto"/>
                <w:spacing w:val="7"/>
                <w:highlight w:val="none"/>
              </w:rPr>
              <w:t>电缆沟。</w:t>
            </w:r>
          </w:p>
        </w:tc>
      </w:tr>
      <w:tr w14:paraId="04D87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50" w:type="dxa"/>
            <w:tcBorders>
              <w:left w:val="single" w:color="000000" w:sz="10" w:space="0"/>
            </w:tcBorders>
            <w:vAlign w:val="top"/>
          </w:tcPr>
          <w:p w14:paraId="4FB98118">
            <w:pPr>
              <w:pStyle w:val="57"/>
              <w:spacing w:before="219" w:line="228" w:lineRule="auto"/>
              <w:ind w:left="155"/>
              <w:rPr>
                <w:color w:val="auto"/>
                <w:highlight w:val="none"/>
              </w:rPr>
            </w:pPr>
            <w:r>
              <w:rPr>
                <w:b/>
                <w:bCs/>
                <w:color w:val="auto"/>
                <w:spacing w:val="3"/>
                <w:highlight w:val="none"/>
              </w:rPr>
              <w:t>类别</w:t>
            </w:r>
          </w:p>
        </w:tc>
        <w:tc>
          <w:tcPr>
            <w:tcW w:w="2064" w:type="dxa"/>
            <w:gridSpan w:val="2"/>
            <w:vAlign w:val="top"/>
          </w:tcPr>
          <w:p w14:paraId="1F9B97D8">
            <w:pPr>
              <w:pStyle w:val="57"/>
              <w:spacing w:before="219" w:line="229" w:lineRule="auto"/>
              <w:ind w:left="611"/>
              <w:rPr>
                <w:color w:val="auto"/>
                <w:highlight w:val="none"/>
              </w:rPr>
            </w:pPr>
            <w:r>
              <w:rPr>
                <w:b/>
                <w:bCs/>
                <w:color w:val="auto"/>
                <w:spacing w:val="5"/>
                <w:highlight w:val="none"/>
              </w:rPr>
              <w:t>项目名称</w:t>
            </w:r>
          </w:p>
        </w:tc>
        <w:tc>
          <w:tcPr>
            <w:tcW w:w="6642" w:type="dxa"/>
            <w:tcBorders>
              <w:right w:val="single" w:color="000000" w:sz="10" w:space="0"/>
            </w:tcBorders>
            <w:vAlign w:val="top"/>
          </w:tcPr>
          <w:p w14:paraId="5C03112A">
            <w:pPr>
              <w:pStyle w:val="57"/>
              <w:spacing w:before="219" w:line="228" w:lineRule="auto"/>
              <w:ind w:left="2587"/>
              <w:rPr>
                <w:color w:val="auto"/>
                <w:highlight w:val="none"/>
              </w:rPr>
            </w:pPr>
            <w:r>
              <w:rPr>
                <w:b/>
                <w:bCs/>
                <w:color w:val="auto"/>
                <w:spacing w:val="7"/>
                <w:highlight w:val="none"/>
              </w:rPr>
              <w:t>主要内容和要求</w:t>
            </w:r>
          </w:p>
        </w:tc>
      </w:tr>
      <w:tr w14:paraId="75629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50" w:type="dxa"/>
            <w:vMerge w:val="restart"/>
            <w:tcBorders>
              <w:left w:val="single" w:color="000000" w:sz="10" w:space="0"/>
              <w:bottom w:val="nil"/>
            </w:tcBorders>
            <w:vAlign w:val="top"/>
          </w:tcPr>
          <w:p w14:paraId="69FECA40">
            <w:pPr>
              <w:spacing w:line="253" w:lineRule="auto"/>
              <w:rPr>
                <w:rFonts w:ascii="Arial"/>
                <w:color w:val="auto"/>
                <w:sz w:val="21"/>
                <w:highlight w:val="none"/>
              </w:rPr>
            </w:pPr>
          </w:p>
          <w:p w14:paraId="4CD887D0">
            <w:pPr>
              <w:spacing w:line="253" w:lineRule="auto"/>
              <w:rPr>
                <w:rFonts w:ascii="Arial"/>
                <w:color w:val="auto"/>
                <w:sz w:val="21"/>
                <w:highlight w:val="none"/>
              </w:rPr>
            </w:pPr>
          </w:p>
          <w:p w14:paraId="5124906B">
            <w:pPr>
              <w:spacing w:line="253" w:lineRule="auto"/>
              <w:rPr>
                <w:rFonts w:ascii="Arial"/>
                <w:color w:val="auto"/>
                <w:sz w:val="21"/>
                <w:highlight w:val="none"/>
              </w:rPr>
            </w:pPr>
          </w:p>
          <w:p w14:paraId="04F7D891">
            <w:pPr>
              <w:spacing w:line="253" w:lineRule="auto"/>
              <w:rPr>
                <w:rFonts w:ascii="Arial"/>
                <w:color w:val="auto"/>
                <w:sz w:val="21"/>
                <w:highlight w:val="none"/>
              </w:rPr>
            </w:pPr>
          </w:p>
          <w:p w14:paraId="31502E68">
            <w:pPr>
              <w:spacing w:line="253" w:lineRule="auto"/>
              <w:rPr>
                <w:rFonts w:ascii="Arial"/>
                <w:color w:val="auto"/>
                <w:sz w:val="21"/>
                <w:highlight w:val="none"/>
              </w:rPr>
            </w:pPr>
          </w:p>
          <w:p w14:paraId="24E1AA15">
            <w:pPr>
              <w:spacing w:line="253" w:lineRule="auto"/>
              <w:rPr>
                <w:rFonts w:ascii="Arial"/>
                <w:color w:val="auto"/>
                <w:sz w:val="21"/>
                <w:highlight w:val="none"/>
              </w:rPr>
            </w:pPr>
          </w:p>
          <w:p w14:paraId="7E9E5173">
            <w:pPr>
              <w:spacing w:line="253" w:lineRule="auto"/>
              <w:rPr>
                <w:rFonts w:ascii="Arial"/>
                <w:color w:val="auto"/>
                <w:sz w:val="21"/>
                <w:highlight w:val="none"/>
              </w:rPr>
            </w:pPr>
          </w:p>
          <w:p w14:paraId="7D8ADE29">
            <w:pPr>
              <w:spacing w:line="253" w:lineRule="auto"/>
              <w:rPr>
                <w:rFonts w:ascii="Arial"/>
                <w:color w:val="auto"/>
                <w:sz w:val="21"/>
                <w:highlight w:val="none"/>
              </w:rPr>
            </w:pPr>
          </w:p>
          <w:p w14:paraId="043D1103">
            <w:pPr>
              <w:spacing w:line="253" w:lineRule="auto"/>
              <w:rPr>
                <w:rFonts w:ascii="Arial"/>
                <w:color w:val="auto"/>
                <w:sz w:val="21"/>
                <w:highlight w:val="none"/>
              </w:rPr>
            </w:pPr>
          </w:p>
          <w:p w14:paraId="5ECF69DF">
            <w:pPr>
              <w:pStyle w:val="57"/>
              <w:spacing w:before="65" w:line="228" w:lineRule="auto"/>
              <w:ind w:left="161"/>
              <w:rPr>
                <w:color w:val="auto"/>
                <w:highlight w:val="none"/>
              </w:rPr>
            </w:pPr>
            <w:r>
              <w:rPr>
                <w:color w:val="auto"/>
                <w:spacing w:val="2"/>
                <w:highlight w:val="none"/>
              </w:rPr>
              <w:t>安全</w:t>
            </w:r>
          </w:p>
          <w:p w14:paraId="7BFC7A6A">
            <w:pPr>
              <w:pStyle w:val="57"/>
              <w:spacing w:before="52" w:line="231" w:lineRule="auto"/>
              <w:ind w:left="156"/>
              <w:rPr>
                <w:color w:val="auto"/>
                <w:highlight w:val="none"/>
              </w:rPr>
            </w:pPr>
            <w:r>
              <w:rPr>
                <w:color w:val="auto"/>
                <w:spacing w:val="5"/>
                <w:highlight w:val="none"/>
              </w:rPr>
              <w:t>施工</w:t>
            </w:r>
          </w:p>
        </w:tc>
        <w:tc>
          <w:tcPr>
            <w:tcW w:w="523" w:type="dxa"/>
            <w:vMerge w:val="restart"/>
            <w:tcBorders>
              <w:bottom w:val="nil"/>
            </w:tcBorders>
            <w:textDirection w:val="tbRlV"/>
            <w:vAlign w:val="top"/>
          </w:tcPr>
          <w:p w14:paraId="191B74C8">
            <w:pPr>
              <w:pStyle w:val="57"/>
              <w:spacing w:before="165" w:line="216" w:lineRule="auto"/>
              <w:ind w:left="1451"/>
              <w:rPr>
                <w:color w:val="auto"/>
                <w:highlight w:val="none"/>
              </w:rPr>
            </w:pPr>
            <w:r>
              <w:rPr>
                <w:color w:val="auto"/>
                <w:spacing w:val="9"/>
                <w:highlight w:val="none"/>
              </w:rPr>
              <w:t>高</w:t>
            </w:r>
            <w:r>
              <w:rPr>
                <w:color w:val="auto"/>
                <w:spacing w:val="-7"/>
                <w:highlight w:val="none"/>
              </w:rPr>
              <w:t xml:space="preserve"> </w:t>
            </w:r>
            <w:r>
              <w:rPr>
                <w:color w:val="auto"/>
                <w:spacing w:val="9"/>
                <w:highlight w:val="none"/>
              </w:rPr>
              <w:t>处</w:t>
            </w:r>
            <w:r>
              <w:rPr>
                <w:color w:val="auto"/>
                <w:spacing w:val="-10"/>
                <w:highlight w:val="none"/>
              </w:rPr>
              <w:t xml:space="preserve"> </w:t>
            </w:r>
            <w:r>
              <w:rPr>
                <w:color w:val="auto"/>
                <w:spacing w:val="9"/>
                <w:highlight w:val="none"/>
              </w:rPr>
              <w:t>作</w:t>
            </w:r>
            <w:r>
              <w:rPr>
                <w:color w:val="auto"/>
                <w:spacing w:val="-10"/>
                <w:highlight w:val="none"/>
              </w:rPr>
              <w:t xml:space="preserve"> </w:t>
            </w:r>
            <w:r>
              <w:rPr>
                <w:color w:val="auto"/>
                <w:spacing w:val="9"/>
                <w:highlight w:val="none"/>
              </w:rPr>
              <w:t>业</w:t>
            </w:r>
            <w:r>
              <w:rPr>
                <w:color w:val="auto"/>
                <w:spacing w:val="-9"/>
                <w:highlight w:val="none"/>
              </w:rPr>
              <w:t xml:space="preserve"> </w:t>
            </w:r>
            <w:r>
              <w:rPr>
                <w:color w:val="auto"/>
                <w:spacing w:val="9"/>
                <w:highlight w:val="none"/>
              </w:rPr>
              <w:t>防</w:t>
            </w:r>
            <w:r>
              <w:rPr>
                <w:color w:val="auto"/>
                <w:spacing w:val="-10"/>
                <w:highlight w:val="none"/>
              </w:rPr>
              <w:t xml:space="preserve"> </w:t>
            </w:r>
            <w:r>
              <w:rPr>
                <w:color w:val="auto"/>
                <w:spacing w:val="9"/>
                <w:highlight w:val="none"/>
              </w:rPr>
              <w:t>护</w:t>
            </w:r>
          </w:p>
        </w:tc>
        <w:tc>
          <w:tcPr>
            <w:tcW w:w="1541" w:type="dxa"/>
            <w:vAlign w:val="top"/>
          </w:tcPr>
          <w:p w14:paraId="365C8502">
            <w:pPr>
              <w:pStyle w:val="57"/>
              <w:spacing w:before="64" w:line="244" w:lineRule="auto"/>
              <w:ind w:left="121" w:right="145" w:hanging="16"/>
              <w:rPr>
                <w:color w:val="auto"/>
                <w:highlight w:val="none"/>
              </w:rPr>
            </w:pPr>
            <w:r>
              <w:rPr>
                <w:color w:val="auto"/>
                <w:spacing w:val="14"/>
                <w:highlight w:val="none"/>
              </w:rPr>
              <w:t>楼层、屋面、</w:t>
            </w:r>
            <w:r>
              <w:rPr>
                <w:color w:val="auto"/>
                <w:highlight w:val="none"/>
              </w:rPr>
              <w:t xml:space="preserve"> </w:t>
            </w:r>
            <w:r>
              <w:rPr>
                <w:color w:val="auto"/>
                <w:spacing w:val="5"/>
                <w:highlight w:val="none"/>
              </w:rPr>
              <w:t>阳台等临边</w:t>
            </w:r>
          </w:p>
        </w:tc>
        <w:tc>
          <w:tcPr>
            <w:tcW w:w="6642" w:type="dxa"/>
            <w:tcBorders>
              <w:right w:val="single" w:color="000000" w:sz="10" w:space="0"/>
            </w:tcBorders>
            <w:vAlign w:val="top"/>
          </w:tcPr>
          <w:p w14:paraId="2EF2F4E5">
            <w:pPr>
              <w:pStyle w:val="57"/>
              <w:spacing w:before="215" w:line="228" w:lineRule="auto"/>
              <w:ind w:left="112"/>
              <w:rPr>
                <w:color w:val="auto"/>
                <w:highlight w:val="none"/>
              </w:rPr>
            </w:pPr>
            <w:r>
              <w:rPr>
                <w:color w:val="auto"/>
                <w:spacing w:val="8"/>
                <w:highlight w:val="none"/>
              </w:rPr>
              <w:t>设两道防护栏杆和</w:t>
            </w:r>
            <w:r>
              <w:rPr>
                <w:color w:val="auto"/>
                <w:spacing w:val="-22"/>
                <w:highlight w:val="none"/>
              </w:rPr>
              <w:t xml:space="preserve"> </w:t>
            </w:r>
            <w:r>
              <w:rPr>
                <w:color w:val="auto"/>
                <w:spacing w:val="8"/>
                <w:highlight w:val="none"/>
              </w:rPr>
              <w:t>18</w:t>
            </w:r>
            <w:r>
              <w:rPr>
                <w:color w:val="auto"/>
                <w:highlight w:val="none"/>
              </w:rPr>
              <w:t>cm</w:t>
            </w:r>
            <w:r>
              <w:rPr>
                <w:color w:val="auto"/>
                <w:spacing w:val="-34"/>
                <w:highlight w:val="none"/>
              </w:rPr>
              <w:t xml:space="preserve"> </w:t>
            </w:r>
            <w:r>
              <w:rPr>
                <w:color w:val="auto"/>
                <w:spacing w:val="8"/>
                <w:highlight w:val="none"/>
              </w:rPr>
              <w:t>高的踢脚板，用密目式安全</w:t>
            </w:r>
            <w:r>
              <w:rPr>
                <w:color w:val="auto"/>
                <w:spacing w:val="7"/>
                <w:highlight w:val="none"/>
              </w:rPr>
              <w:t>立网全封闭。</w:t>
            </w:r>
          </w:p>
        </w:tc>
      </w:tr>
      <w:tr w14:paraId="47D43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50" w:type="dxa"/>
            <w:vMerge w:val="continue"/>
            <w:tcBorders>
              <w:top w:val="nil"/>
              <w:left w:val="single" w:color="000000" w:sz="10" w:space="0"/>
              <w:bottom w:val="nil"/>
            </w:tcBorders>
            <w:vAlign w:val="top"/>
          </w:tcPr>
          <w:p w14:paraId="49695F6B">
            <w:pPr>
              <w:rPr>
                <w:rFonts w:ascii="Arial"/>
                <w:color w:val="auto"/>
                <w:sz w:val="21"/>
                <w:highlight w:val="none"/>
              </w:rPr>
            </w:pPr>
          </w:p>
        </w:tc>
        <w:tc>
          <w:tcPr>
            <w:tcW w:w="523" w:type="dxa"/>
            <w:vMerge w:val="continue"/>
            <w:tcBorders>
              <w:top w:val="nil"/>
              <w:bottom w:val="nil"/>
            </w:tcBorders>
            <w:textDirection w:val="tbRlV"/>
            <w:vAlign w:val="top"/>
          </w:tcPr>
          <w:p w14:paraId="6285FE08">
            <w:pPr>
              <w:rPr>
                <w:rFonts w:ascii="Arial"/>
                <w:color w:val="auto"/>
                <w:sz w:val="21"/>
                <w:highlight w:val="none"/>
              </w:rPr>
            </w:pPr>
          </w:p>
        </w:tc>
        <w:tc>
          <w:tcPr>
            <w:tcW w:w="1541" w:type="dxa"/>
            <w:vAlign w:val="top"/>
          </w:tcPr>
          <w:p w14:paraId="70959FA2">
            <w:pPr>
              <w:pStyle w:val="57"/>
              <w:spacing w:before="217" w:line="235" w:lineRule="auto"/>
              <w:ind w:left="106"/>
              <w:rPr>
                <w:color w:val="auto"/>
                <w:highlight w:val="none"/>
              </w:rPr>
            </w:pPr>
            <w:r>
              <w:rPr>
                <w:color w:val="auto"/>
                <w:spacing w:val="6"/>
                <w:highlight w:val="none"/>
              </w:rPr>
              <w:t>通道口</w:t>
            </w:r>
          </w:p>
        </w:tc>
        <w:tc>
          <w:tcPr>
            <w:tcW w:w="6642" w:type="dxa"/>
            <w:tcBorders>
              <w:right w:val="single" w:color="000000" w:sz="10" w:space="0"/>
            </w:tcBorders>
            <w:vAlign w:val="top"/>
          </w:tcPr>
          <w:p w14:paraId="290802F2">
            <w:pPr>
              <w:pStyle w:val="57"/>
              <w:spacing w:before="68" w:line="242" w:lineRule="auto"/>
              <w:ind w:left="109" w:right="130" w:firstLine="2"/>
              <w:rPr>
                <w:color w:val="auto"/>
                <w:highlight w:val="none"/>
              </w:rPr>
            </w:pPr>
            <w:r>
              <w:rPr>
                <w:color w:val="auto"/>
                <w:spacing w:val="7"/>
                <w:highlight w:val="none"/>
              </w:rPr>
              <w:t>设防护棚，防护棚应为不小于</w:t>
            </w:r>
            <w:r>
              <w:rPr>
                <w:color w:val="auto"/>
                <w:spacing w:val="-31"/>
                <w:highlight w:val="none"/>
              </w:rPr>
              <w:t xml:space="preserve"> </w:t>
            </w:r>
            <w:r>
              <w:rPr>
                <w:color w:val="auto"/>
                <w:spacing w:val="7"/>
                <w:highlight w:val="none"/>
              </w:rPr>
              <w:t>5</w:t>
            </w:r>
            <w:r>
              <w:rPr>
                <w:color w:val="auto"/>
                <w:highlight w:val="none"/>
              </w:rPr>
              <w:t>cm</w:t>
            </w:r>
            <w:r>
              <w:rPr>
                <w:color w:val="auto"/>
                <w:spacing w:val="-33"/>
                <w:highlight w:val="none"/>
              </w:rPr>
              <w:t xml:space="preserve"> </w:t>
            </w:r>
            <w:r>
              <w:rPr>
                <w:color w:val="auto"/>
                <w:spacing w:val="7"/>
                <w:highlight w:val="none"/>
              </w:rPr>
              <w:t>厚的木板或两道相距</w:t>
            </w:r>
            <w:r>
              <w:rPr>
                <w:color w:val="auto"/>
                <w:spacing w:val="-35"/>
                <w:highlight w:val="none"/>
              </w:rPr>
              <w:t xml:space="preserve"> </w:t>
            </w:r>
            <w:r>
              <w:rPr>
                <w:color w:val="auto"/>
                <w:spacing w:val="7"/>
                <w:highlight w:val="none"/>
              </w:rPr>
              <w:t>50</w:t>
            </w:r>
            <w:r>
              <w:rPr>
                <w:color w:val="auto"/>
                <w:highlight w:val="none"/>
              </w:rPr>
              <w:t>cm</w:t>
            </w:r>
            <w:r>
              <w:rPr>
                <w:color w:val="auto"/>
                <w:spacing w:val="-21"/>
                <w:highlight w:val="none"/>
              </w:rPr>
              <w:t xml:space="preserve"> </w:t>
            </w:r>
            <w:r>
              <w:rPr>
                <w:color w:val="auto"/>
                <w:spacing w:val="7"/>
                <w:highlight w:val="none"/>
              </w:rPr>
              <w:t>的竹笆。</w:t>
            </w:r>
            <w:r>
              <w:rPr>
                <w:color w:val="auto"/>
                <w:highlight w:val="none"/>
              </w:rPr>
              <w:t xml:space="preserve"> </w:t>
            </w:r>
            <w:r>
              <w:rPr>
                <w:color w:val="auto"/>
                <w:spacing w:val="8"/>
                <w:highlight w:val="none"/>
              </w:rPr>
              <w:t>两侧应沿栏杆架用密目式安全网封闭。</w:t>
            </w:r>
          </w:p>
        </w:tc>
      </w:tr>
      <w:tr w14:paraId="40817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50" w:type="dxa"/>
            <w:vMerge w:val="continue"/>
            <w:tcBorders>
              <w:top w:val="nil"/>
              <w:left w:val="single" w:color="000000" w:sz="10" w:space="0"/>
              <w:bottom w:val="nil"/>
            </w:tcBorders>
            <w:vAlign w:val="top"/>
          </w:tcPr>
          <w:p w14:paraId="75DC3651">
            <w:pPr>
              <w:rPr>
                <w:rFonts w:ascii="Arial"/>
                <w:color w:val="auto"/>
                <w:sz w:val="21"/>
                <w:highlight w:val="none"/>
              </w:rPr>
            </w:pPr>
          </w:p>
        </w:tc>
        <w:tc>
          <w:tcPr>
            <w:tcW w:w="523" w:type="dxa"/>
            <w:vMerge w:val="continue"/>
            <w:tcBorders>
              <w:top w:val="nil"/>
              <w:bottom w:val="nil"/>
            </w:tcBorders>
            <w:textDirection w:val="tbRlV"/>
            <w:vAlign w:val="top"/>
          </w:tcPr>
          <w:p w14:paraId="4339B4C8">
            <w:pPr>
              <w:rPr>
                <w:rFonts w:ascii="Arial"/>
                <w:color w:val="auto"/>
                <w:sz w:val="21"/>
                <w:highlight w:val="none"/>
              </w:rPr>
            </w:pPr>
          </w:p>
        </w:tc>
        <w:tc>
          <w:tcPr>
            <w:tcW w:w="1541" w:type="dxa"/>
            <w:vAlign w:val="top"/>
          </w:tcPr>
          <w:p w14:paraId="16796B76">
            <w:pPr>
              <w:pStyle w:val="57"/>
              <w:spacing w:before="219" w:line="228" w:lineRule="auto"/>
              <w:ind w:left="108"/>
              <w:rPr>
                <w:color w:val="auto"/>
                <w:highlight w:val="none"/>
              </w:rPr>
            </w:pPr>
            <w:r>
              <w:rPr>
                <w:color w:val="auto"/>
                <w:spacing w:val="6"/>
                <w:highlight w:val="none"/>
              </w:rPr>
              <w:t>预留洞口</w:t>
            </w:r>
          </w:p>
        </w:tc>
        <w:tc>
          <w:tcPr>
            <w:tcW w:w="6642" w:type="dxa"/>
            <w:tcBorders>
              <w:right w:val="single" w:color="000000" w:sz="10" w:space="0"/>
            </w:tcBorders>
            <w:vAlign w:val="top"/>
          </w:tcPr>
          <w:p w14:paraId="0FED9B97">
            <w:pPr>
              <w:pStyle w:val="57"/>
              <w:spacing w:before="69" w:line="242" w:lineRule="auto"/>
              <w:ind w:left="121" w:right="99" w:hanging="11"/>
              <w:rPr>
                <w:color w:val="auto"/>
                <w:highlight w:val="none"/>
              </w:rPr>
            </w:pPr>
            <w:r>
              <w:rPr>
                <w:color w:val="auto"/>
                <w:spacing w:val="9"/>
                <w:highlight w:val="none"/>
              </w:rPr>
              <w:t>用硬质材料全封闭，短边超过</w:t>
            </w:r>
            <w:r>
              <w:rPr>
                <w:color w:val="auto"/>
                <w:spacing w:val="-22"/>
                <w:highlight w:val="none"/>
              </w:rPr>
              <w:t xml:space="preserve"> </w:t>
            </w:r>
            <w:r>
              <w:rPr>
                <w:color w:val="auto"/>
                <w:spacing w:val="9"/>
                <w:highlight w:val="none"/>
              </w:rPr>
              <w:t>1.5m</w:t>
            </w:r>
            <w:r>
              <w:rPr>
                <w:color w:val="auto"/>
                <w:spacing w:val="-39"/>
                <w:highlight w:val="none"/>
              </w:rPr>
              <w:t xml:space="preserve"> </w:t>
            </w:r>
            <w:r>
              <w:rPr>
                <w:color w:val="auto"/>
                <w:spacing w:val="9"/>
                <w:highlight w:val="none"/>
              </w:rPr>
              <w:t>长的洞口</w:t>
            </w:r>
            <w:r>
              <w:rPr>
                <w:color w:val="auto"/>
                <w:spacing w:val="8"/>
                <w:highlight w:val="none"/>
              </w:rPr>
              <w:t>，除封闭外四周还应设有</w:t>
            </w:r>
            <w:r>
              <w:rPr>
                <w:color w:val="auto"/>
                <w:spacing w:val="3"/>
                <w:highlight w:val="none"/>
              </w:rPr>
              <w:t>防护栏杆。</w:t>
            </w:r>
          </w:p>
        </w:tc>
      </w:tr>
      <w:tr w14:paraId="15782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0" w:type="dxa"/>
            <w:vMerge w:val="continue"/>
            <w:tcBorders>
              <w:top w:val="nil"/>
              <w:left w:val="single" w:color="000000" w:sz="10" w:space="0"/>
              <w:bottom w:val="nil"/>
            </w:tcBorders>
            <w:vAlign w:val="top"/>
          </w:tcPr>
          <w:p w14:paraId="0EAE2586">
            <w:pPr>
              <w:rPr>
                <w:rFonts w:ascii="Arial"/>
                <w:color w:val="auto"/>
                <w:sz w:val="21"/>
                <w:highlight w:val="none"/>
              </w:rPr>
            </w:pPr>
          </w:p>
        </w:tc>
        <w:tc>
          <w:tcPr>
            <w:tcW w:w="523" w:type="dxa"/>
            <w:vMerge w:val="continue"/>
            <w:tcBorders>
              <w:top w:val="nil"/>
              <w:bottom w:val="nil"/>
            </w:tcBorders>
            <w:textDirection w:val="tbRlV"/>
            <w:vAlign w:val="top"/>
          </w:tcPr>
          <w:p w14:paraId="0B78E25F">
            <w:pPr>
              <w:rPr>
                <w:rFonts w:ascii="Arial"/>
                <w:color w:val="auto"/>
                <w:sz w:val="21"/>
                <w:highlight w:val="none"/>
              </w:rPr>
            </w:pPr>
          </w:p>
        </w:tc>
        <w:tc>
          <w:tcPr>
            <w:tcW w:w="1541" w:type="dxa"/>
            <w:vAlign w:val="top"/>
          </w:tcPr>
          <w:p w14:paraId="057712B5">
            <w:pPr>
              <w:pStyle w:val="57"/>
              <w:spacing w:before="222" w:line="229" w:lineRule="auto"/>
              <w:ind w:left="131"/>
              <w:rPr>
                <w:color w:val="auto"/>
                <w:highlight w:val="none"/>
              </w:rPr>
            </w:pPr>
            <w:r>
              <w:rPr>
                <w:color w:val="auto"/>
                <w:spacing w:val="1"/>
                <w:highlight w:val="none"/>
              </w:rPr>
              <w:t>电梯井口</w:t>
            </w:r>
          </w:p>
        </w:tc>
        <w:tc>
          <w:tcPr>
            <w:tcW w:w="6642" w:type="dxa"/>
            <w:tcBorders>
              <w:right w:val="single" w:color="000000" w:sz="10" w:space="0"/>
            </w:tcBorders>
            <w:vAlign w:val="top"/>
          </w:tcPr>
          <w:p w14:paraId="0D9C3016">
            <w:pPr>
              <w:pStyle w:val="57"/>
              <w:spacing w:before="73" w:line="242" w:lineRule="auto"/>
              <w:ind w:left="107" w:right="96" w:firstLine="5"/>
              <w:rPr>
                <w:color w:val="auto"/>
                <w:highlight w:val="none"/>
              </w:rPr>
            </w:pPr>
            <w:r>
              <w:rPr>
                <w:color w:val="auto"/>
                <w:spacing w:val="7"/>
                <w:highlight w:val="none"/>
              </w:rPr>
              <w:t>设置定型化、工具化的防护门，在电梯井内每隔</w:t>
            </w:r>
            <w:r>
              <w:rPr>
                <w:color w:val="auto"/>
                <w:spacing w:val="-34"/>
                <w:highlight w:val="none"/>
              </w:rPr>
              <w:t xml:space="preserve"> </w:t>
            </w:r>
            <w:r>
              <w:rPr>
                <w:color w:val="auto"/>
                <w:spacing w:val="6"/>
                <w:highlight w:val="none"/>
              </w:rPr>
              <w:t>2</w:t>
            </w:r>
            <w:r>
              <w:rPr>
                <w:color w:val="auto"/>
                <w:spacing w:val="-41"/>
                <w:highlight w:val="none"/>
              </w:rPr>
              <w:t xml:space="preserve"> </w:t>
            </w:r>
            <w:r>
              <w:rPr>
                <w:color w:val="auto"/>
                <w:spacing w:val="6"/>
                <w:highlight w:val="none"/>
              </w:rPr>
              <w:t>层（不大于</w:t>
            </w:r>
            <w:r>
              <w:rPr>
                <w:color w:val="auto"/>
                <w:spacing w:val="-21"/>
                <w:highlight w:val="none"/>
              </w:rPr>
              <w:t xml:space="preserve"> </w:t>
            </w:r>
            <w:r>
              <w:rPr>
                <w:color w:val="auto"/>
                <w:spacing w:val="6"/>
                <w:highlight w:val="none"/>
              </w:rPr>
              <w:t>10m）设</w:t>
            </w:r>
            <w:r>
              <w:rPr>
                <w:color w:val="auto"/>
                <w:highlight w:val="none"/>
              </w:rPr>
              <w:t xml:space="preserve"> </w:t>
            </w:r>
            <w:r>
              <w:rPr>
                <w:color w:val="auto"/>
                <w:spacing w:val="7"/>
                <w:highlight w:val="none"/>
              </w:rPr>
              <w:t>置一道水平防护。</w:t>
            </w:r>
          </w:p>
        </w:tc>
      </w:tr>
      <w:tr w14:paraId="3D30B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50" w:type="dxa"/>
            <w:vMerge w:val="continue"/>
            <w:tcBorders>
              <w:top w:val="nil"/>
              <w:left w:val="single" w:color="000000" w:sz="10" w:space="0"/>
              <w:bottom w:val="nil"/>
            </w:tcBorders>
            <w:vAlign w:val="top"/>
          </w:tcPr>
          <w:p w14:paraId="5706FF57">
            <w:pPr>
              <w:rPr>
                <w:rFonts w:ascii="Arial"/>
                <w:color w:val="auto"/>
                <w:sz w:val="21"/>
                <w:highlight w:val="none"/>
              </w:rPr>
            </w:pPr>
          </w:p>
        </w:tc>
        <w:tc>
          <w:tcPr>
            <w:tcW w:w="523" w:type="dxa"/>
            <w:vMerge w:val="continue"/>
            <w:tcBorders>
              <w:top w:val="nil"/>
              <w:bottom w:val="nil"/>
            </w:tcBorders>
            <w:textDirection w:val="tbRlV"/>
            <w:vAlign w:val="top"/>
          </w:tcPr>
          <w:p w14:paraId="0F8C434A">
            <w:pPr>
              <w:rPr>
                <w:rFonts w:ascii="Arial"/>
                <w:color w:val="auto"/>
                <w:sz w:val="21"/>
                <w:highlight w:val="none"/>
              </w:rPr>
            </w:pPr>
          </w:p>
        </w:tc>
        <w:tc>
          <w:tcPr>
            <w:tcW w:w="1541" w:type="dxa"/>
            <w:vAlign w:val="top"/>
          </w:tcPr>
          <w:p w14:paraId="433DD821">
            <w:pPr>
              <w:pStyle w:val="57"/>
              <w:spacing w:before="71" w:line="205" w:lineRule="auto"/>
              <w:ind w:left="105"/>
              <w:rPr>
                <w:color w:val="auto"/>
                <w:highlight w:val="none"/>
              </w:rPr>
            </w:pPr>
            <w:r>
              <w:rPr>
                <w:color w:val="auto"/>
                <w:spacing w:val="7"/>
                <w:highlight w:val="none"/>
              </w:rPr>
              <w:t>楼梯边</w:t>
            </w:r>
          </w:p>
        </w:tc>
        <w:tc>
          <w:tcPr>
            <w:tcW w:w="6642" w:type="dxa"/>
            <w:tcBorders>
              <w:right w:val="single" w:color="000000" w:sz="10" w:space="0"/>
            </w:tcBorders>
            <w:vAlign w:val="top"/>
          </w:tcPr>
          <w:p w14:paraId="057A5C6E">
            <w:pPr>
              <w:pStyle w:val="57"/>
              <w:spacing w:before="71" w:line="205" w:lineRule="auto"/>
              <w:ind w:left="112"/>
              <w:rPr>
                <w:color w:val="auto"/>
                <w:highlight w:val="none"/>
              </w:rPr>
            </w:pPr>
            <w:r>
              <w:rPr>
                <w:color w:val="auto"/>
                <w:spacing w:val="6"/>
                <w:highlight w:val="none"/>
              </w:rPr>
              <w:t>设1.2m</w:t>
            </w:r>
            <w:r>
              <w:rPr>
                <w:color w:val="auto"/>
                <w:spacing w:val="-32"/>
                <w:highlight w:val="none"/>
              </w:rPr>
              <w:t xml:space="preserve"> </w:t>
            </w:r>
            <w:r>
              <w:rPr>
                <w:color w:val="auto"/>
                <w:spacing w:val="6"/>
                <w:highlight w:val="none"/>
              </w:rPr>
              <w:t>高的定型化、工具化的防护栏，18</w:t>
            </w:r>
            <w:r>
              <w:rPr>
                <w:color w:val="auto"/>
                <w:highlight w:val="none"/>
              </w:rPr>
              <w:t>cm</w:t>
            </w:r>
            <w:r>
              <w:rPr>
                <w:color w:val="auto"/>
                <w:spacing w:val="-35"/>
                <w:highlight w:val="none"/>
              </w:rPr>
              <w:t xml:space="preserve"> </w:t>
            </w:r>
            <w:r>
              <w:rPr>
                <w:color w:val="auto"/>
                <w:spacing w:val="6"/>
                <w:highlight w:val="none"/>
              </w:rPr>
              <w:t>高的踢脚板。</w:t>
            </w:r>
          </w:p>
        </w:tc>
      </w:tr>
      <w:tr w14:paraId="0622B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50" w:type="dxa"/>
            <w:vMerge w:val="continue"/>
            <w:tcBorders>
              <w:top w:val="nil"/>
              <w:left w:val="single" w:color="000000" w:sz="10" w:space="0"/>
              <w:bottom w:val="nil"/>
            </w:tcBorders>
            <w:vAlign w:val="top"/>
          </w:tcPr>
          <w:p w14:paraId="7E0D9692">
            <w:pPr>
              <w:rPr>
                <w:rFonts w:ascii="Arial"/>
                <w:color w:val="auto"/>
                <w:sz w:val="21"/>
                <w:highlight w:val="none"/>
              </w:rPr>
            </w:pPr>
          </w:p>
        </w:tc>
        <w:tc>
          <w:tcPr>
            <w:tcW w:w="523" w:type="dxa"/>
            <w:vMerge w:val="continue"/>
            <w:tcBorders>
              <w:top w:val="nil"/>
              <w:bottom w:val="nil"/>
            </w:tcBorders>
            <w:textDirection w:val="tbRlV"/>
            <w:vAlign w:val="top"/>
          </w:tcPr>
          <w:p w14:paraId="2B6CC22F">
            <w:pPr>
              <w:rPr>
                <w:rFonts w:ascii="Arial"/>
                <w:color w:val="auto"/>
                <w:sz w:val="21"/>
                <w:highlight w:val="none"/>
              </w:rPr>
            </w:pPr>
          </w:p>
        </w:tc>
        <w:tc>
          <w:tcPr>
            <w:tcW w:w="1541" w:type="dxa"/>
            <w:vAlign w:val="top"/>
          </w:tcPr>
          <w:p w14:paraId="7989B7B0">
            <w:pPr>
              <w:pStyle w:val="57"/>
              <w:spacing w:before="71" w:line="241" w:lineRule="auto"/>
              <w:ind w:left="107" w:right="110"/>
              <w:rPr>
                <w:color w:val="auto"/>
                <w:highlight w:val="none"/>
              </w:rPr>
            </w:pPr>
            <w:r>
              <w:rPr>
                <w:color w:val="auto"/>
                <w:spacing w:val="19"/>
                <w:highlight w:val="none"/>
              </w:rPr>
              <w:t>垂直方向交叉</w:t>
            </w:r>
            <w:r>
              <w:rPr>
                <w:color w:val="auto"/>
                <w:spacing w:val="3"/>
                <w:highlight w:val="none"/>
              </w:rPr>
              <w:t xml:space="preserve"> </w:t>
            </w:r>
            <w:r>
              <w:rPr>
                <w:color w:val="auto"/>
                <w:spacing w:val="4"/>
                <w:highlight w:val="none"/>
              </w:rPr>
              <w:t>作业</w:t>
            </w:r>
          </w:p>
        </w:tc>
        <w:tc>
          <w:tcPr>
            <w:tcW w:w="6642" w:type="dxa"/>
            <w:tcBorders>
              <w:right w:val="single" w:color="000000" w:sz="10" w:space="0"/>
            </w:tcBorders>
            <w:vAlign w:val="top"/>
          </w:tcPr>
          <w:p w14:paraId="15C21F94">
            <w:pPr>
              <w:pStyle w:val="57"/>
              <w:spacing w:before="224" w:line="226" w:lineRule="auto"/>
              <w:ind w:left="112"/>
              <w:rPr>
                <w:color w:val="auto"/>
                <w:highlight w:val="none"/>
              </w:rPr>
            </w:pPr>
            <w:r>
              <w:rPr>
                <w:color w:val="auto"/>
                <w:spacing w:val="8"/>
                <w:highlight w:val="none"/>
              </w:rPr>
              <w:t>设置防护隔离棚或其它设施。</w:t>
            </w:r>
          </w:p>
        </w:tc>
      </w:tr>
      <w:tr w14:paraId="1CABF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50" w:type="dxa"/>
            <w:vMerge w:val="continue"/>
            <w:tcBorders>
              <w:top w:val="nil"/>
              <w:left w:val="single" w:color="000000" w:sz="10" w:space="0"/>
              <w:bottom w:val="nil"/>
            </w:tcBorders>
            <w:vAlign w:val="top"/>
          </w:tcPr>
          <w:p w14:paraId="6354C191">
            <w:pPr>
              <w:rPr>
                <w:rFonts w:ascii="Arial"/>
                <w:color w:val="auto"/>
                <w:sz w:val="21"/>
                <w:highlight w:val="none"/>
              </w:rPr>
            </w:pPr>
          </w:p>
        </w:tc>
        <w:tc>
          <w:tcPr>
            <w:tcW w:w="523" w:type="dxa"/>
            <w:vMerge w:val="continue"/>
            <w:tcBorders>
              <w:top w:val="nil"/>
              <w:bottom w:val="nil"/>
            </w:tcBorders>
            <w:textDirection w:val="tbRlV"/>
            <w:vAlign w:val="top"/>
          </w:tcPr>
          <w:p w14:paraId="4BD1F478">
            <w:pPr>
              <w:rPr>
                <w:rFonts w:ascii="Arial"/>
                <w:color w:val="auto"/>
                <w:sz w:val="21"/>
                <w:highlight w:val="none"/>
              </w:rPr>
            </w:pPr>
          </w:p>
        </w:tc>
        <w:tc>
          <w:tcPr>
            <w:tcW w:w="1541" w:type="dxa"/>
            <w:vAlign w:val="top"/>
          </w:tcPr>
          <w:p w14:paraId="78CC932C">
            <w:pPr>
              <w:pStyle w:val="57"/>
              <w:spacing w:before="224" w:line="228" w:lineRule="auto"/>
              <w:ind w:left="112"/>
              <w:rPr>
                <w:color w:val="auto"/>
                <w:highlight w:val="none"/>
              </w:rPr>
            </w:pPr>
            <w:r>
              <w:rPr>
                <w:color w:val="auto"/>
                <w:spacing w:val="5"/>
                <w:highlight w:val="none"/>
              </w:rPr>
              <w:t>高处作业</w:t>
            </w:r>
          </w:p>
        </w:tc>
        <w:tc>
          <w:tcPr>
            <w:tcW w:w="6642" w:type="dxa"/>
            <w:tcBorders>
              <w:right w:val="single" w:color="000000" w:sz="10" w:space="0"/>
            </w:tcBorders>
            <w:vAlign w:val="top"/>
          </w:tcPr>
          <w:p w14:paraId="112DBF44">
            <w:pPr>
              <w:pStyle w:val="57"/>
              <w:spacing w:before="74"/>
              <w:ind w:left="112" w:right="99" w:hanging="3"/>
              <w:rPr>
                <w:color w:val="auto"/>
                <w:highlight w:val="none"/>
              </w:rPr>
            </w:pPr>
            <w:r>
              <w:rPr>
                <w:color w:val="auto"/>
                <w:spacing w:val="7"/>
                <w:highlight w:val="none"/>
              </w:rPr>
              <w:t>有悬挂安全带的悬索或其它设施，有操作平台，有上下的梯子或其它形</w:t>
            </w:r>
            <w:r>
              <w:rPr>
                <w:color w:val="auto"/>
                <w:spacing w:val="5"/>
                <w:highlight w:val="none"/>
              </w:rPr>
              <w:t>式的通道。</w:t>
            </w:r>
          </w:p>
        </w:tc>
      </w:tr>
      <w:tr w14:paraId="7679F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50" w:type="dxa"/>
            <w:vMerge w:val="continue"/>
            <w:tcBorders>
              <w:top w:val="nil"/>
              <w:left w:val="single" w:color="000000" w:sz="10" w:space="0"/>
              <w:bottom w:val="nil"/>
            </w:tcBorders>
            <w:vAlign w:val="top"/>
          </w:tcPr>
          <w:p w14:paraId="5501906E">
            <w:pPr>
              <w:rPr>
                <w:rFonts w:ascii="Arial"/>
                <w:color w:val="auto"/>
                <w:sz w:val="21"/>
                <w:highlight w:val="none"/>
              </w:rPr>
            </w:pPr>
          </w:p>
        </w:tc>
        <w:tc>
          <w:tcPr>
            <w:tcW w:w="523" w:type="dxa"/>
            <w:vMerge w:val="continue"/>
            <w:tcBorders>
              <w:top w:val="nil"/>
            </w:tcBorders>
            <w:textDirection w:val="tbRlV"/>
            <w:vAlign w:val="top"/>
          </w:tcPr>
          <w:p w14:paraId="1AC7146A">
            <w:pPr>
              <w:rPr>
                <w:rFonts w:ascii="Arial"/>
                <w:color w:val="auto"/>
                <w:sz w:val="21"/>
                <w:highlight w:val="none"/>
              </w:rPr>
            </w:pPr>
          </w:p>
        </w:tc>
        <w:tc>
          <w:tcPr>
            <w:tcW w:w="1541" w:type="dxa"/>
            <w:vAlign w:val="top"/>
          </w:tcPr>
          <w:p w14:paraId="0EEDDAE5">
            <w:pPr>
              <w:pStyle w:val="57"/>
              <w:spacing w:before="76" w:line="239" w:lineRule="auto"/>
              <w:ind w:left="122" w:right="110" w:hanging="16"/>
              <w:rPr>
                <w:color w:val="auto"/>
                <w:highlight w:val="none"/>
              </w:rPr>
            </w:pPr>
            <w:r>
              <w:rPr>
                <w:color w:val="auto"/>
                <w:spacing w:val="19"/>
                <w:highlight w:val="none"/>
              </w:rPr>
              <w:t>基坑、物料平</w:t>
            </w:r>
            <w:r>
              <w:rPr>
                <w:color w:val="auto"/>
                <w:spacing w:val="4"/>
                <w:highlight w:val="none"/>
              </w:rPr>
              <w:t xml:space="preserve"> </w:t>
            </w:r>
            <w:r>
              <w:rPr>
                <w:color w:val="auto"/>
                <w:highlight w:val="none"/>
              </w:rPr>
              <w:t>台</w:t>
            </w:r>
          </w:p>
        </w:tc>
        <w:tc>
          <w:tcPr>
            <w:tcW w:w="6642" w:type="dxa"/>
            <w:tcBorders>
              <w:right w:val="single" w:color="000000" w:sz="10" w:space="0"/>
            </w:tcBorders>
            <w:vAlign w:val="top"/>
          </w:tcPr>
          <w:p w14:paraId="6F330265">
            <w:pPr>
              <w:pStyle w:val="57"/>
              <w:spacing w:before="224" w:line="228" w:lineRule="auto"/>
              <w:ind w:left="112"/>
              <w:rPr>
                <w:color w:val="auto"/>
                <w:highlight w:val="none"/>
              </w:rPr>
            </w:pPr>
            <w:r>
              <w:rPr>
                <w:color w:val="auto"/>
                <w:spacing w:val="7"/>
                <w:highlight w:val="none"/>
              </w:rPr>
              <w:t>设1.2m</w:t>
            </w:r>
            <w:r>
              <w:rPr>
                <w:color w:val="auto"/>
                <w:spacing w:val="-33"/>
                <w:highlight w:val="none"/>
              </w:rPr>
              <w:t xml:space="preserve"> </w:t>
            </w:r>
            <w:r>
              <w:rPr>
                <w:color w:val="auto"/>
                <w:spacing w:val="7"/>
                <w:highlight w:val="none"/>
              </w:rPr>
              <w:t>高标准化的防护栏，用密目式安全立网封闭，悬挂标识。</w:t>
            </w:r>
          </w:p>
        </w:tc>
      </w:tr>
      <w:tr w14:paraId="0D246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50" w:type="dxa"/>
            <w:vMerge w:val="continue"/>
            <w:tcBorders>
              <w:top w:val="nil"/>
              <w:left w:val="single" w:color="000000" w:sz="10" w:space="0"/>
            </w:tcBorders>
            <w:vAlign w:val="top"/>
          </w:tcPr>
          <w:p w14:paraId="2F2F75CA">
            <w:pPr>
              <w:rPr>
                <w:rFonts w:ascii="Arial"/>
                <w:color w:val="auto"/>
                <w:sz w:val="21"/>
                <w:highlight w:val="none"/>
              </w:rPr>
            </w:pPr>
          </w:p>
        </w:tc>
        <w:tc>
          <w:tcPr>
            <w:tcW w:w="2064" w:type="dxa"/>
            <w:gridSpan w:val="2"/>
            <w:vAlign w:val="top"/>
          </w:tcPr>
          <w:p w14:paraId="3FFF3D8C">
            <w:pPr>
              <w:pStyle w:val="57"/>
              <w:spacing w:before="226" w:line="228" w:lineRule="auto"/>
              <w:ind w:left="405"/>
              <w:rPr>
                <w:color w:val="auto"/>
                <w:highlight w:val="none"/>
              </w:rPr>
            </w:pPr>
            <w:r>
              <w:rPr>
                <w:color w:val="auto"/>
                <w:spacing w:val="7"/>
                <w:highlight w:val="none"/>
              </w:rPr>
              <w:t>安全防护用品</w:t>
            </w:r>
          </w:p>
        </w:tc>
        <w:tc>
          <w:tcPr>
            <w:tcW w:w="6642" w:type="dxa"/>
            <w:tcBorders>
              <w:right w:val="single" w:color="000000" w:sz="10" w:space="0"/>
            </w:tcBorders>
            <w:vAlign w:val="top"/>
          </w:tcPr>
          <w:p w14:paraId="61672A52">
            <w:pPr>
              <w:pStyle w:val="57"/>
              <w:spacing w:before="76" w:line="239" w:lineRule="auto"/>
              <w:ind w:left="110" w:right="52" w:firstLine="2"/>
              <w:rPr>
                <w:color w:val="auto"/>
                <w:highlight w:val="none"/>
              </w:rPr>
            </w:pPr>
            <w:r>
              <w:rPr>
                <w:color w:val="auto"/>
                <w:spacing w:val="8"/>
                <w:highlight w:val="none"/>
              </w:rPr>
              <w:t>安全帽、安全带、特种作业人员（电工、焊工、架子工等）防护服装、</w:t>
            </w:r>
            <w:r>
              <w:rPr>
                <w:color w:val="auto"/>
                <w:spacing w:val="12"/>
                <w:highlight w:val="none"/>
              </w:rPr>
              <w:t xml:space="preserve"> </w:t>
            </w:r>
            <w:r>
              <w:rPr>
                <w:color w:val="auto"/>
                <w:spacing w:val="4"/>
                <w:highlight w:val="none"/>
              </w:rPr>
              <w:t>用品等。</w:t>
            </w:r>
          </w:p>
        </w:tc>
      </w:tr>
      <w:tr w14:paraId="1BAAA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750" w:type="dxa"/>
            <w:vMerge w:val="restart"/>
            <w:tcBorders>
              <w:left w:val="single" w:color="000000" w:sz="10" w:space="0"/>
              <w:bottom w:val="nil"/>
            </w:tcBorders>
            <w:vAlign w:val="top"/>
          </w:tcPr>
          <w:p w14:paraId="7292A85C">
            <w:pPr>
              <w:spacing w:line="261" w:lineRule="auto"/>
              <w:rPr>
                <w:rFonts w:ascii="Arial"/>
                <w:color w:val="auto"/>
                <w:sz w:val="21"/>
                <w:highlight w:val="none"/>
              </w:rPr>
            </w:pPr>
          </w:p>
          <w:p w14:paraId="033D5FA6">
            <w:pPr>
              <w:spacing w:line="261" w:lineRule="auto"/>
              <w:rPr>
                <w:rFonts w:ascii="Arial"/>
                <w:color w:val="auto"/>
                <w:sz w:val="21"/>
                <w:highlight w:val="none"/>
              </w:rPr>
            </w:pPr>
          </w:p>
          <w:p w14:paraId="2B216556">
            <w:pPr>
              <w:spacing w:line="261" w:lineRule="auto"/>
              <w:rPr>
                <w:rFonts w:ascii="Arial"/>
                <w:color w:val="auto"/>
                <w:sz w:val="21"/>
                <w:highlight w:val="none"/>
              </w:rPr>
            </w:pPr>
          </w:p>
          <w:p w14:paraId="1A635206">
            <w:pPr>
              <w:spacing w:line="261" w:lineRule="auto"/>
              <w:rPr>
                <w:rFonts w:ascii="Arial"/>
                <w:color w:val="auto"/>
                <w:sz w:val="21"/>
                <w:highlight w:val="none"/>
              </w:rPr>
            </w:pPr>
          </w:p>
          <w:p w14:paraId="7793D0AE">
            <w:pPr>
              <w:spacing w:line="261" w:lineRule="auto"/>
              <w:rPr>
                <w:rFonts w:ascii="Arial"/>
                <w:color w:val="auto"/>
                <w:sz w:val="21"/>
                <w:highlight w:val="none"/>
              </w:rPr>
            </w:pPr>
          </w:p>
          <w:p w14:paraId="03DBEFEE">
            <w:pPr>
              <w:spacing w:line="262" w:lineRule="auto"/>
              <w:rPr>
                <w:rFonts w:ascii="Arial"/>
                <w:color w:val="auto"/>
                <w:sz w:val="21"/>
                <w:highlight w:val="none"/>
              </w:rPr>
            </w:pPr>
          </w:p>
          <w:p w14:paraId="32B1A258">
            <w:pPr>
              <w:pStyle w:val="57"/>
              <w:spacing w:before="65" w:line="226" w:lineRule="auto"/>
              <w:ind w:left="158"/>
              <w:rPr>
                <w:color w:val="auto"/>
                <w:highlight w:val="none"/>
              </w:rPr>
            </w:pPr>
            <w:r>
              <w:rPr>
                <w:color w:val="auto"/>
                <w:spacing w:val="4"/>
                <w:highlight w:val="none"/>
              </w:rPr>
              <w:t>其它</w:t>
            </w:r>
          </w:p>
        </w:tc>
        <w:tc>
          <w:tcPr>
            <w:tcW w:w="523" w:type="dxa"/>
            <w:vMerge w:val="restart"/>
            <w:tcBorders>
              <w:bottom w:val="nil"/>
            </w:tcBorders>
            <w:textDirection w:val="tbRlV"/>
            <w:vAlign w:val="top"/>
          </w:tcPr>
          <w:p w14:paraId="29B3437E">
            <w:pPr>
              <w:pStyle w:val="57"/>
              <w:spacing w:before="164" w:line="216" w:lineRule="auto"/>
              <w:ind w:right="12"/>
              <w:jc w:val="right"/>
              <w:rPr>
                <w:color w:val="auto"/>
                <w:highlight w:val="none"/>
              </w:rPr>
            </w:pPr>
            <w:r>
              <w:rPr>
                <w:color w:val="auto"/>
                <w:spacing w:val="9"/>
                <w:highlight w:val="none"/>
              </w:rPr>
              <w:t>机</w:t>
            </w:r>
            <w:r>
              <w:rPr>
                <w:color w:val="auto"/>
                <w:spacing w:val="-7"/>
                <w:highlight w:val="none"/>
              </w:rPr>
              <w:t xml:space="preserve"> </w:t>
            </w:r>
            <w:r>
              <w:rPr>
                <w:color w:val="auto"/>
                <w:spacing w:val="9"/>
                <w:highlight w:val="none"/>
              </w:rPr>
              <w:t>械</w:t>
            </w:r>
            <w:r>
              <w:rPr>
                <w:color w:val="auto"/>
                <w:spacing w:val="-10"/>
                <w:highlight w:val="none"/>
              </w:rPr>
              <w:t xml:space="preserve"> </w:t>
            </w:r>
            <w:r>
              <w:rPr>
                <w:color w:val="auto"/>
                <w:spacing w:val="9"/>
                <w:highlight w:val="none"/>
              </w:rPr>
              <w:t>设</w:t>
            </w:r>
            <w:r>
              <w:rPr>
                <w:color w:val="auto"/>
                <w:spacing w:val="-10"/>
                <w:highlight w:val="none"/>
              </w:rPr>
              <w:t xml:space="preserve"> </w:t>
            </w:r>
            <w:r>
              <w:rPr>
                <w:color w:val="auto"/>
                <w:spacing w:val="9"/>
                <w:highlight w:val="none"/>
              </w:rPr>
              <w:t>备</w:t>
            </w:r>
            <w:r>
              <w:rPr>
                <w:color w:val="auto"/>
                <w:spacing w:val="-9"/>
                <w:highlight w:val="none"/>
              </w:rPr>
              <w:t xml:space="preserve"> </w:t>
            </w:r>
            <w:r>
              <w:rPr>
                <w:color w:val="auto"/>
                <w:spacing w:val="9"/>
                <w:highlight w:val="none"/>
              </w:rPr>
              <w:t>防</w:t>
            </w:r>
            <w:r>
              <w:rPr>
                <w:color w:val="auto"/>
                <w:spacing w:val="-10"/>
                <w:highlight w:val="none"/>
              </w:rPr>
              <w:t xml:space="preserve"> </w:t>
            </w:r>
            <w:r>
              <w:rPr>
                <w:color w:val="auto"/>
                <w:spacing w:val="9"/>
                <w:highlight w:val="none"/>
              </w:rPr>
              <w:t>护</w:t>
            </w:r>
          </w:p>
        </w:tc>
        <w:tc>
          <w:tcPr>
            <w:tcW w:w="1541" w:type="dxa"/>
            <w:vAlign w:val="top"/>
          </w:tcPr>
          <w:p w14:paraId="42615D0D">
            <w:pPr>
              <w:pStyle w:val="57"/>
              <w:spacing w:before="254" w:line="228" w:lineRule="auto"/>
              <w:ind w:left="262"/>
              <w:rPr>
                <w:color w:val="auto"/>
                <w:highlight w:val="none"/>
              </w:rPr>
            </w:pPr>
            <w:r>
              <w:rPr>
                <w:color w:val="auto"/>
                <w:spacing w:val="4"/>
                <w:highlight w:val="none"/>
              </w:rPr>
              <w:t>中小型机械</w:t>
            </w:r>
          </w:p>
        </w:tc>
        <w:tc>
          <w:tcPr>
            <w:tcW w:w="6642" w:type="dxa"/>
            <w:tcBorders>
              <w:right w:val="single" w:color="000000" w:sz="10" w:space="0"/>
            </w:tcBorders>
            <w:vAlign w:val="top"/>
          </w:tcPr>
          <w:p w14:paraId="0F8132F7">
            <w:pPr>
              <w:pStyle w:val="57"/>
              <w:spacing w:before="255" w:line="228" w:lineRule="auto"/>
              <w:ind w:left="112"/>
              <w:rPr>
                <w:color w:val="auto"/>
                <w:highlight w:val="none"/>
              </w:rPr>
            </w:pPr>
            <w:r>
              <w:rPr>
                <w:color w:val="auto"/>
                <w:spacing w:val="8"/>
                <w:highlight w:val="none"/>
              </w:rPr>
              <w:t>设防护棚（同通道口防护并有防雨措施）。</w:t>
            </w:r>
          </w:p>
        </w:tc>
      </w:tr>
      <w:tr w14:paraId="07202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750" w:type="dxa"/>
            <w:vMerge w:val="continue"/>
            <w:tcBorders>
              <w:top w:val="nil"/>
              <w:left w:val="single" w:color="000000" w:sz="10" w:space="0"/>
              <w:bottom w:val="nil"/>
            </w:tcBorders>
            <w:vAlign w:val="top"/>
          </w:tcPr>
          <w:p w14:paraId="6A9883AE">
            <w:pPr>
              <w:rPr>
                <w:rFonts w:ascii="Arial"/>
                <w:color w:val="auto"/>
                <w:sz w:val="21"/>
                <w:highlight w:val="none"/>
              </w:rPr>
            </w:pPr>
          </w:p>
        </w:tc>
        <w:tc>
          <w:tcPr>
            <w:tcW w:w="523" w:type="dxa"/>
            <w:vMerge w:val="continue"/>
            <w:tcBorders>
              <w:top w:val="nil"/>
            </w:tcBorders>
            <w:textDirection w:val="tbRlV"/>
            <w:vAlign w:val="top"/>
          </w:tcPr>
          <w:p w14:paraId="68FEEB6C">
            <w:pPr>
              <w:rPr>
                <w:rFonts w:ascii="Arial"/>
                <w:color w:val="auto"/>
                <w:sz w:val="21"/>
                <w:highlight w:val="none"/>
              </w:rPr>
            </w:pPr>
          </w:p>
        </w:tc>
        <w:tc>
          <w:tcPr>
            <w:tcW w:w="1541" w:type="dxa"/>
            <w:vAlign w:val="top"/>
          </w:tcPr>
          <w:p w14:paraId="7D11632A">
            <w:pPr>
              <w:spacing w:line="429" w:lineRule="auto"/>
              <w:rPr>
                <w:rFonts w:ascii="Arial"/>
                <w:color w:val="auto"/>
                <w:sz w:val="21"/>
                <w:highlight w:val="none"/>
              </w:rPr>
            </w:pPr>
          </w:p>
          <w:p w14:paraId="4D66B628">
            <w:pPr>
              <w:pStyle w:val="57"/>
              <w:spacing w:before="65" w:line="228" w:lineRule="auto"/>
              <w:ind w:left="140"/>
              <w:rPr>
                <w:color w:val="auto"/>
                <w:highlight w:val="none"/>
              </w:rPr>
            </w:pPr>
            <w:r>
              <w:rPr>
                <w:color w:val="auto"/>
                <w:spacing w:val="8"/>
                <w:highlight w:val="none"/>
              </w:rPr>
              <w:t>垂直运输设备</w:t>
            </w:r>
          </w:p>
        </w:tc>
        <w:tc>
          <w:tcPr>
            <w:tcW w:w="6642" w:type="dxa"/>
            <w:tcBorders>
              <w:right w:val="single" w:color="000000" w:sz="10" w:space="0"/>
            </w:tcBorders>
            <w:vAlign w:val="top"/>
          </w:tcPr>
          <w:p w14:paraId="0C01D4D1">
            <w:pPr>
              <w:pStyle w:val="57"/>
              <w:spacing w:before="197" w:line="228" w:lineRule="auto"/>
              <w:ind w:left="124"/>
              <w:rPr>
                <w:color w:val="auto"/>
                <w:highlight w:val="none"/>
              </w:rPr>
            </w:pPr>
            <w:r>
              <w:rPr>
                <w:color w:val="auto"/>
                <w:spacing w:val="5"/>
                <w:highlight w:val="none"/>
              </w:rPr>
              <w:t>1.垂直运输设备检测、检验、</w:t>
            </w:r>
            <w:r>
              <w:rPr>
                <w:color w:val="auto"/>
                <w:spacing w:val="-31"/>
                <w:highlight w:val="none"/>
              </w:rPr>
              <w:t xml:space="preserve"> </w:t>
            </w:r>
            <w:r>
              <w:rPr>
                <w:color w:val="auto"/>
                <w:spacing w:val="5"/>
                <w:highlight w:val="none"/>
              </w:rPr>
              <w:t>日常维护、保养等。</w:t>
            </w:r>
          </w:p>
          <w:p w14:paraId="25EFBC9C">
            <w:pPr>
              <w:pStyle w:val="57"/>
              <w:spacing w:before="51" w:line="253" w:lineRule="auto"/>
              <w:ind w:left="107" w:right="96" w:firstLine="3"/>
              <w:rPr>
                <w:color w:val="auto"/>
                <w:highlight w:val="none"/>
              </w:rPr>
            </w:pPr>
            <w:r>
              <w:rPr>
                <w:color w:val="auto"/>
                <w:spacing w:val="10"/>
                <w:highlight w:val="none"/>
              </w:rPr>
              <w:t>2.物料提升机、施工电梯等物料平台搭设、外侧用密目式安全</w:t>
            </w:r>
            <w:r>
              <w:rPr>
                <w:color w:val="auto"/>
                <w:spacing w:val="9"/>
                <w:highlight w:val="none"/>
              </w:rPr>
              <w:t>立网全封闭，有安全通道、安全防护门、防护棚等。</w:t>
            </w:r>
          </w:p>
        </w:tc>
      </w:tr>
      <w:tr w14:paraId="78ACA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50" w:type="dxa"/>
            <w:vMerge w:val="continue"/>
            <w:tcBorders>
              <w:top w:val="nil"/>
              <w:left w:val="single" w:color="000000" w:sz="10" w:space="0"/>
              <w:bottom w:val="nil"/>
            </w:tcBorders>
            <w:vAlign w:val="top"/>
          </w:tcPr>
          <w:p w14:paraId="7CE923F0">
            <w:pPr>
              <w:rPr>
                <w:rFonts w:ascii="Arial"/>
                <w:color w:val="auto"/>
                <w:sz w:val="21"/>
                <w:highlight w:val="none"/>
              </w:rPr>
            </w:pPr>
          </w:p>
        </w:tc>
        <w:tc>
          <w:tcPr>
            <w:tcW w:w="2064" w:type="dxa"/>
            <w:gridSpan w:val="2"/>
            <w:vAlign w:val="top"/>
          </w:tcPr>
          <w:p w14:paraId="42CDF4A5">
            <w:pPr>
              <w:pStyle w:val="57"/>
              <w:spacing w:before="182" w:line="227" w:lineRule="auto"/>
              <w:ind w:left="402"/>
              <w:rPr>
                <w:color w:val="auto"/>
                <w:highlight w:val="none"/>
              </w:rPr>
            </w:pPr>
            <w:r>
              <w:rPr>
                <w:color w:val="auto"/>
                <w:spacing w:val="8"/>
                <w:highlight w:val="none"/>
              </w:rPr>
              <w:t>专家论证审查</w:t>
            </w:r>
          </w:p>
        </w:tc>
        <w:tc>
          <w:tcPr>
            <w:tcW w:w="6642" w:type="dxa"/>
            <w:tcBorders>
              <w:right w:val="single" w:color="000000" w:sz="10" w:space="0"/>
            </w:tcBorders>
            <w:vAlign w:val="top"/>
          </w:tcPr>
          <w:p w14:paraId="24961101">
            <w:pPr>
              <w:pStyle w:val="57"/>
              <w:spacing w:before="182" w:line="227" w:lineRule="auto"/>
              <w:ind w:left="107"/>
              <w:rPr>
                <w:color w:val="auto"/>
                <w:highlight w:val="none"/>
              </w:rPr>
            </w:pPr>
            <w:r>
              <w:rPr>
                <w:color w:val="auto"/>
                <w:spacing w:val="9"/>
                <w:highlight w:val="none"/>
              </w:rPr>
              <w:t>超过一定规模的危险性较大分部分项工程专家论证审查。</w:t>
            </w:r>
          </w:p>
        </w:tc>
      </w:tr>
      <w:tr w14:paraId="03E7C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50" w:type="dxa"/>
            <w:vMerge w:val="continue"/>
            <w:tcBorders>
              <w:top w:val="nil"/>
              <w:left w:val="single" w:color="000000" w:sz="10" w:space="0"/>
              <w:bottom w:val="nil"/>
            </w:tcBorders>
            <w:vAlign w:val="top"/>
          </w:tcPr>
          <w:p w14:paraId="14972C5E">
            <w:pPr>
              <w:rPr>
                <w:rFonts w:ascii="Arial"/>
                <w:color w:val="auto"/>
                <w:sz w:val="21"/>
                <w:highlight w:val="none"/>
              </w:rPr>
            </w:pPr>
          </w:p>
        </w:tc>
        <w:tc>
          <w:tcPr>
            <w:tcW w:w="2064" w:type="dxa"/>
            <w:gridSpan w:val="2"/>
            <w:vAlign w:val="top"/>
          </w:tcPr>
          <w:p w14:paraId="57B9CE89">
            <w:pPr>
              <w:pStyle w:val="57"/>
              <w:spacing w:before="183" w:line="228" w:lineRule="auto"/>
              <w:ind w:left="401"/>
              <w:rPr>
                <w:color w:val="auto"/>
                <w:highlight w:val="none"/>
              </w:rPr>
            </w:pPr>
            <w:r>
              <w:rPr>
                <w:color w:val="auto"/>
                <w:spacing w:val="8"/>
                <w:highlight w:val="none"/>
              </w:rPr>
              <w:t>应急救援预案</w:t>
            </w:r>
          </w:p>
        </w:tc>
        <w:tc>
          <w:tcPr>
            <w:tcW w:w="6642" w:type="dxa"/>
            <w:tcBorders>
              <w:right w:val="single" w:color="000000" w:sz="10" w:space="0"/>
            </w:tcBorders>
            <w:vAlign w:val="top"/>
          </w:tcPr>
          <w:p w14:paraId="204BC071">
            <w:pPr>
              <w:pStyle w:val="57"/>
              <w:spacing w:before="182" w:line="226" w:lineRule="auto"/>
              <w:ind w:left="110"/>
              <w:rPr>
                <w:color w:val="auto"/>
                <w:highlight w:val="none"/>
              </w:rPr>
            </w:pPr>
            <w:r>
              <w:rPr>
                <w:color w:val="auto"/>
                <w:spacing w:val="7"/>
                <w:highlight w:val="none"/>
              </w:rPr>
              <w:t>救援器材准备及演练等。</w:t>
            </w:r>
          </w:p>
        </w:tc>
      </w:tr>
      <w:tr w14:paraId="3CD82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50" w:type="dxa"/>
            <w:vMerge w:val="continue"/>
            <w:tcBorders>
              <w:top w:val="nil"/>
              <w:left w:val="single" w:color="000000" w:sz="10" w:space="0"/>
              <w:bottom w:val="single" w:color="000000" w:sz="10" w:space="0"/>
            </w:tcBorders>
            <w:vAlign w:val="top"/>
          </w:tcPr>
          <w:p w14:paraId="49AC4630">
            <w:pPr>
              <w:rPr>
                <w:rFonts w:ascii="Arial"/>
                <w:color w:val="auto"/>
                <w:sz w:val="21"/>
                <w:highlight w:val="none"/>
              </w:rPr>
            </w:pPr>
          </w:p>
        </w:tc>
        <w:tc>
          <w:tcPr>
            <w:tcW w:w="2064" w:type="dxa"/>
            <w:gridSpan w:val="2"/>
            <w:tcBorders>
              <w:bottom w:val="single" w:color="000000" w:sz="10" w:space="0"/>
            </w:tcBorders>
            <w:vAlign w:val="top"/>
          </w:tcPr>
          <w:p w14:paraId="11D914E8">
            <w:pPr>
              <w:pStyle w:val="57"/>
              <w:spacing w:before="235" w:line="229" w:lineRule="auto"/>
              <w:ind w:left="299"/>
              <w:rPr>
                <w:color w:val="auto"/>
                <w:highlight w:val="none"/>
              </w:rPr>
            </w:pPr>
            <w:r>
              <w:rPr>
                <w:color w:val="auto"/>
                <w:spacing w:val="8"/>
                <w:highlight w:val="none"/>
              </w:rPr>
              <w:t>非正常情况施工</w:t>
            </w:r>
          </w:p>
        </w:tc>
        <w:tc>
          <w:tcPr>
            <w:tcW w:w="6642" w:type="dxa"/>
            <w:tcBorders>
              <w:bottom w:val="single" w:color="000000" w:sz="10" w:space="0"/>
              <w:right w:val="single" w:color="000000" w:sz="10" w:space="0"/>
            </w:tcBorders>
            <w:vAlign w:val="top"/>
          </w:tcPr>
          <w:p w14:paraId="6A366A8A">
            <w:pPr>
              <w:pStyle w:val="57"/>
              <w:spacing w:before="84" w:line="246" w:lineRule="auto"/>
              <w:ind w:left="110" w:right="96" w:hanging="1"/>
              <w:rPr>
                <w:color w:val="auto"/>
                <w:highlight w:val="none"/>
              </w:rPr>
            </w:pPr>
            <w:r>
              <w:rPr>
                <w:color w:val="auto"/>
                <w:spacing w:val="7"/>
                <w:highlight w:val="none"/>
              </w:rPr>
              <w:t>其它特殊情况下的防护费用，如：城市主干道、人流密集、河边等处施</w:t>
            </w:r>
            <w:r>
              <w:rPr>
                <w:color w:val="auto"/>
                <w:spacing w:val="8"/>
                <w:highlight w:val="none"/>
              </w:rPr>
              <w:t>工及文物、古建筑、古树保护等。</w:t>
            </w:r>
          </w:p>
        </w:tc>
      </w:tr>
    </w:tbl>
    <w:p w14:paraId="3DF7C7BF">
      <w:pPr>
        <w:spacing w:line="327" w:lineRule="auto"/>
        <w:rPr>
          <w:rFonts w:ascii="Arial"/>
          <w:color w:val="auto"/>
          <w:sz w:val="21"/>
          <w:highlight w:val="none"/>
        </w:rPr>
      </w:pPr>
    </w:p>
    <w:p w14:paraId="4E9A8291">
      <w:pPr>
        <w:pStyle w:val="10"/>
        <w:spacing w:before="65" w:line="304" w:lineRule="auto"/>
        <w:ind w:left="21" w:right="173"/>
        <w:rPr>
          <w:color w:val="auto"/>
          <w:sz w:val="20"/>
          <w:szCs w:val="20"/>
          <w:highlight w:val="none"/>
        </w:rPr>
      </w:pPr>
      <w:r>
        <w:rPr>
          <w:color w:val="auto"/>
          <w:spacing w:val="11"/>
          <w:sz w:val="20"/>
          <w:szCs w:val="20"/>
          <w:highlight w:val="none"/>
        </w:rPr>
        <w:t>注：本表所列建筑工程安全文明施工费，是依据现行法律法规及标准规范确定的。如法律法规和标准</w:t>
      </w:r>
      <w:r>
        <w:rPr>
          <w:color w:val="auto"/>
          <w:spacing w:val="9"/>
          <w:sz w:val="20"/>
          <w:szCs w:val="20"/>
          <w:highlight w:val="none"/>
        </w:rPr>
        <w:t>规范修订，本表所列项目应按照修订后的法律法规和标准规范进行调整。</w:t>
      </w:r>
    </w:p>
    <w:p w14:paraId="217527BC">
      <w:pPr>
        <w:spacing w:line="304" w:lineRule="auto"/>
        <w:rPr>
          <w:color w:val="auto"/>
          <w:sz w:val="20"/>
          <w:szCs w:val="20"/>
          <w:highlight w:val="none"/>
        </w:rPr>
        <w:sectPr>
          <w:footerReference r:id="rId13" w:type="default"/>
          <w:pgSz w:w="11905" w:h="16839"/>
          <w:pgMar w:top="400" w:right="1133" w:bottom="1079" w:left="1289" w:header="0" w:footer="843" w:gutter="0"/>
          <w:pgNumType w:fmt="decimal"/>
          <w:cols w:space="720" w:num="1"/>
        </w:sectPr>
      </w:pPr>
    </w:p>
    <w:p w14:paraId="2448114A">
      <w:pPr>
        <w:pStyle w:val="10"/>
        <w:spacing w:before="97" w:line="220" w:lineRule="auto"/>
        <w:ind w:left="3025"/>
        <w:rPr>
          <w:color w:val="auto"/>
          <w:sz w:val="30"/>
          <w:szCs w:val="30"/>
          <w:highlight w:val="none"/>
        </w:rPr>
      </w:pPr>
      <w:r>
        <w:rPr>
          <w:b/>
          <w:bCs/>
          <w:color w:val="auto"/>
          <w:spacing w:val="-6"/>
          <w:sz w:val="30"/>
          <w:szCs w:val="30"/>
          <w:highlight w:val="none"/>
        </w:rPr>
        <w:t>中小企业声明函（工程）</w:t>
      </w:r>
    </w:p>
    <w:p w14:paraId="65026DD5">
      <w:pPr>
        <w:spacing w:line="441" w:lineRule="auto"/>
        <w:rPr>
          <w:rFonts w:ascii="Arial"/>
          <w:color w:val="auto"/>
          <w:sz w:val="21"/>
          <w:highlight w:val="none"/>
        </w:rPr>
      </w:pPr>
    </w:p>
    <w:p w14:paraId="57CE9F4C">
      <w:pPr>
        <w:pStyle w:val="10"/>
        <w:spacing w:before="65" w:line="462" w:lineRule="auto"/>
        <w:ind w:right="196" w:firstLine="420"/>
        <w:jc w:val="both"/>
        <w:rPr>
          <w:color w:val="auto"/>
          <w:sz w:val="24"/>
          <w:szCs w:val="24"/>
          <w:highlight w:val="none"/>
        </w:rPr>
      </w:pPr>
      <w:r>
        <w:rPr>
          <w:color w:val="auto"/>
          <w:spacing w:val="11"/>
          <w:sz w:val="24"/>
          <w:szCs w:val="24"/>
          <w:highlight w:val="none"/>
        </w:rPr>
        <w:t>本公司（联合体）郑重声明，根据《政府采购促进中小企业发展管理办法</w:t>
      </w:r>
      <w:r>
        <w:rPr>
          <w:color w:val="auto"/>
          <w:spacing w:val="10"/>
          <w:sz w:val="24"/>
          <w:szCs w:val="24"/>
          <w:highlight w:val="none"/>
        </w:rPr>
        <w:t>》</w:t>
      </w:r>
      <w:r>
        <w:rPr>
          <w:color w:val="auto"/>
          <w:spacing w:val="-77"/>
          <w:sz w:val="24"/>
          <w:szCs w:val="24"/>
          <w:highlight w:val="none"/>
        </w:rPr>
        <w:t xml:space="preserve"> </w:t>
      </w:r>
      <w:r>
        <w:rPr>
          <w:color w:val="auto"/>
          <w:spacing w:val="10"/>
          <w:sz w:val="24"/>
          <w:szCs w:val="24"/>
          <w:highlight w:val="none"/>
        </w:rPr>
        <w:t>（财库</w:t>
      </w:r>
      <w:r>
        <w:rPr>
          <w:color w:val="auto"/>
          <w:spacing w:val="-71"/>
          <w:sz w:val="24"/>
          <w:szCs w:val="24"/>
          <w:highlight w:val="none"/>
        </w:rPr>
        <w:t xml:space="preserve"> </w:t>
      </w:r>
      <w:r>
        <w:rPr>
          <w:color w:val="auto"/>
          <w:spacing w:val="10"/>
          <w:sz w:val="24"/>
          <w:szCs w:val="24"/>
          <w:highlight w:val="none"/>
        </w:rPr>
        <w:t>﹝2020﹞46</w:t>
      </w:r>
      <w:r>
        <w:rPr>
          <w:color w:val="auto"/>
          <w:sz w:val="24"/>
          <w:szCs w:val="24"/>
          <w:highlight w:val="none"/>
        </w:rPr>
        <w:t xml:space="preserve"> </w:t>
      </w:r>
      <w:r>
        <w:rPr>
          <w:color w:val="auto"/>
          <w:spacing w:val="8"/>
          <w:sz w:val="24"/>
          <w:szCs w:val="24"/>
          <w:highlight w:val="none"/>
        </w:rPr>
        <w:t>号）的规定，本公司（联合体）参加</w:t>
      </w:r>
      <w:r>
        <w:rPr>
          <w:color w:val="auto"/>
          <w:spacing w:val="8"/>
          <w:sz w:val="24"/>
          <w:szCs w:val="24"/>
          <w:highlight w:val="none"/>
          <w:u w:val="single" w:color="auto"/>
        </w:rPr>
        <w:t>（单位名称）</w:t>
      </w:r>
      <w:r>
        <w:rPr>
          <w:color w:val="auto"/>
          <w:spacing w:val="8"/>
          <w:sz w:val="24"/>
          <w:szCs w:val="24"/>
          <w:highlight w:val="none"/>
        </w:rPr>
        <w:t>的</w:t>
      </w:r>
      <w:r>
        <w:rPr>
          <w:color w:val="auto"/>
          <w:spacing w:val="8"/>
          <w:sz w:val="24"/>
          <w:szCs w:val="24"/>
          <w:highlight w:val="none"/>
          <w:u w:val="single" w:color="auto"/>
        </w:rPr>
        <w:t>（项目名称）</w:t>
      </w:r>
      <w:r>
        <w:rPr>
          <w:color w:val="auto"/>
          <w:spacing w:val="8"/>
          <w:sz w:val="24"/>
          <w:szCs w:val="24"/>
          <w:highlight w:val="none"/>
        </w:rPr>
        <w:t>采购活动，工程</w:t>
      </w:r>
      <w:r>
        <w:rPr>
          <w:color w:val="auto"/>
          <w:spacing w:val="7"/>
          <w:sz w:val="24"/>
          <w:szCs w:val="24"/>
          <w:highlight w:val="none"/>
        </w:rPr>
        <w:t>的施工单位全部为</w:t>
      </w:r>
      <w:r>
        <w:rPr>
          <w:color w:val="auto"/>
          <w:spacing w:val="8"/>
          <w:sz w:val="24"/>
          <w:szCs w:val="24"/>
          <w:highlight w:val="none"/>
        </w:rPr>
        <w:t>符合政策要求的中小企业。相关企业（含联合体中的中小企业、签订分包意向协议</w:t>
      </w:r>
      <w:r>
        <w:rPr>
          <w:color w:val="auto"/>
          <w:spacing w:val="7"/>
          <w:sz w:val="24"/>
          <w:szCs w:val="24"/>
          <w:highlight w:val="none"/>
        </w:rPr>
        <w:t>的中小企业）的具</w:t>
      </w:r>
      <w:r>
        <w:rPr>
          <w:color w:val="auto"/>
          <w:spacing w:val="6"/>
          <w:sz w:val="24"/>
          <w:szCs w:val="24"/>
          <w:highlight w:val="none"/>
        </w:rPr>
        <w:t>体情况如下：</w:t>
      </w:r>
    </w:p>
    <w:p w14:paraId="45C281A8">
      <w:pPr>
        <w:pStyle w:val="10"/>
        <w:spacing w:before="117" w:line="345" w:lineRule="auto"/>
        <w:ind w:left="2" w:right="197" w:firstLine="616"/>
        <w:rPr>
          <w:color w:val="auto"/>
          <w:sz w:val="24"/>
          <w:szCs w:val="24"/>
          <w:highlight w:val="none"/>
        </w:rPr>
      </w:pPr>
      <w:r>
        <w:rPr>
          <w:color w:val="auto"/>
          <w:spacing w:val="8"/>
          <w:sz w:val="24"/>
          <w:szCs w:val="24"/>
          <w:highlight w:val="none"/>
        </w:rPr>
        <w:t>1.</w:t>
      </w:r>
      <w:r>
        <w:rPr>
          <w:color w:val="auto"/>
          <w:spacing w:val="8"/>
          <w:sz w:val="24"/>
          <w:szCs w:val="24"/>
          <w:highlight w:val="none"/>
          <w:u w:val="single" w:color="auto"/>
        </w:rPr>
        <w:t>（标的名称</w:t>
      </w:r>
      <w:r>
        <w:rPr>
          <w:color w:val="auto"/>
          <w:spacing w:val="7"/>
          <w:sz w:val="24"/>
          <w:szCs w:val="24"/>
          <w:highlight w:val="none"/>
          <w:u w:val="single" w:color="auto"/>
        </w:rPr>
        <w:t>）</w:t>
      </w:r>
      <w:r>
        <w:rPr>
          <w:color w:val="auto"/>
          <w:spacing w:val="7"/>
          <w:sz w:val="24"/>
          <w:szCs w:val="24"/>
          <w:highlight w:val="none"/>
        </w:rPr>
        <w:t>，</w:t>
      </w:r>
      <w:r>
        <w:rPr>
          <w:color w:val="auto"/>
          <w:spacing w:val="8"/>
          <w:sz w:val="24"/>
          <w:szCs w:val="24"/>
          <w:highlight w:val="none"/>
        </w:rPr>
        <w:t>属于</w:t>
      </w:r>
      <w:r>
        <w:rPr>
          <w:color w:val="auto"/>
          <w:spacing w:val="8"/>
          <w:sz w:val="24"/>
          <w:szCs w:val="24"/>
          <w:highlight w:val="none"/>
          <w:u w:val="single" w:color="auto"/>
        </w:rPr>
        <w:t>（采购文件中明确的所属行业</w:t>
      </w:r>
      <w:r>
        <w:rPr>
          <w:color w:val="auto"/>
          <w:spacing w:val="7"/>
          <w:sz w:val="24"/>
          <w:szCs w:val="24"/>
          <w:highlight w:val="none"/>
          <w:u w:val="single" w:color="auto"/>
        </w:rPr>
        <w:t>）</w:t>
      </w:r>
      <w:r>
        <w:rPr>
          <w:color w:val="auto"/>
          <w:spacing w:val="7"/>
          <w:sz w:val="24"/>
          <w:szCs w:val="24"/>
          <w:highlight w:val="none"/>
        </w:rPr>
        <w:t>；</w:t>
      </w:r>
      <w:r>
        <w:rPr>
          <w:color w:val="auto"/>
          <w:spacing w:val="8"/>
          <w:sz w:val="24"/>
          <w:szCs w:val="24"/>
          <w:highlight w:val="none"/>
        </w:rPr>
        <w:t>承建企业为</w:t>
      </w:r>
      <w:r>
        <w:rPr>
          <w:color w:val="auto"/>
          <w:spacing w:val="8"/>
          <w:sz w:val="24"/>
          <w:szCs w:val="24"/>
          <w:highlight w:val="none"/>
          <w:u w:val="single" w:color="auto"/>
        </w:rPr>
        <w:t>（企业名称</w:t>
      </w:r>
      <w:r>
        <w:rPr>
          <w:color w:val="auto"/>
          <w:spacing w:val="7"/>
          <w:sz w:val="24"/>
          <w:szCs w:val="24"/>
          <w:highlight w:val="none"/>
          <w:u w:val="single" w:color="auto"/>
        </w:rPr>
        <w:t>）</w:t>
      </w:r>
      <w:r>
        <w:rPr>
          <w:color w:val="auto"/>
          <w:spacing w:val="7"/>
          <w:sz w:val="24"/>
          <w:szCs w:val="24"/>
          <w:highlight w:val="none"/>
        </w:rPr>
        <w:t>，从业人员</w:t>
      </w:r>
      <w:r>
        <w:rPr>
          <w:color w:val="auto"/>
          <w:spacing w:val="9"/>
          <w:sz w:val="24"/>
          <w:szCs w:val="24"/>
          <w:highlight w:val="none"/>
        </w:rPr>
        <w:t>人，营业收入为</w:t>
      </w:r>
      <w:r>
        <w:rPr>
          <w:color w:val="auto"/>
          <w:spacing w:val="-98"/>
          <w:sz w:val="24"/>
          <w:szCs w:val="24"/>
          <w:highlight w:val="none"/>
        </w:rPr>
        <w:t xml:space="preserve"> </w:t>
      </w:r>
      <w:r>
        <w:rPr>
          <w:color w:val="auto"/>
          <w:spacing w:val="4"/>
          <w:sz w:val="24"/>
          <w:szCs w:val="24"/>
          <w:highlight w:val="none"/>
          <w:u w:val="single" w:color="auto"/>
        </w:rPr>
        <w:t xml:space="preserve">  </w:t>
      </w:r>
      <w:r>
        <w:rPr>
          <w:color w:val="auto"/>
          <w:spacing w:val="-86"/>
          <w:sz w:val="24"/>
          <w:szCs w:val="24"/>
          <w:highlight w:val="none"/>
        </w:rPr>
        <w:t xml:space="preserve"> </w:t>
      </w:r>
      <w:r>
        <w:rPr>
          <w:color w:val="auto"/>
          <w:spacing w:val="9"/>
          <w:sz w:val="24"/>
          <w:szCs w:val="24"/>
          <w:highlight w:val="none"/>
        </w:rPr>
        <w:t>万元，资产总额为</w:t>
      </w:r>
      <w:r>
        <w:rPr>
          <w:color w:val="auto"/>
          <w:spacing w:val="-98"/>
          <w:sz w:val="24"/>
          <w:szCs w:val="24"/>
          <w:highlight w:val="none"/>
        </w:rPr>
        <w:t xml:space="preserve"> </w:t>
      </w:r>
      <w:r>
        <w:rPr>
          <w:color w:val="auto"/>
          <w:spacing w:val="5"/>
          <w:sz w:val="24"/>
          <w:szCs w:val="24"/>
          <w:highlight w:val="none"/>
          <w:u w:val="single" w:color="auto"/>
        </w:rPr>
        <w:t xml:space="preserve">  </w:t>
      </w:r>
      <w:r>
        <w:rPr>
          <w:color w:val="auto"/>
          <w:spacing w:val="-85"/>
          <w:sz w:val="24"/>
          <w:szCs w:val="24"/>
          <w:highlight w:val="none"/>
        </w:rPr>
        <w:t xml:space="preserve"> </w:t>
      </w:r>
      <w:r>
        <w:rPr>
          <w:color w:val="auto"/>
          <w:spacing w:val="9"/>
          <w:sz w:val="24"/>
          <w:szCs w:val="24"/>
          <w:highlight w:val="none"/>
        </w:rPr>
        <w:t>万元，属于</w:t>
      </w:r>
      <w:r>
        <w:rPr>
          <w:color w:val="auto"/>
          <w:spacing w:val="9"/>
          <w:sz w:val="24"/>
          <w:szCs w:val="24"/>
          <w:highlight w:val="none"/>
          <w:u w:val="single" w:color="auto"/>
        </w:rPr>
        <w:t>（中型企业、小</w:t>
      </w:r>
      <w:r>
        <w:rPr>
          <w:color w:val="auto"/>
          <w:spacing w:val="8"/>
          <w:sz w:val="24"/>
          <w:szCs w:val="24"/>
          <w:highlight w:val="none"/>
          <w:u w:val="single" w:color="auto"/>
        </w:rPr>
        <w:t>型企业、微型企业</w:t>
      </w:r>
      <w:r>
        <w:rPr>
          <w:color w:val="auto"/>
          <w:sz w:val="24"/>
          <w:szCs w:val="24"/>
          <w:highlight w:val="none"/>
          <w:u w:val="single" w:color="auto"/>
        </w:rPr>
        <w:t>）</w:t>
      </w:r>
      <w:r>
        <w:rPr>
          <w:color w:val="auto"/>
          <w:sz w:val="24"/>
          <w:szCs w:val="24"/>
          <w:highlight w:val="none"/>
        </w:rPr>
        <w:t>；</w:t>
      </w:r>
    </w:p>
    <w:p w14:paraId="0BBF53B9">
      <w:pPr>
        <w:pStyle w:val="10"/>
        <w:spacing w:before="272" w:line="345" w:lineRule="auto"/>
        <w:ind w:left="2" w:right="140" w:firstLine="603"/>
        <w:rPr>
          <w:color w:val="auto"/>
          <w:sz w:val="24"/>
          <w:szCs w:val="24"/>
          <w:highlight w:val="none"/>
        </w:rPr>
      </w:pPr>
      <w:r>
        <w:rPr>
          <w:color w:val="auto"/>
          <w:spacing w:val="9"/>
          <w:sz w:val="24"/>
          <w:szCs w:val="24"/>
          <w:highlight w:val="none"/>
        </w:rPr>
        <w:t>2.</w:t>
      </w:r>
      <w:r>
        <w:rPr>
          <w:color w:val="auto"/>
          <w:spacing w:val="9"/>
          <w:sz w:val="24"/>
          <w:szCs w:val="24"/>
          <w:highlight w:val="none"/>
          <w:u w:val="single" w:color="auto"/>
        </w:rPr>
        <w:t>（标的名称</w:t>
      </w:r>
      <w:r>
        <w:rPr>
          <w:color w:val="auto"/>
          <w:spacing w:val="13"/>
          <w:sz w:val="24"/>
          <w:szCs w:val="24"/>
          <w:highlight w:val="none"/>
          <w:u w:val="single" w:color="auto"/>
        </w:rPr>
        <w:t>）</w:t>
      </w:r>
      <w:r>
        <w:rPr>
          <w:color w:val="auto"/>
          <w:spacing w:val="13"/>
          <w:sz w:val="24"/>
          <w:szCs w:val="24"/>
          <w:highlight w:val="none"/>
        </w:rPr>
        <w:t>，</w:t>
      </w:r>
      <w:r>
        <w:rPr>
          <w:color w:val="auto"/>
          <w:spacing w:val="9"/>
          <w:sz w:val="24"/>
          <w:szCs w:val="24"/>
          <w:highlight w:val="none"/>
        </w:rPr>
        <w:t>属于</w:t>
      </w:r>
      <w:r>
        <w:rPr>
          <w:color w:val="auto"/>
          <w:spacing w:val="9"/>
          <w:sz w:val="24"/>
          <w:szCs w:val="24"/>
          <w:highlight w:val="none"/>
          <w:u w:val="single" w:color="auto"/>
        </w:rPr>
        <w:t>（采购文件中明确的所属行业</w:t>
      </w:r>
      <w:r>
        <w:rPr>
          <w:color w:val="auto"/>
          <w:spacing w:val="13"/>
          <w:sz w:val="24"/>
          <w:szCs w:val="24"/>
          <w:highlight w:val="none"/>
          <w:u w:val="single" w:color="auto"/>
        </w:rPr>
        <w:t>）</w:t>
      </w:r>
      <w:r>
        <w:rPr>
          <w:color w:val="auto"/>
          <w:spacing w:val="13"/>
          <w:sz w:val="24"/>
          <w:szCs w:val="24"/>
          <w:highlight w:val="none"/>
        </w:rPr>
        <w:t>；</w:t>
      </w:r>
      <w:r>
        <w:rPr>
          <w:color w:val="auto"/>
          <w:spacing w:val="9"/>
          <w:sz w:val="24"/>
          <w:szCs w:val="24"/>
          <w:highlight w:val="none"/>
        </w:rPr>
        <w:t>承建企业为</w:t>
      </w:r>
      <w:r>
        <w:rPr>
          <w:color w:val="auto"/>
          <w:spacing w:val="9"/>
          <w:sz w:val="24"/>
          <w:szCs w:val="24"/>
          <w:highlight w:val="none"/>
          <w:u w:val="single" w:color="auto"/>
        </w:rPr>
        <w:t>（</w:t>
      </w:r>
      <w:r>
        <w:rPr>
          <w:color w:val="auto"/>
          <w:spacing w:val="8"/>
          <w:sz w:val="24"/>
          <w:szCs w:val="24"/>
          <w:highlight w:val="none"/>
          <w:u w:val="single" w:color="auto"/>
        </w:rPr>
        <w:t>企业名称</w:t>
      </w:r>
      <w:r>
        <w:rPr>
          <w:color w:val="auto"/>
          <w:spacing w:val="13"/>
          <w:sz w:val="24"/>
          <w:szCs w:val="24"/>
          <w:highlight w:val="none"/>
          <w:u w:val="single" w:color="auto"/>
        </w:rPr>
        <w:t>）</w:t>
      </w:r>
      <w:r>
        <w:rPr>
          <w:color w:val="auto"/>
          <w:spacing w:val="13"/>
          <w:sz w:val="24"/>
          <w:szCs w:val="24"/>
          <w:highlight w:val="none"/>
        </w:rPr>
        <w:t>，</w:t>
      </w:r>
      <w:r>
        <w:rPr>
          <w:color w:val="auto"/>
          <w:spacing w:val="8"/>
          <w:sz w:val="24"/>
          <w:szCs w:val="24"/>
          <w:highlight w:val="none"/>
        </w:rPr>
        <w:t>从业人员</w:t>
      </w:r>
      <w:r>
        <w:rPr>
          <w:color w:val="auto"/>
          <w:spacing w:val="9"/>
          <w:sz w:val="24"/>
          <w:szCs w:val="24"/>
          <w:highlight w:val="none"/>
        </w:rPr>
        <w:t>人，营业收入为</w:t>
      </w:r>
      <w:r>
        <w:rPr>
          <w:color w:val="auto"/>
          <w:spacing w:val="-98"/>
          <w:sz w:val="24"/>
          <w:szCs w:val="24"/>
          <w:highlight w:val="none"/>
        </w:rPr>
        <w:t xml:space="preserve"> </w:t>
      </w:r>
      <w:r>
        <w:rPr>
          <w:color w:val="auto"/>
          <w:spacing w:val="4"/>
          <w:sz w:val="24"/>
          <w:szCs w:val="24"/>
          <w:highlight w:val="none"/>
          <w:u w:val="single" w:color="auto"/>
        </w:rPr>
        <w:t xml:space="preserve">  </w:t>
      </w:r>
      <w:r>
        <w:rPr>
          <w:color w:val="auto"/>
          <w:spacing w:val="-86"/>
          <w:sz w:val="24"/>
          <w:szCs w:val="24"/>
          <w:highlight w:val="none"/>
        </w:rPr>
        <w:t xml:space="preserve"> </w:t>
      </w:r>
      <w:r>
        <w:rPr>
          <w:color w:val="auto"/>
          <w:spacing w:val="9"/>
          <w:sz w:val="24"/>
          <w:szCs w:val="24"/>
          <w:highlight w:val="none"/>
        </w:rPr>
        <w:t>万元，资产总额为</w:t>
      </w:r>
      <w:r>
        <w:rPr>
          <w:color w:val="auto"/>
          <w:spacing w:val="-98"/>
          <w:sz w:val="24"/>
          <w:szCs w:val="24"/>
          <w:highlight w:val="none"/>
        </w:rPr>
        <w:t xml:space="preserve"> </w:t>
      </w:r>
      <w:r>
        <w:rPr>
          <w:color w:val="auto"/>
          <w:spacing w:val="5"/>
          <w:sz w:val="24"/>
          <w:szCs w:val="24"/>
          <w:highlight w:val="none"/>
          <w:u w:val="single" w:color="auto"/>
        </w:rPr>
        <w:t xml:space="preserve">  </w:t>
      </w:r>
      <w:r>
        <w:rPr>
          <w:color w:val="auto"/>
          <w:spacing w:val="-85"/>
          <w:sz w:val="24"/>
          <w:szCs w:val="24"/>
          <w:highlight w:val="none"/>
        </w:rPr>
        <w:t xml:space="preserve"> </w:t>
      </w:r>
      <w:r>
        <w:rPr>
          <w:color w:val="auto"/>
          <w:spacing w:val="9"/>
          <w:sz w:val="24"/>
          <w:szCs w:val="24"/>
          <w:highlight w:val="none"/>
        </w:rPr>
        <w:t>万元，属于</w:t>
      </w:r>
      <w:r>
        <w:rPr>
          <w:color w:val="auto"/>
          <w:spacing w:val="9"/>
          <w:sz w:val="24"/>
          <w:szCs w:val="24"/>
          <w:highlight w:val="none"/>
          <w:u w:val="single" w:color="auto"/>
        </w:rPr>
        <w:t>（中型企业、小</w:t>
      </w:r>
      <w:r>
        <w:rPr>
          <w:color w:val="auto"/>
          <w:spacing w:val="8"/>
          <w:sz w:val="24"/>
          <w:szCs w:val="24"/>
          <w:highlight w:val="none"/>
          <w:u w:val="single" w:color="auto"/>
        </w:rPr>
        <w:t>型企业、微型企业</w:t>
      </w:r>
      <w:r>
        <w:rPr>
          <w:color w:val="auto"/>
          <w:sz w:val="24"/>
          <w:szCs w:val="24"/>
          <w:highlight w:val="none"/>
          <w:u w:val="single" w:color="auto"/>
        </w:rPr>
        <w:t>）</w:t>
      </w:r>
      <w:r>
        <w:rPr>
          <w:color w:val="auto"/>
          <w:sz w:val="24"/>
          <w:szCs w:val="24"/>
          <w:highlight w:val="none"/>
        </w:rPr>
        <w:t>；</w:t>
      </w:r>
    </w:p>
    <w:p w14:paraId="3B14FEC1">
      <w:pPr>
        <w:pStyle w:val="10"/>
        <w:spacing w:before="287" w:line="325" w:lineRule="exact"/>
        <w:ind w:left="774"/>
        <w:rPr>
          <w:color w:val="auto"/>
          <w:sz w:val="24"/>
          <w:szCs w:val="24"/>
          <w:highlight w:val="none"/>
        </w:rPr>
      </w:pPr>
      <w:r>
        <w:rPr>
          <w:color w:val="auto"/>
          <w:spacing w:val="-2"/>
          <w:position w:val="3"/>
          <w:sz w:val="24"/>
          <w:szCs w:val="24"/>
          <w:highlight w:val="none"/>
        </w:rPr>
        <w:t>……</w:t>
      </w:r>
    </w:p>
    <w:p w14:paraId="61BF4A3E">
      <w:pPr>
        <w:pStyle w:val="10"/>
        <w:spacing w:before="296" w:line="462" w:lineRule="auto"/>
        <w:ind w:left="8" w:right="197" w:firstLine="436"/>
        <w:rPr>
          <w:color w:val="auto"/>
          <w:sz w:val="24"/>
          <w:szCs w:val="24"/>
          <w:highlight w:val="none"/>
        </w:rPr>
      </w:pPr>
      <w:r>
        <w:rPr>
          <w:color w:val="auto"/>
          <w:spacing w:val="7"/>
          <w:sz w:val="24"/>
          <w:szCs w:val="24"/>
          <w:highlight w:val="none"/>
        </w:rPr>
        <w:t>以上企业，不属于大企业的分支机构，不存在控股股东为大企业的情形，也不存在与大企业的负责人为同一人的情形。</w:t>
      </w:r>
    </w:p>
    <w:p w14:paraId="1399D5D3">
      <w:pPr>
        <w:pStyle w:val="10"/>
        <w:spacing w:before="118" w:line="228" w:lineRule="auto"/>
        <w:ind w:left="421"/>
        <w:rPr>
          <w:color w:val="auto"/>
          <w:sz w:val="24"/>
          <w:szCs w:val="24"/>
          <w:highlight w:val="none"/>
        </w:rPr>
      </w:pPr>
      <w:r>
        <w:rPr>
          <w:color w:val="auto"/>
          <w:spacing w:val="9"/>
          <w:sz w:val="24"/>
          <w:szCs w:val="24"/>
          <w:highlight w:val="none"/>
        </w:rPr>
        <w:t>本企业对上述声明内容的真实性负责。如有虚假，将依法承担相应责任。</w:t>
      </w:r>
    </w:p>
    <w:p w14:paraId="34AEBE74">
      <w:pPr>
        <w:rPr>
          <w:rFonts w:ascii="Arial"/>
          <w:color w:val="auto"/>
          <w:sz w:val="24"/>
          <w:szCs w:val="24"/>
          <w:highlight w:val="none"/>
        </w:rPr>
      </w:pPr>
    </w:p>
    <w:p w14:paraId="31DE445D">
      <w:pPr>
        <w:spacing w:line="241" w:lineRule="auto"/>
        <w:rPr>
          <w:rFonts w:ascii="Arial"/>
          <w:color w:val="auto"/>
          <w:sz w:val="24"/>
          <w:szCs w:val="24"/>
          <w:highlight w:val="none"/>
        </w:rPr>
      </w:pPr>
    </w:p>
    <w:p w14:paraId="76C4CABE">
      <w:pPr>
        <w:spacing w:line="241" w:lineRule="auto"/>
        <w:rPr>
          <w:rFonts w:ascii="Arial"/>
          <w:color w:val="auto"/>
          <w:sz w:val="24"/>
          <w:szCs w:val="24"/>
          <w:highlight w:val="none"/>
        </w:rPr>
      </w:pPr>
    </w:p>
    <w:p w14:paraId="26D23568">
      <w:pPr>
        <w:pStyle w:val="10"/>
        <w:spacing w:before="66" w:line="228" w:lineRule="auto"/>
        <w:ind w:left="4097"/>
        <w:rPr>
          <w:color w:val="auto"/>
          <w:sz w:val="24"/>
          <w:szCs w:val="24"/>
          <w:highlight w:val="none"/>
        </w:rPr>
      </w:pPr>
      <w:r>
        <w:rPr>
          <w:color w:val="auto"/>
          <w:spacing w:val="8"/>
          <w:sz w:val="24"/>
          <w:szCs w:val="24"/>
          <w:highlight w:val="none"/>
        </w:rPr>
        <w:t>供应商名称（电子签章</w:t>
      </w:r>
      <w:r>
        <w:rPr>
          <w:color w:val="auto"/>
          <w:spacing w:val="4"/>
          <w:sz w:val="24"/>
          <w:szCs w:val="24"/>
          <w:highlight w:val="none"/>
        </w:rPr>
        <w:t>）：</w:t>
      </w:r>
    </w:p>
    <w:p w14:paraId="77818EB2">
      <w:pPr>
        <w:pStyle w:val="10"/>
        <w:spacing w:before="250" w:line="228" w:lineRule="auto"/>
        <w:ind w:left="5708"/>
        <w:rPr>
          <w:color w:val="auto"/>
          <w:sz w:val="24"/>
          <w:szCs w:val="24"/>
          <w:highlight w:val="none"/>
        </w:rPr>
      </w:pPr>
      <w:r>
        <w:rPr>
          <w:color w:val="auto"/>
          <w:spacing w:val="-6"/>
          <w:sz w:val="24"/>
          <w:szCs w:val="24"/>
          <w:highlight w:val="none"/>
        </w:rPr>
        <w:t>日期：</w:t>
      </w:r>
      <w:r>
        <w:rPr>
          <w:color w:val="auto"/>
          <w:spacing w:val="17"/>
          <w:sz w:val="24"/>
          <w:szCs w:val="24"/>
          <w:highlight w:val="none"/>
        </w:rPr>
        <w:t xml:space="preserve">  </w:t>
      </w:r>
      <w:r>
        <w:rPr>
          <w:color w:val="auto"/>
          <w:spacing w:val="-6"/>
          <w:sz w:val="24"/>
          <w:szCs w:val="24"/>
          <w:highlight w:val="none"/>
        </w:rPr>
        <w:t>年</w:t>
      </w:r>
      <w:r>
        <w:rPr>
          <w:color w:val="auto"/>
          <w:spacing w:val="12"/>
          <w:sz w:val="24"/>
          <w:szCs w:val="24"/>
          <w:highlight w:val="none"/>
        </w:rPr>
        <w:t xml:space="preserve">  </w:t>
      </w:r>
      <w:r>
        <w:rPr>
          <w:color w:val="auto"/>
          <w:spacing w:val="-6"/>
          <w:sz w:val="24"/>
          <w:szCs w:val="24"/>
          <w:highlight w:val="none"/>
        </w:rPr>
        <w:t>月</w:t>
      </w:r>
      <w:r>
        <w:rPr>
          <w:color w:val="auto"/>
          <w:spacing w:val="20"/>
          <w:sz w:val="24"/>
          <w:szCs w:val="24"/>
          <w:highlight w:val="none"/>
        </w:rPr>
        <w:t xml:space="preserve">   </w:t>
      </w:r>
      <w:r>
        <w:rPr>
          <w:color w:val="auto"/>
          <w:spacing w:val="-6"/>
          <w:sz w:val="24"/>
          <w:szCs w:val="24"/>
          <w:highlight w:val="none"/>
        </w:rPr>
        <w:t>日</w:t>
      </w:r>
    </w:p>
    <w:p w14:paraId="51301CB5">
      <w:pPr>
        <w:spacing w:line="338" w:lineRule="auto"/>
        <w:rPr>
          <w:rFonts w:ascii="Arial"/>
          <w:color w:val="auto"/>
          <w:sz w:val="24"/>
          <w:szCs w:val="24"/>
          <w:highlight w:val="none"/>
        </w:rPr>
      </w:pPr>
    </w:p>
    <w:p w14:paraId="688CB6EC">
      <w:pPr>
        <w:spacing w:line="338" w:lineRule="auto"/>
        <w:rPr>
          <w:rFonts w:ascii="Arial"/>
          <w:color w:val="auto"/>
          <w:sz w:val="24"/>
          <w:szCs w:val="24"/>
          <w:highlight w:val="none"/>
        </w:rPr>
      </w:pPr>
    </w:p>
    <w:p w14:paraId="00982577">
      <w:pPr>
        <w:pStyle w:val="10"/>
        <w:spacing w:before="66" w:line="459" w:lineRule="auto"/>
        <w:jc w:val="both"/>
        <w:rPr>
          <w:color w:val="auto"/>
          <w:sz w:val="24"/>
          <w:szCs w:val="24"/>
          <w:highlight w:val="none"/>
        </w:rPr>
      </w:pPr>
      <w:r>
        <w:rPr>
          <w:color w:val="auto"/>
          <w:spacing w:val="7"/>
          <w:sz w:val="24"/>
          <w:szCs w:val="24"/>
          <w:highlight w:val="none"/>
        </w:rPr>
        <w:t>注：享受《政府采购促进中小企业发展管理办法》（财库〔2020〕46号）规定的中小企业扶持政策的，</w:t>
      </w:r>
      <w:r>
        <w:rPr>
          <w:color w:val="auto"/>
          <w:spacing w:val="11"/>
          <w:sz w:val="24"/>
          <w:szCs w:val="24"/>
          <w:highlight w:val="none"/>
        </w:rPr>
        <w:t>采购人、采购代理机构应当随成交结果公开成交供应商的《中小企业声明函》，接受社会监督。从业</w:t>
      </w:r>
      <w:r>
        <w:rPr>
          <w:color w:val="auto"/>
          <w:spacing w:val="9"/>
          <w:sz w:val="24"/>
          <w:szCs w:val="24"/>
          <w:highlight w:val="none"/>
        </w:rPr>
        <w:t>人员、营业收入、资产总额填报上一年度数据，无上一年度数据的新成立企业可不填报。</w:t>
      </w:r>
    </w:p>
    <w:p w14:paraId="55247C47">
      <w:pPr>
        <w:spacing w:line="459" w:lineRule="auto"/>
        <w:rPr>
          <w:color w:val="auto"/>
          <w:sz w:val="24"/>
          <w:szCs w:val="24"/>
          <w:highlight w:val="none"/>
        </w:rPr>
        <w:sectPr>
          <w:footerReference r:id="rId14" w:type="default"/>
          <w:pgSz w:w="11905" w:h="16839"/>
          <w:pgMar w:top="1440" w:right="1083" w:bottom="1440" w:left="1083" w:header="0" w:footer="843" w:gutter="0"/>
          <w:pgNumType w:fmt="decimal"/>
          <w:cols w:space="720" w:num="1"/>
        </w:sectPr>
      </w:pPr>
    </w:p>
    <w:p w14:paraId="20D1D9B6">
      <w:pPr>
        <w:pStyle w:val="10"/>
        <w:spacing w:before="98" w:line="220" w:lineRule="auto"/>
        <w:ind w:left="2996"/>
        <w:rPr>
          <w:color w:val="auto"/>
          <w:sz w:val="30"/>
          <w:szCs w:val="30"/>
          <w:highlight w:val="none"/>
        </w:rPr>
      </w:pPr>
      <w:r>
        <w:rPr>
          <w:b/>
          <w:bCs/>
          <w:color w:val="auto"/>
          <w:spacing w:val="-4"/>
          <w:sz w:val="30"/>
          <w:szCs w:val="30"/>
          <w:highlight w:val="none"/>
        </w:rPr>
        <w:t>残疾人福利性单位声明函</w:t>
      </w:r>
    </w:p>
    <w:p w14:paraId="61D6DE8D">
      <w:pPr>
        <w:spacing w:line="284" w:lineRule="auto"/>
        <w:rPr>
          <w:rFonts w:ascii="Arial"/>
          <w:color w:val="auto"/>
          <w:sz w:val="21"/>
          <w:highlight w:val="none"/>
        </w:rPr>
      </w:pPr>
    </w:p>
    <w:p w14:paraId="553AD864">
      <w:pPr>
        <w:spacing w:line="284" w:lineRule="auto"/>
        <w:rPr>
          <w:rFonts w:ascii="Arial"/>
          <w:color w:val="auto"/>
          <w:sz w:val="21"/>
          <w:highlight w:val="none"/>
        </w:rPr>
      </w:pPr>
    </w:p>
    <w:p w14:paraId="63A111C8">
      <w:pPr>
        <w:pStyle w:val="10"/>
        <w:spacing w:before="78" w:line="382" w:lineRule="auto"/>
        <w:ind w:firstLine="481"/>
        <w:jc w:val="both"/>
        <w:rPr>
          <w:color w:val="auto"/>
          <w:sz w:val="24"/>
          <w:szCs w:val="32"/>
          <w:highlight w:val="none"/>
        </w:rPr>
      </w:pPr>
      <w:r>
        <w:rPr>
          <w:color w:val="auto"/>
          <w:spacing w:val="-4"/>
          <w:sz w:val="24"/>
          <w:szCs w:val="32"/>
          <w:highlight w:val="none"/>
        </w:rPr>
        <w:t>本单位郑重声明，根据《财政部</w:t>
      </w:r>
      <w:r>
        <w:rPr>
          <w:color w:val="auto"/>
          <w:spacing w:val="38"/>
          <w:sz w:val="24"/>
          <w:szCs w:val="32"/>
          <w:highlight w:val="none"/>
        </w:rPr>
        <w:t xml:space="preserve"> </w:t>
      </w:r>
      <w:r>
        <w:rPr>
          <w:color w:val="auto"/>
          <w:spacing w:val="-4"/>
          <w:sz w:val="24"/>
          <w:szCs w:val="32"/>
          <w:highlight w:val="none"/>
        </w:rPr>
        <w:t>民政部</w:t>
      </w:r>
      <w:r>
        <w:rPr>
          <w:color w:val="auto"/>
          <w:spacing w:val="32"/>
          <w:sz w:val="24"/>
          <w:szCs w:val="32"/>
          <w:highlight w:val="none"/>
        </w:rPr>
        <w:t xml:space="preserve"> </w:t>
      </w:r>
      <w:r>
        <w:rPr>
          <w:color w:val="auto"/>
          <w:spacing w:val="-4"/>
          <w:sz w:val="24"/>
          <w:szCs w:val="32"/>
          <w:highlight w:val="none"/>
        </w:rPr>
        <w:t>中国残疾人联合会关于促进残疾人就业政府</w:t>
      </w:r>
      <w:r>
        <w:rPr>
          <w:color w:val="auto"/>
          <w:spacing w:val="-1"/>
          <w:sz w:val="24"/>
          <w:szCs w:val="32"/>
          <w:highlight w:val="none"/>
        </w:rPr>
        <w:t>采购政策的通知》（财库〔2017〕141</w:t>
      </w:r>
      <w:r>
        <w:rPr>
          <w:color w:val="auto"/>
          <w:spacing w:val="-30"/>
          <w:sz w:val="24"/>
          <w:szCs w:val="32"/>
          <w:highlight w:val="none"/>
        </w:rPr>
        <w:t xml:space="preserve"> </w:t>
      </w:r>
      <w:r>
        <w:rPr>
          <w:color w:val="auto"/>
          <w:spacing w:val="-1"/>
          <w:sz w:val="24"/>
          <w:szCs w:val="32"/>
          <w:highlight w:val="none"/>
        </w:rPr>
        <w:t>号）的规定，本单位为符合条件的残疾人福利性单</w:t>
      </w:r>
      <w:r>
        <w:rPr>
          <w:color w:val="auto"/>
          <w:sz w:val="24"/>
          <w:szCs w:val="32"/>
          <w:highlight w:val="none"/>
        </w:rPr>
        <w:t>位，且本单位参加</w:t>
      </w:r>
      <w:r>
        <w:rPr>
          <w:color w:val="auto"/>
          <w:sz w:val="24"/>
          <w:szCs w:val="32"/>
          <w:highlight w:val="none"/>
          <w:u w:val="single" w:color="auto"/>
        </w:rPr>
        <w:t xml:space="preserve">              </w:t>
      </w:r>
      <w:r>
        <w:rPr>
          <w:color w:val="auto"/>
          <w:spacing w:val="-1"/>
          <w:sz w:val="24"/>
          <w:szCs w:val="32"/>
          <w:highlight w:val="none"/>
          <w:u w:val="single" w:color="auto"/>
        </w:rPr>
        <w:t xml:space="preserve">   </w:t>
      </w:r>
      <w:r>
        <w:rPr>
          <w:color w:val="auto"/>
          <w:spacing w:val="-108"/>
          <w:sz w:val="24"/>
          <w:szCs w:val="32"/>
          <w:highlight w:val="none"/>
        </w:rPr>
        <w:t xml:space="preserve"> </w:t>
      </w:r>
      <w:r>
        <w:rPr>
          <w:color w:val="auto"/>
          <w:spacing w:val="-1"/>
          <w:sz w:val="24"/>
          <w:szCs w:val="32"/>
          <w:highlight w:val="none"/>
        </w:rPr>
        <w:t>单位的</w:t>
      </w:r>
      <w:r>
        <w:rPr>
          <w:color w:val="auto"/>
          <w:spacing w:val="-1"/>
          <w:sz w:val="24"/>
          <w:szCs w:val="32"/>
          <w:highlight w:val="none"/>
          <w:u w:val="single" w:color="auto"/>
        </w:rPr>
        <w:t xml:space="preserve">           </w:t>
      </w:r>
      <w:r>
        <w:rPr>
          <w:color w:val="auto"/>
          <w:spacing w:val="-112"/>
          <w:sz w:val="24"/>
          <w:szCs w:val="32"/>
          <w:highlight w:val="none"/>
        </w:rPr>
        <w:t xml:space="preserve"> </w:t>
      </w:r>
      <w:r>
        <w:rPr>
          <w:color w:val="auto"/>
          <w:spacing w:val="-1"/>
          <w:sz w:val="24"/>
          <w:szCs w:val="32"/>
          <w:highlight w:val="none"/>
        </w:rPr>
        <w:t>采购活动由本单位提供服务。</w:t>
      </w:r>
    </w:p>
    <w:p w14:paraId="3A5A4EE1">
      <w:pPr>
        <w:pStyle w:val="10"/>
        <w:spacing w:line="219" w:lineRule="auto"/>
        <w:ind w:left="481"/>
        <w:rPr>
          <w:color w:val="auto"/>
          <w:sz w:val="24"/>
          <w:szCs w:val="32"/>
          <w:highlight w:val="none"/>
        </w:rPr>
      </w:pPr>
      <w:r>
        <w:rPr>
          <w:color w:val="auto"/>
          <w:spacing w:val="-1"/>
          <w:sz w:val="24"/>
          <w:szCs w:val="32"/>
          <w:highlight w:val="none"/>
        </w:rPr>
        <w:t>本单位对上述声明的真实性负责。如有虚假，将依法承担相应责任。</w:t>
      </w:r>
    </w:p>
    <w:p w14:paraId="3E62EEA3">
      <w:pPr>
        <w:spacing w:line="269" w:lineRule="auto"/>
        <w:rPr>
          <w:rFonts w:ascii="Arial"/>
          <w:color w:val="auto"/>
          <w:sz w:val="24"/>
          <w:szCs w:val="32"/>
          <w:highlight w:val="none"/>
        </w:rPr>
      </w:pPr>
    </w:p>
    <w:p w14:paraId="607A090B">
      <w:pPr>
        <w:spacing w:line="269" w:lineRule="auto"/>
        <w:rPr>
          <w:rFonts w:ascii="Arial"/>
          <w:color w:val="auto"/>
          <w:sz w:val="24"/>
          <w:szCs w:val="32"/>
          <w:highlight w:val="none"/>
        </w:rPr>
      </w:pPr>
    </w:p>
    <w:p w14:paraId="442BC245">
      <w:pPr>
        <w:spacing w:line="269" w:lineRule="auto"/>
        <w:rPr>
          <w:rFonts w:ascii="Arial"/>
          <w:color w:val="auto"/>
          <w:sz w:val="24"/>
          <w:szCs w:val="32"/>
          <w:highlight w:val="none"/>
        </w:rPr>
      </w:pPr>
    </w:p>
    <w:p w14:paraId="09A29F6B">
      <w:pPr>
        <w:spacing w:line="269" w:lineRule="auto"/>
        <w:rPr>
          <w:rFonts w:ascii="Arial"/>
          <w:color w:val="auto"/>
          <w:sz w:val="24"/>
          <w:szCs w:val="32"/>
          <w:highlight w:val="none"/>
        </w:rPr>
      </w:pPr>
    </w:p>
    <w:p w14:paraId="599C8868">
      <w:pPr>
        <w:spacing w:line="269" w:lineRule="auto"/>
        <w:rPr>
          <w:rFonts w:ascii="Arial"/>
          <w:color w:val="auto"/>
          <w:sz w:val="24"/>
          <w:szCs w:val="32"/>
          <w:highlight w:val="none"/>
        </w:rPr>
      </w:pPr>
    </w:p>
    <w:p w14:paraId="787489E8">
      <w:pPr>
        <w:spacing w:line="269" w:lineRule="auto"/>
        <w:rPr>
          <w:rFonts w:ascii="Arial"/>
          <w:color w:val="auto"/>
          <w:sz w:val="24"/>
          <w:szCs w:val="32"/>
          <w:highlight w:val="none"/>
        </w:rPr>
      </w:pPr>
    </w:p>
    <w:p w14:paraId="5A960547">
      <w:pPr>
        <w:pStyle w:val="10"/>
        <w:spacing w:before="78" w:line="219" w:lineRule="auto"/>
        <w:ind w:left="2400"/>
        <w:rPr>
          <w:color w:val="auto"/>
          <w:sz w:val="24"/>
          <w:szCs w:val="32"/>
          <w:highlight w:val="none"/>
        </w:rPr>
      </w:pPr>
      <w:r>
        <w:rPr>
          <w:color w:val="auto"/>
          <w:spacing w:val="-1"/>
          <w:sz w:val="24"/>
          <w:szCs w:val="32"/>
          <w:highlight w:val="none"/>
        </w:rPr>
        <w:t>供应商名称（电子签章</w:t>
      </w:r>
      <w:r>
        <w:rPr>
          <w:color w:val="auto"/>
          <w:sz w:val="24"/>
          <w:szCs w:val="32"/>
          <w:highlight w:val="none"/>
        </w:rPr>
        <w:t>）：</w:t>
      </w:r>
    </w:p>
    <w:p w14:paraId="2D6ECC96">
      <w:pPr>
        <w:pStyle w:val="10"/>
        <w:spacing w:before="211" w:line="220" w:lineRule="auto"/>
        <w:ind w:left="4362"/>
        <w:rPr>
          <w:color w:val="auto"/>
          <w:sz w:val="24"/>
          <w:szCs w:val="32"/>
          <w:highlight w:val="none"/>
        </w:rPr>
      </w:pPr>
      <w:r>
        <w:rPr>
          <w:color w:val="auto"/>
          <w:spacing w:val="-20"/>
          <w:sz w:val="24"/>
          <w:szCs w:val="32"/>
          <w:highlight w:val="none"/>
        </w:rPr>
        <w:t>日</w:t>
      </w:r>
      <w:r>
        <w:rPr>
          <w:color w:val="auto"/>
          <w:spacing w:val="6"/>
          <w:sz w:val="24"/>
          <w:szCs w:val="32"/>
          <w:highlight w:val="none"/>
        </w:rPr>
        <w:t xml:space="preserve">  </w:t>
      </w:r>
      <w:r>
        <w:rPr>
          <w:color w:val="auto"/>
          <w:spacing w:val="-20"/>
          <w:sz w:val="24"/>
          <w:szCs w:val="32"/>
          <w:highlight w:val="none"/>
        </w:rPr>
        <w:t>期</w:t>
      </w:r>
      <w:r>
        <w:rPr>
          <w:color w:val="auto"/>
          <w:spacing w:val="-89"/>
          <w:sz w:val="24"/>
          <w:szCs w:val="32"/>
          <w:highlight w:val="none"/>
        </w:rPr>
        <w:t xml:space="preserve"> </w:t>
      </w:r>
      <w:r>
        <w:rPr>
          <w:color w:val="auto"/>
          <w:spacing w:val="-20"/>
          <w:sz w:val="24"/>
          <w:szCs w:val="32"/>
          <w:highlight w:val="none"/>
        </w:rPr>
        <w:t>：</w:t>
      </w:r>
      <w:r>
        <w:rPr>
          <w:color w:val="auto"/>
          <w:spacing w:val="3"/>
          <w:sz w:val="24"/>
          <w:szCs w:val="32"/>
          <w:highlight w:val="none"/>
        </w:rPr>
        <w:t xml:space="preserve">   </w:t>
      </w:r>
      <w:r>
        <w:rPr>
          <w:color w:val="auto"/>
          <w:spacing w:val="-20"/>
          <w:sz w:val="24"/>
          <w:szCs w:val="32"/>
          <w:highlight w:val="none"/>
        </w:rPr>
        <w:t>年</w:t>
      </w:r>
      <w:r>
        <w:rPr>
          <w:color w:val="auto"/>
          <w:spacing w:val="5"/>
          <w:sz w:val="24"/>
          <w:szCs w:val="32"/>
          <w:highlight w:val="none"/>
        </w:rPr>
        <w:t xml:space="preserve">   </w:t>
      </w:r>
      <w:r>
        <w:rPr>
          <w:color w:val="auto"/>
          <w:spacing w:val="-20"/>
          <w:sz w:val="24"/>
          <w:szCs w:val="32"/>
          <w:highlight w:val="none"/>
        </w:rPr>
        <w:t>月</w:t>
      </w:r>
      <w:r>
        <w:rPr>
          <w:color w:val="auto"/>
          <w:spacing w:val="17"/>
          <w:sz w:val="24"/>
          <w:szCs w:val="32"/>
          <w:highlight w:val="none"/>
        </w:rPr>
        <w:t xml:space="preserve">   </w:t>
      </w:r>
      <w:r>
        <w:rPr>
          <w:color w:val="auto"/>
          <w:spacing w:val="-20"/>
          <w:sz w:val="24"/>
          <w:szCs w:val="32"/>
          <w:highlight w:val="none"/>
        </w:rPr>
        <w:t>日</w:t>
      </w:r>
    </w:p>
    <w:p w14:paraId="747BD4C7">
      <w:pPr>
        <w:spacing w:line="268" w:lineRule="auto"/>
        <w:rPr>
          <w:rFonts w:ascii="Arial"/>
          <w:color w:val="auto"/>
          <w:sz w:val="24"/>
          <w:szCs w:val="32"/>
          <w:highlight w:val="none"/>
        </w:rPr>
      </w:pPr>
    </w:p>
    <w:p w14:paraId="0484616D">
      <w:pPr>
        <w:spacing w:line="268" w:lineRule="auto"/>
        <w:rPr>
          <w:rFonts w:ascii="Arial"/>
          <w:color w:val="auto"/>
          <w:sz w:val="24"/>
          <w:szCs w:val="32"/>
          <w:highlight w:val="none"/>
        </w:rPr>
      </w:pPr>
    </w:p>
    <w:p w14:paraId="4CFBA9EA">
      <w:pPr>
        <w:spacing w:line="268" w:lineRule="auto"/>
        <w:rPr>
          <w:rFonts w:ascii="Arial"/>
          <w:color w:val="auto"/>
          <w:sz w:val="24"/>
          <w:szCs w:val="32"/>
          <w:highlight w:val="none"/>
        </w:rPr>
      </w:pPr>
    </w:p>
    <w:p w14:paraId="0282D51E">
      <w:pPr>
        <w:spacing w:line="269" w:lineRule="auto"/>
        <w:rPr>
          <w:rFonts w:ascii="Arial"/>
          <w:color w:val="auto"/>
          <w:sz w:val="24"/>
          <w:szCs w:val="32"/>
          <w:highlight w:val="none"/>
        </w:rPr>
      </w:pPr>
    </w:p>
    <w:p w14:paraId="2C946C68">
      <w:pPr>
        <w:spacing w:line="269" w:lineRule="auto"/>
        <w:rPr>
          <w:rFonts w:ascii="Arial"/>
          <w:color w:val="auto"/>
          <w:sz w:val="24"/>
          <w:szCs w:val="32"/>
          <w:highlight w:val="none"/>
        </w:rPr>
      </w:pPr>
    </w:p>
    <w:p w14:paraId="21F6B481">
      <w:pPr>
        <w:spacing w:line="269" w:lineRule="auto"/>
        <w:rPr>
          <w:rFonts w:ascii="Arial"/>
          <w:color w:val="auto"/>
          <w:sz w:val="24"/>
          <w:szCs w:val="32"/>
          <w:highlight w:val="none"/>
        </w:rPr>
      </w:pPr>
    </w:p>
    <w:p w14:paraId="4B61FC52">
      <w:pPr>
        <w:pStyle w:val="10"/>
        <w:spacing w:before="79" w:line="383" w:lineRule="auto"/>
        <w:ind w:left="1" w:hanging="1"/>
        <w:jc w:val="both"/>
        <w:rPr>
          <w:color w:val="auto"/>
          <w:sz w:val="24"/>
          <w:szCs w:val="32"/>
          <w:highlight w:val="none"/>
        </w:rPr>
      </w:pPr>
      <w:r>
        <w:rPr>
          <w:color w:val="auto"/>
          <w:spacing w:val="-2"/>
          <w:sz w:val="24"/>
          <w:szCs w:val="32"/>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09E7D14A">
      <w:pPr>
        <w:spacing w:line="383" w:lineRule="auto"/>
        <w:rPr>
          <w:color w:val="auto"/>
          <w:highlight w:val="none"/>
        </w:rPr>
        <w:sectPr>
          <w:footerReference r:id="rId15" w:type="default"/>
          <w:pgSz w:w="11905" w:h="16839"/>
          <w:pgMar w:top="1440" w:right="1083" w:bottom="1440" w:left="1083" w:header="0" w:footer="843" w:gutter="0"/>
          <w:pgNumType w:fmt="decimal"/>
          <w:cols w:space="720" w:num="1"/>
        </w:sectPr>
      </w:pPr>
    </w:p>
    <w:p w14:paraId="0499AAC1">
      <w:pPr>
        <w:pStyle w:val="10"/>
        <w:spacing w:before="101" w:line="225" w:lineRule="auto"/>
        <w:ind w:left="2337"/>
        <w:outlineLvl w:val="1"/>
        <w:rPr>
          <w:color w:val="auto"/>
          <w:sz w:val="31"/>
          <w:szCs w:val="31"/>
          <w:highlight w:val="none"/>
        </w:rPr>
      </w:pPr>
      <w:r>
        <w:rPr>
          <w:color w:val="auto"/>
          <w:spacing w:val="8"/>
          <w:sz w:val="31"/>
          <w:szCs w:val="31"/>
          <w:highlight w:val="none"/>
        </w:rPr>
        <w:t>第三节 商务技术文件格式</w:t>
      </w:r>
    </w:p>
    <w:p w14:paraId="7277B966">
      <w:pPr>
        <w:spacing w:line="270" w:lineRule="auto"/>
        <w:rPr>
          <w:rFonts w:ascii="Arial"/>
          <w:color w:val="auto"/>
          <w:sz w:val="21"/>
          <w:highlight w:val="none"/>
        </w:rPr>
      </w:pPr>
    </w:p>
    <w:p w14:paraId="15B93B21">
      <w:pPr>
        <w:spacing w:line="270" w:lineRule="auto"/>
        <w:rPr>
          <w:rFonts w:ascii="Arial"/>
          <w:color w:val="auto"/>
          <w:sz w:val="21"/>
          <w:highlight w:val="none"/>
        </w:rPr>
      </w:pPr>
    </w:p>
    <w:p w14:paraId="3934A886">
      <w:pPr>
        <w:spacing w:line="270" w:lineRule="auto"/>
        <w:rPr>
          <w:rFonts w:ascii="Arial"/>
          <w:color w:val="auto"/>
          <w:sz w:val="21"/>
          <w:highlight w:val="none"/>
        </w:rPr>
      </w:pPr>
    </w:p>
    <w:p w14:paraId="4A0C5383">
      <w:pPr>
        <w:pStyle w:val="10"/>
        <w:spacing w:before="65" w:line="228" w:lineRule="auto"/>
        <w:jc w:val="right"/>
        <w:rPr>
          <w:color w:val="auto"/>
          <w:sz w:val="20"/>
          <w:szCs w:val="20"/>
          <w:highlight w:val="none"/>
        </w:rPr>
      </w:pPr>
      <w:r>
        <w:rPr>
          <w:color w:val="auto"/>
          <w:spacing w:val="8"/>
          <w:sz w:val="20"/>
          <w:szCs w:val="20"/>
          <w:highlight w:val="none"/>
        </w:rPr>
        <w:t>全流程电子文件</w:t>
      </w:r>
    </w:p>
    <w:p w14:paraId="1DE21F92">
      <w:pPr>
        <w:spacing w:line="248" w:lineRule="auto"/>
        <w:rPr>
          <w:rFonts w:ascii="Arial"/>
          <w:color w:val="auto"/>
          <w:sz w:val="21"/>
          <w:highlight w:val="none"/>
        </w:rPr>
      </w:pPr>
    </w:p>
    <w:p w14:paraId="471FB6DE">
      <w:pPr>
        <w:spacing w:line="248" w:lineRule="auto"/>
        <w:rPr>
          <w:rFonts w:ascii="Arial"/>
          <w:color w:val="auto"/>
          <w:sz w:val="21"/>
          <w:highlight w:val="none"/>
        </w:rPr>
      </w:pPr>
    </w:p>
    <w:p w14:paraId="3B4A8DB4">
      <w:pPr>
        <w:spacing w:line="248" w:lineRule="auto"/>
        <w:rPr>
          <w:rFonts w:ascii="Arial"/>
          <w:color w:val="auto"/>
          <w:sz w:val="21"/>
          <w:highlight w:val="none"/>
        </w:rPr>
      </w:pPr>
    </w:p>
    <w:p w14:paraId="3EDCB062">
      <w:pPr>
        <w:spacing w:line="248" w:lineRule="auto"/>
        <w:rPr>
          <w:rFonts w:ascii="Arial"/>
          <w:color w:val="auto"/>
          <w:sz w:val="21"/>
          <w:highlight w:val="none"/>
        </w:rPr>
      </w:pPr>
    </w:p>
    <w:p w14:paraId="1323FED6">
      <w:pPr>
        <w:spacing w:line="248" w:lineRule="auto"/>
        <w:rPr>
          <w:rFonts w:ascii="Arial"/>
          <w:color w:val="auto"/>
          <w:sz w:val="21"/>
          <w:highlight w:val="none"/>
        </w:rPr>
      </w:pPr>
    </w:p>
    <w:p w14:paraId="0206A7E4">
      <w:pPr>
        <w:spacing w:line="249" w:lineRule="auto"/>
        <w:rPr>
          <w:rFonts w:ascii="Arial"/>
          <w:color w:val="auto"/>
          <w:sz w:val="21"/>
          <w:highlight w:val="none"/>
        </w:rPr>
      </w:pPr>
    </w:p>
    <w:p w14:paraId="6C8D3D51">
      <w:pPr>
        <w:pStyle w:val="10"/>
        <w:spacing w:before="169" w:line="220" w:lineRule="auto"/>
        <w:ind w:left="1585"/>
        <w:rPr>
          <w:color w:val="auto"/>
          <w:sz w:val="52"/>
          <w:szCs w:val="52"/>
          <w:highlight w:val="none"/>
        </w:rPr>
      </w:pPr>
      <w:r>
        <w:rPr>
          <w:b/>
          <w:bCs/>
          <w:color w:val="auto"/>
          <w:spacing w:val="-7"/>
          <w:sz w:val="52"/>
          <w:szCs w:val="52"/>
          <w:highlight w:val="none"/>
        </w:rPr>
        <w:t>商务技术文件（封面）</w:t>
      </w:r>
    </w:p>
    <w:p w14:paraId="73F1F582">
      <w:pPr>
        <w:spacing w:line="246" w:lineRule="auto"/>
        <w:rPr>
          <w:rFonts w:ascii="Arial"/>
          <w:color w:val="auto"/>
          <w:sz w:val="21"/>
          <w:highlight w:val="none"/>
        </w:rPr>
      </w:pPr>
    </w:p>
    <w:p w14:paraId="122FE535">
      <w:pPr>
        <w:spacing w:line="246" w:lineRule="auto"/>
        <w:rPr>
          <w:rFonts w:ascii="Arial"/>
          <w:color w:val="auto"/>
          <w:sz w:val="21"/>
          <w:highlight w:val="none"/>
        </w:rPr>
      </w:pPr>
    </w:p>
    <w:p w14:paraId="7C59AFA6">
      <w:pPr>
        <w:spacing w:line="246" w:lineRule="auto"/>
        <w:rPr>
          <w:rFonts w:ascii="Arial"/>
          <w:color w:val="auto"/>
          <w:sz w:val="21"/>
          <w:highlight w:val="none"/>
        </w:rPr>
      </w:pPr>
    </w:p>
    <w:p w14:paraId="54CF6687">
      <w:pPr>
        <w:spacing w:line="246" w:lineRule="auto"/>
        <w:rPr>
          <w:rFonts w:ascii="Arial"/>
          <w:color w:val="auto"/>
          <w:sz w:val="21"/>
          <w:highlight w:val="none"/>
        </w:rPr>
      </w:pPr>
    </w:p>
    <w:p w14:paraId="4D5047E9">
      <w:pPr>
        <w:spacing w:line="246" w:lineRule="auto"/>
        <w:rPr>
          <w:rFonts w:ascii="Arial"/>
          <w:color w:val="auto"/>
          <w:sz w:val="21"/>
          <w:highlight w:val="none"/>
        </w:rPr>
      </w:pPr>
    </w:p>
    <w:p w14:paraId="65A78206">
      <w:pPr>
        <w:spacing w:line="246" w:lineRule="auto"/>
        <w:rPr>
          <w:rFonts w:ascii="Arial"/>
          <w:color w:val="auto"/>
          <w:sz w:val="21"/>
          <w:highlight w:val="none"/>
        </w:rPr>
      </w:pPr>
    </w:p>
    <w:p w14:paraId="55BBD0EE">
      <w:pPr>
        <w:spacing w:line="246" w:lineRule="auto"/>
        <w:rPr>
          <w:rFonts w:ascii="Arial"/>
          <w:color w:val="auto"/>
          <w:sz w:val="21"/>
          <w:highlight w:val="none"/>
        </w:rPr>
      </w:pPr>
    </w:p>
    <w:p w14:paraId="7C25C71C">
      <w:pPr>
        <w:spacing w:line="247" w:lineRule="auto"/>
        <w:rPr>
          <w:rFonts w:ascii="Arial"/>
          <w:color w:val="auto"/>
          <w:sz w:val="21"/>
          <w:highlight w:val="none"/>
        </w:rPr>
      </w:pPr>
    </w:p>
    <w:p w14:paraId="33894D45">
      <w:pPr>
        <w:spacing w:line="247" w:lineRule="auto"/>
        <w:rPr>
          <w:rFonts w:ascii="Arial"/>
          <w:color w:val="auto"/>
          <w:sz w:val="21"/>
          <w:highlight w:val="none"/>
        </w:rPr>
      </w:pPr>
    </w:p>
    <w:p w14:paraId="79F08A28">
      <w:pPr>
        <w:spacing w:line="247" w:lineRule="auto"/>
        <w:rPr>
          <w:rFonts w:ascii="Arial"/>
          <w:color w:val="auto"/>
          <w:sz w:val="21"/>
          <w:highlight w:val="none"/>
        </w:rPr>
      </w:pPr>
    </w:p>
    <w:p w14:paraId="1B401480">
      <w:pPr>
        <w:pStyle w:val="10"/>
        <w:spacing w:before="101" w:line="226" w:lineRule="auto"/>
        <w:ind w:left="175"/>
        <w:rPr>
          <w:color w:val="auto"/>
          <w:sz w:val="31"/>
          <w:szCs w:val="31"/>
          <w:highlight w:val="none"/>
        </w:rPr>
      </w:pPr>
      <w:r>
        <w:rPr>
          <w:color w:val="auto"/>
          <w:spacing w:val="4"/>
          <w:sz w:val="31"/>
          <w:szCs w:val="31"/>
          <w:highlight w:val="none"/>
        </w:rPr>
        <w:t>项目名称：</w:t>
      </w:r>
    </w:p>
    <w:p w14:paraId="30E5B9FB">
      <w:pPr>
        <w:spacing w:line="338" w:lineRule="auto"/>
        <w:rPr>
          <w:rFonts w:ascii="Arial"/>
          <w:color w:val="auto"/>
          <w:sz w:val="21"/>
          <w:highlight w:val="none"/>
        </w:rPr>
      </w:pPr>
    </w:p>
    <w:p w14:paraId="4851DCEA">
      <w:pPr>
        <w:spacing w:line="339" w:lineRule="auto"/>
        <w:rPr>
          <w:rFonts w:ascii="Arial"/>
          <w:color w:val="auto"/>
          <w:sz w:val="21"/>
          <w:highlight w:val="none"/>
        </w:rPr>
      </w:pPr>
    </w:p>
    <w:p w14:paraId="2038F10E">
      <w:pPr>
        <w:pStyle w:val="10"/>
        <w:spacing w:before="101" w:line="225" w:lineRule="auto"/>
        <w:ind w:left="175"/>
        <w:rPr>
          <w:color w:val="auto"/>
          <w:sz w:val="31"/>
          <w:szCs w:val="31"/>
          <w:highlight w:val="none"/>
        </w:rPr>
      </w:pPr>
      <w:r>
        <w:rPr>
          <w:color w:val="auto"/>
          <w:spacing w:val="4"/>
          <w:sz w:val="31"/>
          <w:szCs w:val="31"/>
          <w:highlight w:val="none"/>
        </w:rPr>
        <w:t>项目编号：</w:t>
      </w:r>
    </w:p>
    <w:p w14:paraId="29BA177D">
      <w:pPr>
        <w:spacing w:line="281" w:lineRule="auto"/>
        <w:rPr>
          <w:rFonts w:ascii="Arial"/>
          <w:color w:val="auto"/>
          <w:sz w:val="21"/>
          <w:highlight w:val="none"/>
        </w:rPr>
      </w:pPr>
    </w:p>
    <w:p w14:paraId="4EFFEA5C">
      <w:pPr>
        <w:spacing w:line="282" w:lineRule="auto"/>
        <w:rPr>
          <w:rFonts w:ascii="Arial"/>
          <w:color w:val="auto"/>
          <w:sz w:val="21"/>
          <w:highlight w:val="none"/>
        </w:rPr>
      </w:pPr>
    </w:p>
    <w:p w14:paraId="30EC6DAB">
      <w:pPr>
        <w:pStyle w:val="10"/>
        <w:spacing w:before="100" w:line="225" w:lineRule="auto"/>
        <w:ind w:left="170"/>
        <w:rPr>
          <w:color w:val="auto"/>
          <w:sz w:val="31"/>
          <w:szCs w:val="31"/>
          <w:highlight w:val="none"/>
        </w:rPr>
      </w:pPr>
      <w:r>
        <w:rPr>
          <w:color w:val="auto"/>
          <w:spacing w:val="5"/>
          <w:sz w:val="31"/>
          <w:szCs w:val="31"/>
          <w:highlight w:val="none"/>
        </w:rPr>
        <w:t>供应商名称：</w:t>
      </w:r>
    </w:p>
    <w:p w14:paraId="5A92585A">
      <w:pPr>
        <w:spacing w:line="248" w:lineRule="auto"/>
        <w:rPr>
          <w:rFonts w:ascii="Arial"/>
          <w:color w:val="auto"/>
          <w:sz w:val="21"/>
          <w:highlight w:val="none"/>
        </w:rPr>
      </w:pPr>
    </w:p>
    <w:p w14:paraId="6487A93D">
      <w:pPr>
        <w:spacing w:line="248" w:lineRule="auto"/>
        <w:rPr>
          <w:rFonts w:ascii="Arial"/>
          <w:color w:val="auto"/>
          <w:sz w:val="21"/>
          <w:highlight w:val="none"/>
        </w:rPr>
      </w:pPr>
    </w:p>
    <w:p w14:paraId="74FBFBAF">
      <w:pPr>
        <w:spacing w:line="248" w:lineRule="auto"/>
        <w:rPr>
          <w:rFonts w:ascii="Arial"/>
          <w:color w:val="auto"/>
          <w:sz w:val="21"/>
          <w:highlight w:val="none"/>
        </w:rPr>
      </w:pPr>
    </w:p>
    <w:p w14:paraId="558FABC9">
      <w:pPr>
        <w:spacing w:line="248" w:lineRule="auto"/>
        <w:rPr>
          <w:rFonts w:ascii="Arial"/>
          <w:color w:val="auto"/>
          <w:sz w:val="21"/>
          <w:highlight w:val="none"/>
        </w:rPr>
      </w:pPr>
    </w:p>
    <w:p w14:paraId="0D2F298D">
      <w:pPr>
        <w:spacing w:line="248" w:lineRule="auto"/>
        <w:rPr>
          <w:rFonts w:ascii="Arial"/>
          <w:color w:val="auto"/>
          <w:sz w:val="21"/>
          <w:highlight w:val="none"/>
        </w:rPr>
      </w:pPr>
    </w:p>
    <w:p w14:paraId="68A80722">
      <w:pPr>
        <w:spacing w:line="248" w:lineRule="auto"/>
        <w:rPr>
          <w:rFonts w:ascii="Arial"/>
          <w:color w:val="auto"/>
          <w:sz w:val="21"/>
          <w:highlight w:val="none"/>
        </w:rPr>
      </w:pPr>
    </w:p>
    <w:p w14:paraId="07DD6B3A">
      <w:pPr>
        <w:spacing w:line="500" w:lineRule="exact"/>
        <w:jc w:val="center"/>
        <w:rPr>
          <w:rFonts w:ascii="宋体" w:hAnsi="宋体" w:cs="宋体"/>
          <w:b/>
          <w:bCs/>
          <w:color w:val="auto"/>
          <w:w w:val="99"/>
          <w:kern w:val="0"/>
          <w:sz w:val="30"/>
          <w:szCs w:val="32"/>
          <w:highlight w:val="none"/>
        </w:rPr>
        <w:sectPr>
          <w:headerReference r:id="rId16" w:type="default"/>
          <w:footerReference r:id="rId17" w:type="default"/>
          <w:pgSz w:w="11905" w:h="16838"/>
          <w:pgMar w:top="1440" w:right="1083" w:bottom="1440" w:left="1083" w:header="851" w:footer="850" w:gutter="0"/>
          <w:cols w:space="0" w:num="1"/>
          <w:docGrid w:linePitch="312" w:charSpace="0"/>
        </w:sectPr>
      </w:pPr>
      <w:r>
        <w:rPr>
          <w:color w:val="auto"/>
          <w:spacing w:val="-6"/>
          <w:sz w:val="31"/>
          <w:szCs w:val="31"/>
          <w:highlight w:val="none"/>
        </w:rPr>
        <w:t>年</w:t>
      </w:r>
      <w:r>
        <w:rPr>
          <w:color w:val="auto"/>
          <w:spacing w:val="10"/>
          <w:sz w:val="31"/>
          <w:szCs w:val="31"/>
          <w:highlight w:val="none"/>
        </w:rPr>
        <w:t xml:space="preserve">    </w:t>
      </w:r>
      <w:r>
        <w:rPr>
          <w:color w:val="auto"/>
          <w:spacing w:val="-6"/>
          <w:sz w:val="31"/>
          <w:szCs w:val="31"/>
          <w:highlight w:val="none"/>
        </w:rPr>
        <w:t>月</w:t>
      </w:r>
      <w:r>
        <w:rPr>
          <w:color w:val="auto"/>
          <w:spacing w:val="22"/>
          <w:sz w:val="31"/>
          <w:szCs w:val="31"/>
          <w:highlight w:val="none"/>
        </w:rPr>
        <w:t xml:space="preserve">    </w:t>
      </w:r>
      <w:r>
        <w:rPr>
          <w:color w:val="auto"/>
          <w:spacing w:val="-6"/>
          <w:sz w:val="31"/>
          <w:szCs w:val="31"/>
          <w:highlight w:val="none"/>
        </w:rPr>
        <w:t>日</w:t>
      </w:r>
    </w:p>
    <w:p w14:paraId="2FB04FB8">
      <w:pPr>
        <w:pStyle w:val="10"/>
        <w:spacing w:before="91" w:line="221" w:lineRule="auto"/>
        <w:jc w:val="center"/>
        <w:rPr>
          <w:color w:val="auto"/>
          <w:sz w:val="28"/>
          <w:szCs w:val="28"/>
          <w:highlight w:val="none"/>
        </w:rPr>
      </w:pPr>
      <w:r>
        <w:rPr>
          <w:b/>
          <w:bCs/>
          <w:color w:val="auto"/>
          <w:spacing w:val="-4"/>
          <w:sz w:val="28"/>
          <w:szCs w:val="28"/>
          <w:highlight w:val="none"/>
        </w:rPr>
        <w:t>商务技术文件目录</w:t>
      </w:r>
    </w:p>
    <w:p w14:paraId="23D53649">
      <w:pPr>
        <w:spacing w:line="307" w:lineRule="auto"/>
        <w:rPr>
          <w:rFonts w:ascii="Arial"/>
          <w:color w:val="auto"/>
          <w:sz w:val="21"/>
          <w:highlight w:val="none"/>
        </w:rPr>
      </w:pPr>
    </w:p>
    <w:p w14:paraId="500E62F6">
      <w:pPr>
        <w:pStyle w:val="10"/>
        <w:spacing w:before="65" w:line="228" w:lineRule="auto"/>
        <w:ind w:left="202"/>
        <w:rPr>
          <w:color w:val="auto"/>
          <w:sz w:val="21"/>
          <w:szCs w:val="21"/>
          <w:highlight w:val="none"/>
        </w:rPr>
      </w:pPr>
      <w:r>
        <w:rPr>
          <w:color w:val="auto"/>
          <w:spacing w:val="9"/>
          <w:sz w:val="21"/>
          <w:szCs w:val="21"/>
          <w:highlight w:val="none"/>
        </w:rPr>
        <w:t>根据磋商文件规定及供应商提供的材料自行编写目录（部分格式后附）。</w:t>
      </w:r>
    </w:p>
    <w:p w14:paraId="0E72391D">
      <w:pPr>
        <w:spacing w:line="228" w:lineRule="auto"/>
        <w:rPr>
          <w:color w:val="auto"/>
          <w:sz w:val="20"/>
          <w:szCs w:val="20"/>
          <w:highlight w:val="none"/>
        </w:rPr>
        <w:sectPr>
          <w:footerReference r:id="rId18" w:type="default"/>
          <w:pgSz w:w="11905" w:h="16839"/>
          <w:pgMar w:top="1440" w:right="1083" w:bottom="1440" w:left="1083" w:header="0" w:footer="843" w:gutter="0"/>
          <w:pgNumType w:fmt="decimal"/>
          <w:cols w:space="720" w:num="1"/>
        </w:sectPr>
      </w:pPr>
    </w:p>
    <w:p w14:paraId="0F4DF794">
      <w:pPr>
        <w:pStyle w:val="10"/>
        <w:spacing w:before="97" w:line="220" w:lineRule="auto"/>
        <w:ind w:left="2997"/>
        <w:rPr>
          <w:color w:val="auto"/>
          <w:sz w:val="30"/>
          <w:szCs w:val="30"/>
          <w:highlight w:val="none"/>
        </w:rPr>
      </w:pPr>
      <w:r>
        <w:rPr>
          <w:b/>
          <w:bCs/>
          <w:color w:val="auto"/>
          <w:spacing w:val="-4"/>
          <w:sz w:val="30"/>
          <w:szCs w:val="30"/>
          <w:highlight w:val="none"/>
        </w:rPr>
        <w:t>无串通竞标行为的承诺函</w:t>
      </w:r>
    </w:p>
    <w:p w14:paraId="5D3F8800">
      <w:pPr>
        <w:pStyle w:val="10"/>
        <w:spacing w:before="315" w:line="220" w:lineRule="auto"/>
        <w:ind w:left="483"/>
        <w:rPr>
          <w:color w:val="auto"/>
          <w:sz w:val="24"/>
          <w:szCs w:val="32"/>
          <w:highlight w:val="none"/>
        </w:rPr>
      </w:pPr>
      <w:r>
        <w:rPr>
          <w:b/>
          <w:bCs/>
          <w:color w:val="auto"/>
          <w:spacing w:val="-3"/>
          <w:sz w:val="24"/>
          <w:szCs w:val="32"/>
          <w:highlight w:val="none"/>
        </w:rPr>
        <w:t>一、我方承诺无下列相互串通竞标的情形：</w:t>
      </w:r>
    </w:p>
    <w:p w14:paraId="470F3377">
      <w:pPr>
        <w:pStyle w:val="10"/>
        <w:spacing w:before="155" w:line="279" w:lineRule="auto"/>
        <w:ind w:left="3" w:right="11" w:firstLine="493"/>
        <w:rPr>
          <w:color w:val="auto"/>
          <w:sz w:val="24"/>
          <w:szCs w:val="32"/>
          <w:highlight w:val="none"/>
        </w:rPr>
      </w:pPr>
      <w:r>
        <w:rPr>
          <w:color w:val="auto"/>
          <w:sz w:val="24"/>
          <w:szCs w:val="32"/>
          <w:highlight w:val="none"/>
        </w:rPr>
        <w:t>1.不同供应商的响应文件由同一单位或者个人编制；或者不同供应商报</w:t>
      </w:r>
      <w:r>
        <w:rPr>
          <w:color w:val="auto"/>
          <w:spacing w:val="-1"/>
          <w:sz w:val="24"/>
          <w:szCs w:val="32"/>
          <w:highlight w:val="none"/>
        </w:rPr>
        <w:t>名的</w:t>
      </w:r>
      <w:r>
        <w:rPr>
          <w:color w:val="auto"/>
          <w:spacing w:val="-37"/>
          <w:sz w:val="24"/>
          <w:szCs w:val="32"/>
          <w:highlight w:val="none"/>
        </w:rPr>
        <w:t xml:space="preserve"> </w:t>
      </w:r>
      <w:r>
        <w:rPr>
          <w:color w:val="auto"/>
          <w:spacing w:val="-1"/>
          <w:sz w:val="24"/>
          <w:szCs w:val="32"/>
          <w:highlight w:val="none"/>
        </w:rPr>
        <w:t>IP</w:t>
      </w:r>
      <w:r>
        <w:rPr>
          <w:color w:val="auto"/>
          <w:spacing w:val="-48"/>
          <w:sz w:val="24"/>
          <w:szCs w:val="32"/>
          <w:highlight w:val="none"/>
        </w:rPr>
        <w:t xml:space="preserve"> </w:t>
      </w:r>
      <w:r>
        <w:rPr>
          <w:color w:val="auto"/>
          <w:spacing w:val="-1"/>
          <w:sz w:val="24"/>
          <w:szCs w:val="32"/>
          <w:highlight w:val="none"/>
        </w:rPr>
        <w:t>地址一致的；或者编制响应文件硬件设备</w:t>
      </w:r>
      <w:r>
        <w:rPr>
          <w:color w:val="auto"/>
          <w:spacing w:val="-49"/>
          <w:sz w:val="24"/>
          <w:szCs w:val="32"/>
          <w:highlight w:val="none"/>
        </w:rPr>
        <w:t xml:space="preserve"> </w:t>
      </w:r>
      <w:r>
        <w:rPr>
          <w:color w:val="auto"/>
          <w:spacing w:val="-1"/>
          <w:sz w:val="24"/>
          <w:szCs w:val="32"/>
          <w:highlight w:val="none"/>
        </w:rPr>
        <w:t>CPU</w:t>
      </w:r>
      <w:r>
        <w:rPr>
          <w:color w:val="auto"/>
          <w:spacing w:val="-49"/>
          <w:sz w:val="24"/>
          <w:szCs w:val="32"/>
          <w:highlight w:val="none"/>
        </w:rPr>
        <w:t xml:space="preserve"> </w:t>
      </w:r>
      <w:r>
        <w:rPr>
          <w:color w:val="auto"/>
          <w:spacing w:val="-1"/>
          <w:sz w:val="24"/>
          <w:szCs w:val="32"/>
          <w:highlight w:val="none"/>
        </w:rPr>
        <w:t>编号、硬盘编号、网卡地址一致的情况。</w:t>
      </w:r>
    </w:p>
    <w:p w14:paraId="7D9642B4">
      <w:pPr>
        <w:pStyle w:val="10"/>
        <w:spacing w:before="153" w:line="219" w:lineRule="auto"/>
        <w:ind w:left="482"/>
        <w:rPr>
          <w:color w:val="auto"/>
          <w:sz w:val="24"/>
          <w:szCs w:val="32"/>
          <w:highlight w:val="none"/>
        </w:rPr>
      </w:pPr>
      <w:r>
        <w:rPr>
          <w:color w:val="auto"/>
          <w:spacing w:val="-1"/>
          <w:sz w:val="24"/>
          <w:szCs w:val="32"/>
          <w:highlight w:val="none"/>
        </w:rPr>
        <w:t>2.不同供应商委托同一单位或者个人办理竞标事宜；</w:t>
      </w:r>
    </w:p>
    <w:p w14:paraId="335666D9">
      <w:pPr>
        <w:pStyle w:val="10"/>
        <w:spacing w:before="157" w:line="219" w:lineRule="auto"/>
        <w:ind w:left="484"/>
        <w:rPr>
          <w:color w:val="auto"/>
          <w:sz w:val="24"/>
          <w:szCs w:val="32"/>
          <w:highlight w:val="none"/>
        </w:rPr>
      </w:pPr>
      <w:r>
        <w:rPr>
          <w:color w:val="auto"/>
          <w:spacing w:val="-1"/>
          <w:sz w:val="24"/>
          <w:szCs w:val="32"/>
          <w:highlight w:val="none"/>
        </w:rPr>
        <w:t>3.不同的供应商的响应文件载明的项目管理员为同一个人；</w:t>
      </w:r>
    </w:p>
    <w:p w14:paraId="1045A358">
      <w:pPr>
        <w:pStyle w:val="10"/>
        <w:spacing w:before="153" w:line="219" w:lineRule="auto"/>
        <w:ind w:left="479"/>
        <w:rPr>
          <w:color w:val="auto"/>
          <w:sz w:val="24"/>
          <w:szCs w:val="32"/>
          <w:highlight w:val="none"/>
        </w:rPr>
      </w:pPr>
      <w:r>
        <w:rPr>
          <w:color w:val="auto"/>
          <w:spacing w:val="-10"/>
          <w:sz w:val="24"/>
          <w:szCs w:val="32"/>
          <w:highlight w:val="none"/>
        </w:rPr>
        <w:t>4.不同供应商的响应文件异常一致或者竞标报</w:t>
      </w:r>
      <w:r>
        <w:rPr>
          <w:color w:val="auto"/>
          <w:spacing w:val="-11"/>
          <w:sz w:val="24"/>
          <w:szCs w:val="32"/>
          <w:highlight w:val="none"/>
        </w:rPr>
        <w:t>价呈规律性差异；</w:t>
      </w:r>
    </w:p>
    <w:p w14:paraId="321169BA">
      <w:pPr>
        <w:pStyle w:val="10"/>
        <w:spacing w:before="155" w:line="219" w:lineRule="auto"/>
        <w:ind w:left="484"/>
        <w:rPr>
          <w:color w:val="auto"/>
          <w:sz w:val="24"/>
          <w:szCs w:val="32"/>
          <w:highlight w:val="none"/>
        </w:rPr>
      </w:pPr>
      <w:r>
        <w:rPr>
          <w:color w:val="auto"/>
          <w:spacing w:val="-1"/>
          <w:sz w:val="24"/>
          <w:szCs w:val="32"/>
          <w:highlight w:val="none"/>
        </w:rPr>
        <w:t>5.不同供应商的响应文件相互混装；</w:t>
      </w:r>
    </w:p>
    <w:p w14:paraId="66C36F49">
      <w:pPr>
        <w:pStyle w:val="10"/>
        <w:spacing w:before="157" w:line="220" w:lineRule="auto"/>
        <w:ind w:left="483"/>
        <w:rPr>
          <w:color w:val="auto"/>
          <w:sz w:val="24"/>
          <w:szCs w:val="32"/>
          <w:highlight w:val="none"/>
        </w:rPr>
      </w:pPr>
      <w:r>
        <w:rPr>
          <w:b/>
          <w:bCs/>
          <w:color w:val="auto"/>
          <w:spacing w:val="-3"/>
          <w:sz w:val="24"/>
          <w:szCs w:val="32"/>
          <w:highlight w:val="none"/>
        </w:rPr>
        <w:t>二、我方承诺无下列恶意串通的情形：</w:t>
      </w:r>
    </w:p>
    <w:p w14:paraId="547ACC42">
      <w:pPr>
        <w:pStyle w:val="10"/>
        <w:spacing w:before="153" w:line="279" w:lineRule="auto"/>
        <w:ind w:right="12" w:firstLine="497"/>
        <w:rPr>
          <w:color w:val="auto"/>
          <w:sz w:val="24"/>
          <w:szCs w:val="32"/>
          <w:highlight w:val="none"/>
        </w:rPr>
      </w:pPr>
      <w:r>
        <w:rPr>
          <w:color w:val="auto"/>
          <w:spacing w:val="4"/>
          <w:sz w:val="24"/>
          <w:szCs w:val="32"/>
          <w:highlight w:val="none"/>
        </w:rPr>
        <w:t>1.供应商直接或者间接从采购人或者采购代理机构处获得其他供应商的相关信息并</w:t>
      </w:r>
      <w:r>
        <w:rPr>
          <w:color w:val="auto"/>
          <w:spacing w:val="-2"/>
          <w:sz w:val="24"/>
          <w:szCs w:val="32"/>
          <w:highlight w:val="none"/>
        </w:rPr>
        <w:t>修改其响应文件；</w:t>
      </w:r>
    </w:p>
    <w:p w14:paraId="3B2CDAAB">
      <w:pPr>
        <w:pStyle w:val="10"/>
        <w:spacing w:before="156" w:line="219" w:lineRule="auto"/>
        <w:ind w:left="482"/>
        <w:rPr>
          <w:color w:val="auto"/>
          <w:sz w:val="24"/>
          <w:szCs w:val="32"/>
          <w:highlight w:val="none"/>
        </w:rPr>
      </w:pPr>
      <w:r>
        <w:rPr>
          <w:color w:val="auto"/>
          <w:spacing w:val="-1"/>
          <w:sz w:val="24"/>
          <w:szCs w:val="32"/>
          <w:highlight w:val="none"/>
        </w:rPr>
        <w:t>2.供应商按照采购人或者采购代理机构的授意撤换、修改响应文件；</w:t>
      </w:r>
    </w:p>
    <w:p w14:paraId="328F930B">
      <w:pPr>
        <w:pStyle w:val="10"/>
        <w:spacing w:before="154" w:line="219" w:lineRule="auto"/>
        <w:ind w:left="484"/>
        <w:rPr>
          <w:color w:val="auto"/>
          <w:sz w:val="24"/>
          <w:szCs w:val="32"/>
          <w:highlight w:val="none"/>
        </w:rPr>
      </w:pPr>
      <w:r>
        <w:rPr>
          <w:color w:val="auto"/>
          <w:spacing w:val="-11"/>
          <w:sz w:val="24"/>
          <w:szCs w:val="32"/>
          <w:highlight w:val="none"/>
        </w:rPr>
        <w:t>3.供应商之间协商报价、技术方案等响应文件的实质性内容；</w:t>
      </w:r>
    </w:p>
    <w:p w14:paraId="1215EA6B">
      <w:pPr>
        <w:pStyle w:val="10"/>
        <w:spacing w:before="155" w:line="280" w:lineRule="auto"/>
        <w:ind w:left="3" w:right="11" w:firstLine="475"/>
        <w:rPr>
          <w:color w:val="auto"/>
          <w:sz w:val="24"/>
          <w:szCs w:val="32"/>
          <w:highlight w:val="none"/>
        </w:rPr>
      </w:pPr>
      <w:r>
        <w:rPr>
          <w:color w:val="auto"/>
          <w:spacing w:val="-2"/>
          <w:sz w:val="24"/>
          <w:szCs w:val="32"/>
          <w:highlight w:val="none"/>
        </w:rPr>
        <w:t>4.属于同一集团、协会、商会等组织成员的供应商按照该组织要求协同参加政府采购</w:t>
      </w:r>
      <w:r>
        <w:rPr>
          <w:color w:val="auto"/>
          <w:spacing w:val="-5"/>
          <w:sz w:val="24"/>
          <w:szCs w:val="32"/>
          <w:highlight w:val="none"/>
        </w:rPr>
        <w:t>活动；</w:t>
      </w:r>
    </w:p>
    <w:p w14:paraId="7E5E9DA5">
      <w:pPr>
        <w:pStyle w:val="10"/>
        <w:spacing w:before="151" w:line="278" w:lineRule="auto"/>
        <w:ind w:left="5" w:right="9" w:firstLine="479"/>
        <w:rPr>
          <w:color w:val="auto"/>
          <w:sz w:val="24"/>
          <w:szCs w:val="32"/>
          <w:highlight w:val="none"/>
        </w:rPr>
      </w:pPr>
      <w:r>
        <w:rPr>
          <w:color w:val="auto"/>
          <w:spacing w:val="1"/>
          <w:sz w:val="24"/>
          <w:szCs w:val="32"/>
          <w:highlight w:val="none"/>
        </w:rPr>
        <w:t>5.供应商之间事先约定一致抬高或者压低竞标报价,或者在竞争性磋商项目中事先约</w:t>
      </w:r>
      <w:r>
        <w:rPr>
          <w:color w:val="auto"/>
          <w:spacing w:val="-2"/>
          <w:sz w:val="24"/>
          <w:szCs w:val="32"/>
          <w:highlight w:val="none"/>
        </w:rPr>
        <w:t>定轮流以高价位或者低价位成交</w:t>
      </w:r>
      <w:r>
        <w:rPr>
          <w:rFonts w:hint="eastAsia"/>
          <w:color w:val="auto"/>
          <w:spacing w:val="-2"/>
          <w:sz w:val="24"/>
          <w:szCs w:val="32"/>
          <w:highlight w:val="none"/>
          <w:lang w:eastAsia="zh-CN"/>
        </w:rPr>
        <w:t>，</w:t>
      </w:r>
      <w:r>
        <w:rPr>
          <w:color w:val="auto"/>
          <w:spacing w:val="-2"/>
          <w:sz w:val="24"/>
          <w:szCs w:val="32"/>
          <w:highlight w:val="none"/>
        </w:rPr>
        <w:t>或者事先约定由某一特定供应商成交</w:t>
      </w:r>
      <w:r>
        <w:rPr>
          <w:rFonts w:hint="eastAsia"/>
          <w:color w:val="auto"/>
          <w:spacing w:val="-2"/>
          <w:sz w:val="24"/>
          <w:szCs w:val="32"/>
          <w:highlight w:val="none"/>
          <w:lang w:eastAsia="zh-CN"/>
        </w:rPr>
        <w:t>，</w:t>
      </w:r>
      <w:r>
        <w:rPr>
          <w:color w:val="auto"/>
          <w:spacing w:val="-2"/>
          <w:sz w:val="24"/>
          <w:szCs w:val="32"/>
          <w:highlight w:val="none"/>
        </w:rPr>
        <w:t>然后再参加竞标；</w:t>
      </w:r>
    </w:p>
    <w:p w14:paraId="23217D0A">
      <w:pPr>
        <w:pStyle w:val="10"/>
        <w:spacing w:before="160" w:line="219" w:lineRule="auto"/>
        <w:ind w:left="481"/>
        <w:rPr>
          <w:color w:val="auto"/>
          <w:sz w:val="24"/>
          <w:szCs w:val="32"/>
          <w:highlight w:val="none"/>
        </w:rPr>
      </w:pPr>
      <w:r>
        <w:rPr>
          <w:color w:val="auto"/>
          <w:spacing w:val="-1"/>
          <w:sz w:val="24"/>
          <w:szCs w:val="32"/>
          <w:highlight w:val="none"/>
        </w:rPr>
        <w:t>6.供应商之间商定部分供应商放弃参加政府采购活动或者放弃成交；</w:t>
      </w:r>
    </w:p>
    <w:p w14:paraId="425C987E">
      <w:pPr>
        <w:pStyle w:val="10"/>
        <w:spacing w:before="153" w:line="279" w:lineRule="auto"/>
        <w:ind w:left="2" w:firstLine="482"/>
        <w:rPr>
          <w:color w:val="auto"/>
          <w:sz w:val="24"/>
          <w:szCs w:val="32"/>
          <w:highlight w:val="none"/>
        </w:rPr>
      </w:pPr>
      <w:r>
        <w:rPr>
          <w:color w:val="auto"/>
          <w:spacing w:val="-2"/>
          <w:sz w:val="24"/>
          <w:szCs w:val="32"/>
          <w:highlight w:val="none"/>
        </w:rPr>
        <w:t>7.供应商与采购人或者采购代理机构之间、供应商相互之间，为谋求特定供应商成交</w:t>
      </w:r>
      <w:r>
        <w:rPr>
          <w:color w:val="auto"/>
          <w:spacing w:val="-12"/>
          <w:sz w:val="24"/>
          <w:szCs w:val="32"/>
          <w:highlight w:val="none"/>
        </w:rPr>
        <w:t>或者排斥其他供应商的其他串通行为。</w:t>
      </w:r>
    </w:p>
    <w:p w14:paraId="3D0486BE">
      <w:pPr>
        <w:pStyle w:val="10"/>
        <w:spacing w:before="156" w:line="340" w:lineRule="auto"/>
        <w:ind w:left="1" w:right="14" w:firstLine="505"/>
        <w:rPr>
          <w:color w:val="auto"/>
          <w:sz w:val="24"/>
          <w:szCs w:val="32"/>
          <w:highlight w:val="none"/>
        </w:rPr>
      </w:pPr>
      <w:r>
        <w:rPr>
          <w:b/>
          <w:bCs/>
          <w:color w:val="auto"/>
          <w:spacing w:val="-5"/>
          <w:sz w:val="24"/>
          <w:szCs w:val="32"/>
          <w:highlight w:val="none"/>
        </w:rPr>
        <w:t>以上情形一经核查属实，接受政府采购监管部门对我方认定</w:t>
      </w:r>
      <w:r>
        <w:rPr>
          <w:b/>
          <w:bCs/>
          <w:color w:val="auto"/>
          <w:spacing w:val="-6"/>
          <w:sz w:val="24"/>
          <w:szCs w:val="32"/>
          <w:highlight w:val="none"/>
        </w:rPr>
        <w:t>存在围标串标行为，我方</w:t>
      </w:r>
      <w:r>
        <w:rPr>
          <w:b/>
          <w:bCs/>
          <w:color w:val="auto"/>
          <w:spacing w:val="-2"/>
          <w:sz w:val="24"/>
          <w:szCs w:val="32"/>
          <w:highlight w:val="none"/>
        </w:rPr>
        <w:t>愿意承担一切后果，并不再寻求任何旨在减轻或者免除法律责任的辩解。</w:t>
      </w:r>
    </w:p>
    <w:p w14:paraId="0E788C4F">
      <w:pPr>
        <w:spacing w:line="394" w:lineRule="auto"/>
        <w:rPr>
          <w:rFonts w:ascii="Arial"/>
          <w:color w:val="auto"/>
          <w:sz w:val="24"/>
          <w:szCs w:val="32"/>
          <w:highlight w:val="none"/>
        </w:rPr>
      </w:pPr>
    </w:p>
    <w:p w14:paraId="47E83466">
      <w:pPr>
        <w:pStyle w:val="10"/>
        <w:spacing w:before="79" w:line="219" w:lineRule="auto"/>
        <w:ind w:left="4096"/>
        <w:rPr>
          <w:color w:val="auto"/>
          <w:sz w:val="24"/>
          <w:szCs w:val="32"/>
          <w:highlight w:val="none"/>
        </w:rPr>
      </w:pPr>
      <w:r>
        <w:rPr>
          <w:color w:val="auto"/>
          <w:spacing w:val="-1"/>
          <w:sz w:val="24"/>
          <w:szCs w:val="32"/>
          <w:highlight w:val="none"/>
        </w:rPr>
        <w:t>供应商名称（电子签章</w:t>
      </w:r>
      <w:r>
        <w:rPr>
          <w:color w:val="auto"/>
          <w:sz w:val="24"/>
          <w:szCs w:val="32"/>
          <w:highlight w:val="none"/>
        </w:rPr>
        <w:t>）：</w:t>
      </w:r>
    </w:p>
    <w:p w14:paraId="01138DA0">
      <w:pPr>
        <w:pStyle w:val="10"/>
        <w:spacing w:before="211" w:line="220" w:lineRule="auto"/>
        <w:ind w:left="6790"/>
        <w:rPr>
          <w:color w:val="auto"/>
          <w:sz w:val="24"/>
          <w:szCs w:val="32"/>
          <w:highlight w:val="none"/>
        </w:rPr>
      </w:pPr>
      <w:r>
        <w:rPr>
          <w:color w:val="auto"/>
          <w:spacing w:val="-13"/>
          <w:sz w:val="24"/>
          <w:szCs w:val="32"/>
          <w:highlight w:val="none"/>
        </w:rPr>
        <w:t>日期：</w:t>
      </w:r>
      <w:r>
        <w:rPr>
          <w:color w:val="auto"/>
          <w:spacing w:val="5"/>
          <w:sz w:val="24"/>
          <w:szCs w:val="32"/>
          <w:highlight w:val="none"/>
        </w:rPr>
        <w:t xml:space="preserve">  </w:t>
      </w:r>
      <w:r>
        <w:rPr>
          <w:color w:val="auto"/>
          <w:spacing w:val="-13"/>
          <w:sz w:val="24"/>
          <w:szCs w:val="32"/>
          <w:highlight w:val="none"/>
        </w:rPr>
        <w:t>年</w:t>
      </w:r>
      <w:r>
        <w:rPr>
          <w:color w:val="auto"/>
          <w:spacing w:val="8"/>
          <w:sz w:val="24"/>
          <w:szCs w:val="32"/>
          <w:highlight w:val="none"/>
        </w:rPr>
        <w:t xml:space="preserve">  </w:t>
      </w:r>
      <w:r>
        <w:rPr>
          <w:color w:val="auto"/>
          <w:spacing w:val="-13"/>
          <w:sz w:val="24"/>
          <w:szCs w:val="32"/>
          <w:highlight w:val="none"/>
        </w:rPr>
        <w:t>月</w:t>
      </w:r>
      <w:r>
        <w:rPr>
          <w:color w:val="auto"/>
          <w:spacing w:val="17"/>
          <w:sz w:val="24"/>
          <w:szCs w:val="32"/>
          <w:highlight w:val="none"/>
        </w:rPr>
        <w:t xml:space="preserve">   </w:t>
      </w:r>
      <w:r>
        <w:rPr>
          <w:color w:val="auto"/>
          <w:spacing w:val="-13"/>
          <w:sz w:val="24"/>
          <w:szCs w:val="32"/>
          <w:highlight w:val="none"/>
        </w:rPr>
        <w:t>日</w:t>
      </w:r>
    </w:p>
    <w:p w14:paraId="60E3F6DB">
      <w:pPr>
        <w:spacing w:line="500" w:lineRule="exact"/>
        <w:rPr>
          <w:rFonts w:ascii="宋体" w:hAnsi="宋体" w:cs="宋体"/>
          <w:b/>
          <w:bCs/>
          <w:color w:val="auto"/>
          <w:w w:val="99"/>
          <w:kern w:val="0"/>
          <w:sz w:val="30"/>
          <w:szCs w:val="32"/>
          <w:highlight w:val="none"/>
        </w:rPr>
        <w:sectPr>
          <w:pgSz w:w="11905" w:h="16838"/>
          <w:pgMar w:top="1440" w:right="1083" w:bottom="1440" w:left="1083" w:header="851" w:footer="850" w:gutter="0"/>
          <w:cols w:space="0" w:num="1"/>
          <w:docGrid w:linePitch="312" w:charSpace="0"/>
        </w:sectPr>
      </w:pPr>
    </w:p>
    <w:p w14:paraId="4B7BBEB6">
      <w:pPr>
        <w:spacing w:line="500" w:lineRule="exact"/>
        <w:rPr>
          <w:rFonts w:ascii="宋体" w:hAnsi="宋体" w:cs="宋体"/>
          <w:b/>
          <w:bCs/>
          <w:color w:val="auto"/>
          <w:w w:val="99"/>
          <w:kern w:val="0"/>
          <w:sz w:val="30"/>
          <w:szCs w:val="32"/>
          <w:highlight w:val="none"/>
        </w:rPr>
      </w:pPr>
    </w:p>
    <w:p w14:paraId="18FD795F">
      <w:pPr>
        <w:pStyle w:val="10"/>
        <w:spacing w:before="98" w:line="219" w:lineRule="auto"/>
        <w:ind w:left="587"/>
        <w:rPr>
          <w:color w:val="auto"/>
          <w:sz w:val="30"/>
          <w:szCs w:val="30"/>
          <w:highlight w:val="none"/>
        </w:rPr>
      </w:pPr>
      <w:r>
        <w:rPr>
          <w:b/>
          <w:bCs/>
          <w:color w:val="auto"/>
          <w:spacing w:val="-3"/>
          <w:sz w:val="30"/>
          <w:szCs w:val="30"/>
          <w:highlight w:val="none"/>
        </w:rPr>
        <w:t>法定代表人身份证明书及法定代表人有效身份证正反面复印件</w:t>
      </w:r>
    </w:p>
    <w:p w14:paraId="05331045">
      <w:pPr>
        <w:spacing w:line="340" w:lineRule="auto"/>
        <w:rPr>
          <w:rFonts w:ascii="Arial"/>
          <w:color w:val="auto"/>
          <w:sz w:val="21"/>
          <w:highlight w:val="none"/>
        </w:rPr>
      </w:pPr>
    </w:p>
    <w:p w14:paraId="25B9BF04">
      <w:pPr>
        <w:spacing w:line="341" w:lineRule="auto"/>
        <w:rPr>
          <w:rFonts w:ascii="Arial"/>
          <w:color w:val="auto"/>
          <w:sz w:val="21"/>
          <w:highlight w:val="none"/>
        </w:rPr>
      </w:pPr>
    </w:p>
    <w:p w14:paraId="777D1538">
      <w:pPr>
        <w:pStyle w:val="10"/>
        <w:spacing w:before="100" w:line="225" w:lineRule="auto"/>
        <w:ind w:left="3370"/>
        <w:rPr>
          <w:color w:val="auto"/>
          <w:sz w:val="31"/>
          <w:szCs w:val="31"/>
          <w:highlight w:val="none"/>
        </w:rPr>
      </w:pPr>
      <w:r>
        <w:rPr>
          <w:b/>
          <w:bCs/>
          <w:color w:val="auto"/>
          <w:spacing w:val="5"/>
          <w:sz w:val="31"/>
          <w:szCs w:val="31"/>
          <w:highlight w:val="none"/>
        </w:rPr>
        <w:t>法定代表人证明书</w:t>
      </w:r>
    </w:p>
    <w:p w14:paraId="69C1ACEE">
      <w:pPr>
        <w:spacing w:line="353" w:lineRule="auto"/>
        <w:rPr>
          <w:rFonts w:ascii="Arial"/>
          <w:color w:val="auto"/>
          <w:sz w:val="21"/>
          <w:highlight w:val="none"/>
        </w:rPr>
      </w:pPr>
    </w:p>
    <w:p w14:paraId="46C7CB67">
      <w:pPr>
        <w:spacing w:line="354" w:lineRule="auto"/>
        <w:rPr>
          <w:rFonts w:ascii="Arial"/>
          <w:color w:val="auto"/>
          <w:sz w:val="21"/>
          <w:highlight w:val="none"/>
        </w:rPr>
      </w:pPr>
    </w:p>
    <w:p w14:paraId="23B95BAF">
      <w:pPr>
        <w:pStyle w:val="10"/>
        <w:spacing w:before="78" w:line="219" w:lineRule="auto"/>
        <w:ind w:left="540"/>
        <w:rPr>
          <w:color w:val="auto"/>
          <w:sz w:val="24"/>
          <w:szCs w:val="32"/>
          <w:highlight w:val="none"/>
        </w:rPr>
      </w:pPr>
      <w:r>
        <w:rPr>
          <w:color w:val="auto"/>
          <w:spacing w:val="-2"/>
          <w:sz w:val="24"/>
          <w:szCs w:val="32"/>
          <w:highlight w:val="none"/>
        </w:rPr>
        <w:t>供应商名称：</w:t>
      </w:r>
      <w:r>
        <w:rPr>
          <w:color w:val="auto"/>
          <w:sz w:val="24"/>
          <w:szCs w:val="32"/>
          <w:highlight w:val="none"/>
          <w:u w:val="single" w:color="auto"/>
        </w:rPr>
        <w:t xml:space="preserve">                                         </w:t>
      </w:r>
    </w:p>
    <w:p w14:paraId="47B41178">
      <w:pPr>
        <w:pStyle w:val="10"/>
        <w:spacing w:before="212" w:line="229" w:lineRule="auto"/>
        <w:ind w:left="540"/>
        <w:rPr>
          <w:color w:val="auto"/>
          <w:sz w:val="24"/>
          <w:szCs w:val="32"/>
          <w:highlight w:val="none"/>
        </w:rPr>
      </w:pPr>
      <w:r>
        <w:rPr>
          <w:color w:val="auto"/>
          <w:spacing w:val="-17"/>
          <w:sz w:val="24"/>
          <w:szCs w:val="32"/>
          <w:highlight w:val="none"/>
        </w:rPr>
        <w:t>地</w:t>
      </w:r>
      <w:r>
        <w:rPr>
          <w:color w:val="auto"/>
          <w:spacing w:val="2"/>
          <w:sz w:val="24"/>
          <w:szCs w:val="32"/>
          <w:highlight w:val="none"/>
        </w:rPr>
        <w:t xml:space="preserve">    </w:t>
      </w:r>
      <w:r>
        <w:rPr>
          <w:color w:val="auto"/>
          <w:spacing w:val="-17"/>
          <w:sz w:val="24"/>
          <w:szCs w:val="32"/>
          <w:highlight w:val="none"/>
        </w:rPr>
        <w:t>址</w:t>
      </w:r>
      <w:r>
        <w:rPr>
          <w:color w:val="auto"/>
          <w:spacing w:val="-88"/>
          <w:sz w:val="24"/>
          <w:szCs w:val="32"/>
          <w:highlight w:val="none"/>
        </w:rPr>
        <w:t xml:space="preserve"> </w:t>
      </w:r>
      <w:r>
        <w:rPr>
          <w:color w:val="auto"/>
          <w:spacing w:val="-17"/>
          <w:sz w:val="24"/>
          <w:szCs w:val="32"/>
          <w:highlight w:val="none"/>
        </w:rPr>
        <w:t>：</w:t>
      </w:r>
      <w:r>
        <w:rPr>
          <w:color w:val="auto"/>
          <w:sz w:val="24"/>
          <w:szCs w:val="32"/>
          <w:highlight w:val="none"/>
          <w:u w:val="single" w:color="auto"/>
        </w:rPr>
        <w:t xml:space="preserve">                                           </w:t>
      </w:r>
    </w:p>
    <w:p w14:paraId="013D91E5">
      <w:pPr>
        <w:pStyle w:val="10"/>
        <w:spacing w:before="198" w:line="220" w:lineRule="auto"/>
        <w:ind w:left="540"/>
        <w:rPr>
          <w:color w:val="auto"/>
          <w:sz w:val="24"/>
          <w:szCs w:val="32"/>
          <w:highlight w:val="none"/>
        </w:rPr>
      </w:pPr>
      <w:r>
        <w:rPr>
          <w:color w:val="auto"/>
          <w:spacing w:val="-10"/>
          <w:sz w:val="24"/>
          <w:szCs w:val="32"/>
          <w:highlight w:val="none"/>
        </w:rPr>
        <w:t>姓</w:t>
      </w:r>
      <w:r>
        <w:rPr>
          <w:color w:val="auto"/>
          <w:spacing w:val="4"/>
          <w:sz w:val="24"/>
          <w:szCs w:val="32"/>
          <w:highlight w:val="none"/>
        </w:rPr>
        <w:t xml:space="preserve">    </w:t>
      </w:r>
      <w:r>
        <w:rPr>
          <w:color w:val="auto"/>
          <w:spacing w:val="-10"/>
          <w:sz w:val="24"/>
          <w:szCs w:val="32"/>
          <w:highlight w:val="none"/>
        </w:rPr>
        <w:t>名</w:t>
      </w:r>
      <w:r>
        <w:rPr>
          <w:color w:val="auto"/>
          <w:spacing w:val="-89"/>
          <w:sz w:val="24"/>
          <w:szCs w:val="32"/>
          <w:highlight w:val="none"/>
        </w:rPr>
        <w:t xml:space="preserve"> </w:t>
      </w:r>
      <w:r>
        <w:rPr>
          <w:color w:val="auto"/>
          <w:spacing w:val="-10"/>
          <w:sz w:val="24"/>
          <w:szCs w:val="32"/>
          <w:highlight w:val="none"/>
        </w:rPr>
        <w:t>：</w:t>
      </w:r>
      <w:r>
        <w:rPr>
          <w:color w:val="auto"/>
          <w:spacing w:val="-10"/>
          <w:sz w:val="24"/>
          <w:szCs w:val="32"/>
          <w:highlight w:val="none"/>
          <w:u w:val="single" w:color="auto"/>
        </w:rPr>
        <w:t xml:space="preserve">                 </w:t>
      </w:r>
      <w:r>
        <w:rPr>
          <w:color w:val="auto"/>
          <w:spacing w:val="-110"/>
          <w:sz w:val="24"/>
          <w:szCs w:val="32"/>
          <w:highlight w:val="none"/>
        </w:rPr>
        <w:t xml:space="preserve"> </w:t>
      </w:r>
      <w:r>
        <w:rPr>
          <w:color w:val="auto"/>
          <w:spacing w:val="-10"/>
          <w:sz w:val="24"/>
          <w:szCs w:val="32"/>
          <w:highlight w:val="none"/>
        </w:rPr>
        <w:t>性</w:t>
      </w:r>
      <w:r>
        <w:rPr>
          <w:color w:val="auto"/>
          <w:spacing w:val="3"/>
          <w:sz w:val="24"/>
          <w:szCs w:val="32"/>
          <w:highlight w:val="none"/>
        </w:rPr>
        <w:t xml:space="preserve">    </w:t>
      </w:r>
      <w:r>
        <w:rPr>
          <w:color w:val="auto"/>
          <w:spacing w:val="-10"/>
          <w:sz w:val="24"/>
          <w:szCs w:val="32"/>
          <w:highlight w:val="none"/>
        </w:rPr>
        <w:t>别</w:t>
      </w:r>
      <w:r>
        <w:rPr>
          <w:color w:val="auto"/>
          <w:spacing w:val="-90"/>
          <w:sz w:val="24"/>
          <w:szCs w:val="32"/>
          <w:highlight w:val="none"/>
        </w:rPr>
        <w:t xml:space="preserve"> </w:t>
      </w:r>
      <w:r>
        <w:rPr>
          <w:color w:val="auto"/>
          <w:spacing w:val="-10"/>
          <w:sz w:val="24"/>
          <w:szCs w:val="32"/>
          <w:highlight w:val="none"/>
        </w:rPr>
        <w:t>：</w:t>
      </w:r>
      <w:r>
        <w:rPr>
          <w:color w:val="auto"/>
          <w:sz w:val="24"/>
          <w:szCs w:val="32"/>
          <w:highlight w:val="none"/>
          <w:u w:val="single" w:color="auto"/>
        </w:rPr>
        <w:t xml:space="preserve">                 </w:t>
      </w:r>
    </w:p>
    <w:p w14:paraId="3A2BE61B">
      <w:pPr>
        <w:pStyle w:val="10"/>
        <w:spacing w:before="211" w:line="220" w:lineRule="auto"/>
        <w:ind w:left="541"/>
        <w:rPr>
          <w:color w:val="auto"/>
          <w:sz w:val="24"/>
          <w:szCs w:val="32"/>
          <w:highlight w:val="none"/>
        </w:rPr>
      </w:pPr>
      <w:r>
        <w:rPr>
          <w:color w:val="auto"/>
          <w:spacing w:val="-10"/>
          <w:sz w:val="24"/>
          <w:szCs w:val="32"/>
          <w:highlight w:val="none"/>
        </w:rPr>
        <w:t>年</w:t>
      </w:r>
      <w:r>
        <w:rPr>
          <w:color w:val="auto"/>
          <w:spacing w:val="4"/>
          <w:sz w:val="24"/>
          <w:szCs w:val="32"/>
          <w:highlight w:val="none"/>
        </w:rPr>
        <w:t xml:space="preserve">    </w:t>
      </w:r>
      <w:r>
        <w:rPr>
          <w:color w:val="auto"/>
          <w:spacing w:val="-10"/>
          <w:sz w:val="24"/>
          <w:szCs w:val="32"/>
          <w:highlight w:val="none"/>
        </w:rPr>
        <w:t>龄</w:t>
      </w:r>
      <w:r>
        <w:rPr>
          <w:color w:val="auto"/>
          <w:spacing w:val="-90"/>
          <w:sz w:val="24"/>
          <w:szCs w:val="32"/>
          <w:highlight w:val="none"/>
        </w:rPr>
        <w:t xml:space="preserve"> </w:t>
      </w:r>
      <w:r>
        <w:rPr>
          <w:color w:val="auto"/>
          <w:spacing w:val="-10"/>
          <w:sz w:val="24"/>
          <w:szCs w:val="32"/>
          <w:highlight w:val="none"/>
        </w:rPr>
        <w:t>：</w:t>
      </w:r>
      <w:r>
        <w:rPr>
          <w:color w:val="auto"/>
          <w:spacing w:val="-10"/>
          <w:sz w:val="24"/>
          <w:szCs w:val="32"/>
          <w:highlight w:val="none"/>
          <w:u w:val="single" w:color="auto"/>
        </w:rPr>
        <w:t xml:space="preserve">                 </w:t>
      </w:r>
      <w:r>
        <w:rPr>
          <w:color w:val="auto"/>
          <w:spacing w:val="-109"/>
          <w:sz w:val="24"/>
          <w:szCs w:val="32"/>
          <w:highlight w:val="none"/>
        </w:rPr>
        <w:t xml:space="preserve"> </w:t>
      </w:r>
      <w:r>
        <w:rPr>
          <w:color w:val="auto"/>
          <w:spacing w:val="-10"/>
          <w:sz w:val="24"/>
          <w:szCs w:val="32"/>
          <w:highlight w:val="none"/>
        </w:rPr>
        <w:t>职</w:t>
      </w:r>
      <w:r>
        <w:rPr>
          <w:color w:val="auto"/>
          <w:spacing w:val="2"/>
          <w:sz w:val="24"/>
          <w:szCs w:val="32"/>
          <w:highlight w:val="none"/>
        </w:rPr>
        <w:t xml:space="preserve">    </w:t>
      </w:r>
      <w:r>
        <w:rPr>
          <w:color w:val="auto"/>
          <w:spacing w:val="-10"/>
          <w:sz w:val="24"/>
          <w:szCs w:val="32"/>
          <w:highlight w:val="none"/>
        </w:rPr>
        <w:t>务</w:t>
      </w:r>
      <w:r>
        <w:rPr>
          <w:color w:val="auto"/>
          <w:spacing w:val="-87"/>
          <w:sz w:val="24"/>
          <w:szCs w:val="32"/>
          <w:highlight w:val="none"/>
        </w:rPr>
        <w:t xml:space="preserve"> </w:t>
      </w:r>
      <w:r>
        <w:rPr>
          <w:color w:val="auto"/>
          <w:spacing w:val="-10"/>
          <w:sz w:val="24"/>
          <w:szCs w:val="32"/>
          <w:highlight w:val="none"/>
        </w:rPr>
        <w:t>：</w:t>
      </w:r>
      <w:r>
        <w:rPr>
          <w:color w:val="auto"/>
          <w:sz w:val="24"/>
          <w:szCs w:val="32"/>
          <w:highlight w:val="none"/>
          <w:u w:val="single" w:color="auto"/>
        </w:rPr>
        <w:t xml:space="preserve">                 </w:t>
      </w:r>
    </w:p>
    <w:p w14:paraId="00AC3AD4">
      <w:pPr>
        <w:pStyle w:val="10"/>
        <w:spacing w:before="211" w:line="220" w:lineRule="auto"/>
        <w:ind w:left="547"/>
        <w:rPr>
          <w:color w:val="auto"/>
          <w:sz w:val="24"/>
          <w:szCs w:val="32"/>
          <w:highlight w:val="none"/>
        </w:rPr>
      </w:pPr>
      <w:r>
        <w:rPr>
          <w:color w:val="auto"/>
          <w:spacing w:val="-3"/>
          <w:sz w:val="24"/>
          <w:szCs w:val="32"/>
          <w:highlight w:val="none"/>
        </w:rPr>
        <w:t>身份证号码：</w:t>
      </w:r>
      <w:r>
        <w:rPr>
          <w:color w:val="auto"/>
          <w:sz w:val="24"/>
          <w:szCs w:val="32"/>
          <w:highlight w:val="none"/>
          <w:u w:val="single" w:color="auto"/>
        </w:rPr>
        <w:t xml:space="preserve">                                         </w:t>
      </w:r>
    </w:p>
    <w:p w14:paraId="538EEE16">
      <w:pPr>
        <w:pStyle w:val="10"/>
        <w:spacing w:before="211" w:line="219" w:lineRule="auto"/>
        <w:ind w:left="485"/>
        <w:rPr>
          <w:color w:val="auto"/>
          <w:sz w:val="24"/>
          <w:szCs w:val="32"/>
          <w:highlight w:val="none"/>
        </w:rPr>
      </w:pPr>
      <w:r>
        <w:rPr>
          <w:color w:val="auto"/>
          <w:spacing w:val="-3"/>
          <w:sz w:val="24"/>
          <w:szCs w:val="32"/>
          <w:highlight w:val="none"/>
        </w:rPr>
        <w:t>系</w:t>
      </w:r>
      <w:r>
        <w:rPr>
          <w:color w:val="auto"/>
          <w:spacing w:val="-3"/>
          <w:sz w:val="24"/>
          <w:szCs w:val="32"/>
          <w:highlight w:val="none"/>
          <w:u w:val="single" w:color="auto"/>
        </w:rPr>
        <w:t xml:space="preserve">（供应商名称） </w:t>
      </w:r>
      <w:r>
        <w:rPr>
          <w:color w:val="auto"/>
          <w:spacing w:val="-88"/>
          <w:sz w:val="24"/>
          <w:szCs w:val="32"/>
          <w:highlight w:val="none"/>
        </w:rPr>
        <w:t xml:space="preserve"> </w:t>
      </w:r>
      <w:r>
        <w:rPr>
          <w:color w:val="auto"/>
          <w:spacing w:val="-3"/>
          <w:sz w:val="24"/>
          <w:szCs w:val="32"/>
          <w:highlight w:val="none"/>
        </w:rPr>
        <w:t>的法定代表人。</w:t>
      </w:r>
    </w:p>
    <w:p w14:paraId="0F724224">
      <w:pPr>
        <w:pStyle w:val="10"/>
        <w:spacing w:before="212" w:line="220" w:lineRule="auto"/>
        <w:ind w:left="540"/>
        <w:rPr>
          <w:color w:val="auto"/>
          <w:sz w:val="24"/>
          <w:szCs w:val="32"/>
          <w:highlight w:val="none"/>
        </w:rPr>
      </w:pPr>
      <w:r>
        <w:rPr>
          <w:color w:val="auto"/>
          <w:spacing w:val="-2"/>
          <w:sz w:val="24"/>
          <w:szCs w:val="32"/>
          <w:highlight w:val="none"/>
        </w:rPr>
        <w:t>特此证明。</w:t>
      </w:r>
    </w:p>
    <w:p w14:paraId="5BD2A223">
      <w:pPr>
        <w:spacing w:line="311" w:lineRule="auto"/>
        <w:rPr>
          <w:rFonts w:ascii="Arial"/>
          <w:color w:val="auto"/>
          <w:sz w:val="24"/>
          <w:szCs w:val="32"/>
          <w:highlight w:val="none"/>
        </w:rPr>
      </w:pPr>
    </w:p>
    <w:p w14:paraId="37B3F6C2">
      <w:pPr>
        <w:spacing w:line="312" w:lineRule="auto"/>
        <w:rPr>
          <w:rFonts w:ascii="Arial"/>
          <w:color w:val="auto"/>
          <w:sz w:val="24"/>
          <w:szCs w:val="32"/>
          <w:highlight w:val="none"/>
        </w:rPr>
      </w:pPr>
    </w:p>
    <w:p w14:paraId="28C24EEC">
      <w:pPr>
        <w:pStyle w:val="10"/>
        <w:spacing w:before="78" w:line="219" w:lineRule="auto"/>
        <w:ind w:left="559"/>
        <w:rPr>
          <w:color w:val="auto"/>
          <w:sz w:val="24"/>
          <w:szCs w:val="32"/>
          <w:highlight w:val="none"/>
        </w:rPr>
      </w:pPr>
      <w:r>
        <w:rPr>
          <w:color w:val="auto"/>
          <w:spacing w:val="-2"/>
          <w:sz w:val="24"/>
          <w:szCs w:val="32"/>
          <w:highlight w:val="none"/>
        </w:rPr>
        <w:t>附件：法定代表人有效身份证正反面复印件</w:t>
      </w:r>
    </w:p>
    <w:p w14:paraId="628762A3">
      <w:pPr>
        <w:pStyle w:val="10"/>
        <w:spacing w:before="182" w:line="1788" w:lineRule="exact"/>
        <w:ind w:firstLine="4706"/>
        <w:rPr>
          <w:color w:val="auto"/>
          <w:sz w:val="24"/>
          <w:szCs w:val="32"/>
          <w:highlight w:val="none"/>
        </w:rPr>
      </w:pPr>
      <w:r>
        <w:rPr>
          <w:color w:val="auto"/>
          <w:sz w:val="24"/>
          <w:szCs w:val="32"/>
          <w:highlight w:val="none"/>
        </w:rPr>
        <mc:AlternateContent>
          <mc:Choice Requires="wpg">
            <w:drawing>
              <wp:anchor distT="0" distB="0" distL="114300" distR="114300" simplePos="0" relativeHeight="251660288" behindDoc="0" locked="0" layoutInCell="1" allowOverlap="1">
                <wp:simplePos x="0" y="0"/>
                <wp:positionH relativeFrom="column">
                  <wp:posOffset>337820</wp:posOffset>
                </wp:positionH>
                <wp:positionV relativeFrom="paragraph">
                  <wp:posOffset>114935</wp:posOffset>
                </wp:positionV>
                <wp:extent cx="2250440" cy="1135380"/>
                <wp:effectExtent l="12700" t="0" r="22860" b="52070"/>
                <wp:wrapNone/>
                <wp:docPr id="12" name="组合 12"/>
                <wp:cNvGraphicFramePr/>
                <a:graphic xmlns:a="http://schemas.openxmlformats.org/drawingml/2006/main">
                  <a:graphicData uri="http://schemas.microsoft.com/office/word/2010/wordprocessingGroup">
                    <wpg:wgp>
                      <wpg:cNvGrpSpPr/>
                      <wpg:grpSpPr>
                        <a:xfrm>
                          <a:off x="0" y="0"/>
                          <a:ext cx="2250440" cy="1135380"/>
                          <a:chOff x="0" y="0"/>
                          <a:chExt cx="3543" cy="1788"/>
                        </a:xfrm>
                      </wpg:grpSpPr>
                      <pic:pic xmlns:pic="http://schemas.openxmlformats.org/drawingml/2006/picture">
                        <pic:nvPicPr>
                          <pic:cNvPr id="10" name="图片 3"/>
                          <pic:cNvPicPr>
                            <a:picLocks noChangeAspect="1"/>
                          </pic:cNvPicPr>
                        </pic:nvPicPr>
                        <pic:blipFill>
                          <a:blip r:embed="rId22"/>
                          <a:stretch>
                            <a:fillRect/>
                          </a:stretch>
                        </pic:blipFill>
                        <pic:spPr>
                          <a:xfrm>
                            <a:off x="0" y="0"/>
                            <a:ext cx="3543" cy="1788"/>
                          </a:xfrm>
                          <a:prstGeom prst="rect">
                            <a:avLst/>
                          </a:prstGeom>
                          <a:noFill/>
                          <a:ln>
                            <a:noFill/>
                          </a:ln>
                        </pic:spPr>
                      </pic:pic>
                      <wps:wsp>
                        <wps:cNvPr id="11" name="文本框 11"/>
                        <wps:cNvSpPr txBox="1"/>
                        <wps:spPr>
                          <a:xfrm>
                            <a:off x="-20" y="-20"/>
                            <a:ext cx="3583" cy="1876"/>
                          </a:xfrm>
                          <a:prstGeom prst="rect">
                            <a:avLst/>
                          </a:prstGeom>
                          <a:noFill/>
                          <a:ln>
                            <a:noFill/>
                          </a:ln>
                        </wps:spPr>
                        <wps:txbx>
                          <w:txbxContent>
                            <w:p w14:paraId="65A05377">
                              <w:pPr>
                                <w:spacing w:line="403" w:lineRule="auto"/>
                                <w:rPr>
                                  <w:rFonts w:ascii="Arial"/>
                                  <w:sz w:val="21"/>
                                </w:rPr>
                              </w:pPr>
                            </w:p>
                            <w:p w14:paraId="7BC28C4D">
                              <w:pPr>
                                <w:pStyle w:val="10"/>
                                <w:spacing w:before="78" w:line="220" w:lineRule="auto"/>
                                <w:ind w:left="482"/>
                                <w:rPr>
                                  <w:sz w:val="24"/>
                                  <w:szCs w:val="32"/>
                                </w:rPr>
                              </w:pPr>
                              <w:r>
                                <w:rPr>
                                  <w:spacing w:val="-1"/>
                                  <w:sz w:val="24"/>
                                  <w:szCs w:val="32"/>
                                </w:rPr>
                                <w:t>法定代表人身份证复印件</w:t>
                              </w:r>
                            </w:p>
                            <w:p w14:paraId="6953D30A">
                              <w:pPr>
                                <w:pStyle w:val="10"/>
                                <w:spacing w:before="44" w:line="222" w:lineRule="auto"/>
                                <w:ind w:left="1333"/>
                                <w:rPr>
                                  <w:sz w:val="24"/>
                                  <w:szCs w:val="32"/>
                                </w:rPr>
                              </w:pPr>
                              <w:r>
                                <w:rPr>
                                  <w:spacing w:val="-6"/>
                                  <w:sz w:val="24"/>
                                  <w:szCs w:val="32"/>
                                </w:rPr>
                                <w:t>（正面）</w:t>
                              </w:r>
                            </w:p>
                          </w:txbxContent>
                        </wps:txbx>
                        <wps:bodyPr lIns="0" tIns="0" rIns="0" bIns="0" upright="1"/>
                      </wps:wsp>
                    </wpg:wgp>
                  </a:graphicData>
                </a:graphic>
              </wp:anchor>
            </w:drawing>
          </mc:Choice>
          <mc:Fallback>
            <w:pict>
              <v:group id="_x0000_s1026" o:spid="_x0000_s1026" o:spt="203" style="position:absolute;left:0pt;margin-left:26.6pt;margin-top:9.05pt;height:89.4pt;width:177.2pt;z-index:251660288;mso-width-relative:page;mso-height-relative:page;" coordsize="3543,1788" o:gfxdata="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CqJg6+tgAAACEBAAAZAAAAZHJzL19y&#10;ZWxzL2Uyb0RvYy54bWwucmVsc4WPQWrDMBBF94XcQcw+lp1FKMWyN6HgbUgOMEhjWcQaCUkt9e0j&#10;yCaBQJfzP/89ph///Cp+KWUXWEHXtCCIdTCOrYLr5Xv/CSIXZINrYFKwUYZx2H30Z1qx1FFeXMyi&#10;UjgrWEqJX1JmvZDH3IRIXJs5JI+lnsnKiPqGluShbY8yPTNgeGGKyShIk+lAXLZYzf+zwzw7Taeg&#10;fzxxeaOQzld3BWKyVBR4Mg4fYddEtiCHXr48NtwB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">
                <o:lock v:ext="edit" aspectratio="f"/>
                <v:shape id="图片 3" o:spid="_x0000_s1026" o:spt="75" type="#_x0000_t75" style="position:absolute;left:0;top:0;height:1788;width:3543;" filled="f" o:preferrelative="t" stroked="f" coordsize="21600,21600" o:gfxdata="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cZ+L4A&#10;AADbAAAADwAAAAAAAAABACAAAAAiAAAAZHJzL2Rvd25yZXYueG1sUEsBAhQAFAAAAAgAh07iQDMv&#10;BZ47AAAAOQAAABAAAAAAAAAAAQAgAAAADQEAAGRycy9zaGFwZXhtbC54bWxQSwUGAAAAAAYABgBb&#10;AQAAtwMAAAAA&#10;">
                  <v:fill on="f" focussize="0,0"/>
                  <v:stroke on="f"/>
                  <v:imagedata r:id="rId22" o:title=""/>
                  <o:lock v:ext="edit" aspectratio="t"/>
                </v:shape>
                <v:shape id="_x0000_s1026" o:spid="_x0000_s1026" o:spt="202" type="#_x0000_t202" style="position:absolute;left:-20;top:-20;height:1876;width:3583;"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65A05377">
                        <w:pPr>
                          <w:spacing w:line="403" w:lineRule="auto"/>
                          <w:rPr>
                            <w:rFonts w:ascii="Arial"/>
                            <w:sz w:val="21"/>
                          </w:rPr>
                        </w:pPr>
                      </w:p>
                      <w:p w14:paraId="7BC28C4D">
                        <w:pPr>
                          <w:pStyle w:val="10"/>
                          <w:spacing w:before="78" w:line="220" w:lineRule="auto"/>
                          <w:ind w:left="482"/>
                          <w:rPr>
                            <w:sz w:val="24"/>
                            <w:szCs w:val="32"/>
                          </w:rPr>
                        </w:pPr>
                        <w:r>
                          <w:rPr>
                            <w:spacing w:val="-1"/>
                            <w:sz w:val="24"/>
                            <w:szCs w:val="32"/>
                          </w:rPr>
                          <w:t>法定代表人身份证复印件</w:t>
                        </w:r>
                      </w:p>
                      <w:p w14:paraId="6953D30A">
                        <w:pPr>
                          <w:pStyle w:val="10"/>
                          <w:spacing w:before="44" w:line="222" w:lineRule="auto"/>
                          <w:ind w:left="1333"/>
                          <w:rPr>
                            <w:sz w:val="24"/>
                            <w:szCs w:val="32"/>
                          </w:rPr>
                        </w:pPr>
                        <w:r>
                          <w:rPr>
                            <w:spacing w:val="-6"/>
                            <w:sz w:val="24"/>
                            <w:szCs w:val="32"/>
                          </w:rPr>
                          <w:t>（正面）</w:t>
                        </w:r>
                      </w:p>
                    </w:txbxContent>
                  </v:textbox>
                </v:shape>
              </v:group>
            </w:pict>
          </mc:Fallback>
        </mc:AlternateContent>
      </w:r>
      <w:r>
        <w:rPr>
          <w:color w:val="auto"/>
          <w:position w:val="-35"/>
          <w:sz w:val="24"/>
          <w:szCs w:val="32"/>
          <w:highlight w:val="none"/>
        </w:rPr>
        <mc:AlternateContent>
          <mc:Choice Requires="wpg">
            <w:drawing>
              <wp:inline distT="0" distB="0" distL="114300" distR="114300">
                <wp:extent cx="2251075" cy="1135380"/>
                <wp:effectExtent l="12700" t="0" r="22225" b="13970"/>
                <wp:docPr id="9" name="组合 9"/>
                <wp:cNvGraphicFramePr/>
                <a:graphic xmlns:a="http://schemas.openxmlformats.org/drawingml/2006/main">
                  <a:graphicData uri="http://schemas.microsoft.com/office/word/2010/wordprocessingGroup">
                    <wpg:wgp>
                      <wpg:cNvGrpSpPr/>
                      <wpg:grpSpPr>
                        <a:xfrm>
                          <a:off x="0" y="0"/>
                          <a:ext cx="2251075" cy="1135380"/>
                          <a:chOff x="0" y="0"/>
                          <a:chExt cx="3545" cy="1788"/>
                        </a:xfrm>
                      </wpg:grpSpPr>
                      <pic:pic xmlns:pic="http://schemas.openxmlformats.org/drawingml/2006/picture">
                        <pic:nvPicPr>
                          <pic:cNvPr id="7" name="图片 6"/>
                          <pic:cNvPicPr>
                            <a:picLocks noChangeAspect="1"/>
                          </pic:cNvPicPr>
                        </pic:nvPicPr>
                        <pic:blipFill>
                          <a:blip r:embed="rId23"/>
                          <a:stretch>
                            <a:fillRect/>
                          </a:stretch>
                        </pic:blipFill>
                        <pic:spPr>
                          <a:xfrm>
                            <a:off x="0" y="0"/>
                            <a:ext cx="3545" cy="1788"/>
                          </a:xfrm>
                          <a:prstGeom prst="rect">
                            <a:avLst/>
                          </a:prstGeom>
                          <a:noFill/>
                          <a:ln>
                            <a:noFill/>
                          </a:ln>
                        </pic:spPr>
                      </pic:pic>
                      <wps:wsp>
                        <wps:cNvPr id="8" name="文本框 8"/>
                        <wps:cNvSpPr txBox="1"/>
                        <wps:spPr>
                          <a:xfrm>
                            <a:off x="-20" y="-20"/>
                            <a:ext cx="3585" cy="1828"/>
                          </a:xfrm>
                          <a:prstGeom prst="rect">
                            <a:avLst/>
                          </a:prstGeom>
                          <a:noFill/>
                          <a:ln>
                            <a:noFill/>
                          </a:ln>
                        </wps:spPr>
                        <wps:txbx>
                          <w:txbxContent>
                            <w:p w14:paraId="3FE585A7">
                              <w:pPr>
                                <w:spacing w:line="403" w:lineRule="auto"/>
                                <w:rPr>
                                  <w:rFonts w:ascii="Arial"/>
                                  <w:sz w:val="21"/>
                                </w:rPr>
                              </w:pPr>
                            </w:p>
                            <w:p w14:paraId="4B94079F">
                              <w:pPr>
                                <w:spacing w:before="78" w:line="220" w:lineRule="auto"/>
                                <w:ind w:left="482"/>
                                <w:rPr>
                                  <w:rFonts w:ascii="宋体" w:hAnsi="宋体" w:eastAsia="宋体" w:cs="宋体"/>
                                  <w:sz w:val="24"/>
                                  <w:szCs w:val="24"/>
                                </w:rPr>
                              </w:pPr>
                              <w:r>
                                <w:rPr>
                                  <w:rFonts w:ascii="宋体" w:hAnsi="宋体" w:eastAsia="宋体" w:cs="宋体"/>
                                  <w:spacing w:val="-1"/>
                                  <w:sz w:val="24"/>
                                  <w:szCs w:val="24"/>
                                </w:rPr>
                                <w:t>法定代表人身份证复印件</w:t>
                              </w:r>
                            </w:p>
                            <w:p w14:paraId="48FC7AB1">
                              <w:pPr>
                                <w:spacing w:before="44" w:line="222" w:lineRule="auto"/>
                                <w:ind w:left="1332"/>
                                <w:rPr>
                                  <w:rFonts w:ascii="宋体" w:hAnsi="宋体" w:eastAsia="宋体" w:cs="宋体"/>
                                  <w:sz w:val="24"/>
                                  <w:szCs w:val="24"/>
                                </w:rPr>
                              </w:pPr>
                              <w:r>
                                <w:rPr>
                                  <w:rFonts w:ascii="宋体" w:hAnsi="宋体" w:eastAsia="宋体" w:cs="宋体"/>
                                  <w:spacing w:val="-6"/>
                                  <w:sz w:val="24"/>
                                  <w:szCs w:val="24"/>
                                </w:rPr>
                                <w:t>（反面）</w:t>
                              </w:r>
                            </w:p>
                          </w:txbxContent>
                        </wps:txbx>
                        <wps:bodyPr lIns="0" tIns="0" rIns="0" bIns="0" upright="1"/>
                      </wps:wsp>
                    </wpg:wgp>
                  </a:graphicData>
                </a:graphic>
              </wp:inline>
            </w:drawing>
          </mc:Choice>
          <mc:Fallback>
            <w:pict>
              <v:group id="_x0000_s1026" o:spid="_x0000_s1026" o:spt="203" style="height:89.4pt;width:177.25pt;" coordsize="3545,1788" o:gfxdata="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qiYOvrYAAAAhAQAAGQAAAGRycy9fcmVs&#10;cy9lMm9Eb2MueG1sLnJlbHOFj0FqwzAQRfeF3EHMPpadRSjFsjeh4G1IDjBIY1nEGglJLfXtI8gm&#10;gUCX8z//PaYf//wqfillF1hB17QgiHUwjq2C6+V7/wkiF2SDa2BSsFGGcdh99GdasdRRXlzMolI4&#10;K1hKiV9SZr2Qx9yESFybOSSPpZ7Jyoj6hpbkoW2PMj0zYHhhiskoSJPpQFy2WM3/s8M8O02noH88&#10;cXmjkM5XdwVislQUeDIOH2HXRLYgh16+PDbcAV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">
                <o:lock v:ext="edit" aspectratio="f"/>
                <v:shape id="图片 6" o:spid="_x0000_s1026" o:spt="75" type="#_x0000_t75" style="position:absolute;left:0;top:0;height:1788;width:3545;" filled="f" o:preferrelative="t" stroked="f" coordsize="21600,21600" o:gfxdata="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BdgCb4A&#10;AADaAAAADwAAAAAAAAABACAAAAAiAAAAZHJzL2Rvd25yZXYueG1sUEsBAhQAFAAAAAgAh07iQDMv&#10;BZ47AAAAOQAAABAAAAAAAAAAAQAgAAAADQEAAGRycy9zaGFwZXhtbC54bWxQSwUGAAAAAAYABgBb&#10;AQAAtwMAAAAA&#10;">
                  <v:fill on="f" focussize="0,0"/>
                  <v:stroke on="f"/>
                  <v:imagedata r:id="rId23" o:title=""/>
                  <o:lock v:ext="edit" aspectratio="t"/>
                </v:shape>
                <v:shape id="_x0000_s1026" o:spid="_x0000_s1026" o:spt="202" type="#_x0000_t202" style="position:absolute;left:-20;top:-20;height:1828;width:3585;"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3FE585A7">
                        <w:pPr>
                          <w:spacing w:line="403" w:lineRule="auto"/>
                          <w:rPr>
                            <w:rFonts w:ascii="Arial"/>
                            <w:sz w:val="21"/>
                          </w:rPr>
                        </w:pPr>
                      </w:p>
                      <w:p w14:paraId="4B94079F">
                        <w:pPr>
                          <w:spacing w:before="78" w:line="220" w:lineRule="auto"/>
                          <w:ind w:left="482"/>
                          <w:rPr>
                            <w:rFonts w:ascii="宋体" w:hAnsi="宋体" w:eastAsia="宋体" w:cs="宋体"/>
                            <w:sz w:val="24"/>
                            <w:szCs w:val="24"/>
                          </w:rPr>
                        </w:pPr>
                        <w:r>
                          <w:rPr>
                            <w:rFonts w:ascii="宋体" w:hAnsi="宋体" w:eastAsia="宋体" w:cs="宋体"/>
                            <w:spacing w:val="-1"/>
                            <w:sz w:val="24"/>
                            <w:szCs w:val="24"/>
                          </w:rPr>
                          <w:t>法定代表人身份证复印件</w:t>
                        </w:r>
                      </w:p>
                      <w:p w14:paraId="48FC7AB1">
                        <w:pPr>
                          <w:spacing w:before="44" w:line="222" w:lineRule="auto"/>
                          <w:ind w:left="1332"/>
                          <w:rPr>
                            <w:rFonts w:ascii="宋体" w:hAnsi="宋体" w:eastAsia="宋体" w:cs="宋体"/>
                            <w:sz w:val="24"/>
                            <w:szCs w:val="24"/>
                          </w:rPr>
                        </w:pPr>
                        <w:r>
                          <w:rPr>
                            <w:rFonts w:ascii="宋体" w:hAnsi="宋体" w:eastAsia="宋体" w:cs="宋体"/>
                            <w:spacing w:val="-6"/>
                            <w:sz w:val="24"/>
                            <w:szCs w:val="24"/>
                          </w:rPr>
                          <w:t>（反面）</w:t>
                        </w:r>
                      </w:p>
                    </w:txbxContent>
                  </v:textbox>
                </v:shape>
                <w10:wrap type="none"/>
                <w10:anchorlock/>
              </v:group>
            </w:pict>
          </mc:Fallback>
        </mc:AlternateContent>
      </w:r>
    </w:p>
    <w:p w14:paraId="4878EEBE">
      <w:pPr>
        <w:spacing w:line="271" w:lineRule="auto"/>
        <w:rPr>
          <w:rFonts w:ascii="Arial"/>
          <w:color w:val="auto"/>
          <w:sz w:val="24"/>
          <w:szCs w:val="32"/>
          <w:highlight w:val="none"/>
        </w:rPr>
      </w:pPr>
    </w:p>
    <w:p w14:paraId="7A415BC2">
      <w:pPr>
        <w:spacing w:line="271" w:lineRule="auto"/>
        <w:rPr>
          <w:rFonts w:ascii="Arial"/>
          <w:color w:val="auto"/>
          <w:sz w:val="24"/>
          <w:szCs w:val="32"/>
          <w:highlight w:val="none"/>
        </w:rPr>
      </w:pPr>
    </w:p>
    <w:p w14:paraId="3E02C962">
      <w:pPr>
        <w:spacing w:line="272" w:lineRule="auto"/>
        <w:rPr>
          <w:rFonts w:ascii="Arial"/>
          <w:color w:val="auto"/>
          <w:sz w:val="24"/>
          <w:szCs w:val="32"/>
          <w:highlight w:val="none"/>
        </w:rPr>
      </w:pPr>
    </w:p>
    <w:p w14:paraId="2A25B345">
      <w:pPr>
        <w:spacing w:line="272" w:lineRule="auto"/>
        <w:rPr>
          <w:rFonts w:ascii="Arial"/>
          <w:color w:val="auto"/>
          <w:sz w:val="24"/>
          <w:szCs w:val="32"/>
          <w:highlight w:val="none"/>
        </w:rPr>
      </w:pPr>
    </w:p>
    <w:p w14:paraId="36A774FF">
      <w:pPr>
        <w:pStyle w:val="10"/>
        <w:spacing w:before="79" w:line="219" w:lineRule="auto"/>
        <w:ind w:left="4097"/>
        <w:rPr>
          <w:color w:val="auto"/>
          <w:sz w:val="24"/>
          <w:szCs w:val="32"/>
          <w:highlight w:val="none"/>
        </w:rPr>
      </w:pPr>
      <w:r>
        <w:rPr>
          <w:color w:val="auto"/>
          <w:spacing w:val="-1"/>
          <w:sz w:val="24"/>
          <w:szCs w:val="32"/>
          <w:highlight w:val="none"/>
        </w:rPr>
        <w:t>供应商名称（电子签章</w:t>
      </w:r>
      <w:r>
        <w:rPr>
          <w:color w:val="auto"/>
          <w:sz w:val="24"/>
          <w:szCs w:val="32"/>
          <w:highlight w:val="none"/>
        </w:rPr>
        <w:t>）：</w:t>
      </w:r>
    </w:p>
    <w:p w14:paraId="13184F6D">
      <w:pPr>
        <w:pStyle w:val="10"/>
        <w:spacing w:before="211" w:line="220" w:lineRule="auto"/>
        <w:ind w:left="6551"/>
        <w:rPr>
          <w:color w:val="auto"/>
          <w:sz w:val="24"/>
          <w:szCs w:val="32"/>
          <w:highlight w:val="none"/>
        </w:rPr>
      </w:pPr>
      <w:r>
        <w:rPr>
          <w:color w:val="auto"/>
          <w:spacing w:val="-13"/>
          <w:sz w:val="24"/>
          <w:szCs w:val="32"/>
          <w:highlight w:val="none"/>
        </w:rPr>
        <w:t>日期：</w:t>
      </w:r>
      <w:r>
        <w:rPr>
          <w:color w:val="auto"/>
          <w:spacing w:val="3"/>
          <w:sz w:val="24"/>
          <w:szCs w:val="32"/>
          <w:highlight w:val="none"/>
        </w:rPr>
        <w:t xml:space="preserve">   </w:t>
      </w:r>
      <w:r>
        <w:rPr>
          <w:color w:val="auto"/>
          <w:spacing w:val="-13"/>
          <w:sz w:val="24"/>
          <w:szCs w:val="32"/>
          <w:highlight w:val="none"/>
        </w:rPr>
        <w:t>年</w:t>
      </w:r>
      <w:r>
        <w:rPr>
          <w:color w:val="auto"/>
          <w:spacing w:val="5"/>
          <w:sz w:val="24"/>
          <w:szCs w:val="32"/>
          <w:highlight w:val="none"/>
        </w:rPr>
        <w:t xml:space="preserve">   </w:t>
      </w:r>
      <w:r>
        <w:rPr>
          <w:color w:val="auto"/>
          <w:spacing w:val="-13"/>
          <w:sz w:val="24"/>
          <w:szCs w:val="32"/>
          <w:highlight w:val="none"/>
        </w:rPr>
        <w:t>月</w:t>
      </w:r>
      <w:r>
        <w:rPr>
          <w:color w:val="auto"/>
          <w:spacing w:val="17"/>
          <w:sz w:val="24"/>
          <w:szCs w:val="32"/>
          <w:highlight w:val="none"/>
        </w:rPr>
        <w:t xml:space="preserve">   </w:t>
      </w:r>
      <w:r>
        <w:rPr>
          <w:color w:val="auto"/>
          <w:spacing w:val="-13"/>
          <w:sz w:val="24"/>
          <w:szCs w:val="32"/>
          <w:highlight w:val="none"/>
        </w:rPr>
        <w:t>日</w:t>
      </w:r>
    </w:p>
    <w:p w14:paraId="44D10891">
      <w:pPr>
        <w:spacing w:line="313" w:lineRule="auto"/>
        <w:rPr>
          <w:rFonts w:ascii="Arial"/>
          <w:color w:val="auto"/>
          <w:sz w:val="24"/>
          <w:szCs w:val="32"/>
          <w:highlight w:val="none"/>
        </w:rPr>
      </w:pPr>
    </w:p>
    <w:p w14:paraId="663272C2">
      <w:pPr>
        <w:spacing w:line="313" w:lineRule="auto"/>
        <w:rPr>
          <w:rFonts w:ascii="Arial"/>
          <w:color w:val="auto"/>
          <w:sz w:val="24"/>
          <w:szCs w:val="32"/>
          <w:highlight w:val="none"/>
        </w:rPr>
      </w:pPr>
    </w:p>
    <w:p w14:paraId="342F1086">
      <w:pPr>
        <w:pStyle w:val="10"/>
        <w:spacing w:before="78" w:line="219" w:lineRule="auto"/>
        <w:rPr>
          <w:color w:val="auto"/>
          <w:sz w:val="24"/>
          <w:szCs w:val="32"/>
          <w:highlight w:val="none"/>
        </w:rPr>
      </w:pPr>
      <w:r>
        <w:rPr>
          <w:color w:val="auto"/>
          <w:spacing w:val="-2"/>
          <w:sz w:val="24"/>
          <w:szCs w:val="32"/>
          <w:highlight w:val="none"/>
        </w:rPr>
        <w:t>注：1.</w:t>
      </w:r>
      <w:r>
        <w:rPr>
          <w:color w:val="auto"/>
          <w:spacing w:val="-71"/>
          <w:sz w:val="24"/>
          <w:szCs w:val="32"/>
          <w:highlight w:val="none"/>
        </w:rPr>
        <w:t xml:space="preserve"> </w:t>
      </w:r>
      <w:r>
        <w:rPr>
          <w:color w:val="auto"/>
          <w:spacing w:val="-2"/>
          <w:sz w:val="24"/>
          <w:szCs w:val="32"/>
          <w:highlight w:val="none"/>
        </w:rPr>
        <w:t>自然人竞标的无需提供，联合体竞标的只需牵头人出</w:t>
      </w:r>
      <w:r>
        <w:rPr>
          <w:color w:val="auto"/>
          <w:spacing w:val="-3"/>
          <w:sz w:val="24"/>
          <w:szCs w:val="32"/>
          <w:highlight w:val="none"/>
        </w:rPr>
        <w:t>具。</w:t>
      </w:r>
    </w:p>
    <w:p w14:paraId="74AC9B20">
      <w:pPr>
        <w:spacing w:line="460" w:lineRule="exact"/>
        <w:ind w:firstLine="472" w:firstLineChars="200"/>
        <w:rPr>
          <w:rFonts w:ascii="宋体" w:hAnsi="宋体" w:cs="宋体"/>
          <w:color w:val="auto"/>
          <w:sz w:val="24"/>
          <w:szCs w:val="32"/>
          <w:highlight w:val="none"/>
        </w:rPr>
      </w:pPr>
      <w:r>
        <w:rPr>
          <w:color w:val="auto"/>
          <w:spacing w:val="-2"/>
          <w:sz w:val="24"/>
          <w:szCs w:val="32"/>
          <w:highlight w:val="none"/>
        </w:rPr>
        <w:t>2.供应商为其他组织或者自然人时，本磋商文件规定的法定代表人指负责人或者自然人。本磋商文件所称负责人是指参加竞标的其他组织营业执照上的负责人，本磋商文件所</w:t>
      </w:r>
      <w:r>
        <w:rPr>
          <w:color w:val="auto"/>
          <w:spacing w:val="-1"/>
          <w:sz w:val="24"/>
          <w:szCs w:val="32"/>
          <w:highlight w:val="none"/>
        </w:rPr>
        <w:t>称自然人指参与竞标的自然人本人。</w:t>
      </w:r>
    </w:p>
    <w:p w14:paraId="59B2941F">
      <w:pPr>
        <w:rPr>
          <w:b/>
          <w:bCs/>
          <w:color w:val="auto"/>
          <w:spacing w:val="-4"/>
          <w:sz w:val="30"/>
          <w:szCs w:val="30"/>
          <w:highlight w:val="none"/>
        </w:rPr>
      </w:pPr>
      <w:r>
        <w:rPr>
          <w:b/>
          <w:bCs/>
          <w:color w:val="auto"/>
          <w:spacing w:val="-4"/>
          <w:sz w:val="30"/>
          <w:szCs w:val="30"/>
          <w:highlight w:val="none"/>
        </w:rPr>
        <w:br w:type="page"/>
      </w:r>
    </w:p>
    <w:p w14:paraId="4E46C1B4">
      <w:pPr>
        <w:pStyle w:val="10"/>
        <w:spacing w:before="97" w:line="219" w:lineRule="auto"/>
        <w:ind w:left="4"/>
        <w:rPr>
          <w:color w:val="auto"/>
          <w:sz w:val="30"/>
          <w:szCs w:val="30"/>
          <w:highlight w:val="none"/>
        </w:rPr>
      </w:pPr>
      <w:r>
        <w:rPr>
          <w:b/>
          <w:bCs/>
          <w:color w:val="auto"/>
          <w:spacing w:val="-4"/>
          <w:sz w:val="30"/>
          <w:szCs w:val="30"/>
          <w:highlight w:val="none"/>
        </w:rPr>
        <w:t>法定代表人授权委托书及委托代理人有效身份证正反面复印件（如有委</w:t>
      </w:r>
    </w:p>
    <w:p w14:paraId="43E79741">
      <w:pPr>
        <w:pStyle w:val="10"/>
        <w:spacing w:before="162" w:line="222" w:lineRule="auto"/>
        <w:ind w:left="4200"/>
        <w:rPr>
          <w:color w:val="auto"/>
          <w:sz w:val="30"/>
          <w:szCs w:val="30"/>
          <w:highlight w:val="none"/>
        </w:rPr>
      </w:pPr>
      <w:r>
        <w:rPr>
          <w:b/>
          <w:bCs/>
          <w:color w:val="auto"/>
          <w:spacing w:val="-8"/>
          <w:sz w:val="30"/>
          <w:szCs w:val="30"/>
          <w:highlight w:val="none"/>
        </w:rPr>
        <w:t>托时）</w:t>
      </w:r>
    </w:p>
    <w:p w14:paraId="1792F285">
      <w:pPr>
        <w:spacing w:line="279" w:lineRule="auto"/>
        <w:rPr>
          <w:rFonts w:ascii="Arial"/>
          <w:color w:val="auto"/>
          <w:sz w:val="21"/>
          <w:highlight w:val="none"/>
        </w:rPr>
      </w:pPr>
    </w:p>
    <w:p w14:paraId="6901709A">
      <w:pPr>
        <w:pStyle w:val="10"/>
        <w:spacing w:before="97" w:line="219" w:lineRule="auto"/>
        <w:ind w:left="3899"/>
        <w:rPr>
          <w:color w:val="auto"/>
          <w:sz w:val="30"/>
          <w:szCs w:val="30"/>
          <w:highlight w:val="none"/>
        </w:rPr>
      </w:pPr>
      <w:r>
        <w:rPr>
          <w:b/>
          <w:bCs/>
          <w:color w:val="auto"/>
          <w:spacing w:val="-5"/>
          <w:sz w:val="30"/>
          <w:szCs w:val="30"/>
          <w:highlight w:val="none"/>
        </w:rPr>
        <w:t>授权委托书</w:t>
      </w:r>
    </w:p>
    <w:p w14:paraId="47426FA2">
      <w:pPr>
        <w:pStyle w:val="10"/>
        <w:spacing w:before="164" w:line="221" w:lineRule="auto"/>
        <w:ind w:left="3611"/>
        <w:rPr>
          <w:color w:val="auto"/>
          <w:sz w:val="30"/>
          <w:szCs w:val="30"/>
          <w:highlight w:val="none"/>
        </w:rPr>
      </w:pPr>
      <w:r>
        <w:rPr>
          <w:b/>
          <w:bCs/>
          <w:color w:val="auto"/>
          <w:spacing w:val="-7"/>
          <w:sz w:val="30"/>
          <w:szCs w:val="30"/>
          <w:highlight w:val="none"/>
        </w:rPr>
        <w:t>（如有委托时）</w:t>
      </w:r>
    </w:p>
    <w:p w14:paraId="4D265BA5">
      <w:pPr>
        <w:spacing w:line="475" w:lineRule="auto"/>
        <w:rPr>
          <w:rFonts w:ascii="Arial"/>
          <w:color w:val="auto"/>
          <w:sz w:val="21"/>
          <w:highlight w:val="none"/>
        </w:rPr>
      </w:pPr>
    </w:p>
    <w:p w14:paraId="78507903">
      <w:pPr>
        <w:pStyle w:val="10"/>
        <w:spacing w:before="79" w:line="220" w:lineRule="auto"/>
        <w:rPr>
          <w:color w:val="auto"/>
          <w:sz w:val="24"/>
          <w:szCs w:val="24"/>
          <w:highlight w:val="none"/>
        </w:rPr>
      </w:pPr>
      <w:r>
        <w:rPr>
          <w:color w:val="auto"/>
          <w:spacing w:val="-1"/>
          <w:sz w:val="24"/>
          <w:szCs w:val="24"/>
          <w:highlight w:val="none"/>
        </w:rPr>
        <w:t>致：</w:t>
      </w:r>
      <w:r>
        <w:rPr>
          <w:color w:val="auto"/>
          <w:spacing w:val="-1"/>
          <w:sz w:val="24"/>
          <w:szCs w:val="24"/>
          <w:highlight w:val="none"/>
          <w:u w:val="single" w:color="auto"/>
        </w:rPr>
        <w:t>广西建通工程咨询有限责任公司</w:t>
      </w:r>
    </w:p>
    <w:p w14:paraId="6877B593">
      <w:pPr>
        <w:pStyle w:val="10"/>
        <w:spacing w:before="182" w:line="359" w:lineRule="auto"/>
        <w:ind w:firstLine="482"/>
        <w:jc w:val="both"/>
        <w:rPr>
          <w:color w:val="auto"/>
          <w:sz w:val="24"/>
          <w:szCs w:val="24"/>
          <w:highlight w:val="none"/>
        </w:rPr>
      </w:pPr>
      <w:r>
        <w:rPr>
          <w:color w:val="auto"/>
          <w:spacing w:val="-4"/>
          <w:sz w:val="24"/>
          <w:szCs w:val="24"/>
          <w:highlight w:val="none"/>
        </w:rPr>
        <w:t>我</w:t>
      </w:r>
      <w:r>
        <w:rPr>
          <w:color w:val="auto"/>
          <w:spacing w:val="102"/>
          <w:sz w:val="24"/>
          <w:szCs w:val="24"/>
          <w:highlight w:val="none"/>
          <w:u w:val="single" w:color="auto"/>
        </w:rPr>
        <w:t xml:space="preserve"> </w:t>
      </w:r>
      <w:r>
        <w:rPr>
          <w:color w:val="auto"/>
          <w:spacing w:val="-4"/>
          <w:sz w:val="24"/>
          <w:szCs w:val="24"/>
          <w:highlight w:val="none"/>
          <w:u w:val="single" w:color="auto"/>
        </w:rPr>
        <w:t>（姓名）</w:t>
      </w:r>
      <w:r>
        <w:rPr>
          <w:color w:val="auto"/>
          <w:spacing w:val="98"/>
          <w:sz w:val="24"/>
          <w:szCs w:val="24"/>
          <w:highlight w:val="none"/>
          <w:u w:val="single" w:color="auto"/>
        </w:rPr>
        <w:t xml:space="preserve"> </w:t>
      </w:r>
      <w:r>
        <w:rPr>
          <w:color w:val="auto"/>
          <w:spacing w:val="-105"/>
          <w:sz w:val="24"/>
          <w:szCs w:val="24"/>
          <w:highlight w:val="none"/>
        </w:rPr>
        <w:t xml:space="preserve"> </w:t>
      </w:r>
      <w:r>
        <w:rPr>
          <w:color w:val="auto"/>
          <w:spacing w:val="-4"/>
          <w:sz w:val="24"/>
          <w:szCs w:val="24"/>
          <w:highlight w:val="none"/>
        </w:rPr>
        <w:t>系</w:t>
      </w:r>
      <w:r>
        <w:rPr>
          <w:color w:val="auto"/>
          <w:spacing w:val="98"/>
          <w:sz w:val="24"/>
          <w:szCs w:val="24"/>
          <w:highlight w:val="none"/>
          <w:u w:val="single" w:color="auto"/>
        </w:rPr>
        <w:t xml:space="preserve"> </w:t>
      </w:r>
      <w:r>
        <w:rPr>
          <w:color w:val="auto"/>
          <w:spacing w:val="-4"/>
          <w:sz w:val="24"/>
          <w:szCs w:val="24"/>
          <w:highlight w:val="none"/>
          <w:u w:val="single" w:color="auto"/>
        </w:rPr>
        <w:t>（供应商名称）</w:t>
      </w:r>
      <w:r>
        <w:rPr>
          <w:color w:val="auto"/>
          <w:spacing w:val="98"/>
          <w:sz w:val="24"/>
          <w:szCs w:val="24"/>
          <w:highlight w:val="none"/>
          <w:u w:val="single" w:color="auto"/>
        </w:rPr>
        <w:t xml:space="preserve"> </w:t>
      </w:r>
      <w:r>
        <w:rPr>
          <w:color w:val="auto"/>
          <w:spacing w:val="-91"/>
          <w:sz w:val="24"/>
          <w:szCs w:val="24"/>
          <w:highlight w:val="none"/>
        </w:rPr>
        <w:t xml:space="preserve"> </w:t>
      </w:r>
      <w:r>
        <w:rPr>
          <w:color w:val="auto"/>
          <w:spacing w:val="-4"/>
          <w:sz w:val="24"/>
          <w:szCs w:val="24"/>
          <w:highlight w:val="none"/>
        </w:rPr>
        <w:t>的 (</w:t>
      </w:r>
      <w:r>
        <w:rPr>
          <w:color w:val="auto"/>
          <w:spacing w:val="-88"/>
          <w:sz w:val="24"/>
          <w:szCs w:val="24"/>
          <w:highlight w:val="none"/>
        </w:rPr>
        <w:t xml:space="preserve"> </w:t>
      </w:r>
      <w:r>
        <w:rPr>
          <w:color w:val="auto"/>
          <w:spacing w:val="-85"/>
          <w:sz w:val="24"/>
          <w:szCs w:val="24"/>
          <w:highlight w:val="none"/>
          <w:u w:val="single" w:color="auto"/>
        </w:rPr>
        <w:t xml:space="preserve"> </w:t>
      </w:r>
      <w:r>
        <w:rPr>
          <w:rFonts w:hint="eastAsia"/>
          <w:color w:val="auto"/>
          <w:spacing w:val="-4"/>
          <w:sz w:val="24"/>
          <w:szCs w:val="24"/>
          <w:highlight w:val="none"/>
          <w:u w:val="single" w:color="auto"/>
          <w:lang w:eastAsia="zh-CN"/>
        </w:rPr>
        <w:t>□</w:t>
      </w:r>
      <w:r>
        <w:rPr>
          <w:color w:val="auto"/>
          <w:spacing w:val="-4"/>
          <w:sz w:val="24"/>
          <w:szCs w:val="24"/>
          <w:highlight w:val="none"/>
          <w:u w:val="single" w:color="auto"/>
        </w:rPr>
        <w:t>法定代表人</w:t>
      </w:r>
      <w:r>
        <w:rPr>
          <w:color w:val="auto"/>
          <w:spacing w:val="-5"/>
          <w:sz w:val="24"/>
          <w:szCs w:val="24"/>
          <w:highlight w:val="none"/>
          <w:u w:val="single" w:color="auto"/>
        </w:rPr>
        <w:t>/</w:t>
      </w:r>
      <w:r>
        <w:rPr>
          <w:rFonts w:hint="eastAsia"/>
          <w:color w:val="auto"/>
          <w:spacing w:val="-5"/>
          <w:sz w:val="24"/>
          <w:szCs w:val="24"/>
          <w:highlight w:val="none"/>
          <w:u w:val="single" w:color="auto"/>
          <w:lang w:eastAsia="zh-CN"/>
        </w:rPr>
        <w:t>□</w:t>
      </w:r>
      <w:r>
        <w:rPr>
          <w:color w:val="auto"/>
          <w:spacing w:val="-5"/>
          <w:sz w:val="24"/>
          <w:szCs w:val="24"/>
          <w:highlight w:val="none"/>
          <w:u w:val="single" w:color="auto"/>
        </w:rPr>
        <w:t>负责人/</w:t>
      </w:r>
      <w:r>
        <w:rPr>
          <w:rFonts w:hint="eastAsia"/>
          <w:color w:val="auto"/>
          <w:spacing w:val="-5"/>
          <w:sz w:val="24"/>
          <w:szCs w:val="24"/>
          <w:highlight w:val="none"/>
          <w:u w:val="single" w:color="auto"/>
          <w:lang w:eastAsia="zh-CN"/>
        </w:rPr>
        <w:t>□</w:t>
      </w:r>
      <w:r>
        <w:rPr>
          <w:color w:val="auto"/>
          <w:spacing w:val="-5"/>
          <w:sz w:val="24"/>
          <w:szCs w:val="24"/>
          <w:highlight w:val="none"/>
          <w:u w:val="single" w:color="auto"/>
        </w:rPr>
        <w:t>自然人本人</w:t>
      </w:r>
      <w:r>
        <w:rPr>
          <w:color w:val="auto"/>
          <w:spacing w:val="-64"/>
          <w:sz w:val="24"/>
          <w:szCs w:val="24"/>
          <w:highlight w:val="none"/>
        </w:rPr>
        <w:t>），</w:t>
      </w:r>
      <w:r>
        <w:rPr>
          <w:color w:val="auto"/>
          <w:sz w:val="24"/>
          <w:szCs w:val="24"/>
          <w:highlight w:val="none"/>
        </w:rPr>
        <w:t xml:space="preserve"> 现授权</w:t>
      </w:r>
      <w:r>
        <w:rPr>
          <w:color w:val="auto"/>
          <w:sz w:val="24"/>
          <w:szCs w:val="24"/>
          <w:highlight w:val="none"/>
          <w:u w:val="single" w:color="auto"/>
        </w:rPr>
        <w:t xml:space="preserve"> （姓名、职务） </w:t>
      </w:r>
      <w:r>
        <w:rPr>
          <w:color w:val="auto"/>
          <w:spacing w:val="-83"/>
          <w:sz w:val="24"/>
          <w:szCs w:val="24"/>
          <w:highlight w:val="none"/>
        </w:rPr>
        <w:t xml:space="preserve"> </w:t>
      </w:r>
      <w:r>
        <w:rPr>
          <w:color w:val="auto"/>
          <w:sz w:val="24"/>
          <w:szCs w:val="24"/>
          <w:highlight w:val="none"/>
        </w:rPr>
        <w:t>以我方的名义参加</w:t>
      </w:r>
      <w:r>
        <w:rPr>
          <w:color w:val="auto"/>
          <w:sz w:val="24"/>
          <w:szCs w:val="24"/>
          <w:highlight w:val="none"/>
          <w:u w:val="single" w:color="auto"/>
        </w:rPr>
        <w:t xml:space="preserve">    （项目名称、项目编号）   </w:t>
      </w:r>
      <w:r>
        <w:rPr>
          <w:color w:val="auto"/>
          <w:spacing w:val="-107"/>
          <w:sz w:val="24"/>
          <w:szCs w:val="24"/>
          <w:highlight w:val="none"/>
        </w:rPr>
        <w:t xml:space="preserve"> </w:t>
      </w:r>
      <w:r>
        <w:rPr>
          <w:color w:val="auto"/>
          <w:sz w:val="24"/>
          <w:szCs w:val="24"/>
          <w:highlight w:val="none"/>
        </w:rPr>
        <w:t>项目的</w:t>
      </w:r>
      <w:r>
        <w:rPr>
          <w:color w:val="auto"/>
          <w:spacing w:val="-1"/>
          <w:sz w:val="24"/>
          <w:szCs w:val="24"/>
          <w:highlight w:val="none"/>
        </w:rPr>
        <w:t>竞标</w:t>
      </w:r>
      <w:r>
        <w:rPr>
          <w:color w:val="auto"/>
          <w:spacing w:val="-2"/>
          <w:sz w:val="24"/>
          <w:szCs w:val="24"/>
          <w:highlight w:val="none"/>
        </w:rPr>
        <w:t>活动，并代表我方全权办理针对上述项目的所有采购程序和环节的具体事务和签署相关文</w:t>
      </w:r>
      <w:r>
        <w:rPr>
          <w:color w:val="auto"/>
          <w:spacing w:val="-5"/>
          <w:sz w:val="24"/>
          <w:szCs w:val="24"/>
          <w:highlight w:val="none"/>
        </w:rPr>
        <w:t>件。</w:t>
      </w:r>
    </w:p>
    <w:p w14:paraId="38BB037F">
      <w:pPr>
        <w:pStyle w:val="10"/>
        <w:spacing w:line="220" w:lineRule="auto"/>
        <w:ind w:left="482"/>
        <w:rPr>
          <w:color w:val="auto"/>
          <w:sz w:val="24"/>
          <w:szCs w:val="24"/>
          <w:highlight w:val="none"/>
        </w:rPr>
      </w:pPr>
      <w:r>
        <w:rPr>
          <w:color w:val="auto"/>
          <w:spacing w:val="-1"/>
          <w:sz w:val="24"/>
          <w:szCs w:val="24"/>
          <w:highlight w:val="none"/>
        </w:rPr>
        <w:t>我方对委托代理人的签字事项负全部责任。</w:t>
      </w:r>
    </w:p>
    <w:p w14:paraId="5DC07482">
      <w:pPr>
        <w:pStyle w:val="10"/>
        <w:spacing w:before="179" w:line="360" w:lineRule="auto"/>
        <w:ind w:right="63" w:firstLine="481"/>
        <w:rPr>
          <w:color w:val="auto"/>
          <w:sz w:val="24"/>
          <w:szCs w:val="24"/>
          <w:highlight w:val="none"/>
        </w:rPr>
      </w:pPr>
      <w:r>
        <w:rPr>
          <w:color w:val="auto"/>
          <w:spacing w:val="-2"/>
          <w:sz w:val="24"/>
          <w:szCs w:val="24"/>
          <w:highlight w:val="none"/>
        </w:rPr>
        <w:t>本授权书自签署之日起生效，在撤销授权的书面通知以前，本授权书一直有效。委托</w:t>
      </w:r>
      <w:r>
        <w:rPr>
          <w:color w:val="auto"/>
          <w:sz w:val="24"/>
          <w:szCs w:val="24"/>
          <w:highlight w:val="none"/>
        </w:rPr>
        <w:t>代理人在授权书有效期内签署的所有文件不</w:t>
      </w:r>
      <w:r>
        <w:rPr>
          <w:color w:val="auto"/>
          <w:spacing w:val="-1"/>
          <w:sz w:val="24"/>
          <w:szCs w:val="24"/>
          <w:highlight w:val="none"/>
        </w:rPr>
        <w:t>因授权的撤销而失效。</w:t>
      </w:r>
    </w:p>
    <w:p w14:paraId="5690F220">
      <w:pPr>
        <w:pStyle w:val="10"/>
        <w:spacing w:before="1" w:line="220" w:lineRule="auto"/>
        <w:ind w:left="480"/>
        <w:rPr>
          <w:color w:val="auto"/>
          <w:sz w:val="24"/>
          <w:szCs w:val="24"/>
          <w:highlight w:val="none"/>
        </w:rPr>
      </w:pPr>
      <w:r>
        <w:rPr>
          <w:color w:val="auto"/>
          <w:spacing w:val="-1"/>
          <w:sz w:val="24"/>
          <w:szCs w:val="24"/>
          <w:highlight w:val="none"/>
        </w:rPr>
        <w:t>委托代理人无转委托权，特此委托。</w:t>
      </w:r>
    </w:p>
    <w:p w14:paraId="07830E3A">
      <w:pPr>
        <w:pStyle w:val="10"/>
        <w:spacing w:before="179" w:line="219" w:lineRule="auto"/>
        <w:ind w:left="499"/>
        <w:rPr>
          <w:color w:val="auto"/>
          <w:sz w:val="24"/>
          <w:szCs w:val="24"/>
          <w:highlight w:val="none"/>
        </w:rPr>
      </w:pPr>
      <w:r>
        <w:rPr>
          <w:color w:val="auto"/>
          <w:spacing w:val="-1"/>
          <w:sz w:val="24"/>
          <w:szCs w:val="24"/>
          <w:highlight w:val="none"/>
        </w:rPr>
        <w:t>附：法定代表人身份证明书及委托代理人有效身份证正反面复印件</w:t>
      </w:r>
    </w:p>
    <w:p w14:paraId="15C53DC7">
      <w:pPr>
        <w:spacing w:line="283" w:lineRule="auto"/>
        <w:rPr>
          <w:rFonts w:ascii="Arial"/>
          <w:color w:val="auto"/>
          <w:sz w:val="24"/>
          <w:szCs w:val="24"/>
          <w:highlight w:val="none"/>
        </w:rPr>
      </w:pPr>
    </w:p>
    <w:p w14:paraId="479D96ED">
      <w:pPr>
        <w:spacing w:line="284" w:lineRule="auto"/>
        <w:rPr>
          <w:rFonts w:ascii="Arial"/>
          <w:color w:val="auto"/>
          <w:sz w:val="24"/>
          <w:szCs w:val="24"/>
          <w:highlight w:val="none"/>
        </w:rPr>
      </w:pPr>
    </w:p>
    <w:p w14:paraId="127AAC03">
      <w:pPr>
        <w:pStyle w:val="10"/>
        <w:spacing w:before="79" w:line="219" w:lineRule="auto"/>
        <w:ind w:left="480"/>
        <w:rPr>
          <w:color w:val="auto"/>
          <w:sz w:val="24"/>
          <w:szCs w:val="24"/>
          <w:highlight w:val="none"/>
        </w:rPr>
      </w:pPr>
      <w:r>
        <w:rPr>
          <w:color w:val="auto"/>
          <w:spacing w:val="-1"/>
          <w:sz w:val="24"/>
          <w:szCs w:val="24"/>
          <w:highlight w:val="none"/>
        </w:rPr>
        <w:t>委托代理人（签字</w:t>
      </w:r>
      <w:r>
        <w:rPr>
          <w:color w:val="auto"/>
          <w:sz w:val="24"/>
          <w:szCs w:val="24"/>
          <w:highlight w:val="none"/>
        </w:rPr>
        <w:t xml:space="preserve">）：              </w:t>
      </w:r>
      <w:r>
        <w:rPr>
          <w:color w:val="auto"/>
          <w:spacing w:val="-1"/>
          <w:sz w:val="24"/>
          <w:szCs w:val="24"/>
          <w:highlight w:val="none"/>
        </w:rPr>
        <w:t>法定代表人（签字或盖章</w:t>
      </w:r>
      <w:r>
        <w:rPr>
          <w:color w:val="auto"/>
          <w:sz w:val="24"/>
          <w:szCs w:val="24"/>
          <w:highlight w:val="none"/>
        </w:rPr>
        <w:t>）：</w:t>
      </w:r>
    </w:p>
    <w:p w14:paraId="42CA2397">
      <w:pPr>
        <w:pStyle w:val="10"/>
        <w:spacing w:before="183" w:line="220" w:lineRule="auto"/>
        <w:ind w:left="480"/>
        <w:rPr>
          <w:color w:val="auto"/>
          <w:sz w:val="24"/>
          <w:szCs w:val="24"/>
          <w:highlight w:val="none"/>
        </w:rPr>
      </w:pPr>
      <w:r>
        <w:rPr>
          <w:color w:val="auto"/>
          <w:spacing w:val="-1"/>
          <w:sz w:val="24"/>
          <w:szCs w:val="24"/>
          <w:highlight w:val="none"/>
        </w:rPr>
        <w:t>委托代理人身份证号码：</w:t>
      </w:r>
    </w:p>
    <w:p w14:paraId="2046BC72">
      <w:pPr>
        <w:spacing w:line="283" w:lineRule="auto"/>
        <w:rPr>
          <w:rFonts w:ascii="Arial"/>
          <w:color w:val="auto"/>
          <w:sz w:val="24"/>
          <w:szCs w:val="24"/>
          <w:highlight w:val="none"/>
        </w:rPr>
      </w:pPr>
    </w:p>
    <w:p w14:paraId="1D112DDA">
      <w:pPr>
        <w:spacing w:line="283" w:lineRule="auto"/>
        <w:rPr>
          <w:rFonts w:ascii="Arial"/>
          <w:color w:val="auto"/>
          <w:sz w:val="24"/>
          <w:szCs w:val="24"/>
          <w:highlight w:val="none"/>
        </w:rPr>
      </w:pPr>
    </w:p>
    <w:p w14:paraId="3E1132A9">
      <w:pPr>
        <w:pStyle w:val="10"/>
        <w:spacing w:before="78" w:line="219" w:lineRule="auto"/>
        <w:ind w:left="3000"/>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68A2D457">
      <w:pPr>
        <w:pStyle w:val="10"/>
        <w:spacing w:before="181" w:line="220" w:lineRule="auto"/>
        <w:ind w:left="5351"/>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5"/>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1D68729A">
      <w:pPr>
        <w:pStyle w:val="10"/>
        <w:spacing w:before="182" w:line="359" w:lineRule="auto"/>
        <w:ind w:left="2" w:right="63" w:hanging="2"/>
        <w:rPr>
          <w:color w:val="auto"/>
          <w:sz w:val="24"/>
          <w:szCs w:val="24"/>
          <w:highlight w:val="none"/>
        </w:rPr>
      </w:pPr>
      <w:r>
        <w:rPr>
          <w:color w:val="auto"/>
          <w:spacing w:val="-2"/>
          <w:sz w:val="24"/>
          <w:szCs w:val="24"/>
          <w:highlight w:val="none"/>
        </w:rPr>
        <w:t>注：1.法定代表人必须在授权委托书上亲笔签字或盖章，委托代理人必须在授权委托书上亲笔签字，</w:t>
      </w:r>
      <w:r>
        <w:rPr>
          <w:b/>
          <w:bCs/>
          <w:color w:val="auto"/>
          <w:spacing w:val="-2"/>
          <w:sz w:val="24"/>
          <w:szCs w:val="24"/>
          <w:highlight w:val="none"/>
        </w:rPr>
        <w:t>否则其响应文件按无效响应处理。</w:t>
      </w:r>
    </w:p>
    <w:p w14:paraId="5B391EAC">
      <w:pPr>
        <w:pStyle w:val="10"/>
        <w:spacing w:before="2" w:line="312" w:lineRule="auto"/>
        <w:ind w:right="63" w:firstLine="483"/>
        <w:rPr>
          <w:color w:val="auto"/>
          <w:sz w:val="24"/>
          <w:szCs w:val="24"/>
          <w:highlight w:val="none"/>
        </w:rPr>
      </w:pPr>
      <w:r>
        <w:rPr>
          <w:color w:val="auto"/>
          <w:spacing w:val="-2"/>
          <w:sz w:val="24"/>
          <w:szCs w:val="24"/>
          <w:highlight w:val="none"/>
        </w:rPr>
        <w:t>2.供应商为其他组织或者自然人时，本磋商文件规定的法定代表人指负责人或者自然人。本磋商文件所称负责人是指参加竞标的其他组织营业执照上的负责人，本磋商文件所</w:t>
      </w:r>
      <w:r>
        <w:rPr>
          <w:color w:val="auto"/>
          <w:spacing w:val="-1"/>
          <w:sz w:val="24"/>
          <w:szCs w:val="24"/>
          <w:highlight w:val="none"/>
        </w:rPr>
        <w:t>称自然人指参与竞标的自然人本人。</w:t>
      </w:r>
    </w:p>
    <w:p w14:paraId="16FE7681">
      <w:pPr>
        <w:spacing w:line="500" w:lineRule="exact"/>
        <w:ind w:firstLine="464" w:firstLineChars="200"/>
        <w:rPr>
          <w:rFonts w:ascii="宋体" w:hAnsi="宋体" w:cs="宋体"/>
          <w:b/>
          <w:bCs/>
          <w:color w:val="auto"/>
          <w:w w:val="99"/>
          <w:kern w:val="0"/>
          <w:sz w:val="24"/>
          <w:szCs w:val="24"/>
          <w:highlight w:val="none"/>
        </w:rPr>
      </w:pPr>
      <w:r>
        <w:rPr>
          <w:color w:val="auto"/>
          <w:spacing w:val="-4"/>
          <w:sz w:val="24"/>
          <w:szCs w:val="24"/>
          <w:highlight w:val="none"/>
        </w:rPr>
        <w:t>3.法人、其他组织竞标时</w:t>
      </w:r>
      <w:r>
        <w:rPr>
          <w:rFonts w:hint="eastAsia"/>
          <w:color w:val="auto"/>
          <w:spacing w:val="-4"/>
          <w:sz w:val="24"/>
          <w:szCs w:val="24"/>
          <w:highlight w:val="none"/>
          <w:lang w:eastAsia="zh-CN"/>
        </w:rPr>
        <w:t>“</w:t>
      </w:r>
      <w:r>
        <w:rPr>
          <w:color w:val="auto"/>
          <w:spacing w:val="-4"/>
          <w:sz w:val="24"/>
          <w:szCs w:val="24"/>
          <w:highlight w:val="none"/>
        </w:rPr>
        <w:t>我方</w:t>
      </w:r>
      <w:r>
        <w:rPr>
          <w:rFonts w:hint="eastAsia"/>
          <w:color w:val="auto"/>
          <w:spacing w:val="-4"/>
          <w:sz w:val="24"/>
          <w:szCs w:val="24"/>
          <w:highlight w:val="none"/>
          <w:lang w:eastAsia="zh-CN"/>
        </w:rPr>
        <w:t>”</w:t>
      </w:r>
      <w:r>
        <w:rPr>
          <w:color w:val="auto"/>
          <w:spacing w:val="-4"/>
          <w:sz w:val="24"/>
          <w:szCs w:val="24"/>
          <w:highlight w:val="none"/>
        </w:rPr>
        <w:t>是指</w:t>
      </w:r>
      <w:r>
        <w:rPr>
          <w:rFonts w:hint="eastAsia"/>
          <w:color w:val="auto"/>
          <w:spacing w:val="-4"/>
          <w:sz w:val="24"/>
          <w:szCs w:val="24"/>
          <w:highlight w:val="none"/>
          <w:lang w:eastAsia="zh-CN"/>
        </w:rPr>
        <w:t>“</w:t>
      </w:r>
      <w:r>
        <w:rPr>
          <w:color w:val="auto"/>
          <w:spacing w:val="-5"/>
          <w:sz w:val="24"/>
          <w:szCs w:val="24"/>
          <w:highlight w:val="none"/>
        </w:rPr>
        <w:t>我单位</w:t>
      </w:r>
      <w:r>
        <w:rPr>
          <w:color w:val="auto"/>
          <w:spacing w:val="-88"/>
          <w:sz w:val="24"/>
          <w:szCs w:val="24"/>
          <w:highlight w:val="none"/>
        </w:rPr>
        <w:t xml:space="preserve"> </w:t>
      </w:r>
      <w:r>
        <w:rPr>
          <w:rFonts w:hint="eastAsia"/>
          <w:color w:val="auto"/>
          <w:spacing w:val="-4"/>
          <w:sz w:val="24"/>
          <w:szCs w:val="24"/>
          <w:highlight w:val="none"/>
          <w:lang w:eastAsia="zh-CN"/>
        </w:rPr>
        <w:t>”</w:t>
      </w:r>
      <w:r>
        <w:rPr>
          <w:color w:val="auto"/>
          <w:spacing w:val="-5"/>
          <w:sz w:val="24"/>
          <w:szCs w:val="24"/>
          <w:highlight w:val="none"/>
        </w:rPr>
        <w:t>，自然人竞标时</w:t>
      </w:r>
      <w:r>
        <w:rPr>
          <w:rFonts w:hint="eastAsia"/>
          <w:color w:val="auto"/>
          <w:spacing w:val="-4"/>
          <w:sz w:val="24"/>
          <w:szCs w:val="24"/>
          <w:highlight w:val="none"/>
          <w:lang w:eastAsia="zh-CN"/>
        </w:rPr>
        <w:t>“</w:t>
      </w:r>
      <w:r>
        <w:rPr>
          <w:color w:val="auto"/>
          <w:spacing w:val="-5"/>
          <w:sz w:val="24"/>
          <w:szCs w:val="24"/>
          <w:highlight w:val="none"/>
        </w:rPr>
        <w:t>我方</w:t>
      </w:r>
      <w:r>
        <w:rPr>
          <w:rFonts w:hint="eastAsia"/>
          <w:color w:val="auto"/>
          <w:spacing w:val="-4"/>
          <w:sz w:val="24"/>
          <w:szCs w:val="24"/>
          <w:highlight w:val="none"/>
          <w:lang w:eastAsia="zh-CN"/>
        </w:rPr>
        <w:t>”</w:t>
      </w:r>
      <w:r>
        <w:rPr>
          <w:color w:val="auto"/>
          <w:spacing w:val="-5"/>
          <w:sz w:val="24"/>
          <w:szCs w:val="24"/>
          <w:highlight w:val="none"/>
        </w:rPr>
        <w:t>是指</w:t>
      </w:r>
      <w:r>
        <w:rPr>
          <w:rFonts w:hint="eastAsia"/>
          <w:color w:val="auto"/>
          <w:spacing w:val="-4"/>
          <w:sz w:val="24"/>
          <w:szCs w:val="24"/>
          <w:highlight w:val="none"/>
          <w:lang w:eastAsia="zh-CN"/>
        </w:rPr>
        <w:t>“</w:t>
      </w:r>
      <w:r>
        <w:rPr>
          <w:color w:val="auto"/>
          <w:spacing w:val="-5"/>
          <w:sz w:val="24"/>
          <w:szCs w:val="24"/>
          <w:highlight w:val="none"/>
        </w:rPr>
        <w:t>本</w:t>
      </w:r>
      <w:r>
        <w:rPr>
          <w:color w:val="auto"/>
          <w:spacing w:val="-4"/>
          <w:sz w:val="24"/>
          <w:szCs w:val="24"/>
          <w:highlight w:val="none"/>
        </w:rPr>
        <w:t>人</w:t>
      </w:r>
      <w:r>
        <w:rPr>
          <w:rFonts w:hint="eastAsia"/>
          <w:color w:val="auto"/>
          <w:spacing w:val="-4"/>
          <w:sz w:val="24"/>
          <w:szCs w:val="24"/>
          <w:highlight w:val="none"/>
          <w:lang w:eastAsia="zh-CN"/>
        </w:rPr>
        <w:t>”</w:t>
      </w:r>
      <w:r>
        <w:rPr>
          <w:color w:val="auto"/>
          <w:spacing w:val="-4"/>
          <w:sz w:val="24"/>
          <w:szCs w:val="24"/>
          <w:highlight w:val="none"/>
        </w:rPr>
        <w:t>。</w:t>
      </w:r>
    </w:p>
    <w:p w14:paraId="3B015D49">
      <w:pPr>
        <w:spacing w:line="500" w:lineRule="exact"/>
        <w:rPr>
          <w:rFonts w:ascii="宋体" w:hAnsi="宋体" w:cs="宋体"/>
          <w:b/>
          <w:bCs/>
          <w:color w:val="auto"/>
          <w:w w:val="99"/>
          <w:kern w:val="0"/>
          <w:sz w:val="30"/>
          <w:szCs w:val="32"/>
          <w:highlight w:val="none"/>
        </w:rPr>
      </w:pPr>
    </w:p>
    <w:p w14:paraId="646D81B9">
      <w:pPr>
        <w:pStyle w:val="10"/>
        <w:rPr>
          <w:rFonts w:ascii="宋体" w:hAnsi="宋体" w:cs="宋体"/>
          <w:b/>
          <w:bCs/>
          <w:color w:val="auto"/>
          <w:w w:val="99"/>
          <w:kern w:val="0"/>
          <w:sz w:val="30"/>
          <w:szCs w:val="32"/>
          <w:highlight w:val="none"/>
        </w:rPr>
      </w:pPr>
    </w:p>
    <w:p w14:paraId="63582A93">
      <w:pPr>
        <w:pStyle w:val="21"/>
        <w:ind w:firstLine="598"/>
        <w:rPr>
          <w:rFonts w:ascii="宋体" w:hAnsi="宋体" w:cs="宋体"/>
          <w:b/>
          <w:bCs/>
          <w:color w:val="auto"/>
          <w:w w:val="99"/>
          <w:kern w:val="0"/>
          <w:sz w:val="30"/>
          <w:szCs w:val="32"/>
          <w:highlight w:val="none"/>
        </w:rPr>
      </w:pPr>
    </w:p>
    <w:p w14:paraId="5712EBC2">
      <w:pPr>
        <w:rPr>
          <w:b/>
          <w:bCs/>
          <w:color w:val="auto"/>
          <w:spacing w:val="-5"/>
          <w:sz w:val="30"/>
          <w:szCs w:val="30"/>
          <w:highlight w:val="none"/>
        </w:rPr>
      </w:pPr>
      <w:r>
        <w:rPr>
          <w:b/>
          <w:bCs/>
          <w:color w:val="auto"/>
          <w:spacing w:val="-5"/>
          <w:sz w:val="30"/>
          <w:szCs w:val="30"/>
          <w:highlight w:val="none"/>
        </w:rPr>
        <w:br w:type="page"/>
      </w:r>
    </w:p>
    <w:p w14:paraId="4F0A8181">
      <w:pPr>
        <w:pStyle w:val="10"/>
        <w:spacing w:before="98" w:line="220" w:lineRule="auto"/>
        <w:ind w:left="3605"/>
        <w:rPr>
          <w:color w:val="auto"/>
          <w:sz w:val="30"/>
          <w:szCs w:val="30"/>
          <w:highlight w:val="none"/>
        </w:rPr>
      </w:pPr>
      <w:r>
        <w:rPr>
          <w:b/>
          <w:bCs/>
          <w:color w:val="auto"/>
          <w:spacing w:val="-5"/>
          <w:sz w:val="30"/>
          <w:szCs w:val="30"/>
          <w:highlight w:val="none"/>
        </w:rPr>
        <w:t>商务条款偏离表</w:t>
      </w:r>
    </w:p>
    <w:p w14:paraId="384D00F0">
      <w:pPr>
        <w:spacing w:line="475" w:lineRule="auto"/>
        <w:rPr>
          <w:rFonts w:ascii="Arial"/>
          <w:color w:val="auto"/>
          <w:sz w:val="21"/>
          <w:highlight w:val="none"/>
        </w:rPr>
      </w:pPr>
    </w:p>
    <w:p w14:paraId="6447928A">
      <w:pPr>
        <w:pStyle w:val="10"/>
        <w:spacing w:before="78" w:line="219" w:lineRule="auto"/>
        <w:ind w:left="1"/>
        <w:rPr>
          <w:color w:val="auto"/>
          <w:sz w:val="24"/>
          <w:szCs w:val="24"/>
          <w:highlight w:val="none"/>
        </w:rPr>
      </w:pPr>
      <w:r>
        <w:rPr>
          <w:color w:val="auto"/>
          <w:spacing w:val="-2"/>
          <w:sz w:val="24"/>
          <w:szCs w:val="24"/>
          <w:highlight w:val="none"/>
        </w:rPr>
        <w:t>采购项目编号：</w:t>
      </w:r>
      <w:r>
        <w:rPr>
          <w:color w:val="auto"/>
          <w:sz w:val="24"/>
          <w:szCs w:val="24"/>
          <w:highlight w:val="none"/>
          <w:u w:val="single" w:color="auto"/>
        </w:rPr>
        <w:t xml:space="preserve">                </w:t>
      </w:r>
    </w:p>
    <w:p w14:paraId="312AD8F3">
      <w:pPr>
        <w:pStyle w:val="10"/>
        <w:spacing w:before="180" w:line="219" w:lineRule="auto"/>
        <w:ind w:left="1"/>
        <w:rPr>
          <w:color w:val="auto"/>
          <w:sz w:val="24"/>
          <w:szCs w:val="24"/>
          <w:highlight w:val="none"/>
        </w:rPr>
      </w:pPr>
      <w:r>
        <w:rPr>
          <w:color w:val="auto"/>
          <w:spacing w:val="-2"/>
          <w:sz w:val="24"/>
          <w:szCs w:val="24"/>
          <w:highlight w:val="none"/>
        </w:rPr>
        <w:t>采购项目名称：</w:t>
      </w:r>
      <w:r>
        <w:rPr>
          <w:color w:val="auto"/>
          <w:sz w:val="24"/>
          <w:szCs w:val="24"/>
          <w:highlight w:val="none"/>
          <w:u w:val="single" w:color="auto"/>
        </w:rPr>
        <w:t xml:space="preserve">                </w:t>
      </w:r>
    </w:p>
    <w:p w14:paraId="099DE83A">
      <w:pPr>
        <w:spacing w:line="240" w:lineRule="exact"/>
        <w:rPr>
          <w:color w:val="auto"/>
          <w:sz w:val="24"/>
          <w:szCs w:val="24"/>
          <w:highlight w:val="none"/>
        </w:rPr>
      </w:pPr>
    </w:p>
    <w:tbl>
      <w:tblPr>
        <w:tblStyle w:val="58"/>
        <w:tblW w:w="8936" w:type="dxa"/>
        <w:tblInd w:w="1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3447"/>
        <w:gridCol w:w="3194"/>
        <w:gridCol w:w="1278"/>
      </w:tblGrid>
      <w:tr w14:paraId="1E401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017" w:type="dxa"/>
            <w:vAlign w:val="top"/>
          </w:tcPr>
          <w:p w14:paraId="1E4BB86F">
            <w:pPr>
              <w:pStyle w:val="57"/>
              <w:spacing w:before="71" w:line="206" w:lineRule="auto"/>
              <w:ind w:left="278"/>
              <w:rPr>
                <w:color w:val="auto"/>
                <w:sz w:val="24"/>
                <w:szCs w:val="24"/>
                <w:highlight w:val="none"/>
              </w:rPr>
            </w:pPr>
            <w:r>
              <w:rPr>
                <w:color w:val="auto"/>
                <w:spacing w:val="-7"/>
                <w:sz w:val="24"/>
                <w:szCs w:val="24"/>
                <w:highlight w:val="none"/>
              </w:rPr>
              <w:t>项号</w:t>
            </w:r>
          </w:p>
        </w:tc>
        <w:tc>
          <w:tcPr>
            <w:tcW w:w="3447" w:type="dxa"/>
            <w:vAlign w:val="top"/>
          </w:tcPr>
          <w:p w14:paraId="6419EE99">
            <w:pPr>
              <w:pStyle w:val="57"/>
              <w:spacing w:before="71" w:line="206" w:lineRule="auto"/>
              <w:ind w:left="292"/>
              <w:rPr>
                <w:color w:val="auto"/>
                <w:sz w:val="24"/>
                <w:szCs w:val="24"/>
                <w:highlight w:val="none"/>
              </w:rPr>
            </w:pPr>
            <w:r>
              <w:rPr>
                <w:color w:val="auto"/>
                <w:spacing w:val="-2"/>
                <w:sz w:val="24"/>
                <w:szCs w:val="24"/>
                <w:highlight w:val="none"/>
              </w:rPr>
              <w:t>竞争性磋商文件的商务需求</w:t>
            </w:r>
          </w:p>
        </w:tc>
        <w:tc>
          <w:tcPr>
            <w:tcW w:w="3194" w:type="dxa"/>
            <w:vAlign w:val="top"/>
          </w:tcPr>
          <w:p w14:paraId="7828D0A8">
            <w:pPr>
              <w:pStyle w:val="57"/>
              <w:spacing w:before="71" w:line="206" w:lineRule="auto"/>
              <w:ind w:left="298"/>
              <w:rPr>
                <w:color w:val="auto"/>
                <w:sz w:val="24"/>
                <w:szCs w:val="24"/>
                <w:highlight w:val="none"/>
              </w:rPr>
            </w:pPr>
            <w:r>
              <w:rPr>
                <w:color w:val="auto"/>
                <w:spacing w:val="-2"/>
                <w:sz w:val="24"/>
                <w:szCs w:val="24"/>
                <w:highlight w:val="none"/>
              </w:rPr>
              <w:t>响应文件承诺的商务条款</w:t>
            </w:r>
          </w:p>
        </w:tc>
        <w:tc>
          <w:tcPr>
            <w:tcW w:w="1278" w:type="dxa"/>
            <w:vAlign w:val="top"/>
          </w:tcPr>
          <w:p w14:paraId="55BAD02B">
            <w:pPr>
              <w:pStyle w:val="57"/>
              <w:spacing w:before="71" w:line="206" w:lineRule="auto"/>
              <w:ind w:left="166"/>
              <w:rPr>
                <w:color w:val="auto"/>
                <w:sz w:val="24"/>
                <w:szCs w:val="24"/>
                <w:highlight w:val="none"/>
              </w:rPr>
            </w:pPr>
            <w:r>
              <w:rPr>
                <w:color w:val="auto"/>
                <w:spacing w:val="-3"/>
                <w:sz w:val="24"/>
                <w:szCs w:val="24"/>
                <w:highlight w:val="none"/>
              </w:rPr>
              <w:t>偏离说明</w:t>
            </w:r>
          </w:p>
        </w:tc>
      </w:tr>
      <w:tr w14:paraId="3E461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017" w:type="dxa"/>
            <w:vAlign w:val="top"/>
          </w:tcPr>
          <w:p w14:paraId="24B645D2">
            <w:pPr>
              <w:pStyle w:val="57"/>
              <w:spacing w:before="157" w:line="186" w:lineRule="exact"/>
              <w:ind w:left="122"/>
              <w:rPr>
                <w:color w:val="auto"/>
                <w:sz w:val="24"/>
                <w:szCs w:val="24"/>
                <w:highlight w:val="none"/>
              </w:rPr>
            </w:pPr>
            <w:r>
              <w:rPr>
                <w:color w:val="auto"/>
                <w:position w:val="-5"/>
                <w:sz w:val="24"/>
                <w:szCs w:val="24"/>
                <w:highlight w:val="none"/>
              </w:rPr>
              <w:t>一</w:t>
            </w:r>
          </w:p>
        </w:tc>
        <w:tc>
          <w:tcPr>
            <w:tcW w:w="3447" w:type="dxa"/>
            <w:vAlign w:val="top"/>
          </w:tcPr>
          <w:p w14:paraId="65B84E58">
            <w:pPr>
              <w:pStyle w:val="57"/>
              <w:spacing w:before="67" w:line="379" w:lineRule="exact"/>
              <w:ind w:left="249"/>
              <w:rPr>
                <w:color w:val="auto"/>
                <w:sz w:val="24"/>
                <w:szCs w:val="24"/>
                <w:highlight w:val="none"/>
              </w:rPr>
            </w:pPr>
            <w:r>
              <w:rPr>
                <w:color w:val="auto"/>
                <w:spacing w:val="-13"/>
                <w:position w:val="3"/>
                <w:sz w:val="24"/>
                <w:szCs w:val="24"/>
                <w:highlight w:val="none"/>
              </w:rPr>
              <w:t>……</w:t>
            </w:r>
          </w:p>
        </w:tc>
        <w:tc>
          <w:tcPr>
            <w:tcW w:w="3194" w:type="dxa"/>
            <w:vAlign w:val="top"/>
          </w:tcPr>
          <w:p w14:paraId="048B00BC">
            <w:pPr>
              <w:pStyle w:val="57"/>
              <w:spacing w:before="67" w:line="379" w:lineRule="exact"/>
              <w:ind w:left="130"/>
              <w:rPr>
                <w:color w:val="auto"/>
                <w:sz w:val="24"/>
                <w:szCs w:val="24"/>
                <w:highlight w:val="none"/>
              </w:rPr>
            </w:pPr>
            <w:r>
              <w:rPr>
                <w:color w:val="auto"/>
                <w:spacing w:val="-13"/>
                <w:position w:val="3"/>
                <w:sz w:val="24"/>
                <w:szCs w:val="24"/>
                <w:highlight w:val="none"/>
              </w:rPr>
              <w:t>……</w:t>
            </w:r>
          </w:p>
        </w:tc>
        <w:tc>
          <w:tcPr>
            <w:tcW w:w="1278" w:type="dxa"/>
            <w:vAlign w:val="top"/>
          </w:tcPr>
          <w:p w14:paraId="6747B0A9">
            <w:pPr>
              <w:rPr>
                <w:rFonts w:ascii="Arial"/>
                <w:color w:val="auto"/>
                <w:sz w:val="24"/>
                <w:szCs w:val="24"/>
                <w:highlight w:val="none"/>
              </w:rPr>
            </w:pPr>
          </w:p>
        </w:tc>
      </w:tr>
      <w:tr w14:paraId="6CE23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2" w:hRule="atLeast"/>
        </w:trPr>
        <w:tc>
          <w:tcPr>
            <w:tcW w:w="1017" w:type="dxa"/>
            <w:vAlign w:val="top"/>
          </w:tcPr>
          <w:p w14:paraId="6A986C2F">
            <w:pPr>
              <w:pStyle w:val="57"/>
              <w:spacing w:before="113" w:line="178" w:lineRule="auto"/>
              <w:ind w:left="122"/>
              <w:rPr>
                <w:color w:val="auto"/>
                <w:sz w:val="24"/>
                <w:szCs w:val="24"/>
                <w:highlight w:val="none"/>
              </w:rPr>
            </w:pPr>
            <w:r>
              <w:rPr>
                <w:color w:val="auto"/>
                <w:sz w:val="24"/>
                <w:szCs w:val="24"/>
                <w:highlight w:val="none"/>
              </w:rPr>
              <w:t>二</w:t>
            </w:r>
          </w:p>
        </w:tc>
        <w:tc>
          <w:tcPr>
            <w:tcW w:w="3447" w:type="dxa"/>
            <w:vAlign w:val="top"/>
          </w:tcPr>
          <w:p w14:paraId="6E61E208">
            <w:pPr>
              <w:pStyle w:val="57"/>
              <w:spacing w:before="68" w:line="379" w:lineRule="exact"/>
              <w:ind w:left="129"/>
              <w:rPr>
                <w:color w:val="auto"/>
                <w:sz w:val="24"/>
                <w:szCs w:val="24"/>
                <w:highlight w:val="none"/>
              </w:rPr>
            </w:pPr>
            <w:r>
              <w:rPr>
                <w:color w:val="auto"/>
                <w:spacing w:val="-13"/>
                <w:position w:val="3"/>
                <w:sz w:val="24"/>
                <w:szCs w:val="24"/>
                <w:highlight w:val="none"/>
              </w:rPr>
              <w:t>……</w:t>
            </w:r>
          </w:p>
        </w:tc>
        <w:tc>
          <w:tcPr>
            <w:tcW w:w="3194" w:type="dxa"/>
            <w:vAlign w:val="top"/>
          </w:tcPr>
          <w:p w14:paraId="1BCE49C2">
            <w:pPr>
              <w:pStyle w:val="57"/>
              <w:spacing w:before="68" w:line="379" w:lineRule="exact"/>
              <w:ind w:left="130"/>
              <w:rPr>
                <w:color w:val="auto"/>
                <w:sz w:val="24"/>
                <w:szCs w:val="24"/>
                <w:highlight w:val="none"/>
              </w:rPr>
            </w:pPr>
            <w:r>
              <w:rPr>
                <w:color w:val="auto"/>
                <w:spacing w:val="-13"/>
                <w:position w:val="3"/>
                <w:sz w:val="24"/>
                <w:szCs w:val="24"/>
                <w:highlight w:val="none"/>
              </w:rPr>
              <w:t>……</w:t>
            </w:r>
          </w:p>
        </w:tc>
        <w:tc>
          <w:tcPr>
            <w:tcW w:w="1278" w:type="dxa"/>
            <w:vAlign w:val="top"/>
          </w:tcPr>
          <w:p w14:paraId="27974F1E">
            <w:pPr>
              <w:rPr>
                <w:rFonts w:ascii="Arial"/>
                <w:color w:val="auto"/>
                <w:sz w:val="24"/>
                <w:szCs w:val="24"/>
                <w:highlight w:val="none"/>
              </w:rPr>
            </w:pPr>
          </w:p>
        </w:tc>
      </w:tr>
      <w:tr w14:paraId="2C1B3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7" w:hRule="atLeast"/>
        </w:trPr>
        <w:tc>
          <w:tcPr>
            <w:tcW w:w="1017" w:type="dxa"/>
            <w:vAlign w:val="top"/>
          </w:tcPr>
          <w:p w14:paraId="1CE847C8">
            <w:pPr>
              <w:pStyle w:val="57"/>
              <w:spacing w:before="71" w:line="379" w:lineRule="exact"/>
              <w:ind w:left="133"/>
              <w:rPr>
                <w:color w:val="auto"/>
                <w:sz w:val="24"/>
                <w:szCs w:val="24"/>
                <w:highlight w:val="none"/>
              </w:rPr>
            </w:pPr>
            <w:r>
              <w:rPr>
                <w:color w:val="auto"/>
                <w:spacing w:val="-13"/>
                <w:position w:val="3"/>
                <w:sz w:val="24"/>
                <w:szCs w:val="24"/>
                <w:highlight w:val="none"/>
              </w:rPr>
              <w:t>……</w:t>
            </w:r>
          </w:p>
        </w:tc>
        <w:tc>
          <w:tcPr>
            <w:tcW w:w="3447" w:type="dxa"/>
            <w:vAlign w:val="top"/>
          </w:tcPr>
          <w:p w14:paraId="278B9920">
            <w:pPr>
              <w:rPr>
                <w:rFonts w:ascii="Arial"/>
                <w:color w:val="auto"/>
                <w:sz w:val="24"/>
                <w:szCs w:val="24"/>
                <w:highlight w:val="none"/>
              </w:rPr>
            </w:pPr>
          </w:p>
        </w:tc>
        <w:tc>
          <w:tcPr>
            <w:tcW w:w="3194" w:type="dxa"/>
            <w:vAlign w:val="top"/>
          </w:tcPr>
          <w:p w14:paraId="65E76731">
            <w:pPr>
              <w:rPr>
                <w:rFonts w:ascii="Arial"/>
                <w:color w:val="auto"/>
                <w:sz w:val="24"/>
                <w:szCs w:val="24"/>
                <w:highlight w:val="none"/>
              </w:rPr>
            </w:pPr>
          </w:p>
        </w:tc>
        <w:tc>
          <w:tcPr>
            <w:tcW w:w="1278" w:type="dxa"/>
            <w:vAlign w:val="top"/>
          </w:tcPr>
          <w:p w14:paraId="616F3C52">
            <w:pPr>
              <w:rPr>
                <w:rFonts w:ascii="Arial"/>
                <w:color w:val="auto"/>
                <w:sz w:val="24"/>
                <w:szCs w:val="24"/>
                <w:highlight w:val="none"/>
              </w:rPr>
            </w:pPr>
          </w:p>
        </w:tc>
      </w:tr>
    </w:tbl>
    <w:p w14:paraId="2697C62A">
      <w:pPr>
        <w:pStyle w:val="10"/>
        <w:spacing w:before="141" w:line="233" w:lineRule="auto"/>
        <w:rPr>
          <w:color w:val="auto"/>
          <w:sz w:val="20"/>
          <w:szCs w:val="20"/>
          <w:highlight w:val="none"/>
        </w:rPr>
      </w:pPr>
      <w:r>
        <w:rPr>
          <w:color w:val="auto"/>
          <w:sz w:val="20"/>
          <w:szCs w:val="20"/>
          <w:highlight w:val="none"/>
        </w:rPr>
        <w:t>注：</w:t>
      </w:r>
    </w:p>
    <w:p w14:paraId="601DD951">
      <w:pPr>
        <w:pStyle w:val="10"/>
        <w:spacing w:before="148" w:line="228" w:lineRule="auto"/>
        <w:ind w:left="16"/>
        <w:rPr>
          <w:color w:val="auto"/>
          <w:sz w:val="20"/>
          <w:szCs w:val="20"/>
          <w:highlight w:val="none"/>
        </w:rPr>
      </w:pPr>
      <w:r>
        <w:rPr>
          <w:color w:val="auto"/>
          <w:spacing w:val="8"/>
          <w:sz w:val="20"/>
          <w:szCs w:val="20"/>
          <w:highlight w:val="none"/>
        </w:rPr>
        <w:t>1.说明：应对照磋商文件</w:t>
      </w:r>
      <w:r>
        <w:rPr>
          <w:rFonts w:hint="eastAsia"/>
          <w:color w:val="auto"/>
          <w:spacing w:val="8"/>
          <w:sz w:val="20"/>
          <w:szCs w:val="20"/>
          <w:highlight w:val="none"/>
          <w:lang w:eastAsia="zh-CN"/>
        </w:rPr>
        <w:t>“</w:t>
      </w:r>
      <w:r>
        <w:rPr>
          <w:color w:val="auto"/>
          <w:spacing w:val="8"/>
          <w:sz w:val="20"/>
          <w:szCs w:val="20"/>
          <w:highlight w:val="none"/>
        </w:rPr>
        <w:t>第二章 采购需求</w:t>
      </w:r>
      <w:r>
        <w:rPr>
          <w:color w:val="auto"/>
          <w:spacing w:val="-62"/>
          <w:sz w:val="20"/>
          <w:szCs w:val="20"/>
          <w:highlight w:val="none"/>
        </w:rPr>
        <w:t xml:space="preserve"> </w:t>
      </w:r>
      <w:r>
        <w:rPr>
          <w:rFonts w:hint="eastAsia"/>
          <w:color w:val="auto"/>
          <w:spacing w:val="8"/>
          <w:sz w:val="20"/>
          <w:szCs w:val="20"/>
          <w:highlight w:val="none"/>
          <w:lang w:eastAsia="zh-CN"/>
        </w:rPr>
        <w:t>”</w:t>
      </w:r>
      <w:r>
        <w:rPr>
          <w:color w:val="auto"/>
          <w:spacing w:val="8"/>
          <w:sz w:val="20"/>
          <w:szCs w:val="20"/>
          <w:highlight w:val="none"/>
        </w:rPr>
        <w:t>中的商务条款逐条作出明确响应，并作出偏离说明。</w:t>
      </w:r>
    </w:p>
    <w:p w14:paraId="1A25DA8E">
      <w:pPr>
        <w:pStyle w:val="10"/>
        <w:spacing w:before="151" w:line="323" w:lineRule="auto"/>
        <w:ind w:left="2"/>
        <w:rPr>
          <w:color w:val="auto"/>
          <w:sz w:val="20"/>
          <w:szCs w:val="20"/>
          <w:highlight w:val="none"/>
        </w:rPr>
      </w:pPr>
      <w:r>
        <w:rPr>
          <w:color w:val="auto"/>
          <w:spacing w:val="9"/>
          <w:sz w:val="20"/>
          <w:szCs w:val="20"/>
          <w:highlight w:val="none"/>
        </w:rPr>
        <w:t>2.供应商应根据自身的承诺，对照磋商文件要求，在</w:t>
      </w:r>
      <w:r>
        <w:rPr>
          <w:rFonts w:hint="eastAsia"/>
          <w:color w:val="auto"/>
          <w:spacing w:val="8"/>
          <w:sz w:val="20"/>
          <w:szCs w:val="20"/>
          <w:highlight w:val="none"/>
          <w:lang w:eastAsia="zh-CN"/>
        </w:rPr>
        <w:t>“</w:t>
      </w:r>
      <w:r>
        <w:rPr>
          <w:color w:val="auto"/>
          <w:spacing w:val="9"/>
          <w:sz w:val="20"/>
          <w:szCs w:val="20"/>
          <w:highlight w:val="none"/>
        </w:rPr>
        <w:t>偏离说明</w:t>
      </w:r>
      <w:r>
        <w:rPr>
          <w:color w:val="auto"/>
          <w:spacing w:val="-70"/>
          <w:sz w:val="20"/>
          <w:szCs w:val="20"/>
          <w:highlight w:val="none"/>
        </w:rPr>
        <w:t xml:space="preserve"> </w:t>
      </w:r>
      <w:r>
        <w:rPr>
          <w:rFonts w:hint="eastAsia"/>
          <w:color w:val="auto"/>
          <w:spacing w:val="8"/>
          <w:sz w:val="20"/>
          <w:szCs w:val="20"/>
          <w:highlight w:val="none"/>
          <w:lang w:eastAsia="zh-CN"/>
        </w:rPr>
        <w:t>”</w:t>
      </w:r>
      <w:r>
        <w:rPr>
          <w:color w:val="auto"/>
          <w:spacing w:val="9"/>
          <w:sz w:val="20"/>
          <w:szCs w:val="20"/>
          <w:highlight w:val="none"/>
        </w:rPr>
        <w:t>中注明</w:t>
      </w:r>
      <w:r>
        <w:rPr>
          <w:rFonts w:hint="eastAsia"/>
          <w:color w:val="auto"/>
          <w:spacing w:val="8"/>
          <w:sz w:val="20"/>
          <w:szCs w:val="20"/>
          <w:highlight w:val="none"/>
          <w:lang w:eastAsia="zh-CN"/>
        </w:rPr>
        <w:t>“</w:t>
      </w:r>
      <w:r>
        <w:rPr>
          <w:color w:val="auto"/>
          <w:spacing w:val="9"/>
          <w:sz w:val="20"/>
          <w:szCs w:val="20"/>
          <w:highlight w:val="none"/>
        </w:rPr>
        <w:t>正偏</w:t>
      </w:r>
      <w:r>
        <w:rPr>
          <w:color w:val="auto"/>
          <w:spacing w:val="8"/>
          <w:sz w:val="20"/>
          <w:szCs w:val="20"/>
          <w:highlight w:val="none"/>
        </w:rPr>
        <w:t>离</w:t>
      </w:r>
      <w:r>
        <w:rPr>
          <w:color w:val="auto"/>
          <w:spacing w:val="-70"/>
          <w:sz w:val="20"/>
          <w:szCs w:val="20"/>
          <w:highlight w:val="none"/>
        </w:rPr>
        <w:t xml:space="preserve"> </w:t>
      </w:r>
      <w:r>
        <w:rPr>
          <w:rFonts w:hint="eastAsia"/>
          <w:color w:val="auto"/>
          <w:spacing w:val="8"/>
          <w:sz w:val="20"/>
          <w:szCs w:val="20"/>
          <w:highlight w:val="none"/>
          <w:lang w:eastAsia="zh-CN"/>
        </w:rPr>
        <w:t>”</w:t>
      </w:r>
      <w:r>
        <w:rPr>
          <w:color w:val="auto"/>
          <w:spacing w:val="8"/>
          <w:sz w:val="20"/>
          <w:szCs w:val="20"/>
          <w:highlight w:val="none"/>
        </w:rPr>
        <w:t>、</w:t>
      </w:r>
      <w:r>
        <w:rPr>
          <w:rFonts w:hint="eastAsia"/>
          <w:color w:val="auto"/>
          <w:spacing w:val="8"/>
          <w:sz w:val="20"/>
          <w:szCs w:val="20"/>
          <w:highlight w:val="none"/>
          <w:lang w:eastAsia="zh-CN"/>
        </w:rPr>
        <w:t>“</w:t>
      </w:r>
      <w:r>
        <w:rPr>
          <w:color w:val="auto"/>
          <w:spacing w:val="8"/>
          <w:sz w:val="20"/>
          <w:szCs w:val="20"/>
          <w:highlight w:val="none"/>
        </w:rPr>
        <w:t>负偏离</w:t>
      </w:r>
      <w:r>
        <w:rPr>
          <w:color w:val="auto"/>
          <w:spacing w:val="-70"/>
          <w:sz w:val="20"/>
          <w:szCs w:val="20"/>
          <w:highlight w:val="none"/>
        </w:rPr>
        <w:t xml:space="preserve"> </w:t>
      </w:r>
      <w:r>
        <w:rPr>
          <w:rFonts w:hint="eastAsia"/>
          <w:color w:val="auto"/>
          <w:spacing w:val="8"/>
          <w:sz w:val="20"/>
          <w:szCs w:val="20"/>
          <w:highlight w:val="none"/>
          <w:lang w:eastAsia="zh-CN"/>
        </w:rPr>
        <w:t>”</w:t>
      </w:r>
      <w:r>
        <w:rPr>
          <w:color w:val="auto"/>
          <w:spacing w:val="8"/>
          <w:sz w:val="20"/>
          <w:szCs w:val="20"/>
          <w:highlight w:val="none"/>
        </w:rPr>
        <w:t>或</w:t>
      </w:r>
      <w:r>
        <w:rPr>
          <w:color w:val="auto"/>
          <w:spacing w:val="6"/>
          <w:sz w:val="20"/>
          <w:szCs w:val="20"/>
          <w:highlight w:val="none"/>
        </w:rPr>
        <w:t>者</w:t>
      </w:r>
      <w:r>
        <w:rPr>
          <w:rFonts w:hint="eastAsia"/>
          <w:color w:val="auto"/>
          <w:spacing w:val="8"/>
          <w:sz w:val="20"/>
          <w:szCs w:val="20"/>
          <w:highlight w:val="none"/>
          <w:lang w:eastAsia="zh-CN"/>
        </w:rPr>
        <w:t>“</w:t>
      </w:r>
      <w:r>
        <w:rPr>
          <w:color w:val="auto"/>
          <w:spacing w:val="6"/>
          <w:sz w:val="20"/>
          <w:szCs w:val="20"/>
          <w:highlight w:val="none"/>
        </w:rPr>
        <w:t>无偏离</w:t>
      </w:r>
      <w:r>
        <w:rPr>
          <w:rFonts w:hint="eastAsia"/>
          <w:color w:val="auto"/>
          <w:spacing w:val="8"/>
          <w:sz w:val="20"/>
          <w:szCs w:val="20"/>
          <w:highlight w:val="none"/>
          <w:lang w:eastAsia="zh-CN"/>
        </w:rPr>
        <w:t>”</w:t>
      </w:r>
      <w:r>
        <w:rPr>
          <w:color w:val="auto"/>
          <w:spacing w:val="6"/>
          <w:sz w:val="20"/>
          <w:szCs w:val="20"/>
          <w:highlight w:val="none"/>
        </w:rPr>
        <w:t>。既不属于</w:t>
      </w:r>
      <w:r>
        <w:rPr>
          <w:rFonts w:hint="eastAsia"/>
          <w:color w:val="auto"/>
          <w:spacing w:val="8"/>
          <w:sz w:val="20"/>
          <w:szCs w:val="20"/>
          <w:highlight w:val="none"/>
          <w:lang w:eastAsia="zh-CN"/>
        </w:rPr>
        <w:t>“</w:t>
      </w:r>
      <w:r>
        <w:rPr>
          <w:color w:val="auto"/>
          <w:spacing w:val="6"/>
          <w:sz w:val="20"/>
          <w:szCs w:val="20"/>
          <w:highlight w:val="none"/>
        </w:rPr>
        <w:t>正偏离</w:t>
      </w:r>
      <w:r>
        <w:rPr>
          <w:rFonts w:hint="eastAsia"/>
          <w:color w:val="auto"/>
          <w:spacing w:val="8"/>
          <w:sz w:val="20"/>
          <w:szCs w:val="20"/>
          <w:highlight w:val="none"/>
          <w:lang w:eastAsia="zh-CN"/>
        </w:rPr>
        <w:t>”</w:t>
      </w:r>
      <w:r>
        <w:rPr>
          <w:color w:val="auto"/>
          <w:spacing w:val="6"/>
          <w:sz w:val="20"/>
          <w:szCs w:val="20"/>
          <w:highlight w:val="none"/>
        </w:rPr>
        <w:t>也不属于</w:t>
      </w:r>
      <w:r>
        <w:rPr>
          <w:rFonts w:hint="eastAsia"/>
          <w:color w:val="auto"/>
          <w:spacing w:val="8"/>
          <w:sz w:val="20"/>
          <w:szCs w:val="20"/>
          <w:highlight w:val="none"/>
          <w:lang w:eastAsia="zh-CN"/>
        </w:rPr>
        <w:t>“</w:t>
      </w:r>
      <w:r>
        <w:rPr>
          <w:color w:val="auto"/>
          <w:spacing w:val="6"/>
          <w:sz w:val="20"/>
          <w:szCs w:val="20"/>
          <w:highlight w:val="none"/>
        </w:rPr>
        <w:t>负偏离</w:t>
      </w:r>
      <w:r>
        <w:rPr>
          <w:color w:val="auto"/>
          <w:spacing w:val="-70"/>
          <w:sz w:val="20"/>
          <w:szCs w:val="20"/>
          <w:highlight w:val="none"/>
        </w:rPr>
        <w:t xml:space="preserve"> </w:t>
      </w:r>
      <w:r>
        <w:rPr>
          <w:rFonts w:hint="eastAsia"/>
          <w:color w:val="auto"/>
          <w:spacing w:val="8"/>
          <w:sz w:val="20"/>
          <w:szCs w:val="20"/>
          <w:highlight w:val="none"/>
          <w:lang w:eastAsia="zh-CN"/>
        </w:rPr>
        <w:t>”</w:t>
      </w:r>
      <w:r>
        <w:rPr>
          <w:color w:val="auto"/>
          <w:spacing w:val="6"/>
          <w:sz w:val="20"/>
          <w:szCs w:val="20"/>
          <w:highlight w:val="none"/>
        </w:rPr>
        <w:t>即为</w:t>
      </w:r>
      <w:r>
        <w:rPr>
          <w:rFonts w:hint="eastAsia"/>
          <w:color w:val="auto"/>
          <w:spacing w:val="8"/>
          <w:sz w:val="20"/>
          <w:szCs w:val="20"/>
          <w:highlight w:val="none"/>
          <w:lang w:eastAsia="zh-CN"/>
        </w:rPr>
        <w:t>“</w:t>
      </w:r>
      <w:r>
        <w:rPr>
          <w:color w:val="auto"/>
          <w:spacing w:val="6"/>
          <w:sz w:val="20"/>
          <w:szCs w:val="20"/>
          <w:highlight w:val="none"/>
        </w:rPr>
        <w:t>无偏离</w:t>
      </w:r>
      <w:r>
        <w:rPr>
          <w:rFonts w:hint="eastAsia"/>
          <w:color w:val="auto"/>
          <w:spacing w:val="8"/>
          <w:sz w:val="20"/>
          <w:szCs w:val="20"/>
          <w:highlight w:val="none"/>
          <w:lang w:eastAsia="zh-CN"/>
        </w:rPr>
        <w:t>”</w:t>
      </w:r>
      <w:r>
        <w:rPr>
          <w:color w:val="auto"/>
          <w:spacing w:val="6"/>
          <w:sz w:val="20"/>
          <w:szCs w:val="20"/>
          <w:highlight w:val="none"/>
        </w:rPr>
        <w:t>。当响应文件的商务内容低</w:t>
      </w:r>
      <w:r>
        <w:rPr>
          <w:color w:val="auto"/>
          <w:spacing w:val="9"/>
          <w:sz w:val="20"/>
          <w:szCs w:val="20"/>
          <w:highlight w:val="none"/>
        </w:rPr>
        <w:t>于竞争性磋商文件要求时，竞标人应当如实写</w:t>
      </w:r>
      <w:r>
        <w:rPr>
          <w:color w:val="auto"/>
          <w:spacing w:val="8"/>
          <w:sz w:val="20"/>
          <w:szCs w:val="20"/>
          <w:highlight w:val="none"/>
        </w:rPr>
        <w:t>明</w:t>
      </w:r>
      <w:r>
        <w:rPr>
          <w:rFonts w:hint="eastAsia"/>
          <w:color w:val="auto"/>
          <w:spacing w:val="8"/>
          <w:sz w:val="20"/>
          <w:szCs w:val="20"/>
          <w:highlight w:val="none"/>
          <w:lang w:eastAsia="zh-CN"/>
        </w:rPr>
        <w:t>“</w:t>
      </w:r>
      <w:r>
        <w:rPr>
          <w:color w:val="auto"/>
          <w:spacing w:val="8"/>
          <w:sz w:val="20"/>
          <w:szCs w:val="20"/>
          <w:highlight w:val="none"/>
        </w:rPr>
        <w:t>负偏离</w:t>
      </w:r>
      <w:r>
        <w:rPr>
          <w:color w:val="auto"/>
          <w:spacing w:val="-70"/>
          <w:sz w:val="20"/>
          <w:szCs w:val="20"/>
          <w:highlight w:val="none"/>
        </w:rPr>
        <w:t xml:space="preserve"> </w:t>
      </w:r>
      <w:r>
        <w:rPr>
          <w:rFonts w:hint="eastAsia"/>
          <w:color w:val="auto"/>
          <w:spacing w:val="8"/>
          <w:sz w:val="20"/>
          <w:szCs w:val="20"/>
          <w:highlight w:val="none"/>
          <w:lang w:eastAsia="zh-CN"/>
        </w:rPr>
        <w:t>”</w:t>
      </w:r>
      <w:r>
        <w:rPr>
          <w:color w:val="auto"/>
          <w:spacing w:val="8"/>
          <w:sz w:val="20"/>
          <w:szCs w:val="20"/>
          <w:highlight w:val="none"/>
        </w:rPr>
        <w:t>，否则视为虚假应标。</w:t>
      </w:r>
    </w:p>
    <w:p w14:paraId="68087F2E">
      <w:pPr>
        <w:pStyle w:val="10"/>
        <w:spacing w:before="152" w:line="228" w:lineRule="auto"/>
        <w:ind w:left="5"/>
        <w:rPr>
          <w:color w:val="auto"/>
          <w:sz w:val="20"/>
          <w:szCs w:val="20"/>
          <w:highlight w:val="none"/>
        </w:rPr>
      </w:pPr>
      <w:r>
        <w:rPr>
          <w:color w:val="auto"/>
          <w:spacing w:val="9"/>
          <w:sz w:val="20"/>
          <w:szCs w:val="20"/>
          <w:highlight w:val="none"/>
        </w:rPr>
        <w:t>3.表格内容均需按要求填写，不得留空，否则按竞</w:t>
      </w:r>
      <w:r>
        <w:rPr>
          <w:color w:val="auto"/>
          <w:spacing w:val="8"/>
          <w:sz w:val="20"/>
          <w:szCs w:val="20"/>
          <w:highlight w:val="none"/>
        </w:rPr>
        <w:t>标无效处理。</w:t>
      </w:r>
    </w:p>
    <w:p w14:paraId="406E0BE3">
      <w:pPr>
        <w:pStyle w:val="10"/>
        <w:spacing w:before="153" w:line="299" w:lineRule="auto"/>
        <w:rPr>
          <w:color w:val="auto"/>
          <w:sz w:val="20"/>
          <w:szCs w:val="20"/>
          <w:highlight w:val="none"/>
        </w:rPr>
      </w:pPr>
      <w:r>
        <w:rPr>
          <w:color w:val="auto"/>
          <w:spacing w:val="9"/>
          <w:sz w:val="20"/>
          <w:szCs w:val="20"/>
          <w:highlight w:val="none"/>
        </w:rPr>
        <w:t>4.采购需求中带</w:t>
      </w:r>
      <w:r>
        <w:rPr>
          <w:rFonts w:hint="eastAsia"/>
          <w:color w:val="auto"/>
          <w:spacing w:val="8"/>
          <w:sz w:val="20"/>
          <w:szCs w:val="20"/>
          <w:highlight w:val="none"/>
          <w:lang w:eastAsia="zh-CN"/>
        </w:rPr>
        <w:t>“</w:t>
      </w:r>
      <w:r>
        <w:rPr>
          <w:color w:val="auto"/>
          <w:spacing w:val="9"/>
          <w:sz w:val="20"/>
          <w:szCs w:val="20"/>
          <w:highlight w:val="none"/>
        </w:rPr>
        <w:t>▲</w:t>
      </w:r>
      <w:r>
        <w:rPr>
          <w:rFonts w:hint="eastAsia"/>
          <w:color w:val="auto"/>
          <w:spacing w:val="8"/>
          <w:sz w:val="20"/>
          <w:szCs w:val="20"/>
          <w:highlight w:val="none"/>
          <w:lang w:eastAsia="zh-CN"/>
        </w:rPr>
        <w:t>”</w:t>
      </w:r>
      <w:r>
        <w:rPr>
          <w:color w:val="auto"/>
          <w:spacing w:val="9"/>
          <w:sz w:val="20"/>
          <w:szCs w:val="20"/>
          <w:highlight w:val="none"/>
        </w:rPr>
        <w:t>及</w:t>
      </w:r>
      <w:r>
        <w:rPr>
          <w:rFonts w:hint="eastAsia"/>
          <w:color w:val="auto"/>
          <w:spacing w:val="8"/>
          <w:sz w:val="20"/>
          <w:szCs w:val="20"/>
          <w:highlight w:val="none"/>
          <w:lang w:eastAsia="zh-CN"/>
        </w:rPr>
        <w:t>“</w:t>
      </w:r>
      <w:r>
        <w:rPr>
          <w:color w:val="auto"/>
          <w:spacing w:val="9"/>
          <w:sz w:val="20"/>
          <w:szCs w:val="20"/>
          <w:highlight w:val="none"/>
        </w:rPr>
        <w:t>★</w:t>
      </w:r>
      <w:r>
        <w:rPr>
          <w:rFonts w:hint="eastAsia"/>
          <w:color w:val="auto"/>
          <w:spacing w:val="8"/>
          <w:sz w:val="20"/>
          <w:szCs w:val="20"/>
          <w:highlight w:val="none"/>
          <w:lang w:eastAsia="zh-CN"/>
        </w:rPr>
        <w:t>”</w:t>
      </w:r>
      <w:r>
        <w:rPr>
          <w:color w:val="auto"/>
          <w:spacing w:val="9"/>
          <w:sz w:val="20"/>
          <w:szCs w:val="20"/>
          <w:highlight w:val="none"/>
        </w:rPr>
        <w:t>的条款，也要分别在本表</w:t>
      </w:r>
      <w:r>
        <w:rPr>
          <w:rFonts w:hint="eastAsia"/>
          <w:color w:val="auto"/>
          <w:spacing w:val="8"/>
          <w:sz w:val="20"/>
          <w:szCs w:val="20"/>
          <w:highlight w:val="none"/>
          <w:lang w:eastAsia="zh-CN"/>
        </w:rPr>
        <w:t>“</w:t>
      </w:r>
      <w:r>
        <w:rPr>
          <w:color w:val="auto"/>
          <w:spacing w:val="9"/>
          <w:sz w:val="20"/>
          <w:szCs w:val="20"/>
          <w:highlight w:val="none"/>
        </w:rPr>
        <w:t>竞争性磋商文件的商务需求</w:t>
      </w:r>
      <w:r>
        <w:rPr>
          <w:rFonts w:hint="eastAsia"/>
          <w:color w:val="auto"/>
          <w:spacing w:val="8"/>
          <w:sz w:val="20"/>
          <w:szCs w:val="20"/>
          <w:highlight w:val="none"/>
          <w:lang w:eastAsia="zh-CN"/>
        </w:rPr>
        <w:t>”</w:t>
      </w:r>
      <w:r>
        <w:rPr>
          <w:color w:val="auto"/>
          <w:spacing w:val="8"/>
          <w:sz w:val="20"/>
          <w:szCs w:val="20"/>
          <w:highlight w:val="none"/>
        </w:rPr>
        <w:t>、</w:t>
      </w:r>
      <w:r>
        <w:rPr>
          <w:rFonts w:hint="eastAsia"/>
          <w:color w:val="auto"/>
          <w:spacing w:val="8"/>
          <w:sz w:val="20"/>
          <w:szCs w:val="20"/>
          <w:highlight w:val="none"/>
          <w:lang w:eastAsia="zh-CN"/>
        </w:rPr>
        <w:t>“</w:t>
      </w:r>
      <w:r>
        <w:rPr>
          <w:color w:val="auto"/>
          <w:spacing w:val="8"/>
          <w:sz w:val="20"/>
          <w:szCs w:val="20"/>
          <w:highlight w:val="none"/>
        </w:rPr>
        <w:t>响应文件承诺的商务条款</w:t>
      </w:r>
      <w:r>
        <w:rPr>
          <w:rFonts w:hint="eastAsia"/>
          <w:color w:val="auto"/>
          <w:spacing w:val="8"/>
          <w:sz w:val="20"/>
          <w:szCs w:val="20"/>
          <w:highlight w:val="none"/>
          <w:lang w:eastAsia="zh-CN"/>
        </w:rPr>
        <w:t>”</w:t>
      </w:r>
      <w:r>
        <w:rPr>
          <w:color w:val="auto"/>
          <w:spacing w:val="8"/>
          <w:sz w:val="20"/>
          <w:szCs w:val="20"/>
          <w:highlight w:val="none"/>
        </w:rPr>
        <w:t>中标记，否则按竞标无效</w:t>
      </w:r>
      <w:r>
        <w:rPr>
          <w:color w:val="auto"/>
          <w:spacing w:val="7"/>
          <w:sz w:val="20"/>
          <w:szCs w:val="20"/>
          <w:highlight w:val="none"/>
        </w:rPr>
        <w:t>处理。</w:t>
      </w:r>
    </w:p>
    <w:p w14:paraId="68206DB9">
      <w:pPr>
        <w:spacing w:line="272" w:lineRule="auto"/>
        <w:rPr>
          <w:rFonts w:ascii="Arial"/>
          <w:color w:val="auto"/>
          <w:sz w:val="21"/>
          <w:highlight w:val="none"/>
        </w:rPr>
      </w:pPr>
    </w:p>
    <w:p w14:paraId="24CB4B44">
      <w:pPr>
        <w:spacing w:line="272" w:lineRule="auto"/>
        <w:rPr>
          <w:rFonts w:ascii="Arial"/>
          <w:color w:val="auto"/>
          <w:sz w:val="21"/>
          <w:highlight w:val="none"/>
        </w:rPr>
      </w:pPr>
    </w:p>
    <w:p w14:paraId="3A32339F">
      <w:pPr>
        <w:spacing w:line="272" w:lineRule="auto"/>
        <w:rPr>
          <w:rFonts w:ascii="Arial"/>
          <w:color w:val="auto"/>
          <w:sz w:val="21"/>
          <w:highlight w:val="none"/>
        </w:rPr>
      </w:pPr>
    </w:p>
    <w:p w14:paraId="11EAF713">
      <w:pPr>
        <w:spacing w:line="272" w:lineRule="auto"/>
        <w:rPr>
          <w:rFonts w:ascii="Arial"/>
          <w:color w:val="auto"/>
          <w:sz w:val="21"/>
          <w:highlight w:val="none"/>
        </w:rPr>
      </w:pPr>
    </w:p>
    <w:p w14:paraId="73E3FB86">
      <w:pPr>
        <w:spacing w:line="272" w:lineRule="auto"/>
        <w:rPr>
          <w:rFonts w:ascii="Arial"/>
          <w:color w:val="auto"/>
          <w:sz w:val="21"/>
          <w:highlight w:val="none"/>
        </w:rPr>
      </w:pPr>
    </w:p>
    <w:p w14:paraId="0E75E6DD">
      <w:pPr>
        <w:pStyle w:val="10"/>
        <w:spacing w:before="79" w:line="219" w:lineRule="auto"/>
        <w:ind w:left="3842"/>
        <w:rPr>
          <w:color w:val="auto"/>
          <w:highlight w:val="none"/>
        </w:rPr>
      </w:pPr>
      <w:r>
        <w:rPr>
          <w:color w:val="auto"/>
          <w:spacing w:val="-1"/>
          <w:highlight w:val="none"/>
        </w:rPr>
        <w:t>供应商名称（电子签章</w:t>
      </w:r>
      <w:r>
        <w:rPr>
          <w:color w:val="auto"/>
          <w:highlight w:val="none"/>
        </w:rPr>
        <w:t>）：</w:t>
      </w:r>
    </w:p>
    <w:p w14:paraId="5F3463B9">
      <w:pPr>
        <w:spacing w:line="500" w:lineRule="exact"/>
        <w:ind w:firstLine="3864" w:firstLineChars="2100"/>
        <w:rPr>
          <w:rFonts w:ascii="宋体" w:hAnsi="宋体" w:cs="宋体"/>
          <w:color w:val="auto"/>
          <w:kern w:val="0"/>
          <w:szCs w:val="21"/>
          <w:highlight w:val="none"/>
        </w:rPr>
      </w:pPr>
      <w:r>
        <w:rPr>
          <w:color w:val="auto"/>
          <w:spacing w:val="-13"/>
          <w:highlight w:val="none"/>
        </w:rPr>
        <w:t>日期：</w:t>
      </w:r>
      <w:r>
        <w:rPr>
          <w:color w:val="auto"/>
          <w:spacing w:val="5"/>
          <w:highlight w:val="none"/>
        </w:rPr>
        <w:t xml:space="preserve">  </w:t>
      </w:r>
      <w:r>
        <w:rPr>
          <w:color w:val="auto"/>
          <w:spacing w:val="-13"/>
          <w:highlight w:val="none"/>
        </w:rPr>
        <w:t>年</w:t>
      </w:r>
      <w:r>
        <w:rPr>
          <w:color w:val="auto"/>
          <w:spacing w:val="8"/>
          <w:highlight w:val="none"/>
        </w:rPr>
        <w:t xml:space="preserve">  </w:t>
      </w:r>
      <w:r>
        <w:rPr>
          <w:color w:val="auto"/>
          <w:spacing w:val="-13"/>
          <w:highlight w:val="none"/>
        </w:rPr>
        <w:t>月</w:t>
      </w:r>
      <w:r>
        <w:rPr>
          <w:color w:val="auto"/>
          <w:spacing w:val="25"/>
          <w:highlight w:val="none"/>
        </w:rPr>
        <w:t xml:space="preserve">  </w:t>
      </w:r>
      <w:r>
        <w:rPr>
          <w:color w:val="auto"/>
          <w:spacing w:val="-13"/>
          <w:highlight w:val="none"/>
        </w:rPr>
        <w:t>日</w:t>
      </w:r>
      <w:r>
        <w:rPr>
          <w:color w:val="auto"/>
          <w:spacing w:val="-13"/>
          <w:highlight w:val="none"/>
        </w:rPr>
        <w:br w:type="textWrapping"/>
      </w:r>
    </w:p>
    <w:p w14:paraId="28CAE78E">
      <w:pPr>
        <w:spacing w:line="500" w:lineRule="exact"/>
        <w:ind w:firstLine="2408" w:firstLineChars="1147"/>
        <w:rPr>
          <w:rFonts w:ascii="宋体" w:hAnsi="宋体" w:cs="宋体"/>
          <w:color w:val="auto"/>
          <w:kern w:val="0"/>
          <w:szCs w:val="21"/>
          <w:highlight w:val="none"/>
        </w:rPr>
      </w:pPr>
    </w:p>
    <w:p w14:paraId="473D1C07">
      <w:pPr>
        <w:spacing w:line="500" w:lineRule="exact"/>
        <w:rPr>
          <w:rFonts w:ascii="宋体" w:hAnsi="宋体" w:cs="宋体"/>
          <w:color w:val="auto"/>
          <w:kern w:val="0"/>
          <w:sz w:val="16"/>
          <w:szCs w:val="16"/>
          <w:highlight w:val="none"/>
        </w:rPr>
      </w:pPr>
    </w:p>
    <w:p w14:paraId="59D342B4">
      <w:pPr>
        <w:pStyle w:val="4"/>
        <w:spacing w:line="500" w:lineRule="exact"/>
        <w:ind w:left="0" w:firstLine="0"/>
        <w:jc w:val="center"/>
        <w:outlineLvl w:val="9"/>
        <w:rPr>
          <w:rFonts w:ascii="宋体" w:hAnsi="宋体" w:cs="宋体"/>
          <w:b/>
          <w:bCs w:val="0"/>
          <w:color w:val="auto"/>
          <w:w w:val="99"/>
          <w:kern w:val="0"/>
          <w:sz w:val="30"/>
          <w:szCs w:val="30"/>
          <w:highlight w:val="none"/>
          <w:lang w:val="en-US"/>
        </w:rPr>
      </w:pPr>
      <w:bookmarkStart w:id="1367" w:name="_Toc207443039"/>
      <w:bookmarkStart w:id="1368" w:name="_Toc267582069"/>
      <w:bookmarkStart w:id="1369" w:name="_Toc455670854"/>
      <w:bookmarkStart w:id="1370" w:name="_Toc369505634"/>
      <w:bookmarkStart w:id="1371" w:name="_Toc26408"/>
      <w:bookmarkStart w:id="1372" w:name="_Toc389146003"/>
      <w:bookmarkStart w:id="1373" w:name="_Toc317079958"/>
      <w:r>
        <w:rPr>
          <w:b/>
          <w:bCs/>
          <w:color w:val="auto"/>
          <w:spacing w:val="-4"/>
          <w:sz w:val="30"/>
          <w:szCs w:val="30"/>
          <w:highlight w:val="none"/>
        </w:rPr>
        <w:t>技术需求偏离表</w:t>
      </w:r>
    </w:p>
    <w:bookmarkEnd w:id="1367"/>
    <w:bookmarkEnd w:id="1368"/>
    <w:bookmarkEnd w:id="1369"/>
    <w:bookmarkEnd w:id="1370"/>
    <w:bookmarkEnd w:id="1371"/>
    <w:bookmarkEnd w:id="1372"/>
    <w:bookmarkEnd w:id="1373"/>
    <w:p w14:paraId="7C9D9ACB">
      <w:pPr>
        <w:spacing w:line="500" w:lineRule="exact"/>
        <w:rPr>
          <w:rFonts w:hint="eastAsia"/>
          <w:color w:val="auto"/>
          <w:spacing w:val="-10"/>
          <w:sz w:val="24"/>
          <w:szCs w:val="24"/>
          <w:highlight w:val="none"/>
          <w:u w:val="single"/>
          <w:lang w:val="en-US" w:eastAsia="zh-CN"/>
        </w:rPr>
      </w:pPr>
      <w:r>
        <w:rPr>
          <w:color w:val="auto"/>
          <w:spacing w:val="-10"/>
          <w:sz w:val="24"/>
          <w:szCs w:val="24"/>
          <w:highlight w:val="none"/>
        </w:rPr>
        <w:t>采购项目编号</w:t>
      </w:r>
      <w:r>
        <w:rPr>
          <w:rFonts w:hint="eastAsia"/>
          <w:color w:val="auto"/>
          <w:spacing w:val="-10"/>
          <w:sz w:val="24"/>
          <w:szCs w:val="24"/>
          <w:highlight w:val="none"/>
          <w:lang w:eastAsia="zh-CN"/>
        </w:rPr>
        <w:t>：</w:t>
      </w:r>
      <w:r>
        <w:rPr>
          <w:rFonts w:hint="eastAsia"/>
          <w:color w:val="auto"/>
          <w:spacing w:val="-10"/>
          <w:sz w:val="24"/>
          <w:szCs w:val="24"/>
          <w:highlight w:val="none"/>
          <w:u w:val="single"/>
          <w:lang w:val="en-US" w:eastAsia="zh-CN"/>
        </w:rPr>
        <w:t xml:space="preserve">                  </w:t>
      </w:r>
    </w:p>
    <w:p w14:paraId="562FEEDF">
      <w:pPr>
        <w:pStyle w:val="10"/>
        <w:spacing w:before="180" w:line="219" w:lineRule="auto"/>
        <w:jc w:val="both"/>
        <w:rPr>
          <w:rFonts w:hint="eastAsia"/>
          <w:color w:val="auto"/>
          <w:spacing w:val="-10"/>
          <w:sz w:val="24"/>
          <w:szCs w:val="24"/>
          <w:highlight w:val="none"/>
          <w:u w:val="single"/>
          <w:lang w:val="en-US" w:eastAsia="zh-CN"/>
        </w:rPr>
      </w:pPr>
      <w:r>
        <w:rPr>
          <w:color w:val="auto"/>
          <w:spacing w:val="-10"/>
          <w:sz w:val="24"/>
          <w:szCs w:val="24"/>
          <w:highlight w:val="none"/>
        </w:rPr>
        <w:t>采购项目名称：</w:t>
      </w:r>
      <w:r>
        <w:rPr>
          <w:rFonts w:hint="eastAsia"/>
          <w:color w:val="auto"/>
          <w:spacing w:val="-10"/>
          <w:sz w:val="24"/>
          <w:szCs w:val="24"/>
          <w:highlight w:val="none"/>
          <w:u w:val="single"/>
          <w:lang w:val="en-US" w:eastAsia="zh-CN"/>
        </w:rPr>
        <w:t xml:space="preserve">                 </w:t>
      </w:r>
    </w:p>
    <w:p w14:paraId="1D5EC4BF">
      <w:pPr>
        <w:pStyle w:val="10"/>
        <w:spacing w:before="180" w:line="219" w:lineRule="auto"/>
        <w:jc w:val="both"/>
        <w:rPr>
          <w:rFonts w:hint="default"/>
          <w:color w:val="auto"/>
          <w:spacing w:val="-10"/>
          <w:sz w:val="24"/>
          <w:szCs w:val="24"/>
          <w:highlight w:val="none"/>
          <w:u w:val="single"/>
          <w:lang w:val="en-US" w:eastAsia="zh-CN"/>
        </w:rPr>
      </w:pPr>
    </w:p>
    <w:tbl>
      <w:tblPr>
        <w:tblStyle w:val="58"/>
        <w:tblW w:w="8722" w:type="dxa"/>
        <w:tblInd w:w="2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3593"/>
        <w:gridCol w:w="3176"/>
        <w:gridCol w:w="1265"/>
      </w:tblGrid>
      <w:tr w14:paraId="6DB78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688" w:type="dxa"/>
            <w:textDirection w:val="tbRlV"/>
            <w:vAlign w:val="top"/>
          </w:tcPr>
          <w:p w14:paraId="0AA50258">
            <w:pPr>
              <w:pStyle w:val="57"/>
              <w:spacing w:before="220" w:line="205" w:lineRule="auto"/>
              <w:ind w:left="70"/>
              <w:rPr>
                <w:color w:val="auto"/>
                <w:sz w:val="24"/>
                <w:szCs w:val="24"/>
                <w:highlight w:val="none"/>
              </w:rPr>
            </w:pPr>
            <w:r>
              <w:rPr>
                <w:color w:val="auto"/>
                <w:sz w:val="24"/>
                <w:szCs w:val="24"/>
                <w:highlight w:val="none"/>
              </w:rPr>
              <w:t>项</w:t>
            </w:r>
            <w:r>
              <w:rPr>
                <w:color w:val="auto"/>
                <w:spacing w:val="-20"/>
                <w:sz w:val="24"/>
                <w:szCs w:val="24"/>
                <w:highlight w:val="none"/>
              </w:rPr>
              <w:t xml:space="preserve"> </w:t>
            </w:r>
            <w:r>
              <w:rPr>
                <w:color w:val="auto"/>
                <w:sz w:val="24"/>
                <w:szCs w:val="24"/>
                <w:highlight w:val="none"/>
              </w:rPr>
              <w:t>号</w:t>
            </w:r>
          </w:p>
        </w:tc>
        <w:tc>
          <w:tcPr>
            <w:tcW w:w="3593" w:type="dxa"/>
            <w:vAlign w:val="top"/>
          </w:tcPr>
          <w:p w14:paraId="1FF72011">
            <w:pPr>
              <w:pStyle w:val="57"/>
              <w:spacing w:before="241" w:line="220" w:lineRule="auto"/>
              <w:ind w:left="485"/>
              <w:rPr>
                <w:color w:val="auto"/>
                <w:sz w:val="24"/>
                <w:szCs w:val="24"/>
                <w:highlight w:val="none"/>
              </w:rPr>
            </w:pPr>
            <w:r>
              <w:rPr>
                <w:color w:val="auto"/>
                <w:spacing w:val="-2"/>
                <w:sz w:val="24"/>
                <w:szCs w:val="24"/>
                <w:highlight w:val="none"/>
              </w:rPr>
              <w:t>竞争性磋商文件技术需求</w:t>
            </w:r>
          </w:p>
        </w:tc>
        <w:tc>
          <w:tcPr>
            <w:tcW w:w="3176" w:type="dxa"/>
            <w:vAlign w:val="top"/>
          </w:tcPr>
          <w:p w14:paraId="5875B383">
            <w:pPr>
              <w:pStyle w:val="57"/>
              <w:spacing w:before="241" w:line="220" w:lineRule="auto"/>
              <w:ind w:left="407"/>
              <w:rPr>
                <w:color w:val="auto"/>
                <w:sz w:val="24"/>
                <w:szCs w:val="24"/>
                <w:highlight w:val="none"/>
              </w:rPr>
            </w:pPr>
            <w:r>
              <w:rPr>
                <w:color w:val="auto"/>
                <w:spacing w:val="-3"/>
                <w:sz w:val="24"/>
                <w:szCs w:val="24"/>
                <w:highlight w:val="none"/>
              </w:rPr>
              <w:t>响应文件技术要求承诺</w:t>
            </w:r>
          </w:p>
        </w:tc>
        <w:tc>
          <w:tcPr>
            <w:tcW w:w="1265" w:type="dxa"/>
            <w:vAlign w:val="top"/>
          </w:tcPr>
          <w:p w14:paraId="5953C959">
            <w:pPr>
              <w:pStyle w:val="57"/>
              <w:spacing w:before="241" w:line="220" w:lineRule="auto"/>
              <w:ind w:left="159"/>
              <w:rPr>
                <w:color w:val="auto"/>
                <w:sz w:val="24"/>
                <w:szCs w:val="24"/>
                <w:highlight w:val="none"/>
              </w:rPr>
            </w:pPr>
            <w:r>
              <w:rPr>
                <w:color w:val="auto"/>
                <w:spacing w:val="-3"/>
                <w:sz w:val="24"/>
                <w:szCs w:val="24"/>
                <w:highlight w:val="none"/>
              </w:rPr>
              <w:t>偏离说明</w:t>
            </w:r>
          </w:p>
        </w:tc>
      </w:tr>
      <w:tr w14:paraId="2B3B8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688" w:type="dxa"/>
            <w:vAlign w:val="top"/>
          </w:tcPr>
          <w:p w14:paraId="466FFBD2">
            <w:pPr>
              <w:pStyle w:val="57"/>
              <w:spacing w:before="159" w:line="185" w:lineRule="exact"/>
              <w:ind w:left="235"/>
              <w:rPr>
                <w:color w:val="auto"/>
                <w:sz w:val="24"/>
                <w:szCs w:val="24"/>
                <w:highlight w:val="none"/>
              </w:rPr>
            </w:pPr>
            <w:r>
              <w:rPr>
                <w:color w:val="auto"/>
                <w:position w:val="-5"/>
                <w:sz w:val="24"/>
                <w:szCs w:val="24"/>
                <w:highlight w:val="none"/>
              </w:rPr>
              <w:t>一</w:t>
            </w:r>
          </w:p>
        </w:tc>
        <w:tc>
          <w:tcPr>
            <w:tcW w:w="3593" w:type="dxa"/>
            <w:vAlign w:val="top"/>
          </w:tcPr>
          <w:p w14:paraId="296D2A78">
            <w:pPr>
              <w:pStyle w:val="57"/>
              <w:spacing w:before="69" w:line="377" w:lineRule="exact"/>
              <w:ind w:left="247"/>
              <w:rPr>
                <w:color w:val="auto"/>
                <w:sz w:val="24"/>
                <w:szCs w:val="24"/>
                <w:highlight w:val="none"/>
              </w:rPr>
            </w:pPr>
            <w:r>
              <w:rPr>
                <w:color w:val="auto"/>
                <w:spacing w:val="-13"/>
                <w:position w:val="3"/>
                <w:sz w:val="24"/>
                <w:szCs w:val="24"/>
                <w:highlight w:val="none"/>
              </w:rPr>
              <w:t>……</w:t>
            </w:r>
          </w:p>
        </w:tc>
        <w:tc>
          <w:tcPr>
            <w:tcW w:w="3176" w:type="dxa"/>
            <w:vAlign w:val="top"/>
          </w:tcPr>
          <w:p w14:paraId="47474549">
            <w:pPr>
              <w:pStyle w:val="57"/>
              <w:spacing w:before="69" w:line="377" w:lineRule="exact"/>
              <w:ind w:left="250"/>
              <w:rPr>
                <w:color w:val="auto"/>
                <w:sz w:val="24"/>
                <w:szCs w:val="24"/>
                <w:highlight w:val="none"/>
              </w:rPr>
            </w:pPr>
            <w:r>
              <w:rPr>
                <w:color w:val="auto"/>
                <w:spacing w:val="-13"/>
                <w:position w:val="3"/>
                <w:sz w:val="24"/>
                <w:szCs w:val="24"/>
                <w:highlight w:val="none"/>
              </w:rPr>
              <w:t>……</w:t>
            </w:r>
          </w:p>
        </w:tc>
        <w:tc>
          <w:tcPr>
            <w:tcW w:w="1265" w:type="dxa"/>
            <w:vAlign w:val="top"/>
          </w:tcPr>
          <w:p w14:paraId="7A4AA620">
            <w:pPr>
              <w:rPr>
                <w:rFonts w:ascii="Arial"/>
                <w:color w:val="auto"/>
                <w:sz w:val="24"/>
                <w:szCs w:val="24"/>
                <w:highlight w:val="none"/>
              </w:rPr>
            </w:pPr>
          </w:p>
        </w:tc>
      </w:tr>
      <w:tr w14:paraId="35BF6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688" w:type="dxa"/>
            <w:vAlign w:val="top"/>
          </w:tcPr>
          <w:p w14:paraId="0A93A17C">
            <w:pPr>
              <w:pStyle w:val="57"/>
              <w:spacing w:before="248" w:line="99" w:lineRule="exact"/>
              <w:ind w:left="123"/>
              <w:rPr>
                <w:color w:val="auto"/>
                <w:sz w:val="24"/>
                <w:szCs w:val="24"/>
                <w:highlight w:val="none"/>
              </w:rPr>
            </w:pPr>
            <w:r>
              <w:rPr>
                <w:color w:val="auto"/>
                <w:position w:val="1"/>
                <w:sz w:val="24"/>
                <w:szCs w:val="24"/>
                <w:highlight w:val="none"/>
              </w:rPr>
              <w:t>...</w:t>
            </w:r>
          </w:p>
        </w:tc>
        <w:tc>
          <w:tcPr>
            <w:tcW w:w="3593" w:type="dxa"/>
            <w:vAlign w:val="top"/>
          </w:tcPr>
          <w:p w14:paraId="2CA03243">
            <w:pPr>
              <w:pStyle w:val="57"/>
              <w:spacing w:before="71" w:line="377" w:lineRule="exact"/>
              <w:ind w:left="127"/>
              <w:rPr>
                <w:color w:val="auto"/>
                <w:sz w:val="24"/>
                <w:szCs w:val="24"/>
                <w:highlight w:val="none"/>
              </w:rPr>
            </w:pPr>
            <w:r>
              <w:rPr>
                <w:color w:val="auto"/>
                <w:spacing w:val="-13"/>
                <w:position w:val="3"/>
                <w:sz w:val="24"/>
                <w:szCs w:val="24"/>
                <w:highlight w:val="none"/>
              </w:rPr>
              <w:t>……</w:t>
            </w:r>
          </w:p>
        </w:tc>
        <w:tc>
          <w:tcPr>
            <w:tcW w:w="3176" w:type="dxa"/>
            <w:vAlign w:val="top"/>
          </w:tcPr>
          <w:p w14:paraId="0E6DC48B">
            <w:pPr>
              <w:pStyle w:val="57"/>
              <w:spacing w:before="71" w:line="377" w:lineRule="exact"/>
              <w:ind w:left="130"/>
              <w:rPr>
                <w:color w:val="auto"/>
                <w:sz w:val="24"/>
                <w:szCs w:val="24"/>
                <w:highlight w:val="none"/>
              </w:rPr>
            </w:pPr>
            <w:r>
              <w:rPr>
                <w:color w:val="auto"/>
                <w:spacing w:val="-13"/>
                <w:position w:val="3"/>
                <w:sz w:val="24"/>
                <w:szCs w:val="24"/>
                <w:highlight w:val="none"/>
              </w:rPr>
              <w:t>……</w:t>
            </w:r>
          </w:p>
        </w:tc>
        <w:tc>
          <w:tcPr>
            <w:tcW w:w="1265" w:type="dxa"/>
            <w:vAlign w:val="top"/>
          </w:tcPr>
          <w:p w14:paraId="4919A725">
            <w:pPr>
              <w:rPr>
                <w:rFonts w:ascii="Arial"/>
                <w:color w:val="auto"/>
                <w:sz w:val="24"/>
                <w:szCs w:val="24"/>
                <w:highlight w:val="none"/>
              </w:rPr>
            </w:pPr>
          </w:p>
        </w:tc>
      </w:tr>
    </w:tbl>
    <w:p w14:paraId="2001C241">
      <w:pPr>
        <w:pStyle w:val="10"/>
        <w:spacing w:before="109" w:line="231" w:lineRule="auto"/>
        <w:ind w:left="420"/>
        <w:rPr>
          <w:color w:val="auto"/>
          <w:sz w:val="21"/>
          <w:szCs w:val="21"/>
          <w:highlight w:val="none"/>
        </w:rPr>
      </w:pPr>
      <w:r>
        <w:rPr>
          <w:color w:val="auto"/>
          <w:sz w:val="21"/>
          <w:szCs w:val="21"/>
          <w:highlight w:val="none"/>
        </w:rPr>
        <w:t>注：</w:t>
      </w:r>
    </w:p>
    <w:p w14:paraId="48974705">
      <w:pPr>
        <w:pStyle w:val="10"/>
        <w:spacing w:before="111" w:line="280" w:lineRule="auto"/>
        <w:ind w:right="203" w:firstLine="435"/>
        <w:rPr>
          <w:color w:val="auto"/>
          <w:sz w:val="21"/>
          <w:szCs w:val="21"/>
          <w:highlight w:val="none"/>
        </w:rPr>
      </w:pPr>
      <w:r>
        <w:rPr>
          <w:color w:val="auto"/>
          <w:spacing w:val="9"/>
          <w:sz w:val="21"/>
          <w:szCs w:val="21"/>
          <w:highlight w:val="none"/>
        </w:rPr>
        <w:t>1.说明：应对照磋商文件</w:t>
      </w:r>
      <w:r>
        <w:rPr>
          <w:rFonts w:hint="eastAsia"/>
          <w:color w:val="auto"/>
          <w:spacing w:val="8"/>
          <w:sz w:val="20"/>
          <w:szCs w:val="20"/>
          <w:highlight w:val="none"/>
          <w:lang w:eastAsia="zh-CN"/>
        </w:rPr>
        <w:t>“</w:t>
      </w:r>
      <w:r>
        <w:rPr>
          <w:color w:val="auto"/>
          <w:spacing w:val="9"/>
          <w:sz w:val="21"/>
          <w:szCs w:val="21"/>
          <w:highlight w:val="none"/>
        </w:rPr>
        <w:t>第二章</w:t>
      </w:r>
      <w:r>
        <w:rPr>
          <w:color w:val="auto"/>
          <w:spacing w:val="-62"/>
          <w:sz w:val="21"/>
          <w:szCs w:val="21"/>
          <w:highlight w:val="none"/>
        </w:rPr>
        <w:t xml:space="preserve"> </w:t>
      </w:r>
      <w:r>
        <w:rPr>
          <w:color w:val="auto"/>
          <w:spacing w:val="-62"/>
          <w:sz w:val="20"/>
          <w:szCs w:val="20"/>
          <w:highlight w:val="none"/>
        </w:rPr>
        <w:t xml:space="preserve"> </w:t>
      </w:r>
      <w:r>
        <w:rPr>
          <w:rFonts w:hint="eastAsia"/>
          <w:color w:val="auto"/>
          <w:spacing w:val="8"/>
          <w:sz w:val="20"/>
          <w:szCs w:val="20"/>
          <w:highlight w:val="none"/>
          <w:lang w:eastAsia="zh-CN"/>
        </w:rPr>
        <w:t>”</w:t>
      </w:r>
      <w:r>
        <w:rPr>
          <w:color w:val="auto"/>
          <w:spacing w:val="9"/>
          <w:sz w:val="21"/>
          <w:szCs w:val="21"/>
          <w:highlight w:val="none"/>
        </w:rPr>
        <w:t>中</w:t>
      </w:r>
      <w:r>
        <w:rPr>
          <w:rFonts w:hint="eastAsia"/>
          <w:color w:val="auto"/>
          <w:spacing w:val="8"/>
          <w:sz w:val="20"/>
          <w:szCs w:val="20"/>
          <w:highlight w:val="none"/>
          <w:lang w:eastAsia="zh-CN"/>
        </w:rPr>
        <w:t>“</w:t>
      </w:r>
      <w:r>
        <w:rPr>
          <w:color w:val="auto"/>
          <w:spacing w:val="9"/>
          <w:sz w:val="21"/>
          <w:szCs w:val="21"/>
          <w:highlight w:val="none"/>
        </w:rPr>
        <w:t>采购需求</w:t>
      </w:r>
      <w:r>
        <w:rPr>
          <w:color w:val="auto"/>
          <w:spacing w:val="-62"/>
          <w:sz w:val="21"/>
          <w:szCs w:val="21"/>
          <w:highlight w:val="none"/>
        </w:rPr>
        <w:t xml:space="preserve"> </w:t>
      </w:r>
      <w:r>
        <w:rPr>
          <w:color w:val="auto"/>
          <w:spacing w:val="-62"/>
          <w:sz w:val="20"/>
          <w:szCs w:val="20"/>
          <w:highlight w:val="none"/>
        </w:rPr>
        <w:t xml:space="preserve"> </w:t>
      </w:r>
      <w:r>
        <w:rPr>
          <w:rFonts w:hint="eastAsia"/>
          <w:color w:val="auto"/>
          <w:spacing w:val="8"/>
          <w:sz w:val="20"/>
          <w:szCs w:val="20"/>
          <w:highlight w:val="none"/>
          <w:lang w:eastAsia="zh-CN"/>
        </w:rPr>
        <w:t>”</w:t>
      </w:r>
      <w:r>
        <w:rPr>
          <w:color w:val="auto"/>
          <w:spacing w:val="9"/>
          <w:sz w:val="21"/>
          <w:szCs w:val="21"/>
          <w:highlight w:val="none"/>
        </w:rPr>
        <w:t>的技术要求条款逐条作出明确响应，并作出</w:t>
      </w:r>
      <w:r>
        <w:rPr>
          <w:color w:val="auto"/>
          <w:spacing w:val="5"/>
          <w:sz w:val="21"/>
          <w:szCs w:val="21"/>
          <w:highlight w:val="none"/>
        </w:rPr>
        <w:t>偏离说明。</w:t>
      </w:r>
    </w:p>
    <w:p w14:paraId="3670EC2B">
      <w:pPr>
        <w:pStyle w:val="10"/>
        <w:spacing w:before="114" w:line="296" w:lineRule="auto"/>
        <w:ind w:firstLine="423"/>
        <w:rPr>
          <w:rFonts w:hint="eastAsia" w:eastAsia="宋体"/>
          <w:color w:val="auto"/>
          <w:sz w:val="21"/>
          <w:szCs w:val="21"/>
          <w:highlight w:val="none"/>
          <w:lang w:eastAsia="zh-CN"/>
        </w:rPr>
      </w:pPr>
      <w:r>
        <w:rPr>
          <w:color w:val="auto"/>
          <w:spacing w:val="9"/>
          <w:sz w:val="21"/>
          <w:szCs w:val="21"/>
          <w:highlight w:val="none"/>
        </w:rPr>
        <w:t>2.供应商应根据自身的承诺，对照磋商文件要求，在</w:t>
      </w:r>
      <w:r>
        <w:rPr>
          <w:rFonts w:hint="eastAsia"/>
          <w:color w:val="auto"/>
          <w:spacing w:val="8"/>
          <w:sz w:val="20"/>
          <w:szCs w:val="20"/>
          <w:highlight w:val="none"/>
          <w:lang w:eastAsia="zh-CN"/>
        </w:rPr>
        <w:t>“</w:t>
      </w:r>
      <w:r>
        <w:rPr>
          <w:color w:val="auto"/>
          <w:spacing w:val="9"/>
          <w:sz w:val="21"/>
          <w:szCs w:val="21"/>
          <w:highlight w:val="none"/>
        </w:rPr>
        <w:t>偏离说明</w:t>
      </w:r>
      <w:r>
        <w:rPr>
          <w:color w:val="auto"/>
          <w:spacing w:val="-70"/>
          <w:sz w:val="21"/>
          <w:szCs w:val="21"/>
          <w:highlight w:val="none"/>
        </w:rPr>
        <w:t xml:space="preserve"> </w:t>
      </w:r>
      <w:r>
        <w:rPr>
          <w:color w:val="auto"/>
          <w:spacing w:val="-62"/>
          <w:sz w:val="21"/>
          <w:szCs w:val="21"/>
          <w:highlight w:val="none"/>
        </w:rPr>
        <w:t xml:space="preserve"> </w:t>
      </w:r>
      <w:r>
        <w:rPr>
          <w:color w:val="auto"/>
          <w:spacing w:val="-62"/>
          <w:sz w:val="20"/>
          <w:szCs w:val="20"/>
          <w:highlight w:val="none"/>
        </w:rPr>
        <w:t xml:space="preserve"> </w:t>
      </w:r>
      <w:r>
        <w:rPr>
          <w:rFonts w:hint="eastAsia"/>
          <w:color w:val="auto"/>
          <w:spacing w:val="8"/>
          <w:sz w:val="20"/>
          <w:szCs w:val="20"/>
          <w:highlight w:val="none"/>
          <w:lang w:eastAsia="zh-CN"/>
        </w:rPr>
        <w:t>”</w:t>
      </w:r>
      <w:r>
        <w:rPr>
          <w:color w:val="auto"/>
          <w:spacing w:val="9"/>
          <w:sz w:val="21"/>
          <w:szCs w:val="21"/>
          <w:highlight w:val="none"/>
        </w:rPr>
        <w:t>中注明</w:t>
      </w:r>
      <w:r>
        <w:rPr>
          <w:rFonts w:hint="eastAsia"/>
          <w:color w:val="auto"/>
          <w:spacing w:val="8"/>
          <w:sz w:val="20"/>
          <w:szCs w:val="20"/>
          <w:highlight w:val="none"/>
          <w:lang w:eastAsia="zh-CN"/>
        </w:rPr>
        <w:t>“</w:t>
      </w:r>
      <w:r>
        <w:rPr>
          <w:color w:val="auto"/>
          <w:spacing w:val="8"/>
          <w:sz w:val="21"/>
          <w:szCs w:val="21"/>
          <w:highlight w:val="none"/>
        </w:rPr>
        <w:t>正偏离</w:t>
      </w:r>
      <w:r>
        <w:rPr>
          <w:color w:val="auto"/>
          <w:spacing w:val="-62"/>
          <w:sz w:val="21"/>
          <w:szCs w:val="21"/>
          <w:highlight w:val="none"/>
        </w:rPr>
        <w:t xml:space="preserve"> </w:t>
      </w:r>
      <w:r>
        <w:rPr>
          <w:color w:val="auto"/>
          <w:spacing w:val="-62"/>
          <w:sz w:val="20"/>
          <w:szCs w:val="20"/>
          <w:highlight w:val="none"/>
        </w:rPr>
        <w:t xml:space="preserve"> </w:t>
      </w:r>
      <w:r>
        <w:rPr>
          <w:rFonts w:hint="eastAsia"/>
          <w:color w:val="auto"/>
          <w:spacing w:val="8"/>
          <w:sz w:val="20"/>
          <w:szCs w:val="20"/>
          <w:highlight w:val="none"/>
          <w:lang w:eastAsia="zh-CN"/>
        </w:rPr>
        <w:t>”</w:t>
      </w:r>
      <w:r>
        <w:rPr>
          <w:color w:val="auto"/>
          <w:spacing w:val="8"/>
          <w:sz w:val="21"/>
          <w:szCs w:val="21"/>
          <w:highlight w:val="none"/>
        </w:rPr>
        <w:t>、</w:t>
      </w:r>
      <w:r>
        <w:rPr>
          <w:rFonts w:hint="eastAsia"/>
          <w:color w:val="auto"/>
          <w:spacing w:val="8"/>
          <w:sz w:val="20"/>
          <w:szCs w:val="20"/>
          <w:highlight w:val="none"/>
          <w:lang w:eastAsia="zh-CN"/>
        </w:rPr>
        <w:t>“</w:t>
      </w:r>
      <w:r>
        <w:rPr>
          <w:color w:val="auto"/>
          <w:spacing w:val="8"/>
          <w:sz w:val="21"/>
          <w:szCs w:val="21"/>
          <w:highlight w:val="none"/>
        </w:rPr>
        <w:t>负偏离</w:t>
      </w:r>
      <w:r>
        <w:rPr>
          <w:color w:val="auto"/>
          <w:spacing w:val="-73"/>
          <w:sz w:val="21"/>
          <w:szCs w:val="21"/>
          <w:highlight w:val="none"/>
        </w:rPr>
        <w:t xml:space="preserve"> </w:t>
      </w:r>
      <w:r>
        <w:rPr>
          <w:color w:val="auto"/>
          <w:spacing w:val="-62"/>
          <w:sz w:val="21"/>
          <w:szCs w:val="21"/>
          <w:highlight w:val="none"/>
        </w:rPr>
        <w:t xml:space="preserve"> </w:t>
      </w:r>
      <w:r>
        <w:rPr>
          <w:color w:val="auto"/>
          <w:spacing w:val="-62"/>
          <w:sz w:val="20"/>
          <w:szCs w:val="20"/>
          <w:highlight w:val="none"/>
        </w:rPr>
        <w:t xml:space="preserve"> </w:t>
      </w:r>
      <w:r>
        <w:rPr>
          <w:rFonts w:hint="eastAsia"/>
          <w:color w:val="auto"/>
          <w:spacing w:val="8"/>
          <w:sz w:val="20"/>
          <w:szCs w:val="20"/>
          <w:highlight w:val="none"/>
          <w:lang w:eastAsia="zh-CN"/>
        </w:rPr>
        <w:t>”</w:t>
      </w:r>
      <w:r>
        <w:rPr>
          <w:color w:val="auto"/>
          <w:spacing w:val="6"/>
          <w:sz w:val="21"/>
          <w:szCs w:val="21"/>
          <w:highlight w:val="none"/>
        </w:rPr>
        <w:t>或者</w:t>
      </w:r>
      <w:r>
        <w:rPr>
          <w:rFonts w:hint="eastAsia"/>
          <w:color w:val="auto"/>
          <w:spacing w:val="8"/>
          <w:sz w:val="20"/>
          <w:szCs w:val="20"/>
          <w:highlight w:val="none"/>
          <w:lang w:eastAsia="zh-CN"/>
        </w:rPr>
        <w:t>“</w:t>
      </w:r>
      <w:r>
        <w:rPr>
          <w:color w:val="auto"/>
          <w:spacing w:val="6"/>
          <w:sz w:val="21"/>
          <w:szCs w:val="21"/>
          <w:highlight w:val="none"/>
        </w:rPr>
        <w:t>无偏离</w:t>
      </w:r>
      <w:r>
        <w:rPr>
          <w:color w:val="auto"/>
          <w:spacing w:val="-62"/>
          <w:sz w:val="21"/>
          <w:szCs w:val="21"/>
          <w:highlight w:val="none"/>
        </w:rPr>
        <w:t xml:space="preserve"> </w:t>
      </w:r>
      <w:r>
        <w:rPr>
          <w:color w:val="auto"/>
          <w:spacing w:val="-62"/>
          <w:sz w:val="20"/>
          <w:szCs w:val="20"/>
          <w:highlight w:val="none"/>
        </w:rPr>
        <w:t xml:space="preserve"> </w:t>
      </w:r>
      <w:r>
        <w:rPr>
          <w:rFonts w:hint="eastAsia"/>
          <w:color w:val="auto"/>
          <w:spacing w:val="8"/>
          <w:sz w:val="20"/>
          <w:szCs w:val="20"/>
          <w:highlight w:val="none"/>
          <w:lang w:eastAsia="zh-CN"/>
        </w:rPr>
        <w:t>”</w:t>
      </w:r>
      <w:r>
        <w:rPr>
          <w:color w:val="auto"/>
          <w:spacing w:val="6"/>
          <w:sz w:val="21"/>
          <w:szCs w:val="21"/>
          <w:highlight w:val="none"/>
        </w:rPr>
        <w:t>。既不属于</w:t>
      </w:r>
      <w:r>
        <w:rPr>
          <w:rFonts w:hint="eastAsia"/>
          <w:color w:val="auto"/>
          <w:spacing w:val="8"/>
          <w:sz w:val="20"/>
          <w:szCs w:val="20"/>
          <w:highlight w:val="none"/>
          <w:lang w:eastAsia="zh-CN"/>
        </w:rPr>
        <w:t>“</w:t>
      </w:r>
      <w:r>
        <w:rPr>
          <w:color w:val="auto"/>
          <w:spacing w:val="6"/>
          <w:sz w:val="21"/>
          <w:szCs w:val="21"/>
          <w:highlight w:val="none"/>
        </w:rPr>
        <w:t>正偏离</w:t>
      </w:r>
      <w:r>
        <w:rPr>
          <w:color w:val="auto"/>
          <w:spacing w:val="-73"/>
          <w:sz w:val="21"/>
          <w:szCs w:val="21"/>
          <w:highlight w:val="none"/>
        </w:rPr>
        <w:t xml:space="preserve"> </w:t>
      </w:r>
      <w:r>
        <w:rPr>
          <w:color w:val="auto"/>
          <w:spacing w:val="-62"/>
          <w:sz w:val="21"/>
          <w:szCs w:val="21"/>
          <w:highlight w:val="none"/>
        </w:rPr>
        <w:t xml:space="preserve"> </w:t>
      </w:r>
      <w:r>
        <w:rPr>
          <w:color w:val="auto"/>
          <w:spacing w:val="-62"/>
          <w:sz w:val="20"/>
          <w:szCs w:val="20"/>
          <w:highlight w:val="none"/>
        </w:rPr>
        <w:t xml:space="preserve"> </w:t>
      </w:r>
      <w:r>
        <w:rPr>
          <w:rFonts w:hint="eastAsia"/>
          <w:color w:val="auto"/>
          <w:spacing w:val="8"/>
          <w:sz w:val="20"/>
          <w:szCs w:val="20"/>
          <w:highlight w:val="none"/>
          <w:lang w:eastAsia="zh-CN"/>
        </w:rPr>
        <w:t>”</w:t>
      </w:r>
      <w:r>
        <w:rPr>
          <w:color w:val="auto"/>
          <w:spacing w:val="6"/>
          <w:sz w:val="21"/>
          <w:szCs w:val="21"/>
          <w:highlight w:val="none"/>
        </w:rPr>
        <w:t>也不属于</w:t>
      </w:r>
      <w:r>
        <w:rPr>
          <w:rFonts w:hint="eastAsia"/>
          <w:color w:val="auto"/>
          <w:spacing w:val="8"/>
          <w:sz w:val="20"/>
          <w:szCs w:val="20"/>
          <w:highlight w:val="none"/>
          <w:lang w:eastAsia="zh-CN"/>
        </w:rPr>
        <w:t>“</w:t>
      </w:r>
      <w:r>
        <w:rPr>
          <w:color w:val="auto"/>
          <w:spacing w:val="6"/>
          <w:sz w:val="21"/>
          <w:szCs w:val="21"/>
          <w:highlight w:val="none"/>
        </w:rPr>
        <w:t>负偏离</w:t>
      </w:r>
      <w:r>
        <w:rPr>
          <w:color w:val="auto"/>
          <w:spacing w:val="-62"/>
          <w:sz w:val="21"/>
          <w:szCs w:val="21"/>
          <w:highlight w:val="none"/>
        </w:rPr>
        <w:t xml:space="preserve"> </w:t>
      </w:r>
      <w:r>
        <w:rPr>
          <w:color w:val="auto"/>
          <w:spacing w:val="-62"/>
          <w:sz w:val="20"/>
          <w:szCs w:val="20"/>
          <w:highlight w:val="none"/>
        </w:rPr>
        <w:t xml:space="preserve"> </w:t>
      </w:r>
      <w:r>
        <w:rPr>
          <w:rFonts w:hint="eastAsia"/>
          <w:color w:val="auto"/>
          <w:spacing w:val="8"/>
          <w:sz w:val="20"/>
          <w:szCs w:val="20"/>
          <w:highlight w:val="none"/>
          <w:lang w:eastAsia="zh-CN"/>
        </w:rPr>
        <w:t>”</w:t>
      </w:r>
      <w:r>
        <w:rPr>
          <w:color w:val="auto"/>
          <w:spacing w:val="5"/>
          <w:sz w:val="21"/>
          <w:szCs w:val="21"/>
          <w:highlight w:val="none"/>
        </w:rPr>
        <w:t>即为</w:t>
      </w:r>
      <w:r>
        <w:rPr>
          <w:rFonts w:hint="eastAsia"/>
          <w:color w:val="auto"/>
          <w:spacing w:val="8"/>
          <w:sz w:val="20"/>
          <w:szCs w:val="20"/>
          <w:highlight w:val="none"/>
          <w:lang w:eastAsia="zh-CN"/>
        </w:rPr>
        <w:t>“</w:t>
      </w:r>
      <w:r>
        <w:rPr>
          <w:color w:val="auto"/>
          <w:spacing w:val="5"/>
          <w:sz w:val="21"/>
          <w:szCs w:val="21"/>
          <w:highlight w:val="none"/>
        </w:rPr>
        <w:t>无偏离</w:t>
      </w:r>
      <w:r>
        <w:rPr>
          <w:color w:val="auto"/>
          <w:spacing w:val="-62"/>
          <w:sz w:val="21"/>
          <w:szCs w:val="21"/>
          <w:highlight w:val="none"/>
        </w:rPr>
        <w:t xml:space="preserve"> </w:t>
      </w:r>
      <w:r>
        <w:rPr>
          <w:color w:val="auto"/>
          <w:spacing w:val="-62"/>
          <w:sz w:val="20"/>
          <w:szCs w:val="20"/>
          <w:highlight w:val="none"/>
        </w:rPr>
        <w:t xml:space="preserve"> </w:t>
      </w:r>
      <w:r>
        <w:rPr>
          <w:rFonts w:hint="eastAsia"/>
          <w:color w:val="auto"/>
          <w:spacing w:val="8"/>
          <w:sz w:val="20"/>
          <w:szCs w:val="20"/>
          <w:highlight w:val="none"/>
          <w:lang w:eastAsia="zh-CN"/>
        </w:rPr>
        <w:t>”</w:t>
      </w:r>
      <w:r>
        <w:rPr>
          <w:color w:val="auto"/>
          <w:spacing w:val="5"/>
          <w:sz w:val="21"/>
          <w:szCs w:val="21"/>
          <w:highlight w:val="none"/>
        </w:rPr>
        <w:t>。当响应文件的商务内容</w:t>
      </w:r>
      <w:r>
        <w:rPr>
          <w:color w:val="auto"/>
          <w:spacing w:val="9"/>
          <w:sz w:val="21"/>
          <w:szCs w:val="21"/>
          <w:highlight w:val="none"/>
        </w:rPr>
        <w:t>低于竞争性磋商文件要求时，竞标人应当如实写明</w:t>
      </w:r>
      <w:r>
        <w:rPr>
          <w:rFonts w:hint="eastAsia"/>
          <w:color w:val="auto"/>
          <w:spacing w:val="8"/>
          <w:sz w:val="20"/>
          <w:szCs w:val="20"/>
          <w:highlight w:val="none"/>
          <w:lang w:eastAsia="zh-CN"/>
        </w:rPr>
        <w:t>“</w:t>
      </w:r>
      <w:r>
        <w:rPr>
          <w:color w:val="auto"/>
          <w:spacing w:val="9"/>
          <w:sz w:val="21"/>
          <w:szCs w:val="21"/>
          <w:highlight w:val="none"/>
        </w:rPr>
        <w:t>负偏离</w:t>
      </w:r>
      <w:r>
        <w:rPr>
          <w:color w:val="auto"/>
          <w:spacing w:val="-62"/>
          <w:sz w:val="21"/>
          <w:szCs w:val="21"/>
          <w:highlight w:val="none"/>
        </w:rPr>
        <w:t xml:space="preserve"> </w:t>
      </w:r>
      <w:r>
        <w:rPr>
          <w:color w:val="auto"/>
          <w:spacing w:val="-62"/>
          <w:sz w:val="20"/>
          <w:szCs w:val="20"/>
          <w:highlight w:val="none"/>
        </w:rPr>
        <w:t xml:space="preserve"> </w:t>
      </w:r>
      <w:r>
        <w:rPr>
          <w:rFonts w:hint="eastAsia"/>
          <w:color w:val="auto"/>
          <w:spacing w:val="8"/>
          <w:sz w:val="20"/>
          <w:szCs w:val="20"/>
          <w:highlight w:val="none"/>
          <w:lang w:eastAsia="zh-CN"/>
        </w:rPr>
        <w:t>”</w:t>
      </w:r>
      <w:r>
        <w:rPr>
          <w:color w:val="auto"/>
          <w:spacing w:val="9"/>
          <w:sz w:val="21"/>
          <w:szCs w:val="21"/>
          <w:highlight w:val="none"/>
        </w:rPr>
        <w:t>，否则视为虚假应标</w:t>
      </w:r>
      <w:r>
        <w:rPr>
          <w:rFonts w:hint="eastAsia"/>
          <w:color w:val="auto"/>
          <w:spacing w:val="9"/>
          <w:sz w:val="21"/>
          <w:szCs w:val="21"/>
          <w:highlight w:val="none"/>
          <w:lang w:eastAsia="zh-CN"/>
        </w:rPr>
        <w:t>。</w:t>
      </w:r>
    </w:p>
    <w:p w14:paraId="6D56D358">
      <w:pPr>
        <w:pStyle w:val="10"/>
        <w:spacing w:before="116" w:line="226" w:lineRule="auto"/>
        <w:ind w:left="425"/>
        <w:rPr>
          <w:color w:val="auto"/>
          <w:sz w:val="21"/>
          <w:szCs w:val="21"/>
          <w:highlight w:val="none"/>
        </w:rPr>
      </w:pPr>
      <w:r>
        <w:rPr>
          <w:color w:val="auto"/>
          <w:spacing w:val="9"/>
          <w:sz w:val="21"/>
          <w:szCs w:val="21"/>
          <w:highlight w:val="none"/>
        </w:rPr>
        <w:t>3.表格内容均需按要求填写并盖章，不得留空，否则按竞标无效处</w:t>
      </w:r>
      <w:r>
        <w:rPr>
          <w:color w:val="auto"/>
          <w:spacing w:val="8"/>
          <w:sz w:val="21"/>
          <w:szCs w:val="21"/>
          <w:highlight w:val="none"/>
        </w:rPr>
        <w:t>理。</w:t>
      </w:r>
    </w:p>
    <w:p w14:paraId="0E35EF3C">
      <w:pPr>
        <w:pStyle w:val="10"/>
        <w:spacing w:before="116" w:line="306" w:lineRule="auto"/>
        <w:ind w:right="205" w:firstLine="419"/>
        <w:rPr>
          <w:color w:val="auto"/>
          <w:sz w:val="21"/>
          <w:szCs w:val="21"/>
          <w:highlight w:val="none"/>
        </w:rPr>
      </w:pPr>
      <w:r>
        <w:rPr>
          <w:color w:val="auto"/>
          <w:spacing w:val="11"/>
          <w:sz w:val="21"/>
          <w:szCs w:val="21"/>
          <w:highlight w:val="none"/>
        </w:rPr>
        <w:t>4.如果采购需求为小于、小于等于、大于或大于等于某个数值标准时，响应文件承诺不</w:t>
      </w:r>
      <w:r>
        <w:rPr>
          <w:color w:val="auto"/>
          <w:spacing w:val="10"/>
          <w:sz w:val="21"/>
          <w:szCs w:val="21"/>
          <w:highlight w:val="none"/>
        </w:rPr>
        <w:t>得直接复</w:t>
      </w:r>
      <w:r>
        <w:rPr>
          <w:color w:val="auto"/>
          <w:spacing w:val="11"/>
          <w:sz w:val="21"/>
          <w:szCs w:val="21"/>
          <w:highlight w:val="none"/>
        </w:rPr>
        <w:t>制采购需求，响应文件承诺内容应当写明竞标服务具体参数或商务响应承诺的具体数值，否则按竞标无效处理。如该采购需求属于不能明确具体数值的，采购人应在此采购需求的数值后标注◆号，对标</w:t>
      </w:r>
      <w:r>
        <w:rPr>
          <w:color w:val="auto"/>
          <w:spacing w:val="7"/>
          <w:sz w:val="21"/>
          <w:szCs w:val="21"/>
          <w:highlight w:val="none"/>
        </w:rPr>
        <w:t>注◆号的采购需求不适用上述</w:t>
      </w:r>
      <w:r>
        <w:rPr>
          <w:rFonts w:hint="eastAsia"/>
          <w:color w:val="auto"/>
          <w:spacing w:val="8"/>
          <w:sz w:val="20"/>
          <w:szCs w:val="20"/>
          <w:highlight w:val="none"/>
          <w:lang w:eastAsia="zh-CN"/>
        </w:rPr>
        <w:t>“</w:t>
      </w:r>
      <w:r>
        <w:rPr>
          <w:color w:val="auto"/>
          <w:spacing w:val="7"/>
          <w:sz w:val="21"/>
          <w:szCs w:val="21"/>
          <w:highlight w:val="none"/>
        </w:rPr>
        <w:t>竞标无效</w:t>
      </w:r>
      <w:r>
        <w:rPr>
          <w:rFonts w:hint="eastAsia"/>
          <w:color w:val="auto"/>
          <w:spacing w:val="8"/>
          <w:sz w:val="20"/>
          <w:szCs w:val="20"/>
          <w:highlight w:val="none"/>
          <w:lang w:eastAsia="zh-CN"/>
        </w:rPr>
        <w:t>”</w:t>
      </w:r>
      <w:r>
        <w:rPr>
          <w:color w:val="auto"/>
          <w:spacing w:val="7"/>
          <w:sz w:val="21"/>
          <w:szCs w:val="21"/>
          <w:highlight w:val="none"/>
        </w:rPr>
        <w:t>条款。</w:t>
      </w:r>
    </w:p>
    <w:p w14:paraId="070FBA90">
      <w:pPr>
        <w:pStyle w:val="10"/>
        <w:spacing w:before="114" w:line="280" w:lineRule="auto"/>
        <w:ind w:left="2" w:right="205" w:firstLine="422"/>
        <w:rPr>
          <w:color w:val="auto"/>
          <w:sz w:val="21"/>
          <w:szCs w:val="21"/>
          <w:highlight w:val="none"/>
        </w:rPr>
      </w:pPr>
      <w:r>
        <w:rPr>
          <w:color w:val="auto"/>
          <w:spacing w:val="9"/>
          <w:sz w:val="21"/>
          <w:szCs w:val="21"/>
          <w:highlight w:val="none"/>
        </w:rPr>
        <w:t>5.采购需求中带</w:t>
      </w:r>
      <w:r>
        <w:rPr>
          <w:rFonts w:hint="eastAsia"/>
          <w:color w:val="auto"/>
          <w:spacing w:val="8"/>
          <w:sz w:val="20"/>
          <w:szCs w:val="20"/>
          <w:highlight w:val="none"/>
          <w:lang w:eastAsia="zh-CN"/>
        </w:rPr>
        <w:t>“</w:t>
      </w:r>
      <w:r>
        <w:rPr>
          <w:color w:val="auto"/>
          <w:spacing w:val="9"/>
          <w:sz w:val="21"/>
          <w:szCs w:val="21"/>
          <w:highlight w:val="none"/>
        </w:rPr>
        <w:t>▲</w:t>
      </w:r>
      <w:r>
        <w:rPr>
          <w:color w:val="auto"/>
          <w:spacing w:val="-70"/>
          <w:sz w:val="21"/>
          <w:szCs w:val="21"/>
          <w:highlight w:val="none"/>
        </w:rPr>
        <w:t xml:space="preserve"> </w:t>
      </w:r>
      <w:r>
        <w:rPr>
          <w:rFonts w:hint="eastAsia"/>
          <w:color w:val="auto"/>
          <w:spacing w:val="8"/>
          <w:sz w:val="20"/>
          <w:szCs w:val="20"/>
          <w:highlight w:val="none"/>
          <w:lang w:eastAsia="zh-CN"/>
        </w:rPr>
        <w:t>”</w:t>
      </w:r>
      <w:r>
        <w:rPr>
          <w:color w:val="auto"/>
          <w:spacing w:val="9"/>
          <w:sz w:val="21"/>
          <w:szCs w:val="21"/>
          <w:highlight w:val="none"/>
        </w:rPr>
        <w:t>及</w:t>
      </w:r>
      <w:r>
        <w:rPr>
          <w:rFonts w:hint="eastAsia"/>
          <w:color w:val="auto"/>
          <w:spacing w:val="8"/>
          <w:sz w:val="20"/>
          <w:szCs w:val="20"/>
          <w:highlight w:val="none"/>
          <w:lang w:eastAsia="zh-CN"/>
        </w:rPr>
        <w:t>“</w:t>
      </w:r>
      <w:r>
        <w:rPr>
          <w:color w:val="auto"/>
          <w:spacing w:val="9"/>
          <w:sz w:val="21"/>
          <w:szCs w:val="21"/>
          <w:highlight w:val="none"/>
        </w:rPr>
        <w:t>★</w:t>
      </w:r>
      <w:r>
        <w:rPr>
          <w:color w:val="auto"/>
          <w:spacing w:val="-70"/>
          <w:sz w:val="21"/>
          <w:szCs w:val="21"/>
          <w:highlight w:val="none"/>
        </w:rPr>
        <w:t xml:space="preserve"> </w:t>
      </w:r>
      <w:r>
        <w:rPr>
          <w:rFonts w:hint="eastAsia"/>
          <w:color w:val="auto"/>
          <w:spacing w:val="8"/>
          <w:sz w:val="20"/>
          <w:szCs w:val="20"/>
          <w:highlight w:val="none"/>
          <w:lang w:eastAsia="zh-CN"/>
        </w:rPr>
        <w:t>”</w:t>
      </w:r>
      <w:r>
        <w:rPr>
          <w:color w:val="auto"/>
          <w:spacing w:val="9"/>
          <w:sz w:val="21"/>
          <w:szCs w:val="21"/>
          <w:highlight w:val="none"/>
        </w:rPr>
        <w:t>的条款，也要分别在本表</w:t>
      </w:r>
      <w:r>
        <w:rPr>
          <w:rFonts w:hint="eastAsia"/>
          <w:color w:val="auto"/>
          <w:spacing w:val="8"/>
          <w:sz w:val="20"/>
          <w:szCs w:val="20"/>
          <w:highlight w:val="none"/>
          <w:lang w:eastAsia="zh-CN"/>
        </w:rPr>
        <w:t>“</w:t>
      </w:r>
      <w:r>
        <w:rPr>
          <w:color w:val="auto"/>
          <w:spacing w:val="9"/>
          <w:sz w:val="21"/>
          <w:szCs w:val="21"/>
          <w:highlight w:val="none"/>
        </w:rPr>
        <w:t>竞</w:t>
      </w:r>
      <w:r>
        <w:rPr>
          <w:color w:val="auto"/>
          <w:spacing w:val="8"/>
          <w:sz w:val="21"/>
          <w:szCs w:val="21"/>
          <w:highlight w:val="none"/>
        </w:rPr>
        <w:t>争性磋商文件采购需求</w:t>
      </w:r>
      <w:r>
        <w:rPr>
          <w:color w:val="auto"/>
          <w:spacing w:val="-68"/>
          <w:sz w:val="21"/>
          <w:szCs w:val="21"/>
          <w:highlight w:val="none"/>
        </w:rPr>
        <w:t xml:space="preserve"> </w:t>
      </w:r>
      <w:r>
        <w:rPr>
          <w:rFonts w:hint="eastAsia"/>
          <w:color w:val="auto"/>
          <w:spacing w:val="8"/>
          <w:sz w:val="20"/>
          <w:szCs w:val="20"/>
          <w:highlight w:val="none"/>
          <w:lang w:eastAsia="zh-CN"/>
        </w:rPr>
        <w:t>”</w:t>
      </w:r>
      <w:r>
        <w:rPr>
          <w:color w:val="auto"/>
          <w:spacing w:val="8"/>
          <w:sz w:val="21"/>
          <w:szCs w:val="21"/>
          <w:highlight w:val="none"/>
        </w:rPr>
        <w:t>、</w:t>
      </w:r>
      <w:r>
        <w:rPr>
          <w:rFonts w:hint="eastAsia"/>
          <w:color w:val="auto"/>
          <w:spacing w:val="8"/>
          <w:sz w:val="20"/>
          <w:szCs w:val="20"/>
          <w:highlight w:val="none"/>
          <w:lang w:eastAsia="zh-CN"/>
        </w:rPr>
        <w:t>“</w:t>
      </w:r>
      <w:r>
        <w:rPr>
          <w:color w:val="auto"/>
          <w:spacing w:val="8"/>
          <w:sz w:val="21"/>
          <w:szCs w:val="21"/>
          <w:highlight w:val="none"/>
        </w:rPr>
        <w:t>响应</w:t>
      </w:r>
      <w:r>
        <w:rPr>
          <w:color w:val="auto"/>
          <w:spacing w:val="7"/>
          <w:sz w:val="21"/>
          <w:szCs w:val="21"/>
          <w:highlight w:val="none"/>
        </w:rPr>
        <w:t>文件采购需求承诺</w:t>
      </w:r>
      <w:r>
        <w:rPr>
          <w:color w:val="auto"/>
          <w:spacing w:val="-52"/>
          <w:sz w:val="21"/>
          <w:szCs w:val="21"/>
          <w:highlight w:val="none"/>
        </w:rPr>
        <w:t xml:space="preserve"> </w:t>
      </w:r>
      <w:r>
        <w:rPr>
          <w:rFonts w:hint="eastAsia"/>
          <w:color w:val="auto"/>
          <w:spacing w:val="8"/>
          <w:sz w:val="20"/>
          <w:szCs w:val="20"/>
          <w:highlight w:val="none"/>
          <w:lang w:eastAsia="zh-CN"/>
        </w:rPr>
        <w:t>”</w:t>
      </w:r>
      <w:r>
        <w:rPr>
          <w:color w:val="auto"/>
          <w:spacing w:val="7"/>
          <w:sz w:val="21"/>
          <w:szCs w:val="21"/>
          <w:highlight w:val="none"/>
        </w:rPr>
        <w:t>中标记，否则按竞标无效处理。</w:t>
      </w:r>
    </w:p>
    <w:p w14:paraId="3D454173">
      <w:pPr>
        <w:pStyle w:val="10"/>
        <w:spacing w:before="113" w:line="228" w:lineRule="auto"/>
        <w:ind w:left="422"/>
        <w:rPr>
          <w:color w:val="auto"/>
          <w:sz w:val="21"/>
          <w:szCs w:val="21"/>
          <w:highlight w:val="none"/>
        </w:rPr>
      </w:pPr>
      <w:r>
        <w:rPr>
          <w:color w:val="auto"/>
          <w:spacing w:val="8"/>
          <w:sz w:val="21"/>
          <w:szCs w:val="21"/>
          <w:highlight w:val="none"/>
        </w:rPr>
        <w:t>6.如技术偏离表中的竞标响应与佐证材料不一致的，</w:t>
      </w:r>
      <w:r>
        <w:rPr>
          <w:color w:val="auto"/>
          <w:spacing w:val="-59"/>
          <w:sz w:val="21"/>
          <w:szCs w:val="21"/>
          <w:highlight w:val="none"/>
        </w:rPr>
        <w:t xml:space="preserve"> </w:t>
      </w:r>
      <w:r>
        <w:rPr>
          <w:color w:val="auto"/>
          <w:spacing w:val="7"/>
          <w:sz w:val="21"/>
          <w:szCs w:val="21"/>
          <w:highlight w:val="none"/>
        </w:rPr>
        <w:t>以佐证材料为准。</w:t>
      </w:r>
    </w:p>
    <w:p w14:paraId="6117E9F2">
      <w:pPr>
        <w:spacing w:line="426" w:lineRule="auto"/>
        <w:rPr>
          <w:rFonts w:ascii="Arial"/>
          <w:color w:val="auto"/>
          <w:sz w:val="21"/>
          <w:szCs w:val="21"/>
          <w:highlight w:val="none"/>
        </w:rPr>
      </w:pPr>
    </w:p>
    <w:p w14:paraId="4DC1B604">
      <w:pPr>
        <w:pStyle w:val="10"/>
        <w:spacing w:before="78" w:line="219" w:lineRule="auto"/>
        <w:ind w:left="4098"/>
        <w:rPr>
          <w:color w:val="auto"/>
          <w:sz w:val="21"/>
          <w:szCs w:val="21"/>
          <w:highlight w:val="none"/>
        </w:rPr>
      </w:pPr>
      <w:r>
        <w:rPr>
          <w:color w:val="auto"/>
          <w:spacing w:val="-1"/>
          <w:sz w:val="21"/>
          <w:szCs w:val="21"/>
          <w:highlight w:val="none"/>
        </w:rPr>
        <w:t>供应商名称（电子签章</w:t>
      </w:r>
      <w:r>
        <w:rPr>
          <w:color w:val="auto"/>
          <w:sz w:val="21"/>
          <w:szCs w:val="21"/>
          <w:highlight w:val="none"/>
        </w:rPr>
        <w:t>）：</w:t>
      </w:r>
    </w:p>
    <w:p w14:paraId="6CD825EB">
      <w:pPr>
        <w:pStyle w:val="10"/>
        <w:spacing w:before="183" w:line="185" w:lineRule="auto"/>
        <w:ind w:left="6379"/>
        <w:rPr>
          <w:color w:val="auto"/>
          <w:sz w:val="21"/>
          <w:szCs w:val="21"/>
          <w:highlight w:val="none"/>
        </w:rPr>
      </w:pPr>
      <w:r>
        <w:rPr>
          <w:color w:val="auto"/>
          <w:spacing w:val="-13"/>
          <w:sz w:val="21"/>
          <w:szCs w:val="21"/>
          <w:highlight w:val="none"/>
        </w:rPr>
        <w:t>日期：</w:t>
      </w:r>
      <w:r>
        <w:rPr>
          <w:color w:val="auto"/>
          <w:spacing w:val="5"/>
          <w:sz w:val="21"/>
          <w:szCs w:val="21"/>
          <w:highlight w:val="none"/>
        </w:rPr>
        <w:t xml:space="preserve">  </w:t>
      </w:r>
      <w:r>
        <w:rPr>
          <w:color w:val="auto"/>
          <w:spacing w:val="-13"/>
          <w:sz w:val="21"/>
          <w:szCs w:val="21"/>
          <w:highlight w:val="none"/>
        </w:rPr>
        <w:t>年</w:t>
      </w:r>
      <w:r>
        <w:rPr>
          <w:color w:val="auto"/>
          <w:spacing w:val="8"/>
          <w:sz w:val="21"/>
          <w:szCs w:val="21"/>
          <w:highlight w:val="none"/>
        </w:rPr>
        <w:t xml:space="preserve">  </w:t>
      </w:r>
      <w:r>
        <w:rPr>
          <w:color w:val="auto"/>
          <w:spacing w:val="-13"/>
          <w:sz w:val="21"/>
          <w:szCs w:val="21"/>
          <w:highlight w:val="none"/>
        </w:rPr>
        <w:t>月</w:t>
      </w:r>
      <w:r>
        <w:rPr>
          <w:color w:val="auto"/>
          <w:spacing w:val="25"/>
          <w:sz w:val="21"/>
          <w:szCs w:val="21"/>
          <w:highlight w:val="none"/>
        </w:rPr>
        <w:t xml:space="preserve">  </w:t>
      </w:r>
      <w:r>
        <w:rPr>
          <w:color w:val="auto"/>
          <w:spacing w:val="-13"/>
          <w:sz w:val="21"/>
          <w:szCs w:val="21"/>
          <w:highlight w:val="none"/>
        </w:rPr>
        <w:t>日</w:t>
      </w:r>
    </w:p>
    <w:p w14:paraId="6AD204CC">
      <w:pPr>
        <w:spacing w:line="185" w:lineRule="auto"/>
        <w:rPr>
          <w:color w:val="auto"/>
          <w:sz w:val="21"/>
          <w:szCs w:val="21"/>
          <w:highlight w:val="none"/>
        </w:rPr>
        <w:sectPr>
          <w:pgSz w:w="11907" w:h="16840"/>
          <w:pgMar w:top="1440" w:right="1083" w:bottom="1440" w:left="1083" w:header="0" w:footer="975" w:gutter="0"/>
          <w:pgNumType w:fmt="decimal"/>
          <w:cols w:equalWidth="0" w:num="1">
            <w:col w:w="9497"/>
          </w:cols>
        </w:sectPr>
      </w:pPr>
    </w:p>
    <w:p w14:paraId="3499E4A0">
      <w:pPr>
        <w:pStyle w:val="10"/>
        <w:spacing w:before="98" w:line="219" w:lineRule="auto"/>
        <w:ind w:left="3425"/>
        <w:rPr>
          <w:color w:val="auto"/>
          <w:sz w:val="30"/>
          <w:szCs w:val="30"/>
          <w:highlight w:val="none"/>
        </w:rPr>
      </w:pPr>
      <w:bookmarkStart w:id="1374" w:name="_Toc6323_WPSOffice_Level1"/>
      <w:bookmarkStart w:id="1375" w:name="_Toc14611_WPSOffice_Level1"/>
      <w:r>
        <w:rPr>
          <w:b/>
          <w:bCs/>
          <w:color w:val="auto"/>
          <w:spacing w:val="-6"/>
          <w:sz w:val="30"/>
          <w:szCs w:val="30"/>
          <w:highlight w:val="none"/>
        </w:rPr>
        <w:t>项目管理机构</w:t>
      </w:r>
    </w:p>
    <w:p w14:paraId="2A2432A0">
      <w:pPr>
        <w:pStyle w:val="10"/>
        <w:spacing w:before="227" w:line="212" w:lineRule="auto"/>
        <w:ind w:left="2538"/>
        <w:rPr>
          <w:color w:val="auto"/>
          <w:sz w:val="30"/>
          <w:szCs w:val="30"/>
          <w:highlight w:val="none"/>
        </w:rPr>
      </w:pPr>
      <w:r>
        <w:rPr>
          <w:b/>
          <w:bCs/>
          <w:color w:val="auto"/>
          <w:spacing w:val="-5"/>
          <w:sz w:val="30"/>
          <w:szCs w:val="30"/>
          <w:highlight w:val="none"/>
        </w:rPr>
        <w:t>1.项目管理机构配备情况表</w:t>
      </w:r>
    </w:p>
    <w:tbl>
      <w:tblPr>
        <w:tblStyle w:val="58"/>
        <w:tblW w:w="86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1"/>
        <w:gridCol w:w="1001"/>
        <w:gridCol w:w="792"/>
        <w:gridCol w:w="798"/>
        <w:gridCol w:w="793"/>
        <w:gridCol w:w="1893"/>
        <w:gridCol w:w="1222"/>
      </w:tblGrid>
      <w:tr w14:paraId="03342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2121" w:type="dxa"/>
            <w:vAlign w:val="top"/>
          </w:tcPr>
          <w:p w14:paraId="5F7BF508">
            <w:pPr>
              <w:spacing w:line="284" w:lineRule="auto"/>
              <w:rPr>
                <w:rFonts w:ascii="Arial"/>
                <w:color w:val="auto"/>
                <w:sz w:val="21"/>
                <w:highlight w:val="none"/>
              </w:rPr>
            </w:pPr>
          </w:p>
          <w:p w14:paraId="69B48CAA">
            <w:pPr>
              <w:pStyle w:val="57"/>
              <w:spacing w:before="78" w:line="221" w:lineRule="auto"/>
              <w:ind w:left="349"/>
              <w:rPr>
                <w:color w:val="auto"/>
                <w:sz w:val="24"/>
                <w:szCs w:val="24"/>
                <w:highlight w:val="none"/>
              </w:rPr>
            </w:pPr>
            <w:r>
              <w:rPr>
                <w:color w:val="auto"/>
                <w:spacing w:val="-3"/>
                <w:sz w:val="24"/>
                <w:szCs w:val="24"/>
                <w:highlight w:val="none"/>
              </w:rPr>
              <w:t>工作岗位名称</w:t>
            </w:r>
          </w:p>
        </w:tc>
        <w:tc>
          <w:tcPr>
            <w:tcW w:w="1001" w:type="dxa"/>
            <w:vAlign w:val="top"/>
          </w:tcPr>
          <w:p w14:paraId="4F3423BF">
            <w:pPr>
              <w:spacing w:line="284" w:lineRule="auto"/>
              <w:rPr>
                <w:rFonts w:ascii="Arial"/>
                <w:color w:val="auto"/>
                <w:sz w:val="21"/>
                <w:highlight w:val="none"/>
              </w:rPr>
            </w:pPr>
          </w:p>
          <w:p w14:paraId="257F9815">
            <w:pPr>
              <w:pStyle w:val="57"/>
              <w:spacing w:before="78" w:line="220" w:lineRule="auto"/>
              <w:ind w:left="265"/>
              <w:rPr>
                <w:color w:val="auto"/>
                <w:sz w:val="24"/>
                <w:szCs w:val="24"/>
                <w:highlight w:val="none"/>
              </w:rPr>
            </w:pPr>
            <w:r>
              <w:rPr>
                <w:color w:val="auto"/>
                <w:spacing w:val="-5"/>
                <w:sz w:val="24"/>
                <w:szCs w:val="24"/>
                <w:highlight w:val="none"/>
              </w:rPr>
              <w:t>姓名</w:t>
            </w:r>
          </w:p>
        </w:tc>
        <w:tc>
          <w:tcPr>
            <w:tcW w:w="792" w:type="dxa"/>
            <w:vAlign w:val="top"/>
          </w:tcPr>
          <w:p w14:paraId="2E877F1D">
            <w:pPr>
              <w:spacing w:line="284" w:lineRule="auto"/>
              <w:rPr>
                <w:rFonts w:ascii="Arial"/>
                <w:color w:val="auto"/>
                <w:sz w:val="21"/>
                <w:highlight w:val="none"/>
              </w:rPr>
            </w:pPr>
          </w:p>
          <w:p w14:paraId="56A301BF">
            <w:pPr>
              <w:pStyle w:val="57"/>
              <w:spacing w:before="78" w:line="221" w:lineRule="auto"/>
              <w:ind w:left="162"/>
              <w:rPr>
                <w:color w:val="auto"/>
                <w:sz w:val="24"/>
                <w:szCs w:val="24"/>
                <w:highlight w:val="none"/>
              </w:rPr>
            </w:pPr>
            <w:r>
              <w:rPr>
                <w:color w:val="auto"/>
                <w:spacing w:val="-5"/>
                <w:sz w:val="24"/>
                <w:szCs w:val="24"/>
                <w:highlight w:val="none"/>
              </w:rPr>
              <w:t>性别</w:t>
            </w:r>
          </w:p>
        </w:tc>
        <w:tc>
          <w:tcPr>
            <w:tcW w:w="798" w:type="dxa"/>
            <w:vAlign w:val="top"/>
          </w:tcPr>
          <w:p w14:paraId="5CE60EBD">
            <w:pPr>
              <w:spacing w:line="284" w:lineRule="auto"/>
              <w:rPr>
                <w:rFonts w:ascii="Arial"/>
                <w:color w:val="auto"/>
                <w:sz w:val="21"/>
                <w:highlight w:val="none"/>
              </w:rPr>
            </w:pPr>
          </w:p>
          <w:p w14:paraId="2CE4F5E2">
            <w:pPr>
              <w:pStyle w:val="57"/>
              <w:spacing w:before="78" w:line="222" w:lineRule="auto"/>
              <w:ind w:left="167"/>
              <w:rPr>
                <w:color w:val="auto"/>
                <w:sz w:val="24"/>
                <w:szCs w:val="24"/>
                <w:highlight w:val="none"/>
              </w:rPr>
            </w:pPr>
            <w:r>
              <w:rPr>
                <w:color w:val="auto"/>
                <w:spacing w:val="-6"/>
                <w:sz w:val="24"/>
                <w:szCs w:val="24"/>
                <w:highlight w:val="none"/>
              </w:rPr>
              <w:t>职称</w:t>
            </w:r>
          </w:p>
        </w:tc>
        <w:tc>
          <w:tcPr>
            <w:tcW w:w="793" w:type="dxa"/>
            <w:vAlign w:val="top"/>
          </w:tcPr>
          <w:p w14:paraId="06DFDEF9">
            <w:pPr>
              <w:spacing w:line="284" w:lineRule="auto"/>
              <w:rPr>
                <w:rFonts w:ascii="Arial"/>
                <w:color w:val="auto"/>
                <w:sz w:val="21"/>
                <w:highlight w:val="none"/>
              </w:rPr>
            </w:pPr>
          </w:p>
          <w:p w14:paraId="05FD7605">
            <w:pPr>
              <w:pStyle w:val="57"/>
              <w:spacing w:before="78" w:line="221" w:lineRule="auto"/>
              <w:ind w:left="164"/>
              <w:rPr>
                <w:color w:val="auto"/>
                <w:sz w:val="24"/>
                <w:szCs w:val="24"/>
                <w:highlight w:val="none"/>
              </w:rPr>
            </w:pPr>
            <w:r>
              <w:rPr>
                <w:color w:val="auto"/>
                <w:spacing w:val="-6"/>
                <w:sz w:val="24"/>
                <w:szCs w:val="24"/>
                <w:highlight w:val="none"/>
              </w:rPr>
              <w:t>专业</w:t>
            </w:r>
          </w:p>
        </w:tc>
        <w:tc>
          <w:tcPr>
            <w:tcW w:w="1893" w:type="dxa"/>
            <w:vAlign w:val="top"/>
          </w:tcPr>
          <w:p w14:paraId="1C26C971">
            <w:pPr>
              <w:pStyle w:val="57"/>
              <w:spacing w:before="225" w:line="213" w:lineRule="auto"/>
              <w:ind w:left="715" w:right="103" w:hanging="601"/>
              <w:rPr>
                <w:color w:val="auto"/>
                <w:sz w:val="24"/>
                <w:szCs w:val="24"/>
                <w:highlight w:val="none"/>
              </w:rPr>
            </w:pPr>
            <w:r>
              <w:rPr>
                <w:color w:val="auto"/>
                <w:spacing w:val="-2"/>
                <w:sz w:val="24"/>
                <w:szCs w:val="24"/>
                <w:highlight w:val="none"/>
              </w:rPr>
              <w:t>相关证书名称及</w:t>
            </w:r>
            <w:r>
              <w:rPr>
                <w:color w:val="auto"/>
                <w:spacing w:val="3"/>
                <w:sz w:val="24"/>
                <w:szCs w:val="24"/>
                <w:highlight w:val="none"/>
              </w:rPr>
              <w:t xml:space="preserve"> </w:t>
            </w:r>
            <w:r>
              <w:rPr>
                <w:color w:val="auto"/>
                <w:spacing w:val="-6"/>
                <w:sz w:val="24"/>
                <w:szCs w:val="24"/>
                <w:highlight w:val="none"/>
              </w:rPr>
              <w:t>编号</w:t>
            </w:r>
          </w:p>
        </w:tc>
        <w:tc>
          <w:tcPr>
            <w:tcW w:w="1222" w:type="dxa"/>
            <w:vAlign w:val="top"/>
          </w:tcPr>
          <w:p w14:paraId="52D9C937">
            <w:pPr>
              <w:pStyle w:val="57"/>
              <w:spacing w:before="224" w:line="203" w:lineRule="auto"/>
              <w:ind w:left="138"/>
              <w:rPr>
                <w:color w:val="auto"/>
                <w:sz w:val="24"/>
                <w:szCs w:val="24"/>
                <w:highlight w:val="none"/>
              </w:rPr>
            </w:pPr>
            <w:r>
              <w:rPr>
                <w:color w:val="auto"/>
                <w:spacing w:val="-3"/>
                <w:sz w:val="24"/>
                <w:szCs w:val="24"/>
                <w:highlight w:val="none"/>
              </w:rPr>
              <w:t>相关工作</w:t>
            </w:r>
          </w:p>
          <w:p w14:paraId="2E35EEBA">
            <w:pPr>
              <w:pStyle w:val="57"/>
              <w:spacing w:line="220" w:lineRule="auto"/>
              <w:ind w:left="379"/>
              <w:rPr>
                <w:color w:val="auto"/>
                <w:sz w:val="24"/>
                <w:szCs w:val="24"/>
                <w:highlight w:val="none"/>
              </w:rPr>
            </w:pPr>
            <w:r>
              <w:rPr>
                <w:color w:val="auto"/>
                <w:spacing w:val="-6"/>
                <w:sz w:val="24"/>
                <w:szCs w:val="24"/>
                <w:highlight w:val="none"/>
              </w:rPr>
              <w:t>年限</w:t>
            </w:r>
          </w:p>
        </w:tc>
      </w:tr>
      <w:tr w14:paraId="58511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121" w:type="dxa"/>
            <w:vAlign w:val="top"/>
          </w:tcPr>
          <w:p w14:paraId="00431D11">
            <w:pPr>
              <w:pStyle w:val="57"/>
              <w:spacing w:before="128" w:line="221" w:lineRule="auto"/>
              <w:ind w:left="37"/>
              <w:rPr>
                <w:color w:val="auto"/>
                <w:sz w:val="24"/>
                <w:szCs w:val="24"/>
                <w:highlight w:val="none"/>
              </w:rPr>
            </w:pPr>
            <w:r>
              <w:rPr>
                <w:color w:val="auto"/>
                <w:spacing w:val="-5"/>
                <w:sz w:val="24"/>
                <w:szCs w:val="24"/>
                <w:highlight w:val="none"/>
              </w:rPr>
              <w:t>1.项目经理</w:t>
            </w:r>
          </w:p>
        </w:tc>
        <w:tc>
          <w:tcPr>
            <w:tcW w:w="1001" w:type="dxa"/>
            <w:vAlign w:val="top"/>
          </w:tcPr>
          <w:p w14:paraId="71B0C11E">
            <w:pPr>
              <w:rPr>
                <w:rFonts w:ascii="Arial"/>
                <w:color w:val="auto"/>
                <w:sz w:val="21"/>
                <w:highlight w:val="none"/>
              </w:rPr>
            </w:pPr>
          </w:p>
        </w:tc>
        <w:tc>
          <w:tcPr>
            <w:tcW w:w="792" w:type="dxa"/>
            <w:vAlign w:val="top"/>
          </w:tcPr>
          <w:p w14:paraId="2D2AA73B">
            <w:pPr>
              <w:rPr>
                <w:rFonts w:ascii="Arial"/>
                <w:color w:val="auto"/>
                <w:sz w:val="21"/>
                <w:highlight w:val="none"/>
              </w:rPr>
            </w:pPr>
          </w:p>
        </w:tc>
        <w:tc>
          <w:tcPr>
            <w:tcW w:w="798" w:type="dxa"/>
            <w:vAlign w:val="top"/>
          </w:tcPr>
          <w:p w14:paraId="0485D5BF">
            <w:pPr>
              <w:rPr>
                <w:rFonts w:ascii="Arial"/>
                <w:color w:val="auto"/>
                <w:sz w:val="21"/>
                <w:highlight w:val="none"/>
              </w:rPr>
            </w:pPr>
          </w:p>
        </w:tc>
        <w:tc>
          <w:tcPr>
            <w:tcW w:w="793" w:type="dxa"/>
            <w:vAlign w:val="top"/>
          </w:tcPr>
          <w:p w14:paraId="4F920D73">
            <w:pPr>
              <w:rPr>
                <w:rFonts w:ascii="Arial"/>
                <w:color w:val="auto"/>
                <w:sz w:val="21"/>
                <w:highlight w:val="none"/>
              </w:rPr>
            </w:pPr>
          </w:p>
        </w:tc>
        <w:tc>
          <w:tcPr>
            <w:tcW w:w="1893" w:type="dxa"/>
            <w:vAlign w:val="top"/>
          </w:tcPr>
          <w:p w14:paraId="346A5EE7">
            <w:pPr>
              <w:rPr>
                <w:rFonts w:ascii="Arial"/>
                <w:color w:val="auto"/>
                <w:sz w:val="21"/>
                <w:highlight w:val="none"/>
              </w:rPr>
            </w:pPr>
          </w:p>
        </w:tc>
        <w:tc>
          <w:tcPr>
            <w:tcW w:w="1222" w:type="dxa"/>
            <w:vAlign w:val="top"/>
          </w:tcPr>
          <w:p w14:paraId="319967B1">
            <w:pPr>
              <w:rPr>
                <w:rFonts w:ascii="Arial"/>
                <w:color w:val="auto"/>
                <w:sz w:val="21"/>
                <w:highlight w:val="none"/>
              </w:rPr>
            </w:pPr>
          </w:p>
        </w:tc>
      </w:tr>
      <w:tr w14:paraId="178A7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121" w:type="dxa"/>
            <w:vAlign w:val="top"/>
          </w:tcPr>
          <w:p w14:paraId="79B59C78">
            <w:pPr>
              <w:pStyle w:val="57"/>
              <w:spacing w:before="131" w:line="220" w:lineRule="auto"/>
              <w:ind w:left="23"/>
              <w:rPr>
                <w:color w:val="auto"/>
                <w:sz w:val="24"/>
                <w:szCs w:val="24"/>
                <w:highlight w:val="none"/>
              </w:rPr>
            </w:pPr>
            <w:r>
              <w:rPr>
                <w:color w:val="auto"/>
                <w:spacing w:val="-2"/>
                <w:sz w:val="24"/>
                <w:szCs w:val="24"/>
                <w:highlight w:val="none"/>
              </w:rPr>
              <w:t>2.技术负责人</w:t>
            </w:r>
          </w:p>
        </w:tc>
        <w:tc>
          <w:tcPr>
            <w:tcW w:w="1001" w:type="dxa"/>
            <w:vAlign w:val="top"/>
          </w:tcPr>
          <w:p w14:paraId="1AC0C07B">
            <w:pPr>
              <w:rPr>
                <w:rFonts w:ascii="Arial"/>
                <w:color w:val="auto"/>
                <w:sz w:val="21"/>
                <w:highlight w:val="none"/>
              </w:rPr>
            </w:pPr>
          </w:p>
        </w:tc>
        <w:tc>
          <w:tcPr>
            <w:tcW w:w="792" w:type="dxa"/>
            <w:vAlign w:val="top"/>
          </w:tcPr>
          <w:p w14:paraId="5F65C12E">
            <w:pPr>
              <w:rPr>
                <w:rFonts w:ascii="Arial"/>
                <w:color w:val="auto"/>
                <w:sz w:val="21"/>
                <w:highlight w:val="none"/>
              </w:rPr>
            </w:pPr>
          </w:p>
        </w:tc>
        <w:tc>
          <w:tcPr>
            <w:tcW w:w="798" w:type="dxa"/>
            <w:vAlign w:val="top"/>
          </w:tcPr>
          <w:p w14:paraId="415670A5">
            <w:pPr>
              <w:rPr>
                <w:rFonts w:ascii="Arial"/>
                <w:color w:val="auto"/>
                <w:sz w:val="21"/>
                <w:highlight w:val="none"/>
              </w:rPr>
            </w:pPr>
          </w:p>
        </w:tc>
        <w:tc>
          <w:tcPr>
            <w:tcW w:w="793" w:type="dxa"/>
            <w:vAlign w:val="top"/>
          </w:tcPr>
          <w:p w14:paraId="0FC1C0A6">
            <w:pPr>
              <w:rPr>
                <w:rFonts w:ascii="Arial"/>
                <w:color w:val="auto"/>
                <w:sz w:val="21"/>
                <w:highlight w:val="none"/>
              </w:rPr>
            </w:pPr>
          </w:p>
        </w:tc>
        <w:tc>
          <w:tcPr>
            <w:tcW w:w="1893" w:type="dxa"/>
            <w:vAlign w:val="top"/>
          </w:tcPr>
          <w:p w14:paraId="71DFB1BC">
            <w:pPr>
              <w:rPr>
                <w:rFonts w:ascii="Arial"/>
                <w:color w:val="auto"/>
                <w:sz w:val="21"/>
                <w:highlight w:val="none"/>
              </w:rPr>
            </w:pPr>
          </w:p>
        </w:tc>
        <w:tc>
          <w:tcPr>
            <w:tcW w:w="1222" w:type="dxa"/>
            <w:vAlign w:val="top"/>
          </w:tcPr>
          <w:p w14:paraId="5DD48E10">
            <w:pPr>
              <w:rPr>
                <w:rFonts w:ascii="Arial"/>
                <w:color w:val="auto"/>
                <w:sz w:val="21"/>
                <w:highlight w:val="none"/>
              </w:rPr>
            </w:pPr>
          </w:p>
        </w:tc>
      </w:tr>
      <w:tr w14:paraId="442CA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121" w:type="dxa"/>
            <w:vAlign w:val="top"/>
          </w:tcPr>
          <w:p w14:paraId="126656C1">
            <w:pPr>
              <w:pStyle w:val="57"/>
              <w:spacing w:before="128" w:line="221" w:lineRule="auto"/>
              <w:ind w:left="24"/>
              <w:rPr>
                <w:color w:val="auto"/>
                <w:sz w:val="24"/>
                <w:szCs w:val="24"/>
                <w:highlight w:val="none"/>
              </w:rPr>
            </w:pPr>
            <w:r>
              <w:rPr>
                <w:color w:val="auto"/>
                <w:spacing w:val="-3"/>
                <w:sz w:val="24"/>
                <w:szCs w:val="24"/>
                <w:highlight w:val="none"/>
              </w:rPr>
              <w:t>3.质量员</w:t>
            </w:r>
          </w:p>
        </w:tc>
        <w:tc>
          <w:tcPr>
            <w:tcW w:w="1001" w:type="dxa"/>
            <w:vAlign w:val="top"/>
          </w:tcPr>
          <w:p w14:paraId="044D62FE">
            <w:pPr>
              <w:rPr>
                <w:rFonts w:ascii="Arial"/>
                <w:color w:val="auto"/>
                <w:sz w:val="21"/>
                <w:highlight w:val="none"/>
              </w:rPr>
            </w:pPr>
          </w:p>
        </w:tc>
        <w:tc>
          <w:tcPr>
            <w:tcW w:w="792" w:type="dxa"/>
            <w:vAlign w:val="top"/>
          </w:tcPr>
          <w:p w14:paraId="6020590F">
            <w:pPr>
              <w:rPr>
                <w:rFonts w:ascii="Arial"/>
                <w:color w:val="auto"/>
                <w:sz w:val="21"/>
                <w:highlight w:val="none"/>
              </w:rPr>
            </w:pPr>
          </w:p>
        </w:tc>
        <w:tc>
          <w:tcPr>
            <w:tcW w:w="798" w:type="dxa"/>
            <w:vAlign w:val="top"/>
          </w:tcPr>
          <w:p w14:paraId="4085A9C2">
            <w:pPr>
              <w:rPr>
                <w:rFonts w:ascii="Arial"/>
                <w:color w:val="auto"/>
                <w:sz w:val="21"/>
                <w:highlight w:val="none"/>
              </w:rPr>
            </w:pPr>
          </w:p>
        </w:tc>
        <w:tc>
          <w:tcPr>
            <w:tcW w:w="793" w:type="dxa"/>
            <w:vAlign w:val="top"/>
          </w:tcPr>
          <w:p w14:paraId="5C28D249">
            <w:pPr>
              <w:rPr>
                <w:rFonts w:ascii="Arial"/>
                <w:color w:val="auto"/>
                <w:sz w:val="21"/>
                <w:highlight w:val="none"/>
              </w:rPr>
            </w:pPr>
          </w:p>
        </w:tc>
        <w:tc>
          <w:tcPr>
            <w:tcW w:w="1893" w:type="dxa"/>
            <w:vAlign w:val="top"/>
          </w:tcPr>
          <w:p w14:paraId="1C92EC92">
            <w:pPr>
              <w:rPr>
                <w:rFonts w:ascii="Arial"/>
                <w:color w:val="auto"/>
                <w:sz w:val="21"/>
                <w:highlight w:val="none"/>
              </w:rPr>
            </w:pPr>
          </w:p>
        </w:tc>
        <w:tc>
          <w:tcPr>
            <w:tcW w:w="1222" w:type="dxa"/>
            <w:vAlign w:val="top"/>
          </w:tcPr>
          <w:p w14:paraId="5BC0AB35">
            <w:pPr>
              <w:rPr>
                <w:rFonts w:ascii="Arial"/>
                <w:color w:val="auto"/>
                <w:sz w:val="21"/>
                <w:highlight w:val="none"/>
              </w:rPr>
            </w:pPr>
          </w:p>
        </w:tc>
      </w:tr>
      <w:tr w14:paraId="78460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121" w:type="dxa"/>
            <w:vAlign w:val="top"/>
          </w:tcPr>
          <w:p w14:paraId="14ACE850">
            <w:pPr>
              <w:pStyle w:val="57"/>
              <w:spacing w:before="131" w:line="222" w:lineRule="auto"/>
              <w:ind w:left="19"/>
              <w:rPr>
                <w:color w:val="auto"/>
                <w:sz w:val="24"/>
                <w:szCs w:val="24"/>
                <w:highlight w:val="none"/>
              </w:rPr>
            </w:pPr>
            <w:r>
              <w:rPr>
                <w:color w:val="auto"/>
                <w:spacing w:val="-2"/>
                <w:sz w:val="24"/>
                <w:szCs w:val="24"/>
                <w:highlight w:val="none"/>
              </w:rPr>
              <w:t>4.安全员</w:t>
            </w:r>
          </w:p>
        </w:tc>
        <w:tc>
          <w:tcPr>
            <w:tcW w:w="1001" w:type="dxa"/>
            <w:vAlign w:val="top"/>
          </w:tcPr>
          <w:p w14:paraId="583DA4DD">
            <w:pPr>
              <w:rPr>
                <w:rFonts w:ascii="Arial"/>
                <w:color w:val="auto"/>
                <w:sz w:val="21"/>
                <w:highlight w:val="none"/>
              </w:rPr>
            </w:pPr>
          </w:p>
        </w:tc>
        <w:tc>
          <w:tcPr>
            <w:tcW w:w="792" w:type="dxa"/>
            <w:vAlign w:val="top"/>
          </w:tcPr>
          <w:p w14:paraId="1FB066D0">
            <w:pPr>
              <w:rPr>
                <w:rFonts w:ascii="Arial"/>
                <w:color w:val="auto"/>
                <w:sz w:val="21"/>
                <w:highlight w:val="none"/>
              </w:rPr>
            </w:pPr>
          </w:p>
        </w:tc>
        <w:tc>
          <w:tcPr>
            <w:tcW w:w="798" w:type="dxa"/>
            <w:vAlign w:val="top"/>
          </w:tcPr>
          <w:p w14:paraId="43BF9D57">
            <w:pPr>
              <w:rPr>
                <w:rFonts w:ascii="Arial"/>
                <w:color w:val="auto"/>
                <w:sz w:val="21"/>
                <w:highlight w:val="none"/>
              </w:rPr>
            </w:pPr>
          </w:p>
        </w:tc>
        <w:tc>
          <w:tcPr>
            <w:tcW w:w="793" w:type="dxa"/>
            <w:vAlign w:val="top"/>
          </w:tcPr>
          <w:p w14:paraId="4F843285">
            <w:pPr>
              <w:rPr>
                <w:rFonts w:ascii="Arial"/>
                <w:color w:val="auto"/>
                <w:sz w:val="21"/>
                <w:highlight w:val="none"/>
              </w:rPr>
            </w:pPr>
          </w:p>
        </w:tc>
        <w:tc>
          <w:tcPr>
            <w:tcW w:w="1893" w:type="dxa"/>
            <w:vAlign w:val="top"/>
          </w:tcPr>
          <w:p w14:paraId="1C15390F">
            <w:pPr>
              <w:rPr>
                <w:rFonts w:ascii="Arial"/>
                <w:color w:val="auto"/>
                <w:sz w:val="21"/>
                <w:highlight w:val="none"/>
              </w:rPr>
            </w:pPr>
          </w:p>
        </w:tc>
        <w:tc>
          <w:tcPr>
            <w:tcW w:w="1222" w:type="dxa"/>
            <w:vAlign w:val="top"/>
          </w:tcPr>
          <w:p w14:paraId="2207CA4E">
            <w:pPr>
              <w:rPr>
                <w:rFonts w:ascii="Arial"/>
                <w:color w:val="auto"/>
                <w:sz w:val="21"/>
                <w:highlight w:val="none"/>
              </w:rPr>
            </w:pPr>
          </w:p>
        </w:tc>
      </w:tr>
      <w:tr w14:paraId="6F3A6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121" w:type="dxa"/>
            <w:vAlign w:val="top"/>
          </w:tcPr>
          <w:p w14:paraId="64FF656C">
            <w:pPr>
              <w:pStyle w:val="57"/>
              <w:spacing w:before="133" w:line="222" w:lineRule="auto"/>
              <w:ind w:left="24"/>
              <w:rPr>
                <w:color w:val="auto"/>
                <w:sz w:val="24"/>
                <w:szCs w:val="24"/>
                <w:highlight w:val="none"/>
              </w:rPr>
            </w:pPr>
            <w:r>
              <w:rPr>
                <w:color w:val="auto"/>
                <w:spacing w:val="-3"/>
                <w:sz w:val="24"/>
                <w:szCs w:val="24"/>
                <w:highlight w:val="none"/>
              </w:rPr>
              <w:t>5.施工员</w:t>
            </w:r>
          </w:p>
        </w:tc>
        <w:tc>
          <w:tcPr>
            <w:tcW w:w="1001" w:type="dxa"/>
            <w:vAlign w:val="top"/>
          </w:tcPr>
          <w:p w14:paraId="7FB40AA2">
            <w:pPr>
              <w:rPr>
                <w:rFonts w:ascii="Arial"/>
                <w:color w:val="auto"/>
                <w:sz w:val="21"/>
                <w:highlight w:val="none"/>
              </w:rPr>
            </w:pPr>
          </w:p>
        </w:tc>
        <w:tc>
          <w:tcPr>
            <w:tcW w:w="792" w:type="dxa"/>
            <w:vAlign w:val="top"/>
          </w:tcPr>
          <w:p w14:paraId="0792657A">
            <w:pPr>
              <w:rPr>
                <w:rFonts w:ascii="Arial"/>
                <w:color w:val="auto"/>
                <w:sz w:val="21"/>
                <w:highlight w:val="none"/>
              </w:rPr>
            </w:pPr>
          </w:p>
        </w:tc>
        <w:tc>
          <w:tcPr>
            <w:tcW w:w="798" w:type="dxa"/>
            <w:vAlign w:val="top"/>
          </w:tcPr>
          <w:p w14:paraId="4CF33690">
            <w:pPr>
              <w:rPr>
                <w:rFonts w:ascii="Arial"/>
                <w:color w:val="auto"/>
                <w:sz w:val="21"/>
                <w:highlight w:val="none"/>
              </w:rPr>
            </w:pPr>
          </w:p>
        </w:tc>
        <w:tc>
          <w:tcPr>
            <w:tcW w:w="793" w:type="dxa"/>
            <w:vAlign w:val="top"/>
          </w:tcPr>
          <w:p w14:paraId="19D5BDF5">
            <w:pPr>
              <w:rPr>
                <w:rFonts w:ascii="Arial"/>
                <w:color w:val="auto"/>
                <w:sz w:val="21"/>
                <w:highlight w:val="none"/>
              </w:rPr>
            </w:pPr>
          </w:p>
        </w:tc>
        <w:tc>
          <w:tcPr>
            <w:tcW w:w="1893" w:type="dxa"/>
            <w:vAlign w:val="top"/>
          </w:tcPr>
          <w:p w14:paraId="1E67FAD3">
            <w:pPr>
              <w:rPr>
                <w:rFonts w:ascii="Arial"/>
                <w:color w:val="auto"/>
                <w:sz w:val="21"/>
                <w:highlight w:val="none"/>
              </w:rPr>
            </w:pPr>
          </w:p>
        </w:tc>
        <w:tc>
          <w:tcPr>
            <w:tcW w:w="1222" w:type="dxa"/>
            <w:vAlign w:val="top"/>
          </w:tcPr>
          <w:p w14:paraId="12AA3A7C">
            <w:pPr>
              <w:rPr>
                <w:rFonts w:ascii="Arial"/>
                <w:color w:val="auto"/>
                <w:sz w:val="21"/>
                <w:highlight w:val="none"/>
              </w:rPr>
            </w:pPr>
          </w:p>
        </w:tc>
      </w:tr>
      <w:tr w14:paraId="69B1E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121" w:type="dxa"/>
            <w:vAlign w:val="top"/>
          </w:tcPr>
          <w:p w14:paraId="3C9D6D80">
            <w:pPr>
              <w:pStyle w:val="57"/>
              <w:spacing w:before="134" w:line="219" w:lineRule="auto"/>
              <w:ind w:left="22"/>
              <w:rPr>
                <w:color w:val="auto"/>
                <w:sz w:val="24"/>
                <w:szCs w:val="24"/>
                <w:highlight w:val="none"/>
              </w:rPr>
            </w:pPr>
            <w:r>
              <w:rPr>
                <w:color w:val="auto"/>
                <w:spacing w:val="-3"/>
                <w:sz w:val="24"/>
                <w:szCs w:val="24"/>
                <w:highlight w:val="none"/>
              </w:rPr>
              <w:t>6.材料员</w:t>
            </w:r>
          </w:p>
        </w:tc>
        <w:tc>
          <w:tcPr>
            <w:tcW w:w="1001" w:type="dxa"/>
            <w:vAlign w:val="top"/>
          </w:tcPr>
          <w:p w14:paraId="6832D98B">
            <w:pPr>
              <w:rPr>
                <w:rFonts w:ascii="Arial"/>
                <w:color w:val="auto"/>
                <w:sz w:val="21"/>
                <w:highlight w:val="none"/>
              </w:rPr>
            </w:pPr>
          </w:p>
        </w:tc>
        <w:tc>
          <w:tcPr>
            <w:tcW w:w="792" w:type="dxa"/>
            <w:vAlign w:val="top"/>
          </w:tcPr>
          <w:p w14:paraId="277AC987">
            <w:pPr>
              <w:rPr>
                <w:rFonts w:ascii="Arial"/>
                <w:color w:val="auto"/>
                <w:sz w:val="21"/>
                <w:highlight w:val="none"/>
              </w:rPr>
            </w:pPr>
          </w:p>
        </w:tc>
        <w:tc>
          <w:tcPr>
            <w:tcW w:w="798" w:type="dxa"/>
            <w:vAlign w:val="top"/>
          </w:tcPr>
          <w:p w14:paraId="20AB1FBE">
            <w:pPr>
              <w:rPr>
                <w:rFonts w:ascii="Arial"/>
                <w:color w:val="auto"/>
                <w:sz w:val="21"/>
                <w:highlight w:val="none"/>
              </w:rPr>
            </w:pPr>
          </w:p>
        </w:tc>
        <w:tc>
          <w:tcPr>
            <w:tcW w:w="793" w:type="dxa"/>
            <w:vAlign w:val="top"/>
          </w:tcPr>
          <w:p w14:paraId="7E726325">
            <w:pPr>
              <w:rPr>
                <w:rFonts w:ascii="Arial"/>
                <w:color w:val="auto"/>
                <w:sz w:val="21"/>
                <w:highlight w:val="none"/>
              </w:rPr>
            </w:pPr>
          </w:p>
        </w:tc>
        <w:tc>
          <w:tcPr>
            <w:tcW w:w="1893" w:type="dxa"/>
            <w:vAlign w:val="top"/>
          </w:tcPr>
          <w:p w14:paraId="7907CE05">
            <w:pPr>
              <w:rPr>
                <w:rFonts w:ascii="Arial"/>
                <w:color w:val="auto"/>
                <w:sz w:val="21"/>
                <w:highlight w:val="none"/>
              </w:rPr>
            </w:pPr>
          </w:p>
        </w:tc>
        <w:tc>
          <w:tcPr>
            <w:tcW w:w="1222" w:type="dxa"/>
            <w:vAlign w:val="top"/>
          </w:tcPr>
          <w:p w14:paraId="289AC190">
            <w:pPr>
              <w:rPr>
                <w:rFonts w:ascii="Arial"/>
                <w:color w:val="auto"/>
                <w:sz w:val="21"/>
                <w:highlight w:val="none"/>
              </w:rPr>
            </w:pPr>
          </w:p>
        </w:tc>
      </w:tr>
      <w:tr w14:paraId="38111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121" w:type="dxa"/>
            <w:vAlign w:val="top"/>
          </w:tcPr>
          <w:p w14:paraId="33537B2D">
            <w:pPr>
              <w:pStyle w:val="57"/>
              <w:spacing w:before="310" w:line="99" w:lineRule="exact"/>
              <w:ind w:left="26"/>
              <w:rPr>
                <w:color w:val="auto"/>
                <w:sz w:val="24"/>
                <w:szCs w:val="24"/>
                <w:highlight w:val="none"/>
              </w:rPr>
            </w:pPr>
            <w:r>
              <w:rPr>
                <w:color w:val="auto"/>
                <w:position w:val="1"/>
                <w:sz w:val="24"/>
                <w:szCs w:val="24"/>
                <w:highlight w:val="none"/>
              </w:rPr>
              <w:t>...</w:t>
            </w:r>
          </w:p>
        </w:tc>
        <w:tc>
          <w:tcPr>
            <w:tcW w:w="1001" w:type="dxa"/>
            <w:vAlign w:val="top"/>
          </w:tcPr>
          <w:p w14:paraId="34F403F6">
            <w:pPr>
              <w:rPr>
                <w:rFonts w:ascii="Arial"/>
                <w:color w:val="auto"/>
                <w:sz w:val="21"/>
                <w:highlight w:val="none"/>
              </w:rPr>
            </w:pPr>
          </w:p>
        </w:tc>
        <w:tc>
          <w:tcPr>
            <w:tcW w:w="792" w:type="dxa"/>
            <w:vAlign w:val="top"/>
          </w:tcPr>
          <w:p w14:paraId="4B377984">
            <w:pPr>
              <w:rPr>
                <w:rFonts w:ascii="Arial"/>
                <w:color w:val="auto"/>
                <w:sz w:val="21"/>
                <w:highlight w:val="none"/>
              </w:rPr>
            </w:pPr>
          </w:p>
        </w:tc>
        <w:tc>
          <w:tcPr>
            <w:tcW w:w="798" w:type="dxa"/>
            <w:vAlign w:val="top"/>
          </w:tcPr>
          <w:p w14:paraId="755B5DE5">
            <w:pPr>
              <w:rPr>
                <w:rFonts w:ascii="Arial"/>
                <w:color w:val="auto"/>
                <w:sz w:val="21"/>
                <w:highlight w:val="none"/>
              </w:rPr>
            </w:pPr>
          </w:p>
        </w:tc>
        <w:tc>
          <w:tcPr>
            <w:tcW w:w="793" w:type="dxa"/>
            <w:vAlign w:val="top"/>
          </w:tcPr>
          <w:p w14:paraId="75574F61">
            <w:pPr>
              <w:rPr>
                <w:rFonts w:ascii="Arial"/>
                <w:color w:val="auto"/>
                <w:sz w:val="21"/>
                <w:highlight w:val="none"/>
              </w:rPr>
            </w:pPr>
          </w:p>
        </w:tc>
        <w:tc>
          <w:tcPr>
            <w:tcW w:w="1893" w:type="dxa"/>
            <w:vAlign w:val="top"/>
          </w:tcPr>
          <w:p w14:paraId="67517647">
            <w:pPr>
              <w:rPr>
                <w:rFonts w:ascii="Arial"/>
                <w:color w:val="auto"/>
                <w:sz w:val="21"/>
                <w:highlight w:val="none"/>
              </w:rPr>
            </w:pPr>
          </w:p>
        </w:tc>
        <w:tc>
          <w:tcPr>
            <w:tcW w:w="1222" w:type="dxa"/>
            <w:vAlign w:val="top"/>
          </w:tcPr>
          <w:p w14:paraId="508BDF17">
            <w:pPr>
              <w:rPr>
                <w:rFonts w:ascii="Arial"/>
                <w:color w:val="auto"/>
                <w:sz w:val="21"/>
                <w:highlight w:val="none"/>
              </w:rPr>
            </w:pPr>
          </w:p>
        </w:tc>
      </w:tr>
      <w:tr w14:paraId="3BA80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2121" w:type="dxa"/>
            <w:vAlign w:val="top"/>
          </w:tcPr>
          <w:p w14:paraId="5D3B643E">
            <w:pPr>
              <w:rPr>
                <w:rFonts w:ascii="Arial"/>
                <w:color w:val="auto"/>
                <w:sz w:val="21"/>
                <w:highlight w:val="none"/>
              </w:rPr>
            </w:pPr>
          </w:p>
        </w:tc>
        <w:tc>
          <w:tcPr>
            <w:tcW w:w="1001" w:type="dxa"/>
            <w:vAlign w:val="top"/>
          </w:tcPr>
          <w:p w14:paraId="461E656F">
            <w:pPr>
              <w:rPr>
                <w:rFonts w:ascii="Arial"/>
                <w:color w:val="auto"/>
                <w:sz w:val="21"/>
                <w:highlight w:val="none"/>
              </w:rPr>
            </w:pPr>
          </w:p>
        </w:tc>
        <w:tc>
          <w:tcPr>
            <w:tcW w:w="792" w:type="dxa"/>
            <w:vAlign w:val="top"/>
          </w:tcPr>
          <w:p w14:paraId="334AED26">
            <w:pPr>
              <w:rPr>
                <w:rFonts w:ascii="Arial"/>
                <w:color w:val="auto"/>
                <w:sz w:val="21"/>
                <w:highlight w:val="none"/>
              </w:rPr>
            </w:pPr>
          </w:p>
        </w:tc>
        <w:tc>
          <w:tcPr>
            <w:tcW w:w="798" w:type="dxa"/>
            <w:vAlign w:val="top"/>
          </w:tcPr>
          <w:p w14:paraId="7028C117">
            <w:pPr>
              <w:rPr>
                <w:rFonts w:ascii="Arial"/>
                <w:color w:val="auto"/>
                <w:sz w:val="21"/>
                <w:highlight w:val="none"/>
              </w:rPr>
            </w:pPr>
          </w:p>
        </w:tc>
        <w:tc>
          <w:tcPr>
            <w:tcW w:w="793" w:type="dxa"/>
            <w:vAlign w:val="top"/>
          </w:tcPr>
          <w:p w14:paraId="0618169F">
            <w:pPr>
              <w:rPr>
                <w:rFonts w:ascii="Arial"/>
                <w:color w:val="auto"/>
                <w:sz w:val="21"/>
                <w:highlight w:val="none"/>
              </w:rPr>
            </w:pPr>
          </w:p>
        </w:tc>
        <w:tc>
          <w:tcPr>
            <w:tcW w:w="1893" w:type="dxa"/>
            <w:vAlign w:val="top"/>
          </w:tcPr>
          <w:p w14:paraId="3DD2736D">
            <w:pPr>
              <w:rPr>
                <w:rFonts w:ascii="Arial"/>
                <w:color w:val="auto"/>
                <w:sz w:val="21"/>
                <w:highlight w:val="none"/>
              </w:rPr>
            </w:pPr>
          </w:p>
        </w:tc>
        <w:tc>
          <w:tcPr>
            <w:tcW w:w="1222" w:type="dxa"/>
            <w:vAlign w:val="top"/>
          </w:tcPr>
          <w:p w14:paraId="04013A81">
            <w:pPr>
              <w:rPr>
                <w:rFonts w:ascii="Arial"/>
                <w:color w:val="auto"/>
                <w:sz w:val="21"/>
                <w:highlight w:val="none"/>
              </w:rPr>
            </w:pPr>
          </w:p>
        </w:tc>
      </w:tr>
    </w:tbl>
    <w:p w14:paraId="0926F774">
      <w:pPr>
        <w:spacing w:line="420" w:lineRule="auto"/>
        <w:rPr>
          <w:rFonts w:ascii="Arial"/>
          <w:color w:val="auto"/>
          <w:sz w:val="21"/>
          <w:highlight w:val="none"/>
        </w:rPr>
      </w:pPr>
    </w:p>
    <w:p w14:paraId="050B8790">
      <w:pPr>
        <w:pStyle w:val="10"/>
        <w:spacing w:before="78" w:line="219" w:lineRule="auto"/>
        <w:ind w:left="3557"/>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3AC9D919">
      <w:pPr>
        <w:pStyle w:val="10"/>
        <w:spacing w:before="182" w:line="220" w:lineRule="auto"/>
        <w:ind w:left="5833"/>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25"/>
          <w:sz w:val="24"/>
          <w:szCs w:val="24"/>
          <w:highlight w:val="none"/>
        </w:rPr>
        <w:t xml:space="preserve">  </w:t>
      </w:r>
      <w:r>
        <w:rPr>
          <w:color w:val="auto"/>
          <w:spacing w:val="-13"/>
          <w:sz w:val="24"/>
          <w:szCs w:val="24"/>
          <w:highlight w:val="none"/>
        </w:rPr>
        <w:t>日</w:t>
      </w:r>
    </w:p>
    <w:p w14:paraId="371293A7">
      <w:pPr>
        <w:pStyle w:val="10"/>
        <w:spacing w:before="177" w:line="233" w:lineRule="auto"/>
        <w:ind w:left="71"/>
        <w:rPr>
          <w:color w:val="auto"/>
          <w:sz w:val="20"/>
          <w:szCs w:val="20"/>
          <w:highlight w:val="none"/>
        </w:rPr>
      </w:pPr>
      <w:r>
        <w:rPr>
          <w:color w:val="auto"/>
          <w:sz w:val="20"/>
          <w:szCs w:val="20"/>
          <w:highlight w:val="none"/>
        </w:rPr>
        <w:t>注：</w:t>
      </w:r>
    </w:p>
    <w:p w14:paraId="35E83A26">
      <w:pPr>
        <w:pStyle w:val="34"/>
        <w:snapToGrid w:val="0"/>
        <w:spacing w:line="500" w:lineRule="exact"/>
        <w:ind w:firstLine="424"/>
        <w:rPr>
          <w:rFonts w:hint="eastAsia" w:ascii="宋体" w:hAnsi="宋体"/>
          <w:color w:val="auto"/>
          <w:position w:val="-2"/>
          <w:highlight w:val="none"/>
        </w:rPr>
      </w:pPr>
      <w:r>
        <w:rPr>
          <w:color w:val="auto"/>
          <w:spacing w:val="9"/>
          <w:sz w:val="20"/>
          <w:szCs w:val="20"/>
          <w:highlight w:val="none"/>
        </w:rPr>
        <w:t>1.本表所列岗位的所有管理人员的情况均应如实填写。可按以上格式扩</w:t>
      </w:r>
      <w:r>
        <w:rPr>
          <w:color w:val="auto"/>
          <w:spacing w:val="8"/>
          <w:sz w:val="20"/>
          <w:szCs w:val="20"/>
          <w:highlight w:val="none"/>
        </w:rPr>
        <w:t>展为多页填写。</w:t>
      </w:r>
      <w:r>
        <w:rPr>
          <w:rFonts w:hint="eastAsia" w:ascii="宋体" w:hAnsi="宋体"/>
          <w:color w:val="auto"/>
          <w:position w:val="-2"/>
          <w:highlight w:val="none"/>
        </w:rPr>
        <w:tab/>
      </w:r>
    </w:p>
    <w:p w14:paraId="76399704">
      <w:pPr>
        <w:rPr>
          <w:rFonts w:hint="eastAsia" w:ascii="宋体" w:hAnsi="宋体"/>
          <w:color w:val="auto"/>
          <w:position w:val="-2"/>
          <w:highlight w:val="none"/>
        </w:rPr>
      </w:pPr>
      <w:r>
        <w:rPr>
          <w:rFonts w:hint="eastAsia" w:ascii="宋体" w:hAnsi="宋体"/>
          <w:color w:val="auto"/>
          <w:position w:val="-2"/>
          <w:highlight w:val="none"/>
        </w:rPr>
        <w:br w:type="page"/>
      </w:r>
    </w:p>
    <w:bookmarkEnd w:id="1374"/>
    <w:bookmarkEnd w:id="1375"/>
    <w:p w14:paraId="0D93CE61">
      <w:pPr>
        <w:pStyle w:val="10"/>
        <w:spacing w:before="98" w:line="219" w:lineRule="auto"/>
        <w:ind w:left="2559"/>
        <w:rPr>
          <w:color w:val="auto"/>
          <w:sz w:val="30"/>
          <w:szCs w:val="30"/>
          <w:highlight w:val="none"/>
        </w:rPr>
      </w:pPr>
      <w:r>
        <w:rPr>
          <w:b/>
          <w:bCs/>
          <w:color w:val="auto"/>
          <w:spacing w:val="-4"/>
          <w:sz w:val="30"/>
          <w:szCs w:val="30"/>
          <w:highlight w:val="none"/>
        </w:rPr>
        <w:t>2.项目经理（注册建造师）简历表</w:t>
      </w:r>
    </w:p>
    <w:p w14:paraId="3A740126">
      <w:pPr>
        <w:spacing w:before="68"/>
        <w:rPr>
          <w:color w:val="auto"/>
          <w:highlight w:val="none"/>
        </w:rPr>
      </w:pPr>
    </w:p>
    <w:p w14:paraId="1FB2CFD0">
      <w:pPr>
        <w:spacing w:before="67"/>
        <w:rPr>
          <w:color w:val="auto"/>
          <w:highlight w:val="none"/>
        </w:rPr>
      </w:pPr>
    </w:p>
    <w:tbl>
      <w:tblPr>
        <w:tblStyle w:val="58"/>
        <w:tblW w:w="91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1"/>
        <w:gridCol w:w="464"/>
        <w:gridCol w:w="1547"/>
        <w:gridCol w:w="328"/>
        <w:gridCol w:w="1218"/>
        <w:gridCol w:w="674"/>
        <w:gridCol w:w="873"/>
        <w:gridCol w:w="711"/>
        <w:gridCol w:w="835"/>
        <w:gridCol w:w="272"/>
        <w:gridCol w:w="1280"/>
      </w:tblGrid>
      <w:tr w14:paraId="3B5EE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941" w:type="dxa"/>
            <w:vAlign w:val="top"/>
          </w:tcPr>
          <w:p w14:paraId="0519150F">
            <w:pPr>
              <w:pStyle w:val="57"/>
              <w:spacing w:before="105" w:line="220" w:lineRule="auto"/>
              <w:ind w:left="237"/>
              <w:rPr>
                <w:color w:val="auto"/>
                <w:sz w:val="24"/>
                <w:szCs w:val="24"/>
                <w:highlight w:val="none"/>
              </w:rPr>
            </w:pPr>
            <w:r>
              <w:rPr>
                <w:color w:val="auto"/>
                <w:spacing w:val="-5"/>
                <w:sz w:val="24"/>
                <w:szCs w:val="24"/>
                <w:highlight w:val="none"/>
              </w:rPr>
              <w:t>姓名</w:t>
            </w:r>
          </w:p>
        </w:tc>
        <w:tc>
          <w:tcPr>
            <w:tcW w:w="2339" w:type="dxa"/>
            <w:gridSpan w:val="3"/>
            <w:vAlign w:val="top"/>
          </w:tcPr>
          <w:p w14:paraId="25A7EB66">
            <w:pPr>
              <w:rPr>
                <w:rFonts w:ascii="Arial"/>
                <w:color w:val="auto"/>
                <w:sz w:val="21"/>
                <w:highlight w:val="none"/>
              </w:rPr>
            </w:pPr>
          </w:p>
        </w:tc>
        <w:tc>
          <w:tcPr>
            <w:tcW w:w="1892" w:type="dxa"/>
            <w:gridSpan w:val="2"/>
            <w:vAlign w:val="top"/>
          </w:tcPr>
          <w:p w14:paraId="0693EBE9">
            <w:pPr>
              <w:pStyle w:val="57"/>
              <w:spacing w:before="105" w:line="221" w:lineRule="auto"/>
              <w:ind w:left="711"/>
              <w:rPr>
                <w:color w:val="auto"/>
                <w:sz w:val="24"/>
                <w:szCs w:val="24"/>
                <w:highlight w:val="none"/>
              </w:rPr>
            </w:pPr>
            <w:r>
              <w:rPr>
                <w:color w:val="auto"/>
                <w:spacing w:val="-5"/>
                <w:sz w:val="24"/>
                <w:szCs w:val="24"/>
                <w:highlight w:val="none"/>
              </w:rPr>
              <w:t>性别</w:t>
            </w:r>
          </w:p>
        </w:tc>
        <w:tc>
          <w:tcPr>
            <w:tcW w:w="1584" w:type="dxa"/>
            <w:gridSpan w:val="2"/>
            <w:vAlign w:val="top"/>
          </w:tcPr>
          <w:p w14:paraId="1BA76232">
            <w:pPr>
              <w:rPr>
                <w:rFonts w:ascii="Arial"/>
                <w:color w:val="auto"/>
                <w:sz w:val="21"/>
                <w:highlight w:val="none"/>
              </w:rPr>
            </w:pPr>
          </w:p>
        </w:tc>
        <w:tc>
          <w:tcPr>
            <w:tcW w:w="1107" w:type="dxa"/>
            <w:gridSpan w:val="2"/>
            <w:vAlign w:val="top"/>
          </w:tcPr>
          <w:p w14:paraId="67A806ED">
            <w:pPr>
              <w:pStyle w:val="57"/>
              <w:spacing w:before="105" w:line="220" w:lineRule="auto"/>
              <w:ind w:left="322"/>
              <w:rPr>
                <w:color w:val="auto"/>
                <w:sz w:val="24"/>
                <w:szCs w:val="24"/>
                <w:highlight w:val="none"/>
              </w:rPr>
            </w:pPr>
            <w:r>
              <w:rPr>
                <w:color w:val="auto"/>
                <w:spacing w:val="-6"/>
                <w:sz w:val="24"/>
                <w:szCs w:val="24"/>
                <w:highlight w:val="none"/>
              </w:rPr>
              <w:t>年龄</w:t>
            </w:r>
          </w:p>
        </w:tc>
        <w:tc>
          <w:tcPr>
            <w:tcW w:w="1280" w:type="dxa"/>
            <w:vAlign w:val="top"/>
          </w:tcPr>
          <w:p w14:paraId="2C2A9A9B">
            <w:pPr>
              <w:rPr>
                <w:rFonts w:ascii="Arial"/>
                <w:color w:val="auto"/>
                <w:sz w:val="21"/>
                <w:highlight w:val="none"/>
              </w:rPr>
            </w:pPr>
          </w:p>
        </w:tc>
      </w:tr>
      <w:tr w14:paraId="48D62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41" w:type="dxa"/>
            <w:vAlign w:val="top"/>
          </w:tcPr>
          <w:p w14:paraId="1849AD05">
            <w:pPr>
              <w:pStyle w:val="57"/>
              <w:spacing w:before="192" w:line="220" w:lineRule="auto"/>
              <w:ind w:left="238"/>
              <w:rPr>
                <w:color w:val="auto"/>
                <w:sz w:val="24"/>
                <w:szCs w:val="24"/>
                <w:highlight w:val="none"/>
              </w:rPr>
            </w:pPr>
            <w:r>
              <w:rPr>
                <w:color w:val="auto"/>
                <w:spacing w:val="-6"/>
                <w:sz w:val="24"/>
                <w:szCs w:val="24"/>
                <w:highlight w:val="none"/>
              </w:rPr>
              <w:t>职务</w:t>
            </w:r>
          </w:p>
        </w:tc>
        <w:tc>
          <w:tcPr>
            <w:tcW w:w="2339" w:type="dxa"/>
            <w:gridSpan w:val="3"/>
            <w:vAlign w:val="top"/>
          </w:tcPr>
          <w:p w14:paraId="050E3012">
            <w:pPr>
              <w:rPr>
                <w:rFonts w:ascii="Arial"/>
                <w:color w:val="auto"/>
                <w:sz w:val="21"/>
                <w:highlight w:val="none"/>
              </w:rPr>
            </w:pPr>
          </w:p>
        </w:tc>
        <w:tc>
          <w:tcPr>
            <w:tcW w:w="1892" w:type="dxa"/>
            <w:gridSpan w:val="2"/>
            <w:vAlign w:val="top"/>
          </w:tcPr>
          <w:p w14:paraId="745F2DB2">
            <w:pPr>
              <w:pStyle w:val="57"/>
              <w:spacing w:before="192" w:line="222" w:lineRule="auto"/>
              <w:ind w:left="712"/>
              <w:rPr>
                <w:color w:val="auto"/>
                <w:sz w:val="24"/>
                <w:szCs w:val="24"/>
                <w:highlight w:val="none"/>
              </w:rPr>
            </w:pPr>
            <w:r>
              <w:rPr>
                <w:color w:val="auto"/>
                <w:spacing w:val="-6"/>
                <w:sz w:val="24"/>
                <w:szCs w:val="24"/>
                <w:highlight w:val="none"/>
              </w:rPr>
              <w:t>职称</w:t>
            </w:r>
          </w:p>
        </w:tc>
        <w:tc>
          <w:tcPr>
            <w:tcW w:w="1584" w:type="dxa"/>
            <w:gridSpan w:val="2"/>
            <w:vAlign w:val="top"/>
          </w:tcPr>
          <w:p w14:paraId="1016949A">
            <w:pPr>
              <w:rPr>
                <w:rFonts w:ascii="Arial"/>
                <w:color w:val="auto"/>
                <w:sz w:val="21"/>
                <w:highlight w:val="none"/>
              </w:rPr>
            </w:pPr>
          </w:p>
        </w:tc>
        <w:tc>
          <w:tcPr>
            <w:tcW w:w="1107" w:type="dxa"/>
            <w:gridSpan w:val="2"/>
            <w:vAlign w:val="top"/>
          </w:tcPr>
          <w:p w14:paraId="408BAF76">
            <w:pPr>
              <w:pStyle w:val="57"/>
              <w:spacing w:before="192" w:line="222" w:lineRule="auto"/>
              <w:ind w:left="326"/>
              <w:rPr>
                <w:color w:val="auto"/>
                <w:sz w:val="24"/>
                <w:szCs w:val="24"/>
                <w:highlight w:val="none"/>
              </w:rPr>
            </w:pPr>
            <w:r>
              <w:rPr>
                <w:color w:val="auto"/>
                <w:spacing w:val="-8"/>
                <w:sz w:val="24"/>
                <w:szCs w:val="24"/>
                <w:highlight w:val="none"/>
              </w:rPr>
              <w:t>学历</w:t>
            </w:r>
          </w:p>
        </w:tc>
        <w:tc>
          <w:tcPr>
            <w:tcW w:w="1280" w:type="dxa"/>
            <w:vAlign w:val="top"/>
          </w:tcPr>
          <w:p w14:paraId="691E880B">
            <w:pPr>
              <w:rPr>
                <w:rFonts w:ascii="Arial"/>
                <w:color w:val="auto"/>
                <w:sz w:val="21"/>
                <w:highlight w:val="none"/>
              </w:rPr>
            </w:pPr>
          </w:p>
        </w:tc>
      </w:tr>
      <w:tr w14:paraId="17D05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280" w:type="dxa"/>
            <w:gridSpan w:val="4"/>
            <w:vAlign w:val="top"/>
          </w:tcPr>
          <w:p w14:paraId="795717A9">
            <w:pPr>
              <w:pStyle w:val="57"/>
              <w:spacing w:before="181" w:line="221" w:lineRule="auto"/>
              <w:ind w:left="928"/>
              <w:rPr>
                <w:color w:val="auto"/>
                <w:sz w:val="24"/>
                <w:szCs w:val="24"/>
                <w:highlight w:val="none"/>
              </w:rPr>
            </w:pPr>
            <w:r>
              <w:rPr>
                <w:color w:val="auto"/>
                <w:spacing w:val="-2"/>
                <w:sz w:val="24"/>
                <w:szCs w:val="24"/>
                <w:highlight w:val="none"/>
              </w:rPr>
              <w:t>参加工作时间</w:t>
            </w:r>
          </w:p>
        </w:tc>
        <w:tc>
          <w:tcPr>
            <w:tcW w:w="1892" w:type="dxa"/>
            <w:gridSpan w:val="2"/>
            <w:vAlign w:val="top"/>
          </w:tcPr>
          <w:p w14:paraId="390E8BFC">
            <w:pPr>
              <w:rPr>
                <w:rFonts w:ascii="Arial"/>
                <w:color w:val="auto"/>
                <w:sz w:val="21"/>
                <w:highlight w:val="none"/>
              </w:rPr>
            </w:pPr>
          </w:p>
        </w:tc>
        <w:tc>
          <w:tcPr>
            <w:tcW w:w="2691" w:type="dxa"/>
            <w:gridSpan w:val="4"/>
            <w:vAlign w:val="top"/>
          </w:tcPr>
          <w:p w14:paraId="69F514BA">
            <w:pPr>
              <w:pStyle w:val="57"/>
              <w:spacing w:before="182" w:line="220" w:lineRule="auto"/>
              <w:ind w:left="394"/>
              <w:rPr>
                <w:color w:val="auto"/>
                <w:sz w:val="24"/>
                <w:szCs w:val="24"/>
                <w:highlight w:val="none"/>
              </w:rPr>
            </w:pPr>
            <w:r>
              <w:rPr>
                <w:color w:val="auto"/>
                <w:spacing w:val="-2"/>
                <w:sz w:val="24"/>
                <w:szCs w:val="24"/>
                <w:highlight w:val="none"/>
              </w:rPr>
              <w:t>担任项目经理年限</w:t>
            </w:r>
          </w:p>
        </w:tc>
        <w:tc>
          <w:tcPr>
            <w:tcW w:w="1280" w:type="dxa"/>
            <w:vAlign w:val="top"/>
          </w:tcPr>
          <w:p w14:paraId="4E7DAEA3">
            <w:pPr>
              <w:rPr>
                <w:rFonts w:ascii="Arial"/>
                <w:color w:val="auto"/>
                <w:sz w:val="21"/>
                <w:highlight w:val="none"/>
              </w:rPr>
            </w:pPr>
          </w:p>
        </w:tc>
      </w:tr>
      <w:tr w14:paraId="11774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280" w:type="dxa"/>
            <w:gridSpan w:val="4"/>
            <w:vAlign w:val="top"/>
          </w:tcPr>
          <w:p w14:paraId="782D1860">
            <w:pPr>
              <w:pStyle w:val="57"/>
              <w:spacing w:before="115" w:line="220" w:lineRule="auto"/>
              <w:ind w:left="809"/>
              <w:rPr>
                <w:color w:val="auto"/>
                <w:sz w:val="24"/>
                <w:szCs w:val="24"/>
                <w:highlight w:val="none"/>
              </w:rPr>
            </w:pPr>
            <w:r>
              <w:rPr>
                <w:color w:val="auto"/>
                <w:spacing w:val="-2"/>
                <w:sz w:val="24"/>
                <w:szCs w:val="24"/>
                <w:highlight w:val="none"/>
              </w:rPr>
              <w:t>建造师注册编号</w:t>
            </w:r>
          </w:p>
        </w:tc>
        <w:tc>
          <w:tcPr>
            <w:tcW w:w="5863" w:type="dxa"/>
            <w:gridSpan w:val="7"/>
            <w:vAlign w:val="top"/>
          </w:tcPr>
          <w:p w14:paraId="0CBDA6A5">
            <w:pPr>
              <w:rPr>
                <w:rFonts w:ascii="Arial"/>
                <w:color w:val="auto"/>
                <w:sz w:val="21"/>
                <w:highlight w:val="none"/>
              </w:rPr>
            </w:pPr>
          </w:p>
        </w:tc>
      </w:tr>
      <w:tr w14:paraId="63389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143" w:type="dxa"/>
            <w:gridSpan w:val="11"/>
            <w:vAlign w:val="top"/>
          </w:tcPr>
          <w:p w14:paraId="4188E886">
            <w:pPr>
              <w:pStyle w:val="57"/>
              <w:spacing w:before="192" w:line="220" w:lineRule="auto"/>
              <w:ind w:left="3258"/>
              <w:rPr>
                <w:color w:val="auto"/>
                <w:sz w:val="24"/>
                <w:szCs w:val="24"/>
                <w:highlight w:val="none"/>
              </w:rPr>
            </w:pPr>
            <w:r>
              <w:rPr>
                <w:color w:val="auto"/>
                <w:spacing w:val="-1"/>
                <w:sz w:val="24"/>
                <w:szCs w:val="24"/>
                <w:highlight w:val="none"/>
              </w:rPr>
              <w:t>在建和已完工程项目情况</w:t>
            </w:r>
          </w:p>
        </w:tc>
      </w:tr>
      <w:tr w14:paraId="023E1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405" w:type="dxa"/>
            <w:gridSpan w:val="2"/>
            <w:vAlign w:val="top"/>
          </w:tcPr>
          <w:p w14:paraId="004D8120">
            <w:pPr>
              <w:pStyle w:val="57"/>
              <w:spacing w:before="184" w:line="221" w:lineRule="auto"/>
              <w:ind w:left="230"/>
              <w:rPr>
                <w:color w:val="auto"/>
                <w:sz w:val="24"/>
                <w:szCs w:val="24"/>
                <w:highlight w:val="none"/>
              </w:rPr>
            </w:pPr>
            <w:r>
              <w:rPr>
                <w:color w:val="auto"/>
                <w:spacing w:val="-4"/>
                <w:sz w:val="24"/>
                <w:szCs w:val="24"/>
                <w:highlight w:val="none"/>
              </w:rPr>
              <w:t>建设单位</w:t>
            </w:r>
          </w:p>
        </w:tc>
        <w:tc>
          <w:tcPr>
            <w:tcW w:w="1547" w:type="dxa"/>
            <w:vAlign w:val="top"/>
          </w:tcPr>
          <w:p w14:paraId="313BD2F7">
            <w:pPr>
              <w:pStyle w:val="57"/>
              <w:spacing w:before="184" w:line="221" w:lineRule="auto"/>
              <w:ind w:left="302"/>
              <w:rPr>
                <w:color w:val="auto"/>
                <w:sz w:val="24"/>
                <w:szCs w:val="24"/>
                <w:highlight w:val="none"/>
              </w:rPr>
            </w:pPr>
            <w:r>
              <w:rPr>
                <w:color w:val="auto"/>
                <w:spacing w:val="-4"/>
                <w:sz w:val="24"/>
                <w:szCs w:val="24"/>
                <w:highlight w:val="none"/>
              </w:rPr>
              <w:t>项目名称</w:t>
            </w:r>
          </w:p>
        </w:tc>
        <w:tc>
          <w:tcPr>
            <w:tcW w:w="1546" w:type="dxa"/>
            <w:gridSpan w:val="2"/>
            <w:vAlign w:val="top"/>
          </w:tcPr>
          <w:p w14:paraId="7155E051">
            <w:pPr>
              <w:pStyle w:val="57"/>
              <w:spacing w:before="184" w:line="220" w:lineRule="auto"/>
              <w:ind w:left="302"/>
              <w:rPr>
                <w:color w:val="auto"/>
                <w:sz w:val="24"/>
                <w:szCs w:val="24"/>
                <w:highlight w:val="none"/>
              </w:rPr>
            </w:pPr>
            <w:r>
              <w:rPr>
                <w:color w:val="auto"/>
                <w:spacing w:val="-4"/>
                <w:sz w:val="24"/>
                <w:szCs w:val="24"/>
                <w:highlight w:val="none"/>
              </w:rPr>
              <w:t>建设规模</w:t>
            </w:r>
          </w:p>
        </w:tc>
        <w:tc>
          <w:tcPr>
            <w:tcW w:w="1547" w:type="dxa"/>
            <w:gridSpan w:val="2"/>
            <w:vAlign w:val="top"/>
          </w:tcPr>
          <w:p w14:paraId="4818C7C3">
            <w:pPr>
              <w:pStyle w:val="57"/>
              <w:spacing w:before="184" w:line="220" w:lineRule="auto"/>
              <w:ind w:left="115"/>
              <w:rPr>
                <w:color w:val="auto"/>
                <w:sz w:val="24"/>
                <w:szCs w:val="24"/>
                <w:highlight w:val="none"/>
              </w:rPr>
            </w:pPr>
            <w:r>
              <w:rPr>
                <w:color w:val="auto"/>
                <w:spacing w:val="-20"/>
                <w:sz w:val="24"/>
                <w:szCs w:val="24"/>
                <w:highlight w:val="none"/>
              </w:rPr>
              <w:t>开、竣工日期</w:t>
            </w:r>
          </w:p>
        </w:tc>
        <w:tc>
          <w:tcPr>
            <w:tcW w:w="1546" w:type="dxa"/>
            <w:gridSpan w:val="2"/>
            <w:vAlign w:val="top"/>
          </w:tcPr>
          <w:p w14:paraId="4B1E529D">
            <w:pPr>
              <w:pStyle w:val="57"/>
              <w:spacing w:before="184" w:line="220" w:lineRule="auto"/>
              <w:ind w:left="179"/>
              <w:rPr>
                <w:color w:val="auto"/>
                <w:sz w:val="24"/>
                <w:szCs w:val="24"/>
                <w:highlight w:val="none"/>
              </w:rPr>
            </w:pPr>
            <w:r>
              <w:rPr>
                <w:color w:val="auto"/>
                <w:spacing w:val="-2"/>
                <w:sz w:val="24"/>
                <w:szCs w:val="24"/>
                <w:highlight w:val="none"/>
              </w:rPr>
              <w:t>在建或已完</w:t>
            </w:r>
          </w:p>
        </w:tc>
        <w:tc>
          <w:tcPr>
            <w:tcW w:w="1552" w:type="dxa"/>
            <w:gridSpan w:val="2"/>
            <w:vAlign w:val="top"/>
          </w:tcPr>
          <w:p w14:paraId="0514938E">
            <w:pPr>
              <w:pStyle w:val="57"/>
              <w:spacing w:before="184" w:line="221" w:lineRule="auto"/>
              <w:ind w:left="305"/>
              <w:rPr>
                <w:color w:val="auto"/>
                <w:sz w:val="24"/>
                <w:szCs w:val="24"/>
                <w:highlight w:val="none"/>
              </w:rPr>
            </w:pPr>
            <w:r>
              <w:rPr>
                <w:color w:val="auto"/>
                <w:spacing w:val="-4"/>
                <w:sz w:val="24"/>
                <w:szCs w:val="24"/>
                <w:highlight w:val="none"/>
              </w:rPr>
              <w:t>工程质量</w:t>
            </w:r>
          </w:p>
        </w:tc>
      </w:tr>
      <w:tr w14:paraId="225FA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405" w:type="dxa"/>
            <w:gridSpan w:val="2"/>
            <w:vAlign w:val="top"/>
          </w:tcPr>
          <w:p w14:paraId="408F35A5">
            <w:pPr>
              <w:rPr>
                <w:rFonts w:ascii="Arial"/>
                <w:color w:val="auto"/>
                <w:sz w:val="21"/>
                <w:highlight w:val="none"/>
              </w:rPr>
            </w:pPr>
          </w:p>
        </w:tc>
        <w:tc>
          <w:tcPr>
            <w:tcW w:w="1547" w:type="dxa"/>
            <w:vAlign w:val="top"/>
          </w:tcPr>
          <w:p w14:paraId="2EA25601">
            <w:pPr>
              <w:rPr>
                <w:rFonts w:ascii="Arial"/>
                <w:color w:val="auto"/>
                <w:sz w:val="21"/>
                <w:highlight w:val="none"/>
              </w:rPr>
            </w:pPr>
          </w:p>
        </w:tc>
        <w:tc>
          <w:tcPr>
            <w:tcW w:w="1546" w:type="dxa"/>
            <w:gridSpan w:val="2"/>
            <w:vAlign w:val="top"/>
          </w:tcPr>
          <w:p w14:paraId="55811445">
            <w:pPr>
              <w:rPr>
                <w:rFonts w:ascii="Arial"/>
                <w:color w:val="auto"/>
                <w:sz w:val="21"/>
                <w:highlight w:val="none"/>
              </w:rPr>
            </w:pPr>
          </w:p>
        </w:tc>
        <w:tc>
          <w:tcPr>
            <w:tcW w:w="1547" w:type="dxa"/>
            <w:gridSpan w:val="2"/>
            <w:vAlign w:val="top"/>
          </w:tcPr>
          <w:p w14:paraId="7777C1E2">
            <w:pPr>
              <w:rPr>
                <w:rFonts w:ascii="Arial"/>
                <w:color w:val="auto"/>
                <w:sz w:val="21"/>
                <w:highlight w:val="none"/>
              </w:rPr>
            </w:pPr>
          </w:p>
        </w:tc>
        <w:tc>
          <w:tcPr>
            <w:tcW w:w="1546" w:type="dxa"/>
            <w:gridSpan w:val="2"/>
            <w:vAlign w:val="top"/>
          </w:tcPr>
          <w:p w14:paraId="32E47566">
            <w:pPr>
              <w:rPr>
                <w:rFonts w:ascii="Arial"/>
                <w:color w:val="auto"/>
                <w:sz w:val="21"/>
                <w:highlight w:val="none"/>
              </w:rPr>
            </w:pPr>
          </w:p>
        </w:tc>
        <w:tc>
          <w:tcPr>
            <w:tcW w:w="1552" w:type="dxa"/>
            <w:gridSpan w:val="2"/>
            <w:vAlign w:val="top"/>
          </w:tcPr>
          <w:p w14:paraId="31D1EFAD">
            <w:pPr>
              <w:rPr>
                <w:rFonts w:ascii="Arial"/>
                <w:color w:val="auto"/>
                <w:sz w:val="21"/>
                <w:highlight w:val="none"/>
              </w:rPr>
            </w:pPr>
          </w:p>
        </w:tc>
      </w:tr>
      <w:tr w14:paraId="408C9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405" w:type="dxa"/>
            <w:gridSpan w:val="2"/>
            <w:vAlign w:val="top"/>
          </w:tcPr>
          <w:p w14:paraId="60502D20">
            <w:pPr>
              <w:rPr>
                <w:rFonts w:ascii="Arial"/>
                <w:color w:val="auto"/>
                <w:sz w:val="21"/>
                <w:highlight w:val="none"/>
              </w:rPr>
            </w:pPr>
          </w:p>
        </w:tc>
        <w:tc>
          <w:tcPr>
            <w:tcW w:w="1547" w:type="dxa"/>
            <w:vAlign w:val="top"/>
          </w:tcPr>
          <w:p w14:paraId="71362DBF">
            <w:pPr>
              <w:rPr>
                <w:rFonts w:ascii="Arial"/>
                <w:color w:val="auto"/>
                <w:sz w:val="21"/>
                <w:highlight w:val="none"/>
              </w:rPr>
            </w:pPr>
          </w:p>
        </w:tc>
        <w:tc>
          <w:tcPr>
            <w:tcW w:w="1546" w:type="dxa"/>
            <w:gridSpan w:val="2"/>
            <w:vAlign w:val="top"/>
          </w:tcPr>
          <w:p w14:paraId="7433FF00">
            <w:pPr>
              <w:rPr>
                <w:rFonts w:ascii="Arial"/>
                <w:color w:val="auto"/>
                <w:sz w:val="21"/>
                <w:highlight w:val="none"/>
              </w:rPr>
            </w:pPr>
          </w:p>
        </w:tc>
        <w:tc>
          <w:tcPr>
            <w:tcW w:w="1547" w:type="dxa"/>
            <w:gridSpan w:val="2"/>
            <w:vAlign w:val="top"/>
          </w:tcPr>
          <w:p w14:paraId="28C5CE58">
            <w:pPr>
              <w:rPr>
                <w:rFonts w:ascii="Arial"/>
                <w:color w:val="auto"/>
                <w:sz w:val="21"/>
                <w:highlight w:val="none"/>
              </w:rPr>
            </w:pPr>
          </w:p>
        </w:tc>
        <w:tc>
          <w:tcPr>
            <w:tcW w:w="1546" w:type="dxa"/>
            <w:gridSpan w:val="2"/>
            <w:vAlign w:val="top"/>
          </w:tcPr>
          <w:p w14:paraId="0A65DD5E">
            <w:pPr>
              <w:rPr>
                <w:rFonts w:ascii="Arial"/>
                <w:color w:val="auto"/>
                <w:sz w:val="21"/>
                <w:highlight w:val="none"/>
              </w:rPr>
            </w:pPr>
          </w:p>
        </w:tc>
        <w:tc>
          <w:tcPr>
            <w:tcW w:w="1552" w:type="dxa"/>
            <w:gridSpan w:val="2"/>
            <w:vAlign w:val="top"/>
          </w:tcPr>
          <w:p w14:paraId="23C4E70D">
            <w:pPr>
              <w:rPr>
                <w:rFonts w:ascii="Arial"/>
                <w:color w:val="auto"/>
                <w:sz w:val="21"/>
                <w:highlight w:val="none"/>
              </w:rPr>
            </w:pPr>
          </w:p>
        </w:tc>
      </w:tr>
      <w:tr w14:paraId="5B26C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405" w:type="dxa"/>
            <w:gridSpan w:val="2"/>
            <w:vAlign w:val="top"/>
          </w:tcPr>
          <w:p w14:paraId="63F5DC58">
            <w:pPr>
              <w:rPr>
                <w:rFonts w:ascii="Arial"/>
                <w:color w:val="auto"/>
                <w:sz w:val="21"/>
                <w:highlight w:val="none"/>
              </w:rPr>
            </w:pPr>
          </w:p>
        </w:tc>
        <w:tc>
          <w:tcPr>
            <w:tcW w:w="1547" w:type="dxa"/>
            <w:vAlign w:val="top"/>
          </w:tcPr>
          <w:p w14:paraId="10ADF8D9">
            <w:pPr>
              <w:rPr>
                <w:rFonts w:ascii="Arial"/>
                <w:color w:val="auto"/>
                <w:sz w:val="21"/>
                <w:highlight w:val="none"/>
              </w:rPr>
            </w:pPr>
          </w:p>
        </w:tc>
        <w:tc>
          <w:tcPr>
            <w:tcW w:w="1546" w:type="dxa"/>
            <w:gridSpan w:val="2"/>
            <w:vAlign w:val="top"/>
          </w:tcPr>
          <w:p w14:paraId="3775D5DC">
            <w:pPr>
              <w:rPr>
                <w:rFonts w:ascii="Arial"/>
                <w:color w:val="auto"/>
                <w:sz w:val="21"/>
                <w:highlight w:val="none"/>
              </w:rPr>
            </w:pPr>
          </w:p>
        </w:tc>
        <w:tc>
          <w:tcPr>
            <w:tcW w:w="1547" w:type="dxa"/>
            <w:gridSpan w:val="2"/>
            <w:vAlign w:val="top"/>
          </w:tcPr>
          <w:p w14:paraId="28070A18">
            <w:pPr>
              <w:rPr>
                <w:rFonts w:ascii="Arial"/>
                <w:color w:val="auto"/>
                <w:sz w:val="21"/>
                <w:highlight w:val="none"/>
              </w:rPr>
            </w:pPr>
          </w:p>
        </w:tc>
        <w:tc>
          <w:tcPr>
            <w:tcW w:w="1546" w:type="dxa"/>
            <w:gridSpan w:val="2"/>
            <w:vAlign w:val="top"/>
          </w:tcPr>
          <w:p w14:paraId="6E1C9BDB">
            <w:pPr>
              <w:rPr>
                <w:rFonts w:ascii="Arial"/>
                <w:color w:val="auto"/>
                <w:sz w:val="21"/>
                <w:highlight w:val="none"/>
              </w:rPr>
            </w:pPr>
          </w:p>
        </w:tc>
        <w:tc>
          <w:tcPr>
            <w:tcW w:w="1552" w:type="dxa"/>
            <w:gridSpan w:val="2"/>
            <w:vAlign w:val="top"/>
          </w:tcPr>
          <w:p w14:paraId="6166F45C">
            <w:pPr>
              <w:rPr>
                <w:rFonts w:ascii="Arial"/>
                <w:color w:val="auto"/>
                <w:sz w:val="21"/>
                <w:highlight w:val="none"/>
              </w:rPr>
            </w:pPr>
          </w:p>
        </w:tc>
      </w:tr>
      <w:tr w14:paraId="1732D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405" w:type="dxa"/>
            <w:gridSpan w:val="2"/>
            <w:vAlign w:val="top"/>
          </w:tcPr>
          <w:p w14:paraId="61F8CC9E">
            <w:pPr>
              <w:rPr>
                <w:rFonts w:ascii="Arial"/>
                <w:color w:val="auto"/>
                <w:sz w:val="21"/>
                <w:highlight w:val="none"/>
              </w:rPr>
            </w:pPr>
          </w:p>
        </w:tc>
        <w:tc>
          <w:tcPr>
            <w:tcW w:w="1547" w:type="dxa"/>
            <w:vAlign w:val="top"/>
          </w:tcPr>
          <w:p w14:paraId="1996A918">
            <w:pPr>
              <w:rPr>
                <w:rFonts w:ascii="Arial"/>
                <w:color w:val="auto"/>
                <w:sz w:val="21"/>
                <w:highlight w:val="none"/>
              </w:rPr>
            </w:pPr>
          </w:p>
        </w:tc>
        <w:tc>
          <w:tcPr>
            <w:tcW w:w="1546" w:type="dxa"/>
            <w:gridSpan w:val="2"/>
            <w:vAlign w:val="top"/>
          </w:tcPr>
          <w:p w14:paraId="02B9A4D2">
            <w:pPr>
              <w:rPr>
                <w:rFonts w:ascii="Arial"/>
                <w:color w:val="auto"/>
                <w:sz w:val="21"/>
                <w:highlight w:val="none"/>
              </w:rPr>
            </w:pPr>
          </w:p>
        </w:tc>
        <w:tc>
          <w:tcPr>
            <w:tcW w:w="1547" w:type="dxa"/>
            <w:gridSpan w:val="2"/>
            <w:vAlign w:val="top"/>
          </w:tcPr>
          <w:p w14:paraId="62035D68">
            <w:pPr>
              <w:rPr>
                <w:rFonts w:ascii="Arial"/>
                <w:color w:val="auto"/>
                <w:sz w:val="21"/>
                <w:highlight w:val="none"/>
              </w:rPr>
            </w:pPr>
          </w:p>
        </w:tc>
        <w:tc>
          <w:tcPr>
            <w:tcW w:w="1546" w:type="dxa"/>
            <w:gridSpan w:val="2"/>
            <w:vAlign w:val="top"/>
          </w:tcPr>
          <w:p w14:paraId="271379B6">
            <w:pPr>
              <w:rPr>
                <w:rFonts w:ascii="Arial"/>
                <w:color w:val="auto"/>
                <w:sz w:val="21"/>
                <w:highlight w:val="none"/>
              </w:rPr>
            </w:pPr>
          </w:p>
        </w:tc>
        <w:tc>
          <w:tcPr>
            <w:tcW w:w="1552" w:type="dxa"/>
            <w:gridSpan w:val="2"/>
            <w:vAlign w:val="top"/>
          </w:tcPr>
          <w:p w14:paraId="717BE886">
            <w:pPr>
              <w:rPr>
                <w:rFonts w:ascii="Arial"/>
                <w:color w:val="auto"/>
                <w:sz w:val="21"/>
                <w:highlight w:val="none"/>
              </w:rPr>
            </w:pPr>
          </w:p>
        </w:tc>
      </w:tr>
    </w:tbl>
    <w:p w14:paraId="4226EFA3">
      <w:pPr>
        <w:spacing w:line="263" w:lineRule="auto"/>
        <w:rPr>
          <w:rFonts w:ascii="Arial"/>
          <w:color w:val="auto"/>
          <w:sz w:val="21"/>
          <w:highlight w:val="none"/>
        </w:rPr>
      </w:pPr>
    </w:p>
    <w:p w14:paraId="50599617">
      <w:pPr>
        <w:spacing w:line="263" w:lineRule="auto"/>
        <w:rPr>
          <w:rFonts w:ascii="Arial"/>
          <w:color w:val="auto"/>
          <w:sz w:val="21"/>
          <w:highlight w:val="none"/>
        </w:rPr>
      </w:pPr>
    </w:p>
    <w:p w14:paraId="711D506F">
      <w:pPr>
        <w:spacing w:line="263" w:lineRule="auto"/>
        <w:rPr>
          <w:rFonts w:ascii="Arial"/>
          <w:color w:val="auto"/>
          <w:sz w:val="21"/>
          <w:highlight w:val="none"/>
        </w:rPr>
      </w:pPr>
    </w:p>
    <w:p w14:paraId="64780D0D">
      <w:pPr>
        <w:spacing w:line="264" w:lineRule="auto"/>
        <w:rPr>
          <w:rFonts w:ascii="Arial"/>
          <w:color w:val="auto"/>
          <w:sz w:val="21"/>
          <w:highlight w:val="none"/>
        </w:rPr>
      </w:pPr>
    </w:p>
    <w:p w14:paraId="0D16E950">
      <w:pPr>
        <w:spacing w:line="264" w:lineRule="auto"/>
        <w:rPr>
          <w:rFonts w:ascii="Arial"/>
          <w:color w:val="auto"/>
          <w:sz w:val="21"/>
          <w:highlight w:val="none"/>
        </w:rPr>
      </w:pPr>
    </w:p>
    <w:p w14:paraId="2F6B1702">
      <w:pPr>
        <w:pStyle w:val="10"/>
        <w:spacing w:before="78" w:line="219" w:lineRule="auto"/>
        <w:ind w:left="3748"/>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05F8E5F1">
      <w:pPr>
        <w:pStyle w:val="10"/>
        <w:spacing w:before="180" w:line="220" w:lineRule="auto"/>
        <w:ind w:left="6024"/>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3D136400">
      <w:pPr>
        <w:spacing w:line="500" w:lineRule="exact"/>
        <w:ind w:firstLine="484" w:firstLineChars="202"/>
        <w:rPr>
          <w:rFonts w:ascii="宋体" w:hAnsi="宋体" w:cs="宋体"/>
          <w:color w:val="auto"/>
          <w:kern w:val="0"/>
          <w:sz w:val="24"/>
          <w:szCs w:val="24"/>
          <w:highlight w:val="none"/>
        </w:rPr>
      </w:pPr>
    </w:p>
    <w:p w14:paraId="6F53C2D0">
      <w:pPr>
        <w:pStyle w:val="5"/>
        <w:spacing w:line="500" w:lineRule="exact"/>
        <w:outlineLvl w:val="9"/>
        <w:rPr>
          <w:rFonts w:ascii="宋体" w:hAnsi="宋体" w:cs="宋体"/>
          <w:color w:val="auto"/>
          <w:sz w:val="28"/>
          <w:szCs w:val="28"/>
          <w:highlight w:val="none"/>
        </w:rPr>
      </w:pPr>
      <w:bookmarkStart w:id="1376" w:name="_Toc369505652"/>
      <w:bookmarkStart w:id="1377" w:name="_Toc207443048"/>
      <w:bookmarkStart w:id="1378" w:name="_Toc267582085"/>
      <w:bookmarkStart w:id="1379" w:name="_Toc455670868"/>
      <w:bookmarkStart w:id="1380" w:name="_Toc389146019"/>
    </w:p>
    <w:p w14:paraId="64AB335B">
      <w:pPr>
        <w:rPr>
          <w:color w:val="auto"/>
          <w:highlight w:val="none"/>
        </w:rPr>
      </w:pPr>
      <w:r>
        <w:rPr>
          <w:color w:val="auto"/>
          <w:highlight w:val="none"/>
        </w:rPr>
        <w:br w:type="page"/>
      </w:r>
    </w:p>
    <w:bookmarkEnd w:id="237"/>
    <w:bookmarkEnd w:id="238"/>
    <w:bookmarkEnd w:id="239"/>
    <w:bookmarkEnd w:id="1376"/>
    <w:bookmarkEnd w:id="1377"/>
    <w:bookmarkEnd w:id="1378"/>
    <w:bookmarkEnd w:id="1379"/>
    <w:bookmarkEnd w:id="1380"/>
    <w:p w14:paraId="2FEAECAE">
      <w:pPr>
        <w:pStyle w:val="10"/>
        <w:spacing w:before="97" w:line="219" w:lineRule="auto"/>
        <w:ind w:left="3115"/>
        <w:rPr>
          <w:color w:val="auto"/>
          <w:sz w:val="30"/>
          <w:szCs w:val="30"/>
          <w:highlight w:val="none"/>
        </w:rPr>
      </w:pPr>
      <w:r>
        <w:rPr>
          <w:b/>
          <w:bCs/>
          <w:color w:val="auto"/>
          <w:spacing w:val="-4"/>
          <w:sz w:val="30"/>
          <w:szCs w:val="30"/>
          <w:highlight w:val="none"/>
        </w:rPr>
        <w:t>3.项目技术负责人简历表</w:t>
      </w:r>
    </w:p>
    <w:p w14:paraId="4E9EB1A5">
      <w:pPr>
        <w:spacing w:before="215"/>
        <w:rPr>
          <w:color w:val="auto"/>
          <w:highlight w:val="none"/>
        </w:rPr>
      </w:pPr>
    </w:p>
    <w:tbl>
      <w:tblPr>
        <w:tblStyle w:val="58"/>
        <w:tblW w:w="90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1"/>
        <w:gridCol w:w="457"/>
        <w:gridCol w:w="1524"/>
        <w:gridCol w:w="324"/>
        <w:gridCol w:w="1199"/>
        <w:gridCol w:w="665"/>
        <w:gridCol w:w="859"/>
        <w:gridCol w:w="702"/>
        <w:gridCol w:w="821"/>
        <w:gridCol w:w="270"/>
        <w:gridCol w:w="1130"/>
      </w:tblGrid>
      <w:tr w14:paraId="671E5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071" w:type="dxa"/>
            <w:vAlign w:val="top"/>
          </w:tcPr>
          <w:p w14:paraId="233AA845">
            <w:pPr>
              <w:pStyle w:val="57"/>
              <w:spacing w:before="178" w:line="220" w:lineRule="auto"/>
              <w:ind w:left="301"/>
              <w:rPr>
                <w:color w:val="auto"/>
                <w:sz w:val="24"/>
                <w:szCs w:val="24"/>
                <w:highlight w:val="none"/>
              </w:rPr>
            </w:pPr>
            <w:r>
              <w:rPr>
                <w:color w:val="auto"/>
                <w:spacing w:val="-5"/>
                <w:sz w:val="24"/>
                <w:szCs w:val="24"/>
                <w:highlight w:val="none"/>
              </w:rPr>
              <w:t>姓名</w:t>
            </w:r>
          </w:p>
        </w:tc>
        <w:tc>
          <w:tcPr>
            <w:tcW w:w="2305" w:type="dxa"/>
            <w:gridSpan w:val="3"/>
            <w:vAlign w:val="top"/>
          </w:tcPr>
          <w:p w14:paraId="2E1FB050">
            <w:pPr>
              <w:rPr>
                <w:rFonts w:ascii="Arial"/>
                <w:color w:val="auto"/>
                <w:sz w:val="21"/>
                <w:highlight w:val="none"/>
              </w:rPr>
            </w:pPr>
          </w:p>
        </w:tc>
        <w:tc>
          <w:tcPr>
            <w:tcW w:w="1864" w:type="dxa"/>
            <w:gridSpan w:val="2"/>
            <w:vAlign w:val="top"/>
          </w:tcPr>
          <w:p w14:paraId="7908EA9C">
            <w:pPr>
              <w:pStyle w:val="57"/>
              <w:spacing w:before="177" w:line="221" w:lineRule="auto"/>
              <w:ind w:left="698"/>
              <w:rPr>
                <w:color w:val="auto"/>
                <w:sz w:val="24"/>
                <w:szCs w:val="24"/>
                <w:highlight w:val="none"/>
              </w:rPr>
            </w:pPr>
            <w:r>
              <w:rPr>
                <w:color w:val="auto"/>
                <w:spacing w:val="-5"/>
                <w:sz w:val="24"/>
                <w:szCs w:val="24"/>
                <w:highlight w:val="none"/>
              </w:rPr>
              <w:t>性别</w:t>
            </w:r>
          </w:p>
        </w:tc>
        <w:tc>
          <w:tcPr>
            <w:tcW w:w="1561" w:type="dxa"/>
            <w:gridSpan w:val="2"/>
            <w:vAlign w:val="top"/>
          </w:tcPr>
          <w:p w14:paraId="28E59330">
            <w:pPr>
              <w:rPr>
                <w:rFonts w:ascii="Arial"/>
                <w:color w:val="auto"/>
                <w:sz w:val="21"/>
                <w:highlight w:val="none"/>
              </w:rPr>
            </w:pPr>
          </w:p>
        </w:tc>
        <w:tc>
          <w:tcPr>
            <w:tcW w:w="1091" w:type="dxa"/>
            <w:gridSpan w:val="2"/>
            <w:vAlign w:val="top"/>
          </w:tcPr>
          <w:p w14:paraId="3E7C38D9">
            <w:pPr>
              <w:pStyle w:val="57"/>
              <w:spacing w:before="178" w:line="220" w:lineRule="auto"/>
              <w:ind w:left="314"/>
              <w:rPr>
                <w:color w:val="auto"/>
                <w:sz w:val="24"/>
                <w:szCs w:val="24"/>
                <w:highlight w:val="none"/>
              </w:rPr>
            </w:pPr>
            <w:r>
              <w:rPr>
                <w:color w:val="auto"/>
                <w:spacing w:val="-6"/>
                <w:sz w:val="24"/>
                <w:szCs w:val="24"/>
                <w:highlight w:val="none"/>
              </w:rPr>
              <w:t>年龄</w:t>
            </w:r>
          </w:p>
        </w:tc>
        <w:tc>
          <w:tcPr>
            <w:tcW w:w="1130" w:type="dxa"/>
            <w:vAlign w:val="top"/>
          </w:tcPr>
          <w:p w14:paraId="07B665BD">
            <w:pPr>
              <w:rPr>
                <w:rFonts w:ascii="Arial"/>
                <w:color w:val="auto"/>
                <w:sz w:val="21"/>
                <w:highlight w:val="none"/>
              </w:rPr>
            </w:pPr>
          </w:p>
        </w:tc>
      </w:tr>
      <w:tr w14:paraId="4883F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071" w:type="dxa"/>
            <w:vAlign w:val="top"/>
          </w:tcPr>
          <w:p w14:paraId="21103836">
            <w:pPr>
              <w:pStyle w:val="57"/>
              <w:spacing w:before="186" w:line="220" w:lineRule="auto"/>
              <w:ind w:left="302"/>
              <w:rPr>
                <w:color w:val="auto"/>
                <w:sz w:val="24"/>
                <w:szCs w:val="24"/>
                <w:highlight w:val="none"/>
              </w:rPr>
            </w:pPr>
            <w:r>
              <w:rPr>
                <w:color w:val="auto"/>
                <w:spacing w:val="-6"/>
                <w:sz w:val="24"/>
                <w:szCs w:val="24"/>
                <w:highlight w:val="none"/>
              </w:rPr>
              <w:t>职务</w:t>
            </w:r>
          </w:p>
        </w:tc>
        <w:tc>
          <w:tcPr>
            <w:tcW w:w="2305" w:type="dxa"/>
            <w:gridSpan w:val="3"/>
            <w:vAlign w:val="top"/>
          </w:tcPr>
          <w:p w14:paraId="04630F02">
            <w:pPr>
              <w:rPr>
                <w:rFonts w:ascii="Arial"/>
                <w:color w:val="auto"/>
                <w:sz w:val="21"/>
                <w:highlight w:val="none"/>
              </w:rPr>
            </w:pPr>
          </w:p>
        </w:tc>
        <w:tc>
          <w:tcPr>
            <w:tcW w:w="1864" w:type="dxa"/>
            <w:gridSpan w:val="2"/>
            <w:vAlign w:val="top"/>
          </w:tcPr>
          <w:p w14:paraId="09F6D684">
            <w:pPr>
              <w:pStyle w:val="57"/>
              <w:spacing w:before="186" w:line="222" w:lineRule="auto"/>
              <w:ind w:left="699"/>
              <w:rPr>
                <w:color w:val="auto"/>
                <w:sz w:val="24"/>
                <w:szCs w:val="24"/>
                <w:highlight w:val="none"/>
              </w:rPr>
            </w:pPr>
            <w:r>
              <w:rPr>
                <w:color w:val="auto"/>
                <w:spacing w:val="-6"/>
                <w:sz w:val="24"/>
                <w:szCs w:val="24"/>
                <w:highlight w:val="none"/>
              </w:rPr>
              <w:t>职称</w:t>
            </w:r>
          </w:p>
        </w:tc>
        <w:tc>
          <w:tcPr>
            <w:tcW w:w="1561" w:type="dxa"/>
            <w:gridSpan w:val="2"/>
            <w:vAlign w:val="top"/>
          </w:tcPr>
          <w:p w14:paraId="5E279526">
            <w:pPr>
              <w:rPr>
                <w:rFonts w:ascii="Arial"/>
                <w:color w:val="auto"/>
                <w:sz w:val="21"/>
                <w:highlight w:val="none"/>
              </w:rPr>
            </w:pPr>
          </w:p>
        </w:tc>
        <w:tc>
          <w:tcPr>
            <w:tcW w:w="1091" w:type="dxa"/>
            <w:gridSpan w:val="2"/>
            <w:vAlign w:val="top"/>
          </w:tcPr>
          <w:p w14:paraId="153C78B3">
            <w:pPr>
              <w:pStyle w:val="57"/>
              <w:spacing w:before="185" w:line="222" w:lineRule="auto"/>
              <w:ind w:left="318"/>
              <w:rPr>
                <w:color w:val="auto"/>
                <w:sz w:val="24"/>
                <w:szCs w:val="24"/>
                <w:highlight w:val="none"/>
              </w:rPr>
            </w:pPr>
            <w:r>
              <w:rPr>
                <w:color w:val="auto"/>
                <w:spacing w:val="-8"/>
                <w:sz w:val="24"/>
                <w:szCs w:val="24"/>
                <w:highlight w:val="none"/>
              </w:rPr>
              <w:t>学历</w:t>
            </w:r>
          </w:p>
        </w:tc>
        <w:tc>
          <w:tcPr>
            <w:tcW w:w="1130" w:type="dxa"/>
            <w:vAlign w:val="top"/>
          </w:tcPr>
          <w:p w14:paraId="56A3D077">
            <w:pPr>
              <w:rPr>
                <w:rFonts w:ascii="Arial"/>
                <w:color w:val="auto"/>
                <w:sz w:val="21"/>
                <w:highlight w:val="none"/>
              </w:rPr>
            </w:pPr>
          </w:p>
        </w:tc>
      </w:tr>
      <w:tr w14:paraId="3E636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376" w:type="dxa"/>
            <w:gridSpan w:val="4"/>
            <w:vAlign w:val="top"/>
          </w:tcPr>
          <w:p w14:paraId="4CD97A74">
            <w:pPr>
              <w:pStyle w:val="57"/>
              <w:spacing w:before="174" w:line="221" w:lineRule="auto"/>
              <w:ind w:left="977"/>
              <w:rPr>
                <w:color w:val="auto"/>
                <w:sz w:val="24"/>
                <w:szCs w:val="24"/>
                <w:highlight w:val="none"/>
              </w:rPr>
            </w:pPr>
            <w:r>
              <w:rPr>
                <w:color w:val="auto"/>
                <w:spacing w:val="-2"/>
                <w:sz w:val="24"/>
                <w:szCs w:val="24"/>
                <w:highlight w:val="none"/>
              </w:rPr>
              <w:t>参加工作时间</w:t>
            </w:r>
          </w:p>
        </w:tc>
        <w:tc>
          <w:tcPr>
            <w:tcW w:w="1864" w:type="dxa"/>
            <w:gridSpan w:val="2"/>
            <w:vAlign w:val="top"/>
          </w:tcPr>
          <w:p w14:paraId="7A834CDA">
            <w:pPr>
              <w:rPr>
                <w:rFonts w:ascii="Arial"/>
                <w:color w:val="auto"/>
                <w:sz w:val="21"/>
                <w:highlight w:val="none"/>
              </w:rPr>
            </w:pPr>
          </w:p>
        </w:tc>
        <w:tc>
          <w:tcPr>
            <w:tcW w:w="2652" w:type="dxa"/>
            <w:gridSpan w:val="4"/>
            <w:vAlign w:val="top"/>
          </w:tcPr>
          <w:p w14:paraId="4EB8E57A">
            <w:pPr>
              <w:pStyle w:val="57"/>
              <w:spacing w:before="174" w:line="220" w:lineRule="auto"/>
              <w:ind w:left="255"/>
              <w:rPr>
                <w:color w:val="auto"/>
                <w:sz w:val="24"/>
                <w:szCs w:val="24"/>
                <w:highlight w:val="none"/>
              </w:rPr>
            </w:pPr>
            <w:r>
              <w:rPr>
                <w:color w:val="auto"/>
                <w:spacing w:val="-2"/>
                <w:sz w:val="24"/>
                <w:szCs w:val="24"/>
                <w:highlight w:val="none"/>
              </w:rPr>
              <w:t>担任技术负责人年限</w:t>
            </w:r>
          </w:p>
        </w:tc>
        <w:tc>
          <w:tcPr>
            <w:tcW w:w="1130" w:type="dxa"/>
            <w:vAlign w:val="top"/>
          </w:tcPr>
          <w:p w14:paraId="25DA90BA">
            <w:pPr>
              <w:rPr>
                <w:rFonts w:ascii="Arial"/>
                <w:color w:val="auto"/>
                <w:sz w:val="21"/>
                <w:highlight w:val="none"/>
              </w:rPr>
            </w:pPr>
          </w:p>
        </w:tc>
      </w:tr>
      <w:tr w14:paraId="55188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9022" w:type="dxa"/>
            <w:gridSpan w:val="11"/>
            <w:vAlign w:val="top"/>
          </w:tcPr>
          <w:p w14:paraId="67D530AE">
            <w:pPr>
              <w:pStyle w:val="57"/>
              <w:spacing w:before="187" w:line="220" w:lineRule="auto"/>
              <w:ind w:left="3197"/>
              <w:rPr>
                <w:color w:val="auto"/>
                <w:sz w:val="24"/>
                <w:szCs w:val="24"/>
                <w:highlight w:val="none"/>
              </w:rPr>
            </w:pPr>
            <w:r>
              <w:rPr>
                <w:color w:val="auto"/>
                <w:spacing w:val="-1"/>
                <w:sz w:val="24"/>
                <w:szCs w:val="24"/>
                <w:highlight w:val="none"/>
              </w:rPr>
              <w:t>在建和已完工程项目情况</w:t>
            </w:r>
          </w:p>
        </w:tc>
      </w:tr>
      <w:tr w14:paraId="4E74F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528" w:type="dxa"/>
            <w:gridSpan w:val="2"/>
            <w:vAlign w:val="top"/>
          </w:tcPr>
          <w:p w14:paraId="1C3C0FDA">
            <w:pPr>
              <w:pStyle w:val="57"/>
              <w:spacing w:before="212" w:line="221" w:lineRule="auto"/>
              <w:ind w:left="294"/>
              <w:rPr>
                <w:color w:val="auto"/>
                <w:sz w:val="24"/>
                <w:szCs w:val="24"/>
                <w:highlight w:val="none"/>
              </w:rPr>
            </w:pPr>
            <w:r>
              <w:rPr>
                <w:color w:val="auto"/>
                <w:spacing w:val="-4"/>
                <w:sz w:val="24"/>
                <w:szCs w:val="24"/>
                <w:highlight w:val="none"/>
              </w:rPr>
              <w:t>建设单位</w:t>
            </w:r>
          </w:p>
        </w:tc>
        <w:tc>
          <w:tcPr>
            <w:tcW w:w="1524" w:type="dxa"/>
            <w:vAlign w:val="top"/>
          </w:tcPr>
          <w:p w14:paraId="1BFDFE8D">
            <w:pPr>
              <w:pStyle w:val="57"/>
              <w:spacing w:before="212" w:line="221" w:lineRule="auto"/>
              <w:ind w:left="291"/>
              <w:rPr>
                <w:color w:val="auto"/>
                <w:sz w:val="24"/>
                <w:szCs w:val="24"/>
                <w:highlight w:val="none"/>
              </w:rPr>
            </w:pPr>
            <w:r>
              <w:rPr>
                <w:color w:val="auto"/>
                <w:spacing w:val="-4"/>
                <w:sz w:val="24"/>
                <w:szCs w:val="24"/>
                <w:highlight w:val="none"/>
              </w:rPr>
              <w:t>项目名称</w:t>
            </w:r>
          </w:p>
        </w:tc>
        <w:tc>
          <w:tcPr>
            <w:tcW w:w="1523" w:type="dxa"/>
            <w:gridSpan w:val="2"/>
            <w:vAlign w:val="top"/>
          </w:tcPr>
          <w:p w14:paraId="11D2CF3D">
            <w:pPr>
              <w:pStyle w:val="57"/>
              <w:spacing w:before="213" w:line="220" w:lineRule="auto"/>
              <w:ind w:left="290"/>
              <w:rPr>
                <w:color w:val="auto"/>
                <w:sz w:val="24"/>
                <w:szCs w:val="24"/>
                <w:highlight w:val="none"/>
              </w:rPr>
            </w:pPr>
            <w:r>
              <w:rPr>
                <w:color w:val="auto"/>
                <w:spacing w:val="-4"/>
                <w:sz w:val="24"/>
                <w:szCs w:val="24"/>
                <w:highlight w:val="none"/>
              </w:rPr>
              <w:t>建设规模</w:t>
            </w:r>
          </w:p>
        </w:tc>
        <w:tc>
          <w:tcPr>
            <w:tcW w:w="1524" w:type="dxa"/>
            <w:gridSpan w:val="2"/>
            <w:vAlign w:val="center"/>
          </w:tcPr>
          <w:p w14:paraId="535BD707">
            <w:pPr>
              <w:pStyle w:val="57"/>
              <w:spacing w:before="49" w:line="220" w:lineRule="auto"/>
              <w:ind w:left="169"/>
              <w:jc w:val="center"/>
              <w:rPr>
                <w:color w:val="auto"/>
                <w:sz w:val="24"/>
                <w:szCs w:val="24"/>
                <w:highlight w:val="none"/>
              </w:rPr>
            </w:pPr>
            <w:r>
              <w:rPr>
                <w:color w:val="auto"/>
                <w:spacing w:val="-3"/>
                <w:sz w:val="24"/>
                <w:szCs w:val="24"/>
                <w:highlight w:val="none"/>
              </w:rPr>
              <w:t>开、竣工日</w:t>
            </w:r>
            <w:r>
              <w:rPr>
                <w:color w:val="auto"/>
                <w:sz w:val="24"/>
                <w:szCs w:val="24"/>
                <w:highlight w:val="none"/>
              </w:rPr>
              <w:t>期</w:t>
            </w:r>
          </w:p>
        </w:tc>
        <w:tc>
          <w:tcPr>
            <w:tcW w:w="1523" w:type="dxa"/>
            <w:gridSpan w:val="2"/>
            <w:vAlign w:val="top"/>
          </w:tcPr>
          <w:p w14:paraId="47FEE287">
            <w:pPr>
              <w:pStyle w:val="57"/>
              <w:spacing w:before="213" w:line="220" w:lineRule="auto"/>
              <w:ind w:left="170"/>
              <w:rPr>
                <w:color w:val="auto"/>
                <w:sz w:val="24"/>
                <w:szCs w:val="24"/>
                <w:highlight w:val="none"/>
              </w:rPr>
            </w:pPr>
            <w:r>
              <w:rPr>
                <w:color w:val="auto"/>
                <w:spacing w:val="-2"/>
                <w:sz w:val="24"/>
                <w:szCs w:val="24"/>
                <w:highlight w:val="none"/>
              </w:rPr>
              <w:t>在建或已完</w:t>
            </w:r>
          </w:p>
        </w:tc>
        <w:tc>
          <w:tcPr>
            <w:tcW w:w="1400" w:type="dxa"/>
            <w:gridSpan w:val="2"/>
            <w:vAlign w:val="top"/>
          </w:tcPr>
          <w:p w14:paraId="254E443D">
            <w:pPr>
              <w:pStyle w:val="57"/>
              <w:spacing w:before="212" w:line="221" w:lineRule="auto"/>
              <w:ind w:left="230"/>
              <w:rPr>
                <w:color w:val="auto"/>
                <w:sz w:val="24"/>
                <w:szCs w:val="24"/>
                <w:highlight w:val="none"/>
              </w:rPr>
            </w:pPr>
            <w:r>
              <w:rPr>
                <w:color w:val="auto"/>
                <w:spacing w:val="-4"/>
                <w:sz w:val="24"/>
                <w:szCs w:val="24"/>
                <w:highlight w:val="none"/>
              </w:rPr>
              <w:t>工程质量</w:t>
            </w:r>
          </w:p>
        </w:tc>
      </w:tr>
      <w:tr w14:paraId="1A719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528" w:type="dxa"/>
            <w:gridSpan w:val="2"/>
            <w:vAlign w:val="top"/>
          </w:tcPr>
          <w:p w14:paraId="4D9AB726">
            <w:pPr>
              <w:rPr>
                <w:rFonts w:ascii="Arial"/>
                <w:color w:val="auto"/>
                <w:sz w:val="21"/>
                <w:highlight w:val="none"/>
              </w:rPr>
            </w:pPr>
          </w:p>
        </w:tc>
        <w:tc>
          <w:tcPr>
            <w:tcW w:w="1524" w:type="dxa"/>
            <w:vAlign w:val="top"/>
          </w:tcPr>
          <w:p w14:paraId="033F5C86">
            <w:pPr>
              <w:rPr>
                <w:rFonts w:ascii="Arial"/>
                <w:color w:val="auto"/>
                <w:sz w:val="21"/>
                <w:highlight w:val="none"/>
              </w:rPr>
            </w:pPr>
          </w:p>
        </w:tc>
        <w:tc>
          <w:tcPr>
            <w:tcW w:w="1523" w:type="dxa"/>
            <w:gridSpan w:val="2"/>
            <w:vAlign w:val="top"/>
          </w:tcPr>
          <w:p w14:paraId="4934933D">
            <w:pPr>
              <w:rPr>
                <w:rFonts w:ascii="Arial"/>
                <w:color w:val="auto"/>
                <w:sz w:val="21"/>
                <w:highlight w:val="none"/>
              </w:rPr>
            </w:pPr>
          </w:p>
        </w:tc>
        <w:tc>
          <w:tcPr>
            <w:tcW w:w="1524" w:type="dxa"/>
            <w:gridSpan w:val="2"/>
            <w:vAlign w:val="top"/>
          </w:tcPr>
          <w:p w14:paraId="741C7C96">
            <w:pPr>
              <w:rPr>
                <w:rFonts w:ascii="Arial"/>
                <w:color w:val="auto"/>
                <w:sz w:val="21"/>
                <w:highlight w:val="none"/>
              </w:rPr>
            </w:pPr>
          </w:p>
        </w:tc>
        <w:tc>
          <w:tcPr>
            <w:tcW w:w="1523" w:type="dxa"/>
            <w:gridSpan w:val="2"/>
            <w:vAlign w:val="top"/>
          </w:tcPr>
          <w:p w14:paraId="506A8103">
            <w:pPr>
              <w:rPr>
                <w:rFonts w:ascii="Arial"/>
                <w:color w:val="auto"/>
                <w:sz w:val="21"/>
                <w:highlight w:val="none"/>
              </w:rPr>
            </w:pPr>
          </w:p>
        </w:tc>
        <w:tc>
          <w:tcPr>
            <w:tcW w:w="1400" w:type="dxa"/>
            <w:gridSpan w:val="2"/>
            <w:vAlign w:val="top"/>
          </w:tcPr>
          <w:p w14:paraId="09B675BF">
            <w:pPr>
              <w:rPr>
                <w:rFonts w:ascii="Arial"/>
                <w:color w:val="auto"/>
                <w:sz w:val="21"/>
                <w:highlight w:val="none"/>
              </w:rPr>
            </w:pPr>
          </w:p>
        </w:tc>
      </w:tr>
      <w:tr w14:paraId="4A013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528" w:type="dxa"/>
            <w:gridSpan w:val="2"/>
            <w:vAlign w:val="top"/>
          </w:tcPr>
          <w:p w14:paraId="2F312389">
            <w:pPr>
              <w:rPr>
                <w:rFonts w:ascii="Arial"/>
                <w:color w:val="auto"/>
                <w:sz w:val="21"/>
                <w:highlight w:val="none"/>
              </w:rPr>
            </w:pPr>
          </w:p>
        </w:tc>
        <w:tc>
          <w:tcPr>
            <w:tcW w:w="1524" w:type="dxa"/>
            <w:vAlign w:val="top"/>
          </w:tcPr>
          <w:p w14:paraId="0F353F4B">
            <w:pPr>
              <w:rPr>
                <w:rFonts w:ascii="Arial"/>
                <w:color w:val="auto"/>
                <w:sz w:val="21"/>
                <w:highlight w:val="none"/>
              </w:rPr>
            </w:pPr>
          </w:p>
        </w:tc>
        <w:tc>
          <w:tcPr>
            <w:tcW w:w="1523" w:type="dxa"/>
            <w:gridSpan w:val="2"/>
            <w:vAlign w:val="top"/>
          </w:tcPr>
          <w:p w14:paraId="508CBD29">
            <w:pPr>
              <w:rPr>
                <w:rFonts w:ascii="Arial"/>
                <w:color w:val="auto"/>
                <w:sz w:val="21"/>
                <w:highlight w:val="none"/>
              </w:rPr>
            </w:pPr>
          </w:p>
        </w:tc>
        <w:tc>
          <w:tcPr>
            <w:tcW w:w="1524" w:type="dxa"/>
            <w:gridSpan w:val="2"/>
            <w:vAlign w:val="top"/>
          </w:tcPr>
          <w:p w14:paraId="150CBB17">
            <w:pPr>
              <w:rPr>
                <w:rFonts w:ascii="Arial"/>
                <w:color w:val="auto"/>
                <w:sz w:val="21"/>
                <w:highlight w:val="none"/>
              </w:rPr>
            </w:pPr>
          </w:p>
        </w:tc>
        <w:tc>
          <w:tcPr>
            <w:tcW w:w="1523" w:type="dxa"/>
            <w:gridSpan w:val="2"/>
            <w:vAlign w:val="top"/>
          </w:tcPr>
          <w:p w14:paraId="232D7626">
            <w:pPr>
              <w:rPr>
                <w:rFonts w:ascii="Arial"/>
                <w:color w:val="auto"/>
                <w:sz w:val="21"/>
                <w:highlight w:val="none"/>
              </w:rPr>
            </w:pPr>
          </w:p>
        </w:tc>
        <w:tc>
          <w:tcPr>
            <w:tcW w:w="1400" w:type="dxa"/>
            <w:gridSpan w:val="2"/>
            <w:vAlign w:val="top"/>
          </w:tcPr>
          <w:p w14:paraId="0A970656">
            <w:pPr>
              <w:rPr>
                <w:rFonts w:ascii="Arial"/>
                <w:color w:val="auto"/>
                <w:sz w:val="21"/>
                <w:highlight w:val="none"/>
              </w:rPr>
            </w:pPr>
          </w:p>
        </w:tc>
      </w:tr>
      <w:tr w14:paraId="59477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528" w:type="dxa"/>
            <w:gridSpan w:val="2"/>
            <w:vAlign w:val="top"/>
          </w:tcPr>
          <w:p w14:paraId="776712F0">
            <w:pPr>
              <w:rPr>
                <w:rFonts w:ascii="Arial"/>
                <w:color w:val="auto"/>
                <w:sz w:val="21"/>
                <w:highlight w:val="none"/>
              </w:rPr>
            </w:pPr>
          </w:p>
        </w:tc>
        <w:tc>
          <w:tcPr>
            <w:tcW w:w="1524" w:type="dxa"/>
            <w:vAlign w:val="top"/>
          </w:tcPr>
          <w:p w14:paraId="6797A79B">
            <w:pPr>
              <w:rPr>
                <w:rFonts w:ascii="Arial"/>
                <w:color w:val="auto"/>
                <w:sz w:val="21"/>
                <w:highlight w:val="none"/>
              </w:rPr>
            </w:pPr>
          </w:p>
        </w:tc>
        <w:tc>
          <w:tcPr>
            <w:tcW w:w="1523" w:type="dxa"/>
            <w:gridSpan w:val="2"/>
            <w:vAlign w:val="top"/>
          </w:tcPr>
          <w:p w14:paraId="6AACF430">
            <w:pPr>
              <w:rPr>
                <w:rFonts w:ascii="Arial"/>
                <w:color w:val="auto"/>
                <w:sz w:val="21"/>
                <w:highlight w:val="none"/>
              </w:rPr>
            </w:pPr>
          </w:p>
        </w:tc>
        <w:tc>
          <w:tcPr>
            <w:tcW w:w="1524" w:type="dxa"/>
            <w:gridSpan w:val="2"/>
            <w:vAlign w:val="top"/>
          </w:tcPr>
          <w:p w14:paraId="3C438C30">
            <w:pPr>
              <w:rPr>
                <w:rFonts w:ascii="Arial"/>
                <w:color w:val="auto"/>
                <w:sz w:val="21"/>
                <w:highlight w:val="none"/>
              </w:rPr>
            </w:pPr>
          </w:p>
        </w:tc>
        <w:tc>
          <w:tcPr>
            <w:tcW w:w="1523" w:type="dxa"/>
            <w:gridSpan w:val="2"/>
            <w:vAlign w:val="top"/>
          </w:tcPr>
          <w:p w14:paraId="07419431">
            <w:pPr>
              <w:rPr>
                <w:rFonts w:ascii="Arial"/>
                <w:color w:val="auto"/>
                <w:sz w:val="21"/>
                <w:highlight w:val="none"/>
              </w:rPr>
            </w:pPr>
          </w:p>
        </w:tc>
        <w:tc>
          <w:tcPr>
            <w:tcW w:w="1400" w:type="dxa"/>
            <w:gridSpan w:val="2"/>
            <w:vAlign w:val="top"/>
          </w:tcPr>
          <w:p w14:paraId="61A790D0">
            <w:pPr>
              <w:rPr>
                <w:rFonts w:ascii="Arial"/>
                <w:color w:val="auto"/>
                <w:sz w:val="21"/>
                <w:highlight w:val="none"/>
              </w:rPr>
            </w:pPr>
          </w:p>
        </w:tc>
      </w:tr>
      <w:tr w14:paraId="000E3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528" w:type="dxa"/>
            <w:gridSpan w:val="2"/>
            <w:vAlign w:val="top"/>
          </w:tcPr>
          <w:p w14:paraId="7A7C5D2D">
            <w:pPr>
              <w:rPr>
                <w:rFonts w:ascii="Arial"/>
                <w:color w:val="auto"/>
                <w:sz w:val="21"/>
                <w:highlight w:val="none"/>
              </w:rPr>
            </w:pPr>
          </w:p>
        </w:tc>
        <w:tc>
          <w:tcPr>
            <w:tcW w:w="1524" w:type="dxa"/>
            <w:vAlign w:val="top"/>
          </w:tcPr>
          <w:p w14:paraId="2585EC33">
            <w:pPr>
              <w:rPr>
                <w:rFonts w:ascii="Arial"/>
                <w:color w:val="auto"/>
                <w:sz w:val="21"/>
                <w:highlight w:val="none"/>
              </w:rPr>
            </w:pPr>
          </w:p>
        </w:tc>
        <w:tc>
          <w:tcPr>
            <w:tcW w:w="1523" w:type="dxa"/>
            <w:gridSpan w:val="2"/>
            <w:vAlign w:val="top"/>
          </w:tcPr>
          <w:p w14:paraId="02EFE69D">
            <w:pPr>
              <w:rPr>
                <w:rFonts w:ascii="Arial"/>
                <w:color w:val="auto"/>
                <w:sz w:val="21"/>
                <w:highlight w:val="none"/>
              </w:rPr>
            </w:pPr>
          </w:p>
        </w:tc>
        <w:tc>
          <w:tcPr>
            <w:tcW w:w="1524" w:type="dxa"/>
            <w:gridSpan w:val="2"/>
            <w:vAlign w:val="top"/>
          </w:tcPr>
          <w:p w14:paraId="5B04A8A2">
            <w:pPr>
              <w:rPr>
                <w:rFonts w:ascii="Arial"/>
                <w:color w:val="auto"/>
                <w:sz w:val="21"/>
                <w:highlight w:val="none"/>
              </w:rPr>
            </w:pPr>
          </w:p>
        </w:tc>
        <w:tc>
          <w:tcPr>
            <w:tcW w:w="1523" w:type="dxa"/>
            <w:gridSpan w:val="2"/>
            <w:vAlign w:val="top"/>
          </w:tcPr>
          <w:p w14:paraId="7BD0B56F">
            <w:pPr>
              <w:rPr>
                <w:rFonts w:ascii="Arial"/>
                <w:color w:val="auto"/>
                <w:sz w:val="21"/>
                <w:highlight w:val="none"/>
              </w:rPr>
            </w:pPr>
          </w:p>
        </w:tc>
        <w:tc>
          <w:tcPr>
            <w:tcW w:w="1400" w:type="dxa"/>
            <w:gridSpan w:val="2"/>
            <w:vAlign w:val="top"/>
          </w:tcPr>
          <w:p w14:paraId="761FBADF">
            <w:pPr>
              <w:rPr>
                <w:rFonts w:ascii="Arial"/>
                <w:color w:val="auto"/>
                <w:sz w:val="21"/>
                <w:highlight w:val="none"/>
              </w:rPr>
            </w:pPr>
          </w:p>
        </w:tc>
      </w:tr>
    </w:tbl>
    <w:p w14:paraId="787B75D3">
      <w:pPr>
        <w:spacing w:line="259" w:lineRule="auto"/>
        <w:rPr>
          <w:rFonts w:ascii="Arial"/>
          <w:color w:val="auto"/>
          <w:sz w:val="21"/>
          <w:highlight w:val="none"/>
        </w:rPr>
      </w:pPr>
    </w:p>
    <w:p w14:paraId="597FC2E4">
      <w:pPr>
        <w:spacing w:line="259" w:lineRule="auto"/>
        <w:rPr>
          <w:rFonts w:ascii="Arial"/>
          <w:color w:val="auto"/>
          <w:sz w:val="21"/>
          <w:highlight w:val="none"/>
        </w:rPr>
      </w:pPr>
    </w:p>
    <w:p w14:paraId="3E10A454">
      <w:pPr>
        <w:spacing w:line="259" w:lineRule="auto"/>
        <w:rPr>
          <w:rFonts w:ascii="Arial"/>
          <w:color w:val="auto"/>
          <w:sz w:val="21"/>
          <w:highlight w:val="none"/>
        </w:rPr>
      </w:pPr>
    </w:p>
    <w:p w14:paraId="228DB4DD">
      <w:pPr>
        <w:spacing w:line="260" w:lineRule="auto"/>
        <w:rPr>
          <w:rFonts w:ascii="Arial"/>
          <w:color w:val="auto"/>
          <w:sz w:val="24"/>
          <w:szCs w:val="24"/>
          <w:highlight w:val="none"/>
        </w:rPr>
      </w:pPr>
    </w:p>
    <w:p w14:paraId="10E28B45">
      <w:pPr>
        <w:pStyle w:val="10"/>
        <w:spacing w:before="78" w:line="219" w:lineRule="auto"/>
        <w:ind w:left="3971"/>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2C5B02FC">
      <w:pPr>
        <w:pStyle w:val="10"/>
        <w:spacing w:before="211" w:line="220" w:lineRule="auto"/>
        <w:ind w:left="6395"/>
        <w:outlineLvl w:val="1"/>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11B79149">
      <w:pPr>
        <w:pStyle w:val="13"/>
        <w:spacing w:line="460" w:lineRule="exact"/>
        <w:outlineLvl w:val="2"/>
        <w:rPr>
          <w:rFonts w:hAnsi="宋体" w:cs="宋体"/>
          <w:color w:val="auto"/>
          <w:highlight w:val="none"/>
        </w:rPr>
      </w:pPr>
    </w:p>
    <w:p w14:paraId="5D01B834">
      <w:pPr>
        <w:spacing w:line="460" w:lineRule="exact"/>
        <w:rPr>
          <w:rFonts w:ascii="宋体" w:hAnsi="宋体" w:cs="宋体"/>
          <w:color w:val="auto"/>
          <w:highlight w:val="none"/>
        </w:rPr>
      </w:pPr>
    </w:p>
    <w:p w14:paraId="2831B90F">
      <w:pPr>
        <w:pStyle w:val="15"/>
        <w:rPr>
          <w:color w:val="auto"/>
          <w:highlight w:val="none"/>
        </w:rPr>
      </w:pPr>
    </w:p>
    <w:p w14:paraId="6B4B5450">
      <w:pPr>
        <w:pStyle w:val="15"/>
        <w:rPr>
          <w:color w:val="auto"/>
          <w:highlight w:val="none"/>
        </w:rPr>
      </w:pPr>
    </w:p>
    <w:p w14:paraId="24E88B98">
      <w:pPr>
        <w:pStyle w:val="15"/>
        <w:rPr>
          <w:color w:val="auto"/>
          <w:highlight w:val="none"/>
        </w:rPr>
      </w:pPr>
    </w:p>
    <w:p w14:paraId="39A7F71D">
      <w:pPr>
        <w:pStyle w:val="15"/>
        <w:rPr>
          <w:color w:val="auto"/>
          <w:highlight w:val="none"/>
        </w:rPr>
      </w:pPr>
    </w:p>
    <w:p w14:paraId="36F6B554">
      <w:pPr>
        <w:pStyle w:val="15"/>
        <w:rPr>
          <w:color w:val="auto"/>
          <w:highlight w:val="none"/>
        </w:rPr>
      </w:pPr>
    </w:p>
    <w:p w14:paraId="475BEDA8">
      <w:pPr>
        <w:pStyle w:val="15"/>
        <w:rPr>
          <w:color w:val="auto"/>
          <w:highlight w:val="none"/>
        </w:rPr>
      </w:pPr>
    </w:p>
    <w:p w14:paraId="0D9EAA15">
      <w:pPr>
        <w:rPr>
          <w:color w:val="auto"/>
          <w:highlight w:val="none"/>
        </w:rPr>
      </w:pPr>
      <w:r>
        <w:rPr>
          <w:color w:val="auto"/>
          <w:highlight w:val="none"/>
        </w:rPr>
        <w:br w:type="page"/>
      </w:r>
    </w:p>
    <w:p w14:paraId="2811E495">
      <w:pPr>
        <w:pStyle w:val="10"/>
        <w:spacing w:before="101" w:line="224" w:lineRule="auto"/>
        <w:ind w:left="2659"/>
        <w:rPr>
          <w:color w:val="auto"/>
          <w:sz w:val="31"/>
          <w:szCs w:val="31"/>
          <w:highlight w:val="none"/>
        </w:rPr>
      </w:pPr>
      <w:r>
        <w:rPr>
          <w:color w:val="auto"/>
          <w:spacing w:val="8"/>
          <w:sz w:val="31"/>
          <w:szCs w:val="31"/>
          <w:highlight w:val="none"/>
        </w:rPr>
        <w:t>第四节 报价文件格式</w:t>
      </w:r>
    </w:p>
    <w:p w14:paraId="782C8C6C">
      <w:pPr>
        <w:spacing w:line="338" w:lineRule="auto"/>
        <w:rPr>
          <w:rFonts w:ascii="Arial"/>
          <w:color w:val="auto"/>
          <w:sz w:val="21"/>
          <w:highlight w:val="none"/>
        </w:rPr>
      </w:pPr>
    </w:p>
    <w:p w14:paraId="387BFA8A">
      <w:pPr>
        <w:pStyle w:val="10"/>
        <w:spacing w:before="65" w:line="228" w:lineRule="auto"/>
        <w:ind w:left="5765"/>
        <w:rPr>
          <w:color w:val="auto"/>
          <w:sz w:val="20"/>
          <w:szCs w:val="20"/>
          <w:highlight w:val="none"/>
        </w:rPr>
      </w:pPr>
      <w:r>
        <w:rPr>
          <w:color w:val="auto"/>
          <w:spacing w:val="8"/>
          <w:sz w:val="20"/>
          <w:szCs w:val="20"/>
          <w:highlight w:val="none"/>
        </w:rPr>
        <w:t>全流程电子文件</w:t>
      </w:r>
    </w:p>
    <w:p w14:paraId="67D233D8">
      <w:pPr>
        <w:spacing w:line="248" w:lineRule="auto"/>
        <w:rPr>
          <w:rFonts w:ascii="Arial"/>
          <w:color w:val="auto"/>
          <w:sz w:val="21"/>
          <w:highlight w:val="none"/>
        </w:rPr>
      </w:pPr>
    </w:p>
    <w:p w14:paraId="130D7EAC">
      <w:pPr>
        <w:spacing w:line="248" w:lineRule="auto"/>
        <w:rPr>
          <w:rFonts w:ascii="Arial"/>
          <w:color w:val="auto"/>
          <w:sz w:val="21"/>
          <w:highlight w:val="none"/>
        </w:rPr>
      </w:pPr>
    </w:p>
    <w:p w14:paraId="526B1CD5">
      <w:pPr>
        <w:spacing w:line="248" w:lineRule="auto"/>
        <w:rPr>
          <w:rFonts w:ascii="Arial"/>
          <w:color w:val="auto"/>
          <w:sz w:val="21"/>
          <w:highlight w:val="none"/>
        </w:rPr>
      </w:pPr>
    </w:p>
    <w:p w14:paraId="6F253C71">
      <w:pPr>
        <w:spacing w:line="248" w:lineRule="auto"/>
        <w:rPr>
          <w:rFonts w:ascii="Arial"/>
          <w:color w:val="auto"/>
          <w:sz w:val="21"/>
          <w:highlight w:val="none"/>
        </w:rPr>
      </w:pPr>
    </w:p>
    <w:p w14:paraId="078866A7">
      <w:pPr>
        <w:spacing w:line="249" w:lineRule="auto"/>
        <w:rPr>
          <w:rFonts w:ascii="Arial"/>
          <w:color w:val="auto"/>
          <w:sz w:val="21"/>
          <w:highlight w:val="none"/>
        </w:rPr>
      </w:pPr>
    </w:p>
    <w:p w14:paraId="3C44E54A">
      <w:pPr>
        <w:spacing w:line="249" w:lineRule="auto"/>
        <w:rPr>
          <w:rFonts w:ascii="Arial"/>
          <w:color w:val="auto"/>
          <w:sz w:val="21"/>
          <w:highlight w:val="none"/>
        </w:rPr>
      </w:pPr>
    </w:p>
    <w:p w14:paraId="135BF72D">
      <w:pPr>
        <w:pStyle w:val="10"/>
        <w:spacing w:before="169" w:line="219" w:lineRule="auto"/>
        <w:ind w:left="2094"/>
        <w:rPr>
          <w:color w:val="auto"/>
          <w:sz w:val="52"/>
          <w:szCs w:val="52"/>
          <w:highlight w:val="none"/>
        </w:rPr>
      </w:pPr>
      <w:r>
        <w:rPr>
          <w:b/>
          <w:bCs/>
          <w:color w:val="auto"/>
          <w:spacing w:val="-6"/>
          <w:sz w:val="52"/>
          <w:szCs w:val="52"/>
          <w:highlight w:val="none"/>
        </w:rPr>
        <w:t>报价文件（封面）</w:t>
      </w:r>
    </w:p>
    <w:p w14:paraId="2E651FD7">
      <w:pPr>
        <w:spacing w:line="246" w:lineRule="auto"/>
        <w:rPr>
          <w:rFonts w:ascii="Arial"/>
          <w:color w:val="auto"/>
          <w:sz w:val="21"/>
          <w:highlight w:val="none"/>
        </w:rPr>
      </w:pPr>
    </w:p>
    <w:p w14:paraId="5A426976">
      <w:pPr>
        <w:spacing w:line="246" w:lineRule="auto"/>
        <w:rPr>
          <w:rFonts w:ascii="Arial"/>
          <w:color w:val="auto"/>
          <w:sz w:val="21"/>
          <w:highlight w:val="none"/>
        </w:rPr>
      </w:pPr>
    </w:p>
    <w:p w14:paraId="5B76D830">
      <w:pPr>
        <w:spacing w:line="246" w:lineRule="auto"/>
        <w:rPr>
          <w:rFonts w:ascii="Arial"/>
          <w:color w:val="auto"/>
          <w:sz w:val="21"/>
          <w:highlight w:val="none"/>
        </w:rPr>
      </w:pPr>
    </w:p>
    <w:p w14:paraId="0DEF9806">
      <w:pPr>
        <w:spacing w:line="246" w:lineRule="auto"/>
        <w:rPr>
          <w:rFonts w:ascii="Arial"/>
          <w:color w:val="auto"/>
          <w:sz w:val="21"/>
          <w:highlight w:val="none"/>
        </w:rPr>
      </w:pPr>
    </w:p>
    <w:p w14:paraId="6AC93A8A">
      <w:pPr>
        <w:spacing w:line="246" w:lineRule="auto"/>
        <w:rPr>
          <w:rFonts w:ascii="Arial"/>
          <w:color w:val="auto"/>
          <w:sz w:val="21"/>
          <w:highlight w:val="none"/>
        </w:rPr>
      </w:pPr>
    </w:p>
    <w:p w14:paraId="4D020964">
      <w:pPr>
        <w:spacing w:line="247" w:lineRule="auto"/>
        <w:rPr>
          <w:rFonts w:ascii="Arial"/>
          <w:color w:val="auto"/>
          <w:sz w:val="21"/>
          <w:highlight w:val="none"/>
        </w:rPr>
      </w:pPr>
    </w:p>
    <w:p w14:paraId="18928412">
      <w:pPr>
        <w:spacing w:line="247" w:lineRule="auto"/>
        <w:rPr>
          <w:rFonts w:ascii="Arial"/>
          <w:color w:val="auto"/>
          <w:sz w:val="21"/>
          <w:highlight w:val="none"/>
        </w:rPr>
      </w:pPr>
    </w:p>
    <w:p w14:paraId="4EF91E6F">
      <w:pPr>
        <w:spacing w:line="247" w:lineRule="auto"/>
        <w:rPr>
          <w:rFonts w:ascii="Arial"/>
          <w:color w:val="auto"/>
          <w:sz w:val="21"/>
          <w:highlight w:val="none"/>
        </w:rPr>
      </w:pPr>
    </w:p>
    <w:p w14:paraId="5B9841A4">
      <w:pPr>
        <w:spacing w:line="247" w:lineRule="auto"/>
        <w:rPr>
          <w:rFonts w:ascii="Arial"/>
          <w:color w:val="auto"/>
          <w:sz w:val="21"/>
          <w:highlight w:val="none"/>
        </w:rPr>
      </w:pPr>
    </w:p>
    <w:p w14:paraId="50BDE0AF">
      <w:pPr>
        <w:spacing w:line="247" w:lineRule="auto"/>
        <w:rPr>
          <w:rFonts w:ascii="Arial"/>
          <w:color w:val="auto"/>
          <w:sz w:val="21"/>
          <w:highlight w:val="none"/>
        </w:rPr>
      </w:pPr>
    </w:p>
    <w:p w14:paraId="18E85CF6">
      <w:pPr>
        <w:pStyle w:val="10"/>
        <w:spacing w:before="100" w:line="226" w:lineRule="auto"/>
        <w:ind w:left="175"/>
        <w:rPr>
          <w:color w:val="auto"/>
          <w:sz w:val="31"/>
          <w:szCs w:val="31"/>
          <w:highlight w:val="none"/>
        </w:rPr>
      </w:pPr>
      <w:r>
        <w:rPr>
          <w:color w:val="auto"/>
          <w:spacing w:val="4"/>
          <w:sz w:val="31"/>
          <w:szCs w:val="31"/>
          <w:highlight w:val="none"/>
        </w:rPr>
        <w:t>项目名称：</w:t>
      </w:r>
    </w:p>
    <w:p w14:paraId="4311E420">
      <w:pPr>
        <w:spacing w:line="338" w:lineRule="auto"/>
        <w:rPr>
          <w:rFonts w:ascii="Arial"/>
          <w:color w:val="auto"/>
          <w:sz w:val="21"/>
          <w:highlight w:val="none"/>
        </w:rPr>
      </w:pPr>
    </w:p>
    <w:p w14:paraId="1AEC61F9">
      <w:pPr>
        <w:spacing w:line="339" w:lineRule="auto"/>
        <w:rPr>
          <w:rFonts w:ascii="Arial"/>
          <w:color w:val="auto"/>
          <w:sz w:val="21"/>
          <w:highlight w:val="none"/>
        </w:rPr>
      </w:pPr>
    </w:p>
    <w:p w14:paraId="587152DD">
      <w:pPr>
        <w:pStyle w:val="10"/>
        <w:spacing w:before="101" w:line="225" w:lineRule="auto"/>
        <w:ind w:left="175"/>
        <w:rPr>
          <w:color w:val="auto"/>
          <w:sz w:val="31"/>
          <w:szCs w:val="31"/>
          <w:highlight w:val="none"/>
        </w:rPr>
      </w:pPr>
      <w:r>
        <w:rPr>
          <w:color w:val="auto"/>
          <w:spacing w:val="4"/>
          <w:sz w:val="31"/>
          <w:szCs w:val="31"/>
          <w:highlight w:val="none"/>
        </w:rPr>
        <w:t>项目编号：</w:t>
      </w:r>
    </w:p>
    <w:p w14:paraId="10257D1E">
      <w:pPr>
        <w:spacing w:line="281" w:lineRule="auto"/>
        <w:rPr>
          <w:rFonts w:ascii="Arial"/>
          <w:color w:val="auto"/>
          <w:sz w:val="21"/>
          <w:highlight w:val="none"/>
        </w:rPr>
      </w:pPr>
    </w:p>
    <w:p w14:paraId="3A72CAC5">
      <w:pPr>
        <w:spacing w:line="282" w:lineRule="auto"/>
        <w:rPr>
          <w:rFonts w:ascii="Arial"/>
          <w:color w:val="auto"/>
          <w:sz w:val="21"/>
          <w:highlight w:val="none"/>
        </w:rPr>
      </w:pPr>
    </w:p>
    <w:p w14:paraId="6735B9BE">
      <w:pPr>
        <w:pStyle w:val="10"/>
        <w:spacing w:before="100" w:line="225" w:lineRule="auto"/>
        <w:ind w:left="170"/>
        <w:rPr>
          <w:color w:val="auto"/>
          <w:sz w:val="31"/>
          <w:szCs w:val="31"/>
          <w:highlight w:val="none"/>
        </w:rPr>
      </w:pPr>
      <w:r>
        <w:rPr>
          <w:color w:val="auto"/>
          <w:spacing w:val="5"/>
          <w:sz w:val="31"/>
          <w:szCs w:val="31"/>
          <w:highlight w:val="none"/>
        </w:rPr>
        <w:t>供应商名称：</w:t>
      </w:r>
    </w:p>
    <w:p w14:paraId="4AD100BC">
      <w:pPr>
        <w:spacing w:line="248" w:lineRule="auto"/>
        <w:rPr>
          <w:rFonts w:ascii="Arial"/>
          <w:color w:val="auto"/>
          <w:sz w:val="21"/>
          <w:highlight w:val="none"/>
        </w:rPr>
      </w:pPr>
    </w:p>
    <w:p w14:paraId="32361DB3">
      <w:pPr>
        <w:spacing w:line="248" w:lineRule="auto"/>
        <w:rPr>
          <w:rFonts w:ascii="Arial"/>
          <w:color w:val="auto"/>
          <w:sz w:val="21"/>
          <w:highlight w:val="none"/>
        </w:rPr>
      </w:pPr>
    </w:p>
    <w:p w14:paraId="2C68447E">
      <w:pPr>
        <w:spacing w:line="248" w:lineRule="auto"/>
        <w:rPr>
          <w:rFonts w:ascii="Arial"/>
          <w:color w:val="auto"/>
          <w:sz w:val="21"/>
          <w:highlight w:val="none"/>
        </w:rPr>
      </w:pPr>
    </w:p>
    <w:p w14:paraId="58449952">
      <w:pPr>
        <w:spacing w:line="249" w:lineRule="auto"/>
        <w:rPr>
          <w:rFonts w:ascii="Arial"/>
          <w:color w:val="auto"/>
          <w:sz w:val="21"/>
          <w:highlight w:val="none"/>
        </w:rPr>
      </w:pPr>
    </w:p>
    <w:p w14:paraId="5C00A61D">
      <w:pPr>
        <w:spacing w:line="249" w:lineRule="auto"/>
        <w:rPr>
          <w:rFonts w:ascii="Arial"/>
          <w:color w:val="auto"/>
          <w:sz w:val="21"/>
          <w:highlight w:val="none"/>
        </w:rPr>
      </w:pPr>
    </w:p>
    <w:p w14:paraId="5F94688D">
      <w:pPr>
        <w:spacing w:line="249" w:lineRule="auto"/>
        <w:rPr>
          <w:rFonts w:ascii="Arial"/>
          <w:color w:val="auto"/>
          <w:sz w:val="21"/>
          <w:highlight w:val="none"/>
        </w:rPr>
      </w:pPr>
    </w:p>
    <w:p w14:paraId="2C1857F8">
      <w:pPr>
        <w:pStyle w:val="15"/>
        <w:jc w:val="center"/>
        <w:rPr>
          <w:color w:val="auto"/>
          <w:highlight w:val="none"/>
        </w:rPr>
      </w:pPr>
      <w:r>
        <w:rPr>
          <w:color w:val="auto"/>
          <w:spacing w:val="-6"/>
          <w:sz w:val="31"/>
          <w:szCs w:val="31"/>
          <w:highlight w:val="none"/>
        </w:rPr>
        <w:t>年</w:t>
      </w:r>
      <w:r>
        <w:rPr>
          <w:color w:val="auto"/>
          <w:spacing w:val="10"/>
          <w:sz w:val="31"/>
          <w:szCs w:val="31"/>
          <w:highlight w:val="none"/>
        </w:rPr>
        <w:t xml:space="preserve">    </w:t>
      </w:r>
      <w:r>
        <w:rPr>
          <w:color w:val="auto"/>
          <w:spacing w:val="-6"/>
          <w:sz w:val="31"/>
          <w:szCs w:val="31"/>
          <w:highlight w:val="none"/>
        </w:rPr>
        <w:t>月</w:t>
      </w:r>
      <w:r>
        <w:rPr>
          <w:color w:val="auto"/>
          <w:spacing w:val="22"/>
          <w:sz w:val="31"/>
          <w:szCs w:val="31"/>
          <w:highlight w:val="none"/>
        </w:rPr>
        <w:t xml:space="preserve">   </w:t>
      </w:r>
      <w:r>
        <w:rPr>
          <w:color w:val="auto"/>
          <w:spacing w:val="-6"/>
          <w:sz w:val="31"/>
          <w:szCs w:val="31"/>
          <w:highlight w:val="none"/>
        </w:rPr>
        <w:t>日</w:t>
      </w:r>
    </w:p>
    <w:p w14:paraId="4FCB4771">
      <w:pPr>
        <w:pStyle w:val="15"/>
        <w:rPr>
          <w:color w:val="auto"/>
          <w:highlight w:val="none"/>
        </w:rPr>
      </w:pPr>
    </w:p>
    <w:p w14:paraId="3CB52C4C">
      <w:pPr>
        <w:pStyle w:val="15"/>
        <w:rPr>
          <w:color w:val="auto"/>
          <w:highlight w:val="none"/>
        </w:rPr>
      </w:pPr>
    </w:p>
    <w:p w14:paraId="0C51855F">
      <w:pPr>
        <w:pStyle w:val="15"/>
        <w:rPr>
          <w:color w:val="auto"/>
          <w:highlight w:val="none"/>
        </w:rPr>
      </w:pPr>
    </w:p>
    <w:p w14:paraId="2F9CC440">
      <w:pPr>
        <w:pStyle w:val="15"/>
        <w:rPr>
          <w:color w:val="auto"/>
          <w:highlight w:val="none"/>
        </w:rPr>
      </w:pPr>
    </w:p>
    <w:p w14:paraId="6C08EFE6">
      <w:pPr>
        <w:pStyle w:val="15"/>
        <w:rPr>
          <w:color w:val="auto"/>
          <w:highlight w:val="none"/>
        </w:rPr>
      </w:pPr>
    </w:p>
    <w:p w14:paraId="450FC030">
      <w:pPr>
        <w:pStyle w:val="15"/>
        <w:rPr>
          <w:color w:val="auto"/>
          <w:highlight w:val="none"/>
        </w:rPr>
      </w:pPr>
    </w:p>
    <w:p w14:paraId="62E89893">
      <w:pPr>
        <w:rPr>
          <w:color w:val="auto"/>
          <w:highlight w:val="none"/>
        </w:rPr>
      </w:pPr>
      <w:r>
        <w:rPr>
          <w:color w:val="auto"/>
          <w:highlight w:val="none"/>
        </w:rPr>
        <w:br w:type="page"/>
      </w:r>
    </w:p>
    <w:p w14:paraId="2B4A03AD">
      <w:pPr>
        <w:pStyle w:val="10"/>
        <w:spacing w:before="101" w:line="224" w:lineRule="auto"/>
        <w:jc w:val="center"/>
        <w:rPr>
          <w:color w:val="auto"/>
          <w:sz w:val="31"/>
          <w:szCs w:val="31"/>
          <w:highlight w:val="none"/>
        </w:rPr>
      </w:pPr>
      <w:r>
        <w:rPr>
          <w:b/>
          <w:bCs/>
          <w:color w:val="auto"/>
          <w:spacing w:val="4"/>
          <w:sz w:val="31"/>
          <w:szCs w:val="31"/>
          <w:highlight w:val="none"/>
        </w:rPr>
        <w:t>报价文件目录</w:t>
      </w:r>
    </w:p>
    <w:p w14:paraId="1699199C">
      <w:pPr>
        <w:pStyle w:val="10"/>
        <w:spacing w:before="282" w:line="228" w:lineRule="auto"/>
        <w:ind w:left="208"/>
        <w:rPr>
          <w:color w:val="auto"/>
          <w:sz w:val="20"/>
          <w:szCs w:val="20"/>
          <w:highlight w:val="none"/>
        </w:rPr>
      </w:pPr>
      <w:r>
        <w:rPr>
          <w:color w:val="auto"/>
          <w:spacing w:val="9"/>
          <w:sz w:val="20"/>
          <w:szCs w:val="20"/>
          <w:highlight w:val="none"/>
        </w:rPr>
        <w:t>根据磋商文件规定及供应商提供的材料自行编写目录（部分格式后附）。</w:t>
      </w:r>
    </w:p>
    <w:p w14:paraId="0D75FB62">
      <w:pPr>
        <w:pStyle w:val="15"/>
        <w:rPr>
          <w:color w:val="auto"/>
          <w:highlight w:val="none"/>
        </w:rPr>
      </w:pPr>
    </w:p>
    <w:p w14:paraId="5C1A2A27">
      <w:pPr>
        <w:pStyle w:val="15"/>
        <w:rPr>
          <w:color w:val="auto"/>
          <w:highlight w:val="none"/>
        </w:rPr>
      </w:pPr>
    </w:p>
    <w:p w14:paraId="41443B50">
      <w:pPr>
        <w:pStyle w:val="15"/>
        <w:rPr>
          <w:color w:val="auto"/>
          <w:highlight w:val="none"/>
        </w:rPr>
      </w:pPr>
    </w:p>
    <w:p w14:paraId="12EEEC06">
      <w:pPr>
        <w:pStyle w:val="15"/>
        <w:rPr>
          <w:color w:val="auto"/>
          <w:highlight w:val="none"/>
        </w:rPr>
      </w:pPr>
    </w:p>
    <w:p w14:paraId="67947308">
      <w:pPr>
        <w:pStyle w:val="15"/>
        <w:rPr>
          <w:color w:val="auto"/>
          <w:highlight w:val="none"/>
        </w:rPr>
      </w:pPr>
    </w:p>
    <w:p w14:paraId="633E2CF1">
      <w:pPr>
        <w:pStyle w:val="15"/>
        <w:rPr>
          <w:color w:val="auto"/>
          <w:highlight w:val="none"/>
        </w:rPr>
      </w:pPr>
    </w:p>
    <w:p w14:paraId="5A428C5E">
      <w:pPr>
        <w:rPr>
          <w:color w:val="auto"/>
          <w:highlight w:val="none"/>
        </w:rPr>
      </w:pPr>
      <w:r>
        <w:rPr>
          <w:color w:val="auto"/>
          <w:highlight w:val="none"/>
        </w:rPr>
        <w:br w:type="page"/>
      </w:r>
    </w:p>
    <w:p w14:paraId="45F941B5">
      <w:pPr>
        <w:pStyle w:val="10"/>
        <w:spacing w:before="98" w:line="222" w:lineRule="auto"/>
        <w:ind w:left="4215"/>
        <w:rPr>
          <w:color w:val="auto"/>
          <w:sz w:val="30"/>
          <w:szCs w:val="30"/>
          <w:highlight w:val="none"/>
        </w:rPr>
      </w:pPr>
      <w:r>
        <w:rPr>
          <w:b/>
          <w:bCs/>
          <w:color w:val="auto"/>
          <w:spacing w:val="-12"/>
          <w:sz w:val="30"/>
          <w:szCs w:val="30"/>
          <w:highlight w:val="none"/>
        </w:rPr>
        <w:t>响应函</w:t>
      </w:r>
    </w:p>
    <w:p w14:paraId="05F9E174">
      <w:pPr>
        <w:pStyle w:val="10"/>
        <w:spacing w:before="291" w:line="220" w:lineRule="auto"/>
        <w:rPr>
          <w:color w:val="auto"/>
          <w:sz w:val="24"/>
          <w:szCs w:val="24"/>
          <w:highlight w:val="none"/>
        </w:rPr>
      </w:pPr>
      <w:r>
        <w:rPr>
          <w:color w:val="auto"/>
          <w:spacing w:val="-1"/>
          <w:sz w:val="24"/>
          <w:szCs w:val="24"/>
          <w:highlight w:val="none"/>
        </w:rPr>
        <w:t>致：</w:t>
      </w:r>
      <w:r>
        <w:rPr>
          <w:color w:val="auto"/>
          <w:spacing w:val="-1"/>
          <w:sz w:val="24"/>
          <w:szCs w:val="24"/>
          <w:highlight w:val="none"/>
          <w:u w:val="single" w:color="auto"/>
        </w:rPr>
        <w:t xml:space="preserve"> 广西建通工程咨询有限责任公司</w:t>
      </w:r>
      <w:r>
        <w:rPr>
          <w:color w:val="auto"/>
          <w:spacing w:val="6"/>
          <w:sz w:val="24"/>
          <w:szCs w:val="24"/>
          <w:highlight w:val="none"/>
          <w:u w:val="single" w:color="auto"/>
        </w:rPr>
        <w:t xml:space="preserve"> </w:t>
      </w:r>
    </w:p>
    <w:p w14:paraId="3FD10918">
      <w:pPr>
        <w:pStyle w:val="10"/>
        <w:spacing w:before="211" w:line="382" w:lineRule="auto"/>
        <w:ind w:left="4" w:right="81" w:firstLine="477"/>
        <w:rPr>
          <w:color w:val="auto"/>
          <w:sz w:val="24"/>
          <w:szCs w:val="24"/>
          <w:highlight w:val="none"/>
        </w:rPr>
      </w:pPr>
      <w:r>
        <w:rPr>
          <w:color w:val="auto"/>
          <w:spacing w:val="-2"/>
          <w:sz w:val="24"/>
          <w:szCs w:val="24"/>
          <w:highlight w:val="none"/>
        </w:rPr>
        <w:t>我方已仔细阅读了贵方组织的</w:t>
      </w:r>
      <w:r>
        <w:rPr>
          <w:color w:val="auto"/>
          <w:spacing w:val="-2"/>
          <w:sz w:val="24"/>
          <w:szCs w:val="24"/>
          <w:highlight w:val="none"/>
          <w:u w:val="single" w:color="auto"/>
        </w:rPr>
        <w:t xml:space="preserve">                 </w:t>
      </w:r>
      <w:r>
        <w:rPr>
          <w:color w:val="auto"/>
          <w:spacing w:val="-106"/>
          <w:sz w:val="24"/>
          <w:szCs w:val="24"/>
          <w:highlight w:val="none"/>
        </w:rPr>
        <w:t xml:space="preserve"> </w:t>
      </w:r>
      <w:r>
        <w:rPr>
          <w:color w:val="auto"/>
          <w:spacing w:val="-2"/>
          <w:sz w:val="24"/>
          <w:szCs w:val="24"/>
          <w:highlight w:val="none"/>
        </w:rPr>
        <w:t>项目（项目编号</w:t>
      </w:r>
      <w:r>
        <w:rPr>
          <w:color w:val="auto"/>
          <w:spacing w:val="-23"/>
          <w:sz w:val="24"/>
          <w:szCs w:val="24"/>
          <w:highlight w:val="none"/>
        </w:rPr>
        <w:t>：</w:t>
      </w:r>
      <w:r>
        <w:rPr>
          <w:color w:val="auto"/>
          <w:sz w:val="24"/>
          <w:szCs w:val="24"/>
          <w:highlight w:val="none"/>
          <w:u w:val="single" w:color="auto"/>
        </w:rPr>
        <w:t xml:space="preserve">         </w:t>
      </w:r>
      <w:r>
        <w:rPr>
          <w:color w:val="auto"/>
          <w:spacing w:val="-85"/>
          <w:sz w:val="24"/>
          <w:szCs w:val="24"/>
          <w:highlight w:val="none"/>
        </w:rPr>
        <w:t xml:space="preserve"> </w:t>
      </w:r>
      <w:r>
        <w:rPr>
          <w:color w:val="auto"/>
          <w:spacing w:val="-23"/>
          <w:sz w:val="24"/>
          <w:szCs w:val="24"/>
          <w:highlight w:val="none"/>
        </w:rPr>
        <w:t>）</w:t>
      </w:r>
      <w:r>
        <w:rPr>
          <w:color w:val="auto"/>
          <w:spacing w:val="-2"/>
          <w:sz w:val="24"/>
          <w:szCs w:val="24"/>
          <w:highlight w:val="none"/>
        </w:rPr>
        <w:t>的竞</w:t>
      </w:r>
      <w:r>
        <w:rPr>
          <w:color w:val="auto"/>
          <w:sz w:val="24"/>
          <w:szCs w:val="24"/>
          <w:highlight w:val="none"/>
        </w:rPr>
        <w:t>争性磋商文件的全部内容，现正式递交下述文件</w:t>
      </w:r>
      <w:r>
        <w:rPr>
          <w:color w:val="auto"/>
          <w:spacing w:val="-1"/>
          <w:sz w:val="24"/>
          <w:szCs w:val="24"/>
          <w:highlight w:val="none"/>
        </w:rPr>
        <w:t>参加贵方组织的本次政府采购活动：</w:t>
      </w:r>
    </w:p>
    <w:p w14:paraId="0130F04E">
      <w:pPr>
        <w:pStyle w:val="10"/>
        <w:spacing w:line="218" w:lineRule="auto"/>
        <w:ind w:right="18" w:firstLine="472" w:firstLineChars="200"/>
        <w:jc w:val="both"/>
        <w:rPr>
          <w:color w:val="auto"/>
          <w:sz w:val="24"/>
          <w:szCs w:val="24"/>
          <w:highlight w:val="none"/>
        </w:rPr>
      </w:pPr>
      <w:r>
        <w:rPr>
          <w:color w:val="auto"/>
          <w:spacing w:val="-2"/>
          <w:sz w:val="24"/>
          <w:szCs w:val="24"/>
          <w:highlight w:val="none"/>
        </w:rPr>
        <w:t>一、首次报价文件电子版</w:t>
      </w:r>
      <w:r>
        <w:rPr>
          <w:color w:val="auto"/>
          <w:spacing w:val="-2"/>
          <w:sz w:val="24"/>
          <w:szCs w:val="24"/>
          <w:highlight w:val="none"/>
          <w:u w:val="single" w:color="auto"/>
        </w:rPr>
        <w:t xml:space="preserve">   </w:t>
      </w:r>
      <w:r>
        <w:rPr>
          <w:color w:val="auto"/>
          <w:spacing w:val="-111"/>
          <w:sz w:val="24"/>
          <w:szCs w:val="24"/>
          <w:highlight w:val="none"/>
        </w:rPr>
        <w:t xml:space="preserve"> </w:t>
      </w:r>
      <w:r>
        <w:rPr>
          <w:color w:val="auto"/>
          <w:spacing w:val="-2"/>
          <w:sz w:val="24"/>
          <w:szCs w:val="24"/>
          <w:highlight w:val="none"/>
        </w:rPr>
        <w:t>份（包含按</w:t>
      </w:r>
      <w:r>
        <w:rPr>
          <w:rFonts w:hint="eastAsia"/>
          <w:color w:val="auto"/>
          <w:spacing w:val="-1"/>
          <w:sz w:val="24"/>
          <w:szCs w:val="24"/>
          <w:highlight w:val="none"/>
          <w:lang w:eastAsia="zh-CN"/>
        </w:rPr>
        <w:t>“</w:t>
      </w:r>
      <w:r>
        <w:rPr>
          <w:color w:val="auto"/>
          <w:spacing w:val="-2"/>
          <w:sz w:val="24"/>
          <w:szCs w:val="24"/>
          <w:highlight w:val="none"/>
        </w:rPr>
        <w:t>第三章 供应商须知</w:t>
      </w:r>
      <w:r>
        <w:rPr>
          <w:color w:val="auto"/>
          <w:spacing w:val="-88"/>
          <w:sz w:val="24"/>
          <w:szCs w:val="24"/>
          <w:highlight w:val="none"/>
        </w:rPr>
        <w:t xml:space="preserve"> </w:t>
      </w:r>
      <w:r>
        <w:rPr>
          <w:rFonts w:hint="eastAsia"/>
          <w:color w:val="auto"/>
          <w:spacing w:val="-3"/>
          <w:sz w:val="24"/>
          <w:szCs w:val="24"/>
          <w:highlight w:val="none"/>
          <w:lang w:eastAsia="zh-CN"/>
        </w:rPr>
        <w:t>”</w:t>
      </w:r>
      <w:r>
        <w:rPr>
          <w:color w:val="auto"/>
          <w:spacing w:val="-2"/>
          <w:sz w:val="24"/>
          <w:szCs w:val="24"/>
          <w:highlight w:val="none"/>
        </w:rPr>
        <w:t>提交的全部文件</w:t>
      </w:r>
      <w:r>
        <w:rPr>
          <w:color w:val="auto"/>
          <w:spacing w:val="9"/>
          <w:sz w:val="24"/>
          <w:szCs w:val="24"/>
          <w:highlight w:val="none"/>
        </w:rPr>
        <w:t>）；</w:t>
      </w:r>
    </w:p>
    <w:p w14:paraId="414AFE3E">
      <w:pPr>
        <w:pStyle w:val="10"/>
        <w:spacing w:before="213" w:line="219" w:lineRule="auto"/>
        <w:ind w:right="18" w:firstLine="472" w:firstLineChars="200"/>
        <w:jc w:val="both"/>
        <w:rPr>
          <w:color w:val="auto"/>
          <w:sz w:val="24"/>
          <w:szCs w:val="24"/>
          <w:highlight w:val="none"/>
        </w:rPr>
      </w:pPr>
      <w:r>
        <w:rPr>
          <w:color w:val="auto"/>
          <w:spacing w:val="-2"/>
          <w:sz w:val="24"/>
          <w:szCs w:val="24"/>
          <w:highlight w:val="none"/>
        </w:rPr>
        <w:t>二、商务技术文件电子版</w:t>
      </w:r>
      <w:r>
        <w:rPr>
          <w:color w:val="auto"/>
          <w:spacing w:val="-2"/>
          <w:sz w:val="24"/>
          <w:szCs w:val="24"/>
          <w:highlight w:val="none"/>
          <w:u w:val="single" w:color="auto"/>
        </w:rPr>
        <w:t xml:space="preserve">   </w:t>
      </w:r>
      <w:r>
        <w:rPr>
          <w:color w:val="auto"/>
          <w:spacing w:val="-111"/>
          <w:sz w:val="24"/>
          <w:szCs w:val="24"/>
          <w:highlight w:val="none"/>
        </w:rPr>
        <w:t xml:space="preserve"> </w:t>
      </w:r>
      <w:r>
        <w:rPr>
          <w:color w:val="auto"/>
          <w:spacing w:val="-2"/>
          <w:sz w:val="24"/>
          <w:szCs w:val="24"/>
          <w:highlight w:val="none"/>
        </w:rPr>
        <w:t>份（包含按</w:t>
      </w:r>
      <w:r>
        <w:rPr>
          <w:rFonts w:hint="eastAsia"/>
          <w:color w:val="auto"/>
          <w:spacing w:val="-1"/>
          <w:sz w:val="24"/>
          <w:szCs w:val="24"/>
          <w:highlight w:val="none"/>
          <w:lang w:eastAsia="zh-CN"/>
        </w:rPr>
        <w:t>“</w:t>
      </w:r>
      <w:r>
        <w:rPr>
          <w:color w:val="auto"/>
          <w:spacing w:val="-2"/>
          <w:sz w:val="24"/>
          <w:szCs w:val="24"/>
          <w:highlight w:val="none"/>
        </w:rPr>
        <w:t>第三章 供应商须知</w:t>
      </w:r>
      <w:r>
        <w:rPr>
          <w:rFonts w:hint="eastAsia"/>
          <w:color w:val="auto"/>
          <w:spacing w:val="-3"/>
          <w:sz w:val="24"/>
          <w:szCs w:val="24"/>
          <w:highlight w:val="none"/>
          <w:lang w:eastAsia="zh-CN"/>
        </w:rPr>
        <w:t>”</w:t>
      </w:r>
      <w:r>
        <w:rPr>
          <w:color w:val="auto"/>
          <w:spacing w:val="-2"/>
          <w:sz w:val="24"/>
          <w:szCs w:val="24"/>
          <w:highlight w:val="none"/>
        </w:rPr>
        <w:t>提交的全部文件</w:t>
      </w:r>
      <w:r>
        <w:rPr>
          <w:color w:val="auto"/>
          <w:spacing w:val="9"/>
          <w:sz w:val="24"/>
          <w:szCs w:val="24"/>
          <w:highlight w:val="none"/>
        </w:rPr>
        <w:t>）；</w:t>
      </w:r>
    </w:p>
    <w:p w14:paraId="49AE7B39">
      <w:pPr>
        <w:pStyle w:val="10"/>
        <w:spacing w:before="212" w:line="219" w:lineRule="auto"/>
        <w:ind w:left="480"/>
        <w:rPr>
          <w:color w:val="auto"/>
          <w:sz w:val="24"/>
          <w:szCs w:val="24"/>
          <w:highlight w:val="none"/>
        </w:rPr>
      </w:pPr>
      <w:r>
        <w:rPr>
          <w:color w:val="auto"/>
          <w:spacing w:val="-1"/>
          <w:sz w:val="24"/>
          <w:szCs w:val="24"/>
          <w:highlight w:val="none"/>
        </w:rPr>
        <w:t>三、资格证明文件电子版</w:t>
      </w:r>
      <w:r>
        <w:rPr>
          <w:color w:val="auto"/>
          <w:spacing w:val="-1"/>
          <w:sz w:val="24"/>
          <w:szCs w:val="24"/>
          <w:highlight w:val="none"/>
          <w:u w:val="single" w:color="auto"/>
        </w:rPr>
        <w:t xml:space="preserve">   </w:t>
      </w:r>
      <w:r>
        <w:rPr>
          <w:color w:val="auto"/>
          <w:spacing w:val="-111"/>
          <w:sz w:val="24"/>
          <w:szCs w:val="24"/>
          <w:highlight w:val="none"/>
        </w:rPr>
        <w:t xml:space="preserve"> </w:t>
      </w:r>
      <w:r>
        <w:rPr>
          <w:color w:val="auto"/>
          <w:spacing w:val="-1"/>
          <w:sz w:val="24"/>
          <w:szCs w:val="24"/>
          <w:highlight w:val="none"/>
        </w:rPr>
        <w:t>份（包含按</w:t>
      </w:r>
      <w:r>
        <w:rPr>
          <w:rFonts w:hint="eastAsia"/>
          <w:color w:val="auto"/>
          <w:spacing w:val="-1"/>
          <w:sz w:val="24"/>
          <w:szCs w:val="24"/>
          <w:highlight w:val="none"/>
          <w:lang w:eastAsia="zh-CN"/>
        </w:rPr>
        <w:t>“</w:t>
      </w:r>
      <w:r>
        <w:rPr>
          <w:color w:val="auto"/>
          <w:spacing w:val="-2"/>
          <w:sz w:val="24"/>
          <w:szCs w:val="24"/>
          <w:highlight w:val="none"/>
        </w:rPr>
        <w:t>第三章供应商须知</w:t>
      </w:r>
      <w:r>
        <w:rPr>
          <w:rFonts w:hint="eastAsia"/>
          <w:color w:val="auto"/>
          <w:spacing w:val="-3"/>
          <w:sz w:val="24"/>
          <w:szCs w:val="24"/>
          <w:highlight w:val="none"/>
          <w:lang w:eastAsia="zh-CN"/>
        </w:rPr>
        <w:t>”</w:t>
      </w:r>
      <w:r>
        <w:rPr>
          <w:color w:val="auto"/>
          <w:spacing w:val="-2"/>
          <w:sz w:val="24"/>
          <w:szCs w:val="24"/>
          <w:highlight w:val="none"/>
        </w:rPr>
        <w:t>提交的全部文件</w:t>
      </w:r>
      <w:r>
        <w:rPr>
          <w:color w:val="auto"/>
          <w:sz w:val="24"/>
          <w:szCs w:val="24"/>
          <w:highlight w:val="none"/>
        </w:rPr>
        <w:t>）；</w:t>
      </w:r>
    </w:p>
    <w:p w14:paraId="0E0EEF11">
      <w:pPr>
        <w:pStyle w:val="10"/>
        <w:spacing w:before="209" w:line="219" w:lineRule="auto"/>
        <w:ind w:left="479"/>
        <w:rPr>
          <w:color w:val="auto"/>
          <w:sz w:val="24"/>
          <w:szCs w:val="24"/>
          <w:highlight w:val="none"/>
        </w:rPr>
      </w:pPr>
      <w:r>
        <w:rPr>
          <w:color w:val="auto"/>
          <w:spacing w:val="-1"/>
          <w:sz w:val="24"/>
          <w:szCs w:val="24"/>
          <w:highlight w:val="none"/>
        </w:rPr>
        <w:t>据此函，签字人兹宣布：</w:t>
      </w:r>
    </w:p>
    <w:p w14:paraId="2A335B8B">
      <w:pPr>
        <w:pStyle w:val="10"/>
        <w:spacing w:before="211" w:line="328" w:lineRule="auto"/>
        <w:ind w:right="81" w:firstLine="500"/>
        <w:rPr>
          <w:color w:val="auto"/>
          <w:sz w:val="24"/>
          <w:szCs w:val="24"/>
          <w:highlight w:val="none"/>
        </w:rPr>
      </w:pPr>
      <w:r>
        <w:rPr>
          <w:color w:val="auto"/>
          <w:spacing w:val="-2"/>
          <w:sz w:val="24"/>
          <w:szCs w:val="24"/>
          <w:highlight w:val="none"/>
        </w:rPr>
        <w:t>1.我方愿意以（大写）人民币</w:t>
      </w:r>
      <w:r>
        <w:rPr>
          <w:color w:val="auto"/>
          <w:spacing w:val="-2"/>
          <w:sz w:val="24"/>
          <w:szCs w:val="24"/>
          <w:highlight w:val="none"/>
          <w:u w:val="single" w:color="auto"/>
        </w:rPr>
        <w:t xml:space="preserve">              </w:t>
      </w:r>
      <w:r>
        <w:rPr>
          <w:color w:val="auto"/>
          <w:spacing w:val="-2"/>
          <w:sz w:val="24"/>
          <w:szCs w:val="24"/>
          <w:highlight w:val="none"/>
        </w:rPr>
        <w:t xml:space="preserve"> (¥</w:t>
      </w:r>
      <w:r>
        <w:rPr>
          <w:color w:val="auto"/>
          <w:spacing w:val="-2"/>
          <w:sz w:val="24"/>
          <w:szCs w:val="24"/>
          <w:highlight w:val="none"/>
          <w:u w:val="single" w:color="auto"/>
        </w:rPr>
        <w:t xml:space="preserve">          </w:t>
      </w:r>
      <w:r>
        <w:rPr>
          <w:color w:val="auto"/>
          <w:spacing w:val="-109"/>
          <w:sz w:val="24"/>
          <w:szCs w:val="24"/>
          <w:highlight w:val="none"/>
        </w:rPr>
        <w:t xml:space="preserve"> </w:t>
      </w:r>
      <w:r>
        <w:rPr>
          <w:color w:val="auto"/>
          <w:spacing w:val="-2"/>
          <w:sz w:val="24"/>
          <w:szCs w:val="24"/>
          <w:highlight w:val="none"/>
        </w:rPr>
        <w:t>元)的竞标总报价，合同</w:t>
      </w:r>
      <w:r>
        <w:rPr>
          <w:color w:val="auto"/>
          <w:spacing w:val="-1"/>
          <w:sz w:val="24"/>
          <w:szCs w:val="24"/>
          <w:highlight w:val="none"/>
        </w:rPr>
        <w:t>履行期限</w:t>
      </w:r>
      <w:r>
        <w:rPr>
          <w:color w:val="auto"/>
          <w:spacing w:val="-3"/>
          <w:sz w:val="24"/>
          <w:szCs w:val="24"/>
          <w:highlight w:val="none"/>
        </w:rPr>
        <w:t>：</w:t>
      </w:r>
      <w:r>
        <w:rPr>
          <w:color w:val="auto"/>
          <w:spacing w:val="1"/>
          <w:sz w:val="24"/>
          <w:szCs w:val="24"/>
          <w:highlight w:val="none"/>
          <w:u w:val="single" w:color="auto"/>
        </w:rPr>
        <w:t xml:space="preserve">                   </w:t>
      </w:r>
      <w:r>
        <w:rPr>
          <w:color w:val="auto"/>
          <w:spacing w:val="-91"/>
          <w:sz w:val="24"/>
          <w:szCs w:val="24"/>
          <w:highlight w:val="none"/>
        </w:rPr>
        <w:t xml:space="preserve"> </w:t>
      </w:r>
      <w:r>
        <w:rPr>
          <w:color w:val="auto"/>
          <w:spacing w:val="-3"/>
          <w:sz w:val="24"/>
          <w:szCs w:val="24"/>
          <w:highlight w:val="none"/>
        </w:rPr>
        <w:t>，</w:t>
      </w:r>
      <w:r>
        <w:rPr>
          <w:color w:val="auto"/>
          <w:spacing w:val="-1"/>
          <w:sz w:val="24"/>
          <w:szCs w:val="24"/>
          <w:highlight w:val="none"/>
        </w:rPr>
        <w:t>提供本项目竞争性磋商文件第二章</w:t>
      </w:r>
      <w:r>
        <w:rPr>
          <w:rFonts w:hint="eastAsia"/>
          <w:color w:val="auto"/>
          <w:spacing w:val="-1"/>
          <w:sz w:val="24"/>
          <w:szCs w:val="24"/>
          <w:highlight w:val="none"/>
          <w:lang w:eastAsia="zh-CN"/>
        </w:rPr>
        <w:t>“</w:t>
      </w:r>
      <w:r>
        <w:rPr>
          <w:color w:val="auto"/>
          <w:spacing w:val="-1"/>
          <w:sz w:val="24"/>
          <w:szCs w:val="24"/>
          <w:highlight w:val="none"/>
        </w:rPr>
        <w:t>采购需求</w:t>
      </w:r>
      <w:r>
        <w:rPr>
          <w:rFonts w:hint="eastAsia"/>
          <w:color w:val="auto"/>
          <w:spacing w:val="-3"/>
          <w:sz w:val="24"/>
          <w:szCs w:val="24"/>
          <w:highlight w:val="none"/>
          <w:lang w:eastAsia="zh-CN"/>
        </w:rPr>
        <w:t>”</w:t>
      </w:r>
      <w:r>
        <w:rPr>
          <w:color w:val="auto"/>
          <w:spacing w:val="-1"/>
          <w:sz w:val="24"/>
          <w:szCs w:val="24"/>
          <w:highlight w:val="none"/>
        </w:rPr>
        <w:t>中相</w:t>
      </w:r>
      <w:r>
        <w:rPr>
          <w:color w:val="auto"/>
          <w:spacing w:val="-2"/>
          <w:sz w:val="24"/>
          <w:szCs w:val="24"/>
          <w:highlight w:val="none"/>
        </w:rPr>
        <w:t>应的采购内容。</w:t>
      </w:r>
    </w:p>
    <w:p w14:paraId="024EF7D3">
      <w:pPr>
        <w:pStyle w:val="10"/>
        <w:spacing w:before="211" w:line="301" w:lineRule="auto"/>
        <w:ind w:firstLine="484"/>
        <w:rPr>
          <w:color w:val="auto"/>
          <w:sz w:val="24"/>
          <w:szCs w:val="24"/>
          <w:highlight w:val="none"/>
        </w:rPr>
      </w:pPr>
      <w:r>
        <w:rPr>
          <w:color w:val="auto"/>
          <w:spacing w:val="4"/>
          <w:sz w:val="24"/>
          <w:szCs w:val="24"/>
          <w:highlight w:val="none"/>
        </w:rPr>
        <w:t>2.我方同意自本项目竞争性磋商文件采购公告规定的递交响应文件截止时间起遵循</w:t>
      </w:r>
      <w:r>
        <w:rPr>
          <w:color w:val="auto"/>
          <w:spacing w:val="13"/>
          <w:sz w:val="24"/>
          <w:szCs w:val="24"/>
          <w:highlight w:val="none"/>
        </w:rPr>
        <w:t xml:space="preserve"> </w:t>
      </w:r>
      <w:r>
        <w:rPr>
          <w:color w:val="auto"/>
          <w:spacing w:val="-4"/>
          <w:sz w:val="24"/>
          <w:szCs w:val="24"/>
          <w:highlight w:val="none"/>
        </w:rPr>
        <w:t>本响应函，并承诺在</w:t>
      </w:r>
      <w:r>
        <w:rPr>
          <w:rFonts w:hint="eastAsia"/>
          <w:color w:val="auto"/>
          <w:spacing w:val="-1"/>
          <w:sz w:val="24"/>
          <w:szCs w:val="24"/>
          <w:highlight w:val="none"/>
          <w:lang w:eastAsia="zh-CN"/>
        </w:rPr>
        <w:t>“</w:t>
      </w:r>
      <w:r>
        <w:rPr>
          <w:color w:val="auto"/>
          <w:spacing w:val="-4"/>
          <w:sz w:val="24"/>
          <w:szCs w:val="24"/>
          <w:highlight w:val="none"/>
        </w:rPr>
        <w:t>第三章 供应商须知</w:t>
      </w:r>
      <w:r>
        <w:rPr>
          <w:rFonts w:hint="eastAsia"/>
          <w:color w:val="auto"/>
          <w:spacing w:val="-3"/>
          <w:sz w:val="24"/>
          <w:szCs w:val="24"/>
          <w:highlight w:val="none"/>
          <w:lang w:eastAsia="zh-CN"/>
        </w:rPr>
        <w:t>”</w:t>
      </w:r>
      <w:r>
        <w:rPr>
          <w:color w:val="auto"/>
          <w:spacing w:val="-4"/>
          <w:sz w:val="24"/>
          <w:szCs w:val="24"/>
          <w:highlight w:val="none"/>
        </w:rPr>
        <w:t>规定的竞标有效期内不修改、撤销响应文件。</w:t>
      </w:r>
    </w:p>
    <w:p w14:paraId="392B5C39">
      <w:pPr>
        <w:pStyle w:val="10"/>
        <w:spacing w:before="212" w:line="220" w:lineRule="auto"/>
        <w:ind w:left="487"/>
        <w:rPr>
          <w:color w:val="auto"/>
          <w:sz w:val="24"/>
          <w:szCs w:val="24"/>
          <w:highlight w:val="none"/>
        </w:rPr>
      </w:pPr>
      <w:r>
        <w:rPr>
          <w:color w:val="auto"/>
          <w:spacing w:val="-1"/>
          <w:sz w:val="24"/>
          <w:szCs w:val="24"/>
          <w:highlight w:val="none"/>
        </w:rPr>
        <w:t>3.我方在此声明，所递交的响应文件及有关资料内容完整、真实和准确。</w:t>
      </w:r>
    </w:p>
    <w:p w14:paraId="4C98A164">
      <w:pPr>
        <w:pStyle w:val="10"/>
        <w:spacing w:before="210" w:line="301" w:lineRule="auto"/>
        <w:ind w:right="81" w:firstLine="480"/>
        <w:rPr>
          <w:color w:val="auto"/>
          <w:sz w:val="24"/>
          <w:szCs w:val="24"/>
          <w:highlight w:val="none"/>
        </w:rPr>
      </w:pPr>
      <w:r>
        <w:rPr>
          <w:color w:val="auto"/>
          <w:spacing w:val="-2"/>
          <w:sz w:val="24"/>
          <w:szCs w:val="24"/>
          <w:highlight w:val="none"/>
        </w:rPr>
        <w:t>4.如本项目采购内容涉及须符合国家强制规定的，我方承诺我方本次竞标均符合国家有关强制规定。</w:t>
      </w:r>
    </w:p>
    <w:p w14:paraId="4F8799A5">
      <w:pPr>
        <w:pStyle w:val="10"/>
        <w:spacing w:before="209" w:line="328" w:lineRule="auto"/>
        <w:ind w:left="2" w:right="81" w:firstLine="484"/>
        <w:rPr>
          <w:color w:val="auto"/>
          <w:sz w:val="24"/>
          <w:szCs w:val="24"/>
          <w:highlight w:val="none"/>
        </w:rPr>
      </w:pPr>
      <w:r>
        <w:rPr>
          <w:color w:val="auto"/>
          <w:spacing w:val="-2"/>
          <w:sz w:val="24"/>
          <w:szCs w:val="24"/>
          <w:highlight w:val="none"/>
        </w:rPr>
        <w:t>5.如我方成交，我方承诺在收到成交通知书后，在成交通知书规定的期限内</w:t>
      </w:r>
      <w:r>
        <w:rPr>
          <w:color w:val="auto"/>
          <w:spacing w:val="-3"/>
          <w:sz w:val="24"/>
          <w:szCs w:val="24"/>
          <w:highlight w:val="none"/>
        </w:rPr>
        <w:t>，根据竞争性磋商文件、我方的响应文件及有关澄清承诺书的要求按</w:t>
      </w:r>
      <w:r>
        <w:rPr>
          <w:rFonts w:hint="eastAsia"/>
          <w:color w:val="auto"/>
          <w:spacing w:val="-3"/>
          <w:sz w:val="24"/>
          <w:szCs w:val="24"/>
          <w:highlight w:val="none"/>
        </w:rPr>
        <w:t>第四章</w:t>
      </w:r>
      <w:r>
        <w:rPr>
          <w:rFonts w:hint="eastAsia"/>
          <w:color w:val="auto"/>
          <w:spacing w:val="-3"/>
          <w:sz w:val="24"/>
          <w:szCs w:val="24"/>
          <w:highlight w:val="none"/>
          <w:lang w:eastAsia="zh-CN"/>
        </w:rPr>
        <w:t>“</w:t>
      </w:r>
      <w:r>
        <w:rPr>
          <w:rFonts w:hint="eastAsia"/>
          <w:color w:val="auto"/>
          <w:spacing w:val="-3"/>
          <w:sz w:val="24"/>
          <w:szCs w:val="24"/>
          <w:highlight w:val="none"/>
        </w:rPr>
        <w:t>合同条款及格式</w:t>
      </w:r>
      <w:r>
        <w:rPr>
          <w:rFonts w:hint="eastAsia"/>
          <w:color w:val="auto"/>
          <w:spacing w:val="-3"/>
          <w:sz w:val="24"/>
          <w:szCs w:val="24"/>
          <w:highlight w:val="none"/>
          <w:lang w:eastAsia="zh-CN"/>
        </w:rPr>
        <w:t>”</w:t>
      </w:r>
      <w:r>
        <w:rPr>
          <w:color w:val="auto"/>
          <w:spacing w:val="-3"/>
          <w:sz w:val="24"/>
          <w:szCs w:val="24"/>
          <w:highlight w:val="none"/>
        </w:rPr>
        <w:t>与采购人</w:t>
      </w:r>
      <w:r>
        <w:rPr>
          <w:color w:val="auto"/>
          <w:spacing w:val="-1"/>
          <w:sz w:val="24"/>
          <w:szCs w:val="24"/>
          <w:highlight w:val="none"/>
        </w:rPr>
        <w:t>订立书面合同，并按照合同约定承担完成合同的责任和义务。</w:t>
      </w:r>
    </w:p>
    <w:p w14:paraId="094856F0">
      <w:pPr>
        <w:pStyle w:val="10"/>
        <w:spacing w:before="212" w:line="302" w:lineRule="auto"/>
        <w:ind w:right="81" w:firstLine="483"/>
        <w:rPr>
          <w:color w:val="auto"/>
          <w:sz w:val="24"/>
          <w:szCs w:val="24"/>
          <w:highlight w:val="none"/>
        </w:rPr>
      </w:pPr>
      <w:r>
        <w:rPr>
          <w:color w:val="auto"/>
          <w:spacing w:val="-2"/>
          <w:sz w:val="24"/>
          <w:szCs w:val="24"/>
          <w:highlight w:val="none"/>
        </w:rPr>
        <w:t>6.我方已详细审核竞争性磋商文件，我方知道必须放弃提出含糊不清或误解问题</w:t>
      </w:r>
      <w:r>
        <w:rPr>
          <w:color w:val="auto"/>
          <w:spacing w:val="-3"/>
          <w:sz w:val="24"/>
          <w:szCs w:val="24"/>
          <w:highlight w:val="none"/>
        </w:rPr>
        <w:t>的权</w:t>
      </w:r>
      <w:r>
        <w:rPr>
          <w:color w:val="auto"/>
          <w:spacing w:val="-6"/>
          <w:sz w:val="24"/>
          <w:szCs w:val="24"/>
          <w:highlight w:val="none"/>
        </w:rPr>
        <w:t>利。</w:t>
      </w:r>
    </w:p>
    <w:p w14:paraId="03467A7B">
      <w:pPr>
        <w:pStyle w:val="10"/>
        <w:spacing w:before="208" w:line="301" w:lineRule="auto"/>
        <w:ind w:left="2" w:right="81" w:firstLine="485"/>
        <w:rPr>
          <w:color w:val="auto"/>
          <w:sz w:val="24"/>
          <w:szCs w:val="24"/>
          <w:highlight w:val="none"/>
        </w:rPr>
      </w:pPr>
      <w:r>
        <w:rPr>
          <w:color w:val="auto"/>
          <w:spacing w:val="-3"/>
          <w:sz w:val="24"/>
          <w:szCs w:val="24"/>
          <w:highlight w:val="none"/>
        </w:rPr>
        <w:t>7.我方承诺满足竞争性磋商文件</w:t>
      </w:r>
      <w:r>
        <w:rPr>
          <w:rFonts w:hint="eastAsia"/>
          <w:color w:val="auto"/>
          <w:spacing w:val="-3"/>
          <w:sz w:val="24"/>
          <w:szCs w:val="24"/>
          <w:highlight w:val="none"/>
        </w:rPr>
        <w:t>第四章</w:t>
      </w:r>
      <w:r>
        <w:rPr>
          <w:rFonts w:hint="eastAsia"/>
          <w:color w:val="auto"/>
          <w:spacing w:val="-3"/>
          <w:sz w:val="24"/>
          <w:szCs w:val="24"/>
          <w:highlight w:val="none"/>
          <w:lang w:eastAsia="zh-CN"/>
        </w:rPr>
        <w:t>“</w:t>
      </w:r>
      <w:r>
        <w:rPr>
          <w:rFonts w:hint="eastAsia"/>
          <w:color w:val="auto"/>
          <w:spacing w:val="-3"/>
          <w:sz w:val="24"/>
          <w:szCs w:val="24"/>
          <w:highlight w:val="none"/>
        </w:rPr>
        <w:t>合同条款及格式</w:t>
      </w:r>
      <w:r>
        <w:rPr>
          <w:rFonts w:hint="eastAsia"/>
          <w:color w:val="auto"/>
          <w:spacing w:val="-3"/>
          <w:sz w:val="24"/>
          <w:szCs w:val="24"/>
          <w:highlight w:val="none"/>
          <w:lang w:eastAsia="zh-CN"/>
        </w:rPr>
        <w:t>”</w:t>
      </w:r>
      <w:r>
        <w:rPr>
          <w:color w:val="auto"/>
          <w:spacing w:val="-3"/>
          <w:sz w:val="24"/>
          <w:szCs w:val="24"/>
          <w:highlight w:val="none"/>
        </w:rPr>
        <w:t>的条款，承担完成合同的责任和</w:t>
      </w:r>
      <w:r>
        <w:rPr>
          <w:color w:val="auto"/>
          <w:spacing w:val="-5"/>
          <w:sz w:val="24"/>
          <w:szCs w:val="24"/>
          <w:highlight w:val="none"/>
        </w:rPr>
        <w:t>义务。</w:t>
      </w:r>
    </w:p>
    <w:p w14:paraId="15B586D2">
      <w:pPr>
        <w:pStyle w:val="10"/>
        <w:spacing w:before="208" w:line="301" w:lineRule="auto"/>
        <w:ind w:right="81" w:firstLine="482"/>
        <w:rPr>
          <w:color w:val="auto"/>
          <w:sz w:val="24"/>
          <w:szCs w:val="24"/>
          <w:highlight w:val="none"/>
        </w:rPr>
      </w:pPr>
      <w:r>
        <w:rPr>
          <w:color w:val="auto"/>
          <w:spacing w:val="-2"/>
          <w:sz w:val="24"/>
          <w:szCs w:val="24"/>
          <w:highlight w:val="none"/>
        </w:rPr>
        <w:t>8.我方同意应贵方要求提供与本竞标有关的任何数据或资料。若贵方需要，我方愿意</w:t>
      </w:r>
      <w:r>
        <w:rPr>
          <w:color w:val="auto"/>
          <w:spacing w:val="-1"/>
          <w:sz w:val="24"/>
          <w:szCs w:val="24"/>
          <w:highlight w:val="none"/>
        </w:rPr>
        <w:t>提供我方作出的一切承诺的证明材料。</w:t>
      </w:r>
    </w:p>
    <w:p w14:paraId="199B800C">
      <w:pPr>
        <w:pStyle w:val="10"/>
        <w:spacing w:before="209" w:line="328" w:lineRule="auto"/>
        <w:ind w:left="2" w:right="81" w:firstLine="484"/>
        <w:rPr>
          <w:rFonts w:eastAsia="宋体"/>
          <w:color w:val="auto"/>
          <w:spacing w:val="-2"/>
          <w:sz w:val="24"/>
          <w:szCs w:val="24"/>
          <w:highlight w:val="none"/>
        </w:rPr>
      </w:pPr>
      <w:r>
        <w:rPr>
          <w:color w:val="auto"/>
          <w:sz w:val="24"/>
          <w:szCs w:val="24"/>
          <w:highlight w:val="none"/>
        </w:rPr>
        <w:t>9.我方完全理解贵方不一定接</w:t>
      </w:r>
      <w:r>
        <w:rPr>
          <w:rFonts w:eastAsia="宋体"/>
          <w:color w:val="auto"/>
          <w:spacing w:val="-2"/>
          <w:sz w:val="24"/>
          <w:szCs w:val="24"/>
          <w:highlight w:val="none"/>
        </w:rPr>
        <w:t>受响应报价最低的竞标人为成交供应商的行为。</w:t>
      </w:r>
    </w:p>
    <w:p w14:paraId="5D8ED5E7">
      <w:pPr>
        <w:pStyle w:val="10"/>
        <w:spacing w:before="209" w:line="328" w:lineRule="auto"/>
        <w:ind w:left="2" w:right="81" w:firstLine="484"/>
        <w:rPr>
          <w:rFonts w:eastAsia="宋体"/>
          <w:color w:val="auto"/>
          <w:spacing w:val="-2"/>
          <w:sz w:val="24"/>
          <w:szCs w:val="24"/>
          <w:highlight w:val="none"/>
        </w:rPr>
      </w:pPr>
      <w:r>
        <w:rPr>
          <w:rFonts w:eastAsia="宋体"/>
          <w:color w:val="auto"/>
          <w:spacing w:val="-2"/>
          <w:sz w:val="24"/>
          <w:szCs w:val="24"/>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A76BF84">
      <w:pPr>
        <w:pStyle w:val="10"/>
        <w:spacing w:line="219" w:lineRule="auto"/>
        <w:ind w:left="429"/>
        <w:rPr>
          <w:color w:val="auto"/>
          <w:sz w:val="24"/>
          <w:szCs w:val="24"/>
          <w:highlight w:val="none"/>
        </w:rPr>
      </w:pPr>
      <w:r>
        <w:rPr>
          <w:color w:val="auto"/>
          <w:spacing w:val="-2"/>
          <w:sz w:val="24"/>
          <w:szCs w:val="24"/>
          <w:highlight w:val="none"/>
        </w:rPr>
        <w:t>（1）提供虚假材料谋取中标、成交的；</w:t>
      </w:r>
    </w:p>
    <w:p w14:paraId="4D51BD0B">
      <w:pPr>
        <w:pStyle w:val="10"/>
        <w:spacing w:before="212" w:line="219" w:lineRule="auto"/>
        <w:ind w:left="429"/>
        <w:rPr>
          <w:color w:val="auto"/>
          <w:sz w:val="24"/>
          <w:szCs w:val="24"/>
          <w:highlight w:val="none"/>
        </w:rPr>
      </w:pPr>
      <w:r>
        <w:rPr>
          <w:color w:val="auto"/>
          <w:spacing w:val="-1"/>
          <w:sz w:val="24"/>
          <w:szCs w:val="24"/>
          <w:highlight w:val="none"/>
        </w:rPr>
        <w:t>（2）采取不正当手段诋毁、排挤其他供应商的；</w:t>
      </w:r>
    </w:p>
    <w:p w14:paraId="631B85EE">
      <w:pPr>
        <w:pStyle w:val="10"/>
        <w:spacing w:before="212" w:line="219" w:lineRule="auto"/>
        <w:ind w:left="429"/>
        <w:rPr>
          <w:color w:val="auto"/>
          <w:sz w:val="24"/>
          <w:szCs w:val="24"/>
          <w:highlight w:val="none"/>
        </w:rPr>
      </w:pPr>
      <w:r>
        <w:rPr>
          <w:color w:val="auto"/>
          <w:spacing w:val="-1"/>
          <w:sz w:val="24"/>
          <w:szCs w:val="24"/>
          <w:highlight w:val="none"/>
        </w:rPr>
        <w:t>（3）与采购人、其他供应商或者采购代理机构恶意串通的；</w:t>
      </w:r>
    </w:p>
    <w:p w14:paraId="016E6872">
      <w:pPr>
        <w:pStyle w:val="10"/>
        <w:spacing w:before="212" w:line="219" w:lineRule="auto"/>
        <w:ind w:left="429"/>
        <w:rPr>
          <w:color w:val="auto"/>
          <w:sz w:val="24"/>
          <w:szCs w:val="24"/>
          <w:highlight w:val="none"/>
        </w:rPr>
      </w:pPr>
      <w:r>
        <w:rPr>
          <w:color w:val="auto"/>
          <w:spacing w:val="-2"/>
          <w:sz w:val="24"/>
          <w:szCs w:val="24"/>
          <w:highlight w:val="none"/>
        </w:rPr>
        <w:t>（4）向采购人、采购代理机构行贿或者提供其他不正当利益的；</w:t>
      </w:r>
    </w:p>
    <w:p w14:paraId="014FC431">
      <w:pPr>
        <w:pStyle w:val="10"/>
        <w:spacing w:before="209" w:line="219" w:lineRule="auto"/>
        <w:ind w:left="429"/>
        <w:rPr>
          <w:color w:val="auto"/>
          <w:sz w:val="24"/>
          <w:szCs w:val="24"/>
          <w:highlight w:val="none"/>
        </w:rPr>
      </w:pPr>
      <w:r>
        <w:rPr>
          <w:color w:val="auto"/>
          <w:spacing w:val="-1"/>
          <w:sz w:val="24"/>
          <w:szCs w:val="24"/>
          <w:highlight w:val="none"/>
        </w:rPr>
        <w:t>（5）在采购过程中与采购人进行协商谈判的；</w:t>
      </w:r>
    </w:p>
    <w:p w14:paraId="710636F9">
      <w:pPr>
        <w:pStyle w:val="10"/>
        <w:spacing w:before="212" w:line="219" w:lineRule="auto"/>
        <w:ind w:left="429"/>
        <w:rPr>
          <w:color w:val="auto"/>
          <w:sz w:val="24"/>
          <w:szCs w:val="24"/>
          <w:highlight w:val="none"/>
        </w:rPr>
      </w:pPr>
      <w:r>
        <w:rPr>
          <w:color w:val="auto"/>
          <w:spacing w:val="-1"/>
          <w:sz w:val="24"/>
          <w:szCs w:val="24"/>
          <w:highlight w:val="none"/>
        </w:rPr>
        <w:t>（6）拒绝有关部门监督检查或提供虚假情况的。</w:t>
      </w:r>
    </w:p>
    <w:p w14:paraId="03A6E2C6">
      <w:pPr>
        <w:pStyle w:val="10"/>
        <w:spacing w:before="212" w:line="219" w:lineRule="auto"/>
        <w:ind w:left="435"/>
        <w:rPr>
          <w:color w:val="auto"/>
          <w:sz w:val="24"/>
          <w:szCs w:val="24"/>
          <w:highlight w:val="none"/>
        </w:rPr>
      </w:pPr>
      <w:r>
        <w:rPr>
          <w:color w:val="auto"/>
          <w:spacing w:val="-2"/>
          <w:sz w:val="24"/>
          <w:szCs w:val="24"/>
          <w:highlight w:val="none"/>
        </w:rPr>
        <w:t>11.与本磋商有关的一切正式往来信函请寄：</w:t>
      </w:r>
      <w:r>
        <w:rPr>
          <w:color w:val="auto"/>
          <w:sz w:val="24"/>
          <w:szCs w:val="24"/>
          <w:highlight w:val="none"/>
          <w:u w:val="single" w:color="auto"/>
        </w:rPr>
        <w:t xml:space="preserve">                </w:t>
      </w:r>
    </w:p>
    <w:p w14:paraId="6E1BDC88">
      <w:pPr>
        <w:pStyle w:val="10"/>
        <w:spacing w:before="212" w:line="229" w:lineRule="auto"/>
        <w:ind w:left="418"/>
        <w:rPr>
          <w:color w:val="auto"/>
          <w:sz w:val="24"/>
          <w:szCs w:val="24"/>
          <w:highlight w:val="none"/>
        </w:rPr>
      </w:pPr>
      <w:r>
        <w:rPr>
          <w:color w:val="auto"/>
          <w:spacing w:val="-2"/>
          <w:sz w:val="24"/>
          <w:szCs w:val="24"/>
          <w:highlight w:val="none"/>
        </w:rPr>
        <w:t>地址：</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p>
    <w:p w14:paraId="3027F979">
      <w:pPr>
        <w:pStyle w:val="10"/>
        <w:spacing w:before="199" w:line="222" w:lineRule="auto"/>
        <w:ind w:left="446"/>
        <w:rPr>
          <w:color w:val="auto"/>
          <w:sz w:val="24"/>
          <w:szCs w:val="24"/>
          <w:highlight w:val="none"/>
        </w:rPr>
      </w:pPr>
      <w:r>
        <w:rPr>
          <w:color w:val="auto"/>
          <w:spacing w:val="-13"/>
          <w:sz w:val="24"/>
          <w:szCs w:val="24"/>
          <w:highlight w:val="none"/>
        </w:rPr>
        <w:t>电话：</w:t>
      </w:r>
      <w:r>
        <w:rPr>
          <w:color w:val="auto"/>
          <w:sz w:val="24"/>
          <w:szCs w:val="24"/>
          <w:highlight w:val="none"/>
          <w:u w:val="single" w:color="auto"/>
        </w:rPr>
        <w:t xml:space="preserve">                                                        </w:t>
      </w:r>
    </w:p>
    <w:p w14:paraId="54E8DDDC">
      <w:pPr>
        <w:pStyle w:val="10"/>
        <w:spacing w:before="208" w:line="219" w:lineRule="auto"/>
        <w:ind w:left="416"/>
        <w:rPr>
          <w:color w:val="auto"/>
          <w:sz w:val="24"/>
          <w:szCs w:val="24"/>
          <w:highlight w:val="none"/>
        </w:rPr>
      </w:pPr>
      <w:r>
        <w:rPr>
          <w:color w:val="auto"/>
          <w:spacing w:val="-2"/>
          <w:sz w:val="24"/>
          <w:szCs w:val="24"/>
          <w:highlight w:val="none"/>
        </w:rPr>
        <w:t>传真：</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p>
    <w:p w14:paraId="084959A3">
      <w:pPr>
        <w:pStyle w:val="10"/>
        <w:spacing w:before="212" w:line="220" w:lineRule="auto"/>
        <w:ind w:left="435"/>
        <w:rPr>
          <w:color w:val="auto"/>
          <w:sz w:val="24"/>
          <w:szCs w:val="24"/>
          <w:highlight w:val="none"/>
        </w:rPr>
      </w:pPr>
      <w:r>
        <w:rPr>
          <w:color w:val="auto"/>
          <w:spacing w:val="-6"/>
          <w:sz w:val="24"/>
          <w:szCs w:val="24"/>
          <w:highlight w:val="none"/>
        </w:rPr>
        <w:t>邮政编码：</w:t>
      </w:r>
      <w:r>
        <w:rPr>
          <w:color w:val="auto"/>
          <w:sz w:val="24"/>
          <w:szCs w:val="24"/>
          <w:highlight w:val="none"/>
          <w:u w:val="single" w:color="auto"/>
        </w:rPr>
        <w:t xml:space="preserve">                                                    </w:t>
      </w:r>
    </w:p>
    <w:p w14:paraId="14628A48">
      <w:pPr>
        <w:pStyle w:val="10"/>
        <w:spacing w:before="210" w:line="221" w:lineRule="auto"/>
        <w:ind w:left="419"/>
        <w:rPr>
          <w:color w:val="auto"/>
          <w:sz w:val="24"/>
          <w:szCs w:val="24"/>
          <w:highlight w:val="none"/>
        </w:rPr>
      </w:pPr>
      <w:r>
        <w:rPr>
          <w:color w:val="auto"/>
          <w:spacing w:val="-2"/>
          <w:sz w:val="24"/>
          <w:szCs w:val="24"/>
          <w:highlight w:val="none"/>
        </w:rPr>
        <w:t>开户名称：</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p>
    <w:p w14:paraId="7DCA98DC">
      <w:pPr>
        <w:pStyle w:val="10"/>
        <w:spacing w:before="207" w:line="221" w:lineRule="auto"/>
        <w:ind w:left="419"/>
        <w:rPr>
          <w:color w:val="auto"/>
          <w:sz w:val="24"/>
          <w:szCs w:val="24"/>
          <w:highlight w:val="none"/>
        </w:rPr>
      </w:pPr>
      <w:r>
        <w:rPr>
          <w:color w:val="auto"/>
          <w:spacing w:val="-2"/>
          <w:sz w:val="24"/>
          <w:szCs w:val="24"/>
          <w:highlight w:val="none"/>
        </w:rPr>
        <w:t>开户银行：</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p>
    <w:p w14:paraId="3329AD3C">
      <w:pPr>
        <w:pStyle w:val="10"/>
        <w:spacing w:before="210" w:line="221" w:lineRule="auto"/>
        <w:ind w:left="419"/>
        <w:rPr>
          <w:color w:val="auto"/>
          <w:sz w:val="24"/>
          <w:szCs w:val="24"/>
          <w:highlight w:val="none"/>
        </w:rPr>
      </w:pPr>
      <w:r>
        <w:rPr>
          <w:color w:val="auto"/>
          <w:spacing w:val="-2"/>
          <w:sz w:val="24"/>
          <w:szCs w:val="24"/>
          <w:highlight w:val="none"/>
        </w:rPr>
        <w:t>银行账号：</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p>
    <w:p w14:paraId="4A5A3514">
      <w:pPr>
        <w:pStyle w:val="10"/>
        <w:spacing w:before="210" w:line="220" w:lineRule="auto"/>
        <w:ind w:left="418"/>
        <w:rPr>
          <w:color w:val="auto"/>
          <w:sz w:val="24"/>
          <w:szCs w:val="24"/>
          <w:highlight w:val="none"/>
        </w:rPr>
      </w:pPr>
      <w:r>
        <w:rPr>
          <w:color w:val="auto"/>
          <w:spacing w:val="-2"/>
          <w:sz w:val="24"/>
          <w:szCs w:val="24"/>
          <w:highlight w:val="none"/>
        </w:rPr>
        <w:t>特此承诺。</w:t>
      </w:r>
    </w:p>
    <w:p w14:paraId="6CCD63F2">
      <w:pPr>
        <w:spacing w:line="313" w:lineRule="auto"/>
        <w:rPr>
          <w:rFonts w:ascii="Arial"/>
          <w:color w:val="auto"/>
          <w:sz w:val="24"/>
          <w:szCs w:val="24"/>
          <w:highlight w:val="none"/>
        </w:rPr>
      </w:pPr>
    </w:p>
    <w:p w14:paraId="2E12E82E">
      <w:pPr>
        <w:spacing w:line="313" w:lineRule="auto"/>
        <w:rPr>
          <w:rFonts w:ascii="Arial"/>
          <w:color w:val="auto"/>
          <w:sz w:val="24"/>
          <w:szCs w:val="24"/>
          <w:highlight w:val="none"/>
        </w:rPr>
      </w:pPr>
    </w:p>
    <w:p w14:paraId="6C921CE8">
      <w:pPr>
        <w:pStyle w:val="10"/>
        <w:spacing w:before="78" w:line="219" w:lineRule="auto"/>
        <w:ind w:left="4094"/>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5E72D0E2">
      <w:pPr>
        <w:pStyle w:val="15"/>
        <w:ind w:firstLine="4280" w:firstLineChars="2000"/>
        <w:rPr>
          <w:color w:val="auto"/>
          <w:spacing w:val="-13"/>
          <w:sz w:val="24"/>
          <w:szCs w:val="24"/>
          <w:highlight w:val="none"/>
        </w:rPr>
        <w:sectPr>
          <w:footerReference r:id="rId19" w:type="default"/>
          <w:pgSz w:w="11905" w:h="16838"/>
          <w:pgMar w:top="1440" w:right="1083" w:bottom="1440" w:left="1083" w:header="851" w:footer="850" w:gutter="0"/>
          <w:cols w:space="0" w:num="1"/>
          <w:docGrid w:linePitch="312" w:charSpace="0"/>
        </w:sect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5"/>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39A85183">
      <w:pPr>
        <w:pStyle w:val="10"/>
        <w:spacing w:before="98" w:line="219" w:lineRule="auto"/>
        <w:ind w:left="4034"/>
        <w:rPr>
          <w:color w:val="auto"/>
          <w:sz w:val="30"/>
          <w:szCs w:val="30"/>
          <w:highlight w:val="none"/>
        </w:rPr>
      </w:pPr>
      <w:r>
        <w:rPr>
          <w:b/>
          <w:bCs/>
          <w:color w:val="auto"/>
          <w:spacing w:val="-8"/>
          <w:sz w:val="30"/>
          <w:szCs w:val="30"/>
          <w:highlight w:val="none"/>
        </w:rPr>
        <w:t>响应报价表</w:t>
      </w:r>
    </w:p>
    <w:p w14:paraId="1D74086C">
      <w:pPr>
        <w:pStyle w:val="10"/>
        <w:spacing w:before="267" w:line="221" w:lineRule="auto"/>
        <w:ind w:left="125"/>
        <w:rPr>
          <w:color w:val="auto"/>
          <w:highlight w:val="none"/>
        </w:rPr>
      </w:pPr>
      <w:r>
        <w:rPr>
          <w:color w:val="auto"/>
          <w:spacing w:val="-3"/>
          <w:highlight w:val="none"/>
        </w:rPr>
        <w:t>项目名称：</w:t>
      </w:r>
      <w:r>
        <w:rPr>
          <w:color w:val="auto"/>
          <w:highlight w:val="none"/>
          <w:u w:val="single" w:color="auto"/>
        </w:rPr>
        <w:t xml:space="preserve">              </w:t>
      </w:r>
    </w:p>
    <w:p w14:paraId="6F9CFFB2">
      <w:pPr>
        <w:pStyle w:val="10"/>
        <w:spacing w:before="231" w:line="220" w:lineRule="auto"/>
        <w:ind w:left="125"/>
        <w:rPr>
          <w:color w:val="auto"/>
          <w:highlight w:val="none"/>
        </w:rPr>
      </w:pPr>
      <w:r>
        <w:rPr>
          <w:color w:val="auto"/>
          <w:spacing w:val="-3"/>
          <w:highlight w:val="none"/>
        </w:rPr>
        <w:t>项目编号：</w:t>
      </w:r>
      <w:r>
        <w:rPr>
          <w:color w:val="auto"/>
          <w:highlight w:val="none"/>
          <w:u w:val="single" w:color="auto"/>
        </w:rPr>
        <w:t xml:space="preserve">               </w:t>
      </w:r>
    </w:p>
    <w:p w14:paraId="3638B19A">
      <w:pPr>
        <w:spacing w:line="194" w:lineRule="exact"/>
        <w:rPr>
          <w:color w:val="auto"/>
          <w:highlight w:val="none"/>
        </w:rPr>
      </w:pPr>
    </w:p>
    <w:tbl>
      <w:tblPr>
        <w:tblStyle w:val="58"/>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1"/>
        <w:gridCol w:w="3352"/>
        <w:gridCol w:w="1197"/>
        <w:gridCol w:w="2878"/>
        <w:gridCol w:w="1352"/>
      </w:tblGrid>
      <w:tr w14:paraId="3565B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801" w:type="dxa"/>
            <w:vAlign w:val="top"/>
          </w:tcPr>
          <w:p w14:paraId="1E994175">
            <w:pPr>
              <w:pStyle w:val="57"/>
              <w:spacing w:before="277" w:line="222" w:lineRule="auto"/>
              <w:ind w:left="165"/>
              <w:rPr>
                <w:color w:val="auto"/>
                <w:sz w:val="24"/>
                <w:szCs w:val="24"/>
                <w:highlight w:val="none"/>
              </w:rPr>
            </w:pPr>
            <w:r>
              <w:rPr>
                <w:color w:val="auto"/>
                <w:spacing w:val="-5"/>
                <w:sz w:val="24"/>
                <w:szCs w:val="24"/>
                <w:highlight w:val="none"/>
              </w:rPr>
              <w:t>序号</w:t>
            </w:r>
          </w:p>
        </w:tc>
        <w:tc>
          <w:tcPr>
            <w:tcW w:w="3352" w:type="dxa"/>
            <w:vAlign w:val="top"/>
          </w:tcPr>
          <w:p w14:paraId="230634E8">
            <w:pPr>
              <w:pStyle w:val="57"/>
              <w:spacing w:before="277" w:line="221" w:lineRule="auto"/>
              <w:ind w:left="1204"/>
              <w:rPr>
                <w:color w:val="auto"/>
                <w:sz w:val="24"/>
                <w:szCs w:val="24"/>
                <w:highlight w:val="none"/>
              </w:rPr>
            </w:pPr>
            <w:r>
              <w:rPr>
                <w:color w:val="auto"/>
                <w:spacing w:val="-4"/>
                <w:sz w:val="24"/>
                <w:szCs w:val="24"/>
                <w:highlight w:val="none"/>
              </w:rPr>
              <w:t>工程名称</w:t>
            </w:r>
          </w:p>
        </w:tc>
        <w:tc>
          <w:tcPr>
            <w:tcW w:w="1197" w:type="dxa"/>
            <w:vAlign w:val="top"/>
          </w:tcPr>
          <w:p w14:paraId="67D36117">
            <w:pPr>
              <w:pStyle w:val="57"/>
              <w:spacing w:before="112" w:line="220" w:lineRule="auto"/>
              <w:ind w:left="126"/>
              <w:rPr>
                <w:color w:val="auto"/>
                <w:sz w:val="24"/>
                <w:szCs w:val="24"/>
                <w:highlight w:val="none"/>
              </w:rPr>
            </w:pPr>
            <w:r>
              <w:rPr>
                <w:color w:val="auto"/>
                <w:spacing w:val="-3"/>
                <w:sz w:val="24"/>
                <w:szCs w:val="24"/>
                <w:highlight w:val="none"/>
              </w:rPr>
              <w:t>数量及单</w:t>
            </w:r>
          </w:p>
          <w:p w14:paraId="3ABB5157">
            <w:pPr>
              <w:pStyle w:val="57"/>
              <w:spacing w:before="44" w:line="222" w:lineRule="auto"/>
              <w:ind w:left="484"/>
              <w:rPr>
                <w:color w:val="auto"/>
                <w:sz w:val="24"/>
                <w:szCs w:val="24"/>
                <w:highlight w:val="none"/>
              </w:rPr>
            </w:pPr>
            <w:r>
              <w:rPr>
                <w:color w:val="auto"/>
                <w:sz w:val="24"/>
                <w:szCs w:val="24"/>
                <w:highlight w:val="none"/>
              </w:rPr>
              <w:t>位</w:t>
            </w:r>
          </w:p>
        </w:tc>
        <w:tc>
          <w:tcPr>
            <w:tcW w:w="2878" w:type="dxa"/>
            <w:vAlign w:val="top"/>
          </w:tcPr>
          <w:p w14:paraId="4233C1AB">
            <w:pPr>
              <w:pStyle w:val="57"/>
              <w:spacing w:before="277" w:line="219" w:lineRule="auto"/>
              <w:ind w:left="850"/>
              <w:rPr>
                <w:color w:val="auto"/>
                <w:sz w:val="24"/>
                <w:szCs w:val="24"/>
                <w:highlight w:val="none"/>
              </w:rPr>
            </w:pPr>
            <w:r>
              <w:rPr>
                <w:color w:val="auto"/>
                <w:spacing w:val="-3"/>
                <w:sz w:val="24"/>
                <w:szCs w:val="24"/>
                <w:highlight w:val="none"/>
              </w:rPr>
              <w:t>总价（元）</w:t>
            </w:r>
          </w:p>
        </w:tc>
        <w:tc>
          <w:tcPr>
            <w:tcW w:w="1352" w:type="dxa"/>
            <w:vAlign w:val="top"/>
          </w:tcPr>
          <w:p w14:paraId="5F6FAAF7">
            <w:pPr>
              <w:pStyle w:val="57"/>
              <w:spacing w:before="277" w:line="222" w:lineRule="auto"/>
              <w:ind w:left="444"/>
              <w:rPr>
                <w:color w:val="auto"/>
                <w:sz w:val="24"/>
                <w:szCs w:val="24"/>
                <w:highlight w:val="none"/>
              </w:rPr>
            </w:pPr>
            <w:r>
              <w:rPr>
                <w:color w:val="auto"/>
                <w:spacing w:val="-7"/>
                <w:sz w:val="24"/>
                <w:szCs w:val="24"/>
                <w:highlight w:val="none"/>
              </w:rPr>
              <w:t>备注</w:t>
            </w:r>
          </w:p>
        </w:tc>
      </w:tr>
      <w:tr w14:paraId="78960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801" w:type="dxa"/>
            <w:vAlign w:val="top"/>
          </w:tcPr>
          <w:p w14:paraId="2B0567A7">
            <w:pPr>
              <w:spacing w:line="260" w:lineRule="auto"/>
              <w:rPr>
                <w:rFonts w:ascii="Arial"/>
                <w:color w:val="auto"/>
                <w:sz w:val="21"/>
                <w:highlight w:val="none"/>
              </w:rPr>
            </w:pPr>
          </w:p>
          <w:p w14:paraId="10E61162">
            <w:pPr>
              <w:pStyle w:val="57"/>
              <w:spacing w:before="78" w:line="242" w:lineRule="auto"/>
              <w:ind w:left="364"/>
              <w:rPr>
                <w:color w:val="auto"/>
                <w:sz w:val="24"/>
                <w:szCs w:val="24"/>
                <w:highlight w:val="none"/>
              </w:rPr>
            </w:pPr>
            <w:r>
              <w:rPr>
                <w:color w:val="auto"/>
                <w:sz w:val="24"/>
                <w:szCs w:val="24"/>
                <w:highlight w:val="none"/>
              </w:rPr>
              <w:t>1</w:t>
            </w:r>
          </w:p>
        </w:tc>
        <w:tc>
          <w:tcPr>
            <w:tcW w:w="3352" w:type="dxa"/>
            <w:vAlign w:val="top"/>
          </w:tcPr>
          <w:p w14:paraId="2FAA1DA2">
            <w:pPr>
              <w:rPr>
                <w:rFonts w:ascii="Arial"/>
                <w:color w:val="auto"/>
                <w:sz w:val="21"/>
                <w:highlight w:val="none"/>
              </w:rPr>
            </w:pPr>
          </w:p>
        </w:tc>
        <w:tc>
          <w:tcPr>
            <w:tcW w:w="1197" w:type="dxa"/>
            <w:vAlign w:val="top"/>
          </w:tcPr>
          <w:p w14:paraId="71E7F108">
            <w:pPr>
              <w:spacing w:line="260" w:lineRule="auto"/>
              <w:rPr>
                <w:rFonts w:ascii="Arial"/>
                <w:color w:val="auto"/>
                <w:sz w:val="21"/>
                <w:highlight w:val="none"/>
              </w:rPr>
            </w:pPr>
          </w:p>
          <w:p w14:paraId="166AB8C9">
            <w:pPr>
              <w:pStyle w:val="57"/>
              <w:spacing w:before="78" w:line="221" w:lineRule="auto"/>
              <w:ind w:left="413"/>
              <w:rPr>
                <w:color w:val="auto"/>
                <w:sz w:val="24"/>
                <w:szCs w:val="24"/>
                <w:highlight w:val="none"/>
              </w:rPr>
            </w:pPr>
            <w:r>
              <w:rPr>
                <w:color w:val="auto"/>
                <w:spacing w:val="-14"/>
                <w:sz w:val="24"/>
                <w:szCs w:val="24"/>
                <w:highlight w:val="none"/>
              </w:rPr>
              <w:t>1</w:t>
            </w:r>
            <w:r>
              <w:rPr>
                <w:color w:val="auto"/>
                <w:spacing w:val="-47"/>
                <w:sz w:val="24"/>
                <w:szCs w:val="24"/>
                <w:highlight w:val="none"/>
              </w:rPr>
              <w:t xml:space="preserve"> </w:t>
            </w:r>
            <w:r>
              <w:rPr>
                <w:color w:val="auto"/>
                <w:spacing w:val="-14"/>
                <w:sz w:val="24"/>
                <w:szCs w:val="24"/>
                <w:highlight w:val="none"/>
              </w:rPr>
              <w:t>项</w:t>
            </w:r>
          </w:p>
        </w:tc>
        <w:tc>
          <w:tcPr>
            <w:tcW w:w="2878" w:type="dxa"/>
            <w:vAlign w:val="top"/>
          </w:tcPr>
          <w:p w14:paraId="5E4BCF2A">
            <w:pPr>
              <w:rPr>
                <w:rFonts w:ascii="Arial"/>
                <w:color w:val="auto"/>
                <w:sz w:val="21"/>
                <w:highlight w:val="none"/>
              </w:rPr>
            </w:pPr>
          </w:p>
        </w:tc>
        <w:tc>
          <w:tcPr>
            <w:tcW w:w="1352" w:type="dxa"/>
            <w:vAlign w:val="top"/>
          </w:tcPr>
          <w:p w14:paraId="11F3FE29">
            <w:pPr>
              <w:rPr>
                <w:rFonts w:ascii="Arial"/>
                <w:color w:val="auto"/>
                <w:sz w:val="21"/>
                <w:highlight w:val="none"/>
              </w:rPr>
            </w:pPr>
          </w:p>
        </w:tc>
      </w:tr>
      <w:tr w14:paraId="03598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9580" w:type="dxa"/>
            <w:gridSpan w:val="5"/>
            <w:vAlign w:val="top"/>
          </w:tcPr>
          <w:p w14:paraId="054FCF5E">
            <w:pPr>
              <w:pStyle w:val="57"/>
              <w:spacing w:before="210" w:line="219" w:lineRule="auto"/>
              <w:ind w:left="114"/>
              <w:rPr>
                <w:color w:val="auto"/>
                <w:sz w:val="24"/>
                <w:szCs w:val="24"/>
                <w:highlight w:val="none"/>
              </w:rPr>
            </w:pPr>
            <w:r>
              <w:rPr>
                <w:color w:val="auto"/>
                <w:spacing w:val="1"/>
                <w:sz w:val="24"/>
                <w:szCs w:val="24"/>
                <w:highlight w:val="none"/>
              </w:rPr>
              <w:t>报价合计（包含税费等所有费用</w:t>
            </w:r>
            <w:r>
              <w:rPr>
                <w:color w:val="auto"/>
                <w:spacing w:val="-12"/>
                <w:sz w:val="24"/>
                <w:szCs w:val="24"/>
                <w:highlight w:val="none"/>
              </w:rPr>
              <w:t>）：（</w:t>
            </w:r>
            <w:r>
              <w:rPr>
                <w:color w:val="auto"/>
                <w:spacing w:val="1"/>
                <w:sz w:val="24"/>
                <w:szCs w:val="24"/>
                <w:highlight w:val="none"/>
              </w:rPr>
              <w:t xml:space="preserve">大写）人民币      </w:t>
            </w:r>
            <w:r>
              <w:rPr>
                <w:color w:val="auto"/>
                <w:sz w:val="24"/>
                <w:szCs w:val="24"/>
                <w:highlight w:val="none"/>
              </w:rPr>
              <w:t xml:space="preserve">        (¥        元）</w:t>
            </w:r>
          </w:p>
        </w:tc>
      </w:tr>
      <w:tr w14:paraId="1D3A7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9580" w:type="dxa"/>
            <w:gridSpan w:val="5"/>
            <w:vAlign w:val="top"/>
          </w:tcPr>
          <w:p w14:paraId="0B8B7E6D">
            <w:pPr>
              <w:pStyle w:val="57"/>
              <w:spacing w:before="212" w:line="221" w:lineRule="auto"/>
              <w:ind w:left="117"/>
              <w:rPr>
                <w:color w:val="auto"/>
                <w:sz w:val="24"/>
                <w:szCs w:val="24"/>
                <w:highlight w:val="none"/>
              </w:rPr>
            </w:pPr>
            <w:r>
              <w:rPr>
                <w:color w:val="auto"/>
                <w:spacing w:val="-2"/>
                <w:sz w:val="24"/>
                <w:szCs w:val="24"/>
                <w:highlight w:val="none"/>
              </w:rPr>
              <w:t>合同履行期限：</w:t>
            </w:r>
          </w:p>
        </w:tc>
      </w:tr>
      <w:tr w14:paraId="2CA92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580" w:type="dxa"/>
            <w:gridSpan w:val="5"/>
            <w:vAlign w:val="top"/>
          </w:tcPr>
          <w:p w14:paraId="69C71982">
            <w:pPr>
              <w:pStyle w:val="57"/>
              <w:spacing w:before="165" w:line="220" w:lineRule="auto"/>
              <w:ind w:left="115"/>
              <w:rPr>
                <w:color w:val="auto"/>
                <w:sz w:val="24"/>
                <w:szCs w:val="24"/>
                <w:highlight w:val="none"/>
              </w:rPr>
            </w:pPr>
            <w:r>
              <w:rPr>
                <w:color w:val="auto"/>
                <w:spacing w:val="-2"/>
                <w:sz w:val="24"/>
                <w:szCs w:val="24"/>
                <w:highlight w:val="none"/>
              </w:rPr>
              <w:t>验收标准、规范：</w:t>
            </w:r>
          </w:p>
        </w:tc>
      </w:tr>
      <w:tr w14:paraId="7EC80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9580" w:type="dxa"/>
            <w:gridSpan w:val="5"/>
            <w:vAlign w:val="top"/>
          </w:tcPr>
          <w:p w14:paraId="30978A58">
            <w:pPr>
              <w:pStyle w:val="57"/>
              <w:spacing w:before="207" w:line="220" w:lineRule="auto"/>
              <w:ind w:left="119"/>
              <w:rPr>
                <w:color w:val="auto"/>
                <w:sz w:val="24"/>
                <w:szCs w:val="24"/>
                <w:highlight w:val="none"/>
              </w:rPr>
            </w:pPr>
            <w:r>
              <w:rPr>
                <w:color w:val="auto"/>
                <w:spacing w:val="-2"/>
                <w:sz w:val="24"/>
                <w:szCs w:val="24"/>
                <w:highlight w:val="none"/>
              </w:rPr>
              <w:t>工程质量保修期：</w:t>
            </w:r>
          </w:p>
        </w:tc>
      </w:tr>
    </w:tbl>
    <w:p w14:paraId="0F88E659">
      <w:pPr>
        <w:pStyle w:val="10"/>
        <w:spacing w:before="87" w:line="224" w:lineRule="auto"/>
        <w:ind w:left="601"/>
        <w:rPr>
          <w:color w:val="auto"/>
          <w:highlight w:val="none"/>
        </w:rPr>
      </w:pPr>
      <w:r>
        <w:rPr>
          <w:color w:val="auto"/>
          <w:spacing w:val="-5"/>
          <w:highlight w:val="none"/>
        </w:rPr>
        <w:t>注：</w:t>
      </w:r>
    </w:p>
    <w:p w14:paraId="1301F7BC">
      <w:pPr>
        <w:pStyle w:val="10"/>
        <w:spacing w:before="223" w:line="290" w:lineRule="auto"/>
        <w:ind w:left="126" w:right="178" w:firstLine="492"/>
        <w:rPr>
          <w:color w:val="auto"/>
          <w:highlight w:val="none"/>
        </w:rPr>
      </w:pPr>
      <w:r>
        <w:rPr>
          <w:color w:val="auto"/>
          <w:spacing w:val="-3"/>
          <w:highlight w:val="none"/>
        </w:rPr>
        <w:t>1.供应商需按本表格式填写，不得自行更改，也不得留空</w:t>
      </w:r>
      <w:r>
        <w:rPr>
          <w:b/>
          <w:bCs/>
          <w:color w:val="auto"/>
          <w:spacing w:val="-3"/>
          <w:highlight w:val="none"/>
        </w:rPr>
        <w:t>。响</w:t>
      </w:r>
      <w:r>
        <w:rPr>
          <w:b/>
          <w:bCs/>
          <w:color w:val="auto"/>
          <w:spacing w:val="-4"/>
          <w:highlight w:val="none"/>
        </w:rPr>
        <w:t>应报价表必须加盖供应</w:t>
      </w:r>
      <w:r>
        <w:rPr>
          <w:b/>
          <w:bCs/>
          <w:color w:val="auto"/>
          <w:spacing w:val="-3"/>
          <w:highlight w:val="none"/>
        </w:rPr>
        <w:t>商电子签章，否则其响应文件按无效处理。</w:t>
      </w:r>
    </w:p>
    <w:p w14:paraId="293FD58E">
      <w:pPr>
        <w:pStyle w:val="10"/>
        <w:spacing w:before="233" w:line="312" w:lineRule="auto"/>
        <w:ind w:left="123" w:right="170" w:firstLine="480"/>
        <w:rPr>
          <w:color w:val="auto"/>
          <w:highlight w:val="none"/>
        </w:rPr>
      </w:pPr>
      <w:r>
        <w:rPr>
          <w:color w:val="auto"/>
          <w:highlight w:val="none"/>
        </w:rPr>
        <w:t>2.符合采购文件中列明的可享受中小企业扶持政策</w:t>
      </w:r>
      <w:r>
        <w:rPr>
          <w:color w:val="auto"/>
          <w:spacing w:val="-1"/>
          <w:highlight w:val="none"/>
        </w:rPr>
        <w:t>的供应商，请填写中小企业声明</w:t>
      </w:r>
      <w:r>
        <w:rPr>
          <w:color w:val="auto"/>
          <w:spacing w:val="-2"/>
          <w:highlight w:val="none"/>
        </w:rPr>
        <w:t>函。注：供应商提供的中小企业声明函内容不实的，属于提供虚假材料谋取中标、成交，</w:t>
      </w:r>
      <w:r>
        <w:rPr>
          <w:color w:val="auto"/>
          <w:spacing w:val="-1"/>
          <w:highlight w:val="none"/>
        </w:rPr>
        <w:t>依照《中华人民共和国政府采购法》等国家有关规定追究相应责任。</w:t>
      </w:r>
    </w:p>
    <w:p w14:paraId="7DA796F8">
      <w:pPr>
        <w:spacing w:line="344" w:lineRule="auto"/>
        <w:rPr>
          <w:rFonts w:ascii="Arial"/>
          <w:color w:val="auto"/>
          <w:sz w:val="21"/>
          <w:highlight w:val="none"/>
        </w:rPr>
      </w:pPr>
    </w:p>
    <w:p w14:paraId="01DC0C28">
      <w:pPr>
        <w:spacing w:line="345" w:lineRule="auto"/>
        <w:rPr>
          <w:rFonts w:ascii="Arial"/>
          <w:color w:val="auto"/>
          <w:sz w:val="21"/>
          <w:highlight w:val="none"/>
        </w:rPr>
      </w:pPr>
    </w:p>
    <w:p w14:paraId="099D03B0">
      <w:pPr>
        <w:pStyle w:val="10"/>
        <w:spacing w:before="78" w:line="219" w:lineRule="auto"/>
        <w:ind w:left="4218"/>
        <w:rPr>
          <w:color w:val="auto"/>
          <w:highlight w:val="none"/>
        </w:rPr>
      </w:pPr>
      <w:r>
        <w:rPr>
          <w:color w:val="auto"/>
          <w:spacing w:val="-1"/>
          <w:highlight w:val="none"/>
        </w:rPr>
        <w:t>供应商名称（电子签章</w:t>
      </w:r>
      <w:r>
        <w:rPr>
          <w:color w:val="auto"/>
          <w:highlight w:val="none"/>
        </w:rPr>
        <w:t>）：</w:t>
      </w:r>
    </w:p>
    <w:p w14:paraId="4E211FD7">
      <w:pPr>
        <w:pStyle w:val="10"/>
        <w:spacing w:before="276" w:line="220" w:lineRule="auto"/>
        <w:ind w:left="6462"/>
        <w:rPr>
          <w:color w:val="auto"/>
          <w:highlight w:val="none"/>
        </w:rPr>
      </w:pPr>
      <w:r>
        <w:rPr>
          <w:color w:val="auto"/>
          <w:spacing w:val="-13"/>
          <w:highlight w:val="none"/>
        </w:rPr>
        <w:t>日期：</w:t>
      </w:r>
      <w:r>
        <w:rPr>
          <w:color w:val="auto"/>
          <w:spacing w:val="5"/>
          <w:highlight w:val="none"/>
        </w:rPr>
        <w:t xml:space="preserve">  </w:t>
      </w:r>
      <w:r>
        <w:rPr>
          <w:color w:val="auto"/>
          <w:spacing w:val="-13"/>
          <w:highlight w:val="none"/>
        </w:rPr>
        <w:t>年</w:t>
      </w:r>
      <w:r>
        <w:rPr>
          <w:color w:val="auto"/>
          <w:spacing w:val="5"/>
          <w:highlight w:val="none"/>
        </w:rPr>
        <w:t xml:space="preserve">   </w:t>
      </w:r>
      <w:r>
        <w:rPr>
          <w:color w:val="auto"/>
          <w:spacing w:val="-13"/>
          <w:highlight w:val="none"/>
        </w:rPr>
        <w:t>月</w:t>
      </w:r>
      <w:r>
        <w:rPr>
          <w:color w:val="auto"/>
          <w:spacing w:val="17"/>
          <w:highlight w:val="none"/>
        </w:rPr>
        <w:t xml:space="preserve">   </w:t>
      </w:r>
      <w:r>
        <w:rPr>
          <w:color w:val="auto"/>
          <w:spacing w:val="-13"/>
          <w:highlight w:val="none"/>
        </w:rPr>
        <w:t>日</w:t>
      </w:r>
    </w:p>
    <w:p w14:paraId="3E217FCC">
      <w:pPr>
        <w:pStyle w:val="15"/>
        <w:ind w:firstLine="4280" w:firstLineChars="2000"/>
        <w:rPr>
          <w:color w:val="auto"/>
          <w:spacing w:val="-13"/>
          <w:sz w:val="24"/>
          <w:szCs w:val="24"/>
          <w:highlight w:val="none"/>
        </w:rPr>
        <w:sectPr>
          <w:pgSz w:w="11905" w:h="16838"/>
          <w:pgMar w:top="1440" w:right="1083" w:bottom="1440" w:left="1083" w:header="851" w:footer="850" w:gutter="0"/>
          <w:cols w:space="0" w:num="1"/>
          <w:docGrid w:linePitch="312" w:charSpace="0"/>
        </w:sectPr>
      </w:pPr>
    </w:p>
    <w:p w14:paraId="0E49433B">
      <w:pPr>
        <w:spacing w:line="460" w:lineRule="exact"/>
        <w:jc w:val="center"/>
        <w:outlineLvl w:val="0"/>
        <w:rPr>
          <w:rFonts w:asciiTheme="minorEastAsia" w:hAnsiTheme="minorEastAsia" w:eastAsiaTheme="minorEastAsia" w:cstheme="minorEastAsia"/>
          <w:b/>
          <w:bCs/>
          <w:color w:val="auto"/>
          <w:sz w:val="32"/>
          <w:szCs w:val="32"/>
          <w:highlight w:val="none"/>
        </w:rPr>
      </w:pPr>
      <w:bookmarkStart w:id="1381" w:name="_Toc17992"/>
      <w:bookmarkStart w:id="1382" w:name="_Toc21742"/>
      <w:bookmarkStart w:id="1383" w:name="_Toc2989"/>
      <w:r>
        <w:rPr>
          <w:rFonts w:hint="eastAsia" w:asciiTheme="minorEastAsia" w:hAnsiTheme="minorEastAsia" w:eastAsiaTheme="minorEastAsia" w:cstheme="minorEastAsia"/>
          <w:b/>
          <w:bCs/>
          <w:color w:val="auto"/>
          <w:sz w:val="32"/>
          <w:szCs w:val="32"/>
          <w:highlight w:val="none"/>
        </w:rPr>
        <w:t>第</w:t>
      </w:r>
      <w:r>
        <w:rPr>
          <w:rFonts w:hint="eastAsia" w:asciiTheme="minorEastAsia" w:hAnsiTheme="minorEastAsia" w:eastAsiaTheme="minorEastAsia" w:cstheme="minorEastAsia"/>
          <w:b/>
          <w:bCs/>
          <w:color w:val="auto"/>
          <w:sz w:val="32"/>
          <w:szCs w:val="32"/>
          <w:highlight w:val="none"/>
          <w:lang w:eastAsia="zh-CN"/>
        </w:rPr>
        <w:t>八</w:t>
      </w:r>
      <w:r>
        <w:rPr>
          <w:rFonts w:hint="eastAsia" w:asciiTheme="minorEastAsia" w:hAnsiTheme="minorEastAsia" w:eastAsiaTheme="minorEastAsia" w:cstheme="minorEastAsia"/>
          <w:b/>
          <w:bCs/>
          <w:color w:val="auto"/>
          <w:sz w:val="32"/>
          <w:szCs w:val="32"/>
          <w:highlight w:val="none"/>
        </w:rPr>
        <w:t>章  评审办法</w:t>
      </w:r>
      <w:bookmarkEnd w:id="1381"/>
      <w:bookmarkEnd w:id="1382"/>
      <w:bookmarkEnd w:id="1383"/>
    </w:p>
    <w:p w14:paraId="26B700AA">
      <w:pPr>
        <w:pStyle w:val="10"/>
        <w:spacing w:before="339" w:line="225" w:lineRule="auto"/>
        <w:ind w:left="2665"/>
        <w:outlineLvl w:val="1"/>
        <w:rPr>
          <w:color w:val="auto"/>
          <w:sz w:val="31"/>
          <w:szCs w:val="31"/>
          <w:highlight w:val="none"/>
        </w:rPr>
      </w:pPr>
      <w:r>
        <w:rPr>
          <w:color w:val="auto"/>
          <w:spacing w:val="8"/>
          <w:sz w:val="31"/>
          <w:szCs w:val="31"/>
          <w:highlight w:val="none"/>
        </w:rPr>
        <w:t>第一节 评审程序和评审方法</w:t>
      </w:r>
    </w:p>
    <w:p w14:paraId="2677B961">
      <w:pPr>
        <w:pStyle w:val="10"/>
        <w:spacing w:before="282" w:line="220" w:lineRule="auto"/>
        <w:ind w:left="450"/>
        <w:rPr>
          <w:color w:val="auto"/>
          <w:sz w:val="21"/>
          <w:szCs w:val="21"/>
          <w:highlight w:val="none"/>
        </w:rPr>
      </w:pPr>
      <w:r>
        <w:rPr>
          <w:b/>
          <w:bCs/>
          <w:color w:val="auto"/>
          <w:spacing w:val="-6"/>
          <w:sz w:val="21"/>
          <w:szCs w:val="21"/>
          <w:highlight w:val="none"/>
        </w:rPr>
        <w:t>1.确认磋商文件</w:t>
      </w:r>
    </w:p>
    <w:p w14:paraId="47E09E70">
      <w:pPr>
        <w:pStyle w:val="10"/>
        <w:spacing w:before="175" w:line="228" w:lineRule="auto"/>
        <w:ind w:left="457"/>
        <w:rPr>
          <w:color w:val="auto"/>
          <w:sz w:val="21"/>
          <w:szCs w:val="21"/>
          <w:highlight w:val="none"/>
        </w:rPr>
      </w:pPr>
      <w:r>
        <w:rPr>
          <w:color w:val="auto"/>
          <w:spacing w:val="6"/>
          <w:sz w:val="21"/>
          <w:szCs w:val="21"/>
          <w:highlight w:val="none"/>
        </w:rPr>
        <w:t>由磋商小组确认磋商文件。</w:t>
      </w:r>
    </w:p>
    <w:p w14:paraId="6940C630">
      <w:pPr>
        <w:pStyle w:val="10"/>
        <w:spacing w:before="167" w:line="220" w:lineRule="auto"/>
        <w:ind w:left="435"/>
        <w:rPr>
          <w:color w:val="auto"/>
          <w:sz w:val="21"/>
          <w:szCs w:val="21"/>
          <w:highlight w:val="none"/>
        </w:rPr>
      </w:pPr>
      <w:r>
        <w:rPr>
          <w:b/>
          <w:bCs/>
          <w:color w:val="auto"/>
          <w:spacing w:val="-4"/>
          <w:sz w:val="21"/>
          <w:szCs w:val="21"/>
          <w:highlight w:val="none"/>
        </w:rPr>
        <w:t>2.资格审查</w:t>
      </w:r>
    </w:p>
    <w:p w14:paraId="7C440BEA">
      <w:pPr>
        <w:pStyle w:val="10"/>
        <w:spacing w:before="175" w:line="228" w:lineRule="auto"/>
        <w:ind w:left="434"/>
        <w:rPr>
          <w:color w:val="auto"/>
          <w:sz w:val="21"/>
          <w:szCs w:val="21"/>
          <w:highlight w:val="none"/>
        </w:rPr>
      </w:pPr>
      <w:r>
        <w:rPr>
          <w:color w:val="auto"/>
          <w:spacing w:val="8"/>
          <w:sz w:val="21"/>
          <w:szCs w:val="21"/>
          <w:highlight w:val="none"/>
        </w:rPr>
        <w:t>2.1</w:t>
      </w:r>
      <w:r>
        <w:rPr>
          <w:color w:val="auto"/>
          <w:spacing w:val="-20"/>
          <w:sz w:val="21"/>
          <w:szCs w:val="21"/>
          <w:highlight w:val="none"/>
        </w:rPr>
        <w:t xml:space="preserve"> </w:t>
      </w:r>
      <w:r>
        <w:rPr>
          <w:color w:val="auto"/>
          <w:spacing w:val="8"/>
          <w:sz w:val="21"/>
          <w:szCs w:val="21"/>
          <w:highlight w:val="none"/>
        </w:rPr>
        <w:t>响应文件开启后，磋商小组依法对供应商的资格证明文件进行审查。</w:t>
      </w:r>
    </w:p>
    <w:p w14:paraId="15CDBEEF">
      <w:pPr>
        <w:pStyle w:val="10"/>
        <w:spacing w:before="161" w:line="228" w:lineRule="auto"/>
        <w:ind w:left="431"/>
        <w:rPr>
          <w:color w:val="auto"/>
          <w:sz w:val="21"/>
          <w:szCs w:val="21"/>
          <w:highlight w:val="none"/>
        </w:rPr>
      </w:pPr>
      <w:r>
        <w:rPr>
          <w:color w:val="auto"/>
          <w:spacing w:val="9"/>
          <w:sz w:val="21"/>
          <w:szCs w:val="21"/>
          <w:highlight w:val="none"/>
        </w:rPr>
        <w:t>注：采购人代表或者采购代理机构在资格审查结束前，对供应商进行信用查询。</w:t>
      </w:r>
    </w:p>
    <w:p w14:paraId="7A4215A5">
      <w:pPr>
        <w:pStyle w:val="10"/>
        <w:spacing w:before="163" w:line="300" w:lineRule="auto"/>
        <w:ind w:left="10" w:firstLine="431"/>
        <w:rPr>
          <w:color w:val="auto"/>
          <w:sz w:val="21"/>
          <w:szCs w:val="21"/>
          <w:highlight w:val="none"/>
        </w:rPr>
      </w:pPr>
      <w:r>
        <w:rPr>
          <w:color w:val="auto"/>
          <w:spacing w:val="10"/>
          <w:sz w:val="21"/>
          <w:szCs w:val="21"/>
          <w:highlight w:val="none"/>
        </w:rPr>
        <w:t>（1）查询渠道：广西政府采购云平台</w:t>
      </w:r>
      <w:r>
        <w:rPr>
          <w:rFonts w:hint="eastAsia"/>
          <w:color w:val="auto"/>
          <w:spacing w:val="10"/>
          <w:sz w:val="21"/>
          <w:szCs w:val="21"/>
          <w:highlight w:val="none"/>
          <w:lang w:eastAsia="zh-CN"/>
        </w:rPr>
        <w:t>“</w:t>
      </w:r>
      <w:r>
        <w:rPr>
          <w:color w:val="auto"/>
          <w:spacing w:val="10"/>
          <w:sz w:val="21"/>
          <w:szCs w:val="21"/>
          <w:highlight w:val="none"/>
        </w:rPr>
        <w:t>信用中国</w:t>
      </w:r>
      <w:r>
        <w:rPr>
          <w:rFonts w:hint="eastAsia"/>
          <w:color w:val="auto"/>
          <w:spacing w:val="10"/>
          <w:sz w:val="21"/>
          <w:szCs w:val="21"/>
          <w:highlight w:val="none"/>
          <w:lang w:eastAsia="zh-CN"/>
        </w:rPr>
        <w:t>”</w:t>
      </w:r>
      <w:r>
        <w:rPr>
          <w:color w:val="auto"/>
          <w:spacing w:val="10"/>
          <w:sz w:val="21"/>
          <w:szCs w:val="21"/>
          <w:highlight w:val="none"/>
        </w:rPr>
        <w:t>网站(</w:t>
      </w:r>
      <w:r>
        <w:rPr>
          <w:color w:val="auto"/>
          <w:sz w:val="21"/>
          <w:szCs w:val="21"/>
          <w:highlight w:val="none"/>
        </w:rPr>
        <w:fldChar w:fldCharType="begin"/>
      </w:r>
      <w:r>
        <w:rPr>
          <w:color w:val="auto"/>
          <w:sz w:val="21"/>
          <w:szCs w:val="21"/>
          <w:highlight w:val="none"/>
        </w:rPr>
        <w:instrText xml:space="preserve"> HYPERLINK "https://www.creditchina.gov.cn" </w:instrText>
      </w:r>
      <w:r>
        <w:rPr>
          <w:color w:val="auto"/>
          <w:sz w:val="21"/>
          <w:szCs w:val="21"/>
          <w:highlight w:val="none"/>
        </w:rPr>
        <w:fldChar w:fldCharType="separate"/>
      </w:r>
      <w:r>
        <w:rPr>
          <w:color w:val="auto"/>
          <w:sz w:val="21"/>
          <w:szCs w:val="21"/>
          <w:highlight w:val="none"/>
        </w:rPr>
        <w:t>www</w:t>
      </w:r>
      <w:r>
        <w:rPr>
          <w:color w:val="auto"/>
          <w:spacing w:val="10"/>
          <w:sz w:val="21"/>
          <w:szCs w:val="21"/>
          <w:highlight w:val="none"/>
        </w:rPr>
        <w:t>.</w:t>
      </w:r>
      <w:r>
        <w:rPr>
          <w:color w:val="auto"/>
          <w:sz w:val="21"/>
          <w:szCs w:val="21"/>
          <w:highlight w:val="none"/>
        </w:rPr>
        <w:t>creditchina</w:t>
      </w:r>
      <w:r>
        <w:rPr>
          <w:color w:val="auto"/>
          <w:spacing w:val="10"/>
          <w:sz w:val="21"/>
          <w:szCs w:val="21"/>
          <w:highlight w:val="none"/>
        </w:rPr>
        <w:t>.</w:t>
      </w:r>
      <w:r>
        <w:rPr>
          <w:color w:val="auto"/>
          <w:sz w:val="21"/>
          <w:szCs w:val="21"/>
          <w:highlight w:val="none"/>
        </w:rPr>
        <w:t>gov</w:t>
      </w:r>
      <w:r>
        <w:rPr>
          <w:color w:val="auto"/>
          <w:spacing w:val="10"/>
          <w:sz w:val="21"/>
          <w:szCs w:val="21"/>
          <w:highlight w:val="none"/>
        </w:rPr>
        <w:t>.</w:t>
      </w:r>
      <w:r>
        <w:rPr>
          <w:color w:val="auto"/>
          <w:sz w:val="21"/>
          <w:szCs w:val="21"/>
          <w:highlight w:val="none"/>
        </w:rPr>
        <w:t>cn</w:t>
      </w:r>
      <w:r>
        <w:rPr>
          <w:color w:val="auto"/>
          <w:sz w:val="21"/>
          <w:szCs w:val="21"/>
          <w:highlight w:val="none"/>
        </w:rPr>
        <w:fldChar w:fldCharType="end"/>
      </w:r>
      <w:r>
        <w:rPr>
          <w:color w:val="auto"/>
          <w:spacing w:val="10"/>
          <w:sz w:val="21"/>
          <w:szCs w:val="21"/>
          <w:highlight w:val="none"/>
        </w:rPr>
        <w:t>)、中国政</w:t>
      </w:r>
      <w:r>
        <w:rPr>
          <w:color w:val="auto"/>
          <w:spacing w:val="9"/>
          <w:sz w:val="21"/>
          <w:szCs w:val="21"/>
          <w:highlight w:val="none"/>
        </w:rPr>
        <w:t>府采</w:t>
      </w:r>
      <w:r>
        <w:rPr>
          <w:color w:val="auto"/>
          <w:spacing w:val="11"/>
          <w:sz w:val="21"/>
          <w:szCs w:val="21"/>
          <w:highlight w:val="none"/>
        </w:rPr>
        <w:t>购网(</w:t>
      </w:r>
      <w:r>
        <w:rPr>
          <w:color w:val="auto"/>
          <w:sz w:val="21"/>
          <w:szCs w:val="21"/>
          <w:highlight w:val="none"/>
        </w:rPr>
        <w:fldChar w:fldCharType="begin"/>
      </w:r>
      <w:r>
        <w:rPr>
          <w:color w:val="auto"/>
          <w:sz w:val="21"/>
          <w:szCs w:val="21"/>
          <w:highlight w:val="none"/>
        </w:rPr>
        <w:instrText xml:space="preserve"> HYPERLINK "https://www.ccgp.gov.cn" </w:instrText>
      </w:r>
      <w:r>
        <w:rPr>
          <w:color w:val="auto"/>
          <w:sz w:val="21"/>
          <w:szCs w:val="21"/>
          <w:highlight w:val="none"/>
        </w:rPr>
        <w:fldChar w:fldCharType="separate"/>
      </w:r>
      <w:r>
        <w:rPr>
          <w:color w:val="auto"/>
          <w:sz w:val="21"/>
          <w:szCs w:val="21"/>
          <w:highlight w:val="none"/>
        </w:rPr>
        <w:t>www</w:t>
      </w:r>
      <w:r>
        <w:rPr>
          <w:color w:val="auto"/>
          <w:spacing w:val="11"/>
          <w:sz w:val="21"/>
          <w:szCs w:val="21"/>
          <w:highlight w:val="none"/>
        </w:rPr>
        <w:t>.</w:t>
      </w:r>
      <w:r>
        <w:rPr>
          <w:color w:val="auto"/>
          <w:sz w:val="21"/>
          <w:szCs w:val="21"/>
          <w:highlight w:val="none"/>
        </w:rPr>
        <w:t>ccgp</w:t>
      </w:r>
      <w:r>
        <w:rPr>
          <w:color w:val="auto"/>
          <w:spacing w:val="11"/>
          <w:sz w:val="21"/>
          <w:szCs w:val="21"/>
          <w:highlight w:val="none"/>
        </w:rPr>
        <w:t>.</w:t>
      </w:r>
      <w:r>
        <w:rPr>
          <w:color w:val="auto"/>
          <w:sz w:val="21"/>
          <w:szCs w:val="21"/>
          <w:highlight w:val="none"/>
        </w:rPr>
        <w:t>gov</w:t>
      </w:r>
      <w:r>
        <w:rPr>
          <w:color w:val="auto"/>
          <w:spacing w:val="11"/>
          <w:sz w:val="21"/>
          <w:szCs w:val="21"/>
          <w:highlight w:val="none"/>
        </w:rPr>
        <w:t>.</w:t>
      </w:r>
      <w:r>
        <w:rPr>
          <w:color w:val="auto"/>
          <w:sz w:val="21"/>
          <w:szCs w:val="21"/>
          <w:highlight w:val="none"/>
        </w:rPr>
        <w:t>cn</w:t>
      </w:r>
      <w:r>
        <w:rPr>
          <w:color w:val="auto"/>
          <w:sz w:val="21"/>
          <w:szCs w:val="21"/>
          <w:highlight w:val="none"/>
        </w:rPr>
        <w:fldChar w:fldCharType="end"/>
      </w:r>
      <w:r>
        <w:rPr>
          <w:color w:val="auto"/>
          <w:spacing w:val="11"/>
          <w:sz w:val="21"/>
          <w:szCs w:val="21"/>
          <w:highlight w:val="none"/>
        </w:rPr>
        <w:t>)链接入口。</w:t>
      </w:r>
    </w:p>
    <w:p w14:paraId="792B64AB">
      <w:pPr>
        <w:pStyle w:val="10"/>
        <w:spacing w:before="167" w:line="228" w:lineRule="auto"/>
        <w:ind w:left="441"/>
        <w:rPr>
          <w:color w:val="auto"/>
          <w:sz w:val="21"/>
          <w:szCs w:val="21"/>
          <w:highlight w:val="none"/>
        </w:rPr>
      </w:pPr>
      <w:r>
        <w:rPr>
          <w:color w:val="auto"/>
          <w:spacing w:val="8"/>
          <w:sz w:val="21"/>
          <w:szCs w:val="21"/>
          <w:highlight w:val="none"/>
        </w:rPr>
        <w:t>（2）信用查询截止时点：资格审查结束前。</w:t>
      </w:r>
    </w:p>
    <w:p w14:paraId="1E8B79AE">
      <w:pPr>
        <w:pStyle w:val="10"/>
        <w:spacing w:before="160" w:line="378" w:lineRule="auto"/>
        <w:ind w:left="12" w:right="2" w:firstLine="421"/>
        <w:rPr>
          <w:color w:val="auto"/>
          <w:sz w:val="21"/>
          <w:szCs w:val="21"/>
          <w:highlight w:val="none"/>
        </w:rPr>
      </w:pPr>
      <w:r>
        <w:rPr>
          <w:color w:val="auto"/>
          <w:spacing w:val="11"/>
          <w:sz w:val="21"/>
          <w:szCs w:val="21"/>
          <w:highlight w:val="none"/>
        </w:rPr>
        <w:t>查询记录和证据留存方式：在查询网站中直接打印查询记录，截图另存为电子文档作为评审资料</w:t>
      </w:r>
      <w:r>
        <w:rPr>
          <w:color w:val="auto"/>
          <w:spacing w:val="2"/>
          <w:sz w:val="21"/>
          <w:szCs w:val="21"/>
          <w:highlight w:val="none"/>
        </w:rPr>
        <w:t>保存。</w:t>
      </w:r>
    </w:p>
    <w:p w14:paraId="739B303B">
      <w:pPr>
        <w:pStyle w:val="10"/>
        <w:spacing w:before="7" w:line="376" w:lineRule="auto"/>
        <w:ind w:left="10" w:right="2" w:firstLine="430"/>
        <w:jc w:val="both"/>
        <w:rPr>
          <w:color w:val="auto"/>
          <w:sz w:val="21"/>
          <w:szCs w:val="21"/>
          <w:highlight w:val="none"/>
        </w:rPr>
      </w:pPr>
      <w:r>
        <w:rPr>
          <w:color w:val="auto"/>
          <w:spacing w:val="13"/>
          <w:sz w:val="21"/>
          <w:szCs w:val="21"/>
          <w:highlight w:val="none"/>
        </w:rPr>
        <w:t>（3）信用信息使用规则：对在</w:t>
      </w:r>
      <w:r>
        <w:rPr>
          <w:rFonts w:hint="eastAsia"/>
          <w:color w:val="auto"/>
          <w:spacing w:val="13"/>
          <w:sz w:val="21"/>
          <w:szCs w:val="21"/>
          <w:highlight w:val="none"/>
          <w:lang w:eastAsia="zh-CN"/>
        </w:rPr>
        <w:t>“</w:t>
      </w:r>
      <w:r>
        <w:rPr>
          <w:color w:val="auto"/>
          <w:spacing w:val="13"/>
          <w:sz w:val="21"/>
          <w:szCs w:val="21"/>
          <w:highlight w:val="none"/>
        </w:rPr>
        <w:t>信用中国</w:t>
      </w:r>
      <w:r>
        <w:rPr>
          <w:rFonts w:hint="eastAsia"/>
          <w:color w:val="auto"/>
          <w:spacing w:val="13"/>
          <w:sz w:val="21"/>
          <w:szCs w:val="21"/>
          <w:highlight w:val="none"/>
          <w:lang w:eastAsia="zh-CN"/>
        </w:rPr>
        <w:t>”</w:t>
      </w:r>
      <w:r>
        <w:rPr>
          <w:color w:val="auto"/>
          <w:spacing w:val="13"/>
          <w:sz w:val="21"/>
          <w:szCs w:val="21"/>
          <w:highlight w:val="none"/>
        </w:rPr>
        <w:t>网站(</w:t>
      </w:r>
      <w:r>
        <w:rPr>
          <w:color w:val="auto"/>
          <w:sz w:val="21"/>
          <w:szCs w:val="21"/>
          <w:highlight w:val="none"/>
        </w:rPr>
        <w:fldChar w:fldCharType="begin"/>
      </w:r>
      <w:r>
        <w:rPr>
          <w:color w:val="auto"/>
          <w:sz w:val="21"/>
          <w:szCs w:val="21"/>
          <w:highlight w:val="none"/>
        </w:rPr>
        <w:instrText xml:space="preserve"> HYPERLINK "https://www.creditchina.gov.cn" </w:instrText>
      </w:r>
      <w:r>
        <w:rPr>
          <w:color w:val="auto"/>
          <w:sz w:val="21"/>
          <w:szCs w:val="21"/>
          <w:highlight w:val="none"/>
        </w:rPr>
        <w:fldChar w:fldCharType="separate"/>
      </w:r>
      <w:r>
        <w:rPr>
          <w:color w:val="auto"/>
          <w:sz w:val="21"/>
          <w:szCs w:val="21"/>
          <w:highlight w:val="none"/>
        </w:rPr>
        <w:t>www</w:t>
      </w:r>
      <w:r>
        <w:rPr>
          <w:color w:val="auto"/>
          <w:spacing w:val="13"/>
          <w:sz w:val="21"/>
          <w:szCs w:val="21"/>
          <w:highlight w:val="none"/>
        </w:rPr>
        <w:t>.</w:t>
      </w:r>
      <w:r>
        <w:rPr>
          <w:color w:val="auto"/>
          <w:sz w:val="21"/>
          <w:szCs w:val="21"/>
          <w:highlight w:val="none"/>
        </w:rPr>
        <w:t>creditchina</w:t>
      </w:r>
      <w:r>
        <w:rPr>
          <w:color w:val="auto"/>
          <w:spacing w:val="12"/>
          <w:sz w:val="21"/>
          <w:szCs w:val="21"/>
          <w:highlight w:val="none"/>
        </w:rPr>
        <w:t>.</w:t>
      </w:r>
      <w:r>
        <w:rPr>
          <w:color w:val="auto"/>
          <w:sz w:val="21"/>
          <w:szCs w:val="21"/>
          <w:highlight w:val="none"/>
        </w:rPr>
        <w:t>gov</w:t>
      </w:r>
      <w:r>
        <w:rPr>
          <w:color w:val="auto"/>
          <w:spacing w:val="12"/>
          <w:sz w:val="21"/>
          <w:szCs w:val="21"/>
          <w:highlight w:val="none"/>
        </w:rPr>
        <w:t>.</w:t>
      </w:r>
      <w:r>
        <w:rPr>
          <w:color w:val="auto"/>
          <w:sz w:val="21"/>
          <w:szCs w:val="21"/>
          <w:highlight w:val="none"/>
        </w:rPr>
        <w:t>cn</w:t>
      </w:r>
      <w:r>
        <w:rPr>
          <w:color w:val="auto"/>
          <w:sz w:val="21"/>
          <w:szCs w:val="21"/>
          <w:highlight w:val="none"/>
        </w:rPr>
        <w:fldChar w:fldCharType="end"/>
      </w:r>
      <w:r>
        <w:rPr>
          <w:color w:val="auto"/>
          <w:spacing w:val="12"/>
          <w:sz w:val="21"/>
          <w:szCs w:val="21"/>
          <w:highlight w:val="none"/>
        </w:rPr>
        <w:t>) 、中国政府采购网</w:t>
      </w:r>
      <w:r>
        <w:rPr>
          <w:color w:val="auto"/>
          <w:sz w:val="21"/>
          <w:szCs w:val="21"/>
          <w:highlight w:val="none"/>
        </w:rPr>
        <w:t xml:space="preserve"> </w:t>
      </w:r>
      <w:r>
        <w:rPr>
          <w:color w:val="auto"/>
          <w:spacing w:val="9"/>
          <w:sz w:val="21"/>
          <w:szCs w:val="21"/>
          <w:highlight w:val="none"/>
        </w:rPr>
        <w:t>(</w:t>
      </w:r>
      <w:r>
        <w:rPr>
          <w:color w:val="auto"/>
          <w:sz w:val="21"/>
          <w:szCs w:val="21"/>
          <w:highlight w:val="none"/>
        </w:rPr>
        <w:fldChar w:fldCharType="begin"/>
      </w:r>
      <w:r>
        <w:rPr>
          <w:color w:val="auto"/>
          <w:sz w:val="21"/>
          <w:szCs w:val="21"/>
          <w:highlight w:val="none"/>
        </w:rPr>
        <w:instrText xml:space="preserve"> HYPERLINK "https://www.ccgp.gov.cn" </w:instrText>
      </w:r>
      <w:r>
        <w:rPr>
          <w:color w:val="auto"/>
          <w:sz w:val="21"/>
          <w:szCs w:val="21"/>
          <w:highlight w:val="none"/>
        </w:rPr>
        <w:fldChar w:fldCharType="separate"/>
      </w:r>
      <w:r>
        <w:rPr>
          <w:color w:val="auto"/>
          <w:sz w:val="21"/>
          <w:szCs w:val="21"/>
          <w:highlight w:val="none"/>
        </w:rPr>
        <w:t>www</w:t>
      </w:r>
      <w:r>
        <w:rPr>
          <w:color w:val="auto"/>
          <w:spacing w:val="9"/>
          <w:sz w:val="21"/>
          <w:szCs w:val="21"/>
          <w:highlight w:val="none"/>
        </w:rPr>
        <w:t>.</w:t>
      </w:r>
      <w:r>
        <w:rPr>
          <w:color w:val="auto"/>
          <w:sz w:val="21"/>
          <w:szCs w:val="21"/>
          <w:highlight w:val="none"/>
        </w:rPr>
        <w:t>ccgp</w:t>
      </w:r>
      <w:r>
        <w:rPr>
          <w:color w:val="auto"/>
          <w:spacing w:val="9"/>
          <w:sz w:val="21"/>
          <w:szCs w:val="21"/>
          <w:highlight w:val="none"/>
        </w:rPr>
        <w:t>.</w:t>
      </w:r>
      <w:r>
        <w:rPr>
          <w:color w:val="auto"/>
          <w:sz w:val="21"/>
          <w:szCs w:val="21"/>
          <w:highlight w:val="none"/>
        </w:rPr>
        <w:t>gov</w:t>
      </w:r>
      <w:r>
        <w:rPr>
          <w:color w:val="auto"/>
          <w:spacing w:val="9"/>
          <w:sz w:val="21"/>
          <w:szCs w:val="21"/>
          <w:highlight w:val="none"/>
        </w:rPr>
        <w:t>.</w:t>
      </w:r>
      <w:r>
        <w:rPr>
          <w:color w:val="auto"/>
          <w:sz w:val="21"/>
          <w:szCs w:val="21"/>
          <w:highlight w:val="none"/>
        </w:rPr>
        <w:t>cn</w:t>
      </w:r>
      <w:r>
        <w:rPr>
          <w:color w:val="auto"/>
          <w:sz w:val="21"/>
          <w:szCs w:val="21"/>
          <w:highlight w:val="none"/>
        </w:rPr>
        <w:fldChar w:fldCharType="end"/>
      </w:r>
      <w:r>
        <w:rPr>
          <w:color w:val="auto"/>
          <w:spacing w:val="9"/>
          <w:sz w:val="21"/>
          <w:szCs w:val="21"/>
          <w:highlight w:val="none"/>
        </w:rPr>
        <w:t>)被列入失信被执行人、重大税收违法案件当事人名单、政府采购严重违法失信行为</w:t>
      </w:r>
      <w:r>
        <w:rPr>
          <w:color w:val="auto"/>
          <w:spacing w:val="11"/>
          <w:sz w:val="21"/>
          <w:szCs w:val="21"/>
          <w:highlight w:val="none"/>
        </w:rPr>
        <w:t>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w:t>
      </w:r>
      <w:r>
        <w:rPr>
          <w:color w:val="auto"/>
          <w:spacing w:val="8"/>
          <w:sz w:val="21"/>
          <w:szCs w:val="21"/>
          <w:highlight w:val="none"/>
        </w:rPr>
        <w:t>用记录的，视同联合体存在不良信用记录。</w:t>
      </w:r>
    </w:p>
    <w:p w14:paraId="048A5F61">
      <w:pPr>
        <w:pStyle w:val="10"/>
        <w:spacing w:line="302" w:lineRule="auto"/>
        <w:ind w:left="15" w:right="2" w:firstLine="418"/>
        <w:rPr>
          <w:color w:val="auto"/>
          <w:sz w:val="21"/>
          <w:szCs w:val="21"/>
          <w:highlight w:val="none"/>
        </w:rPr>
      </w:pPr>
      <w:r>
        <w:rPr>
          <w:color w:val="auto"/>
          <w:spacing w:val="7"/>
          <w:sz w:val="21"/>
          <w:szCs w:val="21"/>
          <w:highlight w:val="none"/>
        </w:rPr>
        <w:t>2.2</w:t>
      </w:r>
      <w:r>
        <w:rPr>
          <w:color w:val="auto"/>
          <w:spacing w:val="-32"/>
          <w:sz w:val="21"/>
          <w:szCs w:val="21"/>
          <w:highlight w:val="none"/>
        </w:rPr>
        <w:t xml:space="preserve"> </w:t>
      </w:r>
      <w:r>
        <w:rPr>
          <w:color w:val="auto"/>
          <w:spacing w:val="7"/>
          <w:sz w:val="21"/>
          <w:szCs w:val="21"/>
          <w:highlight w:val="none"/>
        </w:rPr>
        <w:t>资格审查标准为本磋商文件中载明对供应商资格要求的条件。资</w:t>
      </w:r>
      <w:r>
        <w:rPr>
          <w:color w:val="auto"/>
          <w:spacing w:val="6"/>
          <w:sz w:val="21"/>
          <w:szCs w:val="21"/>
          <w:highlight w:val="none"/>
        </w:rPr>
        <w:t>格审查采用合格制，凡符合磋</w:t>
      </w:r>
      <w:r>
        <w:rPr>
          <w:color w:val="auto"/>
          <w:spacing w:val="9"/>
          <w:sz w:val="21"/>
          <w:szCs w:val="21"/>
          <w:highlight w:val="none"/>
        </w:rPr>
        <w:t>商文件规定的供应商资格要求的响应文件均通过资格审查。</w:t>
      </w:r>
    </w:p>
    <w:p w14:paraId="15473E6C">
      <w:pPr>
        <w:pStyle w:val="10"/>
        <w:spacing w:before="163" w:line="228" w:lineRule="auto"/>
        <w:ind w:left="434"/>
        <w:rPr>
          <w:color w:val="auto"/>
          <w:sz w:val="21"/>
          <w:szCs w:val="21"/>
          <w:highlight w:val="none"/>
        </w:rPr>
      </w:pPr>
      <w:r>
        <w:rPr>
          <w:color w:val="auto"/>
          <w:spacing w:val="9"/>
          <w:sz w:val="21"/>
          <w:szCs w:val="21"/>
          <w:highlight w:val="none"/>
        </w:rPr>
        <w:t>2.3</w:t>
      </w:r>
      <w:r>
        <w:rPr>
          <w:color w:val="auto"/>
          <w:spacing w:val="-40"/>
          <w:sz w:val="21"/>
          <w:szCs w:val="21"/>
          <w:highlight w:val="none"/>
        </w:rPr>
        <w:t xml:space="preserve"> </w:t>
      </w:r>
      <w:r>
        <w:rPr>
          <w:color w:val="auto"/>
          <w:spacing w:val="9"/>
          <w:sz w:val="21"/>
          <w:szCs w:val="21"/>
          <w:highlight w:val="none"/>
        </w:rPr>
        <w:t>供应商有下列情形之一的，资格审查不通过，其响</w:t>
      </w:r>
      <w:r>
        <w:rPr>
          <w:color w:val="auto"/>
          <w:spacing w:val="8"/>
          <w:sz w:val="21"/>
          <w:szCs w:val="21"/>
          <w:highlight w:val="none"/>
        </w:rPr>
        <w:t>应文件按无效响应处理：</w:t>
      </w:r>
    </w:p>
    <w:p w14:paraId="546E0006">
      <w:pPr>
        <w:pStyle w:val="10"/>
        <w:spacing w:before="162" w:line="228" w:lineRule="auto"/>
        <w:ind w:left="441"/>
        <w:rPr>
          <w:color w:val="auto"/>
          <w:sz w:val="21"/>
          <w:szCs w:val="21"/>
          <w:highlight w:val="none"/>
        </w:rPr>
      </w:pPr>
      <w:r>
        <w:rPr>
          <w:color w:val="auto"/>
          <w:spacing w:val="8"/>
          <w:sz w:val="21"/>
          <w:szCs w:val="21"/>
          <w:highlight w:val="none"/>
        </w:rPr>
        <w:t>（1）不具备磋商文件中规定的资格要求的；</w:t>
      </w:r>
    </w:p>
    <w:p w14:paraId="0F127462">
      <w:pPr>
        <w:pStyle w:val="10"/>
        <w:spacing w:before="160" w:line="304" w:lineRule="auto"/>
        <w:ind w:left="28" w:firstLine="413"/>
        <w:rPr>
          <w:color w:val="auto"/>
          <w:sz w:val="21"/>
          <w:szCs w:val="21"/>
          <w:highlight w:val="none"/>
        </w:rPr>
      </w:pPr>
      <w:r>
        <w:rPr>
          <w:color w:val="auto"/>
          <w:spacing w:val="7"/>
          <w:sz w:val="21"/>
          <w:szCs w:val="21"/>
          <w:highlight w:val="none"/>
        </w:rPr>
        <w:t>（2）响应文件未提供任一项</w:t>
      </w:r>
      <w:r>
        <w:rPr>
          <w:rFonts w:hint="eastAsia"/>
          <w:color w:val="auto"/>
          <w:spacing w:val="7"/>
          <w:sz w:val="21"/>
          <w:szCs w:val="21"/>
          <w:highlight w:val="none"/>
          <w:lang w:eastAsia="zh-CN"/>
        </w:rPr>
        <w:t>“</w:t>
      </w:r>
      <w:r>
        <w:rPr>
          <w:color w:val="auto"/>
          <w:spacing w:val="7"/>
          <w:sz w:val="21"/>
          <w:szCs w:val="21"/>
          <w:highlight w:val="none"/>
        </w:rPr>
        <w:t>供应商须知前附表</w:t>
      </w:r>
      <w:r>
        <w:rPr>
          <w:rFonts w:hint="eastAsia"/>
          <w:color w:val="auto"/>
          <w:spacing w:val="7"/>
          <w:sz w:val="21"/>
          <w:szCs w:val="21"/>
          <w:highlight w:val="none"/>
          <w:lang w:eastAsia="zh-CN"/>
        </w:rPr>
        <w:t>”</w:t>
      </w:r>
      <w:r>
        <w:rPr>
          <w:color w:val="auto"/>
          <w:spacing w:val="7"/>
          <w:sz w:val="21"/>
          <w:szCs w:val="21"/>
          <w:highlight w:val="none"/>
        </w:rPr>
        <w:t>资格证明文件规定的</w:t>
      </w:r>
      <w:r>
        <w:rPr>
          <w:rFonts w:hint="eastAsia"/>
          <w:color w:val="auto"/>
          <w:spacing w:val="7"/>
          <w:sz w:val="21"/>
          <w:szCs w:val="21"/>
          <w:highlight w:val="none"/>
          <w:lang w:eastAsia="zh-CN"/>
        </w:rPr>
        <w:t>“</w:t>
      </w:r>
      <w:r>
        <w:rPr>
          <w:color w:val="auto"/>
          <w:spacing w:val="7"/>
          <w:sz w:val="21"/>
          <w:szCs w:val="21"/>
          <w:highlight w:val="none"/>
        </w:rPr>
        <w:t>必须提供</w:t>
      </w:r>
      <w:r>
        <w:rPr>
          <w:rFonts w:hint="eastAsia"/>
          <w:color w:val="auto"/>
          <w:spacing w:val="7"/>
          <w:sz w:val="21"/>
          <w:szCs w:val="21"/>
          <w:highlight w:val="none"/>
          <w:lang w:eastAsia="zh-CN"/>
        </w:rPr>
        <w:t>”</w:t>
      </w:r>
      <w:r>
        <w:rPr>
          <w:color w:val="auto"/>
          <w:spacing w:val="7"/>
          <w:sz w:val="21"/>
          <w:szCs w:val="21"/>
          <w:highlight w:val="none"/>
        </w:rPr>
        <w:t>的文</w:t>
      </w:r>
      <w:r>
        <w:rPr>
          <w:color w:val="auto"/>
          <w:spacing w:val="6"/>
          <w:sz w:val="21"/>
          <w:szCs w:val="21"/>
          <w:highlight w:val="none"/>
        </w:rPr>
        <w:t>件资料</w:t>
      </w:r>
      <w:r>
        <w:rPr>
          <w:color w:val="auto"/>
          <w:spacing w:val="-9"/>
          <w:sz w:val="21"/>
          <w:szCs w:val="21"/>
          <w:highlight w:val="none"/>
        </w:rPr>
        <w:t>的；</w:t>
      </w:r>
    </w:p>
    <w:p w14:paraId="583689B5">
      <w:pPr>
        <w:pStyle w:val="10"/>
        <w:spacing w:before="161" w:line="302" w:lineRule="auto"/>
        <w:ind w:firstLine="441"/>
        <w:rPr>
          <w:color w:val="auto"/>
          <w:sz w:val="21"/>
          <w:szCs w:val="21"/>
          <w:highlight w:val="none"/>
        </w:rPr>
      </w:pPr>
      <w:r>
        <w:rPr>
          <w:color w:val="auto"/>
          <w:spacing w:val="8"/>
          <w:sz w:val="21"/>
          <w:szCs w:val="21"/>
          <w:highlight w:val="none"/>
        </w:rPr>
        <w:t>（3）响应文件提供的资格证明文件出现任一项不符合</w:t>
      </w:r>
      <w:r>
        <w:rPr>
          <w:rFonts w:hint="eastAsia"/>
          <w:color w:val="auto"/>
          <w:spacing w:val="7"/>
          <w:sz w:val="21"/>
          <w:szCs w:val="21"/>
          <w:highlight w:val="none"/>
          <w:lang w:eastAsia="zh-CN"/>
        </w:rPr>
        <w:t>“</w:t>
      </w:r>
      <w:r>
        <w:rPr>
          <w:color w:val="auto"/>
          <w:spacing w:val="7"/>
          <w:sz w:val="21"/>
          <w:szCs w:val="21"/>
          <w:highlight w:val="none"/>
        </w:rPr>
        <w:t>供应商须知前附表</w:t>
      </w:r>
      <w:r>
        <w:rPr>
          <w:rFonts w:hint="eastAsia"/>
          <w:color w:val="auto"/>
          <w:spacing w:val="7"/>
          <w:sz w:val="21"/>
          <w:szCs w:val="21"/>
          <w:highlight w:val="none"/>
          <w:lang w:eastAsia="zh-CN"/>
        </w:rPr>
        <w:t>”</w:t>
      </w:r>
      <w:r>
        <w:rPr>
          <w:color w:val="auto"/>
          <w:spacing w:val="7"/>
          <w:sz w:val="21"/>
          <w:szCs w:val="21"/>
          <w:highlight w:val="none"/>
        </w:rPr>
        <w:t>资格证明文件规定的</w:t>
      </w:r>
      <w:r>
        <w:rPr>
          <w:rFonts w:hint="eastAsia"/>
          <w:color w:val="auto"/>
          <w:spacing w:val="7"/>
          <w:sz w:val="21"/>
          <w:szCs w:val="21"/>
          <w:highlight w:val="none"/>
          <w:lang w:eastAsia="zh-CN"/>
        </w:rPr>
        <w:t>“</w:t>
      </w:r>
      <w:r>
        <w:rPr>
          <w:color w:val="auto"/>
          <w:spacing w:val="7"/>
          <w:sz w:val="21"/>
          <w:szCs w:val="21"/>
          <w:highlight w:val="none"/>
        </w:rPr>
        <w:t>必须提供</w:t>
      </w:r>
      <w:r>
        <w:rPr>
          <w:rFonts w:hint="eastAsia"/>
          <w:color w:val="auto"/>
          <w:spacing w:val="7"/>
          <w:sz w:val="21"/>
          <w:szCs w:val="21"/>
          <w:highlight w:val="none"/>
          <w:lang w:eastAsia="zh-CN"/>
        </w:rPr>
        <w:t>”</w:t>
      </w:r>
      <w:r>
        <w:rPr>
          <w:color w:val="auto"/>
          <w:spacing w:val="7"/>
          <w:sz w:val="21"/>
          <w:szCs w:val="21"/>
          <w:highlight w:val="none"/>
        </w:rPr>
        <w:t>的文件资料要求或者无效的。</w:t>
      </w:r>
    </w:p>
    <w:p w14:paraId="0849E095">
      <w:pPr>
        <w:pStyle w:val="10"/>
        <w:spacing w:before="161" w:line="302" w:lineRule="auto"/>
        <w:ind w:left="51" w:firstLine="390"/>
        <w:rPr>
          <w:color w:val="auto"/>
          <w:sz w:val="21"/>
          <w:szCs w:val="21"/>
          <w:highlight w:val="none"/>
        </w:rPr>
      </w:pPr>
      <w:r>
        <w:rPr>
          <w:color w:val="auto"/>
          <w:spacing w:val="8"/>
          <w:sz w:val="21"/>
          <w:szCs w:val="21"/>
          <w:highlight w:val="none"/>
        </w:rPr>
        <w:t>（4）同一合同项下的不同供应商，单位负责人为同一人或者存在直接控股、管理关系的；为本项</w:t>
      </w:r>
      <w:r>
        <w:rPr>
          <w:color w:val="auto"/>
          <w:spacing w:val="14"/>
          <w:sz w:val="21"/>
          <w:szCs w:val="21"/>
          <w:highlight w:val="none"/>
        </w:rPr>
        <w:t xml:space="preserve"> </w:t>
      </w:r>
      <w:r>
        <w:rPr>
          <w:color w:val="auto"/>
          <w:spacing w:val="8"/>
          <w:sz w:val="21"/>
          <w:szCs w:val="21"/>
          <w:highlight w:val="none"/>
        </w:rPr>
        <w:t>目提供过整体设计、规范编制或者项目管理、监理、检测等服务的。</w:t>
      </w:r>
    </w:p>
    <w:p w14:paraId="5B98F448">
      <w:pPr>
        <w:pStyle w:val="10"/>
        <w:spacing w:before="161" w:line="378" w:lineRule="auto"/>
        <w:ind w:left="11" w:firstLine="422"/>
        <w:rPr>
          <w:color w:val="auto"/>
          <w:sz w:val="21"/>
          <w:szCs w:val="21"/>
          <w:highlight w:val="none"/>
        </w:rPr>
      </w:pPr>
      <w:r>
        <w:rPr>
          <w:color w:val="auto"/>
          <w:spacing w:val="6"/>
          <w:sz w:val="21"/>
          <w:szCs w:val="21"/>
          <w:highlight w:val="none"/>
        </w:rPr>
        <w:t>2.4</w:t>
      </w:r>
      <w:r>
        <w:rPr>
          <w:color w:val="auto"/>
          <w:spacing w:val="-30"/>
          <w:sz w:val="21"/>
          <w:szCs w:val="21"/>
          <w:highlight w:val="none"/>
        </w:rPr>
        <w:t xml:space="preserve"> </w:t>
      </w:r>
      <w:r>
        <w:rPr>
          <w:color w:val="auto"/>
          <w:spacing w:val="6"/>
          <w:sz w:val="21"/>
          <w:szCs w:val="21"/>
          <w:highlight w:val="none"/>
        </w:rPr>
        <w:t>通过资格审查的合格供应商不足</w:t>
      </w:r>
      <w:r>
        <w:rPr>
          <w:color w:val="auto"/>
          <w:spacing w:val="-32"/>
          <w:sz w:val="21"/>
          <w:szCs w:val="21"/>
          <w:highlight w:val="none"/>
        </w:rPr>
        <w:t xml:space="preserve"> </w:t>
      </w:r>
      <w:r>
        <w:rPr>
          <w:color w:val="auto"/>
          <w:spacing w:val="6"/>
          <w:sz w:val="21"/>
          <w:szCs w:val="21"/>
          <w:highlight w:val="none"/>
        </w:rPr>
        <w:t>3</w:t>
      </w:r>
      <w:r>
        <w:rPr>
          <w:color w:val="auto"/>
          <w:spacing w:val="-36"/>
          <w:sz w:val="21"/>
          <w:szCs w:val="21"/>
          <w:highlight w:val="none"/>
        </w:rPr>
        <w:t xml:space="preserve"> </w:t>
      </w:r>
      <w:r>
        <w:rPr>
          <w:color w:val="auto"/>
          <w:spacing w:val="6"/>
          <w:sz w:val="21"/>
          <w:szCs w:val="21"/>
          <w:highlight w:val="none"/>
        </w:rPr>
        <w:t>家的，不得进入符合性审查环节，采购人或者采购代理机构</w:t>
      </w:r>
      <w:r>
        <w:rPr>
          <w:color w:val="auto"/>
          <w:sz w:val="21"/>
          <w:szCs w:val="21"/>
          <w:highlight w:val="none"/>
        </w:rPr>
        <w:t xml:space="preserve"> </w:t>
      </w:r>
      <w:r>
        <w:rPr>
          <w:color w:val="auto"/>
          <w:spacing w:val="8"/>
          <w:sz w:val="21"/>
          <w:szCs w:val="21"/>
          <w:highlight w:val="none"/>
        </w:rPr>
        <w:t>应当重新开展采购活动。</w:t>
      </w:r>
    </w:p>
    <w:p w14:paraId="7AFD284D">
      <w:pPr>
        <w:pStyle w:val="10"/>
        <w:spacing w:before="5" w:line="220" w:lineRule="auto"/>
        <w:ind w:left="437"/>
        <w:rPr>
          <w:color w:val="auto"/>
          <w:sz w:val="21"/>
          <w:szCs w:val="21"/>
          <w:highlight w:val="none"/>
        </w:rPr>
      </w:pPr>
      <w:r>
        <w:rPr>
          <w:b/>
          <w:bCs/>
          <w:color w:val="auto"/>
          <w:spacing w:val="-4"/>
          <w:sz w:val="21"/>
          <w:szCs w:val="21"/>
          <w:highlight w:val="none"/>
        </w:rPr>
        <w:t>3.符合性审查</w:t>
      </w:r>
    </w:p>
    <w:p w14:paraId="1A11C63D">
      <w:pPr>
        <w:pStyle w:val="10"/>
        <w:spacing w:before="175" w:line="227" w:lineRule="auto"/>
        <w:ind w:firstLine="444" w:firstLineChars="200"/>
        <w:jc w:val="both"/>
        <w:rPr>
          <w:color w:val="auto"/>
          <w:sz w:val="21"/>
          <w:szCs w:val="21"/>
          <w:highlight w:val="none"/>
        </w:rPr>
      </w:pPr>
      <w:r>
        <w:rPr>
          <w:color w:val="auto"/>
          <w:spacing w:val="6"/>
          <w:sz w:val="21"/>
          <w:szCs w:val="21"/>
          <w:highlight w:val="none"/>
        </w:rPr>
        <w:t>3.1</w:t>
      </w:r>
      <w:r>
        <w:rPr>
          <w:color w:val="auto"/>
          <w:sz w:val="21"/>
          <w:szCs w:val="21"/>
          <w:highlight w:val="none"/>
        </w:rPr>
        <w:t xml:space="preserve"> </w:t>
      </w:r>
      <w:r>
        <w:rPr>
          <w:color w:val="auto"/>
          <w:spacing w:val="6"/>
          <w:sz w:val="21"/>
          <w:szCs w:val="21"/>
          <w:highlight w:val="none"/>
        </w:rPr>
        <w:t>由磋商小组对通过资格审查的合格供应商的响应文件的响应报价、商务、技术等实质性要求进</w:t>
      </w:r>
      <w:r>
        <w:rPr>
          <w:color w:val="auto"/>
          <w:spacing w:val="9"/>
          <w:sz w:val="21"/>
          <w:szCs w:val="21"/>
          <w:highlight w:val="none"/>
        </w:rPr>
        <w:t>行符合性审查，以确定其是否满足磋商文件的实质性要求。</w:t>
      </w:r>
    </w:p>
    <w:p w14:paraId="25EC2617">
      <w:pPr>
        <w:pStyle w:val="10"/>
        <w:spacing w:before="161" w:line="327" w:lineRule="auto"/>
        <w:ind w:right="148" w:firstLine="424"/>
        <w:rPr>
          <w:color w:val="auto"/>
          <w:sz w:val="21"/>
          <w:szCs w:val="21"/>
          <w:highlight w:val="none"/>
        </w:rPr>
      </w:pPr>
      <w:r>
        <w:rPr>
          <w:color w:val="auto"/>
          <w:spacing w:val="7"/>
          <w:sz w:val="21"/>
          <w:szCs w:val="21"/>
          <w:highlight w:val="none"/>
        </w:rPr>
        <w:t>3.2</w:t>
      </w:r>
      <w:r>
        <w:rPr>
          <w:color w:val="auto"/>
          <w:spacing w:val="-41"/>
          <w:sz w:val="21"/>
          <w:szCs w:val="21"/>
          <w:highlight w:val="none"/>
        </w:rPr>
        <w:t xml:space="preserve"> </w:t>
      </w:r>
      <w:r>
        <w:rPr>
          <w:color w:val="auto"/>
          <w:spacing w:val="7"/>
          <w:sz w:val="21"/>
          <w:szCs w:val="21"/>
          <w:highlight w:val="none"/>
        </w:rPr>
        <w:t>磋商小组在对响应文件进行符合性审查时，可以要求供应商对响应文件中含义不明确、</w:t>
      </w:r>
      <w:r>
        <w:rPr>
          <w:color w:val="auto"/>
          <w:spacing w:val="6"/>
          <w:sz w:val="21"/>
          <w:szCs w:val="21"/>
          <w:highlight w:val="none"/>
        </w:rPr>
        <w:t>同类问</w:t>
      </w:r>
      <w:r>
        <w:rPr>
          <w:color w:val="auto"/>
          <w:sz w:val="21"/>
          <w:szCs w:val="21"/>
          <w:highlight w:val="none"/>
        </w:rPr>
        <w:t xml:space="preserve"> </w:t>
      </w:r>
      <w:r>
        <w:rPr>
          <w:color w:val="auto"/>
          <w:spacing w:val="11"/>
          <w:sz w:val="21"/>
          <w:szCs w:val="21"/>
          <w:highlight w:val="none"/>
        </w:rPr>
        <w:t>题表述不一致或者有明显文字和计算错误的内容等作出必要的澄清、说明或者更正。供应商的澄清、</w:t>
      </w:r>
      <w:r>
        <w:rPr>
          <w:color w:val="auto"/>
          <w:spacing w:val="9"/>
          <w:sz w:val="21"/>
          <w:szCs w:val="21"/>
          <w:highlight w:val="none"/>
        </w:rPr>
        <w:t>说明或者更正不得超出响应文件的范围或者改变响应文件的实质性内容。</w:t>
      </w:r>
    </w:p>
    <w:p w14:paraId="62FB8C90">
      <w:pPr>
        <w:pStyle w:val="10"/>
        <w:spacing w:before="162" w:line="347" w:lineRule="auto"/>
        <w:ind w:right="79" w:firstLine="424"/>
        <w:rPr>
          <w:color w:val="auto"/>
          <w:sz w:val="21"/>
          <w:szCs w:val="21"/>
          <w:highlight w:val="none"/>
        </w:rPr>
      </w:pPr>
      <w:r>
        <w:rPr>
          <w:color w:val="auto"/>
          <w:spacing w:val="4"/>
          <w:sz w:val="21"/>
          <w:szCs w:val="21"/>
          <w:highlight w:val="none"/>
        </w:rPr>
        <w:t>3.3</w:t>
      </w:r>
      <w:r>
        <w:rPr>
          <w:color w:val="auto"/>
          <w:spacing w:val="-42"/>
          <w:sz w:val="21"/>
          <w:szCs w:val="21"/>
          <w:highlight w:val="none"/>
        </w:rPr>
        <w:t xml:space="preserve"> </w:t>
      </w:r>
      <w:r>
        <w:rPr>
          <w:color w:val="auto"/>
          <w:spacing w:val="4"/>
          <w:sz w:val="21"/>
          <w:szCs w:val="21"/>
          <w:highlight w:val="none"/>
        </w:rPr>
        <w:t>磋商小组要求供应商澄清、说明或者更正响应文件应当以电子澄清函形式作出。供</w:t>
      </w:r>
      <w:r>
        <w:rPr>
          <w:color w:val="auto"/>
          <w:spacing w:val="3"/>
          <w:sz w:val="21"/>
          <w:szCs w:val="21"/>
          <w:highlight w:val="none"/>
        </w:rPr>
        <w:t>应商的澄清、</w:t>
      </w:r>
      <w:r>
        <w:rPr>
          <w:color w:val="auto"/>
          <w:sz w:val="21"/>
          <w:szCs w:val="21"/>
          <w:highlight w:val="none"/>
        </w:rPr>
        <w:t xml:space="preserve"> </w:t>
      </w:r>
      <w:r>
        <w:rPr>
          <w:color w:val="auto"/>
          <w:spacing w:val="11"/>
          <w:sz w:val="21"/>
          <w:szCs w:val="21"/>
          <w:highlight w:val="none"/>
        </w:rPr>
        <w:t>说明或者更正应当已电子回函形式按照磋商小组的要求作出明确的澄清、说明或者更正，未按磋商小组的要求作出明确澄清、说明或者更正的供应商的响应文件将按照有利于采购人的原则由磋商小组进</w:t>
      </w:r>
      <w:r>
        <w:rPr>
          <w:color w:val="auto"/>
          <w:spacing w:val="7"/>
          <w:sz w:val="21"/>
          <w:szCs w:val="21"/>
          <w:highlight w:val="none"/>
        </w:rPr>
        <w:t>行判定。供应商的澄清、说明或者更正必须加盖电子公章。供应</w:t>
      </w:r>
      <w:r>
        <w:rPr>
          <w:color w:val="auto"/>
          <w:spacing w:val="6"/>
          <w:sz w:val="21"/>
          <w:szCs w:val="21"/>
          <w:highlight w:val="none"/>
        </w:rPr>
        <w:t>商为自然人的，必须由本人签字并附身</w:t>
      </w:r>
      <w:r>
        <w:rPr>
          <w:color w:val="auto"/>
          <w:spacing w:val="-1"/>
          <w:sz w:val="21"/>
          <w:szCs w:val="21"/>
          <w:highlight w:val="none"/>
        </w:rPr>
        <w:t>份证明。</w:t>
      </w:r>
    </w:p>
    <w:p w14:paraId="2930EB5F">
      <w:pPr>
        <w:pStyle w:val="10"/>
        <w:spacing w:before="160" w:line="227" w:lineRule="auto"/>
        <w:ind w:left="400"/>
        <w:rPr>
          <w:color w:val="auto"/>
          <w:sz w:val="21"/>
          <w:szCs w:val="21"/>
          <w:highlight w:val="none"/>
        </w:rPr>
      </w:pPr>
      <w:r>
        <w:rPr>
          <w:color w:val="auto"/>
          <w:spacing w:val="8"/>
          <w:sz w:val="21"/>
          <w:szCs w:val="21"/>
          <w:highlight w:val="none"/>
        </w:rPr>
        <w:t>3.4</w:t>
      </w:r>
      <w:r>
        <w:rPr>
          <w:color w:val="auto"/>
          <w:spacing w:val="-49"/>
          <w:sz w:val="21"/>
          <w:szCs w:val="21"/>
          <w:highlight w:val="none"/>
        </w:rPr>
        <w:t xml:space="preserve"> </w:t>
      </w:r>
      <w:r>
        <w:rPr>
          <w:color w:val="auto"/>
          <w:spacing w:val="8"/>
          <w:sz w:val="21"/>
          <w:szCs w:val="21"/>
          <w:highlight w:val="none"/>
        </w:rPr>
        <w:t>首次响应文件报价出现前后不一致的，按照下列规定修</w:t>
      </w:r>
      <w:r>
        <w:rPr>
          <w:color w:val="auto"/>
          <w:spacing w:val="7"/>
          <w:sz w:val="21"/>
          <w:szCs w:val="21"/>
          <w:highlight w:val="none"/>
        </w:rPr>
        <w:t>正：</w:t>
      </w:r>
    </w:p>
    <w:p w14:paraId="5EFFB465">
      <w:pPr>
        <w:pStyle w:val="10"/>
        <w:spacing w:before="165" w:line="227" w:lineRule="auto"/>
        <w:ind w:left="430"/>
        <w:rPr>
          <w:color w:val="auto"/>
          <w:sz w:val="21"/>
          <w:szCs w:val="21"/>
          <w:highlight w:val="none"/>
        </w:rPr>
      </w:pPr>
      <w:r>
        <w:rPr>
          <w:color w:val="auto"/>
          <w:spacing w:val="9"/>
          <w:sz w:val="21"/>
          <w:szCs w:val="21"/>
          <w:highlight w:val="none"/>
        </w:rPr>
        <w:t>（1）响应文件中报价表内容与响应文件中相应内容不一致的，以报价表为准；</w:t>
      </w:r>
    </w:p>
    <w:p w14:paraId="7D3F60AA">
      <w:pPr>
        <w:pStyle w:val="10"/>
        <w:spacing w:before="162" w:line="228" w:lineRule="auto"/>
        <w:ind w:left="430"/>
        <w:rPr>
          <w:color w:val="auto"/>
          <w:sz w:val="21"/>
          <w:szCs w:val="21"/>
          <w:highlight w:val="none"/>
        </w:rPr>
      </w:pPr>
      <w:r>
        <w:rPr>
          <w:color w:val="auto"/>
          <w:spacing w:val="8"/>
          <w:sz w:val="21"/>
          <w:szCs w:val="21"/>
          <w:highlight w:val="none"/>
        </w:rPr>
        <w:t>（2）大写金额和小写金额不一致的，以大写金额为准；</w:t>
      </w:r>
    </w:p>
    <w:p w14:paraId="42128133">
      <w:pPr>
        <w:pStyle w:val="10"/>
        <w:spacing w:before="161" w:line="227" w:lineRule="auto"/>
        <w:ind w:left="430"/>
        <w:rPr>
          <w:color w:val="auto"/>
          <w:sz w:val="21"/>
          <w:szCs w:val="21"/>
          <w:highlight w:val="none"/>
        </w:rPr>
      </w:pPr>
      <w:r>
        <w:rPr>
          <w:color w:val="auto"/>
          <w:spacing w:val="9"/>
          <w:sz w:val="21"/>
          <w:szCs w:val="21"/>
          <w:highlight w:val="none"/>
        </w:rPr>
        <w:t>（3）单价金额小数点或者百分比有明显错位的，以报价表的总价为准，并修改单价；</w:t>
      </w:r>
    </w:p>
    <w:p w14:paraId="0C9F353F">
      <w:pPr>
        <w:pStyle w:val="10"/>
        <w:spacing w:before="162" w:line="227" w:lineRule="auto"/>
        <w:ind w:left="430"/>
        <w:rPr>
          <w:color w:val="auto"/>
          <w:sz w:val="21"/>
          <w:szCs w:val="21"/>
          <w:highlight w:val="none"/>
        </w:rPr>
      </w:pPr>
      <w:r>
        <w:rPr>
          <w:color w:val="auto"/>
          <w:spacing w:val="9"/>
          <w:sz w:val="21"/>
          <w:szCs w:val="21"/>
          <w:highlight w:val="none"/>
        </w:rPr>
        <w:t>（4）总价金额与按单价汇总金额不一致的，以单价金额计算结果为</w:t>
      </w:r>
      <w:r>
        <w:rPr>
          <w:color w:val="auto"/>
          <w:spacing w:val="8"/>
          <w:sz w:val="21"/>
          <w:szCs w:val="21"/>
          <w:highlight w:val="none"/>
        </w:rPr>
        <w:t>准。</w:t>
      </w:r>
    </w:p>
    <w:p w14:paraId="0EB22824">
      <w:pPr>
        <w:pStyle w:val="10"/>
        <w:spacing w:before="163" w:line="377" w:lineRule="auto"/>
        <w:ind w:right="150" w:firstLine="440"/>
        <w:rPr>
          <w:color w:val="auto"/>
          <w:sz w:val="21"/>
          <w:szCs w:val="21"/>
          <w:highlight w:val="none"/>
        </w:rPr>
      </w:pPr>
      <w:r>
        <w:rPr>
          <w:color w:val="auto"/>
          <w:spacing w:val="8"/>
          <w:sz w:val="21"/>
          <w:szCs w:val="21"/>
          <w:highlight w:val="none"/>
        </w:rPr>
        <w:t>同时出现两种以上不一致的，按照以上（1）</w:t>
      </w:r>
      <w:r>
        <w:rPr>
          <w:rFonts w:hint="eastAsia"/>
          <w:color w:val="auto"/>
          <w:spacing w:val="8"/>
          <w:sz w:val="21"/>
          <w:szCs w:val="21"/>
          <w:highlight w:val="none"/>
          <w:lang w:eastAsia="zh-CN"/>
        </w:rPr>
        <w:t>—</w:t>
      </w:r>
      <w:r>
        <w:rPr>
          <w:color w:val="auto"/>
          <w:spacing w:val="8"/>
          <w:sz w:val="21"/>
          <w:szCs w:val="21"/>
          <w:highlight w:val="none"/>
        </w:rPr>
        <w:t>（4）规定的顺序逐条进行修正。修</w:t>
      </w:r>
      <w:r>
        <w:rPr>
          <w:color w:val="auto"/>
          <w:spacing w:val="7"/>
          <w:sz w:val="21"/>
          <w:szCs w:val="21"/>
          <w:highlight w:val="none"/>
        </w:rPr>
        <w:t>正后的报价经供</w:t>
      </w:r>
      <w:r>
        <w:rPr>
          <w:color w:val="auto"/>
          <w:spacing w:val="9"/>
          <w:sz w:val="21"/>
          <w:szCs w:val="21"/>
          <w:highlight w:val="none"/>
        </w:rPr>
        <w:t>应商确认后产生约束力，供应商不确认的，其响应文件按无效响应处理。</w:t>
      </w:r>
    </w:p>
    <w:p w14:paraId="33FA07BB">
      <w:pPr>
        <w:pStyle w:val="10"/>
        <w:spacing w:before="1" w:line="226" w:lineRule="auto"/>
        <w:ind w:left="424"/>
        <w:rPr>
          <w:color w:val="auto"/>
          <w:sz w:val="21"/>
          <w:szCs w:val="21"/>
          <w:highlight w:val="none"/>
        </w:rPr>
      </w:pPr>
      <w:r>
        <w:rPr>
          <w:color w:val="auto"/>
          <w:spacing w:val="6"/>
          <w:sz w:val="21"/>
          <w:szCs w:val="21"/>
          <w:highlight w:val="none"/>
        </w:rPr>
        <w:t>3.5</w:t>
      </w:r>
      <w:r>
        <w:rPr>
          <w:color w:val="auto"/>
          <w:spacing w:val="-30"/>
          <w:sz w:val="21"/>
          <w:szCs w:val="21"/>
          <w:highlight w:val="none"/>
        </w:rPr>
        <w:t xml:space="preserve"> </w:t>
      </w:r>
      <w:r>
        <w:rPr>
          <w:color w:val="auto"/>
          <w:spacing w:val="6"/>
          <w:sz w:val="21"/>
          <w:szCs w:val="21"/>
          <w:highlight w:val="none"/>
        </w:rPr>
        <w:t>商务技术、报价评审</w:t>
      </w:r>
    </w:p>
    <w:p w14:paraId="4081DE85">
      <w:pPr>
        <w:pStyle w:val="10"/>
        <w:spacing w:before="163" w:line="228" w:lineRule="auto"/>
        <w:ind w:left="419"/>
        <w:rPr>
          <w:color w:val="auto"/>
          <w:sz w:val="21"/>
          <w:szCs w:val="21"/>
          <w:highlight w:val="none"/>
        </w:rPr>
      </w:pPr>
      <w:r>
        <w:rPr>
          <w:color w:val="auto"/>
          <w:spacing w:val="9"/>
          <w:sz w:val="21"/>
          <w:szCs w:val="21"/>
          <w:highlight w:val="none"/>
        </w:rPr>
        <w:t>在评审时，如发现下列情形之一的，将被视为响应文件无效处理：</w:t>
      </w:r>
    </w:p>
    <w:p w14:paraId="297F53B5">
      <w:pPr>
        <w:pStyle w:val="10"/>
        <w:spacing w:before="163" w:line="228" w:lineRule="auto"/>
        <w:ind w:left="430"/>
        <w:rPr>
          <w:color w:val="auto"/>
          <w:sz w:val="21"/>
          <w:szCs w:val="21"/>
          <w:highlight w:val="none"/>
        </w:rPr>
      </w:pPr>
      <w:r>
        <w:rPr>
          <w:color w:val="auto"/>
          <w:spacing w:val="7"/>
          <w:sz w:val="21"/>
          <w:szCs w:val="21"/>
          <w:highlight w:val="none"/>
        </w:rPr>
        <w:t>（1）商务技术评审</w:t>
      </w:r>
    </w:p>
    <w:p w14:paraId="03A6F648">
      <w:pPr>
        <w:pStyle w:val="10"/>
        <w:spacing w:before="161" w:line="228" w:lineRule="auto"/>
        <w:ind w:left="435"/>
        <w:rPr>
          <w:color w:val="auto"/>
          <w:sz w:val="21"/>
          <w:szCs w:val="21"/>
          <w:highlight w:val="none"/>
        </w:rPr>
      </w:pPr>
      <w:r>
        <w:rPr>
          <w:color w:val="auto"/>
          <w:spacing w:val="7"/>
          <w:sz w:val="21"/>
          <w:szCs w:val="21"/>
          <w:highlight w:val="none"/>
        </w:rPr>
        <w:t>1）响应文件未按磋商文件要求签署、盖章；</w:t>
      </w:r>
    </w:p>
    <w:p w14:paraId="1CCEA14F">
      <w:pPr>
        <w:pStyle w:val="10"/>
        <w:spacing w:before="161" w:line="228" w:lineRule="auto"/>
        <w:ind w:left="422"/>
        <w:rPr>
          <w:color w:val="auto"/>
          <w:sz w:val="21"/>
          <w:szCs w:val="21"/>
          <w:highlight w:val="none"/>
        </w:rPr>
      </w:pPr>
      <w:r>
        <w:rPr>
          <w:color w:val="auto"/>
          <w:spacing w:val="9"/>
          <w:sz w:val="21"/>
          <w:szCs w:val="21"/>
          <w:highlight w:val="none"/>
        </w:rPr>
        <w:t>2）委托代理人未能出具有效身份证明或者出具的身份证明与授权委托书中的信息不符；</w:t>
      </w:r>
    </w:p>
    <w:p w14:paraId="4CB57745">
      <w:pPr>
        <w:pStyle w:val="10"/>
        <w:spacing w:before="161" w:line="327" w:lineRule="auto"/>
        <w:ind w:left="1" w:right="133" w:firstLine="422"/>
        <w:rPr>
          <w:color w:val="auto"/>
          <w:sz w:val="21"/>
          <w:szCs w:val="21"/>
          <w:highlight w:val="none"/>
        </w:rPr>
      </w:pPr>
      <w:r>
        <w:rPr>
          <w:color w:val="auto"/>
          <w:spacing w:val="7"/>
          <w:sz w:val="21"/>
          <w:szCs w:val="21"/>
          <w:highlight w:val="none"/>
        </w:rPr>
        <w:t>3）响应文件未提供任一项</w:t>
      </w:r>
      <w:r>
        <w:rPr>
          <w:rFonts w:hint="eastAsia"/>
          <w:color w:val="auto"/>
          <w:spacing w:val="7"/>
          <w:sz w:val="21"/>
          <w:szCs w:val="21"/>
          <w:highlight w:val="none"/>
          <w:lang w:eastAsia="zh-CN"/>
        </w:rPr>
        <w:t>“</w:t>
      </w:r>
      <w:r>
        <w:rPr>
          <w:color w:val="auto"/>
          <w:spacing w:val="7"/>
          <w:sz w:val="21"/>
          <w:szCs w:val="21"/>
          <w:highlight w:val="none"/>
        </w:rPr>
        <w:t>供应商须知前附表</w:t>
      </w:r>
      <w:r>
        <w:rPr>
          <w:color w:val="auto"/>
          <w:spacing w:val="-70"/>
          <w:sz w:val="21"/>
          <w:szCs w:val="21"/>
          <w:highlight w:val="none"/>
        </w:rPr>
        <w:t xml:space="preserve"> </w:t>
      </w:r>
      <w:r>
        <w:rPr>
          <w:rFonts w:hint="eastAsia"/>
          <w:color w:val="auto"/>
          <w:spacing w:val="7"/>
          <w:sz w:val="21"/>
          <w:szCs w:val="21"/>
          <w:highlight w:val="none"/>
          <w:lang w:eastAsia="zh-CN"/>
        </w:rPr>
        <w:t>”</w:t>
      </w:r>
      <w:r>
        <w:rPr>
          <w:color w:val="auto"/>
          <w:spacing w:val="7"/>
          <w:sz w:val="21"/>
          <w:szCs w:val="21"/>
          <w:highlight w:val="none"/>
        </w:rPr>
        <w:t>商务技术文件中</w:t>
      </w:r>
      <w:r>
        <w:rPr>
          <w:rFonts w:hint="eastAsia"/>
          <w:color w:val="auto"/>
          <w:spacing w:val="7"/>
          <w:sz w:val="21"/>
          <w:szCs w:val="21"/>
          <w:highlight w:val="none"/>
          <w:lang w:eastAsia="zh-CN"/>
        </w:rPr>
        <w:t>“</w:t>
      </w:r>
      <w:r>
        <w:rPr>
          <w:color w:val="auto"/>
          <w:spacing w:val="7"/>
          <w:sz w:val="21"/>
          <w:szCs w:val="21"/>
          <w:highlight w:val="none"/>
        </w:rPr>
        <w:t>必须提供</w:t>
      </w:r>
      <w:r>
        <w:rPr>
          <w:rFonts w:hint="eastAsia"/>
          <w:color w:val="auto"/>
          <w:spacing w:val="7"/>
          <w:sz w:val="21"/>
          <w:szCs w:val="21"/>
          <w:highlight w:val="none"/>
          <w:lang w:eastAsia="zh-CN"/>
        </w:rPr>
        <w:t>”</w:t>
      </w:r>
      <w:r>
        <w:rPr>
          <w:color w:val="auto"/>
          <w:spacing w:val="-70"/>
          <w:sz w:val="21"/>
          <w:szCs w:val="21"/>
          <w:highlight w:val="none"/>
        </w:rPr>
        <w:t xml:space="preserve"> </w:t>
      </w:r>
      <w:r>
        <w:rPr>
          <w:color w:val="auto"/>
          <w:spacing w:val="7"/>
          <w:sz w:val="21"/>
          <w:szCs w:val="21"/>
          <w:highlight w:val="none"/>
        </w:rPr>
        <w:t>或</w:t>
      </w:r>
      <w:r>
        <w:rPr>
          <w:color w:val="auto"/>
          <w:spacing w:val="6"/>
          <w:sz w:val="21"/>
          <w:szCs w:val="21"/>
          <w:highlight w:val="none"/>
        </w:rPr>
        <w:t>者</w:t>
      </w:r>
      <w:r>
        <w:rPr>
          <w:rFonts w:hint="eastAsia"/>
          <w:color w:val="auto"/>
          <w:spacing w:val="6"/>
          <w:sz w:val="21"/>
          <w:szCs w:val="21"/>
          <w:highlight w:val="none"/>
          <w:lang w:eastAsia="zh-CN"/>
        </w:rPr>
        <w:t>“</w:t>
      </w:r>
      <w:r>
        <w:rPr>
          <w:color w:val="auto"/>
          <w:spacing w:val="6"/>
          <w:sz w:val="21"/>
          <w:szCs w:val="21"/>
          <w:highlight w:val="none"/>
        </w:rPr>
        <w:t>委托时必</w:t>
      </w:r>
      <w:r>
        <w:rPr>
          <w:color w:val="auto"/>
          <w:spacing w:val="10"/>
          <w:sz w:val="21"/>
          <w:szCs w:val="21"/>
          <w:highlight w:val="none"/>
        </w:rPr>
        <w:t>须提供</w:t>
      </w:r>
      <w:r>
        <w:rPr>
          <w:rFonts w:hint="eastAsia"/>
          <w:color w:val="auto"/>
          <w:spacing w:val="10"/>
          <w:sz w:val="21"/>
          <w:szCs w:val="21"/>
          <w:highlight w:val="none"/>
          <w:lang w:eastAsia="zh-CN"/>
        </w:rPr>
        <w:t>”</w:t>
      </w:r>
      <w:r>
        <w:rPr>
          <w:color w:val="auto"/>
          <w:spacing w:val="10"/>
          <w:sz w:val="21"/>
          <w:szCs w:val="21"/>
          <w:highlight w:val="none"/>
        </w:rPr>
        <w:t>的文件资料；响应文件提供的商务技术文件出现任一项</w:t>
      </w:r>
      <w:r>
        <w:rPr>
          <w:color w:val="auto"/>
          <w:spacing w:val="9"/>
          <w:sz w:val="21"/>
          <w:szCs w:val="21"/>
          <w:highlight w:val="none"/>
        </w:rPr>
        <w:t>不符合</w:t>
      </w:r>
      <w:r>
        <w:rPr>
          <w:rFonts w:hint="eastAsia"/>
          <w:color w:val="auto"/>
          <w:spacing w:val="9"/>
          <w:sz w:val="21"/>
          <w:szCs w:val="21"/>
          <w:highlight w:val="none"/>
          <w:lang w:eastAsia="zh-CN"/>
        </w:rPr>
        <w:t>“</w:t>
      </w:r>
      <w:r>
        <w:rPr>
          <w:color w:val="auto"/>
          <w:spacing w:val="9"/>
          <w:sz w:val="21"/>
          <w:szCs w:val="21"/>
          <w:highlight w:val="none"/>
        </w:rPr>
        <w:t>供应商须知前附表</w:t>
      </w:r>
      <w:r>
        <w:rPr>
          <w:rFonts w:hint="eastAsia"/>
          <w:color w:val="auto"/>
          <w:spacing w:val="9"/>
          <w:sz w:val="21"/>
          <w:szCs w:val="21"/>
          <w:highlight w:val="none"/>
          <w:lang w:eastAsia="zh-CN"/>
        </w:rPr>
        <w:t>”</w:t>
      </w:r>
      <w:r>
        <w:rPr>
          <w:color w:val="auto"/>
          <w:spacing w:val="9"/>
          <w:sz w:val="21"/>
          <w:szCs w:val="21"/>
          <w:highlight w:val="none"/>
        </w:rPr>
        <w:t>商务技</w:t>
      </w:r>
      <w:r>
        <w:rPr>
          <w:color w:val="auto"/>
          <w:spacing w:val="8"/>
          <w:sz w:val="21"/>
          <w:szCs w:val="21"/>
          <w:highlight w:val="none"/>
        </w:rPr>
        <w:t>术文件中</w:t>
      </w:r>
      <w:r>
        <w:rPr>
          <w:rFonts w:hint="eastAsia"/>
          <w:color w:val="auto"/>
          <w:spacing w:val="8"/>
          <w:sz w:val="21"/>
          <w:szCs w:val="21"/>
          <w:highlight w:val="none"/>
          <w:lang w:eastAsia="zh-CN"/>
        </w:rPr>
        <w:t>“</w:t>
      </w:r>
      <w:r>
        <w:rPr>
          <w:color w:val="auto"/>
          <w:spacing w:val="8"/>
          <w:sz w:val="21"/>
          <w:szCs w:val="21"/>
          <w:highlight w:val="none"/>
        </w:rPr>
        <w:t>必须提供</w:t>
      </w:r>
      <w:r>
        <w:rPr>
          <w:rFonts w:hint="eastAsia"/>
          <w:color w:val="auto"/>
          <w:spacing w:val="8"/>
          <w:sz w:val="21"/>
          <w:szCs w:val="21"/>
          <w:highlight w:val="none"/>
          <w:lang w:eastAsia="zh-CN"/>
        </w:rPr>
        <w:t>”</w:t>
      </w:r>
      <w:r>
        <w:rPr>
          <w:color w:val="auto"/>
          <w:spacing w:val="-70"/>
          <w:sz w:val="21"/>
          <w:szCs w:val="21"/>
          <w:highlight w:val="none"/>
        </w:rPr>
        <w:t xml:space="preserve"> </w:t>
      </w:r>
      <w:r>
        <w:rPr>
          <w:color w:val="auto"/>
          <w:spacing w:val="8"/>
          <w:sz w:val="21"/>
          <w:szCs w:val="21"/>
          <w:highlight w:val="none"/>
        </w:rPr>
        <w:t>或者</w:t>
      </w:r>
      <w:r>
        <w:rPr>
          <w:rFonts w:hint="eastAsia"/>
          <w:color w:val="auto"/>
          <w:spacing w:val="8"/>
          <w:sz w:val="21"/>
          <w:szCs w:val="21"/>
          <w:highlight w:val="none"/>
          <w:lang w:eastAsia="zh-CN"/>
        </w:rPr>
        <w:t>“</w:t>
      </w:r>
      <w:r>
        <w:rPr>
          <w:color w:val="auto"/>
          <w:spacing w:val="8"/>
          <w:sz w:val="21"/>
          <w:szCs w:val="21"/>
          <w:highlight w:val="none"/>
        </w:rPr>
        <w:t>委托时必须提供</w:t>
      </w:r>
      <w:r>
        <w:rPr>
          <w:rFonts w:hint="eastAsia"/>
          <w:color w:val="auto"/>
          <w:spacing w:val="9"/>
          <w:sz w:val="21"/>
          <w:szCs w:val="21"/>
          <w:highlight w:val="none"/>
          <w:lang w:eastAsia="zh-CN"/>
        </w:rPr>
        <w:t>”</w:t>
      </w:r>
      <w:r>
        <w:rPr>
          <w:color w:val="auto"/>
          <w:spacing w:val="8"/>
          <w:sz w:val="21"/>
          <w:szCs w:val="21"/>
          <w:highlight w:val="none"/>
        </w:rPr>
        <w:t>文件资料要求</w:t>
      </w:r>
      <w:r>
        <w:rPr>
          <w:color w:val="auto"/>
          <w:spacing w:val="7"/>
          <w:sz w:val="21"/>
          <w:szCs w:val="21"/>
          <w:highlight w:val="none"/>
        </w:rPr>
        <w:t>的规定或者提供的商务技术文件无效。</w:t>
      </w:r>
    </w:p>
    <w:p w14:paraId="11F7F38E">
      <w:pPr>
        <w:pStyle w:val="10"/>
        <w:spacing w:before="163" w:line="303" w:lineRule="auto"/>
        <w:ind w:firstLine="418"/>
        <w:rPr>
          <w:color w:val="auto"/>
          <w:sz w:val="21"/>
          <w:szCs w:val="21"/>
          <w:highlight w:val="none"/>
        </w:rPr>
      </w:pPr>
      <w:r>
        <w:rPr>
          <w:color w:val="auto"/>
          <w:spacing w:val="11"/>
          <w:sz w:val="21"/>
          <w:szCs w:val="21"/>
          <w:highlight w:val="none"/>
        </w:rPr>
        <w:t>4）商务条款中标</w:t>
      </w:r>
      <w:r>
        <w:rPr>
          <w:rFonts w:hint="eastAsia"/>
          <w:color w:val="auto"/>
          <w:spacing w:val="11"/>
          <w:sz w:val="21"/>
          <w:szCs w:val="21"/>
          <w:highlight w:val="none"/>
          <w:lang w:eastAsia="zh-CN"/>
        </w:rPr>
        <w:t>“</w:t>
      </w:r>
      <w:r>
        <w:rPr>
          <w:color w:val="auto"/>
          <w:spacing w:val="11"/>
          <w:sz w:val="21"/>
          <w:szCs w:val="21"/>
          <w:highlight w:val="none"/>
        </w:rPr>
        <w:t>▲</w:t>
      </w:r>
      <w:r>
        <w:rPr>
          <w:rFonts w:hint="eastAsia"/>
          <w:color w:val="auto"/>
          <w:spacing w:val="9"/>
          <w:sz w:val="21"/>
          <w:szCs w:val="21"/>
          <w:highlight w:val="none"/>
          <w:lang w:eastAsia="zh-CN"/>
        </w:rPr>
        <w:t>”</w:t>
      </w:r>
      <w:r>
        <w:rPr>
          <w:color w:val="auto"/>
          <w:spacing w:val="11"/>
          <w:sz w:val="21"/>
          <w:szCs w:val="21"/>
          <w:highlight w:val="none"/>
        </w:rPr>
        <w:t>的条款发生负偏离的或者允许负偏离</w:t>
      </w:r>
      <w:r>
        <w:rPr>
          <w:color w:val="auto"/>
          <w:spacing w:val="10"/>
          <w:sz w:val="21"/>
          <w:szCs w:val="21"/>
          <w:highlight w:val="none"/>
        </w:rPr>
        <w:t>的条款数超过</w:t>
      </w:r>
      <w:r>
        <w:rPr>
          <w:rFonts w:hint="eastAsia"/>
          <w:color w:val="auto"/>
          <w:spacing w:val="11"/>
          <w:sz w:val="21"/>
          <w:szCs w:val="21"/>
          <w:highlight w:val="none"/>
          <w:lang w:eastAsia="zh-CN"/>
        </w:rPr>
        <w:t>“</w:t>
      </w:r>
      <w:r>
        <w:rPr>
          <w:color w:val="auto"/>
          <w:spacing w:val="10"/>
          <w:sz w:val="21"/>
          <w:szCs w:val="21"/>
          <w:highlight w:val="none"/>
        </w:rPr>
        <w:t>供应商须知前附表</w:t>
      </w:r>
      <w:r>
        <w:rPr>
          <w:rFonts w:hint="eastAsia"/>
          <w:color w:val="auto"/>
          <w:spacing w:val="9"/>
          <w:sz w:val="21"/>
          <w:szCs w:val="21"/>
          <w:highlight w:val="none"/>
          <w:lang w:eastAsia="zh-CN"/>
        </w:rPr>
        <w:t>”</w:t>
      </w:r>
      <w:r>
        <w:rPr>
          <w:color w:val="auto"/>
          <w:spacing w:val="9"/>
          <w:sz w:val="21"/>
          <w:szCs w:val="21"/>
          <w:highlight w:val="none"/>
        </w:rPr>
        <w:t>规定项数的或者标明实质性的要求发生负偏</w:t>
      </w:r>
      <w:r>
        <w:rPr>
          <w:color w:val="auto"/>
          <w:spacing w:val="8"/>
          <w:sz w:val="21"/>
          <w:szCs w:val="21"/>
          <w:highlight w:val="none"/>
        </w:rPr>
        <w:t>离；</w:t>
      </w:r>
    </w:p>
    <w:p w14:paraId="4D76190E">
      <w:pPr>
        <w:pStyle w:val="10"/>
        <w:spacing w:before="161" w:line="228" w:lineRule="auto"/>
        <w:ind w:left="424"/>
        <w:rPr>
          <w:color w:val="auto"/>
          <w:sz w:val="21"/>
          <w:szCs w:val="21"/>
          <w:highlight w:val="none"/>
        </w:rPr>
      </w:pPr>
      <w:r>
        <w:rPr>
          <w:color w:val="auto"/>
          <w:spacing w:val="9"/>
          <w:sz w:val="21"/>
          <w:szCs w:val="21"/>
          <w:highlight w:val="none"/>
        </w:rPr>
        <w:t>5）未对竞标有效期作出响应或者响应文件承诺的竞标有效期不满足磋商文件要求；</w:t>
      </w:r>
    </w:p>
    <w:p w14:paraId="4D30EA4C">
      <w:pPr>
        <w:pStyle w:val="10"/>
        <w:spacing w:before="161" w:line="228" w:lineRule="auto"/>
        <w:ind w:left="421"/>
        <w:rPr>
          <w:color w:val="auto"/>
          <w:sz w:val="21"/>
          <w:szCs w:val="21"/>
          <w:highlight w:val="none"/>
        </w:rPr>
      </w:pPr>
      <w:r>
        <w:rPr>
          <w:color w:val="auto"/>
          <w:spacing w:val="9"/>
          <w:sz w:val="21"/>
          <w:szCs w:val="21"/>
          <w:highlight w:val="none"/>
        </w:rPr>
        <w:t>6）响应文件的实质性内容未使用中文表述、使用计量单位不符合磋商文件要求；</w:t>
      </w:r>
    </w:p>
    <w:p w14:paraId="73A02438">
      <w:pPr>
        <w:pStyle w:val="10"/>
        <w:spacing w:before="162" w:line="303" w:lineRule="auto"/>
        <w:ind w:left="5" w:right="148" w:firstLine="420"/>
        <w:rPr>
          <w:color w:val="auto"/>
          <w:sz w:val="21"/>
          <w:szCs w:val="21"/>
          <w:highlight w:val="none"/>
        </w:rPr>
      </w:pPr>
      <w:r>
        <w:rPr>
          <w:color w:val="auto"/>
          <w:spacing w:val="9"/>
          <w:sz w:val="21"/>
          <w:szCs w:val="21"/>
          <w:highlight w:val="none"/>
        </w:rPr>
        <w:t>7）响应文件中的文件资料因填写不齐全或</w:t>
      </w:r>
      <w:r>
        <w:rPr>
          <w:color w:val="auto"/>
          <w:spacing w:val="8"/>
          <w:sz w:val="21"/>
          <w:szCs w:val="21"/>
          <w:highlight w:val="none"/>
        </w:rPr>
        <w:t>者内容虚假或者出现其他情形而导致被磋商小组认定无</w:t>
      </w:r>
      <w:r>
        <w:rPr>
          <w:color w:val="auto"/>
          <w:spacing w:val="-3"/>
          <w:sz w:val="21"/>
          <w:szCs w:val="21"/>
          <w:highlight w:val="none"/>
        </w:rPr>
        <w:t>效；</w:t>
      </w:r>
    </w:p>
    <w:p w14:paraId="5F86232C">
      <w:pPr>
        <w:pStyle w:val="10"/>
        <w:spacing w:before="160" w:line="228" w:lineRule="auto"/>
        <w:ind w:left="420"/>
        <w:rPr>
          <w:color w:val="auto"/>
          <w:sz w:val="21"/>
          <w:szCs w:val="21"/>
          <w:highlight w:val="none"/>
        </w:rPr>
      </w:pPr>
      <w:r>
        <w:rPr>
          <w:color w:val="auto"/>
          <w:spacing w:val="8"/>
          <w:sz w:val="21"/>
          <w:szCs w:val="21"/>
          <w:highlight w:val="none"/>
        </w:rPr>
        <w:t>8）响应文件含有采购人不能接受的附加条件；</w:t>
      </w:r>
    </w:p>
    <w:p w14:paraId="55DE5ADE">
      <w:pPr>
        <w:pStyle w:val="10"/>
        <w:spacing w:before="161" w:line="228" w:lineRule="auto"/>
        <w:ind w:left="420"/>
        <w:rPr>
          <w:color w:val="auto"/>
          <w:sz w:val="21"/>
          <w:szCs w:val="21"/>
          <w:highlight w:val="none"/>
        </w:rPr>
      </w:pPr>
      <w:r>
        <w:rPr>
          <w:color w:val="auto"/>
          <w:spacing w:val="5"/>
          <w:sz w:val="21"/>
          <w:szCs w:val="21"/>
          <w:highlight w:val="none"/>
        </w:rPr>
        <w:t>9）属于</w:t>
      </w:r>
      <w:r>
        <w:rPr>
          <w:rFonts w:hint="eastAsia"/>
          <w:color w:val="auto"/>
          <w:spacing w:val="11"/>
          <w:sz w:val="21"/>
          <w:szCs w:val="21"/>
          <w:highlight w:val="none"/>
          <w:lang w:eastAsia="zh-CN"/>
        </w:rPr>
        <w:t>“</w:t>
      </w:r>
      <w:r>
        <w:rPr>
          <w:color w:val="auto"/>
          <w:spacing w:val="5"/>
          <w:sz w:val="21"/>
          <w:szCs w:val="21"/>
          <w:highlight w:val="none"/>
        </w:rPr>
        <w:t>供应商须知正文</w:t>
      </w:r>
      <w:r>
        <w:rPr>
          <w:rFonts w:hint="eastAsia"/>
          <w:color w:val="auto"/>
          <w:spacing w:val="9"/>
          <w:sz w:val="21"/>
          <w:szCs w:val="21"/>
          <w:highlight w:val="none"/>
          <w:lang w:eastAsia="zh-CN"/>
        </w:rPr>
        <w:t>”</w:t>
      </w:r>
      <w:r>
        <w:rPr>
          <w:color w:val="auto"/>
          <w:spacing w:val="5"/>
          <w:sz w:val="21"/>
          <w:szCs w:val="21"/>
          <w:highlight w:val="none"/>
        </w:rPr>
        <w:t>第</w:t>
      </w:r>
      <w:r>
        <w:rPr>
          <w:color w:val="auto"/>
          <w:spacing w:val="-34"/>
          <w:sz w:val="21"/>
          <w:szCs w:val="21"/>
          <w:highlight w:val="none"/>
        </w:rPr>
        <w:t xml:space="preserve"> </w:t>
      </w:r>
      <w:r>
        <w:rPr>
          <w:color w:val="auto"/>
          <w:spacing w:val="5"/>
          <w:sz w:val="21"/>
          <w:szCs w:val="21"/>
          <w:highlight w:val="none"/>
        </w:rPr>
        <w:t>7.5</w:t>
      </w:r>
      <w:r>
        <w:rPr>
          <w:color w:val="auto"/>
          <w:spacing w:val="-37"/>
          <w:sz w:val="21"/>
          <w:szCs w:val="21"/>
          <w:highlight w:val="none"/>
        </w:rPr>
        <w:t xml:space="preserve"> </w:t>
      </w:r>
      <w:r>
        <w:rPr>
          <w:color w:val="auto"/>
          <w:spacing w:val="5"/>
          <w:sz w:val="21"/>
          <w:szCs w:val="21"/>
          <w:highlight w:val="none"/>
        </w:rPr>
        <w:t>条情形；</w:t>
      </w:r>
    </w:p>
    <w:p w14:paraId="679FBDB9">
      <w:pPr>
        <w:pStyle w:val="10"/>
        <w:spacing w:before="161" w:line="228" w:lineRule="auto"/>
        <w:ind w:left="435"/>
        <w:rPr>
          <w:color w:val="auto"/>
          <w:sz w:val="21"/>
          <w:szCs w:val="21"/>
          <w:highlight w:val="none"/>
        </w:rPr>
      </w:pPr>
      <w:r>
        <w:rPr>
          <w:color w:val="auto"/>
          <w:spacing w:val="8"/>
          <w:sz w:val="21"/>
          <w:szCs w:val="21"/>
          <w:highlight w:val="none"/>
        </w:rPr>
        <w:t>10）技术需求允许负偏离的条款数超过</w:t>
      </w:r>
      <w:r>
        <w:rPr>
          <w:rFonts w:hint="eastAsia"/>
          <w:color w:val="auto"/>
          <w:spacing w:val="11"/>
          <w:sz w:val="21"/>
          <w:szCs w:val="21"/>
          <w:highlight w:val="none"/>
          <w:lang w:eastAsia="zh-CN"/>
        </w:rPr>
        <w:t>“</w:t>
      </w:r>
      <w:r>
        <w:rPr>
          <w:color w:val="auto"/>
          <w:spacing w:val="8"/>
          <w:sz w:val="21"/>
          <w:szCs w:val="21"/>
          <w:highlight w:val="none"/>
        </w:rPr>
        <w:t>供应商须</w:t>
      </w:r>
      <w:r>
        <w:rPr>
          <w:color w:val="auto"/>
          <w:spacing w:val="7"/>
          <w:sz w:val="21"/>
          <w:szCs w:val="21"/>
          <w:highlight w:val="none"/>
        </w:rPr>
        <w:t>知前附表</w:t>
      </w:r>
      <w:r>
        <w:rPr>
          <w:color w:val="auto"/>
          <w:spacing w:val="-70"/>
          <w:sz w:val="21"/>
          <w:szCs w:val="21"/>
          <w:highlight w:val="none"/>
        </w:rPr>
        <w:t xml:space="preserve"> </w:t>
      </w:r>
      <w:r>
        <w:rPr>
          <w:rFonts w:hint="eastAsia"/>
          <w:color w:val="auto"/>
          <w:spacing w:val="9"/>
          <w:sz w:val="21"/>
          <w:szCs w:val="21"/>
          <w:highlight w:val="none"/>
          <w:lang w:eastAsia="zh-CN"/>
        </w:rPr>
        <w:t>”</w:t>
      </w:r>
      <w:r>
        <w:rPr>
          <w:color w:val="auto"/>
          <w:spacing w:val="7"/>
          <w:sz w:val="21"/>
          <w:szCs w:val="21"/>
          <w:highlight w:val="none"/>
        </w:rPr>
        <w:t>规定项数；</w:t>
      </w:r>
    </w:p>
    <w:p w14:paraId="132EF981">
      <w:pPr>
        <w:pStyle w:val="10"/>
        <w:spacing w:before="163" w:line="228" w:lineRule="auto"/>
        <w:ind w:left="435"/>
        <w:rPr>
          <w:color w:val="auto"/>
          <w:sz w:val="21"/>
          <w:szCs w:val="21"/>
          <w:highlight w:val="none"/>
        </w:rPr>
      </w:pPr>
      <w:r>
        <w:rPr>
          <w:color w:val="auto"/>
          <w:spacing w:val="8"/>
          <w:sz w:val="21"/>
          <w:szCs w:val="21"/>
          <w:highlight w:val="none"/>
        </w:rPr>
        <w:t>11）虚假竞标，或者出现其他情形而导致被磋商小组认定无效；</w:t>
      </w:r>
    </w:p>
    <w:p w14:paraId="1E961564">
      <w:pPr>
        <w:pStyle w:val="10"/>
        <w:spacing w:before="162" w:line="228" w:lineRule="auto"/>
        <w:ind w:firstLine="464" w:firstLineChars="200"/>
        <w:rPr>
          <w:color w:val="auto"/>
          <w:sz w:val="21"/>
          <w:szCs w:val="21"/>
          <w:highlight w:val="none"/>
        </w:rPr>
      </w:pPr>
      <w:r>
        <w:rPr>
          <w:color w:val="auto"/>
          <w:spacing w:val="11"/>
          <w:sz w:val="21"/>
          <w:szCs w:val="21"/>
          <w:highlight w:val="none"/>
        </w:rPr>
        <w:t>12）竞标技术方案不明确，磋商文件未允许但响</w:t>
      </w:r>
      <w:r>
        <w:rPr>
          <w:color w:val="auto"/>
          <w:spacing w:val="10"/>
          <w:sz w:val="21"/>
          <w:szCs w:val="21"/>
          <w:highlight w:val="none"/>
        </w:rPr>
        <w:t>应文件中存在一个或者一个以上备选（替代）竞</w:t>
      </w:r>
      <w:r>
        <w:rPr>
          <w:color w:val="auto"/>
          <w:spacing w:val="4"/>
          <w:sz w:val="21"/>
          <w:szCs w:val="21"/>
          <w:highlight w:val="none"/>
        </w:rPr>
        <w:t>标方案；</w:t>
      </w:r>
    </w:p>
    <w:p w14:paraId="3A2FBA65">
      <w:pPr>
        <w:pStyle w:val="10"/>
        <w:spacing w:before="159" w:line="303" w:lineRule="auto"/>
        <w:ind w:left="1" w:right="72" w:firstLine="435"/>
        <w:rPr>
          <w:color w:val="auto"/>
          <w:sz w:val="21"/>
          <w:szCs w:val="21"/>
          <w:highlight w:val="none"/>
        </w:rPr>
      </w:pPr>
      <w:r>
        <w:rPr>
          <w:color w:val="auto"/>
          <w:spacing w:val="11"/>
          <w:sz w:val="21"/>
          <w:szCs w:val="21"/>
          <w:highlight w:val="none"/>
        </w:rPr>
        <w:t>13）响应文件标注的项目名称或者项目编号</w:t>
      </w:r>
      <w:r>
        <w:rPr>
          <w:color w:val="auto"/>
          <w:spacing w:val="10"/>
          <w:sz w:val="21"/>
          <w:szCs w:val="21"/>
          <w:highlight w:val="none"/>
        </w:rPr>
        <w:t>与竞争性磋商文件标注的项目名称或者项目编号不一</w:t>
      </w:r>
      <w:r>
        <w:rPr>
          <w:color w:val="auto"/>
          <w:spacing w:val="3"/>
          <w:sz w:val="21"/>
          <w:szCs w:val="21"/>
          <w:highlight w:val="none"/>
        </w:rPr>
        <w:t>致的；</w:t>
      </w:r>
    </w:p>
    <w:p w14:paraId="65193207">
      <w:pPr>
        <w:pStyle w:val="10"/>
        <w:spacing w:before="160" w:line="228" w:lineRule="auto"/>
        <w:ind w:left="437"/>
        <w:rPr>
          <w:color w:val="auto"/>
          <w:sz w:val="21"/>
          <w:szCs w:val="21"/>
          <w:highlight w:val="none"/>
        </w:rPr>
      </w:pPr>
      <w:r>
        <w:rPr>
          <w:color w:val="auto"/>
          <w:spacing w:val="7"/>
          <w:sz w:val="21"/>
          <w:szCs w:val="21"/>
          <w:highlight w:val="none"/>
        </w:rPr>
        <w:t>14）未响应磋商文件实质性要求；</w:t>
      </w:r>
    </w:p>
    <w:p w14:paraId="565ABDE5">
      <w:pPr>
        <w:pStyle w:val="10"/>
        <w:spacing w:before="163" w:line="228" w:lineRule="auto"/>
        <w:ind w:left="437"/>
        <w:rPr>
          <w:color w:val="auto"/>
          <w:sz w:val="21"/>
          <w:szCs w:val="21"/>
          <w:highlight w:val="none"/>
        </w:rPr>
      </w:pPr>
      <w:r>
        <w:rPr>
          <w:color w:val="auto"/>
          <w:spacing w:val="8"/>
          <w:sz w:val="21"/>
          <w:szCs w:val="21"/>
          <w:highlight w:val="none"/>
        </w:rPr>
        <w:t>15）法律、法规和磋商文件规定的其他无效情形。</w:t>
      </w:r>
    </w:p>
    <w:p w14:paraId="060A65D8">
      <w:pPr>
        <w:pStyle w:val="10"/>
        <w:spacing w:before="160" w:line="227" w:lineRule="auto"/>
        <w:ind w:left="431"/>
        <w:rPr>
          <w:color w:val="auto"/>
          <w:sz w:val="21"/>
          <w:szCs w:val="21"/>
          <w:highlight w:val="none"/>
        </w:rPr>
      </w:pPr>
      <w:r>
        <w:rPr>
          <w:color w:val="auto"/>
          <w:spacing w:val="6"/>
          <w:sz w:val="21"/>
          <w:szCs w:val="21"/>
          <w:highlight w:val="none"/>
        </w:rPr>
        <w:t>（2）报价评审</w:t>
      </w:r>
    </w:p>
    <w:p w14:paraId="6E9DFF9E">
      <w:pPr>
        <w:pStyle w:val="10"/>
        <w:spacing w:before="162" w:line="227" w:lineRule="auto"/>
        <w:jc w:val="right"/>
        <w:rPr>
          <w:color w:val="auto"/>
          <w:sz w:val="21"/>
          <w:szCs w:val="21"/>
          <w:highlight w:val="none"/>
        </w:rPr>
      </w:pPr>
      <w:r>
        <w:rPr>
          <w:color w:val="auto"/>
          <w:spacing w:val="2"/>
          <w:sz w:val="21"/>
          <w:szCs w:val="21"/>
          <w:highlight w:val="none"/>
        </w:rPr>
        <w:t>1) 响应文件未提供</w:t>
      </w:r>
      <w:r>
        <w:rPr>
          <w:rFonts w:hint="eastAsia"/>
          <w:color w:val="auto"/>
          <w:spacing w:val="11"/>
          <w:sz w:val="21"/>
          <w:szCs w:val="21"/>
          <w:highlight w:val="none"/>
          <w:lang w:eastAsia="zh-CN"/>
        </w:rPr>
        <w:t>“</w:t>
      </w:r>
      <w:r>
        <w:rPr>
          <w:color w:val="auto"/>
          <w:spacing w:val="2"/>
          <w:sz w:val="21"/>
          <w:szCs w:val="21"/>
          <w:highlight w:val="none"/>
        </w:rPr>
        <w:t>供应商须知前附表</w:t>
      </w:r>
      <w:r>
        <w:rPr>
          <w:color w:val="auto"/>
          <w:spacing w:val="-70"/>
          <w:sz w:val="21"/>
          <w:szCs w:val="21"/>
          <w:highlight w:val="none"/>
        </w:rPr>
        <w:t xml:space="preserve"> </w:t>
      </w:r>
      <w:r>
        <w:rPr>
          <w:rFonts w:hint="eastAsia"/>
          <w:color w:val="auto"/>
          <w:spacing w:val="9"/>
          <w:sz w:val="21"/>
          <w:szCs w:val="21"/>
          <w:highlight w:val="none"/>
          <w:lang w:eastAsia="zh-CN"/>
        </w:rPr>
        <w:t>”</w:t>
      </w:r>
      <w:r>
        <w:rPr>
          <w:color w:val="auto"/>
          <w:spacing w:val="2"/>
          <w:sz w:val="21"/>
          <w:szCs w:val="21"/>
          <w:highlight w:val="none"/>
        </w:rPr>
        <w:t>报价文件中规定的</w:t>
      </w:r>
      <w:r>
        <w:rPr>
          <w:rFonts w:hint="eastAsia"/>
          <w:color w:val="auto"/>
          <w:spacing w:val="11"/>
          <w:sz w:val="21"/>
          <w:szCs w:val="21"/>
          <w:highlight w:val="none"/>
          <w:lang w:eastAsia="zh-CN"/>
        </w:rPr>
        <w:t>“</w:t>
      </w:r>
      <w:r>
        <w:rPr>
          <w:color w:val="auto"/>
          <w:spacing w:val="2"/>
          <w:sz w:val="21"/>
          <w:szCs w:val="21"/>
          <w:highlight w:val="none"/>
        </w:rPr>
        <w:t>响应报价表、已标价工程量</w:t>
      </w:r>
      <w:r>
        <w:rPr>
          <w:color w:val="auto"/>
          <w:spacing w:val="1"/>
          <w:sz w:val="21"/>
          <w:szCs w:val="21"/>
          <w:highlight w:val="none"/>
        </w:rPr>
        <w:t>清单</w:t>
      </w:r>
      <w:r>
        <w:rPr>
          <w:rFonts w:hint="eastAsia"/>
          <w:color w:val="auto"/>
          <w:spacing w:val="9"/>
          <w:sz w:val="21"/>
          <w:szCs w:val="21"/>
          <w:highlight w:val="none"/>
          <w:lang w:eastAsia="zh-CN"/>
        </w:rPr>
        <w:t>”</w:t>
      </w:r>
      <w:r>
        <w:rPr>
          <w:color w:val="auto"/>
          <w:spacing w:val="1"/>
          <w:sz w:val="21"/>
          <w:szCs w:val="21"/>
          <w:highlight w:val="none"/>
        </w:rPr>
        <w:t>；</w:t>
      </w:r>
    </w:p>
    <w:p w14:paraId="75EE4FC3">
      <w:pPr>
        <w:pStyle w:val="10"/>
        <w:spacing w:before="162" w:line="227" w:lineRule="auto"/>
        <w:ind w:left="424"/>
        <w:rPr>
          <w:color w:val="auto"/>
          <w:sz w:val="21"/>
          <w:szCs w:val="21"/>
          <w:highlight w:val="none"/>
        </w:rPr>
      </w:pPr>
      <w:r>
        <w:rPr>
          <w:color w:val="auto"/>
          <w:spacing w:val="9"/>
          <w:sz w:val="21"/>
          <w:szCs w:val="21"/>
          <w:highlight w:val="none"/>
        </w:rPr>
        <w:t>2）未采用人民币报价或者未按照磋商文件标明的币种报价；</w:t>
      </w:r>
    </w:p>
    <w:p w14:paraId="7B0F822A">
      <w:pPr>
        <w:pStyle w:val="10"/>
        <w:spacing w:before="162" w:line="302" w:lineRule="auto"/>
        <w:ind w:left="1" w:right="71" w:firstLine="424"/>
        <w:rPr>
          <w:color w:val="auto"/>
          <w:sz w:val="21"/>
          <w:szCs w:val="21"/>
          <w:highlight w:val="none"/>
        </w:rPr>
      </w:pPr>
      <w:r>
        <w:rPr>
          <w:color w:val="auto"/>
          <w:spacing w:val="8"/>
          <w:sz w:val="21"/>
          <w:szCs w:val="21"/>
          <w:highlight w:val="none"/>
        </w:rPr>
        <w:t>3）供应商已标价工程量清单的项目名称或项目特征与招标工程量清单不一致，评审委员会要求澄</w:t>
      </w:r>
      <w:r>
        <w:rPr>
          <w:color w:val="auto"/>
          <w:spacing w:val="9"/>
          <w:sz w:val="21"/>
          <w:szCs w:val="21"/>
          <w:highlight w:val="none"/>
        </w:rPr>
        <w:t>清、说明或补正，但供应商拒绝澄清、说明或补正的；</w:t>
      </w:r>
    </w:p>
    <w:p w14:paraId="39B03032">
      <w:pPr>
        <w:pStyle w:val="10"/>
        <w:spacing w:before="163" w:line="327" w:lineRule="auto"/>
        <w:ind w:right="71" w:firstLine="420"/>
        <w:rPr>
          <w:color w:val="auto"/>
          <w:sz w:val="21"/>
          <w:szCs w:val="21"/>
          <w:highlight w:val="none"/>
        </w:rPr>
      </w:pPr>
      <w:r>
        <w:rPr>
          <w:color w:val="auto"/>
          <w:spacing w:val="9"/>
          <w:sz w:val="21"/>
          <w:szCs w:val="21"/>
          <w:highlight w:val="none"/>
        </w:rPr>
        <w:t>4）供应商未就所竞标分标进行报价或者存在漏项</w:t>
      </w:r>
      <w:r>
        <w:rPr>
          <w:color w:val="auto"/>
          <w:spacing w:val="8"/>
          <w:sz w:val="21"/>
          <w:szCs w:val="21"/>
          <w:highlight w:val="none"/>
        </w:rPr>
        <w:t>报价；供应商未就所竞标分标的单项内容作唯一</w:t>
      </w:r>
      <w:r>
        <w:rPr>
          <w:color w:val="auto"/>
          <w:spacing w:val="11"/>
          <w:sz w:val="21"/>
          <w:szCs w:val="21"/>
          <w:highlight w:val="none"/>
        </w:rPr>
        <w:t>报价；供应商未就所竞标分标的全部内容作唯一总价报价；供应商响应文件中存在有选择、有条件报</w:t>
      </w:r>
      <w:r>
        <w:rPr>
          <w:color w:val="auto"/>
          <w:spacing w:val="9"/>
          <w:sz w:val="21"/>
          <w:szCs w:val="21"/>
          <w:highlight w:val="none"/>
        </w:rPr>
        <w:t>价的（磋商文件允许有备选方案或者其他约定的除外</w:t>
      </w:r>
      <w:r>
        <w:rPr>
          <w:color w:val="auto"/>
          <w:spacing w:val="7"/>
          <w:sz w:val="21"/>
          <w:szCs w:val="21"/>
          <w:highlight w:val="none"/>
        </w:rPr>
        <w:t>）；</w:t>
      </w:r>
    </w:p>
    <w:p w14:paraId="1340F2D2">
      <w:pPr>
        <w:pStyle w:val="10"/>
        <w:spacing w:before="164" w:line="327" w:lineRule="auto"/>
        <w:ind w:left="2" w:right="69" w:firstLine="423"/>
        <w:rPr>
          <w:color w:val="auto"/>
          <w:sz w:val="21"/>
          <w:szCs w:val="21"/>
          <w:highlight w:val="none"/>
        </w:rPr>
      </w:pPr>
      <w:r>
        <w:rPr>
          <w:color w:val="auto"/>
          <w:spacing w:val="4"/>
          <w:sz w:val="21"/>
          <w:szCs w:val="21"/>
          <w:highlight w:val="none"/>
        </w:rPr>
        <w:t>5）响应报价（包含首次报价、最后报价）超过所竞标分标规定的采购预</w:t>
      </w:r>
      <w:r>
        <w:rPr>
          <w:color w:val="auto"/>
          <w:spacing w:val="3"/>
          <w:sz w:val="21"/>
          <w:szCs w:val="21"/>
          <w:highlight w:val="none"/>
        </w:rPr>
        <w:t>算金额或者最高限价的（如</w:t>
      </w:r>
      <w:r>
        <w:rPr>
          <w:color w:val="auto"/>
          <w:sz w:val="21"/>
          <w:szCs w:val="21"/>
          <w:highlight w:val="none"/>
        </w:rPr>
        <w:t xml:space="preserve"> </w:t>
      </w:r>
      <w:r>
        <w:rPr>
          <w:color w:val="auto"/>
          <w:spacing w:val="11"/>
          <w:sz w:val="21"/>
          <w:szCs w:val="21"/>
          <w:highlight w:val="none"/>
        </w:rPr>
        <w:t>本项目公布了最高限价</w:t>
      </w:r>
      <w:r>
        <w:rPr>
          <w:color w:val="auto"/>
          <w:spacing w:val="2"/>
          <w:sz w:val="21"/>
          <w:szCs w:val="21"/>
          <w:highlight w:val="none"/>
        </w:rPr>
        <w:t>）</w:t>
      </w:r>
      <w:r>
        <w:rPr>
          <w:color w:val="auto"/>
          <w:spacing w:val="-59"/>
          <w:sz w:val="21"/>
          <w:szCs w:val="21"/>
          <w:highlight w:val="none"/>
        </w:rPr>
        <w:t xml:space="preserve"> </w:t>
      </w:r>
      <w:r>
        <w:rPr>
          <w:color w:val="auto"/>
          <w:spacing w:val="2"/>
          <w:sz w:val="21"/>
          <w:szCs w:val="21"/>
          <w:highlight w:val="none"/>
        </w:rPr>
        <w:t>；</w:t>
      </w:r>
      <w:r>
        <w:rPr>
          <w:color w:val="auto"/>
          <w:spacing w:val="11"/>
          <w:sz w:val="21"/>
          <w:szCs w:val="21"/>
          <w:highlight w:val="none"/>
        </w:rPr>
        <w:t>响应报价（包含首次</w:t>
      </w:r>
      <w:r>
        <w:rPr>
          <w:color w:val="auto"/>
          <w:spacing w:val="10"/>
          <w:sz w:val="21"/>
          <w:szCs w:val="21"/>
          <w:highlight w:val="none"/>
        </w:rPr>
        <w:t>报价、最后报价）超过磋商文件分项采购预算金额或</w:t>
      </w:r>
      <w:r>
        <w:rPr>
          <w:color w:val="auto"/>
          <w:spacing w:val="9"/>
          <w:sz w:val="21"/>
          <w:szCs w:val="21"/>
          <w:highlight w:val="none"/>
        </w:rPr>
        <w:t>者最高限价的（如本项目公布了最高限价</w:t>
      </w:r>
      <w:r>
        <w:rPr>
          <w:color w:val="auto"/>
          <w:spacing w:val="2"/>
          <w:sz w:val="21"/>
          <w:szCs w:val="21"/>
          <w:highlight w:val="none"/>
        </w:rPr>
        <w:t>）；</w:t>
      </w:r>
    </w:p>
    <w:p w14:paraId="64D67D52">
      <w:pPr>
        <w:pStyle w:val="10"/>
        <w:spacing w:before="161" w:line="340" w:lineRule="auto"/>
        <w:ind w:right="71" w:firstLine="423"/>
        <w:rPr>
          <w:color w:val="auto"/>
          <w:sz w:val="21"/>
          <w:szCs w:val="21"/>
          <w:highlight w:val="none"/>
        </w:rPr>
      </w:pPr>
      <w:r>
        <w:rPr>
          <w:color w:val="auto"/>
          <w:spacing w:val="9"/>
          <w:sz w:val="21"/>
          <w:szCs w:val="21"/>
          <w:highlight w:val="none"/>
        </w:rPr>
        <w:t>6）修正后的报价，供应商不确认的；或者经</w:t>
      </w:r>
      <w:r>
        <w:rPr>
          <w:color w:val="auto"/>
          <w:spacing w:val="8"/>
          <w:sz w:val="21"/>
          <w:szCs w:val="21"/>
          <w:highlight w:val="none"/>
        </w:rPr>
        <w:t>供应商确认修正后的响应报价（包含首次报价、最后</w:t>
      </w:r>
      <w:r>
        <w:rPr>
          <w:color w:val="auto"/>
          <w:spacing w:val="11"/>
          <w:sz w:val="21"/>
          <w:szCs w:val="21"/>
          <w:highlight w:val="none"/>
        </w:rPr>
        <w:t>报价）超过所竞标分标规定的采购预算金额或者最高限价（如本项目公布</w:t>
      </w:r>
      <w:r>
        <w:rPr>
          <w:color w:val="auto"/>
          <w:spacing w:val="10"/>
          <w:sz w:val="21"/>
          <w:szCs w:val="21"/>
          <w:highlight w:val="none"/>
        </w:rPr>
        <w:t>了最高限价</w:t>
      </w:r>
      <w:r>
        <w:rPr>
          <w:color w:val="auto"/>
          <w:spacing w:val="17"/>
          <w:sz w:val="21"/>
          <w:szCs w:val="21"/>
          <w:highlight w:val="none"/>
        </w:rPr>
        <w:t>）；</w:t>
      </w:r>
      <w:r>
        <w:rPr>
          <w:color w:val="auto"/>
          <w:spacing w:val="10"/>
          <w:sz w:val="21"/>
          <w:szCs w:val="21"/>
          <w:highlight w:val="none"/>
        </w:rPr>
        <w:t>或者经供应</w:t>
      </w:r>
      <w:r>
        <w:rPr>
          <w:color w:val="auto"/>
          <w:spacing w:val="11"/>
          <w:sz w:val="21"/>
          <w:szCs w:val="21"/>
          <w:highlight w:val="none"/>
        </w:rPr>
        <w:t>商确认修正后响应报价（包含首次报价、最后报价）超过磋商文件分项采购预算金额或者最高限价的</w:t>
      </w:r>
      <w:r>
        <w:rPr>
          <w:color w:val="auto"/>
          <w:spacing w:val="9"/>
          <w:sz w:val="21"/>
          <w:szCs w:val="21"/>
          <w:highlight w:val="none"/>
        </w:rPr>
        <w:t>（如本项目公布了最高限价</w:t>
      </w:r>
      <w:r>
        <w:rPr>
          <w:color w:val="auto"/>
          <w:spacing w:val="1"/>
          <w:sz w:val="21"/>
          <w:szCs w:val="21"/>
          <w:highlight w:val="none"/>
        </w:rPr>
        <w:t>）；</w:t>
      </w:r>
    </w:p>
    <w:p w14:paraId="775A263C">
      <w:pPr>
        <w:pStyle w:val="10"/>
        <w:spacing w:before="162" w:line="228" w:lineRule="auto"/>
        <w:ind w:left="426"/>
        <w:rPr>
          <w:color w:val="auto"/>
          <w:sz w:val="21"/>
          <w:szCs w:val="21"/>
          <w:highlight w:val="none"/>
        </w:rPr>
      </w:pPr>
      <w:r>
        <w:rPr>
          <w:color w:val="auto"/>
          <w:spacing w:val="9"/>
          <w:sz w:val="21"/>
          <w:szCs w:val="21"/>
          <w:highlight w:val="none"/>
        </w:rPr>
        <w:t>7）响应文件响应的标的数量及单位与竞争性磋商采购文件要求实质性不一致的；</w:t>
      </w:r>
    </w:p>
    <w:p w14:paraId="7DF7EB21">
      <w:pPr>
        <w:pStyle w:val="10"/>
        <w:spacing w:before="162" w:line="228" w:lineRule="auto"/>
        <w:ind w:left="422"/>
        <w:rPr>
          <w:color w:val="auto"/>
          <w:sz w:val="21"/>
          <w:szCs w:val="21"/>
          <w:highlight w:val="none"/>
        </w:rPr>
      </w:pPr>
      <w:r>
        <w:rPr>
          <w:color w:val="auto"/>
          <w:spacing w:val="8"/>
          <w:sz w:val="21"/>
          <w:szCs w:val="21"/>
          <w:highlight w:val="none"/>
        </w:rPr>
        <w:t>8）未响应磋商文件实质性要求的。</w:t>
      </w:r>
    </w:p>
    <w:p w14:paraId="2968B71E">
      <w:pPr>
        <w:pStyle w:val="10"/>
        <w:spacing w:before="159" w:line="328" w:lineRule="auto"/>
        <w:ind w:right="71" w:firstLine="425"/>
        <w:rPr>
          <w:color w:val="auto"/>
          <w:sz w:val="21"/>
          <w:szCs w:val="21"/>
          <w:highlight w:val="none"/>
        </w:rPr>
      </w:pPr>
      <w:r>
        <w:rPr>
          <w:color w:val="auto"/>
          <w:spacing w:val="7"/>
          <w:sz w:val="21"/>
          <w:szCs w:val="21"/>
          <w:highlight w:val="none"/>
        </w:rPr>
        <w:t>3.6</w:t>
      </w:r>
      <w:r>
        <w:rPr>
          <w:color w:val="auto"/>
          <w:spacing w:val="-41"/>
          <w:sz w:val="21"/>
          <w:szCs w:val="21"/>
          <w:highlight w:val="none"/>
        </w:rPr>
        <w:t xml:space="preserve"> </w:t>
      </w:r>
      <w:r>
        <w:rPr>
          <w:color w:val="auto"/>
          <w:spacing w:val="7"/>
          <w:sz w:val="21"/>
          <w:szCs w:val="21"/>
          <w:highlight w:val="none"/>
        </w:rPr>
        <w:t>磋商小组对响应文件进行评审，未实质性响应磋商文件的响应文件按无效处理，磋</w:t>
      </w:r>
      <w:r>
        <w:rPr>
          <w:color w:val="auto"/>
          <w:spacing w:val="6"/>
          <w:sz w:val="21"/>
          <w:szCs w:val="21"/>
          <w:highlight w:val="none"/>
        </w:rPr>
        <w:t>商小组应当</w:t>
      </w:r>
      <w:r>
        <w:rPr>
          <w:color w:val="auto"/>
          <w:sz w:val="21"/>
          <w:szCs w:val="21"/>
          <w:highlight w:val="none"/>
        </w:rPr>
        <w:t xml:space="preserve"> </w:t>
      </w:r>
      <w:r>
        <w:rPr>
          <w:color w:val="auto"/>
          <w:spacing w:val="11"/>
          <w:sz w:val="21"/>
          <w:szCs w:val="21"/>
          <w:highlight w:val="none"/>
        </w:rPr>
        <w:t>将资格和符合性不通过的情况告知有关供应商。磋商小组从符合磋商文件规定的相应资格条件的供应</w:t>
      </w:r>
      <w:r>
        <w:rPr>
          <w:color w:val="auto"/>
          <w:spacing w:val="7"/>
          <w:sz w:val="21"/>
          <w:szCs w:val="21"/>
          <w:highlight w:val="none"/>
        </w:rPr>
        <w:t>商名单中确定不少于</w:t>
      </w:r>
      <w:r>
        <w:rPr>
          <w:color w:val="auto"/>
          <w:spacing w:val="-23"/>
          <w:sz w:val="21"/>
          <w:szCs w:val="21"/>
          <w:highlight w:val="none"/>
        </w:rPr>
        <w:t xml:space="preserve"> </w:t>
      </w:r>
      <w:r>
        <w:rPr>
          <w:color w:val="auto"/>
          <w:spacing w:val="7"/>
          <w:sz w:val="21"/>
          <w:szCs w:val="21"/>
          <w:highlight w:val="none"/>
        </w:rPr>
        <w:t>3</w:t>
      </w:r>
      <w:r>
        <w:rPr>
          <w:color w:val="auto"/>
          <w:spacing w:val="-36"/>
          <w:sz w:val="21"/>
          <w:szCs w:val="21"/>
          <w:highlight w:val="none"/>
        </w:rPr>
        <w:t xml:space="preserve"> </w:t>
      </w:r>
      <w:r>
        <w:rPr>
          <w:color w:val="auto"/>
          <w:spacing w:val="7"/>
          <w:sz w:val="21"/>
          <w:szCs w:val="21"/>
          <w:highlight w:val="none"/>
        </w:rPr>
        <w:t>家的供应商参加磋商。</w:t>
      </w:r>
    </w:p>
    <w:p w14:paraId="2DDB0587">
      <w:pPr>
        <w:pStyle w:val="10"/>
        <w:spacing w:before="161" w:line="340" w:lineRule="auto"/>
        <w:ind w:right="69" w:firstLine="425"/>
        <w:rPr>
          <w:color w:val="auto"/>
          <w:spacing w:val="8"/>
          <w:sz w:val="21"/>
          <w:szCs w:val="21"/>
          <w:highlight w:val="none"/>
        </w:rPr>
      </w:pPr>
      <w:r>
        <w:rPr>
          <w:color w:val="auto"/>
          <w:spacing w:val="6"/>
          <w:sz w:val="21"/>
          <w:szCs w:val="21"/>
          <w:highlight w:val="none"/>
        </w:rPr>
        <w:t>3.7</w:t>
      </w:r>
      <w:r>
        <w:rPr>
          <w:color w:val="auto"/>
          <w:spacing w:val="-29"/>
          <w:sz w:val="21"/>
          <w:szCs w:val="21"/>
          <w:highlight w:val="none"/>
        </w:rPr>
        <w:t xml:space="preserve"> </w:t>
      </w:r>
      <w:r>
        <w:rPr>
          <w:color w:val="auto"/>
          <w:spacing w:val="6"/>
          <w:sz w:val="21"/>
          <w:szCs w:val="21"/>
          <w:highlight w:val="none"/>
        </w:rPr>
        <w:t>非政府购买服务项目，通过符合性审查的合格供应商不足</w:t>
      </w:r>
      <w:r>
        <w:rPr>
          <w:color w:val="auto"/>
          <w:spacing w:val="-32"/>
          <w:sz w:val="21"/>
          <w:szCs w:val="21"/>
          <w:highlight w:val="none"/>
        </w:rPr>
        <w:t xml:space="preserve"> </w:t>
      </w:r>
      <w:r>
        <w:rPr>
          <w:color w:val="auto"/>
          <w:spacing w:val="6"/>
          <w:sz w:val="21"/>
          <w:szCs w:val="21"/>
          <w:highlight w:val="none"/>
        </w:rPr>
        <w:t>3</w:t>
      </w:r>
      <w:r>
        <w:rPr>
          <w:color w:val="auto"/>
          <w:spacing w:val="-39"/>
          <w:sz w:val="21"/>
          <w:szCs w:val="21"/>
          <w:highlight w:val="none"/>
        </w:rPr>
        <w:t xml:space="preserve"> </w:t>
      </w:r>
      <w:r>
        <w:rPr>
          <w:color w:val="auto"/>
          <w:spacing w:val="6"/>
          <w:sz w:val="21"/>
          <w:szCs w:val="21"/>
          <w:highlight w:val="none"/>
        </w:rPr>
        <w:t>家的，不得进入磋商环节，采购人</w:t>
      </w:r>
      <w:r>
        <w:rPr>
          <w:color w:val="auto"/>
          <w:spacing w:val="11"/>
          <w:sz w:val="21"/>
          <w:szCs w:val="21"/>
          <w:highlight w:val="none"/>
        </w:rPr>
        <w:t>或者采购代理机构应当重新开展采购活动。政府购买服务项目，按《财政部关于政府采购竞争性磋商</w:t>
      </w:r>
      <w:r>
        <w:rPr>
          <w:color w:val="auto"/>
          <w:spacing w:val="7"/>
          <w:sz w:val="21"/>
          <w:szCs w:val="21"/>
          <w:highlight w:val="none"/>
        </w:rPr>
        <w:t>采购方式管理暂行办法有关问题的补充通知》（财库〔2015〕124</w:t>
      </w:r>
      <w:r>
        <w:rPr>
          <w:color w:val="auto"/>
          <w:spacing w:val="-35"/>
          <w:sz w:val="21"/>
          <w:szCs w:val="21"/>
          <w:highlight w:val="none"/>
        </w:rPr>
        <w:t xml:space="preserve"> </w:t>
      </w:r>
      <w:r>
        <w:rPr>
          <w:color w:val="auto"/>
          <w:spacing w:val="7"/>
          <w:sz w:val="21"/>
          <w:szCs w:val="21"/>
          <w:highlight w:val="none"/>
        </w:rPr>
        <w:t>号）规定</w:t>
      </w:r>
      <w:r>
        <w:rPr>
          <w:color w:val="auto"/>
          <w:spacing w:val="6"/>
          <w:sz w:val="21"/>
          <w:szCs w:val="21"/>
          <w:highlight w:val="none"/>
        </w:rPr>
        <w:t>，采购过程中通过符合性审</w:t>
      </w:r>
      <w:r>
        <w:rPr>
          <w:color w:val="auto"/>
          <w:spacing w:val="8"/>
          <w:sz w:val="21"/>
          <w:szCs w:val="21"/>
          <w:highlight w:val="none"/>
        </w:rPr>
        <w:t>查的供应商（社会资本）只有</w:t>
      </w:r>
      <w:r>
        <w:rPr>
          <w:color w:val="auto"/>
          <w:spacing w:val="-24"/>
          <w:sz w:val="21"/>
          <w:szCs w:val="21"/>
          <w:highlight w:val="none"/>
        </w:rPr>
        <w:t xml:space="preserve"> </w:t>
      </w:r>
      <w:r>
        <w:rPr>
          <w:color w:val="auto"/>
          <w:spacing w:val="8"/>
          <w:sz w:val="21"/>
          <w:szCs w:val="21"/>
          <w:highlight w:val="none"/>
        </w:rPr>
        <w:t>2</w:t>
      </w:r>
      <w:r>
        <w:rPr>
          <w:color w:val="auto"/>
          <w:spacing w:val="-36"/>
          <w:sz w:val="21"/>
          <w:szCs w:val="21"/>
          <w:highlight w:val="none"/>
        </w:rPr>
        <w:t xml:space="preserve"> </w:t>
      </w:r>
      <w:r>
        <w:rPr>
          <w:color w:val="auto"/>
          <w:spacing w:val="8"/>
          <w:sz w:val="21"/>
          <w:szCs w:val="21"/>
          <w:highlight w:val="none"/>
        </w:rPr>
        <w:t>家的，磋商采购活动可以继续进行。</w:t>
      </w:r>
    </w:p>
    <w:p w14:paraId="37B8C639">
      <w:pPr>
        <w:pStyle w:val="10"/>
        <w:spacing w:before="161" w:line="340" w:lineRule="auto"/>
        <w:ind w:right="69" w:firstLine="425"/>
        <w:rPr>
          <w:color w:val="auto"/>
          <w:sz w:val="21"/>
          <w:szCs w:val="21"/>
          <w:highlight w:val="none"/>
        </w:rPr>
      </w:pPr>
      <w:r>
        <w:rPr>
          <w:b/>
          <w:bCs/>
          <w:color w:val="auto"/>
          <w:spacing w:val="-4"/>
          <w:sz w:val="21"/>
          <w:szCs w:val="21"/>
          <w:highlight w:val="none"/>
        </w:rPr>
        <w:t>4.磋商程序</w:t>
      </w:r>
    </w:p>
    <w:p w14:paraId="48259FC0">
      <w:pPr>
        <w:pStyle w:val="10"/>
        <w:spacing w:before="174" w:line="328" w:lineRule="auto"/>
        <w:ind w:left="1" w:right="71" w:firstLine="419"/>
        <w:rPr>
          <w:color w:val="auto"/>
          <w:sz w:val="21"/>
          <w:szCs w:val="21"/>
          <w:highlight w:val="none"/>
        </w:rPr>
      </w:pPr>
      <w:r>
        <w:rPr>
          <w:color w:val="auto"/>
          <w:spacing w:val="9"/>
          <w:sz w:val="21"/>
          <w:szCs w:val="21"/>
          <w:highlight w:val="none"/>
        </w:rPr>
        <w:t>4.1</w:t>
      </w:r>
      <w:r>
        <w:rPr>
          <w:color w:val="auto"/>
          <w:spacing w:val="-42"/>
          <w:sz w:val="21"/>
          <w:szCs w:val="21"/>
          <w:highlight w:val="none"/>
        </w:rPr>
        <w:t xml:space="preserve"> </w:t>
      </w:r>
      <w:r>
        <w:rPr>
          <w:color w:val="auto"/>
          <w:spacing w:val="9"/>
          <w:sz w:val="21"/>
          <w:szCs w:val="21"/>
          <w:highlight w:val="none"/>
        </w:rPr>
        <w:t>磋商小组按照</w:t>
      </w:r>
      <w:r>
        <w:rPr>
          <w:rFonts w:hint="eastAsia"/>
          <w:color w:val="auto"/>
          <w:spacing w:val="11"/>
          <w:sz w:val="21"/>
          <w:szCs w:val="21"/>
          <w:highlight w:val="none"/>
          <w:lang w:eastAsia="zh-CN"/>
        </w:rPr>
        <w:t>“</w:t>
      </w:r>
      <w:r>
        <w:rPr>
          <w:color w:val="auto"/>
          <w:spacing w:val="9"/>
          <w:sz w:val="21"/>
          <w:szCs w:val="21"/>
          <w:highlight w:val="none"/>
        </w:rPr>
        <w:t>供应商须知前附表</w:t>
      </w:r>
      <w:r>
        <w:rPr>
          <w:color w:val="auto"/>
          <w:spacing w:val="-70"/>
          <w:sz w:val="21"/>
          <w:szCs w:val="21"/>
          <w:highlight w:val="none"/>
        </w:rPr>
        <w:t xml:space="preserve"> </w:t>
      </w:r>
      <w:r>
        <w:rPr>
          <w:rFonts w:hint="eastAsia"/>
          <w:color w:val="auto"/>
          <w:spacing w:val="9"/>
          <w:sz w:val="21"/>
          <w:szCs w:val="21"/>
          <w:highlight w:val="none"/>
          <w:lang w:eastAsia="zh-CN"/>
        </w:rPr>
        <w:t>”</w:t>
      </w:r>
      <w:r>
        <w:rPr>
          <w:color w:val="auto"/>
          <w:spacing w:val="9"/>
          <w:sz w:val="21"/>
          <w:szCs w:val="21"/>
          <w:highlight w:val="none"/>
        </w:rPr>
        <w:t>确定的顺序，</w:t>
      </w:r>
      <w:r>
        <w:rPr>
          <w:color w:val="auto"/>
          <w:spacing w:val="8"/>
          <w:sz w:val="21"/>
          <w:szCs w:val="21"/>
          <w:highlight w:val="none"/>
        </w:rPr>
        <w:t>集中与单一供应商分别进行磋商，并给予</w:t>
      </w:r>
      <w:r>
        <w:rPr>
          <w:color w:val="auto"/>
          <w:spacing w:val="11"/>
          <w:sz w:val="21"/>
          <w:szCs w:val="21"/>
          <w:highlight w:val="none"/>
        </w:rPr>
        <w:t>所有参加磋商的供应商平等的磋商机会。符合磋商资格的供应商必须在接到磋商通知后规定时间内参</w:t>
      </w:r>
      <w:r>
        <w:rPr>
          <w:color w:val="auto"/>
          <w:spacing w:val="10"/>
          <w:sz w:val="21"/>
          <w:szCs w:val="21"/>
          <w:highlight w:val="none"/>
        </w:rPr>
        <w:t>加磋商，未在规定时间内参加磋商的视同放</w:t>
      </w:r>
      <w:r>
        <w:rPr>
          <w:color w:val="auto"/>
          <w:spacing w:val="9"/>
          <w:sz w:val="21"/>
          <w:szCs w:val="21"/>
          <w:highlight w:val="none"/>
        </w:rPr>
        <w:t>弃参加磋商权利，其响应文件按无效响应处理。</w:t>
      </w:r>
    </w:p>
    <w:p w14:paraId="59B98484">
      <w:pPr>
        <w:pStyle w:val="10"/>
        <w:spacing w:before="161" w:line="302" w:lineRule="auto"/>
        <w:ind w:left="3" w:firstLine="417"/>
        <w:rPr>
          <w:color w:val="auto"/>
          <w:sz w:val="21"/>
          <w:szCs w:val="21"/>
          <w:highlight w:val="none"/>
        </w:rPr>
      </w:pPr>
      <w:r>
        <w:rPr>
          <w:color w:val="auto"/>
          <w:spacing w:val="7"/>
          <w:sz w:val="21"/>
          <w:szCs w:val="21"/>
          <w:highlight w:val="none"/>
        </w:rPr>
        <w:t>4.2</w:t>
      </w:r>
      <w:r>
        <w:rPr>
          <w:color w:val="auto"/>
          <w:spacing w:val="-39"/>
          <w:sz w:val="21"/>
          <w:szCs w:val="21"/>
          <w:highlight w:val="none"/>
        </w:rPr>
        <w:t xml:space="preserve"> </w:t>
      </w:r>
      <w:r>
        <w:rPr>
          <w:color w:val="auto"/>
          <w:spacing w:val="7"/>
          <w:sz w:val="21"/>
          <w:szCs w:val="21"/>
          <w:highlight w:val="none"/>
        </w:rPr>
        <w:t>在磋商过程中，磋商小组可以根据磋商文件和磋商情况实质性变动采购需求中的技术、服务要</w:t>
      </w:r>
      <w:r>
        <w:rPr>
          <w:color w:val="auto"/>
          <w:spacing w:val="8"/>
          <w:sz w:val="21"/>
          <w:szCs w:val="21"/>
          <w:highlight w:val="none"/>
        </w:rPr>
        <w:t>求以及合同草案条款，但不得变动磋商文件中的其他内容。实质性变动的内容，须经采购人代</w:t>
      </w:r>
      <w:r>
        <w:rPr>
          <w:color w:val="auto"/>
          <w:spacing w:val="7"/>
          <w:sz w:val="21"/>
          <w:szCs w:val="21"/>
          <w:highlight w:val="none"/>
        </w:rPr>
        <w:t>表确认。</w:t>
      </w:r>
      <w:r>
        <w:rPr>
          <w:color w:val="auto"/>
          <w:spacing w:val="9"/>
          <w:sz w:val="21"/>
          <w:szCs w:val="21"/>
          <w:highlight w:val="none"/>
        </w:rPr>
        <w:t>可能实质性变动的内容为采购需求中的技术、服务要求以及合同草案条款。</w:t>
      </w:r>
    </w:p>
    <w:p w14:paraId="7D49F8E8">
      <w:pPr>
        <w:pStyle w:val="10"/>
        <w:spacing w:before="161" w:line="302" w:lineRule="auto"/>
        <w:ind w:left="21" w:firstLine="398"/>
        <w:rPr>
          <w:color w:val="auto"/>
          <w:sz w:val="21"/>
          <w:szCs w:val="21"/>
          <w:highlight w:val="none"/>
        </w:rPr>
      </w:pPr>
      <w:r>
        <w:rPr>
          <w:color w:val="auto"/>
          <w:spacing w:val="7"/>
          <w:sz w:val="21"/>
          <w:szCs w:val="21"/>
          <w:highlight w:val="none"/>
        </w:rPr>
        <w:t>4.3</w:t>
      </w:r>
      <w:r>
        <w:rPr>
          <w:color w:val="auto"/>
          <w:spacing w:val="-39"/>
          <w:sz w:val="21"/>
          <w:szCs w:val="21"/>
          <w:highlight w:val="none"/>
        </w:rPr>
        <w:t xml:space="preserve"> </w:t>
      </w:r>
      <w:r>
        <w:rPr>
          <w:color w:val="auto"/>
          <w:spacing w:val="7"/>
          <w:sz w:val="21"/>
          <w:szCs w:val="21"/>
          <w:highlight w:val="none"/>
        </w:rPr>
        <w:t>对磋商文件作出的实质性变动是磋商文件的有效组成部分，由磋商小组及时以电子澄清函形式同时通知所有参加磋商的供应商。</w:t>
      </w:r>
    </w:p>
    <w:p w14:paraId="0664FAFD">
      <w:pPr>
        <w:pStyle w:val="10"/>
        <w:spacing w:before="161" w:line="328" w:lineRule="auto"/>
        <w:ind w:left="1" w:right="2" w:firstLine="418"/>
        <w:rPr>
          <w:color w:val="auto"/>
          <w:sz w:val="21"/>
          <w:szCs w:val="21"/>
          <w:highlight w:val="none"/>
        </w:rPr>
      </w:pPr>
      <w:r>
        <w:rPr>
          <w:color w:val="auto"/>
          <w:spacing w:val="7"/>
          <w:sz w:val="21"/>
          <w:szCs w:val="21"/>
          <w:highlight w:val="none"/>
        </w:rPr>
        <w:t>4.4</w:t>
      </w:r>
      <w:r>
        <w:rPr>
          <w:color w:val="auto"/>
          <w:spacing w:val="-41"/>
          <w:sz w:val="21"/>
          <w:szCs w:val="21"/>
          <w:highlight w:val="none"/>
        </w:rPr>
        <w:t xml:space="preserve"> </w:t>
      </w:r>
      <w:r>
        <w:rPr>
          <w:color w:val="auto"/>
          <w:spacing w:val="7"/>
          <w:sz w:val="21"/>
          <w:szCs w:val="21"/>
          <w:highlight w:val="none"/>
        </w:rPr>
        <w:t>供应商必须按照磋商文件的变动情况和磋商小组的要求以回函的形式重新提交响应文件，并加</w:t>
      </w:r>
      <w:r>
        <w:rPr>
          <w:color w:val="auto"/>
          <w:spacing w:val="11"/>
          <w:sz w:val="21"/>
          <w:szCs w:val="21"/>
          <w:highlight w:val="none"/>
        </w:rPr>
        <w:t>盖电子公章。供应商为自然人的，必须由本人签字并附身份证明。参加磋商的供应商未在规定时间内</w:t>
      </w:r>
      <w:r>
        <w:rPr>
          <w:color w:val="auto"/>
          <w:spacing w:val="8"/>
          <w:sz w:val="21"/>
          <w:szCs w:val="21"/>
          <w:highlight w:val="none"/>
        </w:rPr>
        <w:t>重新提交响应文件的，视同退出磋商。</w:t>
      </w:r>
    </w:p>
    <w:p w14:paraId="5F75ED40">
      <w:pPr>
        <w:pStyle w:val="10"/>
        <w:spacing w:before="160" w:line="227" w:lineRule="auto"/>
        <w:ind w:left="420"/>
        <w:rPr>
          <w:color w:val="auto"/>
          <w:sz w:val="21"/>
          <w:szCs w:val="21"/>
          <w:highlight w:val="none"/>
        </w:rPr>
      </w:pPr>
      <w:r>
        <w:rPr>
          <w:color w:val="auto"/>
          <w:sz w:val="21"/>
          <w:szCs w:val="21"/>
          <w:highlight w:val="none"/>
        </w:rPr>
        <w:t>4.5</w:t>
      </w:r>
      <w:r>
        <w:rPr>
          <w:color w:val="auto"/>
          <w:spacing w:val="-41"/>
          <w:sz w:val="21"/>
          <w:szCs w:val="21"/>
          <w:highlight w:val="none"/>
        </w:rPr>
        <w:t xml:space="preserve"> </w:t>
      </w:r>
      <w:r>
        <w:rPr>
          <w:color w:val="auto"/>
          <w:sz w:val="21"/>
          <w:szCs w:val="21"/>
          <w:highlight w:val="none"/>
        </w:rPr>
        <w:t>磋商中，磋商的任何一方不得透露与磋商有关</w:t>
      </w:r>
      <w:r>
        <w:rPr>
          <w:color w:val="auto"/>
          <w:spacing w:val="-1"/>
          <w:sz w:val="21"/>
          <w:szCs w:val="21"/>
          <w:highlight w:val="none"/>
        </w:rPr>
        <w:t>的其他供应商的技术资料、价格和其他信息。</w:t>
      </w:r>
    </w:p>
    <w:p w14:paraId="04DA65DA">
      <w:pPr>
        <w:pStyle w:val="10"/>
        <w:spacing w:before="161" w:line="303" w:lineRule="auto"/>
        <w:ind w:left="1" w:firstLine="418"/>
        <w:rPr>
          <w:color w:val="auto"/>
          <w:sz w:val="21"/>
          <w:szCs w:val="21"/>
          <w:highlight w:val="none"/>
        </w:rPr>
      </w:pPr>
      <w:r>
        <w:rPr>
          <w:color w:val="auto"/>
          <w:spacing w:val="7"/>
          <w:sz w:val="21"/>
          <w:szCs w:val="21"/>
          <w:highlight w:val="none"/>
        </w:rPr>
        <w:t>4.6</w:t>
      </w:r>
      <w:r>
        <w:rPr>
          <w:color w:val="auto"/>
          <w:spacing w:val="-39"/>
          <w:sz w:val="21"/>
          <w:szCs w:val="21"/>
          <w:highlight w:val="none"/>
        </w:rPr>
        <w:t xml:space="preserve"> </w:t>
      </w:r>
      <w:r>
        <w:rPr>
          <w:color w:val="auto"/>
          <w:spacing w:val="7"/>
          <w:sz w:val="21"/>
          <w:szCs w:val="21"/>
          <w:highlight w:val="none"/>
        </w:rPr>
        <w:t>磋商小组应对磋商过程和重要磋商内容进行记录，作为评标报告一部分，磋商小组在记录上签字确认。</w:t>
      </w:r>
      <w:r>
        <w:rPr>
          <w:b/>
          <w:bCs/>
          <w:color w:val="auto"/>
          <w:spacing w:val="7"/>
          <w:sz w:val="21"/>
          <w:szCs w:val="21"/>
          <w:highlight w:val="none"/>
        </w:rPr>
        <w:t>主要内容包括：</w:t>
      </w:r>
    </w:p>
    <w:p w14:paraId="63A4DE9C">
      <w:pPr>
        <w:pStyle w:val="10"/>
        <w:spacing w:before="161" w:line="228" w:lineRule="auto"/>
        <w:ind w:left="406"/>
        <w:rPr>
          <w:color w:val="auto"/>
          <w:sz w:val="21"/>
          <w:szCs w:val="21"/>
          <w:highlight w:val="none"/>
        </w:rPr>
      </w:pPr>
      <w:r>
        <w:rPr>
          <w:color w:val="auto"/>
          <w:spacing w:val="-3"/>
          <w:sz w:val="21"/>
          <w:szCs w:val="21"/>
          <w:highlight w:val="none"/>
        </w:rPr>
        <w:t>（1）按照相关规定进行公示的，公示情况说明；</w:t>
      </w:r>
    </w:p>
    <w:p w14:paraId="39DADDB0">
      <w:pPr>
        <w:pStyle w:val="10"/>
        <w:spacing w:before="163" w:line="229" w:lineRule="auto"/>
        <w:ind w:left="406"/>
        <w:rPr>
          <w:color w:val="auto"/>
          <w:sz w:val="21"/>
          <w:szCs w:val="21"/>
          <w:highlight w:val="none"/>
        </w:rPr>
      </w:pPr>
      <w:r>
        <w:rPr>
          <w:color w:val="auto"/>
          <w:spacing w:val="-3"/>
          <w:sz w:val="21"/>
          <w:szCs w:val="21"/>
          <w:highlight w:val="none"/>
        </w:rPr>
        <w:t>（2）磋商日期和地点，磋商人员名单；</w:t>
      </w:r>
    </w:p>
    <w:p w14:paraId="0AF2EA82">
      <w:pPr>
        <w:pStyle w:val="10"/>
        <w:spacing w:before="159" w:line="227" w:lineRule="auto"/>
        <w:ind w:left="406"/>
        <w:rPr>
          <w:color w:val="auto"/>
          <w:sz w:val="21"/>
          <w:szCs w:val="21"/>
          <w:highlight w:val="none"/>
        </w:rPr>
      </w:pPr>
      <w:r>
        <w:rPr>
          <w:color w:val="auto"/>
          <w:spacing w:val="-3"/>
          <w:sz w:val="21"/>
          <w:szCs w:val="21"/>
          <w:highlight w:val="none"/>
        </w:rPr>
        <w:t>（3）合同主要条款及价格商定情况。</w:t>
      </w:r>
    </w:p>
    <w:p w14:paraId="2D962B41">
      <w:pPr>
        <w:pStyle w:val="10"/>
        <w:spacing w:before="162" w:line="228" w:lineRule="auto"/>
        <w:ind w:firstLine="456" w:firstLineChars="200"/>
        <w:rPr>
          <w:color w:val="auto"/>
          <w:sz w:val="21"/>
          <w:szCs w:val="21"/>
          <w:highlight w:val="none"/>
        </w:rPr>
      </w:pPr>
      <w:r>
        <w:rPr>
          <w:color w:val="auto"/>
          <w:spacing w:val="9"/>
          <w:sz w:val="21"/>
          <w:szCs w:val="21"/>
          <w:highlight w:val="none"/>
        </w:rPr>
        <w:t>4.7</w:t>
      </w:r>
      <w:r>
        <w:rPr>
          <w:color w:val="auto"/>
          <w:spacing w:val="-41"/>
          <w:sz w:val="21"/>
          <w:szCs w:val="21"/>
          <w:highlight w:val="none"/>
        </w:rPr>
        <w:t xml:space="preserve"> </w:t>
      </w:r>
      <w:r>
        <w:rPr>
          <w:color w:val="auto"/>
          <w:spacing w:val="9"/>
          <w:sz w:val="21"/>
          <w:szCs w:val="21"/>
          <w:highlight w:val="none"/>
        </w:rPr>
        <w:t>磋商过程中重新提交的响应文件，供应商可以在</w:t>
      </w:r>
      <w:r>
        <w:rPr>
          <w:color w:val="auto"/>
          <w:spacing w:val="8"/>
          <w:sz w:val="21"/>
          <w:szCs w:val="21"/>
          <w:highlight w:val="none"/>
        </w:rPr>
        <w:t>开启前补充、修改。</w:t>
      </w:r>
    </w:p>
    <w:p w14:paraId="51D0A115">
      <w:pPr>
        <w:pStyle w:val="10"/>
        <w:spacing w:before="161" w:line="228" w:lineRule="auto"/>
        <w:ind w:firstLine="448" w:firstLineChars="200"/>
        <w:jc w:val="both"/>
        <w:rPr>
          <w:color w:val="auto"/>
          <w:sz w:val="21"/>
          <w:szCs w:val="21"/>
          <w:highlight w:val="none"/>
        </w:rPr>
      </w:pPr>
      <w:r>
        <w:rPr>
          <w:color w:val="auto"/>
          <w:spacing w:val="7"/>
          <w:sz w:val="21"/>
          <w:szCs w:val="21"/>
          <w:highlight w:val="none"/>
        </w:rPr>
        <w:t>4.8</w:t>
      </w:r>
      <w:r>
        <w:rPr>
          <w:color w:val="auto"/>
          <w:spacing w:val="-39"/>
          <w:sz w:val="21"/>
          <w:szCs w:val="21"/>
          <w:highlight w:val="none"/>
        </w:rPr>
        <w:t xml:space="preserve"> </w:t>
      </w:r>
      <w:r>
        <w:rPr>
          <w:color w:val="auto"/>
          <w:spacing w:val="7"/>
          <w:sz w:val="21"/>
          <w:szCs w:val="21"/>
          <w:highlight w:val="none"/>
        </w:rPr>
        <w:t>对磋商过程提交的响应文件进行有效性、完整性和响应程度审查，通过审查的合格供应商不足</w:t>
      </w:r>
      <w:r>
        <w:rPr>
          <w:color w:val="auto"/>
          <w:spacing w:val="8"/>
          <w:sz w:val="21"/>
          <w:szCs w:val="21"/>
          <w:highlight w:val="none"/>
        </w:rPr>
        <w:t>3</w:t>
      </w:r>
      <w:r>
        <w:rPr>
          <w:color w:val="auto"/>
          <w:spacing w:val="-26"/>
          <w:sz w:val="21"/>
          <w:szCs w:val="21"/>
          <w:highlight w:val="none"/>
        </w:rPr>
        <w:t xml:space="preserve"> </w:t>
      </w:r>
      <w:r>
        <w:rPr>
          <w:color w:val="auto"/>
          <w:spacing w:val="8"/>
          <w:sz w:val="21"/>
          <w:szCs w:val="21"/>
          <w:highlight w:val="none"/>
        </w:rPr>
        <w:t>家的，采购人或者采购代理机构应当重新开展采购活动。</w:t>
      </w:r>
    </w:p>
    <w:p w14:paraId="11801C76">
      <w:pPr>
        <w:pStyle w:val="10"/>
        <w:spacing w:before="166" w:line="219" w:lineRule="auto"/>
        <w:ind w:left="426"/>
        <w:rPr>
          <w:color w:val="auto"/>
          <w:sz w:val="21"/>
          <w:szCs w:val="21"/>
          <w:highlight w:val="none"/>
        </w:rPr>
      </w:pPr>
      <w:r>
        <w:rPr>
          <w:b/>
          <w:bCs/>
          <w:color w:val="auto"/>
          <w:spacing w:val="-5"/>
          <w:sz w:val="21"/>
          <w:szCs w:val="21"/>
          <w:highlight w:val="none"/>
        </w:rPr>
        <w:t>5.最后报价</w:t>
      </w:r>
    </w:p>
    <w:p w14:paraId="6A615709">
      <w:pPr>
        <w:pStyle w:val="10"/>
        <w:spacing w:before="175" w:line="328" w:lineRule="auto"/>
        <w:ind w:left="1" w:firstLine="423"/>
        <w:rPr>
          <w:color w:val="auto"/>
          <w:sz w:val="21"/>
          <w:szCs w:val="21"/>
          <w:highlight w:val="none"/>
        </w:rPr>
      </w:pPr>
      <w:r>
        <w:rPr>
          <w:color w:val="auto"/>
          <w:spacing w:val="7"/>
          <w:sz w:val="21"/>
          <w:szCs w:val="21"/>
          <w:highlight w:val="none"/>
        </w:rPr>
        <w:t>5.1</w:t>
      </w:r>
      <w:r>
        <w:rPr>
          <w:color w:val="auto"/>
          <w:spacing w:val="-41"/>
          <w:sz w:val="21"/>
          <w:szCs w:val="21"/>
          <w:highlight w:val="none"/>
        </w:rPr>
        <w:t xml:space="preserve"> </w:t>
      </w:r>
      <w:r>
        <w:rPr>
          <w:color w:val="auto"/>
          <w:spacing w:val="7"/>
          <w:sz w:val="21"/>
          <w:szCs w:val="21"/>
          <w:highlight w:val="none"/>
        </w:rPr>
        <w:t>磋商文件能够详细列明采购标的的技术、服务要求的，磋商结束后，由磋商小组要求所</w:t>
      </w:r>
      <w:r>
        <w:rPr>
          <w:color w:val="auto"/>
          <w:spacing w:val="6"/>
          <w:sz w:val="21"/>
          <w:szCs w:val="21"/>
          <w:highlight w:val="none"/>
        </w:rPr>
        <w:t>有继续</w:t>
      </w:r>
      <w:r>
        <w:rPr>
          <w:color w:val="auto"/>
          <w:spacing w:val="10"/>
          <w:sz w:val="21"/>
          <w:szCs w:val="21"/>
          <w:highlight w:val="none"/>
        </w:rPr>
        <w:t>参加磋商的供应商在规定时间内密封提交最后报价，除本章第</w:t>
      </w:r>
      <w:r>
        <w:rPr>
          <w:color w:val="auto"/>
          <w:spacing w:val="-27"/>
          <w:sz w:val="21"/>
          <w:szCs w:val="21"/>
          <w:highlight w:val="none"/>
        </w:rPr>
        <w:t xml:space="preserve"> </w:t>
      </w:r>
      <w:r>
        <w:rPr>
          <w:color w:val="auto"/>
          <w:spacing w:val="10"/>
          <w:sz w:val="21"/>
          <w:szCs w:val="21"/>
          <w:highlight w:val="none"/>
        </w:rPr>
        <w:t>5.3</w:t>
      </w:r>
      <w:r>
        <w:rPr>
          <w:color w:val="auto"/>
          <w:spacing w:val="-38"/>
          <w:sz w:val="21"/>
          <w:szCs w:val="21"/>
          <w:highlight w:val="none"/>
        </w:rPr>
        <w:t xml:space="preserve"> </w:t>
      </w:r>
      <w:r>
        <w:rPr>
          <w:color w:val="auto"/>
          <w:spacing w:val="10"/>
          <w:sz w:val="21"/>
          <w:szCs w:val="21"/>
          <w:highlight w:val="none"/>
        </w:rPr>
        <w:t>条外，提交最后报价的供应商不得</w:t>
      </w:r>
      <w:r>
        <w:rPr>
          <w:color w:val="auto"/>
          <w:spacing w:val="6"/>
          <w:sz w:val="21"/>
          <w:szCs w:val="21"/>
          <w:highlight w:val="none"/>
        </w:rPr>
        <w:t>少于</w:t>
      </w:r>
      <w:r>
        <w:rPr>
          <w:color w:val="auto"/>
          <w:spacing w:val="-29"/>
          <w:sz w:val="21"/>
          <w:szCs w:val="21"/>
          <w:highlight w:val="none"/>
        </w:rPr>
        <w:t xml:space="preserve"> </w:t>
      </w:r>
      <w:r>
        <w:rPr>
          <w:color w:val="auto"/>
          <w:spacing w:val="6"/>
          <w:sz w:val="21"/>
          <w:szCs w:val="21"/>
          <w:highlight w:val="none"/>
        </w:rPr>
        <w:t>3</w:t>
      </w:r>
      <w:r>
        <w:rPr>
          <w:color w:val="auto"/>
          <w:spacing w:val="-37"/>
          <w:sz w:val="21"/>
          <w:szCs w:val="21"/>
          <w:highlight w:val="none"/>
        </w:rPr>
        <w:t xml:space="preserve"> </w:t>
      </w:r>
      <w:r>
        <w:rPr>
          <w:color w:val="auto"/>
          <w:spacing w:val="6"/>
          <w:sz w:val="21"/>
          <w:szCs w:val="21"/>
          <w:highlight w:val="none"/>
        </w:rPr>
        <w:t>家，否则必须重新采购。</w:t>
      </w:r>
    </w:p>
    <w:p w14:paraId="14DA6BBD">
      <w:pPr>
        <w:pStyle w:val="10"/>
        <w:spacing w:before="163" w:line="327" w:lineRule="auto"/>
        <w:ind w:firstLine="425"/>
        <w:rPr>
          <w:color w:val="auto"/>
          <w:sz w:val="21"/>
          <w:szCs w:val="21"/>
          <w:highlight w:val="none"/>
        </w:rPr>
      </w:pPr>
      <w:r>
        <w:rPr>
          <w:color w:val="auto"/>
          <w:spacing w:val="7"/>
          <w:sz w:val="21"/>
          <w:szCs w:val="21"/>
          <w:highlight w:val="none"/>
        </w:rPr>
        <w:t>5.2</w:t>
      </w:r>
      <w:r>
        <w:rPr>
          <w:color w:val="auto"/>
          <w:spacing w:val="-42"/>
          <w:sz w:val="21"/>
          <w:szCs w:val="21"/>
          <w:highlight w:val="none"/>
        </w:rPr>
        <w:t xml:space="preserve"> </w:t>
      </w:r>
      <w:r>
        <w:rPr>
          <w:color w:val="auto"/>
          <w:spacing w:val="7"/>
          <w:sz w:val="21"/>
          <w:szCs w:val="21"/>
          <w:highlight w:val="none"/>
        </w:rPr>
        <w:t>磋商文件不能详细列明采购标的的技术、服务要求，需经磋商由供应商提供最后设</w:t>
      </w:r>
      <w:r>
        <w:rPr>
          <w:color w:val="auto"/>
          <w:spacing w:val="6"/>
          <w:sz w:val="21"/>
          <w:szCs w:val="21"/>
          <w:highlight w:val="none"/>
        </w:rPr>
        <w:t>计方案或者</w:t>
      </w:r>
      <w:r>
        <w:rPr>
          <w:color w:val="auto"/>
          <w:spacing w:val="10"/>
          <w:sz w:val="21"/>
          <w:szCs w:val="21"/>
          <w:highlight w:val="none"/>
        </w:rPr>
        <w:t>解决方案的，磋商结束后，</w:t>
      </w:r>
      <w:r>
        <w:rPr>
          <w:color w:val="auto"/>
          <w:spacing w:val="-60"/>
          <w:sz w:val="21"/>
          <w:szCs w:val="21"/>
          <w:highlight w:val="none"/>
        </w:rPr>
        <w:t xml:space="preserve"> </w:t>
      </w:r>
      <w:r>
        <w:rPr>
          <w:color w:val="auto"/>
          <w:spacing w:val="10"/>
          <w:sz w:val="21"/>
          <w:szCs w:val="21"/>
          <w:highlight w:val="none"/>
        </w:rPr>
        <w:t>由磋商小组按照少数</w:t>
      </w:r>
      <w:r>
        <w:rPr>
          <w:color w:val="auto"/>
          <w:spacing w:val="9"/>
          <w:sz w:val="21"/>
          <w:szCs w:val="21"/>
          <w:highlight w:val="none"/>
        </w:rPr>
        <w:t>服从多数的原则投票推荐</w:t>
      </w:r>
      <w:r>
        <w:rPr>
          <w:color w:val="auto"/>
          <w:spacing w:val="-34"/>
          <w:sz w:val="21"/>
          <w:szCs w:val="21"/>
          <w:highlight w:val="none"/>
        </w:rPr>
        <w:t xml:space="preserve"> </w:t>
      </w:r>
      <w:r>
        <w:rPr>
          <w:color w:val="auto"/>
          <w:spacing w:val="9"/>
          <w:sz w:val="21"/>
          <w:szCs w:val="21"/>
          <w:highlight w:val="none"/>
        </w:rPr>
        <w:t>3</w:t>
      </w:r>
      <w:r>
        <w:rPr>
          <w:color w:val="auto"/>
          <w:spacing w:val="-34"/>
          <w:sz w:val="21"/>
          <w:szCs w:val="21"/>
          <w:highlight w:val="none"/>
        </w:rPr>
        <w:t xml:space="preserve"> </w:t>
      </w:r>
      <w:r>
        <w:rPr>
          <w:color w:val="auto"/>
          <w:spacing w:val="9"/>
          <w:sz w:val="21"/>
          <w:szCs w:val="21"/>
          <w:highlight w:val="none"/>
        </w:rPr>
        <w:t>家以上供应商的设计方案或者解决方案，并要求其在规定时间内密封提交最后报价。</w:t>
      </w:r>
    </w:p>
    <w:p w14:paraId="0158E6D6">
      <w:pPr>
        <w:pStyle w:val="10"/>
        <w:spacing w:before="162" w:line="327" w:lineRule="auto"/>
        <w:ind w:left="1" w:firstLine="423"/>
        <w:rPr>
          <w:color w:val="auto"/>
          <w:sz w:val="21"/>
          <w:szCs w:val="21"/>
          <w:highlight w:val="none"/>
        </w:rPr>
      </w:pPr>
      <w:r>
        <w:rPr>
          <w:color w:val="auto"/>
          <w:spacing w:val="11"/>
          <w:sz w:val="21"/>
          <w:szCs w:val="21"/>
          <w:highlight w:val="none"/>
        </w:rPr>
        <w:t>5.3 最后报价是供应商响应文件的有效组成部分。</w:t>
      </w:r>
      <w:r>
        <w:rPr>
          <w:color w:val="auto"/>
          <w:spacing w:val="10"/>
          <w:sz w:val="21"/>
          <w:szCs w:val="21"/>
          <w:highlight w:val="none"/>
        </w:rPr>
        <w:t>符合《政府采购竞争性磋商采购方式管理暂行</w:t>
      </w:r>
      <w:r>
        <w:rPr>
          <w:color w:val="auto"/>
          <w:spacing w:val="7"/>
          <w:sz w:val="21"/>
          <w:szCs w:val="21"/>
          <w:highlight w:val="none"/>
        </w:rPr>
        <w:t>办法》（财库〔2014〕214</w:t>
      </w:r>
      <w:r>
        <w:rPr>
          <w:color w:val="auto"/>
          <w:spacing w:val="-36"/>
          <w:sz w:val="21"/>
          <w:szCs w:val="21"/>
          <w:highlight w:val="none"/>
        </w:rPr>
        <w:t xml:space="preserve"> </w:t>
      </w:r>
      <w:r>
        <w:rPr>
          <w:color w:val="auto"/>
          <w:spacing w:val="7"/>
          <w:sz w:val="21"/>
          <w:szCs w:val="21"/>
          <w:highlight w:val="none"/>
        </w:rPr>
        <w:t>号）第三条第四项</w:t>
      </w:r>
      <w:r>
        <w:rPr>
          <w:rFonts w:hint="eastAsia"/>
          <w:color w:val="auto"/>
          <w:spacing w:val="11"/>
          <w:sz w:val="21"/>
          <w:szCs w:val="21"/>
          <w:highlight w:val="none"/>
          <w:lang w:eastAsia="zh-CN"/>
        </w:rPr>
        <w:t>“</w:t>
      </w:r>
      <w:r>
        <w:rPr>
          <w:color w:val="auto"/>
          <w:spacing w:val="7"/>
          <w:sz w:val="21"/>
          <w:szCs w:val="21"/>
          <w:highlight w:val="none"/>
        </w:rPr>
        <w:t>市场竞争不充分的科研项</w:t>
      </w:r>
      <w:r>
        <w:rPr>
          <w:color w:val="auto"/>
          <w:spacing w:val="6"/>
          <w:sz w:val="21"/>
          <w:szCs w:val="21"/>
          <w:highlight w:val="none"/>
        </w:rPr>
        <w:t>目，以及需要扶持的科技成果转化项目</w:t>
      </w:r>
      <w:r>
        <w:rPr>
          <w:color w:val="auto"/>
          <w:spacing w:val="-55"/>
          <w:sz w:val="21"/>
          <w:szCs w:val="21"/>
          <w:highlight w:val="none"/>
        </w:rPr>
        <w:t xml:space="preserve"> </w:t>
      </w:r>
      <w:r>
        <w:rPr>
          <w:rFonts w:hint="eastAsia"/>
          <w:color w:val="auto"/>
          <w:spacing w:val="9"/>
          <w:sz w:val="21"/>
          <w:szCs w:val="21"/>
          <w:highlight w:val="none"/>
          <w:lang w:eastAsia="zh-CN"/>
        </w:rPr>
        <w:t>”</w:t>
      </w:r>
      <w:r>
        <w:rPr>
          <w:color w:val="auto"/>
          <w:spacing w:val="6"/>
          <w:sz w:val="21"/>
          <w:szCs w:val="21"/>
          <w:highlight w:val="none"/>
        </w:rPr>
        <w:t>的，提交最后报价的供应商可以为</w:t>
      </w:r>
      <w:r>
        <w:rPr>
          <w:color w:val="auto"/>
          <w:spacing w:val="-37"/>
          <w:sz w:val="21"/>
          <w:szCs w:val="21"/>
          <w:highlight w:val="none"/>
        </w:rPr>
        <w:t xml:space="preserve"> </w:t>
      </w:r>
      <w:r>
        <w:rPr>
          <w:color w:val="auto"/>
          <w:spacing w:val="6"/>
          <w:sz w:val="21"/>
          <w:szCs w:val="21"/>
          <w:highlight w:val="none"/>
        </w:rPr>
        <w:t>2</w:t>
      </w:r>
      <w:r>
        <w:rPr>
          <w:color w:val="auto"/>
          <w:spacing w:val="-36"/>
          <w:sz w:val="21"/>
          <w:szCs w:val="21"/>
          <w:highlight w:val="none"/>
        </w:rPr>
        <w:t xml:space="preserve"> </w:t>
      </w:r>
      <w:r>
        <w:rPr>
          <w:color w:val="auto"/>
          <w:spacing w:val="6"/>
          <w:sz w:val="21"/>
          <w:szCs w:val="21"/>
          <w:highlight w:val="none"/>
        </w:rPr>
        <w:t>家。</w:t>
      </w:r>
    </w:p>
    <w:p w14:paraId="750C78F4">
      <w:pPr>
        <w:pStyle w:val="10"/>
        <w:spacing w:before="162" w:line="302" w:lineRule="auto"/>
        <w:ind w:firstLine="424"/>
        <w:rPr>
          <w:color w:val="auto"/>
          <w:sz w:val="21"/>
          <w:szCs w:val="21"/>
          <w:highlight w:val="none"/>
        </w:rPr>
      </w:pPr>
      <w:r>
        <w:rPr>
          <w:color w:val="auto"/>
          <w:spacing w:val="6"/>
          <w:sz w:val="21"/>
          <w:szCs w:val="21"/>
          <w:highlight w:val="none"/>
        </w:rPr>
        <w:t>5.4</w:t>
      </w:r>
      <w:r>
        <w:rPr>
          <w:color w:val="auto"/>
          <w:sz w:val="21"/>
          <w:szCs w:val="21"/>
          <w:highlight w:val="none"/>
        </w:rPr>
        <w:t xml:space="preserve"> </w:t>
      </w:r>
      <w:r>
        <w:rPr>
          <w:color w:val="auto"/>
          <w:spacing w:val="6"/>
          <w:sz w:val="21"/>
          <w:szCs w:val="21"/>
          <w:highlight w:val="none"/>
        </w:rPr>
        <w:t>已经提交响应文件的供应商，在提交最后报价之前，可以根据磋商情况退出磋商，退出磋商的</w:t>
      </w:r>
      <w:r>
        <w:rPr>
          <w:color w:val="auto"/>
          <w:spacing w:val="8"/>
          <w:sz w:val="21"/>
          <w:szCs w:val="21"/>
          <w:highlight w:val="none"/>
        </w:rPr>
        <w:t>供应商的响应文件按无效响应处理。</w:t>
      </w:r>
    </w:p>
    <w:p w14:paraId="0A9A00D3">
      <w:pPr>
        <w:pStyle w:val="10"/>
        <w:spacing w:before="164" w:line="227" w:lineRule="auto"/>
        <w:ind w:left="425"/>
        <w:rPr>
          <w:color w:val="auto"/>
          <w:sz w:val="21"/>
          <w:szCs w:val="21"/>
          <w:highlight w:val="none"/>
        </w:rPr>
      </w:pPr>
      <w:r>
        <w:rPr>
          <w:color w:val="auto"/>
          <w:spacing w:val="8"/>
          <w:sz w:val="21"/>
          <w:szCs w:val="21"/>
          <w:highlight w:val="none"/>
        </w:rPr>
        <w:t>5.5</w:t>
      </w:r>
      <w:r>
        <w:rPr>
          <w:color w:val="auto"/>
          <w:spacing w:val="-33"/>
          <w:sz w:val="21"/>
          <w:szCs w:val="21"/>
          <w:highlight w:val="none"/>
        </w:rPr>
        <w:t xml:space="preserve"> </w:t>
      </w:r>
      <w:r>
        <w:rPr>
          <w:color w:val="auto"/>
          <w:spacing w:val="8"/>
          <w:sz w:val="21"/>
          <w:szCs w:val="21"/>
          <w:highlight w:val="none"/>
        </w:rPr>
        <w:t>供应商未在规定时间内提交最后报价的，视同退出磋商。</w:t>
      </w:r>
    </w:p>
    <w:p w14:paraId="0F28AE85">
      <w:pPr>
        <w:pStyle w:val="10"/>
        <w:spacing w:before="162" w:line="303" w:lineRule="auto"/>
        <w:ind w:right="2" w:firstLine="425"/>
        <w:rPr>
          <w:color w:val="auto"/>
          <w:sz w:val="21"/>
          <w:szCs w:val="21"/>
          <w:highlight w:val="none"/>
        </w:rPr>
      </w:pPr>
      <w:r>
        <w:rPr>
          <w:color w:val="auto"/>
          <w:spacing w:val="7"/>
          <w:sz w:val="21"/>
          <w:szCs w:val="21"/>
          <w:highlight w:val="none"/>
        </w:rPr>
        <w:t>5.6</w:t>
      </w:r>
      <w:r>
        <w:rPr>
          <w:color w:val="auto"/>
          <w:spacing w:val="-41"/>
          <w:sz w:val="21"/>
          <w:szCs w:val="21"/>
          <w:highlight w:val="none"/>
        </w:rPr>
        <w:t xml:space="preserve"> </w:t>
      </w:r>
      <w:r>
        <w:rPr>
          <w:color w:val="auto"/>
          <w:spacing w:val="7"/>
          <w:sz w:val="21"/>
          <w:szCs w:val="21"/>
          <w:highlight w:val="none"/>
        </w:rPr>
        <w:t>磋商小组收齐某一分标最后报价后统一开启，磋商小组对最后报价进行有效性、完</w:t>
      </w:r>
      <w:r>
        <w:rPr>
          <w:color w:val="auto"/>
          <w:spacing w:val="6"/>
          <w:sz w:val="21"/>
          <w:szCs w:val="21"/>
          <w:highlight w:val="none"/>
        </w:rPr>
        <w:t>整性和响应程度的审查。</w:t>
      </w:r>
    </w:p>
    <w:p w14:paraId="7D5FB8A1">
      <w:pPr>
        <w:pStyle w:val="10"/>
        <w:spacing w:before="159" w:line="227" w:lineRule="auto"/>
        <w:ind w:left="425"/>
        <w:rPr>
          <w:color w:val="auto"/>
          <w:sz w:val="21"/>
          <w:szCs w:val="21"/>
          <w:highlight w:val="none"/>
        </w:rPr>
      </w:pPr>
      <w:r>
        <w:rPr>
          <w:color w:val="auto"/>
          <w:spacing w:val="8"/>
          <w:sz w:val="21"/>
          <w:szCs w:val="21"/>
          <w:highlight w:val="none"/>
        </w:rPr>
        <w:t>5.7</w:t>
      </w:r>
      <w:r>
        <w:rPr>
          <w:color w:val="auto"/>
          <w:spacing w:val="-37"/>
          <w:sz w:val="21"/>
          <w:szCs w:val="21"/>
          <w:highlight w:val="none"/>
        </w:rPr>
        <w:t xml:space="preserve"> </w:t>
      </w:r>
      <w:r>
        <w:rPr>
          <w:color w:val="auto"/>
          <w:spacing w:val="8"/>
          <w:sz w:val="21"/>
          <w:szCs w:val="21"/>
          <w:highlight w:val="none"/>
        </w:rPr>
        <w:t>最终响应文件的报价出现前后不一致</w:t>
      </w:r>
      <w:r>
        <w:rPr>
          <w:color w:val="auto"/>
          <w:spacing w:val="7"/>
          <w:sz w:val="21"/>
          <w:szCs w:val="21"/>
          <w:highlight w:val="none"/>
        </w:rPr>
        <w:t>的，按照本章第</w:t>
      </w:r>
      <w:r>
        <w:rPr>
          <w:color w:val="auto"/>
          <w:spacing w:val="-33"/>
          <w:sz w:val="21"/>
          <w:szCs w:val="21"/>
          <w:highlight w:val="none"/>
        </w:rPr>
        <w:t xml:space="preserve"> </w:t>
      </w:r>
      <w:r>
        <w:rPr>
          <w:color w:val="auto"/>
          <w:spacing w:val="7"/>
          <w:sz w:val="21"/>
          <w:szCs w:val="21"/>
          <w:highlight w:val="none"/>
        </w:rPr>
        <w:t>3.4</w:t>
      </w:r>
      <w:r>
        <w:rPr>
          <w:color w:val="auto"/>
          <w:spacing w:val="-39"/>
          <w:sz w:val="21"/>
          <w:szCs w:val="21"/>
          <w:highlight w:val="none"/>
        </w:rPr>
        <w:t xml:space="preserve"> </w:t>
      </w:r>
      <w:r>
        <w:rPr>
          <w:color w:val="auto"/>
          <w:spacing w:val="7"/>
          <w:sz w:val="21"/>
          <w:szCs w:val="21"/>
          <w:highlight w:val="none"/>
        </w:rPr>
        <w:t>条的规定修正。</w:t>
      </w:r>
    </w:p>
    <w:p w14:paraId="6570B39F">
      <w:pPr>
        <w:pStyle w:val="10"/>
        <w:spacing w:before="165" w:line="227" w:lineRule="auto"/>
        <w:ind w:left="425"/>
        <w:rPr>
          <w:color w:val="auto"/>
          <w:sz w:val="21"/>
          <w:szCs w:val="21"/>
          <w:highlight w:val="none"/>
        </w:rPr>
      </w:pPr>
      <w:r>
        <w:rPr>
          <w:color w:val="auto"/>
          <w:spacing w:val="8"/>
          <w:sz w:val="21"/>
          <w:szCs w:val="21"/>
          <w:highlight w:val="none"/>
        </w:rPr>
        <w:t>5.8</w:t>
      </w:r>
      <w:r>
        <w:rPr>
          <w:color w:val="auto"/>
          <w:spacing w:val="-34"/>
          <w:sz w:val="21"/>
          <w:szCs w:val="21"/>
          <w:highlight w:val="none"/>
        </w:rPr>
        <w:t xml:space="preserve"> </w:t>
      </w:r>
      <w:r>
        <w:rPr>
          <w:color w:val="auto"/>
          <w:spacing w:val="8"/>
          <w:sz w:val="21"/>
          <w:szCs w:val="21"/>
          <w:highlight w:val="none"/>
        </w:rPr>
        <w:t>修正后的最终报价出现下列情形的，按无效响应处理：</w:t>
      </w:r>
    </w:p>
    <w:p w14:paraId="6992CAAB">
      <w:pPr>
        <w:pStyle w:val="10"/>
        <w:spacing w:before="162" w:line="228" w:lineRule="auto"/>
        <w:ind w:left="430"/>
        <w:rPr>
          <w:color w:val="auto"/>
          <w:sz w:val="21"/>
          <w:szCs w:val="21"/>
          <w:highlight w:val="none"/>
        </w:rPr>
      </w:pPr>
      <w:r>
        <w:rPr>
          <w:color w:val="auto"/>
          <w:spacing w:val="9"/>
          <w:sz w:val="21"/>
          <w:szCs w:val="21"/>
          <w:highlight w:val="none"/>
        </w:rPr>
        <w:t>（1）供应商不确认的（全流程电子化评标采取在线确认</w:t>
      </w:r>
      <w:r>
        <w:rPr>
          <w:color w:val="auto"/>
          <w:sz w:val="21"/>
          <w:szCs w:val="21"/>
          <w:highlight w:val="none"/>
        </w:rPr>
        <w:t>）；</w:t>
      </w:r>
    </w:p>
    <w:p w14:paraId="209DC0B6">
      <w:pPr>
        <w:pStyle w:val="10"/>
        <w:spacing w:before="160" w:line="302" w:lineRule="auto"/>
        <w:ind w:left="2" w:firstLine="428"/>
        <w:rPr>
          <w:color w:val="auto"/>
          <w:sz w:val="21"/>
          <w:szCs w:val="21"/>
          <w:highlight w:val="none"/>
        </w:rPr>
      </w:pPr>
      <w:r>
        <w:rPr>
          <w:color w:val="auto"/>
          <w:spacing w:val="8"/>
          <w:sz w:val="21"/>
          <w:szCs w:val="21"/>
          <w:highlight w:val="none"/>
        </w:rPr>
        <w:t>（2）经供应商确认修正后的响应报价（包含首次报价、最后报价）超过所竞标分标规定的采购预</w:t>
      </w:r>
      <w:r>
        <w:rPr>
          <w:color w:val="auto"/>
          <w:spacing w:val="9"/>
          <w:sz w:val="21"/>
          <w:szCs w:val="21"/>
          <w:highlight w:val="none"/>
        </w:rPr>
        <w:t>算金额或者最高限价的（如本项目公布了最高限价</w:t>
      </w:r>
      <w:r>
        <w:rPr>
          <w:color w:val="auto"/>
          <w:spacing w:val="4"/>
          <w:sz w:val="21"/>
          <w:szCs w:val="21"/>
          <w:highlight w:val="none"/>
        </w:rPr>
        <w:t>）；</w:t>
      </w:r>
    </w:p>
    <w:p w14:paraId="16D56AB4">
      <w:pPr>
        <w:pStyle w:val="10"/>
        <w:spacing w:before="65" w:line="377" w:lineRule="auto"/>
        <w:ind w:left="7" w:right="53" w:firstLine="424"/>
        <w:rPr>
          <w:color w:val="auto"/>
          <w:sz w:val="21"/>
          <w:szCs w:val="21"/>
          <w:highlight w:val="none"/>
        </w:rPr>
      </w:pPr>
      <w:r>
        <w:rPr>
          <w:color w:val="auto"/>
          <w:spacing w:val="8"/>
          <w:sz w:val="21"/>
          <w:szCs w:val="21"/>
          <w:highlight w:val="none"/>
        </w:rPr>
        <w:t>（3）经供应商确认修正后的响应报价（包含首次报价、最后报价）超过分项采购预算金额或者最</w:t>
      </w:r>
      <w:r>
        <w:rPr>
          <w:color w:val="auto"/>
          <w:spacing w:val="7"/>
          <w:sz w:val="21"/>
          <w:szCs w:val="21"/>
          <w:highlight w:val="none"/>
        </w:rPr>
        <w:t>高限价的（如本项目公布了最高限价）。</w:t>
      </w:r>
    </w:p>
    <w:p w14:paraId="28C55EF6">
      <w:pPr>
        <w:pStyle w:val="10"/>
        <w:spacing w:before="1" w:line="226" w:lineRule="auto"/>
        <w:ind w:left="425"/>
        <w:rPr>
          <w:color w:val="auto"/>
          <w:sz w:val="21"/>
          <w:szCs w:val="21"/>
          <w:highlight w:val="none"/>
        </w:rPr>
      </w:pPr>
      <w:r>
        <w:rPr>
          <w:color w:val="auto"/>
          <w:spacing w:val="8"/>
          <w:sz w:val="21"/>
          <w:szCs w:val="21"/>
          <w:highlight w:val="none"/>
        </w:rPr>
        <w:t>5.9</w:t>
      </w:r>
      <w:r>
        <w:rPr>
          <w:color w:val="auto"/>
          <w:spacing w:val="-29"/>
          <w:sz w:val="21"/>
          <w:szCs w:val="21"/>
          <w:highlight w:val="none"/>
        </w:rPr>
        <w:t xml:space="preserve"> </w:t>
      </w:r>
      <w:r>
        <w:rPr>
          <w:color w:val="auto"/>
          <w:spacing w:val="8"/>
          <w:sz w:val="21"/>
          <w:szCs w:val="21"/>
          <w:highlight w:val="none"/>
        </w:rPr>
        <w:t>经供应商确认修正后的最后报价作为评审及签订合同的依据。</w:t>
      </w:r>
    </w:p>
    <w:p w14:paraId="4482DC71">
      <w:pPr>
        <w:pStyle w:val="10"/>
        <w:spacing w:before="162" w:line="304" w:lineRule="auto"/>
        <w:ind w:left="1" w:right="56" w:firstLine="424"/>
        <w:rPr>
          <w:color w:val="auto"/>
          <w:spacing w:val="3"/>
          <w:sz w:val="21"/>
          <w:szCs w:val="21"/>
          <w:highlight w:val="none"/>
        </w:rPr>
      </w:pPr>
      <w:r>
        <w:rPr>
          <w:color w:val="auto"/>
          <w:spacing w:val="9"/>
          <w:sz w:val="21"/>
          <w:szCs w:val="21"/>
          <w:highlight w:val="none"/>
        </w:rPr>
        <w:t>5.10</w:t>
      </w:r>
      <w:r>
        <w:rPr>
          <w:color w:val="auto"/>
          <w:spacing w:val="-35"/>
          <w:sz w:val="21"/>
          <w:szCs w:val="21"/>
          <w:highlight w:val="none"/>
        </w:rPr>
        <w:t xml:space="preserve"> </w:t>
      </w:r>
      <w:r>
        <w:rPr>
          <w:color w:val="auto"/>
          <w:spacing w:val="9"/>
          <w:sz w:val="21"/>
          <w:szCs w:val="21"/>
          <w:highlight w:val="none"/>
        </w:rPr>
        <w:t>供应商出现最后报价按无效响应处理或者响应文件按无效处理时，磋商小组应当告知有关供</w:t>
      </w:r>
      <w:r>
        <w:rPr>
          <w:color w:val="auto"/>
          <w:spacing w:val="3"/>
          <w:sz w:val="21"/>
          <w:szCs w:val="21"/>
          <w:highlight w:val="none"/>
        </w:rPr>
        <w:t>应商。</w:t>
      </w:r>
    </w:p>
    <w:p w14:paraId="676347E8">
      <w:pPr>
        <w:pStyle w:val="10"/>
        <w:spacing w:before="162" w:line="304" w:lineRule="auto"/>
        <w:ind w:left="1" w:right="56" w:firstLine="424"/>
        <w:rPr>
          <w:color w:val="auto"/>
          <w:sz w:val="21"/>
          <w:szCs w:val="21"/>
          <w:highlight w:val="none"/>
        </w:rPr>
      </w:pPr>
      <w:r>
        <w:rPr>
          <w:color w:val="auto"/>
          <w:spacing w:val="10"/>
          <w:sz w:val="21"/>
          <w:szCs w:val="21"/>
          <w:highlight w:val="none"/>
        </w:rPr>
        <w:t>5.11最后报价结束后，磋商小组不得再与供应商进行任何形式的商谈。</w:t>
      </w:r>
    </w:p>
    <w:p w14:paraId="4D163B70">
      <w:pPr>
        <w:pStyle w:val="10"/>
        <w:spacing w:before="140" w:line="302" w:lineRule="auto"/>
        <w:ind w:left="2" w:right="56" w:firstLine="423"/>
        <w:rPr>
          <w:color w:val="auto"/>
          <w:sz w:val="21"/>
          <w:szCs w:val="21"/>
          <w:highlight w:val="none"/>
        </w:rPr>
      </w:pPr>
      <w:r>
        <w:rPr>
          <w:b/>
          <w:bCs/>
          <w:color w:val="auto"/>
          <w:spacing w:val="7"/>
          <w:sz w:val="21"/>
          <w:szCs w:val="21"/>
          <w:highlight w:val="none"/>
        </w:rPr>
        <w:t>5.12</w:t>
      </w:r>
      <w:r>
        <w:rPr>
          <w:color w:val="auto"/>
          <w:spacing w:val="-39"/>
          <w:sz w:val="21"/>
          <w:szCs w:val="21"/>
          <w:highlight w:val="none"/>
        </w:rPr>
        <w:t xml:space="preserve"> </w:t>
      </w:r>
      <w:r>
        <w:rPr>
          <w:b/>
          <w:bCs/>
          <w:color w:val="auto"/>
          <w:spacing w:val="7"/>
          <w:sz w:val="21"/>
          <w:szCs w:val="21"/>
          <w:highlight w:val="none"/>
        </w:rPr>
        <w:t>供应商的最终竞标报价总额与首次递交响应文件中竞标报价总额不一致，须重新提交一份已</w:t>
      </w:r>
      <w:r>
        <w:rPr>
          <w:b/>
          <w:bCs/>
          <w:color w:val="auto"/>
          <w:spacing w:val="5"/>
          <w:sz w:val="21"/>
          <w:szCs w:val="21"/>
          <w:highlight w:val="none"/>
        </w:rPr>
        <w:t>标价工程量清单。</w:t>
      </w:r>
    </w:p>
    <w:p w14:paraId="254084AA">
      <w:pPr>
        <w:pStyle w:val="10"/>
        <w:spacing w:before="166" w:line="219" w:lineRule="auto"/>
        <w:ind w:left="424"/>
        <w:rPr>
          <w:color w:val="auto"/>
          <w:sz w:val="21"/>
          <w:szCs w:val="21"/>
          <w:highlight w:val="none"/>
        </w:rPr>
      </w:pPr>
      <w:r>
        <w:rPr>
          <w:b/>
          <w:bCs/>
          <w:color w:val="auto"/>
          <w:spacing w:val="-4"/>
          <w:sz w:val="21"/>
          <w:szCs w:val="21"/>
          <w:highlight w:val="none"/>
        </w:rPr>
        <w:t>6.比较与评价</w:t>
      </w:r>
    </w:p>
    <w:p w14:paraId="04F16F02">
      <w:pPr>
        <w:pStyle w:val="10"/>
        <w:spacing w:before="176" w:line="229" w:lineRule="auto"/>
        <w:ind w:left="423"/>
        <w:rPr>
          <w:color w:val="auto"/>
          <w:sz w:val="21"/>
          <w:szCs w:val="21"/>
          <w:highlight w:val="none"/>
        </w:rPr>
      </w:pPr>
      <w:r>
        <w:rPr>
          <w:color w:val="auto"/>
          <w:spacing w:val="6"/>
          <w:sz w:val="21"/>
          <w:szCs w:val="21"/>
          <w:highlight w:val="none"/>
        </w:rPr>
        <w:t>6.1</w:t>
      </w:r>
      <w:r>
        <w:rPr>
          <w:color w:val="auto"/>
          <w:spacing w:val="-30"/>
          <w:sz w:val="21"/>
          <w:szCs w:val="21"/>
          <w:highlight w:val="none"/>
        </w:rPr>
        <w:t xml:space="preserve"> </w:t>
      </w:r>
      <w:r>
        <w:rPr>
          <w:color w:val="auto"/>
          <w:spacing w:val="6"/>
          <w:sz w:val="21"/>
          <w:szCs w:val="21"/>
          <w:highlight w:val="none"/>
        </w:rPr>
        <w:t>评审方法：综合评分法。</w:t>
      </w:r>
    </w:p>
    <w:p w14:paraId="2C30B977">
      <w:pPr>
        <w:pStyle w:val="10"/>
        <w:spacing w:before="161" w:line="302" w:lineRule="auto"/>
        <w:ind w:right="53" w:firstLine="423"/>
        <w:rPr>
          <w:color w:val="auto"/>
          <w:sz w:val="21"/>
          <w:szCs w:val="21"/>
          <w:highlight w:val="none"/>
        </w:rPr>
      </w:pPr>
      <w:r>
        <w:rPr>
          <w:color w:val="auto"/>
          <w:spacing w:val="7"/>
          <w:sz w:val="21"/>
          <w:szCs w:val="21"/>
          <w:highlight w:val="none"/>
        </w:rPr>
        <w:t>6.2</w:t>
      </w:r>
      <w:r>
        <w:rPr>
          <w:color w:val="auto"/>
          <w:spacing w:val="-39"/>
          <w:sz w:val="21"/>
          <w:szCs w:val="21"/>
          <w:highlight w:val="none"/>
        </w:rPr>
        <w:t xml:space="preserve"> </w:t>
      </w:r>
      <w:r>
        <w:rPr>
          <w:color w:val="auto"/>
          <w:spacing w:val="7"/>
          <w:sz w:val="21"/>
          <w:szCs w:val="21"/>
          <w:highlight w:val="none"/>
        </w:rPr>
        <w:t>经磋商确定最终采购需求和提交最后报价的供应商后，由磋商小组采用综合评分法对提</w:t>
      </w:r>
      <w:r>
        <w:rPr>
          <w:color w:val="auto"/>
          <w:spacing w:val="6"/>
          <w:sz w:val="21"/>
          <w:szCs w:val="21"/>
          <w:highlight w:val="none"/>
        </w:rPr>
        <w:t>交最后</w:t>
      </w:r>
      <w:r>
        <w:rPr>
          <w:color w:val="auto"/>
          <w:spacing w:val="9"/>
          <w:sz w:val="21"/>
          <w:szCs w:val="21"/>
          <w:highlight w:val="none"/>
        </w:rPr>
        <w:t>报价的供应商的响应文件和最后报价进行综合评分。</w:t>
      </w:r>
    </w:p>
    <w:p w14:paraId="7202C108">
      <w:pPr>
        <w:pStyle w:val="10"/>
        <w:spacing w:before="162" w:line="304" w:lineRule="auto"/>
        <w:ind w:left="5" w:right="56" w:firstLine="417"/>
        <w:rPr>
          <w:color w:val="auto"/>
          <w:sz w:val="21"/>
          <w:szCs w:val="21"/>
          <w:highlight w:val="none"/>
        </w:rPr>
      </w:pPr>
      <w:r>
        <w:rPr>
          <w:color w:val="auto"/>
          <w:spacing w:val="7"/>
          <w:sz w:val="21"/>
          <w:szCs w:val="21"/>
          <w:highlight w:val="none"/>
        </w:rPr>
        <w:t>6.3</w:t>
      </w:r>
      <w:r>
        <w:rPr>
          <w:color w:val="auto"/>
          <w:spacing w:val="-41"/>
          <w:sz w:val="21"/>
          <w:szCs w:val="21"/>
          <w:highlight w:val="none"/>
        </w:rPr>
        <w:t xml:space="preserve"> </w:t>
      </w:r>
      <w:r>
        <w:rPr>
          <w:color w:val="auto"/>
          <w:spacing w:val="7"/>
          <w:sz w:val="21"/>
          <w:szCs w:val="21"/>
          <w:highlight w:val="none"/>
        </w:rPr>
        <w:t>评审时，磋商小组各成员应当独立对每个有效响应的文件进行评价、打分，然后汇总每</w:t>
      </w:r>
      <w:r>
        <w:rPr>
          <w:color w:val="auto"/>
          <w:spacing w:val="6"/>
          <w:sz w:val="21"/>
          <w:szCs w:val="21"/>
          <w:highlight w:val="none"/>
        </w:rPr>
        <w:t>个供应</w:t>
      </w:r>
      <w:r>
        <w:rPr>
          <w:color w:val="auto"/>
          <w:spacing w:val="7"/>
          <w:sz w:val="21"/>
          <w:szCs w:val="21"/>
          <w:highlight w:val="none"/>
        </w:rPr>
        <w:t>商每项评分因素的得分。</w:t>
      </w:r>
    </w:p>
    <w:p w14:paraId="5E2A1348">
      <w:pPr>
        <w:pStyle w:val="10"/>
        <w:spacing w:before="161" w:line="327" w:lineRule="auto"/>
        <w:ind w:left="1" w:right="53" w:firstLine="430"/>
        <w:rPr>
          <w:color w:val="auto"/>
          <w:sz w:val="21"/>
          <w:szCs w:val="21"/>
          <w:highlight w:val="none"/>
        </w:rPr>
      </w:pPr>
      <w:r>
        <w:rPr>
          <w:color w:val="auto"/>
          <w:spacing w:val="8"/>
          <w:sz w:val="21"/>
          <w:szCs w:val="21"/>
          <w:highlight w:val="none"/>
        </w:rPr>
        <w:t>（1）评审委员会成员要根据政府采购法律法规和采购文件所载明的评审方法、标准进行评审。对</w:t>
      </w:r>
      <w:r>
        <w:rPr>
          <w:color w:val="auto"/>
          <w:spacing w:val="11"/>
          <w:sz w:val="21"/>
          <w:szCs w:val="21"/>
          <w:highlight w:val="none"/>
        </w:rPr>
        <w:t>供应商的价格分等客观评分项的评分应当一致，对其他需要借助专业知识评判的主观评分项，应当严</w:t>
      </w:r>
      <w:r>
        <w:rPr>
          <w:color w:val="auto"/>
          <w:spacing w:val="8"/>
          <w:sz w:val="21"/>
          <w:szCs w:val="21"/>
          <w:highlight w:val="none"/>
        </w:rPr>
        <w:t>格按照评分细则公正评分。</w:t>
      </w:r>
    </w:p>
    <w:p w14:paraId="6C69F790">
      <w:pPr>
        <w:pStyle w:val="10"/>
        <w:spacing w:before="160" w:line="302" w:lineRule="auto"/>
        <w:ind w:left="5" w:right="56" w:firstLine="426"/>
        <w:rPr>
          <w:color w:val="auto"/>
          <w:sz w:val="21"/>
          <w:szCs w:val="21"/>
          <w:highlight w:val="none"/>
        </w:rPr>
      </w:pPr>
      <w:r>
        <w:rPr>
          <w:color w:val="auto"/>
          <w:spacing w:val="8"/>
          <w:sz w:val="21"/>
          <w:szCs w:val="21"/>
          <w:highlight w:val="none"/>
        </w:rPr>
        <w:t>（2）磋商小组按照磋商文件中规定的评审标准计算各供应商的报价得分。项目评审过程中，不得去掉最后报价中的最高报价和最低报价。</w:t>
      </w:r>
    </w:p>
    <w:p w14:paraId="701DBC3B">
      <w:pPr>
        <w:pStyle w:val="10"/>
        <w:spacing w:before="164" w:line="228" w:lineRule="auto"/>
        <w:ind w:left="431"/>
        <w:rPr>
          <w:color w:val="auto"/>
          <w:sz w:val="21"/>
          <w:szCs w:val="21"/>
          <w:highlight w:val="none"/>
        </w:rPr>
      </w:pPr>
      <w:r>
        <w:rPr>
          <w:color w:val="auto"/>
          <w:spacing w:val="9"/>
          <w:sz w:val="21"/>
          <w:szCs w:val="21"/>
          <w:highlight w:val="none"/>
        </w:rPr>
        <w:t>（3）各供应商的得分为磋商小组所有成员的有效评分的算术</w:t>
      </w:r>
      <w:r>
        <w:rPr>
          <w:color w:val="auto"/>
          <w:spacing w:val="8"/>
          <w:sz w:val="21"/>
          <w:szCs w:val="21"/>
          <w:highlight w:val="none"/>
        </w:rPr>
        <w:t>平均数。</w:t>
      </w:r>
    </w:p>
    <w:p w14:paraId="46CB6842">
      <w:pPr>
        <w:pStyle w:val="10"/>
        <w:spacing w:before="161" w:line="302" w:lineRule="auto"/>
        <w:ind w:left="1" w:right="56" w:firstLine="421"/>
        <w:rPr>
          <w:color w:val="auto"/>
          <w:sz w:val="21"/>
          <w:szCs w:val="21"/>
          <w:highlight w:val="none"/>
        </w:rPr>
      </w:pPr>
      <w:r>
        <w:rPr>
          <w:color w:val="auto"/>
          <w:spacing w:val="7"/>
          <w:sz w:val="21"/>
          <w:szCs w:val="21"/>
          <w:highlight w:val="none"/>
        </w:rPr>
        <w:t>6.4</w:t>
      </w:r>
      <w:r>
        <w:rPr>
          <w:color w:val="auto"/>
          <w:spacing w:val="-41"/>
          <w:sz w:val="21"/>
          <w:szCs w:val="21"/>
          <w:highlight w:val="none"/>
        </w:rPr>
        <w:t xml:space="preserve"> </w:t>
      </w:r>
      <w:r>
        <w:rPr>
          <w:color w:val="auto"/>
          <w:spacing w:val="7"/>
          <w:sz w:val="21"/>
          <w:szCs w:val="21"/>
          <w:highlight w:val="none"/>
        </w:rPr>
        <w:t>评审价为供应商的最后报价进行政策性扣除后的价格，评审价只是作为评审时使用。最</w:t>
      </w:r>
      <w:r>
        <w:rPr>
          <w:color w:val="auto"/>
          <w:spacing w:val="6"/>
          <w:sz w:val="21"/>
          <w:szCs w:val="21"/>
          <w:highlight w:val="none"/>
        </w:rPr>
        <w:t>终成交</w:t>
      </w:r>
      <w:r>
        <w:rPr>
          <w:color w:val="auto"/>
          <w:spacing w:val="9"/>
          <w:sz w:val="21"/>
          <w:szCs w:val="21"/>
          <w:highlight w:val="none"/>
        </w:rPr>
        <w:t>供应商的成交金额等于最后报价（如有修正，以确认修正后的最后报价为准）。</w:t>
      </w:r>
    </w:p>
    <w:p w14:paraId="6D7D58C4">
      <w:pPr>
        <w:pStyle w:val="10"/>
        <w:spacing w:before="164" w:line="327" w:lineRule="auto"/>
        <w:ind w:left="3" w:right="53" w:firstLine="420"/>
        <w:rPr>
          <w:color w:val="auto"/>
          <w:sz w:val="21"/>
          <w:szCs w:val="21"/>
          <w:highlight w:val="none"/>
        </w:rPr>
      </w:pPr>
      <w:r>
        <w:rPr>
          <w:color w:val="auto"/>
          <w:spacing w:val="6"/>
          <w:sz w:val="21"/>
          <w:szCs w:val="21"/>
          <w:highlight w:val="none"/>
        </w:rPr>
        <w:t>6.5</w:t>
      </w:r>
      <w:r>
        <w:rPr>
          <w:color w:val="auto"/>
          <w:spacing w:val="-15"/>
          <w:sz w:val="21"/>
          <w:szCs w:val="21"/>
          <w:highlight w:val="none"/>
        </w:rPr>
        <w:t xml:space="preserve"> </w:t>
      </w:r>
      <w:r>
        <w:rPr>
          <w:color w:val="auto"/>
          <w:spacing w:val="6"/>
          <w:sz w:val="21"/>
          <w:szCs w:val="21"/>
          <w:highlight w:val="none"/>
        </w:rPr>
        <w:t>由磋商小组根据综合评分情况，按照评审得分由高到低顺序推</w:t>
      </w:r>
      <w:r>
        <w:rPr>
          <w:color w:val="auto"/>
          <w:spacing w:val="5"/>
          <w:sz w:val="21"/>
          <w:szCs w:val="21"/>
          <w:highlight w:val="none"/>
        </w:rPr>
        <w:t>荐</w:t>
      </w:r>
      <w:r>
        <w:rPr>
          <w:color w:val="auto"/>
          <w:spacing w:val="-33"/>
          <w:sz w:val="21"/>
          <w:szCs w:val="21"/>
          <w:highlight w:val="none"/>
        </w:rPr>
        <w:t xml:space="preserve"> </w:t>
      </w:r>
      <w:r>
        <w:rPr>
          <w:color w:val="auto"/>
          <w:spacing w:val="5"/>
          <w:sz w:val="21"/>
          <w:szCs w:val="21"/>
          <w:highlight w:val="none"/>
        </w:rPr>
        <w:t>3</w:t>
      </w:r>
      <w:r>
        <w:rPr>
          <w:color w:val="auto"/>
          <w:spacing w:val="-36"/>
          <w:sz w:val="21"/>
          <w:szCs w:val="21"/>
          <w:highlight w:val="none"/>
        </w:rPr>
        <w:t xml:space="preserve"> </w:t>
      </w:r>
      <w:r>
        <w:rPr>
          <w:color w:val="auto"/>
          <w:spacing w:val="5"/>
          <w:sz w:val="21"/>
          <w:szCs w:val="21"/>
          <w:highlight w:val="none"/>
        </w:rPr>
        <w:t>名以上成交候选供应商，并</w:t>
      </w:r>
      <w:r>
        <w:rPr>
          <w:color w:val="auto"/>
          <w:spacing w:val="11"/>
          <w:sz w:val="21"/>
          <w:szCs w:val="21"/>
          <w:highlight w:val="none"/>
        </w:rPr>
        <w:t>编写评审报告。符合本章第4.3</w:t>
      </w:r>
      <w:r>
        <w:rPr>
          <w:color w:val="auto"/>
          <w:spacing w:val="-39"/>
          <w:sz w:val="21"/>
          <w:szCs w:val="21"/>
          <w:highlight w:val="none"/>
        </w:rPr>
        <w:t xml:space="preserve"> </w:t>
      </w:r>
      <w:r>
        <w:rPr>
          <w:color w:val="auto"/>
          <w:spacing w:val="11"/>
          <w:sz w:val="21"/>
          <w:szCs w:val="21"/>
          <w:highlight w:val="none"/>
        </w:rPr>
        <w:t>条情形的，可以推荐</w:t>
      </w:r>
      <w:r>
        <w:rPr>
          <w:color w:val="auto"/>
          <w:spacing w:val="-34"/>
          <w:sz w:val="21"/>
          <w:szCs w:val="21"/>
          <w:highlight w:val="none"/>
        </w:rPr>
        <w:t xml:space="preserve"> </w:t>
      </w:r>
      <w:r>
        <w:rPr>
          <w:color w:val="auto"/>
          <w:spacing w:val="11"/>
          <w:sz w:val="21"/>
          <w:szCs w:val="21"/>
          <w:highlight w:val="none"/>
        </w:rPr>
        <w:t>2</w:t>
      </w:r>
      <w:r>
        <w:rPr>
          <w:color w:val="auto"/>
          <w:spacing w:val="-36"/>
          <w:sz w:val="21"/>
          <w:szCs w:val="21"/>
          <w:highlight w:val="none"/>
        </w:rPr>
        <w:t xml:space="preserve"> </w:t>
      </w:r>
      <w:r>
        <w:rPr>
          <w:color w:val="auto"/>
          <w:spacing w:val="11"/>
          <w:sz w:val="21"/>
          <w:szCs w:val="21"/>
          <w:highlight w:val="none"/>
        </w:rPr>
        <w:t>家成交候选供应商。评审得分相同的，按</w:t>
      </w:r>
      <w:r>
        <w:rPr>
          <w:color w:val="auto"/>
          <w:spacing w:val="10"/>
          <w:sz w:val="21"/>
          <w:szCs w:val="21"/>
          <w:highlight w:val="none"/>
        </w:rPr>
        <w:t>照最</w:t>
      </w:r>
      <w:r>
        <w:rPr>
          <w:color w:val="auto"/>
          <w:spacing w:val="9"/>
          <w:sz w:val="21"/>
          <w:szCs w:val="21"/>
          <w:highlight w:val="none"/>
        </w:rPr>
        <w:t>后报价由低到高的顺序推荐。评审得分且最后报价相同的，按照技术指标优劣顺序推荐。</w:t>
      </w:r>
    </w:p>
    <w:p w14:paraId="5DF9DF77">
      <w:pPr>
        <w:pStyle w:val="10"/>
        <w:spacing w:before="163" w:line="339" w:lineRule="auto"/>
        <w:ind w:left="1" w:firstLine="421"/>
        <w:rPr>
          <w:color w:val="auto"/>
          <w:sz w:val="21"/>
          <w:szCs w:val="21"/>
          <w:highlight w:val="none"/>
        </w:rPr>
      </w:pPr>
      <w:r>
        <w:rPr>
          <w:color w:val="auto"/>
          <w:spacing w:val="7"/>
          <w:sz w:val="21"/>
          <w:szCs w:val="21"/>
          <w:highlight w:val="none"/>
        </w:rPr>
        <w:t>6.6</w:t>
      </w:r>
      <w:r>
        <w:rPr>
          <w:color w:val="auto"/>
          <w:spacing w:val="-42"/>
          <w:sz w:val="21"/>
          <w:szCs w:val="21"/>
          <w:highlight w:val="none"/>
        </w:rPr>
        <w:t xml:space="preserve"> </w:t>
      </w:r>
      <w:r>
        <w:rPr>
          <w:color w:val="auto"/>
          <w:spacing w:val="7"/>
          <w:sz w:val="21"/>
          <w:szCs w:val="21"/>
          <w:highlight w:val="none"/>
        </w:rPr>
        <w:t>评审报告应当由磋商小组全体人员签字认可。磋商小组成员对评审报告有异议的，磋商小组按</w:t>
      </w:r>
      <w:r>
        <w:rPr>
          <w:color w:val="auto"/>
          <w:spacing w:val="8"/>
          <w:sz w:val="21"/>
          <w:szCs w:val="21"/>
          <w:highlight w:val="none"/>
        </w:rPr>
        <w:t>照少数服从多数的原则推荐成交候选供应商，采购程序继续进</w:t>
      </w:r>
      <w:r>
        <w:rPr>
          <w:color w:val="auto"/>
          <w:spacing w:val="7"/>
          <w:sz w:val="21"/>
          <w:szCs w:val="21"/>
          <w:highlight w:val="none"/>
        </w:rPr>
        <w:t>行。对评审报告有异议的磋商小组成员，</w:t>
      </w:r>
      <w:r>
        <w:rPr>
          <w:color w:val="auto"/>
          <w:spacing w:val="10"/>
          <w:sz w:val="21"/>
          <w:szCs w:val="21"/>
          <w:highlight w:val="none"/>
        </w:rPr>
        <w:t>应当在报告上签署不同意见并说明理由，</w:t>
      </w:r>
      <w:r>
        <w:rPr>
          <w:color w:val="auto"/>
          <w:spacing w:val="-55"/>
          <w:sz w:val="21"/>
          <w:szCs w:val="21"/>
          <w:highlight w:val="none"/>
        </w:rPr>
        <w:t xml:space="preserve"> </w:t>
      </w:r>
      <w:r>
        <w:rPr>
          <w:color w:val="auto"/>
          <w:spacing w:val="10"/>
          <w:sz w:val="21"/>
          <w:szCs w:val="21"/>
          <w:highlight w:val="none"/>
        </w:rPr>
        <w:t>由磋商小组书面记录相关情况。磋商小组成员拒绝在报告上</w:t>
      </w:r>
      <w:r>
        <w:rPr>
          <w:color w:val="auto"/>
          <w:spacing w:val="9"/>
          <w:sz w:val="21"/>
          <w:szCs w:val="21"/>
          <w:highlight w:val="none"/>
        </w:rPr>
        <w:t>签字又不书面说明其不同意见和理由的，视为同意评审报告。</w:t>
      </w:r>
    </w:p>
    <w:p w14:paraId="7E985646">
      <w:pPr>
        <w:pStyle w:val="10"/>
        <w:spacing w:before="169" w:line="221" w:lineRule="auto"/>
        <w:ind w:left="428"/>
        <w:rPr>
          <w:color w:val="auto"/>
          <w:sz w:val="21"/>
          <w:szCs w:val="21"/>
          <w:highlight w:val="none"/>
        </w:rPr>
      </w:pPr>
      <w:r>
        <w:rPr>
          <w:b/>
          <w:bCs/>
          <w:color w:val="auto"/>
          <w:spacing w:val="-5"/>
          <w:sz w:val="21"/>
          <w:szCs w:val="21"/>
          <w:highlight w:val="none"/>
        </w:rPr>
        <w:t>7.评审标准</w:t>
      </w:r>
    </w:p>
    <w:p w14:paraId="612F7E02">
      <w:pPr>
        <w:pStyle w:val="10"/>
        <w:spacing w:before="173" w:line="378" w:lineRule="auto"/>
        <w:ind w:left="3" w:right="53" w:firstLine="423"/>
        <w:rPr>
          <w:color w:val="auto"/>
          <w:sz w:val="21"/>
          <w:szCs w:val="21"/>
          <w:highlight w:val="none"/>
        </w:rPr>
      </w:pPr>
      <w:r>
        <w:rPr>
          <w:color w:val="auto"/>
          <w:spacing w:val="7"/>
          <w:sz w:val="21"/>
          <w:szCs w:val="21"/>
          <w:highlight w:val="none"/>
        </w:rPr>
        <w:t>7.1</w:t>
      </w:r>
      <w:r>
        <w:rPr>
          <w:color w:val="auto"/>
          <w:spacing w:val="-41"/>
          <w:sz w:val="21"/>
          <w:szCs w:val="21"/>
          <w:highlight w:val="none"/>
        </w:rPr>
        <w:t xml:space="preserve"> </w:t>
      </w:r>
      <w:r>
        <w:rPr>
          <w:color w:val="auto"/>
          <w:spacing w:val="7"/>
          <w:sz w:val="21"/>
          <w:szCs w:val="21"/>
          <w:highlight w:val="none"/>
        </w:rPr>
        <w:t>评审依据：磋商小组将以磋商响应文件为评审依据，对供应商的报价、技术、商务等</w:t>
      </w:r>
      <w:r>
        <w:rPr>
          <w:color w:val="auto"/>
          <w:spacing w:val="6"/>
          <w:sz w:val="21"/>
          <w:szCs w:val="21"/>
          <w:highlight w:val="none"/>
        </w:rPr>
        <w:t>方面内容</w:t>
      </w:r>
      <w:r>
        <w:rPr>
          <w:color w:val="auto"/>
          <w:spacing w:val="9"/>
          <w:sz w:val="21"/>
          <w:szCs w:val="21"/>
          <w:highlight w:val="none"/>
        </w:rPr>
        <w:t>按百分制打分。（计分方法按四舍五入取至百分位）</w:t>
      </w:r>
    </w:p>
    <w:tbl>
      <w:tblPr>
        <w:tblStyle w:val="22"/>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625"/>
        <w:gridCol w:w="1553"/>
        <w:gridCol w:w="5826"/>
      </w:tblGrid>
      <w:tr w14:paraId="0A1D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69" w:type="dxa"/>
            <w:gridSpan w:val="2"/>
            <w:tcBorders>
              <w:top w:val="single" w:color="auto" w:sz="4" w:space="0"/>
              <w:left w:val="single" w:color="auto" w:sz="4" w:space="0"/>
              <w:right w:val="single" w:color="auto" w:sz="4" w:space="0"/>
            </w:tcBorders>
            <w:vAlign w:val="center"/>
          </w:tcPr>
          <w:p w14:paraId="4094916F">
            <w:pPr>
              <w:spacing w:line="500" w:lineRule="exact"/>
              <w:jc w:val="center"/>
              <w:rPr>
                <w:rFonts w:ascii="宋体" w:hAnsi="宋体" w:cs="宋体"/>
                <w:b/>
                <w:bCs/>
                <w:color w:val="auto"/>
                <w:highlight w:val="none"/>
              </w:rPr>
            </w:pPr>
            <w:r>
              <w:rPr>
                <w:rFonts w:hint="eastAsia" w:ascii="宋体" w:hAnsi="宋体" w:cs="宋体"/>
                <w:b/>
                <w:bCs/>
                <w:color w:val="auto"/>
                <w:kern w:val="0"/>
                <w:highlight w:val="none"/>
              </w:rPr>
              <w:t>条款号</w:t>
            </w:r>
          </w:p>
        </w:tc>
        <w:tc>
          <w:tcPr>
            <w:tcW w:w="1553" w:type="dxa"/>
            <w:tcBorders>
              <w:top w:val="single" w:color="auto" w:sz="4" w:space="0"/>
              <w:left w:val="single" w:color="auto" w:sz="4" w:space="0"/>
              <w:bottom w:val="single" w:color="auto" w:sz="4" w:space="0"/>
              <w:right w:val="single" w:color="auto" w:sz="4" w:space="0"/>
            </w:tcBorders>
            <w:vAlign w:val="center"/>
          </w:tcPr>
          <w:p w14:paraId="0DD427E7">
            <w:pPr>
              <w:spacing w:line="500" w:lineRule="exact"/>
              <w:jc w:val="center"/>
              <w:rPr>
                <w:rFonts w:ascii="宋体" w:hAnsi="宋体" w:cs="宋体"/>
                <w:b/>
                <w:bCs/>
                <w:color w:val="auto"/>
                <w:highlight w:val="none"/>
              </w:rPr>
            </w:pPr>
            <w:r>
              <w:rPr>
                <w:rFonts w:hint="eastAsia" w:ascii="宋体" w:hAnsi="宋体" w:cs="宋体"/>
                <w:b/>
                <w:bCs/>
                <w:color w:val="auto"/>
                <w:kern w:val="0"/>
                <w:highlight w:val="none"/>
              </w:rPr>
              <w:t>条款内容</w:t>
            </w:r>
          </w:p>
        </w:tc>
        <w:tc>
          <w:tcPr>
            <w:tcW w:w="5826" w:type="dxa"/>
            <w:tcBorders>
              <w:top w:val="single" w:color="auto" w:sz="4" w:space="0"/>
              <w:left w:val="single" w:color="auto" w:sz="4" w:space="0"/>
              <w:right w:val="single" w:color="auto" w:sz="4" w:space="0"/>
            </w:tcBorders>
            <w:vAlign w:val="center"/>
          </w:tcPr>
          <w:p w14:paraId="353081F7">
            <w:pPr>
              <w:spacing w:line="500" w:lineRule="exact"/>
              <w:jc w:val="center"/>
              <w:rPr>
                <w:rFonts w:ascii="宋体" w:hAnsi="宋体" w:cs="宋体"/>
                <w:b/>
                <w:bCs/>
                <w:color w:val="auto"/>
                <w:highlight w:val="none"/>
              </w:rPr>
            </w:pPr>
            <w:r>
              <w:rPr>
                <w:rFonts w:hint="eastAsia" w:ascii="宋体" w:hAnsi="宋体" w:cs="宋体"/>
                <w:b/>
                <w:bCs/>
                <w:color w:val="auto"/>
                <w:kern w:val="0"/>
                <w:highlight w:val="none"/>
              </w:rPr>
              <w:t>编列内容</w:t>
            </w:r>
          </w:p>
        </w:tc>
      </w:tr>
      <w:tr w14:paraId="0C49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2569" w:type="dxa"/>
            <w:gridSpan w:val="2"/>
            <w:tcBorders>
              <w:top w:val="single" w:color="auto" w:sz="4" w:space="0"/>
              <w:left w:val="single" w:color="auto" w:sz="4" w:space="0"/>
              <w:right w:val="single" w:color="auto" w:sz="4" w:space="0"/>
            </w:tcBorders>
            <w:vAlign w:val="center"/>
          </w:tcPr>
          <w:p w14:paraId="3179A53F">
            <w:pPr>
              <w:spacing w:line="500" w:lineRule="exact"/>
              <w:jc w:val="center"/>
              <w:rPr>
                <w:rFonts w:ascii="宋体" w:hAnsi="宋体" w:cs="宋体"/>
                <w:color w:val="auto"/>
                <w:kern w:val="0"/>
                <w:highlight w:val="none"/>
              </w:rPr>
            </w:pPr>
            <w:r>
              <w:rPr>
                <w:rFonts w:hint="eastAsia" w:ascii="宋体" w:hAnsi="宋体" w:cs="宋体"/>
                <w:color w:val="auto"/>
                <w:szCs w:val="21"/>
                <w:highlight w:val="none"/>
              </w:rPr>
              <w:t>详细评审内容</w:t>
            </w:r>
          </w:p>
        </w:tc>
        <w:tc>
          <w:tcPr>
            <w:tcW w:w="1553" w:type="dxa"/>
            <w:tcBorders>
              <w:top w:val="single" w:color="auto" w:sz="4" w:space="0"/>
              <w:left w:val="single" w:color="auto" w:sz="4" w:space="0"/>
              <w:bottom w:val="single" w:color="auto" w:sz="4" w:space="0"/>
              <w:right w:val="single" w:color="auto" w:sz="4" w:space="0"/>
            </w:tcBorders>
            <w:vAlign w:val="center"/>
          </w:tcPr>
          <w:p w14:paraId="66C9E096">
            <w:pPr>
              <w:spacing w:line="500" w:lineRule="exact"/>
              <w:ind w:firstLine="210" w:firstLineChars="100"/>
              <w:rPr>
                <w:rFonts w:ascii="宋体" w:hAnsi="宋体" w:cs="宋体"/>
                <w:color w:val="auto"/>
                <w:kern w:val="0"/>
                <w:highlight w:val="none"/>
              </w:rPr>
            </w:pPr>
            <w:r>
              <w:rPr>
                <w:rFonts w:hint="eastAsia" w:ascii="宋体" w:hAnsi="宋体" w:cs="宋体"/>
                <w:color w:val="auto"/>
                <w:kern w:val="0"/>
                <w:highlight w:val="none"/>
              </w:rPr>
              <w:t>分值构成</w:t>
            </w:r>
          </w:p>
          <w:p w14:paraId="00C4A282">
            <w:pPr>
              <w:spacing w:line="500" w:lineRule="exact"/>
              <w:jc w:val="center"/>
              <w:rPr>
                <w:rFonts w:ascii="宋体" w:hAnsi="宋体" w:cs="宋体"/>
                <w:color w:val="auto"/>
                <w:kern w:val="0"/>
                <w:highlight w:val="none"/>
              </w:rPr>
            </w:pPr>
            <w:r>
              <w:rPr>
                <w:rFonts w:hint="eastAsia" w:ascii="宋体" w:hAnsi="宋体" w:cs="宋体"/>
                <w:color w:val="auto"/>
                <w:kern w:val="0"/>
                <w:highlight w:val="none"/>
              </w:rPr>
              <w:t>（总分100分）</w:t>
            </w:r>
          </w:p>
        </w:tc>
        <w:tc>
          <w:tcPr>
            <w:tcW w:w="5826" w:type="dxa"/>
            <w:tcBorders>
              <w:top w:val="single" w:color="auto" w:sz="4" w:space="0"/>
              <w:left w:val="single" w:color="auto" w:sz="4" w:space="0"/>
              <w:right w:val="single" w:color="auto" w:sz="4" w:space="0"/>
            </w:tcBorders>
            <w:vAlign w:val="center"/>
          </w:tcPr>
          <w:p w14:paraId="724AA056">
            <w:pPr>
              <w:numPr>
                <w:ilvl w:val="0"/>
                <w:numId w:val="0"/>
              </w:num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技术</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auto"/>
                <w:kern w:val="2"/>
                <w:sz w:val="21"/>
                <w:szCs w:val="21"/>
                <w:highlight w:val="none"/>
                <w:u w:val="single"/>
                <w:lang w:val="en-US" w:eastAsia="zh-CN" w:bidi="ar-SA"/>
              </w:rPr>
              <w:t>70</w:t>
            </w:r>
            <w:r>
              <w:rPr>
                <w:rFonts w:hint="eastAsia" w:ascii="宋体" w:hAnsi="宋体" w:eastAsia="宋体" w:cs="宋体"/>
                <w:color w:val="auto"/>
                <w:kern w:val="2"/>
                <w:sz w:val="21"/>
                <w:szCs w:val="21"/>
                <w:highlight w:val="none"/>
                <w:lang w:val="en-US" w:eastAsia="zh-CN" w:bidi="ar-SA"/>
              </w:rPr>
              <w:t>分</w:t>
            </w:r>
          </w:p>
          <w:p w14:paraId="3478F11A">
            <w:pPr>
              <w:numPr>
                <w:ilvl w:val="0"/>
                <w:numId w:val="0"/>
              </w:numPr>
              <w:spacing w:line="360" w:lineRule="exac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（2）商务分</w:t>
            </w:r>
            <w:r>
              <w:rPr>
                <w:rFonts w:hint="eastAsia" w:ascii="宋体" w:hAnsi="宋体" w:cs="宋体"/>
                <w:color w:val="auto"/>
                <w:kern w:val="2"/>
                <w:sz w:val="21"/>
                <w:szCs w:val="21"/>
                <w:highlight w:val="none"/>
                <w:u w:val="single"/>
                <w:lang w:val="en-US" w:eastAsia="zh-CN" w:bidi="ar-SA"/>
              </w:rPr>
              <w:t>10</w:t>
            </w:r>
            <w:r>
              <w:rPr>
                <w:rFonts w:hint="eastAsia" w:ascii="宋体" w:hAnsi="宋体" w:eastAsia="宋体" w:cs="宋体"/>
                <w:color w:val="auto"/>
                <w:kern w:val="2"/>
                <w:sz w:val="21"/>
                <w:szCs w:val="21"/>
                <w:highlight w:val="none"/>
                <w:lang w:val="en-US" w:eastAsia="zh-CN" w:bidi="ar-SA"/>
              </w:rPr>
              <w:t>分</w:t>
            </w:r>
          </w:p>
          <w:p w14:paraId="4F7EAE1C">
            <w:pPr>
              <w:numPr>
                <w:ilvl w:val="0"/>
                <w:numId w:val="0"/>
              </w:numPr>
              <w:spacing w:line="360" w:lineRule="exact"/>
              <w:rPr>
                <w:rFonts w:ascii="宋体" w:hAnsi="宋体" w:cs="宋体"/>
                <w:color w:val="auto"/>
                <w:kern w:val="0"/>
                <w:highlight w:val="none"/>
              </w:rPr>
            </w:pPr>
            <w:r>
              <w:rPr>
                <w:rFonts w:hint="eastAsia" w:ascii="宋体" w:hAnsi="宋体" w:eastAsia="宋体" w:cs="宋体"/>
                <w:color w:val="auto"/>
                <w:kern w:val="2"/>
                <w:sz w:val="21"/>
                <w:szCs w:val="21"/>
                <w:highlight w:val="none"/>
                <w:lang w:val="en-US" w:eastAsia="zh-CN" w:bidi="ar-SA"/>
              </w:rPr>
              <w:t>（3）磋商报价评分</w:t>
            </w:r>
            <w:r>
              <w:rPr>
                <w:rFonts w:hint="eastAsia" w:ascii="宋体" w:hAnsi="宋体" w:cs="宋体"/>
                <w:color w:val="auto"/>
                <w:kern w:val="2"/>
                <w:sz w:val="21"/>
                <w:szCs w:val="21"/>
                <w:highlight w:val="none"/>
                <w:u w:val="single"/>
                <w:lang w:val="en-US" w:eastAsia="zh-CN" w:bidi="ar-SA"/>
              </w:rPr>
              <w:t>2</w:t>
            </w:r>
            <w:r>
              <w:rPr>
                <w:rFonts w:hint="eastAsia" w:ascii="宋体" w:hAnsi="宋体" w:eastAsia="宋体" w:cs="宋体"/>
                <w:color w:val="auto"/>
                <w:kern w:val="2"/>
                <w:sz w:val="21"/>
                <w:szCs w:val="21"/>
                <w:highlight w:val="none"/>
                <w:u w:val="single"/>
                <w:lang w:val="en-US" w:eastAsia="zh-CN" w:bidi="ar-SA"/>
              </w:rPr>
              <w:t>0</w:t>
            </w:r>
            <w:r>
              <w:rPr>
                <w:rFonts w:hint="eastAsia" w:ascii="宋体" w:hAnsi="宋体" w:eastAsia="宋体" w:cs="宋体"/>
                <w:color w:val="auto"/>
                <w:kern w:val="2"/>
                <w:sz w:val="21"/>
                <w:szCs w:val="21"/>
                <w:highlight w:val="none"/>
                <w:lang w:val="en-US" w:eastAsia="zh-CN" w:bidi="ar-SA"/>
              </w:rPr>
              <w:t>分</w:t>
            </w:r>
          </w:p>
        </w:tc>
      </w:tr>
      <w:tr w14:paraId="0420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6" w:hRule="atLeast"/>
          <w:jc w:val="center"/>
        </w:trPr>
        <w:tc>
          <w:tcPr>
            <w:tcW w:w="944" w:type="dxa"/>
            <w:vMerge w:val="restart"/>
            <w:tcBorders>
              <w:top w:val="single" w:color="auto" w:sz="4" w:space="0"/>
              <w:left w:val="single" w:color="auto" w:sz="4" w:space="0"/>
              <w:right w:val="single" w:color="auto" w:sz="4" w:space="0"/>
            </w:tcBorders>
            <w:vAlign w:val="center"/>
          </w:tcPr>
          <w:p w14:paraId="6EFB6EE9">
            <w:pPr>
              <w:spacing w:line="500" w:lineRule="exact"/>
              <w:jc w:val="center"/>
              <w:rPr>
                <w:rFonts w:ascii="宋体" w:hAnsi="宋体" w:cs="宋体"/>
                <w:color w:val="auto"/>
                <w:kern w:val="0"/>
                <w:highlight w:val="none"/>
              </w:rPr>
            </w:pPr>
            <w:r>
              <w:rPr>
                <w:rFonts w:hint="eastAsia" w:ascii="宋体" w:hAnsi="宋体" w:cs="宋体"/>
                <w:color w:val="auto"/>
                <w:kern w:val="0"/>
                <w:highlight w:val="none"/>
              </w:rPr>
              <w:t>1</w:t>
            </w:r>
          </w:p>
        </w:tc>
        <w:tc>
          <w:tcPr>
            <w:tcW w:w="1625" w:type="dxa"/>
            <w:vMerge w:val="restart"/>
            <w:tcBorders>
              <w:top w:val="single" w:color="auto" w:sz="4" w:space="0"/>
              <w:left w:val="single" w:color="auto" w:sz="4" w:space="0"/>
              <w:right w:val="single" w:color="auto" w:sz="4" w:space="0"/>
            </w:tcBorders>
            <w:vAlign w:val="center"/>
          </w:tcPr>
          <w:p w14:paraId="0B7003F3">
            <w:pPr>
              <w:widowControl/>
              <w:spacing w:line="500" w:lineRule="exact"/>
              <w:jc w:val="center"/>
              <w:rPr>
                <w:rFonts w:hint="eastAsia" w:ascii="宋体" w:hAnsi="宋体" w:cs="宋体"/>
                <w:color w:val="auto"/>
                <w:kern w:val="0"/>
                <w:highlight w:val="none"/>
                <w:lang w:eastAsia="zh-CN"/>
              </w:rPr>
            </w:pPr>
            <w:r>
              <w:rPr>
                <w:rFonts w:hint="eastAsia" w:ascii="宋体" w:hAnsi="宋体" w:cs="宋体"/>
                <w:color w:val="auto"/>
                <w:kern w:val="0"/>
                <w:highlight w:val="none"/>
                <w:lang w:eastAsia="zh-CN"/>
              </w:rPr>
              <w:t>技术分</w:t>
            </w:r>
          </w:p>
          <w:p w14:paraId="1CB85034">
            <w:pPr>
              <w:widowControl/>
              <w:spacing w:line="500" w:lineRule="exact"/>
              <w:jc w:val="center"/>
              <w:rPr>
                <w:rFonts w:ascii="宋体" w:hAnsi="宋体" w:cs="宋体"/>
                <w:color w:val="auto"/>
                <w:kern w:val="0"/>
                <w:highlight w:val="none"/>
              </w:rPr>
            </w:pPr>
            <w:r>
              <w:rPr>
                <w:rFonts w:hint="eastAsia" w:ascii="宋体" w:hAnsi="宋体" w:cs="宋体"/>
                <w:color w:val="auto"/>
                <w:kern w:val="0"/>
                <w:highlight w:val="none"/>
              </w:rPr>
              <w:t>（满分</w:t>
            </w:r>
            <w:r>
              <w:rPr>
                <w:rFonts w:hint="eastAsia" w:ascii="宋体" w:hAnsi="宋体" w:cs="宋体"/>
                <w:color w:val="auto"/>
                <w:kern w:val="0"/>
                <w:highlight w:val="none"/>
                <w:lang w:val="en-US" w:eastAsia="zh-CN"/>
              </w:rPr>
              <w:t>70</w:t>
            </w:r>
            <w:r>
              <w:rPr>
                <w:rFonts w:hint="eastAsia" w:ascii="宋体" w:hAnsi="宋体" w:cs="宋体"/>
                <w:color w:val="auto"/>
                <w:kern w:val="0"/>
                <w:highlight w:val="none"/>
              </w:rPr>
              <w:t>分）</w:t>
            </w:r>
          </w:p>
          <w:p w14:paraId="52E96BF0">
            <w:pPr>
              <w:widowControl/>
              <w:spacing w:line="500" w:lineRule="exact"/>
              <w:ind w:left="27" w:leftChars="13" w:firstLine="27" w:firstLineChars="13"/>
              <w:jc w:val="center"/>
              <w:rPr>
                <w:rFonts w:ascii="宋体" w:hAnsi="宋体" w:cs="宋体"/>
                <w:b/>
                <w:bCs/>
                <w:color w:val="auto"/>
                <w:kern w:val="0"/>
                <w:highlight w:val="none"/>
              </w:rPr>
            </w:pPr>
          </w:p>
          <w:p w14:paraId="61CA571D">
            <w:pPr>
              <w:widowControl/>
              <w:spacing w:line="500" w:lineRule="exact"/>
              <w:ind w:left="27" w:leftChars="13" w:firstLine="27" w:firstLineChars="13"/>
              <w:jc w:val="center"/>
              <w:rPr>
                <w:rFonts w:ascii="宋体" w:hAnsi="宋体" w:cs="宋体"/>
                <w:color w:val="auto"/>
                <w:kern w:val="0"/>
                <w:highlight w:val="none"/>
              </w:rPr>
            </w:pPr>
          </w:p>
        </w:tc>
        <w:tc>
          <w:tcPr>
            <w:tcW w:w="1553" w:type="dxa"/>
            <w:tcBorders>
              <w:top w:val="single" w:color="auto" w:sz="4" w:space="0"/>
              <w:left w:val="single" w:color="auto" w:sz="4" w:space="0"/>
              <w:bottom w:val="single" w:color="auto" w:sz="4" w:space="0"/>
              <w:right w:val="single" w:color="auto" w:sz="4" w:space="0"/>
            </w:tcBorders>
            <w:vAlign w:val="center"/>
          </w:tcPr>
          <w:p w14:paraId="6A4671A2">
            <w:pPr>
              <w:widowControl/>
              <w:spacing w:line="500" w:lineRule="exact"/>
              <w:jc w:val="center"/>
              <w:rPr>
                <w:rFonts w:hint="eastAsia" w:ascii="宋体" w:hAnsi="宋体" w:cs="宋体"/>
                <w:b/>
                <w:bCs/>
                <w:color w:val="auto"/>
                <w:highlight w:val="none"/>
              </w:rPr>
            </w:pPr>
            <w:r>
              <w:rPr>
                <w:rFonts w:hint="eastAsia" w:ascii="宋体" w:hAnsi="宋体" w:cs="宋体"/>
                <w:b/>
                <w:bCs/>
                <w:color w:val="auto"/>
                <w:highlight w:val="none"/>
              </w:rPr>
              <w:t>主要施工方法</w:t>
            </w:r>
          </w:p>
          <w:p w14:paraId="7868DD5F">
            <w:pPr>
              <w:widowControl/>
              <w:spacing w:line="500" w:lineRule="exact"/>
              <w:jc w:val="center"/>
              <w:rPr>
                <w:rFonts w:ascii="宋体" w:hAnsi="宋体" w:cs="宋体"/>
                <w:color w:val="auto"/>
                <w:highlight w:val="none"/>
              </w:rPr>
            </w:pPr>
            <w:r>
              <w:rPr>
                <w:rFonts w:hint="eastAsia" w:ascii="宋体" w:hAnsi="宋体" w:cs="宋体"/>
                <w:b/>
                <w:bCs/>
                <w:color w:val="auto"/>
                <w:highlight w:val="none"/>
              </w:rPr>
              <w:t>（15 分）</w:t>
            </w:r>
          </w:p>
        </w:tc>
        <w:tc>
          <w:tcPr>
            <w:tcW w:w="5826" w:type="dxa"/>
            <w:tcBorders>
              <w:top w:val="single" w:color="auto" w:sz="4" w:space="0"/>
              <w:left w:val="single" w:color="auto" w:sz="4" w:space="0"/>
              <w:bottom w:val="single" w:color="auto" w:sz="4" w:space="0"/>
              <w:right w:val="single" w:color="auto" w:sz="4" w:space="0"/>
            </w:tcBorders>
            <w:vAlign w:val="center"/>
          </w:tcPr>
          <w:p w14:paraId="5D472BC7">
            <w:pPr>
              <w:widowControl/>
              <w:spacing w:line="500" w:lineRule="exact"/>
              <w:ind w:firstLine="420"/>
              <w:rPr>
                <w:color w:val="auto"/>
                <w:highlight w:val="none"/>
              </w:rPr>
            </w:pPr>
            <w:r>
              <w:rPr>
                <w:rFonts w:hint="eastAsia"/>
                <w:color w:val="auto"/>
                <w:highlight w:val="none"/>
              </w:rPr>
              <w:t>由磋商小组各成员根据下述标准进行独立评审。未提供相关内容的得0分。</w:t>
            </w:r>
          </w:p>
          <w:p w14:paraId="46C6EC44">
            <w:pPr>
              <w:widowControl/>
              <w:spacing w:line="500" w:lineRule="exact"/>
              <w:ind w:firstLine="420"/>
              <w:rPr>
                <w:rFonts w:hint="eastAsia" w:ascii="宋体" w:hAnsi="宋体"/>
                <w:color w:val="auto"/>
                <w:szCs w:val="21"/>
                <w:highlight w:val="none"/>
              </w:rPr>
            </w:pPr>
            <w:r>
              <w:rPr>
                <w:rFonts w:hint="eastAsia" w:ascii="宋体" w:hAnsi="宋体"/>
                <w:color w:val="auto"/>
                <w:szCs w:val="21"/>
                <w:highlight w:val="none"/>
              </w:rPr>
              <w:t>一档（15分）：各主要分部施工方法符合项目实际，须有详尽的施工技术方案，工艺先进、方法科学合理、可行，有针对性，能 指导具体施工并确保安全。</w:t>
            </w:r>
          </w:p>
          <w:p w14:paraId="752EE907">
            <w:pPr>
              <w:widowControl/>
              <w:spacing w:line="500" w:lineRule="exact"/>
              <w:ind w:firstLine="420"/>
              <w:rPr>
                <w:rFonts w:hint="eastAsia" w:ascii="宋体" w:hAnsi="宋体"/>
                <w:color w:val="auto"/>
                <w:szCs w:val="21"/>
                <w:highlight w:val="none"/>
              </w:rPr>
            </w:pPr>
            <w:r>
              <w:rPr>
                <w:rFonts w:hint="eastAsia" w:ascii="宋体" w:hAnsi="宋体"/>
                <w:color w:val="auto"/>
                <w:szCs w:val="21"/>
                <w:highlight w:val="none"/>
              </w:rPr>
              <w:t>二档（10分）：各主要分部施工方法符合项目实际，须有详尽的施工技术方案，工艺良好，方法可行，能指导具体施工并确保安全。</w:t>
            </w:r>
          </w:p>
          <w:p w14:paraId="17957C4D">
            <w:pPr>
              <w:widowControl/>
              <w:spacing w:line="500" w:lineRule="exact"/>
              <w:ind w:firstLine="420"/>
              <w:rPr>
                <w:color w:val="auto"/>
                <w:highlight w:val="none"/>
              </w:rPr>
            </w:pPr>
            <w:r>
              <w:rPr>
                <w:rFonts w:hint="eastAsia" w:ascii="宋体" w:hAnsi="宋体"/>
                <w:color w:val="auto"/>
                <w:szCs w:val="21"/>
                <w:highlight w:val="none"/>
              </w:rPr>
              <w:t>三档（5 分）：各主要分部施工方法基本符合项目实际，有施工技术方案，但不够详尽，基本能指导具体施工并确保安全。</w:t>
            </w:r>
          </w:p>
          <w:p w14:paraId="7C6E6EB6">
            <w:pPr>
              <w:pStyle w:val="15"/>
              <w:rPr>
                <w:color w:val="auto"/>
                <w:highlight w:val="none"/>
              </w:rPr>
            </w:pPr>
          </w:p>
        </w:tc>
      </w:tr>
      <w:tr w14:paraId="0559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944" w:type="dxa"/>
            <w:vMerge w:val="continue"/>
            <w:tcBorders>
              <w:left w:val="single" w:color="auto" w:sz="4" w:space="0"/>
              <w:right w:val="single" w:color="auto" w:sz="4" w:space="0"/>
            </w:tcBorders>
            <w:vAlign w:val="center"/>
          </w:tcPr>
          <w:p w14:paraId="1C95F33F">
            <w:pPr>
              <w:spacing w:line="500" w:lineRule="exact"/>
              <w:jc w:val="center"/>
              <w:rPr>
                <w:rFonts w:ascii="宋体" w:hAnsi="宋体" w:cs="宋体"/>
                <w:color w:val="auto"/>
                <w:kern w:val="0"/>
                <w:highlight w:val="none"/>
              </w:rPr>
            </w:pPr>
          </w:p>
        </w:tc>
        <w:tc>
          <w:tcPr>
            <w:tcW w:w="1625" w:type="dxa"/>
            <w:vMerge w:val="continue"/>
            <w:tcBorders>
              <w:left w:val="single" w:color="auto" w:sz="4" w:space="0"/>
              <w:right w:val="single" w:color="auto" w:sz="4" w:space="0"/>
            </w:tcBorders>
            <w:vAlign w:val="center"/>
          </w:tcPr>
          <w:p w14:paraId="28EF80F9">
            <w:pPr>
              <w:spacing w:line="500" w:lineRule="exact"/>
              <w:rPr>
                <w:rFonts w:ascii="宋体" w:hAnsi="宋体" w:cs="宋体"/>
                <w:color w:val="auto"/>
                <w:kern w:val="0"/>
                <w:highlight w:val="none"/>
              </w:rPr>
            </w:pPr>
          </w:p>
        </w:tc>
        <w:tc>
          <w:tcPr>
            <w:tcW w:w="1553" w:type="dxa"/>
            <w:tcBorders>
              <w:top w:val="single" w:color="auto" w:sz="4" w:space="0"/>
              <w:left w:val="single" w:color="auto" w:sz="4" w:space="0"/>
              <w:right w:val="single" w:color="auto" w:sz="4" w:space="0"/>
            </w:tcBorders>
            <w:vAlign w:val="center"/>
          </w:tcPr>
          <w:p w14:paraId="692B69B5">
            <w:pPr>
              <w:widowControl/>
              <w:spacing w:line="500" w:lineRule="exact"/>
              <w:ind w:left="29" w:hanging="29"/>
              <w:jc w:val="center"/>
              <w:rPr>
                <w:rFonts w:ascii="宋体" w:hAnsi="宋体" w:cs="宋体"/>
                <w:color w:val="auto"/>
                <w:highlight w:val="none"/>
              </w:rPr>
            </w:pPr>
            <w:r>
              <w:rPr>
                <w:b/>
                <w:bCs/>
                <w:color w:val="auto"/>
                <w:spacing w:val="5"/>
                <w:highlight w:val="none"/>
              </w:rPr>
              <w:t>拟投入的主要物资计划（10</w:t>
            </w:r>
            <w:r>
              <w:rPr>
                <w:color w:val="auto"/>
                <w:spacing w:val="-28"/>
                <w:highlight w:val="none"/>
              </w:rPr>
              <w:t xml:space="preserve"> </w:t>
            </w:r>
            <w:r>
              <w:rPr>
                <w:b/>
                <w:bCs/>
                <w:color w:val="auto"/>
                <w:spacing w:val="5"/>
                <w:highlight w:val="none"/>
              </w:rPr>
              <w:t>分）</w:t>
            </w:r>
          </w:p>
        </w:tc>
        <w:tc>
          <w:tcPr>
            <w:tcW w:w="5826" w:type="dxa"/>
            <w:tcBorders>
              <w:top w:val="single" w:color="auto" w:sz="4" w:space="0"/>
              <w:left w:val="single" w:color="auto" w:sz="4" w:space="0"/>
              <w:bottom w:val="single" w:color="auto" w:sz="4" w:space="0"/>
              <w:right w:val="single" w:color="auto" w:sz="4" w:space="0"/>
            </w:tcBorders>
            <w:vAlign w:val="center"/>
          </w:tcPr>
          <w:p w14:paraId="7B2F7F3E">
            <w:pPr>
              <w:widowControl/>
              <w:spacing w:line="500" w:lineRule="exact"/>
              <w:ind w:firstLine="420"/>
              <w:rPr>
                <w:color w:val="auto"/>
                <w:highlight w:val="none"/>
              </w:rPr>
            </w:pPr>
            <w:r>
              <w:rPr>
                <w:rFonts w:hint="eastAsia"/>
                <w:color w:val="auto"/>
                <w:highlight w:val="none"/>
              </w:rPr>
              <w:t>由磋商小组各成员根据下述标准进行独立评审。未提供相关内容的得0分。</w:t>
            </w:r>
          </w:p>
          <w:p w14:paraId="25B63BE6">
            <w:pPr>
              <w:widowControl/>
              <w:spacing w:line="500" w:lineRule="exact"/>
              <w:ind w:firstLine="420"/>
              <w:rPr>
                <w:rFonts w:ascii="宋体" w:hAnsi="宋体" w:cs="宋体"/>
                <w:color w:val="auto"/>
                <w:kern w:val="0"/>
                <w:highlight w:val="none"/>
              </w:rPr>
            </w:pPr>
            <w:r>
              <w:rPr>
                <w:color w:val="auto"/>
                <w:spacing w:val="6"/>
                <w:highlight w:val="none"/>
              </w:rPr>
              <w:t>一档（10</w:t>
            </w:r>
            <w:r>
              <w:rPr>
                <w:color w:val="auto"/>
                <w:spacing w:val="-35"/>
                <w:highlight w:val="none"/>
              </w:rPr>
              <w:t xml:space="preserve"> </w:t>
            </w:r>
            <w:r>
              <w:rPr>
                <w:color w:val="auto"/>
                <w:spacing w:val="6"/>
                <w:highlight w:val="none"/>
              </w:rPr>
              <w:t>分</w:t>
            </w:r>
            <w:r>
              <w:rPr>
                <w:color w:val="auto"/>
                <w:spacing w:val="-4"/>
                <w:highlight w:val="none"/>
              </w:rPr>
              <w:t>）：</w:t>
            </w:r>
            <w:r>
              <w:rPr>
                <w:color w:val="auto"/>
                <w:spacing w:val="6"/>
                <w:highlight w:val="none"/>
              </w:rPr>
              <w:t>投入的施工材料有详细的组织</w:t>
            </w:r>
            <w:r>
              <w:rPr>
                <w:color w:val="auto"/>
                <w:spacing w:val="5"/>
                <w:highlight w:val="none"/>
              </w:rPr>
              <w:t>计划且计划周密，</w:t>
            </w:r>
            <w:r>
              <w:rPr>
                <w:color w:val="auto"/>
                <w:highlight w:val="none"/>
              </w:rPr>
              <w:t xml:space="preserve"> </w:t>
            </w:r>
            <w:r>
              <w:rPr>
                <w:color w:val="auto"/>
                <w:spacing w:val="9"/>
                <w:highlight w:val="none"/>
              </w:rPr>
              <w:t>数量、选型配置、进场时间安排合理，完全满足施工需要。</w:t>
            </w:r>
          </w:p>
          <w:p w14:paraId="66BC2486">
            <w:pPr>
              <w:widowControl/>
              <w:spacing w:line="500" w:lineRule="exact"/>
              <w:ind w:firstLine="420"/>
              <w:rPr>
                <w:rFonts w:hint="eastAsia"/>
                <w:color w:val="auto"/>
                <w:highlight w:val="none"/>
              </w:rPr>
            </w:pPr>
            <w:r>
              <w:rPr>
                <w:rFonts w:hint="eastAsia"/>
                <w:color w:val="auto"/>
                <w:highlight w:val="none"/>
              </w:rPr>
              <w:t>二档（6 分）：投入的施工材料有组织计划且计划周密，数量、选型配置、进场时间安排合理，满足施工需要。</w:t>
            </w:r>
          </w:p>
          <w:p w14:paraId="47E3602A">
            <w:pPr>
              <w:widowControl/>
              <w:spacing w:line="500" w:lineRule="exact"/>
              <w:ind w:firstLine="420"/>
              <w:rPr>
                <w:color w:val="auto"/>
                <w:highlight w:val="none"/>
              </w:rPr>
            </w:pPr>
            <w:r>
              <w:rPr>
                <w:rFonts w:hint="eastAsia"/>
                <w:color w:val="auto"/>
                <w:highlight w:val="none"/>
              </w:rPr>
              <w:t>三档（3分）：投入的施工材料有组织计划且计划一般，数量、 选型配置、进场时间安排基本合理，基本满足施工需要。</w:t>
            </w:r>
          </w:p>
        </w:tc>
      </w:tr>
      <w:tr w14:paraId="340C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1" w:hRule="atLeast"/>
          <w:jc w:val="center"/>
        </w:trPr>
        <w:tc>
          <w:tcPr>
            <w:tcW w:w="944" w:type="dxa"/>
            <w:vMerge w:val="continue"/>
            <w:tcBorders>
              <w:left w:val="single" w:color="auto" w:sz="4" w:space="0"/>
              <w:right w:val="single" w:color="auto" w:sz="4" w:space="0"/>
            </w:tcBorders>
            <w:vAlign w:val="center"/>
          </w:tcPr>
          <w:p w14:paraId="290378F2">
            <w:pPr>
              <w:spacing w:line="500" w:lineRule="exact"/>
              <w:jc w:val="center"/>
              <w:rPr>
                <w:rFonts w:ascii="宋体" w:hAnsi="宋体" w:cs="宋体"/>
                <w:color w:val="auto"/>
                <w:kern w:val="0"/>
                <w:highlight w:val="none"/>
              </w:rPr>
            </w:pPr>
          </w:p>
        </w:tc>
        <w:tc>
          <w:tcPr>
            <w:tcW w:w="1625" w:type="dxa"/>
            <w:vMerge w:val="continue"/>
            <w:tcBorders>
              <w:left w:val="single" w:color="auto" w:sz="4" w:space="0"/>
              <w:right w:val="single" w:color="auto" w:sz="4" w:space="0"/>
            </w:tcBorders>
            <w:vAlign w:val="center"/>
          </w:tcPr>
          <w:p w14:paraId="00CADC95">
            <w:pPr>
              <w:widowControl/>
              <w:spacing w:line="500" w:lineRule="exact"/>
              <w:ind w:left="27" w:leftChars="13" w:firstLine="27" w:firstLineChars="13"/>
              <w:rPr>
                <w:rFonts w:ascii="宋体" w:hAnsi="宋体" w:cs="宋体"/>
                <w:color w:val="auto"/>
                <w:kern w:val="0"/>
                <w:highlight w:val="none"/>
              </w:rPr>
            </w:pPr>
          </w:p>
        </w:tc>
        <w:tc>
          <w:tcPr>
            <w:tcW w:w="1553" w:type="dxa"/>
            <w:tcBorders>
              <w:top w:val="single" w:color="auto" w:sz="4" w:space="0"/>
              <w:left w:val="single" w:color="auto" w:sz="4" w:space="0"/>
              <w:bottom w:val="single" w:color="auto" w:sz="4" w:space="0"/>
              <w:right w:val="single" w:color="auto" w:sz="4" w:space="0"/>
            </w:tcBorders>
            <w:vAlign w:val="center"/>
          </w:tcPr>
          <w:p w14:paraId="193A3751">
            <w:pPr>
              <w:widowControl/>
              <w:spacing w:line="500" w:lineRule="exact"/>
              <w:ind w:left="27" w:leftChars="13" w:firstLine="27" w:firstLineChars="13"/>
              <w:jc w:val="center"/>
              <w:rPr>
                <w:rFonts w:ascii="宋体" w:hAnsi="宋体" w:cs="宋体"/>
                <w:color w:val="auto"/>
                <w:highlight w:val="none"/>
              </w:rPr>
            </w:pPr>
            <w:r>
              <w:rPr>
                <w:rFonts w:hint="eastAsia" w:ascii="宋体" w:hAnsi="宋体" w:cs="宋体"/>
                <w:b/>
                <w:bCs/>
                <w:color w:val="auto"/>
                <w:highlight w:val="none"/>
              </w:rPr>
              <w:t>劳动力安排计划（10 分）</w:t>
            </w:r>
          </w:p>
        </w:tc>
        <w:tc>
          <w:tcPr>
            <w:tcW w:w="5826" w:type="dxa"/>
            <w:tcBorders>
              <w:top w:val="single" w:color="auto" w:sz="4" w:space="0"/>
              <w:left w:val="single" w:color="auto" w:sz="4" w:space="0"/>
              <w:bottom w:val="single" w:color="auto" w:sz="4" w:space="0"/>
              <w:right w:val="single" w:color="auto" w:sz="4" w:space="0"/>
            </w:tcBorders>
            <w:vAlign w:val="center"/>
          </w:tcPr>
          <w:p w14:paraId="72A1EEAA">
            <w:pPr>
              <w:widowControl/>
              <w:spacing w:line="500" w:lineRule="exact"/>
              <w:ind w:firstLine="420"/>
              <w:rPr>
                <w:color w:val="auto"/>
                <w:highlight w:val="none"/>
              </w:rPr>
            </w:pPr>
            <w:r>
              <w:rPr>
                <w:rFonts w:hint="eastAsia"/>
                <w:color w:val="auto"/>
                <w:highlight w:val="none"/>
              </w:rPr>
              <w:t>由磋商小组各成员根据下述标准进行独立评审。未提供相关内容的得0分。</w:t>
            </w:r>
          </w:p>
          <w:p w14:paraId="6BFA5449">
            <w:pPr>
              <w:widowControl/>
              <w:spacing w:line="500" w:lineRule="exact"/>
              <w:ind w:firstLine="420"/>
              <w:rPr>
                <w:rFonts w:hint="eastAsia"/>
                <w:color w:val="auto"/>
                <w:highlight w:val="none"/>
              </w:rPr>
            </w:pPr>
            <w:r>
              <w:rPr>
                <w:rFonts w:hint="eastAsia"/>
                <w:color w:val="auto"/>
                <w:highlight w:val="none"/>
              </w:rPr>
              <w:t>一档（10分）</w:t>
            </w:r>
            <w:r>
              <w:rPr>
                <w:rFonts w:hint="eastAsia"/>
                <w:color w:val="auto"/>
                <w:highlight w:val="none"/>
                <w:lang w:eastAsia="zh-CN"/>
              </w:rPr>
              <w:t>：</w:t>
            </w:r>
            <w:r>
              <w:rPr>
                <w:rFonts w:hint="eastAsia"/>
                <w:color w:val="auto"/>
                <w:highlight w:val="none"/>
              </w:rPr>
              <w:t>各主要施工工序有详细周密的劳动力安排计划，有各工种劳动力安排计划，劳动力投入合理，完全满足施工需要。</w:t>
            </w:r>
          </w:p>
          <w:p w14:paraId="6545A634">
            <w:pPr>
              <w:widowControl/>
              <w:spacing w:line="500" w:lineRule="exact"/>
              <w:ind w:firstLine="420"/>
              <w:rPr>
                <w:rFonts w:hint="eastAsia"/>
                <w:color w:val="auto"/>
                <w:highlight w:val="none"/>
              </w:rPr>
            </w:pPr>
            <w:r>
              <w:rPr>
                <w:rFonts w:hint="eastAsia"/>
                <w:color w:val="auto"/>
                <w:highlight w:val="none"/>
              </w:rPr>
              <w:t>二档（6分）：各主要施工工序有详细周密的劳动力安排计划，有各工种劳动力安排计划，劳动力投入合理，满足施工需要。</w:t>
            </w:r>
          </w:p>
          <w:p w14:paraId="66D15190">
            <w:pPr>
              <w:widowControl/>
              <w:spacing w:line="500" w:lineRule="exact"/>
              <w:ind w:firstLine="420"/>
              <w:rPr>
                <w:color w:val="auto"/>
                <w:highlight w:val="none"/>
              </w:rPr>
            </w:pPr>
            <w:r>
              <w:rPr>
                <w:rFonts w:hint="eastAsia"/>
                <w:color w:val="auto"/>
                <w:highlight w:val="none"/>
              </w:rPr>
              <w:t>三档（3分）：各主要施工工序有较详细的劳动力安排计划，有各工种劳动力安排计划，劳动力投入一般，基本满足施工需要。</w:t>
            </w:r>
          </w:p>
          <w:p w14:paraId="2B20F785">
            <w:pPr>
              <w:pStyle w:val="15"/>
              <w:rPr>
                <w:color w:val="auto"/>
                <w:highlight w:val="none"/>
              </w:rPr>
            </w:pPr>
          </w:p>
        </w:tc>
      </w:tr>
      <w:tr w14:paraId="1B7E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vMerge w:val="continue"/>
            <w:tcBorders>
              <w:left w:val="single" w:color="auto" w:sz="4" w:space="0"/>
              <w:right w:val="single" w:color="auto" w:sz="4" w:space="0"/>
            </w:tcBorders>
            <w:vAlign w:val="center"/>
          </w:tcPr>
          <w:p w14:paraId="5B4EB008">
            <w:pPr>
              <w:spacing w:line="500" w:lineRule="exact"/>
              <w:jc w:val="center"/>
              <w:rPr>
                <w:rFonts w:ascii="宋体" w:hAnsi="宋体" w:cs="宋体"/>
                <w:color w:val="auto"/>
                <w:kern w:val="0"/>
                <w:highlight w:val="none"/>
              </w:rPr>
            </w:pPr>
          </w:p>
        </w:tc>
        <w:tc>
          <w:tcPr>
            <w:tcW w:w="1625" w:type="dxa"/>
            <w:vMerge w:val="continue"/>
            <w:tcBorders>
              <w:left w:val="single" w:color="auto" w:sz="4" w:space="0"/>
              <w:right w:val="single" w:color="auto" w:sz="4" w:space="0"/>
            </w:tcBorders>
            <w:vAlign w:val="center"/>
          </w:tcPr>
          <w:p w14:paraId="25DE28F4">
            <w:pPr>
              <w:widowControl/>
              <w:spacing w:line="500" w:lineRule="exact"/>
              <w:ind w:firstLine="27" w:firstLineChars="13"/>
              <w:rPr>
                <w:rFonts w:ascii="宋体" w:hAnsi="宋体" w:cs="宋体"/>
                <w:color w:val="auto"/>
                <w:kern w:val="0"/>
                <w:highlight w:val="none"/>
              </w:rPr>
            </w:pPr>
          </w:p>
        </w:tc>
        <w:tc>
          <w:tcPr>
            <w:tcW w:w="1553" w:type="dxa"/>
            <w:tcBorders>
              <w:top w:val="single" w:color="auto" w:sz="4" w:space="0"/>
              <w:left w:val="single" w:color="auto" w:sz="4" w:space="0"/>
              <w:bottom w:val="single" w:color="auto" w:sz="4" w:space="0"/>
              <w:right w:val="single" w:color="auto" w:sz="4" w:space="0"/>
            </w:tcBorders>
            <w:vAlign w:val="center"/>
          </w:tcPr>
          <w:p w14:paraId="427567DF">
            <w:pPr>
              <w:widowControl/>
              <w:spacing w:line="500" w:lineRule="exact"/>
              <w:jc w:val="center"/>
              <w:rPr>
                <w:rFonts w:ascii="宋体" w:hAnsi="宋体" w:cs="宋体"/>
                <w:color w:val="auto"/>
                <w:highlight w:val="none"/>
              </w:rPr>
            </w:pPr>
            <w:r>
              <w:rPr>
                <w:b/>
                <w:bCs/>
                <w:color w:val="auto"/>
                <w:spacing w:val="6"/>
                <w:highlight w:val="none"/>
              </w:rPr>
              <w:t>确保工程质量的技术组织措施（1</w:t>
            </w:r>
            <w:r>
              <w:rPr>
                <w:rFonts w:hint="eastAsia"/>
                <w:b/>
                <w:bCs/>
                <w:color w:val="auto"/>
                <w:spacing w:val="6"/>
                <w:highlight w:val="none"/>
                <w:lang w:val="en-US" w:eastAsia="zh-CN"/>
              </w:rPr>
              <w:t>5</w:t>
            </w:r>
            <w:r>
              <w:rPr>
                <w:color w:val="auto"/>
                <w:spacing w:val="-36"/>
                <w:highlight w:val="none"/>
              </w:rPr>
              <w:t xml:space="preserve"> </w:t>
            </w:r>
            <w:r>
              <w:rPr>
                <w:b/>
                <w:bCs/>
                <w:color w:val="auto"/>
                <w:spacing w:val="6"/>
                <w:highlight w:val="none"/>
              </w:rPr>
              <w:t>分）</w:t>
            </w:r>
          </w:p>
        </w:tc>
        <w:tc>
          <w:tcPr>
            <w:tcW w:w="5826" w:type="dxa"/>
            <w:tcBorders>
              <w:top w:val="single" w:color="auto" w:sz="4" w:space="0"/>
              <w:left w:val="single" w:color="auto" w:sz="4" w:space="0"/>
              <w:bottom w:val="single" w:color="auto" w:sz="4" w:space="0"/>
              <w:right w:val="single" w:color="auto" w:sz="4" w:space="0"/>
            </w:tcBorders>
            <w:vAlign w:val="center"/>
          </w:tcPr>
          <w:p w14:paraId="1129BE6C">
            <w:pPr>
              <w:widowControl/>
              <w:spacing w:line="500" w:lineRule="exact"/>
              <w:ind w:firstLine="420"/>
              <w:rPr>
                <w:color w:val="auto"/>
                <w:highlight w:val="none"/>
              </w:rPr>
            </w:pPr>
            <w:r>
              <w:rPr>
                <w:rFonts w:hint="eastAsia"/>
                <w:color w:val="auto"/>
                <w:highlight w:val="none"/>
              </w:rPr>
              <w:t>由磋商小组各成员根据下述标准进行独立评审。未提供相关内容的得0分。</w:t>
            </w:r>
          </w:p>
          <w:p w14:paraId="4B6FA9B1">
            <w:pPr>
              <w:widowControl/>
              <w:spacing w:line="500" w:lineRule="exact"/>
              <w:ind w:firstLine="420"/>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eastAsia="zh-CN"/>
              </w:rPr>
              <w:t>一档（1</w:t>
            </w:r>
            <w:r>
              <w:rPr>
                <w:rFonts w:hint="eastAsia" w:ascii="宋体" w:hAnsi="宋体" w:cs="宋体"/>
                <w:color w:val="auto"/>
                <w:kern w:val="0"/>
                <w:highlight w:val="none"/>
                <w:lang w:val="en-US" w:eastAsia="zh-CN"/>
              </w:rPr>
              <w:t>5</w:t>
            </w:r>
            <w:r>
              <w:rPr>
                <w:rFonts w:hint="eastAsia" w:ascii="宋体" w:hAnsi="宋体" w:eastAsia="宋体" w:cs="宋体"/>
                <w:color w:val="auto"/>
                <w:kern w:val="0"/>
                <w:highlight w:val="none"/>
                <w:lang w:eastAsia="zh-CN"/>
              </w:rPr>
              <w:t>分）：有专门的质量技术管理班子和制度，且人员配备合理，制度健全。主要工序有质量技术保证措施和手段优秀，自控体系完整，能有效保证技术质量，完全能达到承诺的质量标准。</w:t>
            </w:r>
          </w:p>
          <w:p w14:paraId="74F0F839">
            <w:pPr>
              <w:widowControl/>
              <w:spacing w:line="500" w:lineRule="exact"/>
              <w:ind w:firstLine="420"/>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eastAsia="zh-CN"/>
              </w:rPr>
              <w:t>二档（</w:t>
            </w:r>
            <w:r>
              <w:rPr>
                <w:rFonts w:hint="eastAsia" w:ascii="宋体" w:hAnsi="宋体" w:cs="宋体"/>
                <w:color w:val="auto"/>
                <w:kern w:val="0"/>
                <w:highlight w:val="none"/>
                <w:lang w:val="en-US" w:eastAsia="zh-CN"/>
              </w:rPr>
              <w:t>10</w:t>
            </w:r>
            <w:r>
              <w:rPr>
                <w:rFonts w:hint="eastAsia" w:ascii="宋体" w:hAnsi="宋体" w:eastAsia="宋体" w:cs="宋体"/>
                <w:color w:val="auto"/>
                <w:kern w:val="0"/>
                <w:highlight w:val="none"/>
                <w:lang w:eastAsia="zh-CN"/>
              </w:rPr>
              <w:t>分）：有专门的质量技术管理班子和制度，且人员配备合理，制度健全。主要工序质量技术保证措施和手段良好，自控体系完整，能有效保证技术质量，能达到承诺的质量标准。</w:t>
            </w:r>
          </w:p>
          <w:p w14:paraId="4B0AAD5A">
            <w:pPr>
              <w:widowControl/>
              <w:spacing w:line="500" w:lineRule="exact"/>
              <w:ind w:firstLine="420"/>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eastAsia="zh-CN"/>
              </w:rPr>
              <w:t>三档（</w:t>
            </w:r>
            <w:r>
              <w:rPr>
                <w:rFonts w:hint="eastAsia" w:ascii="宋体" w:hAnsi="宋体" w:cs="宋体"/>
                <w:color w:val="auto"/>
                <w:kern w:val="0"/>
                <w:highlight w:val="none"/>
                <w:lang w:val="en-US" w:eastAsia="zh-CN"/>
              </w:rPr>
              <w:t>5</w:t>
            </w:r>
            <w:r>
              <w:rPr>
                <w:rFonts w:hint="eastAsia" w:ascii="宋体" w:hAnsi="宋体" w:eastAsia="宋体" w:cs="宋体"/>
                <w:color w:val="auto"/>
                <w:kern w:val="0"/>
                <w:highlight w:val="none"/>
                <w:lang w:eastAsia="zh-CN"/>
              </w:rPr>
              <w:t>分）：有专门的质量技术管理班子和制度，且人员配备基本合理，制度基本健全。主要工序有基本的质量技术保证措施和手段一般，自控体系较完整，基本能有效保证技术质量，基本达到承诺的质量标准。</w:t>
            </w:r>
          </w:p>
          <w:p w14:paraId="172E7AE2">
            <w:pPr>
              <w:pStyle w:val="15"/>
              <w:rPr>
                <w:color w:val="auto"/>
                <w:highlight w:val="none"/>
              </w:rPr>
            </w:pPr>
          </w:p>
        </w:tc>
      </w:tr>
      <w:tr w14:paraId="23FB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944" w:type="dxa"/>
            <w:vMerge w:val="continue"/>
            <w:tcBorders>
              <w:left w:val="single" w:color="auto" w:sz="4" w:space="0"/>
              <w:right w:val="single" w:color="auto" w:sz="4" w:space="0"/>
            </w:tcBorders>
            <w:vAlign w:val="center"/>
          </w:tcPr>
          <w:p w14:paraId="7372481D">
            <w:pPr>
              <w:spacing w:line="500" w:lineRule="exact"/>
              <w:jc w:val="center"/>
              <w:rPr>
                <w:rFonts w:ascii="宋体" w:hAnsi="宋体" w:cs="宋体"/>
                <w:color w:val="auto"/>
                <w:kern w:val="0"/>
                <w:highlight w:val="none"/>
              </w:rPr>
            </w:pPr>
          </w:p>
        </w:tc>
        <w:tc>
          <w:tcPr>
            <w:tcW w:w="1625" w:type="dxa"/>
            <w:vMerge w:val="continue"/>
            <w:tcBorders>
              <w:left w:val="single" w:color="auto" w:sz="4" w:space="0"/>
              <w:right w:val="single" w:color="auto" w:sz="4" w:space="0"/>
            </w:tcBorders>
            <w:vAlign w:val="center"/>
          </w:tcPr>
          <w:p w14:paraId="681D2406">
            <w:pPr>
              <w:widowControl/>
              <w:spacing w:line="500" w:lineRule="exact"/>
              <w:ind w:left="27" w:leftChars="13" w:firstLine="27" w:firstLineChars="13"/>
              <w:rPr>
                <w:rFonts w:ascii="宋体" w:hAnsi="宋体" w:cs="宋体"/>
                <w:color w:val="auto"/>
                <w:kern w:val="0"/>
                <w:highlight w:val="none"/>
              </w:rPr>
            </w:pPr>
          </w:p>
        </w:tc>
        <w:tc>
          <w:tcPr>
            <w:tcW w:w="1553" w:type="dxa"/>
            <w:tcBorders>
              <w:top w:val="single" w:color="auto" w:sz="4" w:space="0"/>
              <w:left w:val="single" w:color="auto" w:sz="4" w:space="0"/>
              <w:bottom w:val="single" w:color="auto" w:sz="4" w:space="0"/>
              <w:right w:val="single" w:color="auto" w:sz="4" w:space="0"/>
            </w:tcBorders>
            <w:vAlign w:val="center"/>
          </w:tcPr>
          <w:p w14:paraId="602D4EF5">
            <w:pPr>
              <w:widowControl/>
              <w:spacing w:line="500" w:lineRule="exact"/>
              <w:ind w:left="27" w:leftChars="13" w:firstLine="29" w:firstLineChars="13"/>
              <w:jc w:val="center"/>
              <w:rPr>
                <w:rFonts w:ascii="宋体" w:hAnsi="宋体" w:cs="宋体"/>
                <w:color w:val="auto"/>
                <w:kern w:val="0"/>
                <w:sz w:val="20"/>
                <w:szCs w:val="20"/>
                <w:highlight w:val="none"/>
              </w:rPr>
            </w:pPr>
            <w:r>
              <w:rPr>
                <w:b/>
                <w:bCs/>
                <w:color w:val="auto"/>
                <w:spacing w:val="6"/>
                <w:highlight w:val="none"/>
              </w:rPr>
              <w:t>确保安全生产的技术组织措施（10</w:t>
            </w:r>
            <w:r>
              <w:rPr>
                <w:color w:val="auto"/>
                <w:spacing w:val="-36"/>
                <w:highlight w:val="none"/>
              </w:rPr>
              <w:t xml:space="preserve"> </w:t>
            </w:r>
            <w:r>
              <w:rPr>
                <w:b/>
                <w:bCs/>
                <w:color w:val="auto"/>
                <w:spacing w:val="6"/>
                <w:highlight w:val="none"/>
              </w:rPr>
              <w:t>分）</w:t>
            </w:r>
          </w:p>
          <w:p w14:paraId="2F4B3B45">
            <w:pPr>
              <w:widowControl/>
              <w:spacing w:line="500" w:lineRule="exact"/>
              <w:ind w:firstLine="315"/>
              <w:jc w:val="center"/>
              <w:rPr>
                <w:rFonts w:ascii="宋体" w:hAnsi="宋体" w:cs="宋体"/>
                <w:color w:val="auto"/>
                <w:highlight w:val="none"/>
              </w:rPr>
            </w:pPr>
          </w:p>
        </w:tc>
        <w:tc>
          <w:tcPr>
            <w:tcW w:w="5826" w:type="dxa"/>
            <w:tcBorders>
              <w:top w:val="single" w:color="auto" w:sz="4" w:space="0"/>
              <w:left w:val="single" w:color="auto" w:sz="4" w:space="0"/>
              <w:bottom w:val="single" w:color="auto" w:sz="4" w:space="0"/>
              <w:right w:val="single" w:color="auto" w:sz="4" w:space="0"/>
            </w:tcBorders>
            <w:vAlign w:val="center"/>
          </w:tcPr>
          <w:p w14:paraId="1431BE69">
            <w:pPr>
              <w:widowControl/>
              <w:spacing w:line="500" w:lineRule="exact"/>
              <w:ind w:firstLine="420"/>
              <w:rPr>
                <w:color w:val="auto"/>
                <w:highlight w:val="none"/>
              </w:rPr>
            </w:pPr>
            <w:r>
              <w:rPr>
                <w:rFonts w:hint="eastAsia"/>
                <w:color w:val="auto"/>
                <w:highlight w:val="none"/>
              </w:rPr>
              <w:t>由磋商小组各成员根据下述标准进行独立评审。未提供相关内容的得0分。</w:t>
            </w:r>
          </w:p>
          <w:p w14:paraId="7FBE4C1C">
            <w:pPr>
              <w:widowControl/>
              <w:spacing w:line="500" w:lineRule="exact"/>
              <w:ind w:firstLine="420"/>
              <w:rPr>
                <w:rFonts w:hint="eastAsia"/>
                <w:color w:val="auto"/>
                <w:highlight w:val="none"/>
              </w:rPr>
            </w:pPr>
            <w:r>
              <w:rPr>
                <w:rFonts w:hint="eastAsia"/>
                <w:color w:val="auto"/>
                <w:highlight w:val="none"/>
              </w:rPr>
              <w:t>一档（10分）：有专门的安全管理人员和制度，且人员配备合理，制度健全，各道工序安全技术措施针对性强，确保工程质量的技术组织措施符合实际且满足有关安全技术标准要求。现场防火、应急救援、社会治安安全措施得力。</w:t>
            </w:r>
          </w:p>
          <w:p w14:paraId="49D787A8">
            <w:pPr>
              <w:widowControl/>
              <w:spacing w:line="500" w:lineRule="exact"/>
              <w:ind w:firstLine="420"/>
              <w:rPr>
                <w:rFonts w:hint="eastAsia"/>
                <w:color w:val="auto"/>
                <w:highlight w:val="none"/>
              </w:rPr>
            </w:pPr>
            <w:r>
              <w:rPr>
                <w:rFonts w:hint="eastAsia"/>
                <w:color w:val="auto"/>
                <w:highlight w:val="none"/>
              </w:rPr>
              <w:t>二档（6分）：有专门的安全管理人员和制度，且人员配备合理，制度健全，各道工序安全技术措施针对性良好，确保工程质量的技术组织措施符合实际且满足有关安全技术标准要求。现场防火、应急救援、社会治安安全措施良好。</w:t>
            </w:r>
          </w:p>
          <w:p w14:paraId="442E74AE">
            <w:pPr>
              <w:widowControl/>
              <w:spacing w:line="500" w:lineRule="exact"/>
              <w:ind w:firstLine="420"/>
              <w:rPr>
                <w:color w:val="auto"/>
                <w:highlight w:val="none"/>
              </w:rPr>
            </w:pPr>
            <w:r>
              <w:rPr>
                <w:rFonts w:hint="eastAsia"/>
                <w:color w:val="auto"/>
                <w:highlight w:val="none"/>
              </w:rPr>
              <w:t>三档（3分）：有专门的安全管理人员和制度，且人员配备基本合理，制度基本健全，各道工序安全技术措施针对性一般，确保工程质量的技术组织措基本符合实际且基本满足有关安全技术标准要求。现场防火、应急救援、社会治安安全措施稍差。</w:t>
            </w:r>
          </w:p>
        </w:tc>
      </w:tr>
      <w:tr w14:paraId="0AFC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944" w:type="dxa"/>
            <w:vMerge w:val="continue"/>
            <w:tcBorders>
              <w:left w:val="single" w:color="auto" w:sz="4" w:space="0"/>
              <w:right w:val="single" w:color="auto" w:sz="4" w:space="0"/>
            </w:tcBorders>
            <w:vAlign w:val="center"/>
          </w:tcPr>
          <w:p w14:paraId="6B92DCBD">
            <w:pPr>
              <w:spacing w:line="500" w:lineRule="exact"/>
              <w:jc w:val="center"/>
              <w:rPr>
                <w:rFonts w:ascii="宋体" w:hAnsi="宋体" w:cs="宋体"/>
                <w:color w:val="auto"/>
                <w:kern w:val="0"/>
                <w:highlight w:val="none"/>
              </w:rPr>
            </w:pPr>
          </w:p>
        </w:tc>
        <w:tc>
          <w:tcPr>
            <w:tcW w:w="1625" w:type="dxa"/>
            <w:vMerge w:val="continue"/>
            <w:tcBorders>
              <w:left w:val="single" w:color="auto" w:sz="4" w:space="0"/>
              <w:right w:val="single" w:color="auto" w:sz="4" w:space="0"/>
            </w:tcBorders>
            <w:vAlign w:val="center"/>
          </w:tcPr>
          <w:p w14:paraId="7D715697">
            <w:pPr>
              <w:widowControl/>
              <w:spacing w:line="500" w:lineRule="exact"/>
              <w:ind w:left="27" w:leftChars="13" w:firstLine="27" w:firstLineChars="13"/>
              <w:rPr>
                <w:rFonts w:ascii="宋体" w:hAnsi="宋体" w:cs="宋体"/>
                <w:color w:val="auto"/>
                <w:kern w:val="0"/>
                <w:highlight w:val="none"/>
              </w:rPr>
            </w:pPr>
          </w:p>
        </w:tc>
        <w:tc>
          <w:tcPr>
            <w:tcW w:w="1553" w:type="dxa"/>
            <w:tcBorders>
              <w:top w:val="single" w:color="auto" w:sz="4" w:space="0"/>
              <w:left w:val="single" w:color="auto" w:sz="4" w:space="0"/>
              <w:right w:val="single" w:color="auto" w:sz="4" w:space="0"/>
            </w:tcBorders>
            <w:vAlign w:val="center"/>
          </w:tcPr>
          <w:p w14:paraId="24859C11">
            <w:pPr>
              <w:widowControl/>
              <w:spacing w:line="500" w:lineRule="exact"/>
              <w:ind w:left="27" w:leftChars="13" w:firstLine="29" w:firstLineChars="13"/>
              <w:jc w:val="center"/>
              <w:rPr>
                <w:rFonts w:ascii="宋体" w:hAnsi="宋体" w:cs="宋体"/>
                <w:color w:val="auto"/>
                <w:highlight w:val="none"/>
              </w:rPr>
            </w:pPr>
            <w:r>
              <w:rPr>
                <w:b/>
                <w:bCs/>
                <w:color w:val="auto"/>
                <w:spacing w:val="5"/>
                <w:highlight w:val="none"/>
              </w:rPr>
              <w:t>确保工期的技术组织措施（10</w:t>
            </w:r>
            <w:r>
              <w:rPr>
                <w:color w:val="auto"/>
                <w:spacing w:val="-24"/>
                <w:highlight w:val="none"/>
              </w:rPr>
              <w:t xml:space="preserve"> </w:t>
            </w:r>
            <w:r>
              <w:rPr>
                <w:b/>
                <w:bCs/>
                <w:color w:val="auto"/>
                <w:spacing w:val="5"/>
                <w:highlight w:val="none"/>
              </w:rPr>
              <w:t>分）</w:t>
            </w:r>
          </w:p>
        </w:tc>
        <w:tc>
          <w:tcPr>
            <w:tcW w:w="5826" w:type="dxa"/>
            <w:tcBorders>
              <w:top w:val="single" w:color="auto" w:sz="4" w:space="0"/>
              <w:left w:val="single" w:color="auto" w:sz="4" w:space="0"/>
              <w:right w:val="single" w:color="auto" w:sz="4" w:space="0"/>
            </w:tcBorders>
            <w:vAlign w:val="center"/>
          </w:tcPr>
          <w:p w14:paraId="4849ECAC">
            <w:pPr>
              <w:widowControl/>
              <w:spacing w:line="500" w:lineRule="exact"/>
              <w:ind w:firstLine="420"/>
              <w:rPr>
                <w:color w:val="auto"/>
                <w:highlight w:val="none"/>
              </w:rPr>
            </w:pPr>
            <w:r>
              <w:rPr>
                <w:rFonts w:hint="eastAsia"/>
                <w:color w:val="auto"/>
                <w:highlight w:val="none"/>
              </w:rPr>
              <w:t>由磋商小组各成员根据下述标准进行独立评审。未提供相关内容的得0分。</w:t>
            </w:r>
          </w:p>
          <w:p w14:paraId="0A87C844">
            <w:pPr>
              <w:widowControl/>
              <w:spacing w:line="500" w:lineRule="exact"/>
              <w:ind w:firstLine="420"/>
              <w:rPr>
                <w:rFonts w:hint="eastAsia"/>
                <w:color w:val="auto"/>
                <w:highlight w:val="none"/>
              </w:rPr>
            </w:pPr>
            <w:r>
              <w:rPr>
                <w:rFonts w:hint="eastAsia"/>
                <w:color w:val="auto"/>
                <w:highlight w:val="none"/>
              </w:rPr>
              <w:t>一档（10分）：在施工工艺、施工方法、材料选用、劳动力安排、技术等方面有保证工期的具体措施且措施得当。有控制工期的施工进度计划。有施工总进度表或施工网络图，各项计划图表编制完善，安排科学合理，完全符合本项目施工实际要求。</w:t>
            </w:r>
          </w:p>
          <w:p w14:paraId="04163C08">
            <w:pPr>
              <w:widowControl/>
              <w:spacing w:line="500" w:lineRule="exact"/>
              <w:ind w:firstLine="420"/>
              <w:rPr>
                <w:rFonts w:hint="eastAsia"/>
                <w:color w:val="auto"/>
                <w:highlight w:val="none"/>
              </w:rPr>
            </w:pPr>
            <w:r>
              <w:rPr>
                <w:rFonts w:hint="eastAsia"/>
                <w:color w:val="auto"/>
                <w:highlight w:val="none"/>
              </w:rPr>
              <w:t>二档（6分）：在施工工艺、施工方法、材料选用、劳动力安排、技术等方面有较好的保证工期的具体措施且措施比较得当。有控制工期的施工进度计划。有施工总进度表或施工网络图，各项计划图表编制完善，安排基本科学合理，基本符合本项目施工实际要求。</w:t>
            </w:r>
          </w:p>
          <w:p w14:paraId="5A26DD4B">
            <w:pPr>
              <w:widowControl/>
              <w:spacing w:line="500" w:lineRule="exact"/>
              <w:ind w:firstLine="420"/>
              <w:rPr>
                <w:color w:val="auto"/>
                <w:highlight w:val="none"/>
              </w:rPr>
            </w:pPr>
            <w:r>
              <w:rPr>
                <w:rFonts w:hint="eastAsia"/>
                <w:color w:val="auto"/>
                <w:highlight w:val="none"/>
              </w:rPr>
              <w:t>三档（3分）：在施工工艺、施工方法、材料选用、劳动力安排、技术等方面有基本的保证工期的具体措施且措施一般。有控制工期的施工进度计划，但计划一般。有施工总进度表或施工网络图，各项计划图表编制一般，安排基本合理，基本能确保本项目施工要求。</w:t>
            </w:r>
          </w:p>
        </w:tc>
      </w:tr>
      <w:tr w14:paraId="508F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944" w:type="dxa"/>
            <w:vMerge w:val="restart"/>
            <w:tcBorders>
              <w:left w:val="single" w:color="auto" w:sz="4" w:space="0"/>
              <w:right w:val="single" w:color="auto" w:sz="4" w:space="0"/>
            </w:tcBorders>
            <w:vAlign w:val="center"/>
          </w:tcPr>
          <w:p w14:paraId="67633480">
            <w:pPr>
              <w:spacing w:line="500" w:lineRule="exact"/>
              <w:jc w:val="center"/>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2</w:t>
            </w:r>
          </w:p>
        </w:tc>
        <w:tc>
          <w:tcPr>
            <w:tcW w:w="1625" w:type="dxa"/>
            <w:vMerge w:val="restart"/>
            <w:tcBorders>
              <w:left w:val="single" w:color="auto" w:sz="4" w:space="0"/>
              <w:right w:val="single" w:color="auto" w:sz="4" w:space="0"/>
            </w:tcBorders>
            <w:vAlign w:val="center"/>
          </w:tcPr>
          <w:p w14:paraId="70EC4EA2">
            <w:pPr>
              <w:widowControl/>
              <w:spacing w:line="500" w:lineRule="exact"/>
              <w:ind w:left="27" w:leftChars="13" w:firstLine="27" w:firstLineChars="13"/>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eastAsia="zh-CN"/>
              </w:rPr>
              <w:t>商务分（满分</w:t>
            </w:r>
            <w:r>
              <w:rPr>
                <w:rFonts w:hint="eastAsia" w:ascii="宋体" w:hAnsi="宋体" w:cs="宋体"/>
                <w:color w:val="auto"/>
                <w:kern w:val="0"/>
                <w:highlight w:val="none"/>
                <w:lang w:val="en-US" w:eastAsia="zh-CN"/>
              </w:rPr>
              <w:t>10分</w:t>
            </w:r>
            <w:r>
              <w:rPr>
                <w:rFonts w:hint="eastAsia" w:ascii="宋体" w:hAnsi="宋体" w:cs="宋体"/>
                <w:color w:val="auto"/>
                <w:kern w:val="0"/>
                <w:highlight w:val="none"/>
                <w:lang w:eastAsia="zh-CN"/>
              </w:rPr>
              <w:t>）</w:t>
            </w:r>
          </w:p>
        </w:tc>
        <w:tc>
          <w:tcPr>
            <w:tcW w:w="1553" w:type="dxa"/>
            <w:tcBorders>
              <w:top w:val="single" w:color="auto" w:sz="4" w:space="0"/>
              <w:left w:val="single" w:color="auto" w:sz="4" w:space="0"/>
              <w:right w:val="single" w:color="auto" w:sz="4" w:space="0"/>
            </w:tcBorders>
            <w:vAlign w:val="center"/>
          </w:tcPr>
          <w:p w14:paraId="35848455">
            <w:pPr>
              <w:widowControl/>
              <w:spacing w:line="500" w:lineRule="exact"/>
              <w:jc w:val="center"/>
              <w:rPr>
                <w:rFonts w:hint="eastAsia" w:ascii="宋体" w:hAnsi="宋体" w:eastAsia="宋体" w:cs="宋体"/>
                <w:color w:val="auto"/>
                <w:highlight w:val="none"/>
                <w:lang w:eastAsia="zh-CN"/>
              </w:rPr>
            </w:pPr>
            <w:r>
              <w:rPr>
                <w:rFonts w:hint="eastAsia" w:ascii="宋体" w:hAnsi="宋体" w:cs="宋体"/>
                <w:b/>
                <w:bCs/>
                <w:color w:val="auto"/>
                <w:highlight w:val="none"/>
                <w:lang w:eastAsia="zh-CN"/>
              </w:rPr>
              <w:t>业绩分（</w:t>
            </w:r>
            <w:r>
              <w:rPr>
                <w:rFonts w:hint="eastAsia" w:ascii="宋体" w:hAnsi="宋体" w:cs="宋体"/>
                <w:b/>
                <w:bCs/>
                <w:color w:val="auto"/>
                <w:highlight w:val="none"/>
                <w:lang w:val="en-US" w:eastAsia="zh-CN"/>
              </w:rPr>
              <w:t>5分</w:t>
            </w:r>
            <w:r>
              <w:rPr>
                <w:rFonts w:hint="eastAsia" w:ascii="宋体" w:hAnsi="宋体" w:cs="宋体"/>
                <w:b/>
                <w:bCs/>
                <w:color w:val="auto"/>
                <w:highlight w:val="none"/>
                <w:lang w:eastAsia="zh-CN"/>
              </w:rPr>
              <w:t>）</w:t>
            </w:r>
          </w:p>
        </w:tc>
        <w:tc>
          <w:tcPr>
            <w:tcW w:w="5826" w:type="dxa"/>
            <w:tcBorders>
              <w:top w:val="single" w:color="auto" w:sz="4" w:space="0"/>
              <w:left w:val="single" w:color="auto" w:sz="4" w:space="0"/>
              <w:bottom w:val="single" w:color="auto" w:sz="4" w:space="0"/>
              <w:right w:val="single" w:color="auto" w:sz="4" w:space="0"/>
            </w:tcBorders>
            <w:vAlign w:val="center"/>
          </w:tcPr>
          <w:p w14:paraId="1A739D3D">
            <w:pPr>
              <w:widowControl/>
              <w:spacing w:line="500" w:lineRule="exact"/>
              <w:ind w:firstLine="420" w:firstLineChars="200"/>
              <w:rPr>
                <w:rFonts w:hint="eastAsia"/>
                <w:color w:val="auto"/>
                <w:highlight w:val="none"/>
              </w:rPr>
            </w:pPr>
            <w:r>
              <w:rPr>
                <w:rFonts w:hint="eastAsia"/>
                <w:color w:val="auto"/>
                <w:highlight w:val="none"/>
              </w:rPr>
              <w:t>2021年以来完成过类似工程（市政公用工程）施工业绩的，每个得2</w:t>
            </w:r>
            <w:r>
              <w:rPr>
                <w:rFonts w:hint="eastAsia"/>
                <w:color w:val="auto"/>
                <w:highlight w:val="none"/>
                <w:lang w:val="en-US" w:eastAsia="zh-CN"/>
              </w:rPr>
              <w:t>.5</w:t>
            </w:r>
            <w:r>
              <w:rPr>
                <w:rFonts w:hint="eastAsia"/>
                <w:color w:val="auto"/>
                <w:highlight w:val="none"/>
              </w:rPr>
              <w:t>分，满分</w:t>
            </w:r>
            <w:r>
              <w:rPr>
                <w:rFonts w:hint="eastAsia"/>
                <w:color w:val="auto"/>
                <w:highlight w:val="none"/>
                <w:lang w:val="en-US" w:eastAsia="zh-CN"/>
              </w:rPr>
              <w:t>5</w:t>
            </w:r>
            <w:r>
              <w:rPr>
                <w:rFonts w:hint="eastAsia"/>
                <w:color w:val="auto"/>
                <w:highlight w:val="none"/>
              </w:rPr>
              <w:t>分</w:t>
            </w:r>
            <w:r>
              <w:rPr>
                <w:rFonts w:hint="eastAsia"/>
                <w:color w:val="auto"/>
                <w:highlight w:val="none"/>
                <w:lang w:eastAsia="zh-CN"/>
              </w:rPr>
              <w:t>。</w:t>
            </w:r>
            <w:r>
              <w:rPr>
                <w:rFonts w:hint="eastAsia"/>
                <w:color w:val="auto"/>
                <w:highlight w:val="none"/>
              </w:rPr>
              <w:t>（提供中标（成交）通知书或合同书扫描件加盖单位公章）</w:t>
            </w:r>
          </w:p>
        </w:tc>
      </w:tr>
      <w:tr w14:paraId="63DE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944" w:type="dxa"/>
            <w:vMerge w:val="continue"/>
            <w:tcBorders>
              <w:left w:val="single" w:color="auto" w:sz="4" w:space="0"/>
              <w:right w:val="single" w:color="auto" w:sz="4" w:space="0"/>
            </w:tcBorders>
            <w:vAlign w:val="center"/>
          </w:tcPr>
          <w:p w14:paraId="694F6263">
            <w:pPr>
              <w:spacing w:line="500" w:lineRule="exact"/>
              <w:jc w:val="center"/>
              <w:rPr>
                <w:rFonts w:hint="eastAsia" w:ascii="宋体" w:hAnsi="宋体" w:cs="宋体"/>
                <w:color w:val="auto"/>
                <w:kern w:val="0"/>
                <w:highlight w:val="none"/>
                <w:lang w:val="en-US" w:eastAsia="zh-CN"/>
              </w:rPr>
            </w:pPr>
          </w:p>
        </w:tc>
        <w:tc>
          <w:tcPr>
            <w:tcW w:w="1625" w:type="dxa"/>
            <w:vMerge w:val="continue"/>
            <w:tcBorders>
              <w:left w:val="single" w:color="auto" w:sz="4" w:space="0"/>
              <w:right w:val="single" w:color="auto" w:sz="4" w:space="0"/>
            </w:tcBorders>
            <w:vAlign w:val="center"/>
          </w:tcPr>
          <w:p w14:paraId="64736639">
            <w:pPr>
              <w:widowControl/>
              <w:spacing w:line="500" w:lineRule="exact"/>
              <w:ind w:left="27" w:leftChars="13" w:firstLine="27" w:firstLineChars="13"/>
              <w:jc w:val="center"/>
              <w:rPr>
                <w:rFonts w:hint="eastAsia" w:ascii="宋体" w:hAnsi="宋体" w:cs="宋体"/>
                <w:color w:val="auto"/>
                <w:kern w:val="0"/>
                <w:highlight w:val="none"/>
                <w:lang w:eastAsia="zh-CN"/>
              </w:rPr>
            </w:pPr>
          </w:p>
        </w:tc>
        <w:tc>
          <w:tcPr>
            <w:tcW w:w="1553" w:type="dxa"/>
            <w:tcBorders>
              <w:top w:val="single" w:color="auto" w:sz="4" w:space="0"/>
              <w:left w:val="single" w:color="auto" w:sz="4" w:space="0"/>
              <w:right w:val="single" w:color="auto" w:sz="4" w:space="0"/>
            </w:tcBorders>
            <w:vAlign w:val="center"/>
          </w:tcPr>
          <w:p w14:paraId="349104F8">
            <w:pPr>
              <w:widowControl/>
              <w:spacing w:line="500" w:lineRule="exact"/>
              <w:jc w:val="center"/>
              <w:rPr>
                <w:rFonts w:hint="eastAsia" w:ascii="宋体" w:hAnsi="宋体" w:cs="宋体"/>
                <w:b/>
                <w:bCs/>
                <w:color w:val="auto"/>
                <w:highlight w:val="none"/>
                <w:lang w:eastAsia="zh-CN"/>
              </w:rPr>
            </w:pPr>
            <w:r>
              <w:rPr>
                <w:rFonts w:hint="eastAsia" w:ascii="宋体" w:hAnsi="宋体" w:cs="宋体"/>
                <w:b/>
                <w:bCs/>
                <w:color w:val="auto"/>
                <w:highlight w:val="none"/>
                <w:lang w:eastAsia="zh-CN"/>
              </w:rPr>
              <w:t>人员配备分</w:t>
            </w:r>
          </w:p>
          <w:p w14:paraId="359977DA">
            <w:pPr>
              <w:widowControl/>
              <w:spacing w:line="500" w:lineRule="exact"/>
              <w:jc w:val="center"/>
              <w:rPr>
                <w:rFonts w:hint="eastAsia" w:ascii="宋体" w:hAnsi="宋体" w:cs="宋体"/>
                <w:b/>
                <w:bCs/>
                <w:color w:val="auto"/>
                <w:highlight w:val="none"/>
                <w:lang w:eastAsia="zh-CN"/>
              </w:rPr>
            </w:pP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5分</w:t>
            </w:r>
            <w:r>
              <w:rPr>
                <w:rFonts w:hint="eastAsia" w:ascii="宋体" w:hAnsi="宋体" w:cs="宋体"/>
                <w:b/>
                <w:bCs/>
                <w:color w:val="auto"/>
                <w:highlight w:val="none"/>
                <w:lang w:eastAsia="zh-CN"/>
              </w:rPr>
              <w:t>）</w:t>
            </w:r>
          </w:p>
        </w:tc>
        <w:tc>
          <w:tcPr>
            <w:tcW w:w="5826" w:type="dxa"/>
            <w:tcBorders>
              <w:top w:val="single" w:color="auto" w:sz="4" w:space="0"/>
              <w:left w:val="single" w:color="auto" w:sz="4" w:space="0"/>
              <w:bottom w:val="single" w:color="auto" w:sz="4" w:space="0"/>
              <w:right w:val="single" w:color="auto" w:sz="4" w:space="0"/>
            </w:tcBorders>
            <w:vAlign w:val="center"/>
          </w:tcPr>
          <w:p w14:paraId="7796CF1A">
            <w:pPr>
              <w:widowControl/>
              <w:spacing w:line="500" w:lineRule="exact"/>
              <w:ind w:firstLine="420" w:firstLineChars="200"/>
              <w:rPr>
                <w:rFonts w:hint="eastAsia"/>
                <w:color w:val="auto"/>
                <w:highlight w:val="none"/>
              </w:rPr>
            </w:pPr>
            <w:r>
              <w:rPr>
                <w:rFonts w:hint="eastAsia"/>
                <w:color w:val="auto"/>
                <w:highlight w:val="none"/>
              </w:rPr>
              <w:t>（1）拟投入本项目技术负责人具备中级工程师及以上职称的得2分，此项满分2分。</w:t>
            </w:r>
          </w:p>
          <w:p w14:paraId="243E6AEB">
            <w:pPr>
              <w:widowControl/>
              <w:spacing w:line="500" w:lineRule="exact"/>
              <w:ind w:firstLine="420" w:firstLineChars="200"/>
              <w:rPr>
                <w:rFonts w:hint="eastAsia"/>
                <w:color w:val="auto"/>
                <w:highlight w:val="none"/>
              </w:rPr>
            </w:pPr>
            <w:r>
              <w:rPr>
                <w:rFonts w:hint="eastAsia"/>
                <w:color w:val="auto"/>
                <w:highlight w:val="none"/>
              </w:rPr>
              <w:t>（2）拟投入本项目其他人员（施工员、质量员、材料员、安全员）配备齐全的得3分，此项满分3分。</w:t>
            </w:r>
          </w:p>
        </w:tc>
      </w:tr>
      <w:tr w14:paraId="5CDC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944" w:type="dxa"/>
            <w:tcBorders>
              <w:top w:val="single" w:color="auto" w:sz="4" w:space="0"/>
              <w:left w:val="single" w:color="auto" w:sz="4" w:space="0"/>
              <w:right w:val="single" w:color="auto" w:sz="4" w:space="0"/>
            </w:tcBorders>
            <w:vAlign w:val="center"/>
          </w:tcPr>
          <w:p w14:paraId="33B2DAA9">
            <w:pPr>
              <w:widowControl/>
              <w:spacing w:line="500" w:lineRule="exact"/>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val="en-US" w:eastAsia="zh-CN"/>
              </w:rPr>
              <w:t>3</w:t>
            </w:r>
          </w:p>
        </w:tc>
        <w:tc>
          <w:tcPr>
            <w:tcW w:w="1625" w:type="dxa"/>
            <w:tcBorders>
              <w:top w:val="single" w:color="auto" w:sz="4" w:space="0"/>
              <w:left w:val="single" w:color="auto" w:sz="4" w:space="0"/>
              <w:right w:val="single" w:color="auto" w:sz="4" w:space="0"/>
            </w:tcBorders>
            <w:vAlign w:val="center"/>
          </w:tcPr>
          <w:p w14:paraId="708F9ABC">
            <w:pPr>
              <w:spacing w:line="500" w:lineRule="exact"/>
              <w:jc w:val="center"/>
              <w:rPr>
                <w:rFonts w:ascii="宋体" w:hAnsi="宋体" w:cs="宋体"/>
                <w:color w:val="auto"/>
                <w:highlight w:val="none"/>
              </w:rPr>
            </w:pPr>
            <w:r>
              <w:rPr>
                <w:rFonts w:hint="eastAsia" w:ascii="宋体" w:hAnsi="宋体" w:cs="宋体"/>
                <w:color w:val="auto"/>
                <w:highlight w:val="none"/>
              </w:rPr>
              <w:t>磋商报价评分（满分</w:t>
            </w:r>
            <w:r>
              <w:rPr>
                <w:rFonts w:hint="eastAsia" w:ascii="宋体" w:hAnsi="宋体" w:cs="宋体"/>
                <w:color w:val="auto"/>
                <w:highlight w:val="none"/>
                <w:lang w:val="en-US" w:eastAsia="zh-CN"/>
              </w:rPr>
              <w:t>2</w:t>
            </w:r>
            <w:r>
              <w:rPr>
                <w:rFonts w:hint="eastAsia" w:ascii="宋体" w:hAnsi="宋体" w:cs="宋体"/>
                <w:color w:val="auto"/>
                <w:highlight w:val="none"/>
              </w:rPr>
              <w:t>0分）</w:t>
            </w:r>
          </w:p>
        </w:tc>
        <w:tc>
          <w:tcPr>
            <w:tcW w:w="7379" w:type="dxa"/>
            <w:gridSpan w:val="2"/>
            <w:tcBorders>
              <w:top w:val="single" w:color="auto" w:sz="4" w:space="0"/>
              <w:left w:val="single" w:color="auto" w:sz="4" w:space="0"/>
              <w:bottom w:val="single" w:color="auto" w:sz="4" w:space="0"/>
              <w:right w:val="single" w:color="auto" w:sz="4" w:space="0"/>
            </w:tcBorders>
            <w:vAlign w:val="center"/>
          </w:tcPr>
          <w:p w14:paraId="5EA2ACE1">
            <w:pPr>
              <w:spacing w:line="360" w:lineRule="auto"/>
              <w:rPr>
                <w:rFonts w:ascii="宋体" w:hAnsi="宋体" w:cs="Courier New"/>
                <w:bCs/>
                <w:color w:val="auto"/>
                <w:szCs w:val="21"/>
                <w:highlight w:val="none"/>
              </w:rPr>
            </w:pPr>
            <w:r>
              <w:rPr>
                <w:rFonts w:hint="eastAsia" w:ascii="宋体" w:hAnsi="宋体" w:cs="Courier New"/>
                <w:bCs/>
                <w:color w:val="auto"/>
                <w:szCs w:val="21"/>
                <w:highlight w:val="none"/>
              </w:rPr>
              <w:t>（1）本项目为专门面向中小企业采购的项目，按照《政府采购促进中小企业发展管理办法》（财库〔2020〕46号）的规定，对供应商最后报价不再执行价格评审优惠的扶持政策，供应商的评审价等于最后报价，最终成交供应商的成交金额等于最后报价。</w:t>
            </w:r>
          </w:p>
          <w:p w14:paraId="3E5789ED">
            <w:pPr>
              <w:pStyle w:val="13"/>
              <w:spacing w:line="360" w:lineRule="auto"/>
              <w:rPr>
                <w:rFonts w:hAnsi="宋体" w:cs="Courier New"/>
                <w:bCs/>
                <w:color w:val="auto"/>
                <w:highlight w:val="none"/>
              </w:rPr>
            </w:pPr>
            <w:r>
              <w:rPr>
                <w:rFonts w:hint="eastAsia" w:hAnsi="宋体" w:cs="Courier New"/>
                <w:bCs/>
                <w:color w:val="auto"/>
                <w:highlight w:val="none"/>
              </w:rPr>
              <w:t>以进入比较与评价环节的最低的评审价为基准价，基准价得分为</w:t>
            </w:r>
            <w:r>
              <w:rPr>
                <w:rFonts w:hint="eastAsia" w:hAnsi="宋体" w:cs="Courier New"/>
                <w:bCs/>
                <w:color w:val="auto"/>
                <w:highlight w:val="none"/>
                <w:u w:val="single"/>
                <w:lang w:val="en-US" w:eastAsia="zh-CN"/>
              </w:rPr>
              <w:t>2</w:t>
            </w:r>
            <w:r>
              <w:rPr>
                <w:rFonts w:hint="eastAsia" w:hAnsi="宋体" w:cs="Courier New"/>
                <w:bCs/>
                <w:color w:val="auto"/>
                <w:highlight w:val="none"/>
                <w:u w:val="single"/>
              </w:rPr>
              <w:t>0分</w:t>
            </w:r>
            <w:r>
              <w:rPr>
                <w:rFonts w:hint="eastAsia" w:hAnsi="宋体" w:cs="Courier New"/>
                <w:bCs/>
                <w:color w:val="auto"/>
                <w:highlight w:val="none"/>
              </w:rPr>
              <w:t>。</w:t>
            </w:r>
          </w:p>
          <w:p w14:paraId="3D17CB37">
            <w:pPr>
              <w:spacing w:line="360" w:lineRule="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）价格分计算公式：</w:t>
            </w:r>
          </w:p>
          <w:p w14:paraId="00993771">
            <w:pPr>
              <w:pStyle w:val="10"/>
              <w:spacing w:line="500" w:lineRule="exact"/>
              <w:rPr>
                <w:rFonts w:ascii="宋体" w:hAnsi="宋体" w:cs="宋体"/>
                <w:color w:val="auto"/>
                <w:szCs w:val="21"/>
                <w:highlight w:val="none"/>
              </w:rPr>
            </w:pPr>
            <w:r>
              <w:rPr>
                <w:rFonts w:ascii="宋体" w:hAnsi="宋体"/>
                <w:color w:val="auto"/>
                <w:szCs w:val="21"/>
                <w:highlight w:val="none"/>
              </w:rPr>
              <w:t>报价得分=</w:t>
            </w:r>
            <w:r>
              <w:rPr>
                <w:rFonts w:hint="eastAsia" w:ascii="宋体" w:hAnsi="宋体"/>
                <w:color w:val="auto"/>
                <w:szCs w:val="21"/>
                <w:highlight w:val="none"/>
              </w:rPr>
              <w:t>(磋商基准价/供应商最后磋商报价)</w:t>
            </w:r>
            <w:r>
              <w:rPr>
                <w:rFonts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0</w:t>
            </w:r>
            <w:r>
              <w:rPr>
                <w:rFonts w:ascii="宋体" w:hAnsi="宋体"/>
                <w:color w:val="auto"/>
                <w:szCs w:val="21"/>
                <w:highlight w:val="none"/>
              </w:rPr>
              <w:t>分</w:t>
            </w:r>
          </w:p>
        </w:tc>
      </w:tr>
      <w:tr w14:paraId="5EB8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69" w:type="dxa"/>
            <w:gridSpan w:val="2"/>
            <w:tcBorders>
              <w:left w:val="single" w:color="auto" w:sz="4" w:space="0"/>
              <w:bottom w:val="single" w:color="auto" w:sz="4" w:space="0"/>
              <w:right w:val="single" w:color="auto" w:sz="4" w:space="0"/>
            </w:tcBorders>
            <w:vAlign w:val="center"/>
          </w:tcPr>
          <w:p w14:paraId="5B581BB2">
            <w:pPr>
              <w:pStyle w:val="34"/>
              <w:snapToGrid w:val="0"/>
              <w:spacing w:line="500" w:lineRule="exact"/>
              <w:jc w:val="center"/>
              <w:rPr>
                <w:rFonts w:ascii="宋体" w:hAnsi="宋体"/>
                <w:color w:val="auto"/>
                <w:highlight w:val="none"/>
              </w:rPr>
            </w:pPr>
            <w:r>
              <w:rPr>
                <w:rFonts w:hint="eastAsia" w:ascii="宋体" w:hAnsi="宋体"/>
                <w:color w:val="auto"/>
                <w:highlight w:val="none"/>
              </w:rPr>
              <w:t>供应商汇总得分</w:t>
            </w:r>
          </w:p>
          <w:p w14:paraId="5BD2C7B7">
            <w:pPr>
              <w:pStyle w:val="34"/>
              <w:snapToGrid w:val="0"/>
              <w:spacing w:line="500" w:lineRule="exact"/>
              <w:jc w:val="center"/>
              <w:rPr>
                <w:rFonts w:ascii="宋体" w:hAnsi="宋体"/>
                <w:color w:val="auto"/>
                <w:highlight w:val="none"/>
              </w:rPr>
            </w:pPr>
            <w:r>
              <w:rPr>
                <w:rFonts w:hint="eastAsia" w:ascii="宋体" w:hAnsi="宋体"/>
                <w:color w:val="auto"/>
                <w:highlight w:val="none"/>
              </w:rPr>
              <w:t>（满分100分）</w:t>
            </w:r>
          </w:p>
        </w:tc>
        <w:tc>
          <w:tcPr>
            <w:tcW w:w="7379" w:type="dxa"/>
            <w:gridSpan w:val="2"/>
            <w:tcBorders>
              <w:top w:val="single" w:color="auto" w:sz="4" w:space="0"/>
              <w:left w:val="single" w:color="auto" w:sz="4" w:space="0"/>
              <w:bottom w:val="single" w:color="auto" w:sz="4" w:space="0"/>
              <w:right w:val="single" w:color="auto" w:sz="4" w:space="0"/>
            </w:tcBorders>
            <w:vAlign w:val="center"/>
          </w:tcPr>
          <w:p w14:paraId="13DCEBBE">
            <w:pPr>
              <w:pStyle w:val="10"/>
              <w:spacing w:line="500" w:lineRule="exact"/>
              <w:ind w:left="63" w:right="63"/>
              <w:jc w:val="left"/>
              <w:rPr>
                <w:rFonts w:hint="default" w:eastAsia="宋体"/>
                <w:color w:val="auto"/>
                <w:highlight w:val="none"/>
                <w:lang w:val="en-US" w:eastAsia="zh-CN"/>
              </w:rPr>
            </w:pPr>
            <w:r>
              <w:rPr>
                <w:rFonts w:hint="eastAsia" w:ascii="宋体" w:hAnsi="宋体"/>
                <w:color w:val="auto"/>
                <w:highlight w:val="none"/>
              </w:rPr>
              <w:t>供应商</w:t>
            </w:r>
            <w:r>
              <w:rPr>
                <w:rFonts w:hint="eastAsia" w:ascii="宋体" w:hAnsi="宋体" w:cs="宋体"/>
                <w:color w:val="auto"/>
                <w:szCs w:val="21"/>
                <w:highlight w:val="none"/>
              </w:rPr>
              <w:t>汇总得分=1+2</w:t>
            </w:r>
            <w:r>
              <w:rPr>
                <w:rFonts w:hint="eastAsia" w:ascii="宋体" w:hAnsi="宋体" w:cs="宋体"/>
                <w:color w:val="auto"/>
                <w:szCs w:val="21"/>
                <w:highlight w:val="none"/>
                <w:lang w:val="en-US" w:eastAsia="zh-CN"/>
              </w:rPr>
              <w:t>+3</w:t>
            </w:r>
          </w:p>
        </w:tc>
      </w:tr>
    </w:tbl>
    <w:p w14:paraId="19D14140">
      <w:pPr>
        <w:pStyle w:val="10"/>
        <w:spacing w:before="65" w:line="304" w:lineRule="auto"/>
        <w:ind w:right="87" w:firstLine="425"/>
        <w:rPr>
          <w:color w:val="auto"/>
          <w:sz w:val="21"/>
          <w:szCs w:val="21"/>
          <w:highlight w:val="none"/>
        </w:rPr>
      </w:pPr>
      <w:r>
        <w:rPr>
          <w:color w:val="auto"/>
          <w:spacing w:val="6"/>
          <w:sz w:val="21"/>
          <w:szCs w:val="21"/>
          <w:highlight w:val="none"/>
        </w:rPr>
        <w:t>7.2</w:t>
      </w:r>
      <w:r>
        <w:rPr>
          <w:color w:val="auto"/>
          <w:spacing w:val="-33"/>
          <w:sz w:val="21"/>
          <w:szCs w:val="21"/>
          <w:highlight w:val="none"/>
        </w:rPr>
        <w:t xml:space="preserve"> </w:t>
      </w:r>
      <w:r>
        <w:rPr>
          <w:color w:val="auto"/>
          <w:spacing w:val="6"/>
          <w:sz w:val="21"/>
          <w:szCs w:val="21"/>
          <w:highlight w:val="none"/>
        </w:rPr>
        <w:t>商务技术评审因素为客观评分项的，应在评分项目或评分标准中予以标注为</w:t>
      </w:r>
      <w:r>
        <w:rPr>
          <w:rFonts w:hint="eastAsia"/>
          <w:color w:val="auto"/>
          <w:spacing w:val="6"/>
          <w:sz w:val="21"/>
          <w:szCs w:val="21"/>
          <w:highlight w:val="none"/>
          <w:lang w:eastAsia="zh-CN"/>
        </w:rPr>
        <w:t>“</w:t>
      </w:r>
      <w:r>
        <w:rPr>
          <w:color w:val="auto"/>
          <w:spacing w:val="6"/>
          <w:sz w:val="21"/>
          <w:szCs w:val="21"/>
          <w:highlight w:val="none"/>
        </w:rPr>
        <w:t>客观分</w:t>
      </w:r>
      <w:r>
        <w:rPr>
          <w:rFonts w:hint="eastAsia"/>
          <w:color w:val="auto"/>
          <w:spacing w:val="6"/>
          <w:sz w:val="21"/>
          <w:szCs w:val="21"/>
          <w:highlight w:val="none"/>
          <w:lang w:eastAsia="zh-CN"/>
        </w:rPr>
        <w:t>”</w:t>
      </w:r>
      <w:r>
        <w:rPr>
          <w:color w:val="auto"/>
          <w:spacing w:val="6"/>
          <w:sz w:val="21"/>
          <w:szCs w:val="21"/>
          <w:highlight w:val="none"/>
        </w:rPr>
        <w:t>。对供</w:t>
      </w:r>
      <w:r>
        <w:rPr>
          <w:color w:val="auto"/>
          <w:spacing w:val="9"/>
          <w:sz w:val="21"/>
          <w:szCs w:val="21"/>
          <w:highlight w:val="none"/>
        </w:rPr>
        <w:t>应商的客观评分项目，各评审专家评分应当一致。</w:t>
      </w:r>
    </w:p>
    <w:p w14:paraId="23C9F1D8">
      <w:pPr>
        <w:pStyle w:val="10"/>
        <w:spacing w:before="159" w:line="228" w:lineRule="auto"/>
        <w:ind w:left="425"/>
        <w:rPr>
          <w:color w:val="auto"/>
          <w:sz w:val="21"/>
          <w:szCs w:val="21"/>
          <w:highlight w:val="none"/>
        </w:rPr>
      </w:pPr>
      <w:r>
        <w:rPr>
          <w:color w:val="auto"/>
          <w:spacing w:val="7"/>
          <w:sz w:val="21"/>
          <w:szCs w:val="21"/>
          <w:highlight w:val="none"/>
        </w:rPr>
        <w:t>7.3.终止竞争性磋商采购活动</w:t>
      </w:r>
    </w:p>
    <w:p w14:paraId="723065D1">
      <w:pPr>
        <w:pStyle w:val="10"/>
        <w:spacing w:before="160" w:line="377" w:lineRule="auto"/>
        <w:ind w:right="87" w:firstLine="420"/>
        <w:jc w:val="both"/>
        <w:rPr>
          <w:color w:val="auto"/>
          <w:sz w:val="20"/>
          <w:szCs w:val="20"/>
          <w:highlight w:val="none"/>
        </w:rPr>
      </w:pPr>
      <w:r>
        <w:rPr>
          <w:color w:val="auto"/>
          <w:spacing w:val="11"/>
          <w:sz w:val="21"/>
          <w:szCs w:val="21"/>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w:t>
      </w:r>
      <w:r>
        <w:rPr>
          <w:color w:val="auto"/>
          <w:spacing w:val="9"/>
          <w:sz w:val="21"/>
          <w:szCs w:val="21"/>
          <w:highlight w:val="none"/>
        </w:rPr>
        <w:t>行为的，要及时向采购人或采购代理机构报告。</w:t>
      </w:r>
    </w:p>
    <w:p w14:paraId="76DC11F4">
      <w:pPr>
        <w:spacing w:line="268" w:lineRule="auto"/>
        <w:rPr>
          <w:rFonts w:ascii="Arial"/>
          <w:color w:val="auto"/>
          <w:sz w:val="21"/>
          <w:highlight w:val="none"/>
        </w:rPr>
      </w:pPr>
    </w:p>
    <w:p w14:paraId="3EE429E4">
      <w:pPr>
        <w:spacing w:line="268" w:lineRule="auto"/>
        <w:rPr>
          <w:rFonts w:ascii="Arial"/>
          <w:color w:val="auto"/>
          <w:sz w:val="21"/>
          <w:highlight w:val="none"/>
        </w:rPr>
      </w:pPr>
    </w:p>
    <w:p w14:paraId="0EA8E659">
      <w:pPr>
        <w:pStyle w:val="10"/>
        <w:spacing w:before="101" w:line="224" w:lineRule="auto"/>
        <w:ind w:left="3453"/>
        <w:outlineLvl w:val="1"/>
        <w:rPr>
          <w:color w:val="auto"/>
          <w:sz w:val="31"/>
          <w:szCs w:val="31"/>
          <w:highlight w:val="none"/>
        </w:rPr>
      </w:pPr>
      <w:r>
        <w:rPr>
          <w:color w:val="auto"/>
          <w:spacing w:val="7"/>
          <w:sz w:val="31"/>
          <w:szCs w:val="31"/>
          <w:highlight w:val="none"/>
        </w:rPr>
        <w:t>第二节 评标报告</w:t>
      </w:r>
    </w:p>
    <w:p w14:paraId="216C71AD">
      <w:pPr>
        <w:pStyle w:val="10"/>
        <w:spacing w:before="232" w:line="221" w:lineRule="auto"/>
        <w:ind w:left="439"/>
        <w:rPr>
          <w:color w:val="auto"/>
          <w:sz w:val="21"/>
          <w:szCs w:val="21"/>
          <w:highlight w:val="none"/>
        </w:rPr>
      </w:pPr>
      <w:r>
        <w:rPr>
          <w:b/>
          <w:bCs/>
          <w:color w:val="auto"/>
          <w:spacing w:val="-7"/>
          <w:sz w:val="21"/>
          <w:szCs w:val="21"/>
          <w:highlight w:val="none"/>
        </w:rPr>
        <w:t>1.成交标准</w:t>
      </w:r>
    </w:p>
    <w:p w14:paraId="224A3F67">
      <w:pPr>
        <w:pStyle w:val="10"/>
        <w:spacing w:before="179" w:line="377" w:lineRule="auto"/>
        <w:ind w:firstLine="445"/>
        <w:jc w:val="both"/>
        <w:rPr>
          <w:color w:val="auto"/>
          <w:sz w:val="21"/>
          <w:szCs w:val="21"/>
          <w:highlight w:val="none"/>
        </w:rPr>
      </w:pPr>
      <w:r>
        <w:rPr>
          <w:color w:val="auto"/>
          <w:spacing w:val="7"/>
          <w:sz w:val="21"/>
          <w:szCs w:val="21"/>
          <w:highlight w:val="none"/>
        </w:rPr>
        <w:t>由磋商小组根据综合评分情况，按照评审得分由高到低顺序推荐</w:t>
      </w:r>
      <w:r>
        <w:rPr>
          <w:color w:val="auto"/>
          <w:spacing w:val="-23"/>
          <w:sz w:val="21"/>
          <w:szCs w:val="21"/>
          <w:highlight w:val="none"/>
        </w:rPr>
        <w:t xml:space="preserve"> </w:t>
      </w:r>
      <w:r>
        <w:rPr>
          <w:color w:val="auto"/>
          <w:spacing w:val="7"/>
          <w:sz w:val="21"/>
          <w:szCs w:val="21"/>
          <w:highlight w:val="none"/>
        </w:rPr>
        <w:t>3</w:t>
      </w:r>
      <w:r>
        <w:rPr>
          <w:color w:val="auto"/>
          <w:spacing w:val="-35"/>
          <w:sz w:val="21"/>
          <w:szCs w:val="21"/>
          <w:highlight w:val="none"/>
        </w:rPr>
        <w:t xml:space="preserve"> </w:t>
      </w:r>
      <w:r>
        <w:rPr>
          <w:color w:val="auto"/>
          <w:spacing w:val="7"/>
          <w:sz w:val="21"/>
          <w:szCs w:val="21"/>
          <w:highlight w:val="none"/>
        </w:rPr>
        <w:t>名以上成交候选供应商,并在线</w:t>
      </w:r>
      <w:r>
        <w:rPr>
          <w:color w:val="auto"/>
          <w:spacing w:val="10"/>
          <w:sz w:val="21"/>
          <w:szCs w:val="21"/>
          <w:highlight w:val="none"/>
        </w:rPr>
        <w:t>编写电子评审报告。符合本章第一节第</w:t>
      </w:r>
      <w:r>
        <w:rPr>
          <w:color w:val="auto"/>
          <w:spacing w:val="-32"/>
          <w:sz w:val="21"/>
          <w:szCs w:val="21"/>
          <w:highlight w:val="none"/>
        </w:rPr>
        <w:t xml:space="preserve"> </w:t>
      </w:r>
      <w:r>
        <w:rPr>
          <w:color w:val="auto"/>
          <w:spacing w:val="10"/>
          <w:sz w:val="21"/>
          <w:szCs w:val="21"/>
          <w:highlight w:val="none"/>
        </w:rPr>
        <w:t>5.3</w:t>
      </w:r>
      <w:r>
        <w:rPr>
          <w:color w:val="auto"/>
          <w:spacing w:val="-36"/>
          <w:sz w:val="21"/>
          <w:szCs w:val="21"/>
          <w:highlight w:val="none"/>
        </w:rPr>
        <w:t xml:space="preserve"> </w:t>
      </w:r>
      <w:r>
        <w:rPr>
          <w:color w:val="auto"/>
          <w:spacing w:val="10"/>
          <w:sz w:val="21"/>
          <w:szCs w:val="21"/>
          <w:highlight w:val="none"/>
        </w:rPr>
        <w:t>条情</w:t>
      </w:r>
      <w:r>
        <w:rPr>
          <w:color w:val="auto"/>
          <w:spacing w:val="9"/>
          <w:sz w:val="21"/>
          <w:szCs w:val="21"/>
          <w:highlight w:val="none"/>
        </w:rPr>
        <w:t>形的，可以推荐</w:t>
      </w:r>
      <w:r>
        <w:rPr>
          <w:color w:val="auto"/>
          <w:spacing w:val="-37"/>
          <w:sz w:val="21"/>
          <w:szCs w:val="21"/>
          <w:highlight w:val="none"/>
        </w:rPr>
        <w:t xml:space="preserve"> </w:t>
      </w:r>
      <w:r>
        <w:rPr>
          <w:color w:val="auto"/>
          <w:spacing w:val="9"/>
          <w:sz w:val="21"/>
          <w:szCs w:val="21"/>
          <w:highlight w:val="none"/>
        </w:rPr>
        <w:t>2</w:t>
      </w:r>
      <w:r>
        <w:rPr>
          <w:color w:val="auto"/>
          <w:spacing w:val="-36"/>
          <w:sz w:val="21"/>
          <w:szCs w:val="21"/>
          <w:highlight w:val="none"/>
        </w:rPr>
        <w:t xml:space="preserve"> </w:t>
      </w:r>
      <w:r>
        <w:rPr>
          <w:color w:val="auto"/>
          <w:spacing w:val="9"/>
          <w:sz w:val="21"/>
          <w:szCs w:val="21"/>
          <w:highlight w:val="none"/>
        </w:rPr>
        <w:t>家成交候选供应商。评审得分相同</w:t>
      </w:r>
      <w:r>
        <w:rPr>
          <w:color w:val="auto"/>
          <w:spacing w:val="8"/>
          <w:sz w:val="21"/>
          <w:szCs w:val="21"/>
          <w:highlight w:val="none"/>
        </w:rPr>
        <w:t>的，按照最后报价（不计算价格折扣）由低到高的顺序推荐。评审得分且最后报价（不计算价格折扣）</w:t>
      </w:r>
      <w:r>
        <w:rPr>
          <w:color w:val="auto"/>
          <w:spacing w:val="11"/>
          <w:sz w:val="21"/>
          <w:szCs w:val="21"/>
          <w:highlight w:val="none"/>
        </w:rPr>
        <w:t>相同的，按照技术指标优劣顺序推荐（按技术得分由高到低排序，技术得分相同的按照服务需求偏离</w:t>
      </w:r>
      <w:r>
        <w:rPr>
          <w:color w:val="auto"/>
          <w:spacing w:val="8"/>
          <w:sz w:val="21"/>
          <w:szCs w:val="21"/>
          <w:highlight w:val="none"/>
        </w:rPr>
        <w:t>分由高到低排序）。评审得分、最后报价（不计算价格折扣）、技术得分、服务需求偏离分均相同的，由磋商小组随机抽取推荐。</w:t>
      </w:r>
    </w:p>
    <w:p w14:paraId="25C35528">
      <w:pPr>
        <w:pStyle w:val="10"/>
        <w:spacing w:before="2" w:line="220" w:lineRule="auto"/>
        <w:ind w:left="424"/>
        <w:rPr>
          <w:color w:val="auto"/>
          <w:sz w:val="21"/>
          <w:szCs w:val="21"/>
          <w:highlight w:val="none"/>
        </w:rPr>
      </w:pPr>
      <w:r>
        <w:rPr>
          <w:b/>
          <w:bCs/>
          <w:color w:val="auto"/>
          <w:spacing w:val="-3"/>
          <w:sz w:val="21"/>
          <w:szCs w:val="21"/>
          <w:highlight w:val="none"/>
        </w:rPr>
        <w:t>2.评标争议事项处理</w:t>
      </w:r>
    </w:p>
    <w:p w14:paraId="577BD882">
      <w:pPr>
        <w:pStyle w:val="10"/>
        <w:spacing w:before="178" w:line="377" w:lineRule="auto"/>
        <w:ind w:left="21" w:right="87" w:firstLine="398"/>
        <w:rPr>
          <w:color w:val="auto"/>
          <w:sz w:val="20"/>
          <w:szCs w:val="20"/>
          <w:highlight w:val="none"/>
        </w:rPr>
      </w:pPr>
      <w:r>
        <w:rPr>
          <w:color w:val="auto"/>
          <w:spacing w:val="11"/>
          <w:sz w:val="21"/>
          <w:szCs w:val="21"/>
          <w:highlight w:val="none"/>
        </w:rPr>
        <w:t>磋商小组成员对需要共同认定的事项存在争议的，应当按照少数服从多数的原则作出结论</w:t>
      </w:r>
      <w:r>
        <w:rPr>
          <w:color w:val="auto"/>
          <w:spacing w:val="11"/>
          <w:sz w:val="20"/>
          <w:szCs w:val="20"/>
          <w:highlight w:val="none"/>
        </w:rPr>
        <w:t>。</w:t>
      </w:r>
      <w:r>
        <w:rPr>
          <w:color w:val="auto"/>
          <w:spacing w:val="11"/>
          <w:sz w:val="21"/>
          <w:szCs w:val="21"/>
          <w:highlight w:val="none"/>
        </w:rPr>
        <w:t>持不</w:t>
      </w:r>
      <w:r>
        <w:rPr>
          <w:color w:val="auto"/>
          <w:spacing w:val="9"/>
          <w:sz w:val="21"/>
          <w:szCs w:val="21"/>
          <w:highlight w:val="none"/>
        </w:rPr>
        <w:t>同意见的磋商小组成员应当在评标报告上签署不同意见及理由，否则视为同意评</w:t>
      </w:r>
      <w:r>
        <w:rPr>
          <w:color w:val="auto"/>
          <w:spacing w:val="8"/>
          <w:sz w:val="21"/>
          <w:szCs w:val="21"/>
          <w:highlight w:val="none"/>
        </w:rPr>
        <w:t>标报告。</w:t>
      </w:r>
    </w:p>
    <w:p w14:paraId="5C7F2F5A">
      <w:pPr>
        <w:spacing w:line="267" w:lineRule="auto"/>
        <w:rPr>
          <w:rFonts w:ascii="Arial"/>
          <w:color w:val="auto"/>
          <w:sz w:val="21"/>
          <w:highlight w:val="none"/>
        </w:rPr>
      </w:pPr>
    </w:p>
    <w:p w14:paraId="2BFDABC3">
      <w:pPr>
        <w:spacing w:line="268" w:lineRule="auto"/>
        <w:rPr>
          <w:rFonts w:ascii="Arial"/>
          <w:color w:val="auto"/>
          <w:sz w:val="21"/>
          <w:highlight w:val="none"/>
        </w:rPr>
      </w:pPr>
    </w:p>
    <w:p w14:paraId="336D250A">
      <w:pPr>
        <w:pStyle w:val="10"/>
        <w:spacing w:before="101" w:line="225" w:lineRule="auto"/>
        <w:ind w:left="2813"/>
        <w:outlineLvl w:val="1"/>
        <w:rPr>
          <w:color w:val="auto"/>
          <w:sz w:val="31"/>
          <w:szCs w:val="31"/>
          <w:highlight w:val="none"/>
        </w:rPr>
      </w:pPr>
      <w:r>
        <w:rPr>
          <w:color w:val="auto"/>
          <w:spacing w:val="8"/>
          <w:sz w:val="31"/>
          <w:szCs w:val="31"/>
          <w:highlight w:val="none"/>
        </w:rPr>
        <w:t>第三节 评审过程的保密与录像</w:t>
      </w:r>
    </w:p>
    <w:p w14:paraId="07136061">
      <w:pPr>
        <w:pStyle w:val="10"/>
        <w:spacing w:before="231" w:line="221" w:lineRule="auto"/>
        <w:ind w:left="439"/>
        <w:rPr>
          <w:color w:val="auto"/>
          <w:sz w:val="21"/>
          <w:szCs w:val="21"/>
          <w:highlight w:val="none"/>
        </w:rPr>
      </w:pPr>
      <w:r>
        <w:rPr>
          <w:b/>
          <w:bCs/>
          <w:color w:val="auto"/>
          <w:spacing w:val="-9"/>
          <w:sz w:val="21"/>
          <w:szCs w:val="21"/>
          <w:highlight w:val="none"/>
        </w:rPr>
        <w:t>1.保密</w:t>
      </w:r>
    </w:p>
    <w:p w14:paraId="3D12C20D">
      <w:pPr>
        <w:pStyle w:val="10"/>
        <w:spacing w:before="65" w:line="377" w:lineRule="auto"/>
        <w:ind w:firstLine="416"/>
        <w:jc w:val="both"/>
        <w:rPr>
          <w:color w:val="auto"/>
          <w:sz w:val="21"/>
          <w:szCs w:val="21"/>
          <w:highlight w:val="none"/>
        </w:rPr>
      </w:pPr>
      <w:r>
        <w:rPr>
          <w:color w:val="auto"/>
          <w:spacing w:val="11"/>
          <w:sz w:val="21"/>
          <w:szCs w:val="21"/>
          <w:highlight w:val="none"/>
        </w:rPr>
        <w:t>评审活动在严格保密的情况下进行。评审过程中凡是与采购响应文件评审和比较、中标成交供应商推荐等评审有关的情况，以及涉及国家秘密和商业秘密等信息，评审委员会成员、采购人和采购机</w:t>
      </w:r>
      <w:r>
        <w:rPr>
          <w:color w:val="auto"/>
          <w:spacing w:val="9"/>
          <w:sz w:val="21"/>
          <w:szCs w:val="21"/>
          <w:highlight w:val="none"/>
        </w:rPr>
        <w:t>构工作人员、相关监督人员等与评审有关的人员应当予以保密。</w:t>
      </w:r>
    </w:p>
    <w:p w14:paraId="590E56A2">
      <w:pPr>
        <w:pStyle w:val="10"/>
        <w:spacing w:before="1" w:line="220" w:lineRule="auto"/>
        <w:ind w:left="421"/>
        <w:outlineLvl w:val="0"/>
        <w:rPr>
          <w:color w:val="auto"/>
          <w:sz w:val="21"/>
          <w:szCs w:val="21"/>
          <w:highlight w:val="none"/>
        </w:rPr>
      </w:pPr>
      <w:r>
        <w:rPr>
          <w:b/>
          <w:bCs/>
          <w:color w:val="auto"/>
          <w:spacing w:val="-4"/>
          <w:sz w:val="21"/>
          <w:szCs w:val="21"/>
          <w:highlight w:val="none"/>
        </w:rPr>
        <w:t>2.录音录像</w:t>
      </w:r>
    </w:p>
    <w:p w14:paraId="2A112BE5">
      <w:pPr>
        <w:pStyle w:val="21"/>
        <w:spacing w:line="460" w:lineRule="exact"/>
        <w:ind w:left="0" w:leftChars="0" w:firstLine="464" w:firstLineChars="200"/>
        <w:rPr>
          <w:color w:val="auto"/>
          <w:sz w:val="21"/>
          <w:szCs w:val="21"/>
          <w:highlight w:val="none"/>
        </w:rPr>
      </w:pPr>
      <w:r>
        <w:rPr>
          <w:color w:val="auto"/>
          <w:spacing w:val="11"/>
          <w:sz w:val="21"/>
          <w:szCs w:val="21"/>
          <w:highlight w:val="none"/>
        </w:rPr>
        <w:t>采购代理机构对评审工作现场及操作屏幕进行全过程录音录像，录音录像资料作为采购项目文件</w:t>
      </w:r>
      <w:r>
        <w:rPr>
          <w:color w:val="auto"/>
          <w:spacing w:val="6"/>
          <w:sz w:val="21"/>
          <w:szCs w:val="21"/>
          <w:highlight w:val="none"/>
        </w:rPr>
        <w:t>随其他文件一并存档。</w:t>
      </w:r>
    </w:p>
    <w:p w14:paraId="63477C7E">
      <w:pPr>
        <w:pStyle w:val="10"/>
        <w:spacing w:line="460" w:lineRule="exact"/>
        <w:rPr>
          <w:rFonts w:ascii="宋体" w:hAnsi="宋体" w:cs="宋体"/>
          <w:b/>
          <w:bCs/>
          <w:color w:val="auto"/>
          <w:szCs w:val="21"/>
          <w:highlight w:val="none"/>
        </w:rPr>
      </w:pPr>
    </w:p>
    <w:p w14:paraId="65390347">
      <w:pPr>
        <w:spacing w:line="460" w:lineRule="exact"/>
        <w:rPr>
          <w:color w:val="auto"/>
          <w:highlight w:val="none"/>
        </w:rPr>
      </w:pPr>
    </w:p>
    <w:bookmarkEnd w:id="1384"/>
    <w:sectPr>
      <w:footerReference r:id="rId20" w:type="default"/>
      <w:pgSz w:w="11905" w:h="16838"/>
      <w:pgMar w:top="1440" w:right="1083" w:bottom="1440" w:left="1083"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1080D59-71C7-4699-8693-65A1E100C274}"/>
  </w:font>
  <w:font w:name="黑体">
    <w:panose1 w:val="02010609060101010101"/>
    <w:charset w:val="86"/>
    <w:family w:val="auto"/>
    <w:pitch w:val="default"/>
    <w:sig w:usb0="800002BF" w:usb1="38CF7CFA" w:usb2="00000016" w:usb3="00000000" w:csb0="00040001" w:csb1="00000000"/>
    <w:embedRegular r:id="rId2" w:fontKey="{6B66150E-354E-4DDE-9575-36EE5F29F45F}"/>
  </w:font>
  <w:font w:name="Courier New">
    <w:panose1 w:val="02070309020205020404"/>
    <w:charset w:val="01"/>
    <w:family w:val="modern"/>
    <w:pitch w:val="default"/>
    <w:sig w:usb0="E0002EFF" w:usb1="C0007843" w:usb2="00000009" w:usb3="00000000" w:csb0="400001FF" w:csb1="FFFF0000"/>
    <w:embedRegular r:id="rId3" w:fontKey="{239C25FB-735B-437B-A383-CD240B3D7CB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BED5AC5D-BAAF-4D8C-B86B-B9B2D9DCF546}"/>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5" w:fontKey="{998EA795-236A-4B22-88CA-53B1764EFA23}"/>
  </w:font>
  <w:font w:name="MS PMincho">
    <w:panose1 w:val="02020600040205080304"/>
    <w:charset w:val="80"/>
    <w:family w:val="auto"/>
    <w:pitch w:val="default"/>
    <w:sig w:usb0="E00002FF" w:usb1="6AC7FDFB" w:usb2="08000012" w:usb3="00000000" w:csb0="4002009F" w:csb1="DFD70000"/>
    <w:embedRegular r:id="rId6" w:fontKey="{40B42B22-6760-4644-A3EB-57FCACC98113}"/>
  </w:font>
  <w:font w:name="仿宋_GB2312">
    <w:panose1 w:val="02010609030101010101"/>
    <w:charset w:val="86"/>
    <w:family w:val="modern"/>
    <w:pitch w:val="default"/>
    <w:sig w:usb0="00000001" w:usb1="080E0000" w:usb2="00000000" w:usb3="00000000" w:csb0="00040000" w:csb1="00000000"/>
    <w:embedRegular r:id="rId7" w:fontKey="{7D5E96E8-EC62-489D-9829-A18222A0DB25}"/>
  </w:font>
  <w:font w:name="方正小标宋简体">
    <w:panose1 w:val="02000000000000000000"/>
    <w:charset w:val="86"/>
    <w:family w:val="script"/>
    <w:pitch w:val="default"/>
    <w:sig w:usb0="00000001" w:usb1="08000000" w:usb2="00000000" w:usb3="00000000" w:csb0="00040000" w:csb1="00000000"/>
    <w:embedRegular r:id="rId8" w:fontKey="{75A85C8B-113C-4613-91E4-BE6C4E364F36}"/>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2D33B">
    <w:pPr>
      <w:pStyle w:val="1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E629D">
    <w:pPr>
      <w:spacing w:line="226" w:lineRule="exact"/>
      <w:ind w:left="457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3FCA4">
                          <w:pPr>
                            <w:pStyle w:val="1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6303FCA4">
                    <w:pPr>
                      <w:pStyle w:val="1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36136">
    <w:pPr>
      <w:spacing w:line="226" w:lineRule="exact"/>
      <w:ind w:left="457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E1BD0D">
                          <w:pPr>
                            <w:pStyle w:val="1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4E1BD0D">
                    <w:pPr>
                      <w:pStyle w:val="1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507FC">
    <w:pPr>
      <w:spacing w:line="226" w:lineRule="exact"/>
      <w:ind w:left="45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0AAAF">
                          <w:pPr>
                            <w:pStyle w:val="1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7170AAAF">
                    <w:pPr>
                      <w:pStyle w:val="1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569B">
    <w:pPr>
      <w:spacing w:line="226" w:lineRule="exact"/>
      <w:ind w:left="45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2B656">
                          <w:pPr>
                            <w:pStyle w:val="1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1052B656">
                    <w:pPr>
                      <w:pStyle w:val="1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F8025">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71BB91">
                          <w:pPr>
                            <w:pStyle w:val="15"/>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fill on="f" focussize="0,0"/>
              <v:stroke on="f" weight="0.5pt"/>
              <v:imagedata o:title=""/>
              <o:lock v:ext="edit" aspectratio="f"/>
              <v:textbox inset="0mm,0mm,0mm,0mm" style="mso-fit-shape-to-text:t;">
                <w:txbxContent>
                  <w:p w14:paraId="1271BB91">
                    <w:pPr>
                      <w:pStyle w:val="15"/>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5EA8E">
    <w:pPr>
      <w:spacing w:line="226" w:lineRule="exact"/>
      <w:ind w:left="45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F0F11">
                          <w:pPr>
                            <w:pStyle w:val="1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ACF0F11">
                    <w:pPr>
                      <w:pStyle w:val="1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0A4E5">
    <w:pPr>
      <w:spacing w:line="226" w:lineRule="exact"/>
      <w:ind w:left="45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A9671">
                          <w:pPr>
                            <w:pStyle w:val="1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211A9671">
                    <w:pPr>
                      <w:pStyle w:val="1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2E108">
    <w:pPr>
      <w:spacing w:line="226" w:lineRule="exact"/>
      <w:ind w:left="45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21B38">
                          <w:pPr>
                            <w:pStyle w:val="1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A921B38">
                    <w:pPr>
                      <w:pStyle w:val="1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1500F">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A12577">
                          <w:pPr>
                            <w:pStyle w:val="1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2zJosQBAACQAwAADgAAAGRycy9lMm9Eb2MueG1srVNLbtswEN0XyB0I&#10;7mPKWhSu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MlIN8LeHiIVzPwl1hJqK4aAyo2mp0ib8ec9Zzz/S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s2zJosQBAACQAwAADgAAAAAAAAABACAAAAAeAQAAZHJzL2Uyb0RvYy54bWxQ&#10;SwUGAAAAAAYABgBZAQAAVAUAAAAA&#10;">
              <v:fill on="f" focussize="0,0"/>
              <v:stroke on="f"/>
              <v:imagedata o:title=""/>
              <o:lock v:ext="edit" aspectratio="f"/>
              <v:textbox inset="0mm,0mm,0mm,0mm" style="mso-fit-shape-to-text:t;">
                <w:txbxContent>
                  <w:p w14:paraId="30A12577">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890CE">
    <w:pPr>
      <w:pStyle w:val="15"/>
      <w:ind w:right="360" w:firstLine="360"/>
      <w:jc w:val="right"/>
      <w:rPr>
        <w:rFonts w:hint="eastAsia"/>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020725">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1020725">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DC5CA">
    <w:pPr>
      <w:pStyle w:val="15"/>
      <w:rPr>
        <w:rFonts w:eastAsia="仿宋_GB2312"/>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49D8EC3">
                          <w:pPr>
                            <w:pStyle w:val="15"/>
                          </w:pPr>
                          <w:r>
                            <w:fldChar w:fldCharType="begin"/>
                          </w:r>
                          <w:r>
                            <w:instrText xml:space="preserve"> PAGE  \* MERGEFORMAT </w:instrText>
                          </w:r>
                          <w:r>
                            <w:fldChar w:fldCharType="separate"/>
                          </w:r>
                          <w:r>
                            <w:t>64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TuusYBAACb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LZO66xgEAAJsDAAAOAAAAAAAAAAEAIAAAAB4BAABkcnMvZTJvRG9jLnht&#10;bFBLBQYAAAAABgAGAFkBAABWBQAAAAA=&#10;">
              <v:fill on="f" focussize="0,0"/>
              <v:stroke on="f"/>
              <v:imagedata o:title=""/>
              <o:lock v:ext="edit" aspectratio="f"/>
              <v:textbox inset="0mm,0mm,0mm,0mm" style="mso-fit-shape-to-text:t;">
                <w:txbxContent>
                  <w:p w14:paraId="149D8EC3">
                    <w:pPr>
                      <w:pStyle w:val="15"/>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DE5DF">
    <w:pPr>
      <w:spacing w:line="226" w:lineRule="exact"/>
      <w:ind w:left="44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6AA08">
                          <w:pPr>
                            <w:pStyle w:val="1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946AA08">
                    <w:pPr>
                      <w:pStyle w:val="1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2DB41">
    <w:pPr>
      <w:spacing w:line="226" w:lineRule="exact"/>
      <w:ind w:left="49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E0D5E">
                          <w:pPr>
                            <w:pStyle w:val="1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ACE0D5E">
                    <w:pPr>
                      <w:pStyle w:val="1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830D0">
    <w:pPr>
      <w:spacing w:line="226" w:lineRule="exact"/>
      <w:ind w:left="47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2082B">
                          <w:pPr>
                            <w:pStyle w:val="1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60B2082B">
                    <w:pPr>
                      <w:pStyle w:val="1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D345F">
    <w:pPr>
      <w:spacing w:line="226" w:lineRule="exact"/>
      <w:ind w:left="45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7D5E0">
                          <w:pPr>
                            <w:pStyle w:val="1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3B17D5E0">
                    <w:pPr>
                      <w:pStyle w:val="1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F5D67">
    <w:pPr>
      <w:spacing w:line="226" w:lineRule="exact"/>
      <w:ind w:left="45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34AE2">
                          <w:pPr>
                            <w:pStyle w:val="1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4D34AE2">
                    <w:pPr>
                      <w:pStyle w:val="1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D27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lvl>
  </w:abstractNum>
  <w:abstractNum w:abstractNumId="1">
    <w:nsid w:val="DD0D5601"/>
    <w:multiLevelType w:val="singleLevel"/>
    <w:tmpl w:val="DD0D5601"/>
    <w:lvl w:ilvl="0" w:tentative="0">
      <w:start w:val="2"/>
      <w:numFmt w:val="decimal"/>
      <w:lvlText w:val="%1."/>
      <w:lvlJc w:val="left"/>
      <w:pPr>
        <w:tabs>
          <w:tab w:val="left" w:pos="312"/>
        </w:tabs>
        <w:ind w:left="720" w:firstLine="0"/>
      </w:pPr>
    </w:lvl>
  </w:abstractNum>
  <w:abstractNum w:abstractNumId="2">
    <w:nsid w:val="2AA7A32A"/>
    <w:multiLevelType w:val="singleLevel"/>
    <w:tmpl w:val="2AA7A32A"/>
    <w:lvl w:ilvl="0" w:tentative="0">
      <w:start w:val="2"/>
      <w:numFmt w:val="chineseCounting"/>
      <w:suff w:val="nothing"/>
      <w:lvlText w:val="%1、"/>
      <w:lvlJc w:val="left"/>
      <w:rPr>
        <w:rFonts w:hint="eastAsia"/>
      </w:rPr>
    </w:lvl>
  </w:abstractNum>
  <w:abstractNum w:abstractNumId="3">
    <w:nsid w:val="3E5E7BC9"/>
    <w:multiLevelType w:val="singleLevel"/>
    <w:tmpl w:val="3E5E7BC9"/>
    <w:lvl w:ilvl="0" w:tentative="0">
      <w:start w:val="1"/>
      <w:numFmt w:val="decimal"/>
      <w:suff w:val="nothing"/>
      <w:lvlText w:val="（%1）"/>
      <w:lvlJc w:val="left"/>
    </w:lvl>
  </w:abstractNum>
  <w:abstractNum w:abstractNumId="4">
    <w:nsid w:val="6EDD6597"/>
    <w:multiLevelType w:val="singleLevel"/>
    <w:tmpl w:val="6EDD6597"/>
    <w:lvl w:ilvl="0" w:tentative="0">
      <w:start w:val="1"/>
      <w:numFmt w:val="decimal"/>
      <w:suff w:val="nothing"/>
      <w:lvlText w:val="(%1)"/>
      <w:lvlJc w:val="left"/>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Zjc1NGMwNGNiZjg0NTZkZmM5ZGVmZDM0OWNmMDMifQ=="/>
  </w:docVars>
  <w:rsids>
    <w:rsidRoot w:val="00AD04E1"/>
    <w:rsid w:val="00003855"/>
    <w:rsid w:val="001A1058"/>
    <w:rsid w:val="001C1C25"/>
    <w:rsid w:val="001E2E50"/>
    <w:rsid w:val="001F22CA"/>
    <w:rsid w:val="003102AA"/>
    <w:rsid w:val="00391BF4"/>
    <w:rsid w:val="003C7F03"/>
    <w:rsid w:val="003D337F"/>
    <w:rsid w:val="003F118D"/>
    <w:rsid w:val="00424497"/>
    <w:rsid w:val="004641AC"/>
    <w:rsid w:val="00492950"/>
    <w:rsid w:val="004E292B"/>
    <w:rsid w:val="0058069B"/>
    <w:rsid w:val="005A16EC"/>
    <w:rsid w:val="005D6F67"/>
    <w:rsid w:val="005E5B15"/>
    <w:rsid w:val="00623212"/>
    <w:rsid w:val="007A7418"/>
    <w:rsid w:val="007B2212"/>
    <w:rsid w:val="007B424F"/>
    <w:rsid w:val="007F66D9"/>
    <w:rsid w:val="008203DA"/>
    <w:rsid w:val="00862581"/>
    <w:rsid w:val="00887DED"/>
    <w:rsid w:val="008C05C0"/>
    <w:rsid w:val="008D5DB8"/>
    <w:rsid w:val="00913ACA"/>
    <w:rsid w:val="009226EC"/>
    <w:rsid w:val="009252AB"/>
    <w:rsid w:val="00966BF5"/>
    <w:rsid w:val="00A515C5"/>
    <w:rsid w:val="00AB27D9"/>
    <w:rsid w:val="00AD04E1"/>
    <w:rsid w:val="00B475C2"/>
    <w:rsid w:val="00C20702"/>
    <w:rsid w:val="00C21A1E"/>
    <w:rsid w:val="00C41178"/>
    <w:rsid w:val="00C565AB"/>
    <w:rsid w:val="00C602C1"/>
    <w:rsid w:val="00D2062D"/>
    <w:rsid w:val="00DC72F7"/>
    <w:rsid w:val="00EC7093"/>
    <w:rsid w:val="00F44901"/>
    <w:rsid w:val="00F61CA5"/>
    <w:rsid w:val="00FD479E"/>
    <w:rsid w:val="015E606D"/>
    <w:rsid w:val="02453BF4"/>
    <w:rsid w:val="02DB284E"/>
    <w:rsid w:val="038501CA"/>
    <w:rsid w:val="03AD58A1"/>
    <w:rsid w:val="04CF74FA"/>
    <w:rsid w:val="053E7010"/>
    <w:rsid w:val="054516BB"/>
    <w:rsid w:val="05AA6F12"/>
    <w:rsid w:val="0637143F"/>
    <w:rsid w:val="078847D2"/>
    <w:rsid w:val="08872B64"/>
    <w:rsid w:val="08F01CD7"/>
    <w:rsid w:val="09CB151E"/>
    <w:rsid w:val="0A390DAA"/>
    <w:rsid w:val="0A5D5DAB"/>
    <w:rsid w:val="0AD357C6"/>
    <w:rsid w:val="0AD656DD"/>
    <w:rsid w:val="0B1E1E8E"/>
    <w:rsid w:val="0BC35EA4"/>
    <w:rsid w:val="0BCA5242"/>
    <w:rsid w:val="0C7E649C"/>
    <w:rsid w:val="0C861700"/>
    <w:rsid w:val="0D671FD6"/>
    <w:rsid w:val="0D871FE4"/>
    <w:rsid w:val="0EE8020A"/>
    <w:rsid w:val="0F733BF8"/>
    <w:rsid w:val="0FF00CE6"/>
    <w:rsid w:val="0FF347B5"/>
    <w:rsid w:val="106070B2"/>
    <w:rsid w:val="1104601E"/>
    <w:rsid w:val="118B1236"/>
    <w:rsid w:val="12507B36"/>
    <w:rsid w:val="13083D04"/>
    <w:rsid w:val="13ED6D8D"/>
    <w:rsid w:val="14231FB5"/>
    <w:rsid w:val="142669A3"/>
    <w:rsid w:val="1450213E"/>
    <w:rsid w:val="14514F63"/>
    <w:rsid w:val="145637BA"/>
    <w:rsid w:val="14AF545C"/>
    <w:rsid w:val="14D67119"/>
    <w:rsid w:val="160A1B3A"/>
    <w:rsid w:val="16FB61F5"/>
    <w:rsid w:val="174A7912"/>
    <w:rsid w:val="17FB072F"/>
    <w:rsid w:val="1864257A"/>
    <w:rsid w:val="18927D9D"/>
    <w:rsid w:val="18B83E4E"/>
    <w:rsid w:val="18ED6A14"/>
    <w:rsid w:val="19B60E82"/>
    <w:rsid w:val="19D23FE9"/>
    <w:rsid w:val="1A110413"/>
    <w:rsid w:val="1A4F62D5"/>
    <w:rsid w:val="1ACF522A"/>
    <w:rsid w:val="1AE259D8"/>
    <w:rsid w:val="1B7F5A4A"/>
    <w:rsid w:val="1B9118D8"/>
    <w:rsid w:val="1BFA4778"/>
    <w:rsid w:val="1CB16057"/>
    <w:rsid w:val="1CCC4B92"/>
    <w:rsid w:val="1CDF3057"/>
    <w:rsid w:val="1DEC79C7"/>
    <w:rsid w:val="1EBB5B95"/>
    <w:rsid w:val="1F740FB1"/>
    <w:rsid w:val="20077DB8"/>
    <w:rsid w:val="20196340"/>
    <w:rsid w:val="21F5334A"/>
    <w:rsid w:val="2233335D"/>
    <w:rsid w:val="229F7F07"/>
    <w:rsid w:val="233E3B5D"/>
    <w:rsid w:val="23FA1FE5"/>
    <w:rsid w:val="24332A47"/>
    <w:rsid w:val="24711611"/>
    <w:rsid w:val="24C04FDC"/>
    <w:rsid w:val="258976C2"/>
    <w:rsid w:val="25BA2363"/>
    <w:rsid w:val="26566234"/>
    <w:rsid w:val="26CE5C99"/>
    <w:rsid w:val="26D51FEF"/>
    <w:rsid w:val="27221F7E"/>
    <w:rsid w:val="27C73F54"/>
    <w:rsid w:val="27EA580C"/>
    <w:rsid w:val="28D374AE"/>
    <w:rsid w:val="28F62E53"/>
    <w:rsid w:val="28FE4453"/>
    <w:rsid w:val="28FF5433"/>
    <w:rsid w:val="29542CC8"/>
    <w:rsid w:val="298C1931"/>
    <w:rsid w:val="29C17E35"/>
    <w:rsid w:val="2A3C5105"/>
    <w:rsid w:val="2A5E01C0"/>
    <w:rsid w:val="2AE358FB"/>
    <w:rsid w:val="2B0973FA"/>
    <w:rsid w:val="2B5D3585"/>
    <w:rsid w:val="2C9E3E55"/>
    <w:rsid w:val="2CD755B9"/>
    <w:rsid w:val="2CEE7D52"/>
    <w:rsid w:val="2DA43B3A"/>
    <w:rsid w:val="2DB60BC0"/>
    <w:rsid w:val="2DFD7AD1"/>
    <w:rsid w:val="2E261C13"/>
    <w:rsid w:val="2ED324ED"/>
    <w:rsid w:val="2F0D2276"/>
    <w:rsid w:val="2F4B1946"/>
    <w:rsid w:val="30A93CBC"/>
    <w:rsid w:val="30DB289A"/>
    <w:rsid w:val="31325D6B"/>
    <w:rsid w:val="321731B7"/>
    <w:rsid w:val="323F382F"/>
    <w:rsid w:val="329655CE"/>
    <w:rsid w:val="331B0544"/>
    <w:rsid w:val="331D2B26"/>
    <w:rsid w:val="334C31E9"/>
    <w:rsid w:val="33FE0DCD"/>
    <w:rsid w:val="357C6CFE"/>
    <w:rsid w:val="35BD12AB"/>
    <w:rsid w:val="36027EAF"/>
    <w:rsid w:val="36B3674F"/>
    <w:rsid w:val="36FE17C7"/>
    <w:rsid w:val="378253D4"/>
    <w:rsid w:val="381B27FE"/>
    <w:rsid w:val="38935089"/>
    <w:rsid w:val="39445D84"/>
    <w:rsid w:val="396054F7"/>
    <w:rsid w:val="397E1A80"/>
    <w:rsid w:val="39A243AD"/>
    <w:rsid w:val="39C100CE"/>
    <w:rsid w:val="39CE658B"/>
    <w:rsid w:val="3AB51B90"/>
    <w:rsid w:val="3AD740D3"/>
    <w:rsid w:val="3BAE5737"/>
    <w:rsid w:val="3CA11B80"/>
    <w:rsid w:val="3E040DFD"/>
    <w:rsid w:val="3EAC5F6E"/>
    <w:rsid w:val="3F424B14"/>
    <w:rsid w:val="3F593956"/>
    <w:rsid w:val="3FBD7A9D"/>
    <w:rsid w:val="3FCE45FA"/>
    <w:rsid w:val="40400F60"/>
    <w:rsid w:val="40A703EC"/>
    <w:rsid w:val="41235AAC"/>
    <w:rsid w:val="423171DF"/>
    <w:rsid w:val="423C3B7E"/>
    <w:rsid w:val="42B5384F"/>
    <w:rsid w:val="42C61916"/>
    <w:rsid w:val="435A672E"/>
    <w:rsid w:val="437A32C3"/>
    <w:rsid w:val="447C24C6"/>
    <w:rsid w:val="448F5E7E"/>
    <w:rsid w:val="44DB1344"/>
    <w:rsid w:val="451D7F53"/>
    <w:rsid w:val="45876B3E"/>
    <w:rsid w:val="45BB7043"/>
    <w:rsid w:val="45C149FC"/>
    <w:rsid w:val="460F0C62"/>
    <w:rsid w:val="461B2013"/>
    <w:rsid w:val="46462E80"/>
    <w:rsid w:val="46606200"/>
    <w:rsid w:val="481E2835"/>
    <w:rsid w:val="4876392B"/>
    <w:rsid w:val="48E06D09"/>
    <w:rsid w:val="49412F53"/>
    <w:rsid w:val="494209E7"/>
    <w:rsid w:val="49C038B2"/>
    <w:rsid w:val="4A477482"/>
    <w:rsid w:val="4A577F65"/>
    <w:rsid w:val="4A7D2BB0"/>
    <w:rsid w:val="4CE20586"/>
    <w:rsid w:val="4D027951"/>
    <w:rsid w:val="4D644843"/>
    <w:rsid w:val="4D987A76"/>
    <w:rsid w:val="4DC82E60"/>
    <w:rsid w:val="4E1346EC"/>
    <w:rsid w:val="4EAB55BA"/>
    <w:rsid w:val="4EC81D08"/>
    <w:rsid w:val="4F18593E"/>
    <w:rsid w:val="4F5603DC"/>
    <w:rsid w:val="501871CB"/>
    <w:rsid w:val="503D4819"/>
    <w:rsid w:val="50431E60"/>
    <w:rsid w:val="5101278C"/>
    <w:rsid w:val="511B4C15"/>
    <w:rsid w:val="516B47E8"/>
    <w:rsid w:val="5181339F"/>
    <w:rsid w:val="51DC2BA6"/>
    <w:rsid w:val="524F2DA0"/>
    <w:rsid w:val="534834C8"/>
    <w:rsid w:val="536804BE"/>
    <w:rsid w:val="54203E93"/>
    <w:rsid w:val="548819DE"/>
    <w:rsid w:val="557615A7"/>
    <w:rsid w:val="55D10A72"/>
    <w:rsid w:val="55DD6EED"/>
    <w:rsid w:val="56035797"/>
    <w:rsid w:val="56895995"/>
    <w:rsid w:val="569B5269"/>
    <w:rsid w:val="56BE0B60"/>
    <w:rsid w:val="572A06CF"/>
    <w:rsid w:val="58C64772"/>
    <w:rsid w:val="58F35911"/>
    <w:rsid w:val="590118BC"/>
    <w:rsid w:val="592A0994"/>
    <w:rsid w:val="59537C00"/>
    <w:rsid w:val="595E2C23"/>
    <w:rsid w:val="5B5E39CF"/>
    <w:rsid w:val="5B9F0B83"/>
    <w:rsid w:val="5C253E19"/>
    <w:rsid w:val="5C5454D1"/>
    <w:rsid w:val="5C776424"/>
    <w:rsid w:val="5DD64ABE"/>
    <w:rsid w:val="5E3E1454"/>
    <w:rsid w:val="5EC300A5"/>
    <w:rsid w:val="5F5761DC"/>
    <w:rsid w:val="5F994004"/>
    <w:rsid w:val="60693D1A"/>
    <w:rsid w:val="608F6C52"/>
    <w:rsid w:val="61777F53"/>
    <w:rsid w:val="61F2234E"/>
    <w:rsid w:val="61FD176F"/>
    <w:rsid w:val="624626D1"/>
    <w:rsid w:val="6293329F"/>
    <w:rsid w:val="62D92C09"/>
    <w:rsid w:val="632B74E9"/>
    <w:rsid w:val="64B516B3"/>
    <w:rsid w:val="64EA72B7"/>
    <w:rsid w:val="65253095"/>
    <w:rsid w:val="65487045"/>
    <w:rsid w:val="659651C6"/>
    <w:rsid w:val="65A43583"/>
    <w:rsid w:val="65B25CA0"/>
    <w:rsid w:val="661316A0"/>
    <w:rsid w:val="66285F62"/>
    <w:rsid w:val="668D2269"/>
    <w:rsid w:val="67294869"/>
    <w:rsid w:val="68C77CB4"/>
    <w:rsid w:val="69373DC2"/>
    <w:rsid w:val="6B073A6F"/>
    <w:rsid w:val="6B372443"/>
    <w:rsid w:val="6B837A75"/>
    <w:rsid w:val="6BA1614B"/>
    <w:rsid w:val="6C057D56"/>
    <w:rsid w:val="6C2F31AA"/>
    <w:rsid w:val="6D3E4BE3"/>
    <w:rsid w:val="6D4713C4"/>
    <w:rsid w:val="6D714693"/>
    <w:rsid w:val="6D776FE9"/>
    <w:rsid w:val="6D9A1768"/>
    <w:rsid w:val="6E1063F5"/>
    <w:rsid w:val="6E3E1AC4"/>
    <w:rsid w:val="6E5621A0"/>
    <w:rsid w:val="6E7C509D"/>
    <w:rsid w:val="6EB34A89"/>
    <w:rsid w:val="6EB94119"/>
    <w:rsid w:val="6EC16F54"/>
    <w:rsid w:val="6ED97D20"/>
    <w:rsid w:val="6EE90432"/>
    <w:rsid w:val="6EED7D49"/>
    <w:rsid w:val="6F2679B5"/>
    <w:rsid w:val="6F3F6AA9"/>
    <w:rsid w:val="6F7B5CC3"/>
    <w:rsid w:val="6FC42576"/>
    <w:rsid w:val="6FE16673"/>
    <w:rsid w:val="712A17DD"/>
    <w:rsid w:val="713420C5"/>
    <w:rsid w:val="71A74AE0"/>
    <w:rsid w:val="71BF6D6E"/>
    <w:rsid w:val="71CB5738"/>
    <w:rsid w:val="72A766AD"/>
    <w:rsid w:val="72DC4468"/>
    <w:rsid w:val="74EE7CB6"/>
    <w:rsid w:val="75220463"/>
    <w:rsid w:val="75D17EC5"/>
    <w:rsid w:val="760A11E0"/>
    <w:rsid w:val="765D7640"/>
    <w:rsid w:val="76612DCA"/>
    <w:rsid w:val="77CB52B6"/>
    <w:rsid w:val="783C0539"/>
    <w:rsid w:val="786F1E03"/>
    <w:rsid w:val="78970D25"/>
    <w:rsid w:val="78EA2244"/>
    <w:rsid w:val="79A11D5C"/>
    <w:rsid w:val="7B2D412F"/>
    <w:rsid w:val="7B452056"/>
    <w:rsid w:val="7C1262FB"/>
    <w:rsid w:val="7C331D7A"/>
    <w:rsid w:val="7CD47EDB"/>
    <w:rsid w:val="7D9B33BE"/>
    <w:rsid w:val="7DDD6DD3"/>
    <w:rsid w:val="7DFF35F5"/>
    <w:rsid w:val="7E1F77F3"/>
    <w:rsid w:val="7E7A6D71"/>
    <w:rsid w:val="7EAE40CD"/>
    <w:rsid w:val="7EED78F1"/>
    <w:rsid w:val="7F436D7B"/>
    <w:rsid w:val="7F8B1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5">
    <w:name w:val="heading 3"/>
    <w:basedOn w:val="1"/>
    <w:next w:val="1"/>
    <w:link w:val="33"/>
    <w:qFormat/>
    <w:uiPriority w:val="0"/>
    <w:pPr>
      <w:keepNext/>
      <w:keepLines/>
      <w:outlineLvl w:val="2"/>
    </w:pPr>
    <w:rPr>
      <w:rFonts w:ascii="Calibri" w:hAnsi="Calibri"/>
      <w:b/>
      <w:sz w:val="32"/>
    </w:rPr>
  </w:style>
  <w:style w:type="paragraph" w:styleId="6">
    <w:name w:val="heading 4"/>
    <w:basedOn w:val="1"/>
    <w:next w:val="1"/>
    <w:qFormat/>
    <w:uiPriority w:val="0"/>
    <w:pPr>
      <w:keepNext/>
      <w:spacing w:before="240" w:after="60"/>
      <w:outlineLvl w:val="3"/>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jc w:val="left"/>
    </w:pPr>
    <w:rPr>
      <w:bCs/>
      <w:spacing w:val="10"/>
      <w:kern w:val="0"/>
      <w:sz w:val="24"/>
    </w:rPr>
  </w:style>
  <w:style w:type="paragraph" w:styleId="7">
    <w:name w:val="index 8"/>
    <w:basedOn w:val="1"/>
    <w:next w:val="1"/>
    <w:qFormat/>
    <w:uiPriority w:val="0"/>
    <w:pPr>
      <w:ind w:left="2940"/>
    </w:pPr>
  </w:style>
  <w:style w:type="paragraph" w:styleId="8">
    <w:name w:val="annotation text"/>
    <w:basedOn w:val="1"/>
    <w:link w:val="38"/>
    <w:qFormat/>
    <w:uiPriority w:val="0"/>
    <w:pPr>
      <w:jc w:val="left"/>
    </w:pPr>
  </w:style>
  <w:style w:type="paragraph" w:styleId="9">
    <w:name w:val="Body Text 3"/>
    <w:basedOn w:val="1"/>
    <w:qFormat/>
    <w:uiPriority w:val="0"/>
    <w:pPr>
      <w:spacing w:line="500" w:lineRule="exact"/>
    </w:pPr>
    <w:rPr>
      <w:b/>
      <w:bCs/>
      <w:kern w:val="0"/>
      <w:sz w:val="24"/>
    </w:rPr>
  </w:style>
  <w:style w:type="paragraph" w:styleId="10">
    <w:name w:val="Body Text"/>
    <w:basedOn w:val="1"/>
    <w:next w:val="1"/>
    <w:qFormat/>
    <w:uiPriority w:val="0"/>
  </w:style>
  <w:style w:type="paragraph" w:styleId="11">
    <w:name w:val="Body Text Indent"/>
    <w:basedOn w:val="1"/>
    <w:qFormat/>
    <w:uiPriority w:val="0"/>
    <w:pPr>
      <w:spacing w:after="120"/>
      <w:ind w:left="420" w:leftChars="200"/>
    </w:pPr>
  </w:style>
  <w:style w:type="paragraph" w:styleId="12">
    <w:name w:val="toc 3"/>
    <w:basedOn w:val="1"/>
    <w:next w:val="1"/>
    <w:unhideWhenUsed/>
    <w:qFormat/>
    <w:uiPriority w:val="39"/>
    <w:pPr>
      <w:ind w:left="840" w:leftChars="400"/>
    </w:pPr>
  </w:style>
  <w:style w:type="paragraph" w:styleId="13">
    <w:name w:val="Plain Text"/>
    <w:basedOn w:val="1"/>
    <w:next w:val="6"/>
    <w:link w:val="37"/>
    <w:qFormat/>
    <w:uiPriority w:val="0"/>
    <w:rPr>
      <w:rFonts w:ascii="宋体" w:hAnsi="Courier New"/>
      <w:szCs w:val="20"/>
    </w:rPr>
  </w:style>
  <w:style w:type="paragraph" w:styleId="14">
    <w:name w:val="Balloon Text"/>
    <w:basedOn w:val="1"/>
    <w:link w:val="40"/>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style>
  <w:style w:type="paragraph" w:styleId="19">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0">
    <w:name w:val="annotation subject"/>
    <w:basedOn w:val="8"/>
    <w:next w:val="8"/>
    <w:link w:val="39"/>
    <w:qFormat/>
    <w:uiPriority w:val="0"/>
    <w:rPr>
      <w:b/>
      <w:bCs/>
    </w:rPr>
  </w:style>
  <w:style w:type="paragraph" w:styleId="21">
    <w:name w:val="Body Text First Indent 2"/>
    <w:basedOn w:val="11"/>
    <w:unhideWhenUsed/>
    <w:qFormat/>
    <w:uiPriority w:val="99"/>
    <w:pPr>
      <w:ind w:firstLine="420" w:firstLineChars="200"/>
    </w:pPr>
  </w:style>
  <w:style w:type="table" w:styleId="23">
    <w:name w:val="Table Grid"/>
    <w:basedOn w:val="2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qFormat/>
    <w:uiPriority w:val="0"/>
    <w:rPr>
      <w:color w:val="0563C1" w:themeColor="hyperlink"/>
      <w:u w:val="single"/>
      <w14:textFill>
        <w14:solidFill>
          <w14:schemeClr w14:val="hlink"/>
        </w14:solidFill>
      </w14:textFill>
    </w:rPr>
  </w:style>
  <w:style w:type="character" w:styleId="26">
    <w:name w:val="annotation reference"/>
    <w:basedOn w:val="24"/>
    <w:qFormat/>
    <w:uiPriority w:val="0"/>
    <w:rPr>
      <w:sz w:val="21"/>
      <w:szCs w:val="21"/>
    </w:rPr>
  </w:style>
  <w:style w:type="paragraph" w:customStyle="1" w:styleId="2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8">
    <w:name w:val="Normal_0"/>
    <w:qFormat/>
    <w:uiPriority w:val="0"/>
    <w:pPr>
      <w:jc w:val="both"/>
    </w:pPr>
    <w:rPr>
      <w:rFonts w:ascii="Calibri" w:hAnsi="Calibri" w:eastAsia="宋体" w:cs="Times New Roman"/>
      <w:kern w:val="2"/>
      <w:sz w:val="21"/>
      <w:szCs w:val="21"/>
      <w:lang w:val="en-US" w:eastAsia="zh-CN" w:bidi="ar-SA"/>
    </w:rPr>
  </w:style>
  <w:style w:type="paragraph" w:customStyle="1" w:styleId="29">
    <w:name w:val="Heading2"/>
    <w:basedOn w:val="1"/>
    <w:next w:val="1"/>
    <w:qFormat/>
    <w:uiPriority w:val="0"/>
    <w:pPr>
      <w:keepNext/>
      <w:keepLines/>
      <w:spacing w:before="260" w:after="260" w:line="416" w:lineRule="auto"/>
    </w:pPr>
    <w:rPr>
      <w:rFonts w:ascii="Arial" w:hAnsi="Arial" w:eastAsia="黑体"/>
      <w:b/>
      <w:bCs/>
      <w:kern w:val="0"/>
      <w:sz w:val="32"/>
      <w:szCs w:val="32"/>
    </w:rPr>
  </w:style>
  <w:style w:type="paragraph" w:customStyle="1" w:styleId="30">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1">
    <w:name w:val="正文格式"/>
    <w:basedOn w:val="1"/>
    <w:qFormat/>
    <w:uiPriority w:val="0"/>
    <w:pPr>
      <w:widowControl/>
      <w:adjustRightInd w:val="0"/>
      <w:snapToGrid w:val="0"/>
      <w:spacing w:line="400" w:lineRule="atLeast"/>
      <w:ind w:firstLine="482"/>
      <w:textAlignment w:val="baseline"/>
    </w:pPr>
    <w:rPr>
      <w:kern w:val="0"/>
      <w:sz w:val="24"/>
    </w:rPr>
  </w:style>
  <w:style w:type="paragraph" w:styleId="32">
    <w:name w:val="List Paragraph"/>
    <w:basedOn w:val="1"/>
    <w:qFormat/>
    <w:uiPriority w:val="99"/>
    <w:pPr>
      <w:ind w:firstLine="420" w:firstLineChars="200"/>
    </w:pPr>
  </w:style>
  <w:style w:type="character" w:customStyle="1" w:styleId="33">
    <w:name w:val="标题 3 字符"/>
    <w:link w:val="5"/>
    <w:qFormat/>
    <w:uiPriority w:val="0"/>
    <w:rPr>
      <w:rFonts w:ascii="Calibri" w:hAnsi="Calibri"/>
      <w:b/>
      <w:sz w:val="32"/>
    </w:rPr>
  </w:style>
  <w:style w:type="paragraph" w:customStyle="1" w:styleId="34">
    <w:name w:val="p0"/>
    <w:basedOn w:val="1"/>
    <w:qFormat/>
    <w:uiPriority w:val="0"/>
    <w:pPr>
      <w:widowControl/>
    </w:pPr>
    <w:rPr>
      <w:rFonts w:ascii="Calibri" w:hAnsi="Calibri" w:cs="宋体"/>
      <w:kern w:val="0"/>
      <w:szCs w:val="21"/>
    </w:rPr>
  </w:style>
  <w:style w:type="paragraph" w:customStyle="1" w:styleId="35">
    <w:name w:val="纯文本1"/>
    <w:basedOn w:val="1"/>
    <w:qFormat/>
    <w:uiPriority w:val="0"/>
    <w:rPr>
      <w:rFonts w:ascii="宋体" w:hAnsi="Courier New"/>
      <w:szCs w:val="22"/>
    </w:rPr>
  </w:style>
  <w:style w:type="paragraph" w:customStyle="1" w:styleId="36">
    <w:name w:val="正文1"/>
    <w:qFormat/>
    <w:uiPriority w:val="0"/>
    <w:rPr>
      <w:rFonts w:ascii="Calibri" w:hAnsi="Calibri" w:eastAsia="Times New Roman" w:cs="Times New Roman"/>
      <w:sz w:val="24"/>
      <w:szCs w:val="24"/>
      <w:lang w:val="en-US" w:eastAsia="zh-CN" w:bidi="ar-SA"/>
    </w:rPr>
  </w:style>
  <w:style w:type="character" w:customStyle="1" w:styleId="37">
    <w:name w:val="纯文本 字符"/>
    <w:link w:val="13"/>
    <w:qFormat/>
    <w:uiPriority w:val="0"/>
    <w:rPr>
      <w:rFonts w:ascii="宋体" w:hAnsi="Courier New"/>
      <w:kern w:val="2"/>
      <w:sz w:val="21"/>
    </w:rPr>
  </w:style>
  <w:style w:type="character" w:customStyle="1" w:styleId="38">
    <w:name w:val="批注文字 字符"/>
    <w:link w:val="8"/>
    <w:qFormat/>
    <w:uiPriority w:val="0"/>
    <w:rPr>
      <w:kern w:val="2"/>
      <w:sz w:val="21"/>
      <w:szCs w:val="24"/>
    </w:rPr>
  </w:style>
  <w:style w:type="character" w:customStyle="1" w:styleId="39">
    <w:name w:val="批注主题 字符"/>
    <w:basedOn w:val="38"/>
    <w:link w:val="20"/>
    <w:qFormat/>
    <w:uiPriority w:val="0"/>
    <w:rPr>
      <w:b/>
      <w:bCs/>
      <w:kern w:val="2"/>
      <w:sz w:val="21"/>
      <w:szCs w:val="24"/>
    </w:rPr>
  </w:style>
  <w:style w:type="character" w:customStyle="1" w:styleId="40">
    <w:name w:val="批注框文本 字符"/>
    <w:basedOn w:val="24"/>
    <w:link w:val="14"/>
    <w:qFormat/>
    <w:uiPriority w:val="0"/>
    <w:rPr>
      <w:kern w:val="2"/>
      <w:sz w:val="18"/>
      <w:szCs w:val="18"/>
    </w:rPr>
  </w:style>
  <w:style w:type="paragraph" w:customStyle="1" w:styleId="41">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标题 2_0_0"/>
    <w:basedOn w:val="44"/>
    <w:next w:val="44"/>
    <w:unhideWhenUsed/>
    <w:qFormat/>
    <w:uiPriority w:val="0"/>
    <w:pPr>
      <w:keepNext/>
      <w:keepLines/>
      <w:spacing w:before="260" w:after="260" w:line="416" w:lineRule="auto"/>
      <w:outlineLvl w:val="1"/>
    </w:pPr>
    <w:rPr>
      <w:rFonts w:ascii="Cambria" w:hAnsi="Cambria"/>
      <w:b/>
      <w:bCs/>
      <w:sz w:val="32"/>
      <w:szCs w:val="32"/>
    </w:rPr>
  </w:style>
  <w:style w:type="paragraph" w:customStyle="1" w:styleId="44">
    <w:name w:val="正文_2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标题 3_0"/>
    <w:basedOn w:val="44"/>
    <w:next w:val="44"/>
    <w:unhideWhenUsed/>
    <w:qFormat/>
    <w:uiPriority w:val="0"/>
    <w:pPr>
      <w:keepNext/>
      <w:keepLines/>
      <w:spacing w:before="260" w:after="260" w:line="416" w:lineRule="auto"/>
      <w:outlineLvl w:val="2"/>
    </w:pPr>
    <w:rPr>
      <w:rFonts w:ascii="Calibri" w:hAnsi="Calibri"/>
      <w:b/>
      <w:bCs/>
      <w:sz w:val="32"/>
      <w:szCs w:val="32"/>
    </w:rPr>
  </w:style>
  <w:style w:type="paragraph" w:customStyle="1" w:styleId="46">
    <w:name w:val="正文_2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7">
    <w:name w:val="标题 3_0_0"/>
    <w:basedOn w:val="44"/>
    <w:next w:val="44"/>
    <w:unhideWhenUsed/>
    <w:qFormat/>
    <w:uiPriority w:val="0"/>
    <w:pPr>
      <w:keepNext/>
      <w:keepLines/>
      <w:spacing w:line="360" w:lineRule="auto"/>
      <w:outlineLvl w:val="2"/>
    </w:pPr>
    <w:rPr>
      <w:rFonts w:ascii="Calibri" w:hAnsi="Calibri" w:eastAsia="黑体"/>
      <w:b/>
      <w:bCs/>
      <w:kern w:val="0"/>
      <w:sz w:val="32"/>
      <w:szCs w:val="32"/>
      <w:lang w:val="zh-CN"/>
    </w:rPr>
  </w:style>
  <w:style w:type="paragraph" w:customStyle="1" w:styleId="48">
    <w:name w:val="纯文本_0"/>
    <w:basedOn w:val="44"/>
    <w:qFormat/>
    <w:uiPriority w:val="0"/>
    <w:rPr>
      <w:rFonts w:ascii="宋体" w:hAnsi="Courier New"/>
      <w:szCs w:val="24"/>
    </w:rPr>
  </w:style>
  <w:style w:type="paragraph" w:customStyle="1" w:styleId="4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正文_2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正文_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页脚_0"/>
    <w:basedOn w:val="51"/>
    <w:unhideWhenUsed/>
    <w:qFormat/>
    <w:uiPriority w:val="99"/>
    <w:pPr>
      <w:tabs>
        <w:tab w:val="center" w:pos="4153"/>
        <w:tab w:val="right" w:pos="8306"/>
      </w:tabs>
      <w:snapToGrid w:val="0"/>
      <w:jc w:val="left"/>
    </w:pPr>
    <w:rPr>
      <w:rFonts w:ascii="Calibri" w:hAnsi="Calibri"/>
      <w:sz w:val="18"/>
      <w:szCs w:val="18"/>
    </w:rPr>
  </w:style>
  <w:style w:type="paragraph" w:customStyle="1" w:styleId="53">
    <w:name w:val="正文_2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正文_2"/>
    <w:next w:val="5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文本_0"/>
    <w:basedOn w:val="51"/>
    <w:next w:val="54"/>
    <w:qFormat/>
    <w:uiPriority w:val="0"/>
    <w:pPr>
      <w:adjustRightInd w:val="0"/>
      <w:spacing w:after="60" w:line="360" w:lineRule="atLeast"/>
      <w:ind w:left="72" w:leftChars="30" w:right="30" w:rightChars="30"/>
      <w:jc w:val="center"/>
      <w:textAlignment w:val="baseline"/>
    </w:pPr>
    <w:rPr>
      <w:rFonts w:ascii="Times New Roman" w:hAnsi="Times New Roman"/>
    </w:rPr>
  </w:style>
  <w:style w:type="paragraph" w:customStyle="1" w:styleId="56">
    <w:name w:val="WPSOffice手动目录 1"/>
    <w:qFormat/>
    <w:uiPriority w:val="0"/>
    <w:pPr>
      <w:ind w:leftChars="0"/>
    </w:pPr>
    <w:rPr>
      <w:rFonts w:ascii="Times New Roman" w:hAnsi="Times New Roman" w:eastAsia="宋体" w:cs="Times New Roman"/>
      <w:sz w:val="20"/>
      <w:szCs w:val="20"/>
    </w:rPr>
  </w:style>
  <w:style w:type="paragraph" w:customStyle="1" w:styleId="57">
    <w:name w:val="Table Text"/>
    <w:basedOn w:val="1"/>
    <w:semiHidden/>
    <w:qFormat/>
    <w:uiPriority w:val="0"/>
    <w:rPr>
      <w:rFonts w:ascii="宋体" w:hAnsi="宋体" w:eastAsia="宋体" w:cs="宋体"/>
      <w:sz w:val="20"/>
      <w:szCs w:val="20"/>
      <w:lang w:val="en-US" w:eastAsia="en-US" w:bidi="ar-SA"/>
    </w:rPr>
  </w:style>
  <w:style w:type="table" w:customStyle="1" w:styleId="5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header" Target="header1.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02AD16-0117-4686-8DA3-5A0934955E87}">
  <ds:schemaRefs/>
</ds:datastoreItem>
</file>

<file path=docProps/app.xml><?xml version="1.0" encoding="utf-8"?>
<Properties xmlns="http://schemas.openxmlformats.org/officeDocument/2006/extended-properties" xmlns:vt="http://schemas.openxmlformats.org/officeDocument/2006/docPropsVTypes">
  <Template>Normal</Template>
  <Pages>125</Pages>
  <Words>30704</Words>
  <Characters>32674</Characters>
  <Lines>525</Lines>
  <Paragraphs>148</Paragraphs>
  <TotalTime>18</TotalTime>
  <ScaleCrop>false</ScaleCrop>
  <LinksUpToDate>false</LinksUpToDate>
  <CharactersWithSpaces>34512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2021-11-18T08:56:00Z</dcterms:created>
  <dc:creator>PC710</dc:creator>
  <cp:lastModifiedBy>零</cp:lastModifiedBy>
  <cp:lastPrinted>2022-02-18T02:58:00Z</cp:lastPrinted>
  <dcterms:modified xsi:type="dcterms:W3CDTF">2025-05-30T03:30:54Z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5F44698C9D9644E9AD171E36297A770D_13</vt:lpwstr>
  </property>
  <property fmtid="{D5CDD505-2E9C-101B-9397-08002B2CF9AE}" pid="4" name="KSOTemplateDocerSaveRecord">
    <vt:lpwstr>eyJoZGlkIjoiNmIyNjc2ODg4YTZkYjNiM2JiYWQxNGYxZjVmOTU3N2UiLCJ1c2VySWQiOiI1MDExMjcxMzUifQ==</vt:lpwstr>
  </property>
</Properties>
</file>