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A5711">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drawing>
          <wp:inline distT="0" distB="0" distL="114300" distR="114300">
            <wp:extent cx="5633085" cy="7575550"/>
            <wp:effectExtent l="0" t="0" r="5715" b="6350"/>
            <wp:docPr id="2" name="图片 2" descr="620ecc8112bae1bf486fa39d0de90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20ecc8112bae1bf486fa39d0de90d5"/>
                    <pic:cNvPicPr>
                      <a:picLocks noChangeAspect="1"/>
                    </pic:cNvPicPr>
                  </pic:nvPicPr>
                  <pic:blipFill>
                    <a:blip r:embed="rId8"/>
                    <a:stretch>
                      <a:fillRect/>
                    </a:stretch>
                  </pic:blipFill>
                  <pic:spPr>
                    <a:xfrm>
                      <a:off x="0" y="0"/>
                      <a:ext cx="5633085" cy="7575550"/>
                    </a:xfrm>
                    <a:prstGeom prst="rect">
                      <a:avLst/>
                    </a:prstGeom>
                  </pic:spPr>
                </pic:pic>
              </a:graphicData>
            </a:graphic>
          </wp:inline>
        </w:drawing>
      </w:r>
    </w:p>
    <w:p w14:paraId="380C5BC4">
      <w:pPr>
        <w:spacing w:line="360" w:lineRule="auto"/>
        <w:jc w:val="center"/>
        <w:rPr>
          <w:rFonts w:hint="eastAsia" w:ascii="宋体" w:hAnsi="宋体"/>
          <w:b/>
          <w:color w:val="auto"/>
          <w:sz w:val="44"/>
          <w:szCs w:val="44"/>
          <w:highlight w:val="none"/>
        </w:rPr>
      </w:pPr>
    </w:p>
    <w:p w14:paraId="751CD6D1">
      <w:pPr>
        <w:spacing w:line="360" w:lineRule="auto"/>
        <w:jc w:val="center"/>
        <w:rPr>
          <w:rFonts w:hint="eastAsia" w:ascii="宋体" w:hAnsi="宋体"/>
          <w:b/>
          <w:color w:val="auto"/>
          <w:sz w:val="44"/>
          <w:szCs w:val="44"/>
          <w:highlight w:val="none"/>
        </w:rPr>
      </w:pPr>
    </w:p>
    <w:p w14:paraId="20A05496">
      <w:pPr>
        <w:spacing w:line="360" w:lineRule="auto"/>
        <w:jc w:val="center"/>
        <w:rPr>
          <w:rFonts w:hint="eastAsia" w:ascii="宋体" w:hAnsi="宋体"/>
          <w:b/>
          <w:color w:val="auto"/>
          <w:sz w:val="44"/>
          <w:szCs w:val="44"/>
          <w:highlight w:val="none"/>
        </w:rPr>
      </w:pPr>
      <w:bookmarkStart w:id="64" w:name="_GoBack"/>
      <w:bookmarkEnd w:id="64"/>
      <w:r>
        <w:rPr>
          <w:rFonts w:hint="eastAsia" w:ascii="宋体" w:hAnsi="宋体"/>
          <w:b/>
          <w:color w:val="auto"/>
          <w:sz w:val="44"/>
          <w:szCs w:val="44"/>
          <w:highlight w:val="none"/>
        </w:rPr>
        <w:t>目  录</w:t>
      </w:r>
    </w:p>
    <w:p w14:paraId="2AD8B7B4">
      <w:pPr>
        <w:spacing w:line="400" w:lineRule="exact"/>
        <w:jc w:val="center"/>
        <w:rPr>
          <w:rFonts w:hint="eastAsia" w:ascii="宋体" w:hAnsi="宋体"/>
          <w:b/>
          <w:color w:val="auto"/>
          <w:sz w:val="44"/>
          <w:szCs w:val="44"/>
          <w:highlight w:val="none"/>
        </w:rPr>
      </w:pPr>
    </w:p>
    <w:p w14:paraId="0820517C">
      <w:pPr>
        <w:pStyle w:val="16"/>
        <w:tabs>
          <w:tab w:val="right" w:leader="dot" w:pos="8869"/>
        </w:tabs>
        <w:snapToGrid w:val="0"/>
        <w:spacing w:line="480" w:lineRule="auto"/>
        <w:rPr>
          <w:rFonts w:ascii="宋体" w:hAnsi="宋体"/>
          <w:b/>
          <w:color w:val="auto"/>
          <w:sz w:val="28"/>
          <w:szCs w:val="28"/>
          <w:highlight w:val="none"/>
        </w:rPr>
      </w:pPr>
      <w:r>
        <w:rPr>
          <w:rFonts w:ascii="宋体" w:hAnsi="宋体"/>
          <w:b/>
          <w:color w:val="auto"/>
          <w:sz w:val="28"/>
          <w:szCs w:val="28"/>
          <w:highlight w:val="none"/>
        </w:rPr>
        <w:fldChar w:fldCharType="begin"/>
      </w:r>
      <w:r>
        <w:rPr>
          <w:rFonts w:ascii="宋体" w:hAnsi="宋体"/>
          <w:b/>
          <w:color w:val="auto"/>
          <w:sz w:val="28"/>
          <w:szCs w:val="28"/>
          <w:highlight w:val="none"/>
        </w:rPr>
        <w:instrText xml:space="preserve"> </w:instrText>
      </w:r>
      <w:r>
        <w:rPr>
          <w:rFonts w:hint="eastAsia" w:ascii="宋体" w:hAnsi="宋体"/>
          <w:b/>
          <w:color w:val="auto"/>
          <w:sz w:val="28"/>
          <w:szCs w:val="28"/>
          <w:highlight w:val="none"/>
        </w:rPr>
        <w:instrText xml:space="preserve">TOC \o "1-3" \h \z \u</w:instrText>
      </w:r>
      <w:r>
        <w:rPr>
          <w:rFonts w:ascii="宋体" w:hAnsi="宋体"/>
          <w:b/>
          <w:color w:val="auto"/>
          <w:sz w:val="28"/>
          <w:szCs w:val="28"/>
          <w:highlight w:val="none"/>
        </w:rPr>
        <w:instrText xml:space="preserve"> </w:instrText>
      </w:r>
      <w:r>
        <w:rPr>
          <w:rFonts w:ascii="宋体" w:hAnsi="宋体"/>
          <w:b/>
          <w:color w:val="auto"/>
          <w:sz w:val="28"/>
          <w:szCs w:val="28"/>
          <w:highlight w:val="none"/>
        </w:rPr>
        <w:fldChar w:fldCharType="separate"/>
      </w:r>
      <w:r>
        <w:rPr>
          <w:rStyle w:val="20"/>
          <w:rFonts w:ascii="宋体" w:hAnsi="宋体"/>
          <w:b/>
          <w:color w:val="auto"/>
          <w:sz w:val="28"/>
          <w:szCs w:val="28"/>
          <w:highlight w:val="none"/>
        </w:rPr>
        <w:fldChar w:fldCharType="begin"/>
      </w:r>
      <w:r>
        <w:rPr>
          <w:rStyle w:val="20"/>
          <w:rFonts w:ascii="宋体" w:hAnsi="宋体"/>
          <w:b/>
          <w:color w:val="auto"/>
          <w:sz w:val="28"/>
          <w:szCs w:val="28"/>
          <w:highlight w:val="none"/>
        </w:rPr>
        <w:instrText xml:space="preserve"> </w:instrText>
      </w:r>
      <w:r>
        <w:rPr>
          <w:rFonts w:ascii="宋体" w:hAnsi="宋体"/>
          <w:b/>
          <w:color w:val="auto"/>
          <w:sz w:val="28"/>
          <w:szCs w:val="28"/>
          <w:highlight w:val="none"/>
        </w:rPr>
        <w:instrText xml:space="preserve">HYPERLINK \l "_Toc74322008"</w:instrText>
      </w:r>
      <w:r>
        <w:rPr>
          <w:rStyle w:val="20"/>
          <w:rFonts w:ascii="宋体" w:hAnsi="宋体"/>
          <w:b/>
          <w:color w:val="auto"/>
          <w:sz w:val="28"/>
          <w:szCs w:val="28"/>
          <w:highlight w:val="none"/>
        </w:rPr>
        <w:instrText xml:space="preserve"> </w:instrText>
      </w:r>
      <w:r>
        <w:rPr>
          <w:rStyle w:val="20"/>
          <w:rFonts w:ascii="宋体" w:hAnsi="宋体"/>
          <w:b/>
          <w:color w:val="auto"/>
          <w:sz w:val="28"/>
          <w:szCs w:val="28"/>
          <w:highlight w:val="none"/>
        </w:rPr>
        <w:fldChar w:fldCharType="separate"/>
      </w:r>
      <w:r>
        <w:rPr>
          <w:rStyle w:val="20"/>
          <w:rFonts w:hint="eastAsia" w:ascii="宋体" w:hAnsi="宋体"/>
          <w:b/>
          <w:color w:val="auto"/>
          <w:sz w:val="28"/>
          <w:szCs w:val="28"/>
          <w:highlight w:val="none"/>
        </w:rPr>
        <w:t>第一章</w:t>
      </w:r>
      <w:r>
        <w:rPr>
          <w:rStyle w:val="20"/>
          <w:rFonts w:ascii="宋体" w:hAnsi="宋体"/>
          <w:b/>
          <w:color w:val="auto"/>
          <w:sz w:val="28"/>
          <w:szCs w:val="28"/>
          <w:highlight w:val="none"/>
        </w:rPr>
        <w:t xml:space="preserve"> </w:t>
      </w:r>
      <w:r>
        <w:rPr>
          <w:rStyle w:val="20"/>
          <w:rFonts w:hint="eastAsia" w:ascii="宋体" w:hAnsi="宋体"/>
          <w:b/>
          <w:color w:val="auto"/>
          <w:sz w:val="28"/>
          <w:szCs w:val="28"/>
          <w:highlight w:val="none"/>
          <w:lang w:eastAsia="zh-CN"/>
        </w:rPr>
        <w:t>竞争性谈判公告</w:t>
      </w:r>
      <w:r>
        <w:rPr>
          <w:rFonts w:ascii="宋体" w:hAnsi="宋体"/>
          <w:b/>
          <w:color w:val="auto"/>
          <w:sz w:val="28"/>
          <w:szCs w:val="28"/>
          <w:highlight w:val="none"/>
        </w:rPr>
        <w:tab/>
      </w:r>
      <w:r>
        <w:rPr>
          <w:rFonts w:ascii="宋体" w:hAnsi="宋体"/>
          <w:b/>
          <w:color w:val="auto"/>
          <w:sz w:val="28"/>
          <w:szCs w:val="28"/>
          <w:highlight w:val="none"/>
        </w:rPr>
        <w:fldChar w:fldCharType="begin"/>
      </w:r>
      <w:r>
        <w:rPr>
          <w:rFonts w:ascii="宋体" w:hAnsi="宋体"/>
          <w:b/>
          <w:color w:val="auto"/>
          <w:sz w:val="28"/>
          <w:szCs w:val="28"/>
          <w:highlight w:val="none"/>
        </w:rPr>
        <w:instrText xml:space="preserve"> PAGEREF _Toc74322008 \h </w:instrText>
      </w:r>
      <w:r>
        <w:rPr>
          <w:rFonts w:ascii="宋体" w:hAnsi="宋体"/>
          <w:b/>
          <w:color w:val="auto"/>
          <w:sz w:val="28"/>
          <w:szCs w:val="28"/>
          <w:highlight w:val="none"/>
        </w:rPr>
        <w:fldChar w:fldCharType="separate"/>
      </w:r>
      <w:r>
        <w:rPr>
          <w:rFonts w:ascii="宋体" w:hAnsi="宋体"/>
          <w:b/>
          <w:color w:val="auto"/>
          <w:sz w:val="28"/>
          <w:szCs w:val="28"/>
          <w:highlight w:val="none"/>
        </w:rPr>
        <w:t>1</w:t>
      </w:r>
      <w:r>
        <w:rPr>
          <w:rFonts w:ascii="宋体" w:hAnsi="宋体"/>
          <w:b/>
          <w:color w:val="auto"/>
          <w:sz w:val="28"/>
          <w:szCs w:val="28"/>
          <w:highlight w:val="none"/>
        </w:rPr>
        <w:fldChar w:fldCharType="end"/>
      </w:r>
      <w:r>
        <w:rPr>
          <w:rStyle w:val="20"/>
          <w:rFonts w:ascii="宋体" w:hAnsi="宋体"/>
          <w:b/>
          <w:color w:val="auto"/>
          <w:sz w:val="28"/>
          <w:szCs w:val="28"/>
          <w:highlight w:val="none"/>
        </w:rPr>
        <w:fldChar w:fldCharType="end"/>
      </w:r>
    </w:p>
    <w:p w14:paraId="2D596C83">
      <w:pPr>
        <w:pStyle w:val="16"/>
        <w:tabs>
          <w:tab w:val="right" w:leader="dot" w:pos="8869"/>
        </w:tabs>
        <w:snapToGrid w:val="0"/>
        <w:spacing w:line="480" w:lineRule="auto"/>
        <w:rPr>
          <w:rFonts w:ascii="宋体" w:hAnsi="宋体"/>
          <w:b/>
          <w:color w:val="auto"/>
          <w:sz w:val="28"/>
          <w:szCs w:val="28"/>
          <w:highlight w:val="none"/>
        </w:rPr>
      </w:pPr>
      <w:r>
        <w:rPr>
          <w:rStyle w:val="20"/>
          <w:rFonts w:ascii="宋体" w:hAnsi="宋体"/>
          <w:b/>
          <w:color w:val="auto"/>
          <w:sz w:val="28"/>
          <w:szCs w:val="28"/>
          <w:highlight w:val="none"/>
        </w:rPr>
        <w:fldChar w:fldCharType="begin"/>
      </w:r>
      <w:r>
        <w:rPr>
          <w:rStyle w:val="20"/>
          <w:rFonts w:ascii="宋体" w:hAnsi="宋体"/>
          <w:b/>
          <w:color w:val="auto"/>
          <w:sz w:val="28"/>
          <w:szCs w:val="28"/>
          <w:highlight w:val="none"/>
        </w:rPr>
        <w:instrText xml:space="preserve"> </w:instrText>
      </w:r>
      <w:r>
        <w:rPr>
          <w:rFonts w:ascii="宋体" w:hAnsi="宋体"/>
          <w:b/>
          <w:color w:val="auto"/>
          <w:sz w:val="28"/>
          <w:szCs w:val="28"/>
          <w:highlight w:val="none"/>
        </w:rPr>
        <w:instrText xml:space="preserve">HYPERLINK \l "_Toc74322009"</w:instrText>
      </w:r>
      <w:r>
        <w:rPr>
          <w:rStyle w:val="20"/>
          <w:rFonts w:ascii="宋体" w:hAnsi="宋体"/>
          <w:b/>
          <w:color w:val="auto"/>
          <w:sz w:val="28"/>
          <w:szCs w:val="28"/>
          <w:highlight w:val="none"/>
        </w:rPr>
        <w:instrText xml:space="preserve"> </w:instrText>
      </w:r>
      <w:r>
        <w:rPr>
          <w:rStyle w:val="20"/>
          <w:rFonts w:ascii="宋体" w:hAnsi="宋体"/>
          <w:b/>
          <w:color w:val="auto"/>
          <w:sz w:val="28"/>
          <w:szCs w:val="28"/>
          <w:highlight w:val="none"/>
        </w:rPr>
        <w:fldChar w:fldCharType="separate"/>
      </w:r>
      <w:r>
        <w:rPr>
          <w:rStyle w:val="20"/>
          <w:rFonts w:hint="eastAsia" w:ascii="宋体" w:hAnsi="宋体"/>
          <w:b/>
          <w:color w:val="auto"/>
          <w:sz w:val="28"/>
          <w:szCs w:val="28"/>
          <w:highlight w:val="none"/>
        </w:rPr>
        <w:t>第二章</w:t>
      </w:r>
      <w:r>
        <w:rPr>
          <w:rStyle w:val="20"/>
          <w:rFonts w:ascii="宋体" w:hAnsi="宋体"/>
          <w:b/>
          <w:color w:val="auto"/>
          <w:sz w:val="28"/>
          <w:szCs w:val="28"/>
          <w:highlight w:val="none"/>
        </w:rPr>
        <w:t xml:space="preserve"> </w:t>
      </w:r>
      <w:r>
        <w:rPr>
          <w:rStyle w:val="20"/>
          <w:rFonts w:hint="eastAsia" w:ascii="宋体" w:hAnsi="宋体"/>
          <w:b/>
          <w:color w:val="auto"/>
          <w:sz w:val="28"/>
          <w:szCs w:val="28"/>
          <w:highlight w:val="none"/>
        </w:rPr>
        <w:t>供应商须知</w:t>
      </w:r>
      <w:r>
        <w:rPr>
          <w:rFonts w:ascii="宋体" w:hAnsi="宋体"/>
          <w:b/>
          <w:color w:val="auto"/>
          <w:sz w:val="28"/>
          <w:szCs w:val="28"/>
          <w:highlight w:val="none"/>
        </w:rPr>
        <w:tab/>
      </w:r>
      <w:r>
        <w:rPr>
          <w:rFonts w:ascii="宋体" w:hAnsi="宋体"/>
          <w:b/>
          <w:color w:val="auto"/>
          <w:sz w:val="28"/>
          <w:szCs w:val="28"/>
          <w:highlight w:val="none"/>
        </w:rPr>
        <w:fldChar w:fldCharType="begin"/>
      </w:r>
      <w:r>
        <w:rPr>
          <w:rFonts w:ascii="宋体" w:hAnsi="宋体"/>
          <w:b/>
          <w:color w:val="auto"/>
          <w:sz w:val="28"/>
          <w:szCs w:val="28"/>
          <w:highlight w:val="none"/>
        </w:rPr>
        <w:instrText xml:space="preserve"> PAGEREF _Toc74322009 \h </w:instrText>
      </w:r>
      <w:r>
        <w:rPr>
          <w:rFonts w:ascii="宋体" w:hAnsi="宋体"/>
          <w:b/>
          <w:color w:val="auto"/>
          <w:sz w:val="28"/>
          <w:szCs w:val="28"/>
          <w:highlight w:val="none"/>
        </w:rPr>
        <w:fldChar w:fldCharType="separate"/>
      </w:r>
      <w:r>
        <w:rPr>
          <w:rFonts w:ascii="宋体" w:hAnsi="宋体"/>
          <w:b/>
          <w:color w:val="auto"/>
          <w:sz w:val="28"/>
          <w:szCs w:val="28"/>
          <w:highlight w:val="none"/>
        </w:rPr>
        <w:t>4</w:t>
      </w:r>
      <w:r>
        <w:rPr>
          <w:rFonts w:ascii="宋体" w:hAnsi="宋体"/>
          <w:b/>
          <w:color w:val="auto"/>
          <w:sz w:val="28"/>
          <w:szCs w:val="28"/>
          <w:highlight w:val="none"/>
        </w:rPr>
        <w:fldChar w:fldCharType="end"/>
      </w:r>
      <w:r>
        <w:rPr>
          <w:rStyle w:val="20"/>
          <w:rFonts w:ascii="宋体" w:hAnsi="宋体"/>
          <w:b/>
          <w:color w:val="auto"/>
          <w:sz w:val="28"/>
          <w:szCs w:val="28"/>
          <w:highlight w:val="none"/>
        </w:rPr>
        <w:fldChar w:fldCharType="end"/>
      </w:r>
    </w:p>
    <w:p w14:paraId="5A505BB9">
      <w:pPr>
        <w:pStyle w:val="16"/>
        <w:tabs>
          <w:tab w:val="right" w:leader="dot" w:pos="8869"/>
        </w:tabs>
        <w:snapToGrid w:val="0"/>
        <w:spacing w:line="480" w:lineRule="auto"/>
        <w:rPr>
          <w:rFonts w:ascii="宋体" w:hAnsi="宋体"/>
          <w:b/>
          <w:color w:val="auto"/>
          <w:sz w:val="28"/>
          <w:szCs w:val="28"/>
          <w:highlight w:val="none"/>
        </w:rPr>
      </w:pPr>
      <w:r>
        <w:rPr>
          <w:rStyle w:val="20"/>
          <w:rFonts w:ascii="宋体" w:hAnsi="宋体"/>
          <w:b/>
          <w:color w:val="auto"/>
          <w:sz w:val="28"/>
          <w:szCs w:val="28"/>
          <w:highlight w:val="none"/>
        </w:rPr>
        <w:fldChar w:fldCharType="begin"/>
      </w:r>
      <w:r>
        <w:rPr>
          <w:rStyle w:val="20"/>
          <w:rFonts w:ascii="宋体" w:hAnsi="宋体"/>
          <w:b/>
          <w:color w:val="auto"/>
          <w:sz w:val="28"/>
          <w:szCs w:val="28"/>
          <w:highlight w:val="none"/>
        </w:rPr>
        <w:instrText xml:space="preserve"> </w:instrText>
      </w:r>
      <w:r>
        <w:rPr>
          <w:rFonts w:ascii="宋体" w:hAnsi="宋体"/>
          <w:b/>
          <w:color w:val="auto"/>
          <w:sz w:val="28"/>
          <w:szCs w:val="28"/>
          <w:highlight w:val="none"/>
        </w:rPr>
        <w:instrText xml:space="preserve">HYPERLINK \l "_Toc74322010"</w:instrText>
      </w:r>
      <w:r>
        <w:rPr>
          <w:rStyle w:val="20"/>
          <w:rFonts w:ascii="宋体" w:hAnsi="宋体"/>
          <w:b/>
          <w:color w:val="auto"/>
          <w:sz w:val="28"/>
          <w:szCs w:val="28"/>
          <w:highlight w:val="none"/>
        </w:rPr>
        <w:instrText xml:space="preserve"> </w:instrText>
      </w:r>
      <w:r>
        <w:rPr>
          <w:rStyle w:val="20"/>
          <w:rFonts w:ascii="宋体" w:hAnsi="宋体"/>
          <w:b/>
          <w:color w:val="auto"/>
          <w:sz w:val="28"/>
          <w:szCs w:val="28"/>
          <w:highlight w:val="none"/>
        </w:rPr>
        <w:fldChar w:fldCharType="separate"/>
      </w:r>
      <w:r>
        <w:rPr>
          <w:rStyle w:val="20"/>
          <w:rFonts w:hint="eastAsia" w:ascii="宋体" w:hAnsi="宋体"/>
          <w:b/>
          <w:color w:val="auto"/>
          <w:sz w:val="28"/>
          <w:szCs w:val="28"/>
          <w:highlight w:val="none"/>
        </w:rPr>
        <w:t>第三章</w:t>
      </w:r>
      <w:r>
        <w:rPr>
          <w:rStyle w:val="20"/>
          <w:rFonts w:ascii="宋体" w:hAnsi="宋体"/>
          <w:b/>
          <w:color w:val="auto"/>
          <w:sz w:val="28"/>
          <w:szCs w:val="28"/>
          <w:highlight w:val="none"/>
        </w:rPr>
        <w:t xml:space="preserve"> </w:t>
      </w:r>
      <w:r>
        <w:rPr>
          <w:rStyle w:val="20"/>
          <w:rFonts w:hint="eastAsia" w:ascii="宋体" w:hAnsi="宋体"/>
          <w:b/>
          <w:color w:val="auto"/>
          <w:sz w:val="28"/>
          <w:szCs w:val="28"/>
          <w:highlight w:val="none"/>
        </w:rPr>
        <w:t>采购需求</w:t>
      </w:r>
      <w:bookmarkStart w:id="0" w:name="_Hlt82166985"/>
      <w:r>
        <w:rPr>
          <w:rFonts w:ascii="宋体" w:hAnsi="宋体"/>
          <w:b/>
          <w:color w:val="auto"/>
          <w:sz w:val="28"/>
          <w:szCs w:val="28"/>
          <w:highlight w:val="none"/>
        </w:rPr>
        <w:tab/>
      </w:r>
      <w:bookmarkEnd w:id="0"/>
      <w:r>
        <w:rPr>
          <w:rFonts w:ascii="宋体" w:hAnsi="宋体"/>
          <w:b/>
          <w:color w:val="auto"/>
          <w:sz w:val="28"/>
          <w:szCs w:val="28"/>
          <w:highlight w:val="none"/>
        </w:rPr>
        <w:fldChar w:fldCharType="begin"/>
      </w:r>
      <w:r>
        <w:rPr>
          <w:rFonts w:ascii="宋体" w:hAnsi="宋体"/>
          <w:b/>
          <w:color w:val="auto"/>
          <w:sz w:val="28"/>
          <w:szCs w:val="28"/>
          <w:highlight w:val="none"/>
        </w:rPr>
        <w:instrText xml:space="preserve"> PAGEREF _Toc74322010 \h </w:instrText>
      </w:r>
      <w:r>
        <w:rPr>
          <w:rFonts w:ascii="宋体" w:hAnsi="宋体"/>
          <w:b/>
          <w:color w:val="auto"/>
          <w:sz w:val="28"/>
          <w:szCs w:val="28"/>
          <w:highlight w:val="none"/>
        </w:rPr>
        <w:fldChar w:fldCharType="separate"/>
      </w:r>
      <w:r>
        <w:rPr>
          <w:rFonts w:ascii="宋体" w:hAnsi="宋体"/>
          <w:b/>
          <w:color w:val="auto"/>
          <w:sz w:val="28"/>
          <w:szCs w:val="28"/>
          <w:highlight w:val="none"/>
        </w:rPr>
        <w:t>19</w:t>
      </w:r>
      <w:r>
        <w:rPr>
          <w:rFonts w:ascii="宋体" w:hAnsi="宋体"/>
          <w:b/>
          <w:color w:val="auto"/>
          <w:sz w:val="28"/>
          <w:szCs w:val="28"/>
          <w:highlight w:val="none"/>
        </w:rPr>
        <w:fldChar w:fldCharType="end"/>
      </w:r>
      <w:r>
        <w:rPr>
          <w:rStyle w:val="20"/>
          <w:rFonts w:ascii="宋体" w:hAnsi="宋体"/>
          <w:b/>
          <w:color w:val="auto"/>
          <w:sz w:val="28"/>
          <w:szCs w:val="28"/>
          <w:highlight w:val="none"/>
        </w:rPr>
        <w:fldChar w:fldCharType="end"/>
      </w:r>
    </w:p>
    <w:p w14:paraId="76D888DE">
      <w:pPr>
        <w:pStyle w:val="16"/>
        <w:tabs>
          <w:tab w:val="right" w:leader="dot" w:pos="8869"/>
        </w:tabs>
        <w:snapToGrid w:val="0"/>
        <w:spacing w:line="480" w:lineRule="auto"/>
        <w:rPr>
          <w:rFonts w:hint="eastAsia" w:ascii="宋体" w:hAnsi="宋体" w:eastAsia="宋体"/>
          <w:b/>
          <w:color w:val="auto"/>
          <w:sz w:val="28"/>
          <w:szCs w:val="28"/>
          <w:highlight w:val="none"/>
          <w:lang w:val="en-US" w:eastAsia="zh-CN"/>
        </w:rPr>
      </w:pPr>
      <w:r>
        <w:rPr>
          <w:rStyle w:val="20"/>
          <w:rFonts w:ascii="宋体" w:hAnsi="宋体"/>
          <w:b/>
          <w:color w:val="auto"/>
          <w:sz w:val="28"/>
          <w:szCs w:val="28"/>
          <w:highlight w:val="none"/>
        </w:rPr>
        <w:fldChar w:fldCharType="begin"/>
      </w:r>
      <w:r>
        <w:rPr>
          <w:rStyle w:val="20"/>
          <w:rFonts w:ascii="宋体" w:hAnsi="宋体"/>
          <w:b/>
          <w:color w:val="auto"/>
          <w:sz w:val="28"/>
          <w:szCs w:val="28"/>
          <w:highlight w:val="none"/>
        </w:rPr>
        <w:instrText xml:space="preserve"> </w:instrText>
      </w:r>
      <w:r>
        <w:rPr>
          <w:rFonts w:ascii="宋体" w:hAnsi="宋体"/>
          <w:b/>
          <w:color w:val="auto"/>
          <w:sz w:val="28"/>
          <w:szCs w:val="28"/>
          <w:highlight w:val="none"/>
        </w:rPr>
        <w:instrText xml:space="preserve">HYPERLINK \l "_Toc74322011"</w:instrText>
      </w:r>
      <w:r>
        <w:rPr>
          <w:rStyle w:val="20"/>
          <w:rFonts w:ascii="宋体" w:hAnsi="宋体"/>
          <w:b/>
          <w:color w:val="auto"/>
          <w:sz w:val="28"/>
          <w:szCs w:val="28"/>
          <w:highlight w:val="none"/>
        </w:rPr>
        <w:instrText xml:space="preserve"> </w:instrText>
      </w:r>
      <w:r>
        <w:rPr>
          <w:rStyle w:val="20"/>
          <w:rFonts w:ascii="宋体" w:hAnsi="宋体"/>
          <w:b/>
          <w:color w:val="auto"/>
          <w:sz w:val="28"/>
          <w:szCs w:val="28"/>
          <w:highlight w:val="none"/>
        </w:rPr>
        <w:fldChar w:fldCharType="separate"/>
      </w:r>
      <w:r>
        <w:rPr>
          <w:rStyle w:val="20"/>
          <w:rFonts w:hint="eastAsia" w:ascii="宋体" w:hAnsi="宋体"/>
          <w:b/>
          <w:color w:val="auto"/>
          <w:sz w:val="28"/>
          <w:szCs w:val="28"/>
          <w:highlight w:val="none"/>
        </w:rPr>
        <w:t>第四章</w:t>
      </w:r>
      <w:r>
        <w:rPr>
          <w:rStyle w:val="20"/>
          <w:rFonts w:ascii="宋体" w:hAnsi="宋体"/>
          <w:b/>
          <w:color w:val="auto"/>
          <w:sz w:val="28"/>
          <w:szCs w:val="28"/>
          <w:highlight w:val="none"/>
        </w:rPr>
        <w:t xml:space="preserve"> </w:t>
      </w:r>
      <w:r>
        <w:rPr>
          <w:rStyle w:val="20"/>
          <w:rFonts w:hint="eastAsia" w:ascii="宋体" w:hAnsi="宋体"/>
          <w:b/>
          <w:color w:val="auto"/>
          <w:sz w:val="28"/>
          <w:szCs w:val="28"/>
          <w:highlight w:val="none"/>
        </w:rPr>
        <w:t>评审程序和评定成交的标准</w:t>
      </w:r>
      <w:r>
        <w:rPr>
          <w:rFonts w:ascii="宋体" w:hAnsi="宋体"/>
          <w:b/>
          <w:color w:val="auto"/>
          <w:sz w:val="28"/>
          <w:szCs w:val="28"/>
          <w:highlight w:val="none"/>
        </w:rPr>
        <w:tab/>
      </w:r>
      <w:r>
        <w:rPr>
          <w:rFonts w:hint="eastAsia" w:ascii="宋体" w:hAnsi="宋体"/>
          <w:b/>
          <w:color w:val="auto"/>
          <w:sz w:val="28"/>
          <w:szCs w:val="28"/>
          <w:highlight w:val="none"/>
          <w:lang w:val="en-US" w:eastAsia="zh-CN"/>
        </w:rPr>
        <w:t>2</w:t>
      </w:r>
      <w:r>
        <w:rPr>
          <w:rStyle w:val="20"/>
          <w:rFonts w:ascii="宋体" w:hAnsi="宋体"/>
          <w:b/>
          <w:color w:val="auto"/>
          <w:sz w:val="28"/>
          <w:szCs w:val="28"/>
          <w:highlight w:val="none"/>
        </w:rPr>
        <w:fldChar w:fldCharType="end"/>
      </w:r>
      <w:r>
        <w:rPr>
          <w:rStyle w:val="20"/>
          <w:rFonts w:hint="eastAsia" w:ascii="宋体" w:hAnsi="宋体"/>
          <w:b/>
          <w:color w:val="auto"/>
          <w:sz w:val="28"/>
          <w:szCs w:val="28"/>
          <w:highlight w:val="none"/>
          <w:lang w:val="en-US" w:eastAsia="zh-CN"/>
        </w:rPr>
        <w:t>2</w:t>
      </w:r>
    </w:p>
    <w:p w14:paraId="38368DA2">
      <w:pPr>
        <w:pStyle w:val="16"/>
        <w:tabs>
          <w:tab w:val="right" w:leader="dot" w:pos="8869"/>
        </w:tabs>
        <w:snapToGrid w:val="0"/>
        <w:spacing w:line="480" w:lineRule="auto"/>
        <w:rPr>
          <w:rFonts w:hint="eastAsia" w:ascii="宋体" w:hAnsi="宋体" w:eastAsia="宋体"/>
          <w:b/>
          <w:color w:val="auto"/>
          <w:sz w:val="28"/>
          <w:szCs w:val="28"/>
          <w:highlight w:val="none"/>
          <w:lang w:val="en-US" w:eastAsia="zh-CN"/>
        </w:rPr>
      </w:pPr>
      <w:r>
        <w:rPr>
          <w:rStyle w:val="20"/>
          <w:rFonts w:ascii="宋体" w:hAnsi="宋体"/>
          <w:b/>
          <w:color w:val="auto"/>
          <w:sz w:val="28"/>
          <w:szCs w:val="28"/>
          <w:highlight w:val="none"/>
        </w:rPr>
        <w:fldChar w:fldCharType="begin"/>
      </w:r>
      <w:r>
        <w:rPr>
          <w:rStyle w:val="20"/>
          <w:rFonts w:ascii="宋体" w:hAnsi="宋体"/>
          <w:b/>
          <w:color w:val="auto"/>
          <w:sz w:val="28"/>
          <w:szCs w:val="28"/>
          <w:highlight w:val="none"/>
        </w:rPr>
        <w:instrText xml:space="preserve"> </w:instrText>
      </w:r>
      <w:r>
        <w:rPr>
          <w:rFonts w:ascii="宋体" w:hAnsi="宋体"/>
          <w:b/>
          <w:color w:val="auto"/>
          <w:sz w:val="28"/>
          <w:szCs w:val="28"/>
          <w:highlight w:val="none"/>
        </w:rPr>
        <w:instrText xml:space="preserve">HYPERLINK \l "_Toc74322012"</w:instrText>
      </w:r>
      <w:r>
        <w:rPr>
          <w:rStyle w:val="20"/>
          <w:rFonts w:ascii="宋体" w:hAnsi="宋体"/>
          <w:b/>
          <w:color w:val="auto"/>
          <w:sz w:val="28"/>
          <w:szCs w:val="28"/>
          <w:highlight w:val="none"/>
        </w:rPr>
        <w:instrText xml:space="preserve"> </w:instrText>
      </w:r>
      <w:r>
        <w:rPr>
          <w:rStyle w:val="20"/>
          <w:rFonts w:ascii="宋体" w:hAnsi="宋体"/>
          <w:b/>
          <w:color w:val="auto"/>
          <w:sz w:val="28"/>
          <w:szCs w:val="28"/>
          <w:highlight w:val="none"/>
        </w:rPr>
        <w:fldChar w:fldCharType="separate"/>
      </w:r>
      <w:r>
        <w:rPr>
          <w:rStyle w:val="20"/>
          <w:rFonts w:hint="eastAsia" w:ascii="宋体" w:hAnsi="宋体"/>
          <w:b/>
          <w:color w:val="auto"/>
          <w:sz w:val="28"/>
          <w:szCs w:val="28"/>
          <w:highlight w:val="none"/>
        </w:rPr>
        <w:t>第五章</w:t>
      </w:r>
      <w:r>
        <w:rPr>
          <w:rStyle w:val="20"/>
          <w:rFonts w:ascii="宋体" w:hAnsi="宋体"/>
          <w:b/>
          <w:color w:val="auto"/>
          <w:sz w:val="28"/>
          <w:szCs w:val="28"/>
          <w:highlight w:val="none"/>
        </w:rPr>
        <w:t xml:space="preserve"> </w:t>
      </w:r>
      <w:r>
        <w:rPr>
          <w:rStyle w:val="20"/>
          <w:rFonts w:hint="eastAsia" w:ascii="宋体" w:hAnsi="宋体"/>
          <w:b/>
          <w:color w:val="auto"/>
          <w:sz w:val="28"/>
          <w:szCs w:val="28"/>
          <w:highlight w:val="none"/>
        </w:rPr>
        <w:t>响应文件格式</w:t>
      </w:r>
      <w:r>
        <w:rPr>
          <w:rFonts w:ascii="宋体" w:hAnsi="宋体"/>
          <w:b/>
          <w:color w:val="auto"/>
          <w:sz w:val="28"/>
          <w:szCs w:val="28"/>
          <w:highlight w:val="none"/>
        </w:rPr>
        <w:tab/>
      </w:r>
      <w:r>
        <w:rPr>
          <w:rFonts w:hint="eastAsia" w:ascii="宋体" w:hAnsi="宋体"/>
          <w:b/>
          <w:color w:val="auto"/>
          <w:sz w:val="28"/>
          <w:szCs w:val="28"/>
          <w:highlight w:val="none"/>
          <w:lang w:val="en-US" w:eastAsia="zh-CN"/>
        </w:rPr>
        <w:t>2</w:t>
      </w:r>
      <w:r>
        <w:rPr>
          <w:rStyle w:val="20"/>
          <w:rFonts w:ascii="宋体" w:hAnsi="宋体"/>
          <w:b/>
          <w:color w:val="auto"/>
          <w:sz w:val="28"/>
          <w:szCs w:val="28"/>
          <w:highlight w:val="none"/>
        </w:rPr>
        <w:fldChar w:fldCharType="end"/>
      </w:r>
      <w:r>
        <w:rPr>
          <w:rStyle w:val="20"/>
          <w:rFonts w:hint="eastAsia" w:ascii="宋体" w:hAnsi="宋体"/>
          <w:b/>
          <w:color w:val="auto"/>
          <w:sz w:val="28"/>
          <w:szCs w:val="28"/>
          <w:highlight w:val="none"/>
          <w:lang w:val="en-US" w:eastAsia="zh-CN"/>
        </w:rPr>
        <w:t>6</w:t>
      </w:r>
    </w:p>
    <w:p w14:paraId="3A8C7BA6">
      <w:pPr>
        <w:pStyle w:val="16"/>
        <w:tabs>
          <w:tab w:val="right" w:leader="dot" w:pos="8869"/>
        </w:tabs>
        <w:snapToGrid w:val="0"/>
        <w:spacing w:line="480" w:lineRule="auto"/>
        <w:rPr>
          <w:rFonts w:hint="eastAsia" w:ascii="宋体" w:hAnsi="宋体" w:eastAsia="宋体"/>
          <w:b/>
          <w:color w:val="auto"/>
          <w:sz w:val="28"/>
          <w:szCs w:val="28"/>
          <w:highlight w:val="none"/>
          <w:lang w:val="en-US" w:eastAsia="zh-CN"/>
        </w:rPr>
      </w:pPr>
      <w:r>
        <w:rPr>
          <w:rStyle w:val="20"/>
          <w:rFonts w:ascii="宋体" w:hAnsi="宋体"/>
          <w:b/>
          <w:color w:val="auto"/>
          <w:sz w:val="28"/>
          <w:szCs w:val="28"/>
          <w:highlight w:val="none"/>
        </w:rPr>
        <w:fldChar w:fldCharType="begin"/>
      </w:r>
      <w:r>
        <w:rPr>
          <w:rStyle w:val="20"/>
          <w:rFonts w:ascii="宋体" w:hAnsi="宋体"/>
          <w:b/>
          <w:color w:val="auto"/>
          <w:sz w:val="28"/>
          <w:szCs w:val="28"/>
          <w:highlight w:val="none"/>
        </w:rPr>
        <w:instrText xml:space="preserve"> </w:instrText>
      </w:r>
      <w:r>
        <w:rPr>
          <w:rFonts w:ascii="宋体" w:hAnsi="宋体"/>
          <w:b/>
          <w:color w:val="auto"/>
          <w:sz w:val="28"/>
          <w:szCs w:val="28"/>
          <w:highlight w:val="none"/>
        </w:rPr>
        <w:instrText xml:space="preserve">HYPERLINK \l "_Toc74322013"</w:instrText>
      </w:r>
      <w:r>
        <w:rPr>
          <w:rStyle w:val="20"/>
          <w:rFonts w:ascii="宋体" w:hAnsi="宋体"/>
          <w:b/>
          <w:color w:val="auto"/>
          <w:sz w:val="28"/>
          <w:szCs w:val="28"/>
          <w:highlight w:val="none"/>
        </w:rPr>
        <w:instrText xml:space="preserve"> </w:instrText>
      </w:r>
      <w:r>
        <w:rPr>
          <w:rStyle w:val="20"/>
          <w:rFonts w:ascii="宋体" w:hAnsi="宋体"/>
          <w:b/>
          <w:color w:val="auto"/>
          <w:sz w:val="28"/>
          <w:szCs w:val="28"/>
          <w:highlight w:val="none"/>
        </w:rPr>
        <w:fldChar w:fldCharType="separate"/>
      </w:r>
      <w:r>
        <w:rPr>
          <w:rStyle w:val="20"/>
          <w:rFonts w:hint="eastAsia" w:ascii="宋体" w:hAnsi="宋体"/>
          <w:b/>
          <w:color w:val="auto"/>
          <w:sz w:val="28"/>
          <w:szCs w:val="28"/>
          <w:highlight w:val="none"/>
        </w:rPr>
        <w:t>第六章</w:t>
      </w:r>
      <w:r>
        <w:rPr>
          <w:rStyle w:val="20"/>
          <w:rFonts w:ascii="宋体" w:hAnsi="宋体"/>
          <w:b/>
          <w:color w:val="auto"/>
          <w:sz w:val="28"/>
          <w:szCs w:val="28"/>
          <w:highlight w:val="none"/>
        </w:rPr>
        <w:t xml:space="preserve"> </w:t>
      </w:r>
      <w:r>
        <w:rPr>
          <w:rStyle w:val="20"/>
          <w:rFonts w:hint="eastAsia" w:ascii="宋体" w:hAnsi="宋体"/>
          <w:b/>
          <w:color w:val="auto"/>
          <w:sz w:val="28"/>
          <w:szCs w:val="28"/>
          <w:highlight w:val="none"/>
        </w:rPr>
        <w:t>合同文本</w:t>
      </w:r>
      <w:r>
        <w:rPr>
          <w:rFonts w:ascii="宋体" w:hAnsi="宋体"/>
          <w:b/>
          <w:color w:val="auto"/>
          <w:sz w:val="28"/>
          <w:szCs w:val="28"/>
          <w:highlight w:val="none"/>
        </w:rPr>
        <w:tab/>
      </w:r>
      <w:r>
        <w:rPr>
          <w:rFonts w:hint="eastAsia" w:ascii="宋体" w:hAnsi="宋体"/>
          <w:b/>
          <w:color w:val="auto"/>
          <w:sz w:val="28"/>
          <w:szCs w:val="28"/>
          <w:highlight w:val="none"/>
          <w:lang w:val="en-US" w:eastAsia="zh-CN"/>
        </w:rPr>
        <w:t>5</w:t>
      </w:r>
      <w:r>
        <w:rPr>
          <w:rStyle w:val="20"/>
          <w:rFonts w:ascii="宋体" w:hAnsi="宋体"/>
          <w:b/>
          <w:color w:val="auto"/>
          <w:sz w:val="28"/>
          <w:szCs w:val="28"/>
          <w:highlight w:val="none"/>
        </w:rPr>
        <w:fldChar w:fldCharType="end"/>
      </w:r>
      <w:r>
        <w:rPr>
          <w:rStyle w:val="20"/>
          <w:rFonts w:hint="eastAsia" w:ascii="宋体" w:hAnsi="宋体"/>
          <w:b/>
          <w:color w:val="auto"/>
          <w:sz w:val="28"/>
          <w:szCs w:val="28"/>
          <w:highlight w:val="none"/>
          <w:lang w:val="en-US" w:eastAsia="zh-CN"/>
        </w:rPr>
        <w:t>1</w:t>
      </w:r>
    </w:p>
    <w:p w14:paraId="6041B60A">
      <w:pPr>
        <w:spacing w:line="400" w:lineRule="exact"/>
        <w:jc w:val="both"/>
        <w:rPr>
          <w:rFonts w:hint="eastAsia" w:ascii="宋体" w:hAnsi="宋体"/>
          <w:b/>
          <w:color w:val="auto"/>
          <w:sz w:val="32"/>
          <w:szCs w:val="32"/>
          <w:highlight w:val="none"/>
        </w:rPr>
      </w:pPr>
      <w:r>
        <w:rPr>
          <w:rFonts w:ascii="宋体" w:hAnsi="宋体"/>
          <w:b/>
          <w:color w:val="auto"/>
          <w:sz w:val="28"/>
          <w:szCs w:val="28"/>
          <w:highlight w:val="none"/>
        </w:rPr>
        <w:fldChar w:fldCharType="end"/>
      </w:r>
    </w:p>
    <w:p w14:paraId="26ED7B24">
      <w:pPr>
        <w:spacing w:line="400" w:lineRule="exact"/>
        <w:jc w:val="center"/>
        <w:rPr>
          <w:rFonts w:hint="eastAsia" w:ascii="宋体" w:hAnsi="宋体"/>
          <w:b/>
          <w:color w:val="auto"/>
          <w:sz w:val="32"/>
          <w:szCs w:val="32"/>
          <w:highlight w:val="none"/>
        </w:rPr>
      </w:pPr>
    </w:p>
    <w:p w14:paraId="47DD05A8">
      <w:pPr>
        <w:spacing w:line="400" w:lineRule="exact"/>
        <w:rPr>
          <w:rFonts w:hint="eastAsia" w:ascii="宋体" w:hAnsi="宋体"/>
          <w:b/>
          <w:color w:val="auto"/>
          <w:sz w:val="32"/>
          <w:szCs w:val="32"/>
          <w:highlight w:val="none"/>
        </w:rPr>
        <w:sectPr>
          <w:headerReference r:id="rId3" w:type="default"/>
          <w:pgSz w:w="11906" w:h="16838"/>
          <w:pgMar w:top="1440" w:right="1440" w:bottom="1440" w:left="1587" w:header="851" w:footer="992" w:gutter="0"/>
          <w:pgNumType w:start="0"/>
          <w:cols w:space="720" w:num="1"/>
          <w:titlePg/>
          <w:docGrid w:type="lines" w:linePitch="312" w:charSpace="0"/>
        </w:sectPr>
      </w:pPr>
    </w:p>
    <w:p w14:paraId="576DAA86">
      <w:pPr>
        <w:pStyle w:val="2"/>
        <w:spacing w:line="240" w:lineRule="auto"/>
        <w:jc w:val="center"/>
        <w:rPr>
          <w:rFonts w:hint="eastAsia" w:eastAsia="宋体"/>
          <w:color w:val="auto"/>
          <w:highlight w:val="none"/>
          <w:lang w:eastAsia="zh-CN"/>
        </w:rPr>
      </w:pPr>
      <w:bookmarkStart w:id="1" w:name="_Toc74322008"/>
      <w:r>
        <w:rPr>
          <w:rFonts w:hint="eastAsia"/>
          <w:color w:val="auto"/>
          <w:highlight w:val="none"/>
        </w:rPr>
        <w:t xml:space="preserve">第一章 </w:t>
      </w:r>
      <w:bookmarkEnd w:id="1"/>
      <w:r>
        <w:rPr>
          <w:rFonts w:hint="eastAsia"/>
          <w:color w:val="auto"/>
          <w:highlight w:val="none"/>
          <w:lang w:eastAsia="zh-CN"/>
        </w:rPr>
        <w:t>竞争性谈判公告</w:t>
      </w:r>
    </w:p>
    <w:p w14:paraId="4824F794">
      <w:pPr>
        <w:spacing w:line="360" w:lineRule="auto"/>
        <w:jc w:val="center"/>
        <w:rPr>
          <w:rFonts w:hint="eastAsia" w:ascii="宋体" w:hAnsi="宋体" w:eastAsia="宋体"/>
          <w:b/>
          <w:bCs/>
          <w:color w:val="auto"/>
          <w:sz w:val="32"/>
          <w:szCs w:val="32"/>
          <w:highlight w:val="none"/>
          <w:lang w:eastAsia="zh-CN"/>
        </w:rPr>
      </w:pPr>
      <w:r>
        <w:rPr>
          <w:rFonts w:hint="eastAsia" w:ascii="宋体" w:hAnsi="宋体"/>
          <w:b/>
          <w:bCs/>
          <w:color w:val="auto"/>
          <w:sz w:val="32"/>
          <w:szCs w:val="32"/>
          <w:highlight w:val="none"/>
          <w:lang w:eastAsia="zh-CN"/>
        </w:rPr>
        <w:t>2025年春秋两季“四害”消杀服务</w:t>
      </w:r>
    </w:p>
    <w:p w14:paraId="15EA9A36">
      <w:pPr>
        <w:spacing w:line="360" w:lineRule="auto"/>
        <w:jc w:val="center"/>
        <w:rPr>
          <w:rFonts w:ascii="宋体" w:hAnsi="宋体"/>
          <w:color w:val="auto"/>
          <w:szCs w:val="21"/>
          <w:highlight w:val="none"/>
        </w:rPr>
      </w:pPr>
      <w:r>
        <w:rPr>
          <w:rFonts w:hint="eastAsia" w:ascii="宋体" w:hAnsi="宋体"/>
          <w:b/>
          <w:bCs/>
          <w:color w:val="auto"/>
          <w:sz w:val="32"/>
          <w:szCs w:val="32"/>
          <w:highlight w:val="none"/>
        </w:rPr>
        <w:t>竞争性谈判公告（远程异地评标）</w:t>
      </w:r>
    </w:p>
    <w:p w14:paraId="449A6A4A">
      <w:pPr>
        <w:pBdr>
          <w:top w:val="single" w:color="auto" w:sz="4" w:space="1"/>
          <w:left w:val="single" w:color="auto" w:sz="4" w:space="4"/>
          <w:bottom w:val="single" w:color="auto" w:sz="4" w:space="1"/>
          <w:right w:val="single" w:color="auto" w:sz="4" w:space="4"/>
        </w:pBdr>
        <w:spacing w:line="240" w:lineRule="auto"/>
        <w:ind w:firstLine="480" w:firstLineChars="200"/>
        <w:rPr>
          <w:rFonts w:ascii="宋体" w:hAnsi="宋体"/>
          <w:color w:val="auto"/>
          <w:sz w:val="24"/>
          <w:szCs w:val="24"/>
          <w:highlight w:val="none"/>
        </w:rPr>
      </w:pPr>
      <w:bookmarkStart w:id="2" w:name="_Hlk37430271"/>
      <w:r>
        <w:rPr>
          <w:rFonts w:hint="eastAsia" w:ascii="宋体" w:hAnsi="宋体"/>
          <w:color w:val="auto"/>
          <w:sz w:val="24"/>
          <w:szCs w:val="24"/>
          <w:highlight w:val="none"/>
        </w:rPr>
        <w:t>项目概况</w:t>
      </w:r>
    </w:p>
    <w:p w14:paraId="3F9A5060">
      <w:pPr>
        <w:pBdr>
          <w:top w:val="single" w:color="auto" w:sz="4" w:space="1"/>
          <w:left w:val="single" w:color="auto" w:sz="4" w:space="4"/>
          <w:bottom w:val="single" w:color="auto" w:sz="4" w:space="1"/>
          <w:right w:val="single" w:color="auto" w:sz="4" w:space="4"/>
        </w:pBdr>
        <w:spacing w:line="24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eastAsia="zh-CN"/>
        </w:rPr>
        <w:t>2025年春秋两季“四害”消杀服务</w:t>
      </w:r>
      <w:r>
        <w:rPr>
          <w:rFonts w:hint="eastAsia" w:ascii="宋体" w:hAnsi="宋体"/>
          <w:color w:val="auto"/>
          <w:sz w:val="24"/>
          <w:szCs w:val="24"/>
          <w:highlight w:val="none"/>
        </w:rPr>
        <w:t xml:space="preserve"> 采购项目的潜在供应商应在</w:t>
      </w:r>
      <w:r>
        <w:rPr>
          <w:rFonts w:hint="eastAsia" w:ascii="宋体" w:hAnsi="宋体"/>
          <w:color w:val="auto"/>
          <w:sz w:val="24"/>
          <w:szCs w:val="24"/>
          <w:highlight w:val="none"/>
          <w:u w:val="single"/>
          <w:lang w:eastAsia="zh-CN"/>
        </w:rPr>
        <w:t>广西政府采购云平台（https://www.gcy.zfcg.gxzf.gov.cn）</w:t>
      </w:r>
      <w:r>
        <w:rPr>
          <w:rFonts w:hint="eastAsia" w:ascii="宋体" w:hAnsi="宋体"/>
          <w:color w:val="auto"/>
          <w:sz w:val="24"/>
          <w:szCs w:val="24"/>
          <w:highlight w:val="none"/>
          <w:u w:val="single"/>
        </w:rPr>
        <w:t>）获取（下载）</w:t>
      </w:r>
      <w:r>
        <w:rPr>
          <w:rFonts w:hint="eastAsia" w:ascii="宋体" w:hAnsi="宋体"/>
          <w:color w:val="auto"/>
          <w:sz w:val="24"/>
          <w:szCs w:val="24"/>
          <w:highlight w:val="none"/>
        </w:rPr>
        <w:t>获取</w:t>
      </w:r>
      <w:r>
        <w:rPr>
          <w:rFonts w:hint="eastAsia" w:ascii="宋体" w:hAnsi="宋体"/>
          <w:color w:val="auto"/>
          <w:sz w:val="24"/>
          <w:szCs w:val="24"/>
          <w:highlight w:val="none"/>
          <w:lang w:eastAsia="zh-CN"/>
        </w:rPr>
        <w:t>竞争性谈判</w:t>
      </w:r>
      <w:r>
        <w:rPr>
          <w:rFonts w:hint="eastAsia" w:ascii="宋体" w:hAnsi="宋体"/>
          <w:color w:val="auto"/>
          <w:sz w:val="24"/>
          <w:szCs w:val="24"/>
          <w:highlight w:val="none"/>
        </w:rPr>
        <w:t>文件，并于</w:t>
      </w:r>
      <w:r>
        <w:rPr>
          <w:rFonts w:hint="eastAsia" w:ascii="宋体" w:hAnsi="宋体"/>
          <w:color w:val="auto"/>
          <w:sz w:val="24"/>
          <w:szCs w:val="24"/>
          <w:highlight w:val="none"/>
          <w:u w:val="single"/>
          <w:lang w:eastAsia="zh-CN"/>
        </w:rPr>
        <w:t>202</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lang w:eastAsia="zh-CN"/>
        </w:rPr>
        <w:t>年</w:t>
      </w:r>
      <w:r>
        <w:rPr>
          <w:rFonts w:hint="eastAsia" w:ascii="宋体" w:hAnsi="宋体"/>
          <w:color w:val="auto"/>
          <w:sz w:val="24"/>
          <w:szCs w:val="24"/>
          <w:highlight w:val="none"/>
          <w:u w:val="single"/>
          <w:lang w:val="en-US" w:eastAsia="zh-CN"/>
        </w:rPr>
        <w:t>6</w:t>
      </w:r>
      <w:r>
        <w:rPr>
          <w:rFonts w:hint="eastAsia" w:ascii="宋体" w:hAnsi="宋体"/>
          <w:color w:val="auto"/>
          <w:sz w:val="24"/>
          <w:szCs w:val="24"/>
          <w:highlight w:val="none"/>
          <w:u w:val="single"/>
          <w:lang w:eastAsia="zh-CN"/>
        </w:rPr>
        <w:t>月</w:t>
      </w:r>
      <w:r>
        <w:rPr>
          <w:rFonts w:hint="eastAsia" w:ascii="宋体" w:hAnsi="宋体"/>
          <w:color w:val="auto"/>
          <w:sz w:val="24"/>
          <w:szCs w:val="24"/>
          <w:highlight w:val="none"/>
          <w:u w:val="single"/>
          <w:lang w:val="en-US" w:eastAsia="zh-CN"/>
        </w:rPr>
        <w:t>25</w:t>
      </w:r>
      <w:r>
        <w:rPr>
          <w:rFonts w:hint="eastAsia" w:ascii="宋体" w:hAnsi="宋体"/>
          <w:color w:val="auto"/>
          <w:sz w:val="24"/>
          <w:szCs w:val="24"/>
          <w:highlight w:val="none"/>
          <w:u w:val="single"/>
          <w:lang w:eastAsia="zh-CN"/>
        </w:rPr>
        <w:t>日</w:t>
      </w:r>
      <w:r>
        <w:rPr>
          <w:rFonts w:hint="eastAsia" w:ascii="宋体" w:hAnsi="宋体"/>
          <w:color w:val="auto"/>
          <w:sz w:val="24"/>
          <w:szCs w:val="24"/>
          <w:highlight w:val="none"/>
          <w:u w:val="single"/>
          <w:lang w:val="en-US" w:eastAsia="zh-CN"/>
        </w:rPr>
        <w:t>15</w:t>
      </w:r>
      <w:r>
        <w:rPr>
          <w:rFonts w:hint="eastAsia" w:ascii="宋体" w:hAnsi="宋体"/>
          <w:color w:val="auto"/>
          <w:sz w:val="24"/>
          <w:szCs w:val="24"/>
          <w:highlight w:val="none"/>
          <w:u w:val="single"/>
          <w:lang w:eastAsia="zh-CN"/>
        </w:rPr>
        <w:t>时</w:t>
      </w:r>
      <w:r>
        <w:rPr>
          <w:rFonts w:hint="eastAsia" w:ascii="宋体" w:hAnsi="宋体"/>
          <w:color w:val="auto"/>
          <w:sz w:val="24"/>
          <w:szCs w:val="24"/>
          <w:highlight w:val="none"/>
          <w:u w:val="single"/>
          <w:lang w:val="en-US" w:eastAsia="zh-CN"/>
        </w:rPr>
        <w:t>30</w:t>
      </w:r>
      <w:r>
        <w:rPr>
          <w:rFonts w:hint="eastAsia" w:ascii="宋体" w:hAnsi="宋体"/>
          <w:color w:val="auto"/>
          <w:sz w:val="24"/>
          <w:szCs w:val="24"/>
          <w:highlight w:val="none"/>
          <w:u w:val="single"/>
          <w:lang w:eastAsia="zh-CN"/>
        </w:rPr>
        <w:t>分</w:t>
      </w:r>
      <w:r>
        <w:rPr>
          <w:rFonts w:hint="eastAsia" w:ascii="宋体" w:hAnsi="宋体"/>
          <w:bCs/>
          <w:color w:val="auto"/>
          <w:sz w:val="24"/>
          <w:szCs w:val="24"/>
          <w:highlight w:val="none"/>
        </w:rPr>
        <w:t>（北京时间）前提交响应</w:t>
      </w:r>
      <w:r>
        <w:rPr>
          <w:rFonts w:ascii="宋体" w:hAnsi="宋体"/>
          <w:bCs/>
          <w:color w:val="auto"/>
          <w:sz w:val="24"/>
          <w:szCs w:val="24"/>
          <w:highlight w:val="none"/>
        </w:rPr>
        <w:t>文件</w:t>
      </w:r>
      <w:r>
        <w:rPr>
          <w:rFonts w:hint="eastAsia" w:ascii="宋体" w:hAnsi="宋体"/>
          <w:color w:val="auto"/>
          <w:sz w:val="24"/>
          <w:szCs w:val="24"/>
          <w:highlight w:val="none"/>
        </w:rPr>
        <w:t>。</w:t>
      </w:r>
    </w:p>
    <w:bookmarkEnd w:id="2"/>
    <w:p w14:paraId="012C2B32">
      <w:pPr>
        <w:spacing w:before="0" w:after="0" w:line="360" w:lineRule="auto"/>
        <w:ind w:firstLine="480" w:firstLineChars="200"/>
        <w:outlineLvl w:val="9"/>
        <w:rPr>
          <w:rFonts w:ascii="黑体" w:hAnsi="黑体" w:eastAsia="黑体" w:cs="宋体"/>
          <w:bCs/>
          <w:color w:val="auto"/>
          <w:sz w:val="24"/>
          <w:szCs w:val="24"/>
          <w:highlight w:val="none"/>
        </w:rPr>
      </w:pPr>
      <w:bookmarkStart w:id="3" w:name="_Toc44229878"/>
      <w:bookmarkStart w:id="4" w:name="_Toc28359089"/>
      <w:bookmarkStart w:id="5" w:name="_Toc28359012"/>
      <w:bookmarkStart w:id="6" w:name="_Toc35393629"/>
      <w:bookmarkStart w:id="7" w:name="_Toc35393798"/>
      <w:r>
        <w:rPr>
          <w:rFonts w:hint="eastAsia" w:ascii="黑体" w:hAnsi="黑体" w:eastAsia="黑体" w:cs="宋体"/>
          <w:bCs/>
          <w:color w:val="auto"/>
          <w:sz w:val="24"/>
          <w:szCs w:val="24"/>
          <w:highlight w:val="none"/>
        </w:rPr>
        <w:t>一、项目基本情况</w:t>
      </w:r>
      <w:bookmarkEnd w:id="3"/>
      <w:bookmarkEnd w:id="4"/>
      <w:bookmarkEnd w:id="5"/>
      <w:bookmarkEnd w:id="6"/>
      <w:bookmarkEnd w:id="7"/>
    </w:p>
    <w:p w14:paraId="5363ADF0">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项目编号：</w:t>
      </w:r>
      <w:r>
        <w:rPr>
          <w:rFonts w:hint="eastAsia" w:ascii="宋体" w:hAnsi="宋体"/>
          <w:color w:val="auto"/>
          <w:sz w:val="24"/>
          <w:szCs w:val="24"/>
          <w:highlight w:val="none"/>
          <w:u w:val="none"/>
          <w:lang w:eastAsia="zh-CN"/>
        </w:rPr>
        <w:t>BSZC2025-J3-300105-GXBS</w:t>
      </w:r>
    </w:p>
    <w:p w14:paraId="246E1E1F">
      <w:pPr>
        <w:spacing w:line="360" w:lineRule="auto"/>
        <w:ind w:firstLine="480" w:firstLineChars="200"/>
        <w:rPr>
          <w:rFonts w:hint="eastAsia" w:ascii="宋体" w:hAnsi="宋体" w:eastAsia="宋体" w:cs="宋体"/>
          <w:color w:val="auto"/>
          <w:kern w:val="0"/>
          <w:sz w:val="24"/>
          <w:szCs w:val="24"/>
          <w:highlight w:val="none"/>
          <w:u w:val="none"/>
          <w:lang w:eastAsia="zh-CN"/>
        </w:rPr>
      </w:pPr>
      <w:r>
        <w:rPr>
          <w:rFonts w:hint="eastAsia" w:ascii="宋体" w:hAnsi="宋体"/>
          <w:color w:val="auto"/>
          <w:sz w:val="24"/>
          <w:szCs w:val="24"/>
          <w:highlight w:val="none"/>
          <w:u w:val="none"/>
        </w:rPr>
        <w:t>项目名称：</w:t>
      </w:r>
      <w:r>
        <w:rPr>
          <w:rFonts w:hint="eastAsia" w:ascii="宋体" w:hAnsi="宋体"/>
          <w:color w:val="auto"/>
          <w:sz w:val="24"/>
          <w:szCs w:val="24"/>
          <w:highlight w:val="none"/>
          <w:u w:val="none"/>
          <w:lang w:eastAsia="zh-CN"/>
        </w:rPr>
        <w:t>2025年春秋两季“四害”消杀服务</w:t>
      </w:r>
    </w:p>
    <w:p w14:paraId="6B4277EF">
      <w:pPr>
        <w:spacing w:line="360" w:lineRule="auto"/>
        <w:ind w:firstLine="480" w:firstLineChars="200"/>
        <w:rPr>
          <w:rFonts w:hint="eastAsia" w:ascii="宋体" w:hAnsi="宋体" w:eastAsia="宋体"/>
          <w:color w:val="auto"/>
          <w:sz w:val="24"/>
          <w:szCs w:val="24"/>
          <w:highlight w:val="none"/>
          <w:u w:val="none"/>
          <w:lang w:eastAsia="zh-CN"/>
        </w:rPr>
      </w:pPr>
      <w:r>
        <w:rPr>
          <w:rFonts w:hint="eastAsia" w:ascii="宋体" w:hAnsi="宋体"/>
          <w:color w:val="auto"/>
          <w:sz w:val="24"/>
          <w:szCs w:val="24"/>
          <w:highlight w:val="none"/>
          <w:u w:val="none"/>
        </w:rPr>
        <w:t>采购方式：</w:t>
      </w:r>
      <w:r>
        <w:rPr>
          <w:rFonts w:hint="eastAsia" w:ascii="宋体" w:hAnsi="宋体"/>
          <w:color w:val="auto"/>
          <w:sz w:val="24"/>
          <w:szCs w:val="24"/>
          <w:highlight w:val="none"/>
          <w:u w:val="none"/>
          <w:lang w:eastAsia="zh-CN"/>
        </w:rPr>
        <w:t>竞争性谈判</w:t>
      </w:r>
    </w:p>
    <w:p w14:paraId="12C60C68">
      <w:pPr>
        <w:spacing w:line="360" w:lineRule="auto"/>
        <w:ind w:firstLine="480" w:firstLineChars="200"/>
        <w:rPr>
          <w:rFonts w:hint="default" w:ascii="宋体" w:hAnsi="宋体"/>
          <w:color w:val="auto"/>
          <w:sz w:val="24"/>
          <w:szCs w:val="24"/>
          <w:highlight w:val="none"/>
          <w:u w:val="none"/>
          <w:lang w:val="en-US" w:eastAsia="zh-CN"/>
        </w:rPr>
      </w:pPr>
      <w:r>
        <w:rPr>
          <w:rFonts w:hint="eastAsia" w:ascii="宋体" w:hAnsi="宋体"/>
          <w:color w:val="auto"/>
          <w:sz w:val="24"/>
          <w:szCs w:val="24"/>
          <w:highlight w:val="none"/>
        </w:rPr>
        <w:t>预算</w:t>
      </w:r>
      <w:r>
        <w:rPr>
          <w:rFonts w:hint="eastAsia" w:ascii="宋体" w:hAnsi="宋体"/>
          <w:color w:val="auto"/>
          <w:sz w:val="24"/>
          <w:szCs w:val="24"/>
          <w:highlight w:val="none"/>
          <w:lang w:eastAsia="zh-CN"/>
        </w:rPr>
        <w:t>总</w:t>
      </w:r>
      <w:r>
        <w:rPr>
          <w:rFonts w:hint="eastAsia" w:ascii="宋体" w:hAnsi="宋体"/>
          <w:color w:val="auto"/>
          <w:sz w:val="24"/>
          <w:szCs w:val="24"/>
          <w:highlight w:val="none"/>
        </w:rPr>
        <w:t>金额</w:t>
      </w:r>
      <w:r>
        <w:rPr>
          <w:rFonts w:hint="eastAsia" w:ascii="宋体" w:hAnsi="宋体"/>
          <w:color w:val="auto"/>
          <w:sz w:val="24"/>
          <w:szCs w:val="24"/>
          <w:highlight w:val="none"/>
          <w:lang w:eastAsia="zh-CN"/>
        </w:rPr>
        <w:t>（元）</w:t>
      </w:r>
      <w:r>
        <w:rPr>
          <w:rFonts w:hint="eastAsia" w:ascii="宋体" w:hAnsi="宋体"/>
          <w:color w:val="auto"/>
          <w:sz w:val="24"/>
          <w:szCs w:val="24"/>
          <w:highlight w:val="none"/>
        </w:rPr>
        <w:t>：</w:t>
      </w:r>
      <w:r>
        <w:rPr>
          <w:rFonts w:hint="eastAsia" w:ascii="宋体" w:hAnsi="宋体"/>
          <w:color w:val="auto"/>
          <w:sz w:val="24"/>
          <w:szCs w:val="24"/>
          <w:highlight w:val="none"/>
          <w:u w:val="none"/>
          <w:lang w:val="en-US" w:eastAsia="zh-CN"/>
        </w:rPr>
        <w:t>500000.00</w:t>
      </w:r>
    </w:p>
    <w:p w14:paraId="2DA52875">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采购需求：</w:t>
      </w:r>
    </w:p>
    <w:p w14:paraId="2CAF09FB">
      <w:pPr>
        <w:spacing w:line="360" w:lineRule="auto"/>
        <w:ind w:firstLine="480" w:firstLineChars="200"/>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标项名称</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color w:val="auto"/>
          <w:sz w:val="24"/>
          <w:szCs w:val="24"/>
          <w:highlight w:val="none"/>
          <w:u w:val="none"/>
          <w:lang w:eastAsia="zh-CN"/>
        </w:rPr>
        <w:t>2025年春秋两季“四害”消杀服务</w:t>
      </w:r>
    </w:p>
    <w:p w14:paraId="1F499DA2">
      <w:pPr>
        <w:pStyle w:val="17"/>
        <w:keepNext w:val="0"/>
        <w:keepLines w:val="0"/>
        <w:widowControl/>
        <w:suppressLineNumbers w:val="0"/>
        <w:spacing w:before="75" w:beforeAutospacing="0" w:after="75" w:afterAutospacing="0" w:line="360" w:lineRule="auto"/>
        <w:ind w:left="0" w:right="0" w:firstLine="480" w:firstLineChars="200"/>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数量</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1</w:t>
      </w:r>
    </w:p>
    <w:p w14:paraId="13D75F54">
      <w:pPr>
        <w:pStyle w:val="17"/>
        <w:keepNext w:val="0"/>
        <w:keepLines w:val="0"/>
        <w:widowControl/>
        <w:suppressLineNumbers w:val="0"/>
        <w:spacing w:before="75" w:beforeAutospacing="0" w:after="75" w:afterAutospacing="0" w:line="360" w:lineRule="auto"/>
        <w:ind w:left="0" w:right="0" w:firstLine="480" w:firstLineChars="200"/>
        <w:rPr>
          <w:rFonts w:hint="default" w:eastAsia="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预算金额（元）</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cs="Times New Roman"/>
          <w:color w:val="auto"/>
          <w:kern w:val="2"/>
          <w:sz w:val="24"/>
          <w:szCs w:val="24"/>
          <w:highlight w:val="none"/>
          <w:u w:val="none"/>
          <w:lang w:val="en-US" w:eastAsia="zh-CN" w:bidi="ar-SA"/>
        </w:rPr>
        <w:t>500000.00</w:t>
      </w:r>
    </w:p>
    <w:p w14:paraId="417D3848">
      <w:pPr>
        <w:spacing w:line="360" w:lineRule="auto"/>
        <w:ind w:firstLine="480" w:firstLineChars="200"/>
        <w:rPr>
          <w:rStyle w:val="21"/>
          <w:rFonts w:hint="default" w:ascii="宋体" w:hAnsi="宋体" w:eastAsia="宋体" w:cs="宋体"/>
          <w:i w:val="0"/>
          <w:iCs w:val="0"/>
          <w:caps w:val="0"/>
          <w:color w:val="auto"/>
          <w:spacing w:val="0"/>
          <w:kern w:val="0"/>
          <w:sz w:val="24"/>
          <w:szCs w:val="24"/>
          <w:highlight w:val="none"/>
          <w:lang w:val="en-US" w:eastAsia="zh-CN" w:bidi="ar"/>
        </w:rPr>
      </w:pPr>
      <w:r>
        <w:rPr>
          <w:rStyle w:val="21"/>
          <w:rFonts w:hint="eastAsia" w:ascii="宋体" w:hAnsi="宋体" w:eastAsia="宋体" w:cs="宋体"/>
          <w:i w:val="0"/>
          <w:iCs w:val="0"/>
          <w:caps w:val="0"/>
          <w:color w:val="auto"/>
          <w:spacing w:val="0"/>
          <w:kern w:val="0"/>
          <w:sz w:val="24"/>
          <w:szCs w:val="24"/>
          <w:highlight w:val="none"/>
          <w:lang w:val="en-US" w:eastAsia="zh-CN" w:bidi="ar"/>
        </w:rPr>
        <w:t>简要规格描述或项目基本概况介绍、用途：采购西林县城建成区2025年春秋两季“四害”消杀服务</w:t>
      </w:r>
      <w:r>
        <w:rPr>
          <w:rStyle w:val="21"/>
          <w:rFonts w:hint="eastAsia" w:ascii="宋体" w:hAnsi="宋体" w:cs="宋体"/>
          <w:i w:val="0"/>
          <w:iCs w:val="0"/>
          <w:caps w:val="0"/>
          <w:color w:val="auto"/>
          <w:spacing w:val="0"/>
          <w:kern w:val="0"/>
          <w:sz w:val="24"/>
          <w:szCs w:val="24"/>
          <w:highlight w:val="none"/>
          <w:lang w:val="en-US" w:eastAsia="zh-CN" w:bidi="ar"/>
        </w:rPr>
        <w:t>，详见“采购需求表</w:t>
      </w:r>
      <w:r>
        <w:rPr>
          <w:rStyle w:val="21"/>
          <w:rFonts w:hint="eastAsia" w:ascii="宋体" w:hAnsi="宋体" w:eastAsia="宋体" w:cs="宋体"/>
          <w:i w:val="0"/>
          <w:iCs w:val="0"/>
          <w:caps w:val="0"/>
          <w:color w:val="auto"/>
          <w:spacing w:val="0"/>
          <w:kern w:val="0"/>
          <w:sz w:val="24"/>
          <w:szCs w:val="24"/>
          <w:highlight w:val="none"/>
          <w:lang w:val="en-US" w:eastAsia="zh-CN" w:bidi="ar"/>
        </w:rPr>
        <w:t>”。</w:t>
      </w:r>
    </w:p>
    <w:p w14:paraId="476DF3D0">
      <w:pPr>
        <w:numPr>
          <w:ilvl w:val="0"/>
          <w:numId w:val="0"/>
        </w:num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最高限价：</w:t>
      </w:r>
      <w:r>
        <w:rPr>
          <w:rFonts w:hint="eastAsia" w:ascii="宋体" w:hAnsi="宋体" w:cs="Times New Roman"/>
          <w:color w:val="auto"/>
          <w:kern w:val="2"/>
          <w:sz w:val="24"/>
          <w:szCs w:val="24"/>
          <w:highlight w:val="none"/>
          <w:u w:val="none"/>
          <w:lang w:val="en-US" w:eastAsia="zh-CN" w:bidi="ar-SA"/>
        </w:rPr>
        <w:t>500000.00</w:t>
      </w:r>
      <w:r>
        <w:rPr>
          <w:rFonts w:hint="eastAsia" w:ascii="宋体" w:hAnsi="宋体"/>
          <w:color w:val="auto"/>
          <w:sz w:val="24"/>
          <w:szCs w:val="24"/>
          <w:highlight w:val="none"/>
          <w:u w:val="none"/>
        </w:rPr>
        <w:t>元</w:t>
      </w:r>
    </w:p>
    <w:p w14:paraId="609FD12D">
      <w:pPr>
        <w:pStyle w:val="17"/>
        <w:keepNext w:val="0"/>
        <w:keepLines w:val="0"/>
        <w:widowControl/>
        <w:suppressLineNumbers w:val="0"/>
        <w:spacing w:before="75" w:beforeAutospacing="0" w:after="75" w:afterAutospacing="0" w:line="360" w:lineRule="auto"/>
        <w:ind w:left="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rPr>
        <w:t>合同履约期限：</w:t>
      </w:r>
      <w:bookmarkStart w:id="8" w:name="OLE_LINK1"/>
      <w:r>
        <w:rPr>
          <w:rFonts w:hint="eastAsia" w:cs="Times New Roman"/>
          <w:color w:val="FF0000"/>
          <w:sz w:val="24"/>
          <w:szCs w:val="24"/>
          <w:lang w:val="en-US" w:eastAsia="zh-CN"/>
        </w:rPr>
        <w:t>上半年于7</w:t>
      </w:r>
      <w:r>
        <w:rPr>
          <w:rFonts w:hint="eastAsia" w:ascii="Times New Roman" w:hAnsi="Times New Roman" w:eastAsia="宋体" w:cs="Times New Roman"/>
          <w:color w:val="FF0000"/>
          <w:sz w:val="24"/>
          <w:szCs w:val="24"/>
          <w:lang w:val="en-US" w:eastAsia="zh-CN"/>
        </w:rPr>
        <w:t>月3</w:t>
      </w:r>
      <w:r>
        <w:rPr>
          <w:rFonts w:hint="eastAsia" w:cs="Times New Roman"/>
          <w:color w:val="FF0000"/>
          <w:sz w:val="24"/>
          <w:szCs w:val="24"/>
          <w:lang w:val="en-US" w:eastAsia="zh-CN"/>
        </w:rPr>
        <w:t>1</w:t>
      </w:r>
      <w:r>
        <w:rPr>
          <w:rFonts w:hint="eastAsia" w:ascii="Times New Roman" w:hAnsi="Times New Roman" w:eastAsia="宋体" w:cs="Times New Roman"/>
          <w:color w:val="FF0000"/>
          <w:sz w:val="24"/>
          <w:szCs w:val="24"/>
          <w:lang w:val="en-US" w:eastAsia="zh-CN"/>
        </w:rPr>
        <w:t>日前和</w:t>
      </w:r>
      <w:r>
        <w:rPr>
          <w:rFonts w:hint="eastAsia" w:cs="Times New Roman"/>
          <w:color w:val="FF0000"/>
          <w:sz w:val="24"/>
          <w:szCs w:val="24"/>
          <w:lang w:val="en-US" w:eastAsia="zh-CN"/>
        </w:rPr>
        <w:t>下半年于11</w:t>
      </w:r>
      <w:r>
        <w:rPr>
          <w:rFonts w:hint="eastAsia" w:ascii="Times New Roman" w:hAnsi="Times New Roman" w:eastAsia="宋体" w:cs="Times New Roman"/>
          <w:color w:val="FF0000"/>
          <w:sz w:val="24"/>
          <w:szCs w:val="24"/>
          <w:lang w:val="en-US" w:eastAsia="zh-CN"/>
        </w:rPr>
        <w:t>月30日前在消杀范围区域内各统一消杀一次，</w:t>
      </w:r>
      <w:r>
        <w:rPr>
          <w:rFonts w:hint="eastAsia" w:cs="Times New Roman"/>
          <w:color w:val="FF0000"/>
          <w:sz w:val="24"/>
          <w:szCs w:val="24"/>
          <w:lang w:val="en-US" w:eastAsia="zh-CN"/>
        </w:rPr>
        <w:t>消杀</w:t>
      </w:r>
      <w:r>
        <w:rPr>
          <w:rFonts w:hint="eastAsia" w:ascii="Times New Roman" w:hAnsi="Times New Roman" w:eastAsia="宋体" w:cs="Times New Roman"/>
          <w:color w:val="FF0000"/>
          <w:sz w:val="24"/>
          <w:szCs w:val="24"/>
          <w:lang w:val="en-US" w:eastAsia="zh-CN"/>
        </w:rPr>
        <w:t>公司上半年和下半年统一消杀后需由县疾控中心监测密度达标后方可收工撤离</w:t>
      </w:r>
      <w:r>
        <w:rPr>
          <w:rFonts w:hint="eastAsia" w:ascii="宋体" w:hAnsi="宋体" w:eastAsia="宋体" w:cs="宋体"/>
          <w:i w:val="0"/>
          <w:iCs w:val="0"/>
          <w:caps w:val="0"/>
          <w:color w:val="auto"/>
          <w:spacing w:val="0"/>
          <w:sz w:val="24"/>
          <w:szCs w:val="24"/>
          <w:highlight w:val="none"/>
        </w:rPr>
        <w:t>，其余时间段以县疾控中心日常监测为准</w:t>
      </w:r>
      <w:bookmarkEnd w:id="8"/>
      <w:r>
        <w:rPr>
          <w:rFonts w:hint="eastAsia" w:ascii="宋体" w:hAnsi="宋体" w:cs="宋体"/>
          <w:i w:val="0"/>
          <w:iCs w:val="0"/>
          <w:caps w:val="0"/>
          <w:color w:val="auto"/>
          <w:spacing w:val="0"/>
          <w:sz w:val="24"/>
          <w:szCs w:val="24"/>
          <w:highlight w:val="none"/>
          <w:lang w:eastAsia="zh-CN"/>
        </w:rPr>
        <w:t>。</w:t>
      </w:r>
    </w:p>
    <w:p w14:paraId="7B11102C">
      <w:pPr>
        <w:pStyle w:val="17"/>
        <w:keepNext w:val="0"/>
        <w:keepLines w:val="0"/>
        <w:widowControl/>
        <w:suppressLineNumbers w:val="0"/>
        <w:spacing w:before="75" w:beforeAutospacing="0" w:after="75" w:afterAutospacing="0" w:line="360" w:lineRule="auto"/>
        <w:ind w:left="0" w:right="0" w:firstLine="480" w:firstLineChars="200"/>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本项目（</w:t>
      </w:r>
      <w:r>
        <w:rPr>
          <w:rStyle w:val="21"/>
          <w:rFonts w:hint="eastAsia" w:ascii="宋体" w:hAnsi="宋体" w:eastAsia="宋体" w:cs="宋体"/>
          <w:i w:val="0"/>
          <w:iCs w:val="0"/>
          <w:caps w:val="0"/>
          <w:color w:val="auto"/>
          <w:spacing w:val="0"/>
          <w:sz w:val="24"/>
          <w:szCs w:val="24"/>
          <w:highlight w:val="none"/>
        </w:rPr>
        <w:t>否</w:t>
      </w:r>
      <w:r>
        <w:rPr>
          <w:rFonts w:hint="eastAsia" w:ascii="宋体" w:hAnsi="宋体" w:eastAsia="宋体" w:cs="宋体"/>
          <w:i w:val="0"/>
          <w:iCs w:val="0"/>
          <w:caps w:val="0"/>
          <w:color w:val="auto"/>
          <w:spacing w:val="0"/>
          <w:sz w:val="24"/>
          <w:szCs w:val="24"/>
          <w:highlight w:val="none"/>
        </w:rPr>
        <w:t>）接受联合体投标</w:t>
      </w:r>
    </w:p>
    <w:p w14:paraId="0B0FB476">
      <w:pPr>
        <w:pStyle w:val="17"/>
        <w:keepNext w:val="0"/>
        <w:keepLines w:val="0"/>
        <w:widowControl/>
        <w:suppressLineNumbers w:val="0"/>
        <w:spacing w:before="75" w:beforeAutospacing="0" w:after="75" w:afterAutospacing="0" w:line="360" w:lineRule="auto"/>
        <w:ind w:left="0" w:right="0" w:firstLine="480" w:firstLineChars="200"/>
        <w:rPr>
          <w:color w:val="auto"/>
          <w:sz w:val="24"/>
          <w:szCs w:val="24"/>
          <w:highlight w:val="none"/>
        </w:rPr>
      </w:pPr>
      <w:r>
        <w:rPr>
          <w:rFonts w:hint="eastAsia" w:ascii="宋体" w:hAnsi="宋体" w:eastAsia="宋体" w:cs="宋体"/>
          <w:i w:val="0"/>
          <w:iCs w:val="0"/>
          <w:caps w:val="0"/>
          <w:color w:val="auto"/>
          <w:spacing w:val="0"/>
          <w:sz w:val="24"/>
          <w:szCs w:val="24"/>
          <w:highlight w:val="none"/>
        </w:rPr>
        <w:t>备注：</w:t>
      </w:r>
      <w:r>
        <w:rPr>
          <w:rFonts w:hint="eastAsia" w:ascii="宋体" w:hAnsi="宋体" w:eastAsia="宋体" w:cs="宋体"/>
          <w:i w:val="0"/>
          <w:iCs w:val="0"/>
          <w:caps w:val="0"/>
          <w:color w:val="auto"/>
          <w:spacing w:val="0"/>
          <w:sz w:val="24"/>
          <w:szCs w:val="24"/>
          <w:highlight w:val="none"/>
          <w:lang w:val="en-US" w:eastAsia="zh-CN"/>
        </w:rPr>
        <w:t>/</w:t>
      </w:r>
    </w:p>
    <w:p w14:paraId="03613B50">
      <w:pPr>
        <w:spacing w:before="0" w:after="0" w:line="360" w:lineRule="auto"/>
        <w:ind w:firstLine="480" w:firstLineChars="200"/>
        <w:outlineLvl w:val="9"/>
        <w:rPr>
          <w:rFonts w:ascii="黑体" w:hAnsi="黑体" w:eastAsia="黑体" w:cs="宋体"/>
          <w:bCs/>
          <w:color w:val="auto"/>
          <w:sz w:val="24"/>
          <w:szCs w:val="24"/>
          <w:highlight w:val="none"/>
        </w:rPr>
      </w:pPr>
      <w:bookmarkStart w:id="9" w:name="_Toc28359013"/>
      <w:bookmarkStart w:id="10" w:name="_Toc28359090"/>
      <w:bookmarkStart w:id="11" w:name="_Toc35393799"/>
      <w:bookmarkStart w:id="12" w:name="_Toc44229879"/>
      <w:bookmarkStart w:id="13" w:name="_Toc35393630"/>
      <w:r>
        <w:rPr>
          <w:rFonts w:hint="eastAsia" w:ascii="黑体" w:hAnsi="黑体" w:eastAsia="黑体" w:cs="宋体"/>
          <w:bCs/>
          <w:color w:val="auto"/>
          <w:sz w:val="24"/>
          <w:szCs w:val="24"/>
          <w:highlight w:val="none"/>
        </w:rPr>
        <w:t>二、供应商的资格条件：</w:t>
      </w:r>
      <w:bookmarkEnd w:id="9"/>
      <w:bookmarkEnd w:id="10"/>
      <w:bookmarkEnd w:id="11"/>
      <w:bookmarkEnd w:id="12"/>
      <w:bookmarkEnd w:id="13"/>
    </w:p>
    <w:p w14:paraId="799371B0">
      <w:pPr>
        <w:spacing w:line="360" w:lineRule="auto"/>
        <w:ind w:firstLine="480" w:firstLineChars="200"/>
        <w:rPr>
          <w:rFonts w:ascii="宋体" w:hAnsi="宋体"/>
          <w:color w:val="auto"/>
          <w:sz w:val="24"/>
          <w:szCs w:val="24"/>
          <w:highlight w:val="none"/>
        </w:rPr>
      </w:pPr>
      <w:bookmarkStart w:id="14" w:name="_Toc28359014"/>
      <w:bookmarkStart w:id="15" w:name="_Toc35393800"/>
      <w:bookmarkStart w:id="16" w:name="_Toc28359091"/>
      <w:bookmarkStart w:id="17" w:name="_Toc44229880"/>
      <w:bookmarkStart w:id="18" w:name="_Toc35393631"/>
      <w:r>
        <w:rPr>
          <w:rFonts w:hint="eastAsia" w:ascii="宋体" w:hAnsi="宋体"/>
          <w:color w:val="auto"/>
          <w:sz w:val="24"/>
          <w:szCs w:val="24"/>
          <w:highlight w:val="none"/>
        </w:rPr>
        <w:t>1.满足《中华人民共和国政府采购法》第二十二条规定；</w:t>
      </w:r>
    </w:p>
    <w:p w14:paraId="025265E7">
      <w:pPr>
        <w:spacing w:line="360" w:lineRule="auto"/>
        <w:ind w:firstLine="480" w:firstLineChars="200"/>
        <w:rPr>
          <w:rFonts w:hint="eastAsia" w:ascii="宋体" w:hAnsi="宋体" w:eastAsia="宋体" w:cs="Times New Roman"/>
          <w:color w:val="auto"/>
          <w:sz w:val="24"/>
          <w:szCs w:val="24"/>
          <w:highlight w:val="none"/>
          <w:u w:val="single"/>
          <w:lang w:eastAsia="zh-CN"/>
        </w:rPr>
      </w:pPr>
      <w:r>
        <w:rPr>
          <w:rFonts w:ascii="宋体" w:hAnsi="宋体"/>
          <w:color w:val="auto"/>
          <w:sz w:val="24"/>
          <w:szCs w:val="24"/>
          <w:highlight w:val="none"/>
        </w:rPr>
        <w:t>2</w:t>
      </w:r>
      <w:r>
        <w:rPr>
          <w:rFonts w:hint="eastAsia" w:ascii="宋体" w:hAnsi="宋体"/>
          <w:color w:val="auto"/>
          <w:sz w:val="24"/>
          <w:szCs w:val="24"/>
          <w:highlight w:val="none"/>
        </w:rPr>
        <w:t>.落实政府采购政策需满足的资格要求：</w:t>
      </w:r>
      <w:r>
        <w:rPr>
          <w:rFonts w:hint="eastAsia" w:ascii="宋体" w:hAnsi="宋体"/>
          <w:color w:val="auto"/>
          <w:sz w:val="24"/>
          <w:szCs w:val="24"/>
          <w:highlight w:val="none"/>
          <w:u w:val="single"/>
        </w:rPr>
        <w:t>本项目</w:t>
      </w:r>
      <w:r>
        <w:rPr>
          <w:rFonts w:hint="eastAsia" w:ascii="宋体" w:hAnsi="宋体"/>
          <w:color w:val="auto"/>
          <w:sz w:val="24"/>
          <w:szCs w:val="24"/>
          <w:highlight w:val="none"/>
          <w:u w:val="single"/>
          <w:lang w:val="en-US" w:eastAsia="zh-CN"/>
        </w:rPr>
        <w:t>为</w:t>
      </w:r>
      <w:r>
        <w:rPr>
          <w:rFonts w:hint="eastAsia" w:ascii="宋体" w:hAnsi="宋体"/>
          <w:color w:val="auto"/>
          <w:sz w:val="24"/>
          <w:szCs w:val="24"/>
          <w:highlight w:val="none"/>
          <w:u w:val="single"/>
        </w:rPr>
        <w:t>专门面向中小企业采购的项目</w:t>
      </w:r>
      <w:r>
        <w:rPr>
          <w:rFonts w:hint="eastAsia" w:ascii="宋体" w:hAnsi="宋体" w:eastAsia="宋体" w:cs="Times New Roman"/>
          <w:color w:val="auto"/>
          <w:sz w:val="24"/>
          <w:szCs w:val="24"/>
          <w:highlight w:val="none"/>
          <w:u w:val="single"/>
          <w:lang w:eastAsia="zh-CN"/>
        </w:rPr>
        <w:t>。</w:t>
      </w:r>
    </w:p>
    <w:p w14:paraId="0589ABE0">
      <w:pPr>
        <w:spacing w:line="360" w:lineRule="auto"/>
        <w:ind w:firstLine="480" w:firstLineChars="200"/>
        <w:rPr>
          <w:rFonts w:hint="eastAsia" w:ascii="宋体" w:hAnsi="宋体"/>
          <w:color w:val="auto"/>
          <w:sz w:val="24"/>
          <w:szCs w:val="24"/>
          <w:highlight w:val="none"/>
        </w:rPr>
      </w:pPr>
    </w:p>
    <w:p w14:paraId="1D9924D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3.本项目的特定资格要求：</w:t>
      </w:r>
    </w:p>
    <w:p w14:paraId="67590013">
      <w:pPr>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单位负责人为同一人或者存在直接控股、管理关系的不同供应商，不得参加同一合同项下的政府采购活动。</w:t>
      </w:r>
    </w:p>
    <w:p w14:paraId="0CA14E1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48952A5E">
      <w:pPr>
        <w:spacing w:before="0" w:after="0" w:line="360" w:lineRule="auto"/>
        <w:ind w:firstLine="480" w:firstLineChars="200"/>
        <w:outlineLvl w:val="9"/>
        <w:rPr>
          <w:rFonts w:ascii="黑体" w:hAnsi="黑体" w:eastAsia="黑体" w:cs="宋体"/>
          <w:bCs/>
          <w:color w:val="auto"/>
          <w:sz w:val="24"/>
          <w:szCs w:val="24"/>
          <w:highlight w:val="none"/>
        </w:rPr>
      </w:pPr>
      <w:r>
        <w:rPr>
          <w:rFonts w:hint="eastAsia" w:ascii="黑体" w:hAnsi="黑体" w:eastAsia="黑体" w:cs="宋体"/>
          <w:bCs/>
          <w:color w:val="auto"/>
          <w:sz w:val="24"/>
          <w:szCs w:val="24"/>
          <w:highlight w:val="none"/>
        </w:rPr>
        <w:t>三、获取</w:t>
      </w:r>
      <w:r>
        <w:rPr>
          <w:rFonts w:hint="eastAsia" w:ascii="黑体" w:hAnsi="黑体" w:eastAsia="黑体" w:cs="宋体"/>
          <w:bCs/>
          <w:color w:val="auto"/>
          <w:sz w:val="24"/>
          <w:szCs w:val="24"/>
          <w:highlight w:val="none"/>
          <w:lang w:eastAsia="zh-CN"/>
        </w:rPr>
        <w:t>竞争性谈判</w:t>
      </w:r>
      <w:r>
        <w:rPr>
          <w:rFonts w:hint="eastAsia" w:ascii="黑体" w:hAnsi="黑体" w:eastAsia="黑体" w:cs="宋体"/>
          <w:bCs/>
          <w:color w:val="auto"/>
          <w:sz w:val="24"/>
          <w:szCs w:val="24"/>
          <w:highlight w:val="none"/>
        </w:rPr>
        <w:t>文件</w:t>
      </w:r>
      <w:bookmarkEnd w:id="14"/>
      <w:bookmarkEnd w:id="15"/>
      <w:bookmarkEnd w:id="16"/>
      <w:bookmarkEnd w:id="17"/>
      <w:bookmarkEnd w:id="18"/>
    </w:p>
    <w:p w14:paraId="3308707D">
      <w:pPr>
        <w:spacing w:line="360" w:lineRule="auto"/>
        <w:ind w:firstLine="54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时间：</w:t>
      </w:r>
      <w:r>
        <w:rPr>
          <w:rFonts w:hint="eastAsia" w:ascii="宋体" w:hAnsi="宋体" w:cs="宋体"/>
          <w:bCs/>
          <w:color w:val="auto"/>
          <w:kern w:val="0"/>
          <w:sz w:val="24"/>
          <w:szCs w:val="24"/>
          <w:highlight w:val="none"/>
          <w:lang w:eastAsia="zh-CN"/>
        </w:rPr>
        <w:t>202</w:t>
      </w:r>
      <w:r>
        <w:rPr>
          <w:rFonts w:hint="eastAsia" w:ascii="宋体" w:hAnsi="宋体" w:cs="宋体"/>
          <w:bCs/>
          <w:color w:val="auto"/>
          <w:kern w:val="0"/>
          <w:sz w:val="24"/>
          <w:szCs w:val="24"/>
          <w:highlight w:val="none"/>
          <w:lang w:val="en-US" w:eastAsia="zh-CN"/>
        </w:rPr>
        <w:t>5</w:t>
      </w:r>
      <w:r>
        <w:rPr>
          <w:rFonts w:hint="eastAsia" w:ascii="宋体" w:hAnsi="宋体" w:cs="宋体"/>
          <w:bCs/>
          <w:color w:val="auto"/>
          <w:kern w:val="0"/>
          <w:sz w:val="24"/>
          <w:szCs w:val="24"/>
          <w:highlight w:val="none"/>
          <w:lang w:eastAsia="zh-CN"/>
        </w:rPr>
        <w:t>年</w:t>
      </w:r>
      <w:r>
        <w:rPr>
          <w:rFonts w:hint="eastAsia" w:ascii="宋体" w:hAnsi="宋体" w:cs="宋体"/>
          <w:bCs/>
          <w:color w:val="auto"/>
          <w:kern w:val="0"/>
          <w:sz w:val="24"/>
          <w:szCs w:val="24"/>
          <w:highlight w:val="none"/>
          <w:lang w:val="en-US" w:eastAsia="zh-CN"/>
        </w:rPr>
        <w:t>6</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19</w:t>
      </w:r>
      <w:r>
        <w:rPr>
          <w:rFonts w:hint="eastAsia" w:ascii="宋体" w:hAnsi="宋体" w:cs="宋体"/>
          <w:bCs/>
          <w:color w:val="auto"/>
          <w:kern w:val="0"/>
          <w:sz w:val="24"/>
          <w:szCs w:val="24"/>
          <w:highlight w:val="none"/>
          <w:lang w:eastAsia="zh-CN"/>
        </w:rPr>
        <w:t>日</w:t>
      </w:r>
      <w:r>
        <w:rPr>
          <w:rFonts w:hint="eastAsia" w:ascii="宋体" w:hAnsi="宋体" w:cs="宋体"/>
          <w:bCs/>
          <w:color w:val="auto"/>
          <w:kern w:val="0"/>
          <w:sz w:val="24"/>
          <w:szCs w:val="24"/>
          <w:highlight w:val="none"/>
        </w:rPr>
        <w:t>至202</w:t>
      </w:r>
      <w:r>
        <w:rPr>
          <w:rFonts w:hint="eastAsia" w:ascii="宋体" w:hAnsi="宋体" w:cs="宋体"/>
          <w:bCs/>
          <w:color w:val="auto"/>
          <w:kern w:val="0"/>
          <w:sz w:val="24"/>
          <w:szCs w:val="24"/>
          <w:highlight w:val="none"/>
          <w:lang w:val="en-US" w:eastAsia="zh-CN"/>
        </w:rPr>
        <w:t>5</w:t>
      </w:r>
      <w:r>
        <w:rPr>
          <w:rFonts w:hint="eastAsia" w:ascii="宋体" w:hAnsi="宋体" w:cs="宋体"/>
          <w:bCs/>
          <w:color w:val="auto"/>
          <w:kern w:val="0"/>
          <w:sz w:val="24"/>
          <w:szCs w:val="24"/>
          <w:highlight w:val="none"/>
        </w:rPr>
        <w:t>年</w:t>
      </w:r>
      <w:r>
        <w:rPr>
          <w:rFonts w:hint="eastAsia" w:ascii="宋体" w:hAnsi="宋体" w:cs="宋体"/>
          <w:bCs/>
          <w:color w:val="auto"/>
          <w:kern w:val="0"/>
          <w:sz w:val="24"/>
          <w:szCs w:val="24"/>
          <w:highlight w:val="none"/>
          <w:lang w:val="en-US" w:eastAsia="zh-CN"/>
        </w:rPr>
        <w:t>6</w:t>
      </w:r>
      <w:r>
        <w:rPr>
          <w:rFonts w:hint="eastAsia" w:ascii="宋体" w:hAnsi="宋体" w:cs="宋体"/>
          <w:bCs/>
          <w:color w:val="auto"/>
          <w:kern w:val="0"/>
          <w:sz w:val="24"/>
          <w:szCs w:val="24"/>
          <w:highlight w:val="none"/>
        </w:rPr>
        <w:t>月</w:t>
      </w:r>
      <w:r>
        <w:rPr>
          <w:rFonts w:hint="eastAsia" w:ascii="宋体" w:hAnsi="宋体" w:cs="宋体"/>
          <w:bCs/>
          <w:color w:val="auto"/>
          <w:kern w:val="0"/>
          <w:sz w:val="24"/>
          <w:szCs w:val="24"/>
          <w:highlight w:val="none"/>
          <w:lang w:val="en-US" w:eastAsia="zh-CN"/>
        </w:rPr>
        <w:t>24</w:t>
      </w:r>
      <w:r>
        <w:rPr>
          <w:rFonts w:hint="eastAsia" w:ascii="宋体" w:hAnsi="宋体" w:cs="宋体"/>
          <w:bCs/>
          <w:color w:val="auto"/>
          <w:kern w:val="0"/>
          <w:sz w:val="24"/>
          <w:szCs w:val="24"/>
          <w:highlight w:val="none"/>
        </w:rPr>
        <w:t>日，每天上午0</w:t>
      </w:r>
      <w:r>
        <w:rPr>
          <w:rFonts w:hint="eastAsia" w:ascii="宋体" w:hAnsi="宋体" w:cs="宋体"/>
          <w:bCs/>
          <w:color w:val="auto"/>
          <w:kern w:val="0"/>
          <w:sz w:val="24"/>
          <w:szCs w:val="24"/>
          <w:highlight w:val="none"/>
          <w:lang w:val="en-US" w:eastAsia="zh-CN"/>
        </w:rPr>
        <w:t>0</w:t>
      </w:r>
      <w:r>
        <w:rPr>
          <w:rFonts w:hint="eastAsia" w:ascii="宋体" w:hAnsi="宋体" w:cs="宋体"/>
          <w:bCs/>
          <w:color w:val="auto"/>
          <w:kern w:val="0"/>
          <w:sz w:val="24"/>
          <w:szCs w:val="24"/>
          <w:highlight w:val="none"/>
        </w:rPr>
        <w:t>:</w:t>
      </w:r>
      <w:r>
        <w:rPr>
          <w:rFonts w:hint="eastAsia" w:ascii="宋体" w:hAnsi="宋体" w:cs="宋体"/>
          <w:bCs/>
          <w:color w:val="auto"/>
          <w:kern w:val="0"/>
          <w:sz w:val="24"/>
          <w:szCs w:val="24"/>
          <w:highlight w:val="none"/>
          <w:lang w:val="en-US" w:eastAsia="zh-CN"/>
        </w:rPr>
        <w:t>0</w:t>
      </w:r>
      <w:r>
        <w:rPr>
          <w:rFonts w:hint="eastAsia" w:ascii="宋体" w:hAnsi="宋体" w:cs="宋体"/>
          <w:bCs/>
          <w:color w:val="auto"/>
          <w:kern w:val="0"/>
          <w:sz w:val="24"/>
          <w:szCs w:val="24"/>
          <w:highlight w:val="none"/>
        </w:rPr>
        <w:t>0至12:00，下午12:00至23:59（北京时间，</w:t>
      </w:r>
      <w:r>
        <w:rPr>
          <w:rFonts w:ascii="宋体" w:hAnsi="宋体" w:cs="宋体"/>
          <w:bCs/>
          <w:color w:val="auto"/>
          <w:kern w:val="0"/>
          <w:sz w:val="24"/>
          <w:szCs w:val="24"/>
          <w:highlight w:val="none"/>
        </w:rPr>
        <w:t>法定节假日</w:t>
      </w:r>
      <w:r>
        <w:rPr>
          <w:rFonts w:hint="eastAsia" w:ascii="宋体" w:hAnsi="宋体" w:cs="宋体"/>
          <w:bCs/>
          <w:color w:val="auto"/>
          <w:kern w:val="0"/>
          <w:sz w:val="24"/>
          <w:szCs w:val="24"/>
          <w:highlight w:val="none"/>
        </w:rPr>
        <w:t>除外）</w:t>
      </w:r>
    </w:p>
    <w:p w14:paraId="5C3BD12E">
      <w:pPr>
        <w:spacing w:line="360" w:lineRule="auto"/>
        <w:ind w:firstLine="567"/>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地点：</w:t>
      </w:r>
      <w:r>
        <w:rPr>
          <w:rFonts w:hint="eastAsia" w:ascii="宋体" w:hAnsi="宋体" w:cs="宋体"/>
          <w:bCs/>
          <w:color w:val="auto"/>
          <w:kern w:val="0"/>
          <w:sz w:val="24"/>
          <w:szCs w:val="24"/>
          <w:highlight w:val="none"/>
          <w:lang w:eastAsia="zh-CN"/>
        </w:rPr>
        <w:t>广西政府采购云平台（https://www.gcy.zfcg.gxzf.gov.cn）</w:t>
      </w:r>
      <w:r>
        <w:rPr>
          <w:rFonts w:hint="eastAsia" w:ascii="宋体" w:hAnsi="宋体" w:cs="宋体"/>
          <w:bCs/>
          <w:color w:val="auto"/>
          <w:kern w:val="0"/>
          <w:sz w:val="24"/>
          <w:szCs w:val="24"/>
          <w:highlight w:val="none"/>
        </w:rPr>
        <w:t>。</w:t>
      </w:r>
    </w:p>
    <w:p w14:paraId="139407EA">
      <w:pPr>
        <w:spacing w:line="360" w:lineRule="auto"/>
        <w:ind w:firstLine="54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方式：网上下载。本项目不发放纸质采购文件，供应商可自行在</w:t>
      </w:r>
      <w:r>
        <w:rPr>
          <w:rFonts w:hint="eastAsia" w:ascii="宋体" w:hAnsi="宋体" w:cs="宋体"/>
          <w:bCs/>
          <w:color w:val="auto"/>
          <w:kern w:val="0"/>
          <w:sz w:val="24"/>
          <w:szCs w:val="24"/>
          <w:highlight w:val="none"/>
          <w:lang w:eastAsia="zh-CN"/>
        </w:rPr>
        <w:t>广西政府采购云平台（https://www.gcy.zfcg.gxzf.gov.cn）</w:t>
      </w:r>
      <w:r>
        <w:rPr>
          <w:rFonts w:hint="eastAsia" w:ascii="宋体" w:hAnsi="宋体" w:cs="宋体"/>
          <w:bCs/>
          <w:color w:val="auto"/>
          <w:kern w:val="0"/>
          <w:sz w:val="24"/>
          <w:szCs w:val="24"/>
          <w:highlight w:val="none"/>
        </w:rPr>
        <w:t>下载采购文件（操作路径：登录“政采云”平台-项目采购-获取采购文件-找到本项目-点击“申请获取采购文件”），电子响应文件制作需要基于</w:t>
      </w:r>
      <w:r>
        <w:rPr>
          <w:rFonts w:hint="eastAsia" w:ascii="宋体" w:hAnsi="宋体" w:cs="宋体"/>
          <w:bCs/>
          <w:color w:val="auto"/>
          <w:kern w:val="0"/>
          <w:sz w:val="24"/>
          <w:szCs w:val="24"/>
          <w:highlight w:val="none"/>
          <w:lang w:eastAsia="zh-CN"/>
        </w:rPr>
        <w:t>广西政府采购云平台（https://www.gcy.zfcg.gxzf.gov.cn）</w:t>
      </w:r>
      <w:r>
        <w:rPr>
          <w:rFonts w:hint="eastAsia" w:ascii="宋体" w:hAnsi="宋体" w:cs="宋体"/>
          <w:bCs/>
          <w:color w:val="auto"/>
          <w:kern w:val="0"/>
          <w:sz w:val="24"/>
          <w:szCs w:val="24"/>
          <w:highlight w:val="none"/>
        </w:rPr>
        <w:t>获取的采购文件编制。</w:t>
      </w:r>
    </w:p>
    <w:p w14:paraId="765D5E4A">
      <w:pPr>
        <w:spacing w:line="360" w:lineRule="auto"/>
        <w:ind w:firstLine="540"/>
        <w:rPr>
          <w:rFonts w:hint="eastAsia" w:ascii="宋体" w:hAnsi="宋体" w:cs="宋体"/>
          <w:color w:val="auto"/>
          <w:sz w:val="24"/>
          <w:szCs w:val="24"/>
          <w:highlight w:val="none"/>
        </w:rPr>
      </w:pPr>
      <w:r>
        <w:rPr>
          <w:rFonts w:hint="eastAsia" w:ascii="宋体" w:hAnsi="宋体" w:cs="宋体"/>
          <w:bCs/>
          <w:color w:val="auto"/>
          <w:kern w:val="0"/>
          <w:sz w:val="24"/>
          <w:szCs w:val="24"/>
          <w:highlight w:val="none"/>
        </w:rPr>
        <w:t>售价：0元。</w:t>
      </w:r>
    </w:p>
    <w:p w14:paraId="6131EFDC">
      <w:pPr>
        <w:spacing w:before="0" w:after="0" w:line="360" w:lineRule="auto"/>
        <w:ind w:firstLine="480" w:firstLineChars="200"/>
        <w:outlineLvl w:val="9"/>
        <w:rPr>
          <w:rFonts w:ascii="黑体" w:hAnsi="黑体" w:eastAsia="黑体" w:cs="宋体"/>
          <w:bCs/>
          <w:color w:val="auto"/>
          <w:sz w:val="24"/>
          <w:szCs w:val="24"/>
          <w:highlight w:val="none"/>
        </w:rPr>
      </w:pPr>
      <w:bookmarkStart w:id="19" w:name="_Toc28359015"/>
      <w:bookmarkStart w:id="20" w:name="_Toc44229881"/>
      <w:bookmarkStart w:id="21" w:name="_Toc35393801"/>
      <w:bookmarkStart w:id="22" w:name="_Toc35393632"/>
      <w:bookmarkStart w:id="23" w:name="_Toc28359092"/>
      <w:r>
        <w:rPr>
          <w:rFonts w:hint="eastAsia" w:ascii="黑体" w:hAnsi="黑体" w:eastAsia="黑体" w:cs="宋体"/>
          <w:bCs/>
          <w:color w:val="auto"/>
          <w:sz w:val="24"/>
          <w:szCs w:val="24"/>
          <w:highlight w:val="none"/>
        </w:rPr>
        <w:t>四、响应文件提交</w:t>
      </w:r>
      <w:bookmarkEnd w:id="19"/>
      <w:bookmarkEnd w:id="20"/>
      <w:bookmarkEnd w:id="21"/>
      <w:bookmarkEnd w:id="22"/>
      <w:bookmarkEnd w:id="23"/>
    </w:p>
    <w:p w14:paraId="444D8E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color w:val="auto"/>
          <w:sz w:val="24"/>
          <w:szCs w:val="24"/>
          <w:highlight w:val="none"/>
          <w:u w:val="singl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首次响应文件提交截止时间：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eastAsia="zh-CN"/>
        </w:rPr>
        <w:t>202</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lang w:eastAsia="zh-CN"/>
        </w:rPr>
        <w:t>年</w:t>
      </w:r>
      <w:r>
        <w:rPr>
          <w:rFonts w:hint="eastAsia" w:ascii="宋体" w:hAnsi="宋体"/>
          <w:color w:val="auto"/>
          <w:sz w:val="24"/>
          <w:szCs w:val="24"/>
          <w:highlight w:val="none"/>
          <w:u w:val="single"/>
          <w:lang w:val="en-US" w:eastAsia="zh-CN"/>
        </w:rPr>
        <w:t>6</w:t>
      </w:r>
      <w:r>
        <w:rPr>
          <w:rFonts w:hint="eastAsia" w:ascii="宋体" w:hAnsi="宋体"/>
          <w:color w:val="auto"/>
          <w:sz w:val="24"/>
          <w:szCs w:val="24"/>
          <w:highlight w:val="none"/>
          <w:u w:val="single"/>
          <w:lang w:eastAsia="zh-CN"/>
        </w:rPr>
        <w:t>月</w:t>
      </w:r>
      <w:r>
        <w:rPr>
          <w:rFonts w:hint="eastAsia" w:ascii="宋体" w:hAnsi="宋体"/>
          <w:color w:val="auto"/>
          <w:sz w:val="24"/>
          <w:szCs w:val="24"/>
          <w:highlight w:val="none"/>
          <w:u w:val="single"/>
          <w:lang w:val="en-US" w:eastAsia="zh-CN"/>
        </w:rPr>
        <w:t>25</w:t>
      </w:r>
      <w:r>
        <w:rPr>
          <w:rFonts w:hint="eastAsia" w:ascii="宋体" w:hAnsi="宋体"/>
          <w:color w:val="auto"/>
          <w:sz w:val="24"/>
          <w:szCs w:val="24"/>
          <w:highlight w:val="none"/>
          <w:u w:val="single"/>
          <w:lang w:eastAsia="zh-CN"/>
        </w:rPr>
        <w:t>日</w:t>
      </w:r>
      <w:r>
        <w:rPr>
          <w:rFonts w:hint="eastAsia" w:ascii="宋体" w:hAnsi="宋体"/>
          <w:color w:val="auto"/>
          <w:sz w:val="24"/>
          <w:szCs w:val="24"/>
          <w:highlight w:val="none"/>
          <w:u w:val="single"/>
          <w:lang w:val="en-US" w:eastAsia="zh-CN"/>
        </w:rPr>
        <w:t>15</w:t>
      </w:r>
      <w:r>
        <w:rPr>
          <w:rFonts w:hint="eastAsia" w:ascii="宋体" w:hAnsi="宋体"/>
          <w:color w:val="auto"/>
          <w:sz w:val="24"/>
          <w:szCs w:val="24"/>
          <w:highlight w:val="none"/>
          <w:u w:val="single"/>
          <w:lang w:eastAsia="zh-CN"/>
        </w:rPr>
        <w:t>时</w:t>
      </w:r>
      <w:r>
        <w:rPr>
          <w:rFonts w:hint="eastAsia" w:ascii="宋体" w:hAnsi="宋体"/>
          <w:color w:val="auto"/>
          <w:sz w:val="24"/>
          <w:szCs w:val="24"/>
          <w:highlight w:val="none"/>
          <w:u w:val="single"/>
          <w:lang w:val="en-US" w:eastAsia="zh-CN"/>
        </w:rPr>
        <w:t>30</w:t>
      </w:r>
      <w:r>
        <w:rPr>
          <w:rFonts w:hint="eastAsia" w:ascii="宋体" w:hAnsi="宋体"/>
          <w:color w:val="auto"/>
          <w:sz w:val="24"/>
          <w:szCs w:val="24"/>
          <w:highlight w:val="none"/>
          <w:u w:val="single"/>
          <w:lang w:eastAsia="zh-CN"/>
        </w:rPr>
        <w:t>分</w:t>
      </w:r>
      <w:r>
        <w:rPr>
          <w:rFonts w:hint="eastAsia" w:ascii="宋体" w:hAnsi="宋体"/>
          <w:bCs/>
          <w:color w:val="auto"/>
          <w:sz w:val="24"/>
          <w:szCs w:val="24"/>
          <w:highlight w:val="none"/>
        </w:rPr>
        <w:t>（北京时间）</w:t>
      </w:r>
    </w:p>
    <w:p w14:paraId="322DB6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u w:val="singl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首次响应文件提交地点：</w:t>
      </w:r>
      <w:r>
        <w:rPr>
          <w:rFonts w:hint="eastAsia" w:ascii="宋体" w:hAnsi="宋体"/>
          <w:color w:val="auto"/>
          <w:sz w:val="24"/>
          <w:szCs w:val="24"/>
          <w:highlight w:val="none"/>
          <w:u w:val="single"/>
        </w:rPr>
        <w:t xml:space="preserve"> 本项目为全流程电子化项目，通过</w:t>
      </w:r>
      <w:r>
        <w:rPr>
          <w:rFonts w:hint="eastAsia" w:ascii="宋体" w:hAnsi="宋体"/>
          <w:color w:val="auto"/>
          <w:sz w:val="24"/>
          <w:szCs w:val="24"/>
          <w:highlight w:val="none"/>
          <w:u w:val="single"/>
          <w:lang w:eastAsia="zh-CN"/>
        </w:rPr>
        <w:t>广西政府采购云平台（https://www.gcy.zfcg.gxzf.gov.cn）</w:t>
      </w:r>
      <w:r>
        <w:rPr>
          <w:rFonts w:hint="eastAsia" w:ascii="宋体" w:hAnsi="宋体"/>
          <w:color w:val="auto"/>
          <w:sz w:val="24"/>
          <w:szCs w:val="24"/>
          <w:highlight w:val="none"/>
          <w:u w:val="single"/>
        </w:rPr>
        <w:t>实行在线电子响应</w:t>
      </w:r>
      <w:r>
        <w:rPr>
          <w:rFonts w:hint="eastAsia" w:ascii="宋体" w:hAnsi="宋体"/>
          <w:color w:val="auto"/>
          <w:sz w:val="24"/>
          <w:szCs w:val="24"/>
          <w:highlight w:val="none"/>
          <w:u w:val="none"/>
        </w:rPr>
        <w:t>。</w:t>
      </w:r>
      <w:r>
        <w:rPr>
          <w:rFonts w:ascii="宋体" w:hAnsi="宋体"/>
          <w:color w:val="auto"/>
          <w:sz w:val="24"/>
          <w:szCs w:val="24"/>
          <w:highlight w:val="none"/>
          <w:u w:val="none"/>
        </w:rPr>
        <w:t xml:space="preserve"> </w:t>
      </w:r>
    </w:p>
    <w:p w14:paraId="6B2E8074">
      <w:pPr>
        <w:spacing w:before="0" w:after="0" w:line="360" w:lineRule="auto"/>
        <w:ind w:firstLine="480" w:firstLineChars="200"/>
        <w:outlineLvl w:val="9"/>
        <w:rPr>
          <w:rFonts w:ascii="黑体" w:hAnsi="黑体" w:eastAsia="黑体" w:cs="宋体"/>
          <w:bCs/>
          <w:color w:val="auto"/>
          <w:sz w:val="24"/>
          <w:szCs w:val="24"/>
          <w:highlight w:val="none"/>
        </w:rPr>
      </w:pPr>
      <w:bookmarkStart w:id="24" w:name="_Toc35393633"/>
      <w:bookmarkStart w:id="25" w:name="_Toc28359093"/>
      <w:bookmarkStart w:id="26" w:name="_Toc28359016"/>
      <w:bookmarkStart w:id="27" w:name="_Toc44229882"/>
      <w:bookmarkStart w:id="28" w:name="_Toc35393802"/>
      <w:r>
        <w:rPr>
          <w:rFonts w:hint="eastAsia" w:ascii="黑体" w:hAnsi="黑体" w:eastAsia="黑体" w:cs="宋体"/>
          <w:bCs/>
          <w:color w:val="auto"/>
          <w:sz w:val="24"/>
          <w:szCs w:val="24"/>
          <w:highlight w:val="none"/>
        </w:rPr>
        <w:t>五、开启</w:t>
      </w:r>
      <w:bookmarkEnd w:id="24"/>
      <w:bookmarkEnd w:id="25"/>
      <w:bookmarkEnd w:id="26"/>
      <w:bookmarkEnd w:id="27"/>
      <w:bookmarkEnd w:id="28"/>
    </w:p>
    <w:p w14:paraId="5987C326">
      <w:pPr>
        <w:spacing w:line="360" w:lineRule="auto"/>
        <w:ind w:firstLine="480" w:firstLineChars="200"/>
        <w:rPr>
          <w:rFonts w:ascii="宋体" w:hAnsi="宋体"/>
          <w:bCs/>
          <w:color w:val="auto"/>
          <w:sz w:val="24"/>
          <w:szCs w:val="24"/>
          <w:highlight w:val="none"/>
          <w:u w:val="singl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时间：</w:t>
      </w:r>
      <w:r>
        <w:rPr>
          <w:rFonts w:hint="eastAsia" w:ascii="宋体" w:hAnsi="宋体"/>
          <w:color w:val="auto"/>
          <w:sz w:val="24"/>
          <w:szCs w:val="24"/>
          <w:highlight w:val="none"/>
          <w:u w:val="single"/>
          <w:lang w:eastAsia="zh-CN"/>
        </w:rPr>
        <w:t>202</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lang w:eastAsia="zh-CN"/>
        </w:rPr>
        <w:t>年</w:t>
      </w:r>
      <w:r>
        <w:rPr>
          <w:rFonts w:hint="eastAsia" w:ascii="宋体" w:hAnsi="宋体"/>
          <w:color w:val="auto"/>
          <w:sz w:val="24"/>
          <w:szCs w:val="24"/>
          <w:highlight w:val="none"/>
          <w:u w:val="single"/>
          <w:lang w:val="en-US" w:eastAsia="zh-CN"/>
        </w:rPr>
        <w:t>6</w:t>
      </w:r>
      <w:r>
        <w:rPr>
          <w:rFonts w:hint="eastAsia" w:ascii="宋体" w:hAnsi="宋体"/>
          <w:color w:val="auto"/>
          <w:sz w:val="24"/>
          <w:szCs w:val="24"/>
          <w:highlight w:val="none"/>
          <w:u w:val="single"/>
          <w:lang w:eastAsia="zh-CN"/>
        </w:rPr>
        <w:t>月</w:t>
      </w:r>
      <w:r>
        <w:rPr>
          <w:rFonts w:hint="eastAsia" w:ascii="宋体" w:hAnsi="宋体"/>
          <w:color w:val="auto"/>
          <w:sz w:val="24"/>
          <w:szCs w:val="24"/>
          <w:highlight w:val="none"/>
          <w:u w:val="single"/>
          <w:lang w:val="en-US" w:eastAsia="zh-CN"/>
        </w:rPr>
        <w:t>25</w:t>
      </w:r>
      <w:r>
        <w:rPr>
          <w:rFonts w:hint="eastAsia" w:ascii="宋体" w:hAnsi="宋体"/>
          <w:color w:val="auto"/>
          <w:sz w:val="24"/>
          <w:szCs w:val="24"/>
          <w:highlight w:val="none"/>
          <w:u w:val="single"/>
          <w:lang w:eastAsia="zh-CN"/>
        </w:rPr>
        <w:t>日</w:t>
      </w:r>
      <w:r>
        <w:rPr>
          <w:rFonts w:hint="eastAsia" w:ascii="宋体" w:hAnsi="宋体"/>
          <w:color w:val="auto"/>
          <w:sz w:val="24"/>
          <w:szCs w:val="24"/>
          <w:highlight w:val="none"/>
          <w:u w:val="single"/>
          <w:lang w:val="en-US" w:eastAsia="zh-CN"/>
        </w:rPr>
        <w:t>15</w:t>
      </w:r>
      <w:r>
        <w:rPr>
          <w:rFonts w:hint="eastAsia" w:ascii="宋体" w:hAnsi="宋体"/>
          <w:color w:val="auto"/>
          <w:sz w:val="24"/>
          <w:szCs w:val="24"/>
          <w:highlight w:val="none"/>
          <w:u w:val="single"/>
          <w:lang w:eastAsia="zh-CN"/>
        </w:rPr>
        <w:t>时</w:t>
      </w:r>
      <w:r>
        <w:rPr>
          <w:rFonts w:hint="eastAsia" w:ascii="宋体" w:hAnsi="宋体"/>
          <w:color w:val="auto"/>
          <w:sz w:val="24"/>
          <w:szCs w:val="24"/>
          <w:highlight w:val="none"/>
          <w:u w:val="single"/>
          <w:lang w:val="en-US" w:eastAsia="zh-CN"/>
        </w:rPr>
        <w:t>30</w:t>
      </w:r>
      <w:r>
        <w:rPr>
          <w:rFonts w:hint="eastAsia" w:ascii="宋体" w:hAnsi="宋体"/>
          <w:color w:val="auto"/>
          <w:sz w:val="24"/>
          <w:szCs w:val="24"/>
          <w:highlight w:val="none"/>
          <w:u w:val="single"/>
          <w:lang w:eastAsia="zh-CN"/>
        </w:rPr>
        <w:t>分</w:t>
      </w:r>
      <w:r>
        <w:rPr>
          <w:rFonts w:hint="eastAsia" w:ascii="宋体" w:hAnsi="宋体"/>
          <w:bCs/>
          <w:color w:val="auto"/>
          <w:sz w:val="24"/>
          <w:szCs w:val="24"/>
          <w:highlight w:val="none"/>
        </w:rPr>
        <w:t>（北京时间）</w:t>
      </w:r>
      <w:r>
        <w:rPr>
          <w:rFonts w:hint="eastAsia" w:ascii="宋体" w:hAnsi="宋体"/>
          <w:color w:val="auto"/>
          <w:sz w:val="24"/>
          <w:szCs w:val="24"/>
          <w:highlight w:val="none"/>
        </w:rPr>
        <w:t>后</w:t>
      </w:r>
    </w:p>
    <w:p w14:paraId="2003AAFE">
      <w:pPr>
        <w:spacing w:line="360" w:lineRule="auto"/>
        <w:ind w:firstLine="480" w:firstLineChars="200"/>
        <w:rPr>
          <w:rFonts w:ascii="宋体" w:hAnsi="宋体"/>
          <w:bCs/>
          <w:color w:val="auto"/>
          <w:sz w:val="24"/>
          <w:szCs w:val="24"/>
          <w:highlight w:val="none"/>
          <w:u w:val="singl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地点：</w:t>
      </w:r>
      <w:r>
        <w:rPr>
          <w:rFonts w:hint="eastAsia" w:ascii="宋体" w:hAnsi="宋体"/>
          <w:color w:val="auto"/>
          <w:sz w:val="24"/>
          <w:szCs w:val="24"/>
          <w:highlight w:val="none"/>
          <w:u w:val="single"/>
          <w:lang w:eastAsia="zh-CN"/>
        </w:rPr>
        <w:t>广西政府采购云平台</w:t>
      </w:r>
      <w:r>
        <w:rPr>
          <w:rFonts w:hint="eastAsia" w:ascii="宋体" w:hAnsi="宋体"/>
          <w:color w:val="auto"/>
          <w:sz w:val="24"/>
          <w:szCs w:val="24"/>
          <w:highlight w:val="none"/>
          <w:u w:val="single"/>
        </w:rPr>
        <w:t>电子开标大厅开标。</w:t>
      </w:r>
    </w:p>
    <w:p w14:paraId="78E0AE18">
      <w:pPr>
        <w:spacing w:before="0" w:after="0" w:line="360" w:lineRule="auto"/>
        <w:ind w:firstLine="480" w:firstLineChars="200"/>
        <w:outlineLvl w:val="9"/>
        <w:rPr>
          <w:rFonts w:ascii="黑体" w:hAnsi="黑体" w:eastAsia="黑体" w:cs="宋体"/>
          <w:bCs/>
          <w:color w:val="auto"/>
          <w:sz w:val="24"/>
          <w:szCs w:val="24"/>
          <w:highlight w:val="none"/>
        </w:rPr>
      </w:pPr>
      <w:bookmarkStart w:id="29" w:name="_Toc28359094"/>
      <w:bookmarkStart w:id="30" w:name="_Toc35393803"/>
      <w:bookmarkStart w:id="31" w:name="_Toc44229883"/>
      <w:bookmarkStart w:id="32" w:name="_Toc28359017"/>
      <w:bookmarkStart w:id="33" w:name="_Toc35393634"/>
      <w:r>
        <w:rPr>
          <w:rFonts w:hint="eastAsia" w:ascii="黑体" w:hAnsi="黑体" w:eastAsia="黑体" w:cs="宋体"/>
          <w:bCs/>
          <w:color w:val="auto"/>
          <w:sz w:val="24"/>
          <w:szCs w:val="24"/>
          <w:highlight w:val="none"/>
        </w:rPr>
        <w:t>六、公告期限</w:t>
      </w:r>
      <w:bookmarkEnd w:id="29"/>
      <w:bookmarkEnd w:id="30"/>
      <w:bookmarkEnd w:id="31"/>
      <w:bookmarkEnd w:id="32"/>
      <w:bookmarkEnd w:id="33"/>
    </w:p>
    <w:p w14:paraId="3D69E85F">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自本公告发布之日起3个工作日。</w:t>
      </w:r>
    </w:p>
    <w:p w14:paraId="273CE5A6">
      <w:pPr>
        <w:spacing w:before="0" w:after="0" w:line="360" w:lineRule="auto"/>
        <w:ind w:firstLine="480" w:firstLineChars="200"/>
        <w:outlineLvl w:val="9"/>
        <w:rPr>
          <w:rFonts w:ascii="黑体" w:hAnsi="黑体" w:eastAsia="黑体" w:cs="宋体"/>
          <w:bCs/>
          <w:color w:val="auto"/>
          <w:sz w:val="24"/>
          <w:szCs w:val="24"/>
          <w:highlight w:val="none"/>
        </w:rPr>
      </w:pPr>
      <w:bookmarkStart w:id="34" w:name="_Toc44229884"/>
      <w:bookmarkStart w:id="35" w:name="_Toc35393804"/>
      <w:bookmarkStart w:id="36" w:name="_Toc35393635"/>
      <w:r>
        <w:rPr>
          <w:rFonts w:hint="eastAsia" w:ascii="黑体" w:hAnsi="黑体" w:eastAsia="黑体" w:cs="宋体"/>
          <w:bCs/>
          <w:color w:val="auto"/>
          <w:sz w:val="24"/>
          <w:szCs w:val="24"/>
          <w:highlight w:val="none"/>
        </w:rPr>
        <w:t>七、其他补充事宜</w:t>
      </w:r>
      <w:bookmarkEnd w:id="34"/>
      <w:bookmarkEnd w:id="35"/>
      <w:bookmarkEnd w:id="36"/>
    </w:p>
    <w:p w14:paraId="3F017B4C">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w:t>
      </w:r>
      <w:r>
        <w:rPr>
          <w:rFonts w:hint="eastAsia" w:ascii="宋体" w:hAnsi="宋体" w:eastAsia="宋体" w:cs="宋体"/>
          <w:i w:val="0"/>
          <w:iCs w:val="0"/>
          <w:caps w:val="0"/>
          <w:color w:val="auto"/>
          <w:spacing w:val="0"/>
          <w:sz w:val="24"/>
          <w:szCs w:val="24"/>
          <w:highlight w:val="none"/>
          <w:lang w:eastAsia="zh-CN"/>
        </w:rPr>
        <w:t>谈判保证金</w:t>
      </w:r>
      <w:r>
        <w:rPr>
          <w:rFonts w:hint="eastAsia" w:ascii="宋体" w:hAnsi="宋体" w:eastAsia="宋体" w:cs="宋体"/>
          <w:i w:val="0"/>
          <w:iCs w:val="0"/>
          <w:caps w:val="0"/>
          <w:color w:val="auto"/>
          <w:spacing w:val="0"/>
          <w:sz w:val="24"/>
          <w:szCs w:val="24"/>
          <w:highlight w:val="none"/>
        </w:rPr>
        <w:t>：本项目不收取</w:t>
      </w:r>
      <w:r>
        <w:rPr>
          <w:rFonts w:hint="eastAsia" w:ascii="宋体" w:hAnsi="宋体" w:eastAsia="宋体" w:cs="宋体"/>
          <w:i w:val="0"/>
          <w:iCs w:val="0"/>
          <w:caps w:val="0"/>
          <w:color w:val="auto"/>
          <w:spacing w:val="0"/>
          <w:sz w:val="24"/>
          <w:szCs w:val="24"/>
          <w:highlight w:val="none"/>
          <w:lang w:val="en-US" w:eastAsia="zh-CN"/>
        </w:rPr>
        <w:t>谈判保证金</w:t>
      </w:r>
      <w:r>
        <w:rPr>
          <w:rFonts w:hint="eastAsia" w:ascii="宋体" w:hAnsi="宋体" w:eastAsia="宋体" w:cs="宋体"/>
          <w:i w:val="0"/>
          <w:iCs w:val="0"/>
          <w:caps w:val="0"/>
          <w:color w:val="auto"/>
          <w:spacing w:val="0"/>
          <w:sz w:val="24"/>
          <w:szCs w:val="24"/>
          <w:highlight w:val="none"/>
        </w:rPr>
        <w:t>。</w:t>
      </w:r>
    </w:p>
    <w:p w14:paraId="62F78614">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若对项目采购电子交易系统操作有疑问，可登录</w:t>
      </w:r>
      <w:r>
        <w:rPr>
          <w:rFonts w:hint="eastAsia" w:ascii="宋体" w:hAnsi="宋体" w:cs="宋体"/>
          <w:color w:val="auto"/>
          <w:kern w:val="0"/>
          <w:sz w:val="24"/>
          <w:szCs w:val="24"/>
          <w:highlight w:val="none"/>
          <w:lang w:eastAsia="zh-CN"/>
        </w:rPr>
        <w:t>广西政府采购云平台（https://www.gcy.zfcg.gxzf.gov.cn）</w:t>
      </w:r>
      <w:r>
        <w:rPr>
          <w:rFonts w:hint="eastAsia" w:ascii="宋体" w:hAnsi="宋体" w:cs="宋体"/>
          <w:color w:val="auto"/>
          <w:kern w:val="0"/>
          <w:sz w:val="24"/>
          <w:szCs w:val="24"/>
          <w:highlight w:val="none"/>
        </w:rPr>
        <w:t>），点击右侧咨询小采，获取采小蜜智能服务管家帮助，或拨打政采云服务热线</w:t>
      </w:r>
      <w:r>
        <w:rPr>
          <w:rFonts w:hint="eastAsia" w:ascii="宋体" w:hAnsi="宋体" w:cs="宋体"/>
          <w:color w:val="auto"/>
          <w:kern w:val="0"/>
          <w:sz w:val="24"/>
          <w:szCs w:val="24"/>
          <w:highlight w:val="none"/>
          <w:lang w:eastAsia="zh-CN"/>
        </w:rPr>
        <w:t>95763</w:t>
      </w:r>
      <w:r>
        <w:rPr>
          <w:rFonts w:hint="eastAsia" w:ascii="宋体" w:hAnsi="宋体" w:cs="宋体"/>
          <w:color w:val="auto"/>
          <w:kern w:val="0"/>
          <w:sz w:val="24"/>
          <w:szCs w:val="24"/>
          <w:highlight w:val="none"/>
        </w:rPr>
        <w:t>获取热线服务帮助。</w:t>
      </w:r>
    </w:p>
    <w:p w14:paraId="0236AA65">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网上查询地址</w:t>
      </w:r>
    </w:p>
    <w:p w14:paraId="28B676C2">
      <w:pPr>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fldChar w:fldCharType="begin"/>
      </w:r>
      <w:r>
        <w:rPr>
          <w:rFonts w:hint="eastAsia" w:ascii="宋体" w:hAnsi="宋体" w:cs="宋体"/>
          <w:color w:val="auto"/>
          <w:kern w:val="0"/>
          <w:sz w:val="24"/>
          <w:szCs w:val="24"/>
          <w:highlight w:val="none"/>
        </w:rPr>
        <w:instrText xml:space="preserve"> HYPERLINK "http://www.ccgp.gov.cn（中国政府采购网）、zfcg.gxzf.gov.cn（广西壮族自治区政府采购网）" </w:instrText>
      </w:r>
      <w:r>
        <w:rPr>
          <w:rFonts w:hint="eastAsia" w:ascii="宋体" w:hAnsi="宋体" w:cs="宋体"/>
          <w:color w:val="auto"/>
          <w:kern w:val="0"/>
          <w:sz w:val="24"/>
          <w:szCs w:val="24"/>
          <w:highlight w:val="none"/>
        </w:rPr>
        <w:fldChar w:fldCharType="separate"/>
      </w:r>
      <w:r>
        <w:rPr>
          <w:rStyle w:val="20"/>
          <w:rFonts w:hint="eastAsia" w:ascii="宋体" w:hAnsi="宋体" w:cs="宋体"/>
          <w:color w:val="auto"/>
          <w:kern w:val="0"/>
          <w:sz w:val="24"/>
          <w:szCs w:val="24"/>
          <w:highlight w:val="none"/>
          <w:u w:val="none"/>
        </w:rPr>
        <w:t>www.ccgp.gov.cn（中国政府采购网）、zfcg.gxzf.gov.cn（广西壮族自治区政府采购网）</w:t>
      </w:r>
      <w:r>
        <w:rPr>
          <w:rFonts w:hint="eastAsia" w:ascii="宋体" w:hAnsi="宋体" w:cs="宋体"/>
          <w:color w:val="auto"/>
          <w:kern w:val="0"/>
          <w:sz w:val="24"/>
          <w:szCs w:val="24"/>
          <w:highlight w:val="none"/>
        </w:rPr>
        <w:fldChar w:fldCharType="end"/>
      </w:r>
    </w:p>
    <w:p w14:paraId="73DE3F6D">
      <w:pPr>
        <w:spacing w:line="360" w:lineRule="auto"/>
        <w:ind w:firstLine="480" w:firstLineChars="200"/>
        <w:rPr>
          <w:rFonts w:ascii="宋体" w:hAnsi="宋体" w:cs="宋体"/>
          <w:color w:val="auto"/>
          <w:kern w:val="0"/>
          <w:sz w:val="24"/>
          <w:szCs w:val="24"/>
          <w:highlight w:val="none"/>
        </w:rPr>
      </w:pPr>
      <w:r>
        <w:rPr>
          <w:rFonts w:hint="eastAsia" w:ascii="宋体" w:hAnsi="宋体"/>
          <w:color w:val="auto"/>
          <w:sz w:val="24"/>
          <w:szCs w:val="24"/>
          <w:highlight w:val="none"/>
          <w:lang w:val="en-US" w:eastAsia="zh-CN"/>
        </w:rPr>
        <w:t>4</w:t>
      </w:r>
      <w:r>
        <w:rPr>
          <w:rFonts w:ascii="宋体" w:hAnsi="宋体"/>
          <w:color w:val="auto"/>
          <w:sz w:val="24"/>
          <w:szCs w:val="24"/>
          <w:highlight w:val="none"/>
        </w:rPr>
        <w:t>.</w:t>
      </w:r>
      <w:r>
        <w:rPr>
          <w:rFonts w:hint="eastAsia" w:ascii="宋体" w:hAnsi="宋体" w:cs="宋体"/>
          <w:color w:val="auto"/>
          <w:kern w:val="0"/>
          <w:sz w:val="24"/>
          <w:szCs w:val="24"/>
          <w:highlight w:val="none"/>
        </w:rPr>
        <w:t>本项目需要落实的政府采购政策</w:t>
      </w:r>
    </w:p>
    <w:p w14:paraId="671606ED">
      <w:pPr>
        <w:spacing w:line="360" w:lineRule="auto"/>
        <w:ind w:firstLine="360" w:firstLineChars="150"/>
        <w:rPr>
          <w:rFonts w:ascii="宋体" w:hAnsi="宋体" w:cs="宋体"/>
          <w:color w:val="auto"/>
          <w:kern w:val="0"/>
          <w:sz w:val="24"/>
          <w:szCs w:val="24"/>
          <w:highlight w:val="none"/>
        </w:rPr>
      </w:pPr>
      <w:r>
        <w:rPr>
          <w:rFonts w:hint="eastAsia" w:ascii="宋体" w:hAnsi="宋体" w:cs="宋体"/>
          <w:color w:val="auto"/>
          <w:kern w:val="0"/>
          <w:sz w:val="24"/>
          <w:szCs w:val="24"/>
          <w:highlight w:val="none"/>
        </w:rPr>
        <w:t>（1）政府采购促进中小企业发展。</w:t>
      </w:r>
    </w:p>
    <w:p w14:paraId="5E60A9E6">
      <w:pPr>
        <w:spacing w:line="360" w:lineRule="auto"/>
        <w:ind w:firstLine="360" w:firstLineChars="150"/>
        <w:rPr>
          <w:rFonts w:ascii="宋体" w:hAnsi="宋体" w:cs="宋体"/>
          <w:color w:val="auto"/>
          <w:kern w:val="0"/>
          <w:sz w:val="24"/>
          <w:szCs w:val="24"/>
          <w:highlight w:val="none"/>
        </w:rPr>
      </w:pPr>
      <w:r>
        <w:rPr>
          <w:rFonts w:hint="eastAsia" w:ascii="宋体" w:hAnsi="宋体" w:cs="宋体"/>
          <w:color w:val="auto"/>
          <w:kern w:val="0"/>
          <w:sz w:val="24"/>
          <w:szCs w:val="24"/>
          <w:highlight w:val="none"/>
        </w:rPr>
        <w:t>（2）政府采购支持采用本国产品的政策。</w:t>
      </w:r>
    </w:p>
    <w:p w14:paraId="735A2672">
      <w:pPr>
        <w:spacing w:line="360" w:lineRule="auto"/>
        <w:ind w:firstLine="360" w:firstLineChars="150"/>
        <w:rPr>
          <w:rFonts w:ascii="宋体" w:hAnsi="宋体" w:cs="宋体"/>
          <w:color w:val="auto"/>
          <w:kern w:val="0"/>
          <w:sz w:val="24"/>
          <w:szCs w:val="24"/>
          <w:highlight w:val="none"/>
        </w:rPr>
      </w:pPr>
      <w:r>
        <w:rPr>
          <w:rFonts w:hint="eastAsia" w:ascii="宋体" w:hAnsi="宋体" w:cs="宋体"/>
          <w:color w:val="auto"/>
          <w:kern w:val="0"/>
          <w:sz w:val="24"/>
          <w:szCs w:val="24"/>
          <w:highlight w:val="none"/>
        </w:rPr>
        <w:t>（3）强制采购节能产品；优先采购节能产品、环境标志产品。</w:t>
      </w:r>
    </w:p>
    <w:p w14:paraId="5202C25F">
      <w:pPr>
        <w:spacing w:line="360" w:lineRule="auto"/>
        <w:ind w:firstLine="360" w:firstLineChars="150"/>
        <w:rPr>
          <w:rFonts w:ascii="宋体" w:hAnsi="宋体" w:cs="宋体"/>
          <w:color w:val="auto"/>
          <w:kern w:val="0"/>
          <w:sz w:val="24"/>
          <w:szCs w:val="24"/>
          <w:highlight w:val="none"/>
        </w:rPr>
      </w:pPr>
      <w:r>
        <w:rPr>
          <w:rFonts w:hint="eastAsia" w:ascii="宋体" w:hAnsi="宋体" w:cs="宋体"/>
          <w:color w:val="auto"/>
          <w:kern w:val="0"/>
          <w:sz w:val="24"/>
          <w:szCs w:val="24"/>
          <w:highlight w:val="none"/>
        </w:rPr>
        <w:t>（4）政府采购促进残疾人就业政策。</w:t>
      </w:r>
    </w:p>
    <w:p w14:paraId="364F062E">
      <w:pPr>
        <w:spacing w:line="360" w:lineRule="auto"/>
        <w:ind w:firstLine="360" w:firstLineChars="150"/>
        <w:rPr>
          <w:rFonts w:ascii="宋体" w:hAnsi="宋体" w:cs="宋体"/>
          <w:color w:val="auto"/>
          <w:kern w:val="0"/>
          <w:sz w:val="24"/>
          <w:szCs w:val="24"/>
          <w:highlight w:val="none"/>
        </w:rPr>
      </w:pPr>
      <w:r>
        <w:rPr>
          <w:rFonts w:hint="eastAsia" w:ascii="宋体" w:hAnsi="宋体" w:cs="宋体"/>
          <w:color w:val="auto"/>
          <w:kern w:val="0"/>
          <w:sz w:val="24"/>
          <w:szCs w:val="24"/>
          <w:highlight w:val="none"/>
        </w:rPr>
        <w:t>（5）政府采购支持监狱企业发展。</w:t>
      </w:r>
    </w:p>
    <w:p w14:paraId="273DDAD2">
      <w:pPr>
        <w:spacing w:before="0" w:after="0" w:line="360" w:lineRule="auto"/>
        <w:ind w:firstLine="480" w:firstLineChars="200"/>
        <w:outlineLvl w:val="9"/>
        <w:rPr>
          <w:rFonts w:ascii="黑体" w:hAnsi="黑体" w:eastAsia="黑体" w:cs="宋体"/>
          <w:bCs/>
          <w:color w:val="auto"/>
          <w:sz w:val="24"/>
          <w:szCs w:val="24"/>
          <w:highlight w:val="none"/>
        </w:rPr>
      </w:pPr>
      <w:bookmarkStart w:id="37" w:name="_Toc35393636"/>
      <w:bookmarkStart w:id="38" w:name="_Toc44229885"/>
      <w:bookmarkStart w:id="39" w:name="_Toc28359018"/>
      <w:bookmarkStart w:id="40" w:name="_Toc35393805"/>
      <w:bookmarkStart w:id="41" w:name="_Toc28359095"/>
      <w:r>
        <w:rPr>
          <w:rFonts w:hint="eastAsia" w:ascii="黑体" w:hAnsi="黑体" w:eastAsia="黑体" w:cs="宋体"/>
          <w:bCs/>
          <w:color w:val="auto"/>
          <w:sz w:val="24"/>
          <w:szCs w:val="24"/>
          <w:highlight w:val="none"/>
        </w:rPr>
        <w:t>八、凡对本次采购提出询问，请按</w:t>
      </w:r>
      <w:r>
        <w:rPr>
          <w:rFonts w:ascii="黑体" w:hAnsi="黑体" w:eastAsia="黑体" w:cs="宋体"/>
          <w:bCs/>
          <w:color w:val="auto"/>
          <w:sz w:val="24"/>
          <w:szCs w:val="24"/>
          <w:highlight w:val="none"/>
        </w:rPr>
        <w:t>以下方式</w:t>
      </w:r>
      <w:r>
        <w:rPr>
          <w:rFonts w:hint="eastAsia" w:ascii="黑体" w:hAnsi="黑体" w:eastAsia="黑体" w:cs="宋体"/>
          <w:bCs/>
          <w:color w:val="auto"/>
          <w:sz w:val="24"/>
          <w:szCs w:val="24"/>
          <w:highlight w:val="none"/>
        </w:rPr>
        <w:t>联系。</w:t>
      </w:r>
      <w:bookmarkEnd w:id="37"/>
      <w:bookmarkEnd w:id="38"/>
      <w:bookmarkEnd w:id="39"/>
      <w:bookmarkEnd w:id="40"/>
      <w:bookmarkEnd w:id="41"/>
    </w:p>
    <w:p w14:paraId="34F648A2">
      <w:pPr>
        <w:spacing w:line="360" w:lineRule="auto"/>
        <w:ind w:firstLine="240" w:firstLineChars="100"/>
        <w:rPr>
          <w:rFonts w:ascii="宋体" w:hAnsi="宋体" w:cs="宋体"/>
          <w:color w:val="auto"/>
          <w:kern w:val="0"/>
          <w:sz w:val="24"/>
          <w:szCs w:val="24"/>
          <w:highlight w:val="none"/>
        </w:rPr>
      </w:pPr>
      <w:bookmarkStart w:id="42" w:name="_Toc35393637"/>
      <w:bookmarkStart w:id="43" w:name="_Toc28359096"/>
      <w:bookmarkStart w:id="44" w:name="_Toc35393806"/>
      <w:bookmarkStart w:id="45" w:name="_Toc28359019"/>
      <w:r>
        <w:rPr>
          <w:rFonts w:hint="eastAsia" w:ascii="宋体" w:hAnsi="宋体" w:cs="宋体"/>
          <w:color w:val="auto"/>
          <w:kern w:val="0"/>
          <w:sz w:val="24"/>
          <w:szCs w:val="24"/>
          <w:highlight w:val="none"/>
        </w:rPr>
        <w:t>1.采购人信息</w:t>
      </w:r>
      <w:bookmarkEnd w:id="42"/>
      <w:bookmarkEnd w:id="43"/>
      <w:bookmarkEnd w:id="44"/>
      <w:bookmarkEnd w:id="45"/>
    </w:p>
    <w:p w14:paraId="345B7F80">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trike w:val="0"/>
          <w:dstrike w:val="0"/>
          <w:color w:val="auto"/>
          <w:sz w:val="24"/>
          <w:szCs w:val="24"/>
          <w:highlight w:val="none"/>
          <w:u w:val="none"/>
        </w:rPr>
      </w:pPr>
      <w:r>
        <w:rPr>
          <w:rFonts w:hint="eastAsia" w:ascii="宋体" w:hAnsi="宋体"/>
          <w:color w:val="auto"/>
          <w:sz w:val="24"/>
          <w:szCs w:val="24"/>
          <w:highlight w:val="none"/>
        </w:rPr>
        <w:t>名    称：</w:t>
      </w:r>
      <w:r>
        <w:rPr>
          <w:rFonts w:hint="eastAsia" w:ascii="宋体" w:hAnsi="宋体"/>
          <w:color w:val="auto"/>
          <w:sz w:val="24"/>
          <w:szCs w:val="24"/>
          <w:highlight w:val="none"/>
          <w:lang w:eastAsia="zh-CN"/>
        </w:rPr>
        <w:t>西林县卫生健康局</w:t>
      </w:r>
      <w:r>
        <w:rPr>
          <w:rFonts w:hint="eastAsia" w:ascii="宋体" w:hAnsi="宋体" w:eastAsia="宋体" w:cs="宋体"/>
          <w:strike w:val="0"/>
          <w:dstrike w:val="0"/>
          <w:color w:val="auto"/>
          <w:kern w:val="0"/>
          <w:sz w:val="24"/>
          <w:szCs w:val="24"/>
          <w:highlight w:val="none"/>
          <w:u w:val="none"/>
          <w:lang w:eastAsia="zh-CN"/>
        </w:rPr>
        <w:t xml:space="preserve"> </w:t>
      </w:r>
    </w:p>
    <w:p w14:paraId="0E7180E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trike w:val="0"/>
          <w:dstrike w:val="0"/>
          <w:color w:val="auto"/>
          <w:kern w:val="0"/>
          <w:sz w:val="24"/>
          <w:szCs w:val="24"/>
          <w:highlight w:val="none"/>
          <w:u w:val="none"/>
          <w:lang w:eastAsia="zh-CN"/>
        </w:rPr>
      </w:pPr>
      <w:r>
        <w:rPr>
          <w:rFonts w:hint="eastAsia" w:ascii="宋体" w:hAnsi="宋体"/>
          <w:strike w:val="0"/>
          <w:dstrike w:val="0"/>
          <w:color w:val="auto"/>
          <w:sz w:val="24"/>
          <w:szCs w:val="24"/>
          <w:highlight w:val="none"/>
          <w:u w:val="none"/>
        </w:rPr>
        <w:t>地    址：</w:t>
      </w:r>
      <w:r>
        <w:rPr>
          <w:rFonts w:hint="eastAsia" w:ascii="宋体" w:hAnsi="宋体"/>
          <w:color w:val="auto"/>
          <w:sz w:val="24"/>
          <w:szCs w:val="24"/>
          <w:highlight w:val="none"/>
          <w:lang w:eastAsia="zh-CN"/>
        </w:rPr>
        <w:t>西林县八达镇金鲤路36号</w:t>
      </w:r>
    </w:p>
    <w:p w14:paraId="3CBB7544">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联系人：</w:t>
      </w:r>
      <w:r>
        <w:rPr>
          <w:rFonts w:hint="eastAsia" w:ascii="宋体" w:hAnsi="宋体" w:eastAsia="宋体" w:cs="宋体"/>
          <w:i w:val="0"/>
          <w:iCs w:val="0"/>
          <w:caps w:val="0"/>
          <w:color w:val="auto"/>
          <w:spacing w:val="0"/>
          <w:sz w:val="24"/>
          <w:szCs w:val="24"/>
          <w:highlight w:val="none"/>
        </w:rPr>
        <w:t>陆卫杰</w:t>
      </w:r>
    </w:p>
    <w:p w14:paraId="6E68A5E8">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firstLineChars="200"/>
        <w:textAlignment w:val="auto"/>
        <w:rPr>
          <w:rFonts w:hint="default"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联系方式：0776-8688929</w:t>
      </w:r>
    </w:p>
    <w:p w14:paraId="498839E7">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2.采购代理机构信息</w:t>
      </w:r>
    </w:p>
    <w:p w14:paraId="4C0C5724">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 </w:t>
      </w: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 xml:space="preserve"> 名</w:t>
      </w: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称：</w:t>
      </w:r>
      <w:r>
        <w:rPr>
          <w:rFonts w:hint="eastAsia" w:ascii="宋体" w:hAnsi="宋体" w:eastAsia="宋体" w:cs="宋体"/>
          <w:b w:val="0"/>
          <w:bCs/>
          <w:color w:val="auto"/>
          <w:kern w:val="0"/>
          <w:sz w:val="24"/>
          <w:szCs w:val="24"/>
          <w:highlight w:val="none"/>
          <w:lang w:eastAsia="zh-CN"/>
        </w:rPr>
        <w:t>广西百色公共资源交易有限公司</w:t>
      </w:r>
      <w:r>
        <w:rPr>
          <w:rFonts w:hint="eastAsia" w:ascii="宋体" w:hAnsi="宋体" w:eastAsia="宋体" w:cs="宋体"/>
          <w:i w:val="0"/>
          <w:iCs w:val="0"/>
          <w:caps w:val="0"/>
          <w:color w:val="auto"/>
          <w:spacing w:val="0"/>
          <w:sz w:val="24"/>
          <w:szCs w:val="24"/>
          <w:highlight w:val="none"/>
        </w:rPr>
        <w:t> </w:t>
      </w:r>
    </w:p>
    <w:p w14:paraId="7F09F735">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 </w:t>
      </w: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 xml:space="preserve"> 地</w:t>
      </w: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址：</w:t>
      </w:r>
      <w:r>
        <w:rPr>
          <w:rFonts w:hint="eastAsia" w:ascii="宋体" w:hAnsi="宋体" w:cs="宋体"/>
          <w:i w:val="0"/>
          <w:iCs w:val="0"/>
          <w:caps w:val="0"/>
          <w:color w:val="auto"/>
          <w:spacing w:val="0"/>
          <w:sz w:val="24"/>
          <w:szCs w:val="24"/>
          <w:highlight w:val="none"/>
          <w:lang w:val="en-US" w:eastAsia="zh-CN"/>
        </w:rPr>
        <w:t>广西百色市右江区迎龙路50号汇丰广场15楼</w:t>
      </w:r>
    </w:p>
    <w:p w14:paraId="3B42BCC7">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 </w:t>
      </w: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 xml:space="preserve"> 联系人</w:t>
      </w:r>
      <w:r>
        <w:rPr>
          <w:rFonts w:hint="eastAsia" w:ascii="宋体" w:hAnsi="宋体" w:cs="宋体"/>
          <w:i w:val="0"/>
          <w:iCs w:val="0"/>
          <w:caps w:val="0"/>
          <w:color w:val="auto"/>
          <w:spacing w:val="0"/>
          <w:sz w:val="24"/>
          <w:szCs w:val="24"/>
          <w:highlight w:val="none"/>
          <w:lang w:val="en-US" w:eastAsia="zh-CN"/>
        </w:rPr>
        <w:t>:叶佳龙</w:t>
      </w:r>
    </w:p>
    <w:p w14:paraId="2EC626C7">
      <w:pPr>
        <w:pStyle w:val="1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leftChars="0" w:right="0" w:firstLine="487" w:firstLineChars="203"/>
        <w:textAlignment w:val="auto"/>
        <w:rPr>
          <w:rFonts w:hint="eastAsia" w:ascii="宋体" w:hAnsi="宋体"/>
          <w:color w:val="auto"/>
          <w:sz w:val="24"/>
          <w:szCs w:val="24"/>
          <w:highlight w:val="none"/>
          <w:u w:val="single"/>
        </w:rPr>
      </w:pPr>
      <w:r>
        <w:rPr>
          <w:rFonts w:hint="eastAsia" w:ascii="宋体" w:hAnsi="宋体" w:eastAsia="宋体" w:cs="宋体"/>
          <w:i w:val="0"/>
          <w:iCs w:val="0"/>
          <w:caps w:val="0"/>
          <w:color w:val="auto"/>
          <w:spacing w:val="0"/>
          <w:sz w:val="24"/>
          <w:szCs w:val="24"/>
          <w:highlight w:val="none"/>
        </w:rPr>
        <w:t>联系方式：</w:t>
      </w:r>
      <w:r>
        <w:rPr>
          <w:rFonts w:hint="eastAsia" w:ascii="宋体" w:hAnsi="宋体" w:eastAsia="宋体" w:cs="宋体"/>
          <w:b w:val="0"/>
          <w:bCs/>
          <w:color w:val="auto"/>
          <w:kern w:val="0"/>
          <w:sz w:val="24"/>
          <w:szCs w:val="24"/>
          <w:highlight w:val="none"/>
        </w:rPr>
        <w:t>0776-298136</w:t>
      </w:r>
      <w:r>
        <w:rPr>
          <w:rFonts w:hint="eastAsia" w:ascii="宋体" w:hAnsi="宋体" w:eastAsia="宋体" w:cs="宋体"/>
          <w:b w:val="0"/>
          <w:bCs/>
          <w:color w:val="auto"/>
          <w:kern w:val="0"/>
          <w:sz w:val="24"/>
          <w:szCs w:val="24"/>
          <w:highlight w:val="none"/>
          <w:lang w:val="en-US" w:eastAsia="zh-CN"/>
        </w:rPr>
        <w:t>0</w:t>
      </w:r>
      <w:r>
        <w:rPr>
          <w:rFonts w:hint="eastAsia" w:ascii="宋体" w:hAnsi="宋体" w:eastAsia="宋体" w:cs="宋体"/>
          <w:i w:val="0"/>
          <w:iCs w:val="0"/>
          <w:caps w:val="0"/>
          <w:color w:val="auto"/>
          <w:spacing w:val="0"/>
          <w:sz w:val="24"/>
          <w:szCs w:val="24"/>
          <w:highlight w:val="none"/>
        </w:rPr>
        <w:t> </w:t>
      </w:r>
    </w:p>
    <w:p w14:paraId="221BF2D5">
      <w:pPr>
        <w:spacing w:line="360" w:lineRule="auto"/>
        <w:jc w:val="right"/>
        <w:rPr>
          <w:rFonts w:hint="eastAsia" w:ascii="宋体" w:hAnsi="宋体"/>
          <w:color w:val="auto"/>
          <w:sz w:val="24"/>
          <w:szCs w:val="24"/>
          <w:highlight w:val="none"/>
        </w:rPr>
      </w:pPr>
    </w:p>
    <w:p w14:paraId="4D618F2B">
      <w:pPr>
        <w:spacing w:line="360" w:lineRule="auto"/>
        <w:jc w:val="right"/>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487507E5">
      <w:pPr>
        <w:spacing w:line="360" w:lineRule="auto"/>
        <w:rPr>
          <w:rFonts w:hint="eastAsia" w:eastAsia="宋体"/>
          <w:color w:val="auto"/>
          <w:highlight w:val="none"/>
          <w:lang w:eastAsia="zh-CN"/>
        </w:rPr>
      </w:pPr>
      <w:r>
        <w:rPr>
          <w:rFonts w:hint="eastAsia" w:ascii="宋体" w:hAnsi="宋体"/>
          <w:color w:val="auto"/>
          <w:sz w:val="24"/>
          <w:szCs w:val="24"/>
          <w:highlight w:val="none"/>
          <w:u w:val="none"/>
          <w:lang w:val="en-US" w:eastAsia="zh-CN"/>
        </w:rPr>
        <w:t xml:space="preserve">                                                     </w:t>
      </w:r>
      <w:r>
        <w:rPr>
          <w:rFonts w:hint="eastAsia" w:ascii="宋体" w:hAnsi="宋体"/>
          <w:color w:val="auto"/>
          <w:sz w:val="24"/>
          <w:szCs w:val="24"/>
          <w:highlight w:val="none"/>
          <w:u w:val="none"/>
          <w:lang w:eastAsia="zh-CN"/>
        </w:rPr>
        <w:t>202</w:t>
      </w:r>
      <w:r>
        <w:rPr>
          <w:rFonts w:hint="eastAsia" w:ascii="宋体" w:hAnsi="宋体"/>
          <w:color w:val="auto"/>
          <w:sz w:val="24"/>
          <w:szCs w:val="24"/>
          <w:highlight w:val="none"/>
          <w:u w:val="none"/>
          <w:lang w:val="en-US" w:eastAsia="zh-CN"/>
        </w:rPr>
        <w:t>5</w:t>
      </w:r>
      <w:r>
        <w:rPr>
          <w:rFonts w:hint="eastAsia" w:ascii="宋体" w:hAnsi="宋体"/>
          <w:color w:val="auto"/>
          <w:sz w:val="24"/>
          <w:szCs w:val="24"/>
          <w:highlight w:val="none"/>
          <w:u w:val="none"/>
          <w:lang w:eastAsia="zh-CN"/>
        </w:rPr>
        <w:t>年</w:t>
      </w:r>
      <w:r>
        <w:rPr>
          <w:rFonts w:hint="eastAsia" w:ascii="宋体" w:hAnsi="宋体"/>
          <w:color w:val="auto"/>
          <w:sz w:val="24"/>
          <w:szCs w:val="24"/>
          <w:highlight w:val="none"/>
          <w:u w:val="none"/>
          <w:lang w:val="en-US" w:eastAsia="zh-CN"/>
        </w:rPr>
        <w:t>6</w:t>
      </w:r>
      <w:r>
        <w:rPr>
          <w:rFonts w:hint="eastAsia" w:ascii="宋体" w:hAnsi="宋体"/>
          <w:color w:val="auto"/>
          <w:sz w:val="24"/>
          <w:szCs w:val="24"/>
          <w:highlight w:val="none"/>
          <w:u w:val="none"/>
          <w:lang w:eastAsia="zh-CN"/>
        </w:rPr>
        <w:t>月</w:t>
      </w:r>
      <w:r>
        <w:rPr>
          <w:rFonts w:hint="eastAsia" w:ascii="宋体" w:hAnsi="宋体"/>
          <w:color w:val="auto"/>
          <w:sz w:val="24"/>
          <w:szCs w:val="24"/>
          <w:highlight w:val="none"/>
          <w:u w:val="none"/>
          <w:lang w:val="en-US" w:eastAsia="zh-CN"/>
        </w:rPr>
        <w:t>19</w:t>
      </w:r>
      <w:r>
        <w:rPr>
          <w:rFonts w:hint="eastAsia" w:ascii="宋体" w:hAnsi="宋体"/>
          <w:color w:val="auto"/>
          <w:sz w:val="24"/>
          <w:szCs w:val="24"/>
          <w:highlight w:val="none"/>
          <w:u w:val="none"/>
          <w:lang w:eastAsia="zh-CN"/>
        </w:rPr>
        <w:t>日</w:t>
      </w:r>
    </w:p>
    <w:p w14:paraId="21173194">
      <w:pPr>
        <w:rPr>
          <w:rFonts w:hint="eastAsia"/>
          <w:color w:val="auto"/>
          <w:highlight w:val="none"/>
        </w:rPr>
      </w:pPr>
    </w:p>
    <w:p w14:paraId="50978031">
      <w:pPr>
        <w:rPr>
          <w:rFonts w:hint="eastAsia"/>
          <w:color w:val="auto"/>
          <w:highlight w:val="none"/>
        </w:rPr>
      </w:pPr>
    </w:p>
    <w:p w14:paraId="4CD06BAB">
      <w:pPr>
        <w:rPr>
          <w:rFonts w:hint="eastAsia"/>
          <w:color w:val="auto"/>
          <w:highlight w:val="none"/>
        </w:rPr>
      </w:pPr>
    </w:p>
    <w:p w14:paraId="7C3A406C">
      <w:pPr>
        <w:rPr>
          <w:rFonts w:hint="eastAsia"/>
          <w:color w:val="auto"/>
          <w:highlight w:val="none"/>
        </w:rPr>
      </w:pPr>
    </w:p>
    <w:p w14:paraId="57A128E5">
      <w:pPr>
        <w:rPr>
          <w:rFonts w:hint="eastAsia"/>
          <w:color w:val="auto"/>
          <w:highlight w:val="none"/>
        </w:rPr>
      </w:pPr>
    </w:p>
    <w:p w14:paraId="510DA929">
      <w:pPr>
        <w:rPr>
          <w:rFonts w:hint="eastAsia"/>
          <w:color w:val="auto"/>
          <w:highlight w:val="none"/>
        </w:rPr>
      </w:pPr>
    </w:p>
    <w:p w14:paraId="5C860AF4">
      <w:pPr>
        <w:pStyle w:val="2"/>
        <w:jc w:val="center"/>
        <w:rPr>
          <w:rFonts w:hint="eastAsia"/>
          <w:color w:val="auto"/>
          <w:highlight w:val="none"/>
        </w:rPr>
      </w:pPr>
      <w:r>
        <w:rPr>
          <w:color w:val="auto"/>
          <w:highlight w:val="none"/>
        </w:rPr>
        <w:br w:type="page"/>
      </w:r>
      <w:bookmarkStart w:id="46" w:name="_Toc74322009"/>
      <w:r>
        <w:rPr>
          <w:rFonts w:hint="eastAsia"/>
          <w:color w:val="auto"/>
          <w:highlight w:val="none"/>
        </w:rPr>
        <w:t>第二章 供应商须知</w:t>
      </w:r>
      <w:bookmarkEnd w:id="46"/>
    </w:p>
    <w:p w14:paraId="772E77ED">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供应商须知前附表</w:t>
      </w:r>
    </w:p>
    <w:p w14:paraId="75A8F416">
      <w:pPr>
        <w:spacing w:line="400" w:lineRule="exact"/>
        <w:jc w:val="center"/>
        <w:rPr>
          <w:rFonts w:hint="eastAsia" w:ascii="宋体" w:hAnsi="宋体"/>
          <w:b/>
          <w:color w:val="auto"/>
          <w:sz w:val="32"/>
          <w:szCs w:val="32"/>
          <w:highlight w:val="none"/>
        </w:rPr>
      </w:pPr>
    </w:p>
    <w:tbl>
      <w:tblPr>
        <w:tblStyle w:val="18"/>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0BDBC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14:paraId="67522A89">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7912" w:type="dxa"/>
            <w:noWrap w:val="0"/>
            <w:vAlign w:val="top"/>
          </w:tcPr>
          <w:p w14:paraId="67456461">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内    容</w:t>
            </w:r>
          </w:p>
        </w:tc>
      </w:tr>
      <w:tr w14:paraId="0B311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1851F8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912" w:type="dxa"/>
            <w:noWrap w:val="0"/>
            <w:vAlign w:val="center"/>
          </w:tcPr>
          <w:p w14:paraId="4ADE63A8">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供应商的资格条件：详见</w:t>
            </w:r>
            <w:r>
              <w:rPr>
                <w:rFonts w:hint="eastAsia" w:ascii="宋体" w:hAnsi="宋体" w:cs="宋体"/>
                <w:color w:val="auto"/>
                <w:szCs w:val="21"/>
                <w:highlight w:val="none"/>
                <w:lang w:eastAsia="zh-CN"/>
              </w:rPr>
              <w:t>竞争性谈判公告</w:t>
            </w:r>
          </w:p>
        </w:tc>
      </w:tr>
      <w:tr w14:paraId="35958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4A48E9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7912" w:type="dxa"/>
            <w:noWrap w:val="0"/>
            <w:vAlign w:val="center"/>
          </w:tcPr>
          <w:p w14:paraId="08552B54">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是否接受联合体竞标</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详见</w:t>
            </w:r>
            <w:r>
              <w:rPr>
                <w:rFonts w:hint="eastAsia" w:ascii="宋体" w:hAnsi="宋体" w:cs="宋体"/>
                <w:color w:val="auto"/>
                <w:szCs w:val="21"/>
                <w:highlight w:val="none"/>
                <w:lang w:eastAsia="zh-CN"/>
              </w:rPr>
              <w:t>竞争性谈判公告</w:t>
            </w:r>
          </w:p>
        </w:tc>
      </w:tr>
      <w:tr w14:paraId="0F703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E7BB07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6.2</w:t>
            </w:r>
          </w:p>
        </w:tc>
        <w:tc>
          <w:tcPr>
            <w:tcW w:w="7912" w:type="dxa"/>
            <w:noWrap w:val="0"/>
            <w:vAlign w:val="center"/>
          </w:tcPr>
          <w:p w14:paraId="7E6B65AF">
            <w:pPr>
              <w:pStyle w:val="7"/>
              <w:spacing w:line="360" w:lineRule="auto"/>
              <w:rPr>
                <w:rFonts w:hint="eastAsia"/>
                <w:color w:val="auto"/>
                <w:highlight w:val="none"/>
                <w:u w:val="single"/>
                <w:lang w:val="en-US" w:eastAsia="zh-CN"/>
              </w:rPr>
            </w:pPr>
            <w:r>
              <w:rPr>
                <w:rFonts w:hint="eastAsia"/>
                <w:color w:val="auto"/>
                <w:highlight w:val="none"/>
                <w:lang w:val="en-US" w:eastAsia="zh-CN"/>
              </w:rPr>
              <w:t>☑不允许分包</w:t>
            </w:r>
          </w:p>
        </w:tc>
      </w:tr>
      <w:tr w14:paraId="0BB11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9" w:hRule="atLeast"/>
          <w:jc w:val="center"/>
        </w:trPr>
        <w:tc>
          <w:tcPr>
            <w:tcW w:w="992" w:type="dxa"/>
            <w:noWrap w:val="0"/>
            <w:vAlign w:val="center"/>
          </w:tcPr>
          <w:p w14:paraId="75F3A1E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noWrap w:val="0"/>
            <w:vAlign w:val="center"/>
          </w:tcPr>
          <w:p w14:paraId="5B66E730">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资格证明文件</w:t>
            </w:r>
          </w:p>
          <w:p w14:paraId="0E0AD145">
            <w:pPr>
              <w:pStyle w:val="7"/>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供应商为法人或者其他组织的，</w:t>
            </w:r>
            <w:r>
              <w:rPr>
                <w:rFonts w:hint="eastAsia" w:ascii="宋体" w:hAnsi="宋体"/>
                <w:color w:val="auto"/>
                <w:szCs w:val="21"/>
                <w:highlight w:val="none"/>
              </w:rPr>
              <w:t>证明文件为其营业执照复印件（如营业执照或者事业单位法人证书或者执业许可证等）；供应商为自然人的，证明文件为其身份证复印件</w:t>
            </w:r>
            <w:r>
              <w:rPr>
                <w:rFonts w:hint="eastAsia" w:ascii="宋体" w:hAnsi="宋体" w:cs="宋体"/>
                <w:color w:val="auto"/>
                <w:szCs w:val="21"/>
                <w:highlight w:val="none"/>
              </w:rPr>
              <w:t>；</w:t>
            </w:r>
            <w:r>
              <w:rPr>
                <w:rFonts w:ascii="宋体" w:hAnsi="宋体" w:cs="宋体"/>
                <w:b/>
                <w:bCs/>
                <w:color w:val="auto"/>
                <w:szCs w:val="21"/>
                <w:highlight w:val="none"/>
                <w:lang w:val="en-US" w:eastAsia="zh-CN"/>
              </w:rPr>
              <w:t>（未提供《百色市政府采购供应商信用承诺函》时必须提供，否则响应文件作无效处理）</w:t>
            </w:r>
          </w:p>
          <w:p w14:paraId="5BC7F401">
            <w:pPr>
              <w:pStyle w:val="7"/>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供应商依法缴纳税收的相关材料（</w:t>
            </w:r>
            <w:r>
              <w:rPr>
                <w:rFonts w:hint="eastAsia" w:ascii="宋体" w:hAnsi="宋体" w:cs="宋体"/>
                <w:color w:val="auto"/>
                <w:szCs w:val="21"/>
                <w:highlight w:val="none"/>
                <w:u w:val="single"/>
                <w:lang w:val="en-US" w:eastAsia="zh-CN"/>
              </w:rPr>
              <w:t>2025年 1月至 2025年 5月</w:t>
            </w:r>
            <w:r>
              <w:rPr>
                <w:rFonts w:hint="eastAsia" w:ascii="宋体" w:hAnsi="宋体" w:cs="宋体"/>
                <w:color w:val="auto"/>
                <w:szCs w:val="21"/>
                <w:highlight w:val="none"/>
                <w:lang w:val="en-US" w:eastAsia="zh-CN"/>
              </w:rPr>
              <w:t>任意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个月的依法缴纳税收的凭据复印件；</w:t>
            </w:r>
            <w:r>
              <w:rPr>
                <w:rFonts w:hint="eastAsia"/>
                <w:color w:val="auto"/>
                <w:highlight w:val="none"/>
              </w:rPr>
              <w:t>依法免税的，必须提供相应文件证明其依法免税。</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的依法缴纳税收</w:t>
            </w:r>
            <w:r>
              <w:rPr>
                <w:rFonts w:hint="eastAsia"/>
                <w:color w:val="auto"/>
                <w:highlight w:val="none"/>
              </w:rPr>
              <w:t>相应证明文件</w:t>
            </w:r>
            <w:r>
              <w:rPr>
                <w:rFonts w:hint="eastAsia" w:ascii="宋体" w:hAnsi="宋体" w:cs="宋体"/>
                <w:color w:val="auto"/>
                <w:szCs w:val="21"/>
                <w:highlight w:val="none"/>
              </w:rPr>
              <w:t>）；</w:t>
            </w:r>
            <w:r>
              <w:rPr>
                <w:rFonts w:ascii="宋体" w:hAnsi="宋体" w:cs="宋体"/>
                <w:b/>
                <w:bCs/>
                <w:color w:val="auto"/>
                <w:szCs w:val="21"/>
                <w:highlight w:val="none"/>
                <w:lang w:val="en-US" w:eastAsia="zh-CN"/>
              </w:rPr>
              <w:t>（未提供《百色市政府采购供应商信用承诺函》时必须提供，否则响应文件作无效处理）</w:t>
            </w:r>
          </w:p>
          <w:p w14:paraId="67DAAFE3">
            <w:pPr>
              <w:pStyle w:val="7"/>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3. 供应商依法缴纳社会保障资金的相关材料[</w:t>
            </w:r>
            <w:r>
              <w:rPr>
                <w:rFonts w:hint="eastAsia" w:ascii="宋体" w:hAnsi="宋体" w:cs="宋体"/>
                <w:color w:val="auto"/>
                <w:szCs w:val="21"/>
                <w:highlight w:val="none"/>
                <w:u w:val="single"/>
                <w:lang w:val="en-US" w:eastAsia="zh-CN"/>
              </w:rPr>
              <w:t>2025年 1月至 2025年 5月</w:t>
            </w:r>
            <w:r>
              <w:rPr>
                <w:rFonts w:hint="eastAsia" w:ascii="宋体" w:hAnsi="宋体" w:cs="宋体"/>
                <w:color w:val="auto"/>
                <w:szCs w:val="21"/>
                <w:highlight w:val="none"/>
                <w:lang w:val="en-US" w:eastAsia="zh-CN"/>
              </w:rPr>
              <w:t>任意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个月的依法缴纳社会保障资金的缴费凭证（专用收据或者社会保险缴纳清单）复印件；</w:t>
            </w:r>
            <w:r>
              <w:rPr>
                <w:rFonts w:hint="eastAsia"/>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的依法缴纳社会保障资金的</w:t>
            </w:r>
            <w:r>
              <w:rPr>
                <w:rFonts w:hint="eastAsia"/>
                <w:color w:val="auto"/>
                <w:highlight w:val="none"/>
              </w:rPr>
              <w:t>相应证明文件</w:t>
            </w:r>
            <w:r>
              <w:rPr>
                <w:rFonts w:hint="eastAsia" w:ascii="宋体" w:hAnsi="宋体" w:cs="宋体"/>
                <w:color w:val="auto"/>
                <w:szCs w:val="21"/>
                <w:highlight w:val="none"/>
              </w:rPr>
              <w:t>]；</w:t>
            </w:r>
            <w:r>
              <w:rPr>
                <w:rFonts w:ascii="宋体" w:hAnsi="宋体" w:cs="宋体"/>
                <w:b/>
                <w:bCs/>
                <w:color w:val="auto"/>
                <w:szCs w:val="21"/>
                <w:highlight w:val="none"/>
                <w:lang w:val="en-US" w:eastAsia="zh-CN"/>
              </w:rPr>
              <w:t>（未提供《百色市政府采购供应商信用承诺函》时必须提供，否则响应文件作无效处理）</w:t>
            </w:r>
          </w:p>
          <w:p w14:paraId="2789C6DC">
            <w:pPr>
              <w:spacing w:line="360" w:lineRule="auto"/>
              <w:ind w:firstLine="420" w:firstLineChars="200"/>
              <w:contextualSpacing/>
              <w:jc w:val="left"/>
              <w:rPr>
                <w:rFonts w:hint="eastAsia" w:ascii="宋体" w:hAnsi="宋体" w:cs="宋体"/>
                <w:b/>
                <w:color w:val="auto"/>
                <w:szCs w:val="21"/>
                <w:highlight w:val="none"/>
              </w:rPr>
            </w:pPr>
            <w:r>
              <w:rPr>
                <w:rFonts w:hint="eastAsia" w:ascii="宋体" w:hAnsi="宋体" w:cs="宋体"/>
                <w:color w:val="auto"/>
                <w:szCs w:val="21"/>
                <w:highlight w:val="none"/>
              </w:rPr>
              <w:t xml:space="preserve">4. </w:t>
            </w:r>
            <w:r>
              <w:rPr>
                <w:rFonts w:hint="eastAsia" w:ascii="宋体" w:hAnsi="宋体" w:cs="宋体"/>
                <w:color w:val="auto"/>
                <w:szCs w:val="21"/>
                <w:highlight w:val="none"/>
                <w:lang w:val="en-US" w:eastAsia="zh-CN"/>
              </w:rPr>
              <w:t>供应商</w:t>
            </w:r>
            <w:r>
              <w:rPr>
                <w:rFonts w:hint="eastAsia"/>
                <w:color w:val="auto"/>
                <w:szCs w:val="21"/>
                <w:highlight w:val="none"/>
              </w:rPr>
              <w:t>财务状况报告</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2023</w:t>
            </w:r>
            <w:r>
              <w:rPr>
                <w:rFonts w:hint="eastAsia" w:ascii="宋体" w:hAnsi="宋体"/>
                <w:color w:val="auto"/>
                <w:szCs w:val="21"/>
                <w:highlight w:val="none"/>
              </w:rPr>
              <w:t>年</w:t>
            </w:r>
            <w:r>
              <w:rPr>
                <w:rFonts w:hint="eastAsia" w:ascii="宋体" w:hAnsi="宋体"/>
                <w:color w:val="auto"/>
                <w:szCs w:val="21"/>
                <w:highlight w:val="none"/>
                <w:lang w:val="en-US" w:eastAsia="zh-CN"/>
              </w:rPr>
              <w:t>或</w:t>
            </w:r>
            <w:r>
              <w:rPr>
                <w:rFonts w:hint="eastAsia" w:ascii="宋体" w:hAnsi="宋体"/>
                <w:color w:val="auto"/>
                <w:szCs w:val="21"/>
                <w:highlight w:val="none"/>
                <w:u w:val="single"/>
                <w:lang w:val="en-US" w:eastAsia="zh-CN"/>
              </w:rPr>
              <w:t>2024</w:t>
            </w:r>
            <w:r>
              <w:rPr>
                <w:rFonts w:hint="eastAsia" w:ascii="宋体" w:hAnsi="宋体"/>
                <w:color w:val="auto"/>
                <w:szCs w:val="21"/>
                <w:highlight w:val="none"/>
                <w:lang w:val="en-US" w:eastAsia="zh-CN"/>
              </w:rPr>
              <w:t>年</w:t>
            </w:r>
            <w:r>
              <w:rPr>
                <w:rFonts w:hint="eastAsia" w:ascii="宋体" w:hAnsi="宋体"/>
                <w:color w:val="auto"/>
                <w:szCs w:val="21"/>
                <w:highlight w:val="none"/>
              </w:rPr>
              <w:t>]财务状况报告复印件；供应商成立不满一年的应按提供截标之日上一个月的财务状况报告复印件。（上述财务状况报告包括：供应商执行《企业会计准则》的，提供资产负债表、利润表、现金流量表、所有者权益变动表；供应商执行《小企业会计准则》的，提供资产负债表、利润表、现金流量表；供应商执行《政府会计制度》的，提供资产负债表、收入费用表和净资产变动表)</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b/>
                <w:color w:val="auto"/>
                <w:szCs w:val="21"/>
                <w:highlight w:val="none"/>
                <w:lang w:val="en-US" w:eastAsia="zh-CN"/>
              </w:rPr>
              <w:t>除自然人外</w:t>
            </w:r>
            <w:r>
              <w:rPr>
                <w:rFonts w:hint="eastAsia" w:ascii="宋体" w:hAnsi="宋体"/>
                <w:b/>
                <w:color w:val="auto"/>
                <w:szCs w:val="21"/>
                <w:highlight w:val="none"/>
              </w:rPr>
              <w:t>必须提供</w:t>
            </w:r>
            <w:r>
              <w:rPr>
                <w:rFonts w:hint="eastAsia" w:ascii="宋体" w:hAnsi="宋体" w:cs="宋体"/>
                <w:b/>
                <w:bCs w:val="0"/>
                <w:color w:val="auto"/>
                <w:szCs w:val="21"/>
                <w:highlight w:val="none"/>
              </w:rPr>
              <w:t>，未提供《百色市政府采购供应商信用承诺函》时必须提供，否则响应文件作无效处理）</w:t>
            </w:r>
          </w:p>
          <w:p w14:paraId="3B3E8BA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 供应商直接控股、管理关系信息表（格式后附）；（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608A76D6">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eastAsia="宋体" w:cs="宋体"/>
                <w:b w:val="0"/>
                <w:bCs w:val="0"/>
                <w:color w:val="auto"/>
                <w:kern w:val="2"/>
                <w:sz w:val="21"/>
                <w:szCs w:val="21"/>
                <w:highlight w:val="none"/>
                <w:lang w:val="en-US" w:eastAsia="zh-CN" w:bidi="ar-SA"/>
              </w:rPr>
              <w:t>6.供应商须提供本次采购药品的制造商的农药生产许可证、农药登记证;供应商须具有农药经营许可证</w:t>
            </w:r>
            <w:r>
              <w:rPr>
                <w:rFonts w:hint="eastAsia" w:ascii="宋体" w:hAnsi="宋体" w:cs="宋体"/>
                <w:b w:val="0"/>
                <w:bCs w:val="0"/>
                <w:color w:val="auto"/>
                <w:kern w:val="2"/>
                <w:sz w:val="21"/>
                <w:szCs w:val="21"/>
                <w:highlight w:val="none"/>
                <w:lang w:val="en-US" w:eastAsia="zh-CN" w:bidi="ar-SA"/>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4880BBB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 竞标声明（格式后附）；（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48C44998">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.《中小企业声明函》或者《残疾人福利性单位声明函》或者省级以上监狱管理局、戒毒管理局（含新疆生产建设兵团）出具的属于监狱企业的证明文件扫描件、母公司承诺书</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0BBAAFC4">
            <w:pPr>
              <w:snapToGrid w:val="0"/>
              <w:spacing w:line="360" w:lineRule="auto"/>
              <w:ind w:firstLine="420" w:firstLineChars="200"/>
              <w:jc w:val="left"/>
              <w:rPr>
                <w:rFonts w:hint="eastAsia" w:ascii="宋体" w:hAnsi="宋体" w:cs="宋体"/>
                <w:b/>
                <w:bCs/>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.谈判文件中要求提供的有关资料；（格式自拟）</w:t>
            </w:r>
            <w:r>
              <w:rPr>
                <w:rFonts w:hint="eastAsia" w:ascii="宋体" w:hAnsi="宋体" w:cs="宋体"/>
                <w:b/>
                <w:bCs/>
                <w:color w:val="auto"/>
                <w:szCs w:val="21"/>
                <w:highlight w:val="none"/>
              </w:rPr>
              <w:t>（必须提供，否则响应文件作无效处理）</w:t>
            </w:r>
          </w:p>
          <w:p w14:paraId="2499BFE4">
            <w:pPr>
              <w:snapToGrid w:val="0"/>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10</w:t>
            </w:r>
            <w:r>
              <w:rPr>
                <w:rFonts w:hint="eastAsia" w:ascii="宋体" w:hAnsi="宋体"/>
                <w:color w:val="auto"/>
                <w:szCs w:val="21"/>
                <w:highlight w:val="none"/>
              </w:rPr>
              <w:t>.</w:t>
            </w:r>
            <w:r>
              <w:rPr>
                <w:rFonts w:hint="eastAsia" w:ascii="宋体" w:hAnsi="宋体" w:cs="宋体"/>
                <w:color w:val="auto"/>
                <w:szCs w:val="21"/>
                <w:highlight w:val="none"/>
              </w:rPr>
              <w:t>除谈判文件规定必须提供以外，供应商认为需要提供的其他证明材料</w:t>
            </w:r>
            <w:r>
              <w:rPr>
                <w:rFonts w:hint="eastAsia" w:ascii="宋体" w:hAnsi="宋体" w:cs="宋体"/>
                <w:color w:val="auto"/>
                <w:szCs w:val="21"/>
                <w:highlight w:val="none"/>
                <w:lang w:val="en-US" w:eastAsia="zh-CN"/>
              </w:rPr>
              <w:t>；</w:t>
            </w:r>
          </w:p>
          <w:p w14:paraId="09DD78A9">
            <w:pPr>
              <w:snapToGrid w:val="0"/>
              <w:spacing w:line="360" w:lineRule="auto"/>
              <w:ind w:firstLine="420" w:firstLineChars="20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11.百色市政府采购供应商信用承诺函；（格式后附，由供应商自行选择是否提供。如提供此供应商信用承诺函，则资格证明文件1、2、3、4项无须再提供）</w:t>
            </w:r>
          </w:p>
          <w:p w14:paraId="421BDA76">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注：</w:t>
            </w:r>
          </w:p>
          <w:p w14:paraId="569D5D67">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1.以上标明“必须提供”的材料属于复印件的，必须加盖供应商公章，否则响应文件按无效处理。</w:t>
            </w:r>
          </w:p>
          <w:p w14:paraId="5298A3FB">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2.竞标声明必须由法定代表人在规定签章处逐一签字并加盖供应商公章，否则响应文件按无效处理。</w:t>
            </w:r>
          </w:p>
          <w:p w14:paraId="64A2B1CA">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3.供应商直接控股、管理关系信息表必须由法定代表人或者委托代理人在规定签章处逐一签字并加盖供应商公章，否则响应文件按无效处理。</w:t>
            </w:r>
          </w:p>
          <w:p w14:paraId="24FBFBCB">
            <w:pPr>
              <w:snapToGrid w:val="0"/>
              <w:spacing w:line="360" w:lineRule="auto"/>
              <w:ind w:firstLine="422" w:firstLineChars="200"/>
              <w:jc w:val="left"/>
              <w:rPr>
                <w:rFonts w:hint="eastAsia" w:ascii="宋体" w:hAnsi="宋体"/>
                <w:b/>
                <w:bCs/>
                <w:color w:val="auto"/>
                <w:szCs w:val="21"/>
                <w:highlight w:val="none"/>
                <w:lang w:val="en-US" w:eastAsia="zh-CN"/>
              </w:rPr>
            </w:pPr>
            <w:r>
              <w:rPr>
                <w:rFonts w:hint="eastAsia" w:ascii="宋体" w:hAnsi="宋体" w:cs="宋体"/>
                <w:b/>
                <w:color w:val="auto"/>
                <w:szCs w:val="21"/>
                <w:highlight w:val="none"/>
              </w:rPr>
              <w:t>4.</w:t>
            </w:r>
            <w:r>
              <w:rPr>
                <w:rFonts w:hint="eastAsia" w:ascii="宋体" w:hAnsi="宋体"/>
                <w:b/>
                <w:bCs/>
                <w:color w:val="auto"/>
                <w:szCs w:val="21"/>
                <w:highlight w:val="none"/>
                <w:lang w:val="en-US" w:eastAsia="zh-CN"/>
              </w:rPr>
              <w:t>分公司参加竞标的，应当取得总公司授权。</w:t>
            </w:r>
          </w:p>
        </w:tc>
      </w:tr>
      <w:tr w14:paraId="4C793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1" w:hRule="atLeast"/>
          <w:jc w:val="center"/>
        </w:trPr>
        <w:tc>
          <w:tcPr>
            <w:tcW w:w="992" w:type="dxa"/>
            <w:noWrap w:val="0"/>
            <w:vAlign w:val="center"/>
          </w:tcPr>
          <w:p w14:paraId="100F29A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2</w:t>
            </w:r>
          </w:p>
        </w:tc>
        <w:tc>
          <w:tcPr>
            <w:tcW w:w="7912" w:type="dxa"/>
            <w:noWrap w:val="0"/>
            <w:vAlign w:val="center"/>
          </w:tcPr>
          <w:p w14:paraId="25E47DE6">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报价文件</w:t>
            </w:r>
          </w:p>
          <w:p w14:paraId="044A20D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lang w:val="en-US" w:eastAsia="zh-CN"/>
              </w:rPr>
              <w:t>竞</w:t>
            </w:r>
            <w:r>
              <w:rPr>
                <w:rFonts w:hint="eastAsia" w:ascii="宋体" w:hAnsi="宋体"/>
                <w:color w:val="auto"/>
                <w:szCs w:val="21"/>
                <w:highlight w:val="none"/>
              </w:rPr>
              <w:t>标函（格式后附）；</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576138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.竞标报价表（格式后附）；（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601C96BA">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投标人针对报价需要说明的其他文件和说明</w:t>
            </w:r>
            <w:r>
              <w:rPr>
                <w:rFonts w:hint="eastAsia" w:ascii="宋体" w:hAnsi="宋体" w:cs="宋体"/>
                <w:color w:val="auto"/>
                <w:szCs w:val="21"/>
                <w:highlight w:val="none"/>
              </w:rPr>
              <w:t>。</w:t>
            </w:r>
          </w:p>
          <w:p w14:paraId="75383200">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注：以上标明“必须提供”材料复印件的，必须加盖供应商公章，否则响应文件按无效处理。</w:t>
            </w:r>
          </w:p>
        </w:tc>
      </w:tr>
      <w:tr w14:paraId="64336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EEEBBB7">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12.1.3</w:t>
            </w:r>
          </w:p>
        </w:tc>
        <w:tc>
          <w:tcPr>
            <w:tcW w:w="7912" w:type="dxa"/>
            <w:noWrap w:val="0"/>
            <w:vAlign w:val="center"/>
          </w:tcPr>
          <w:p w14:paraId="39E5930A">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商务技术文件</w:t>
            </w:r>
          </w:p>
          <w:p w14:paraId="785E116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51562BF8">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.法定代表人身份证明书及法定代表人有效身份证正反面复印件（格式后附）；（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2A3427C3">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.授权委托书及委托代理人有效身份证正反面复印件（格式后附）；（</w:t>
            </w:r>
            <w:r>
              <w:rPr>
                <w:rFonts w:hint="eastAsia" w:ascii="宋体" w:hAnsi="宋体" w:cs="宋体"/>
                <w:b/>
                <w:color w:val="auto"/>
                <w:szCs w:val="21"/>
                <w:highlight w:val="none"/>
              </w:rPr>
              <w:t>委托时必须提供，否则响应文件按无效处理</w:t>
            </w:r>
            <w:r>
              <w:rPr>
                <w:rFonts w:hint="eastAsia" w:ascii="宋体" w:hAnsi="宋体" w:cs="宋体"/>
                <w:color w:val="auto"/>
                <w:szCs w:val="21"/>
                <w:highlight w:val="none"/>
              </w:rPr>
              <w:t>）</w:t>
            </w:r>
          </w:p>
          <w:p w14:paraId="31014F3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商务要求偏离表（格式后附）；（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1F21AE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项目实施方案</w:t>
            </w:r>
            <w:r>
              <w:rPr>
                <w:rFonts w:hint="eastAsia" w:ascii="宋体" w:hAnsi="宋体" w:cs="宋体"/>
                <w:color w:val="auto"/>
                <w:szCs w:val="21"/>
                <w:highlight w:val="none"/>
              </w:rPr>
              <w:t>（格式自拟）；（</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1AA8A73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药品</w:t>
            </w:r>
            <w:r>
              <w:rPr>
                <w:rFonts w:hint="eastAsia" w:ascii="宋体" w:hAnsi="宋体" w:cs="宋体"/>
                <w:color w:val="auto"/>
                <w:szCs w:val="21"/>
                <w:highlight w:val="none"/>
              </w:rPr>
              <w:t>配置清单（格式后附）；（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4F97A13D">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7.售后服务承诺</w:t>
            </w:r>
            <w:r>
              <w:rPr>
                <w:rFonts w:hint="eastAsia" w:ascii="宋体" w:hAnsi="宋体" w:cs="宋体"/>
                <w:color w:val="auto"/>
                <w:szCs w:val="21"/>
                <w:highlight w:val="none"/>
              </w:rPr>
              <w:t>（格式自拟）；（</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3EFF33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.技术偏离表（格式后附）；（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0162BE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.对应采购需求的技术要求、商务要求提供的其他文件资料（格式自拟）；</w:t>
            </w:r>
            <w:r>
              <w:rPr>
                <w:rFonts w:hint="eastAsia" w:ascii="宋体" w:hAnsi="宋体" w:cs="宋体"/>
                <w:b/>
                <w:bCs/>
                <w:color w:val="auto"/>
                <w:szCs w:val="21"/>
                <w:highlight w:val="none"/>
              </w:rPr>
              <w:t>（必须提供，否则响应文件按无效响应处理）</w:t>
            </w:r>
            <w:r>
              <w:rPr>
                <w:rFonts w:hint="eastAsia" w:ascii="宋体" w:hAnsi="宋体" w:cs="宋体"/>
                <w:color w:val="auto"/>
                <w:szCs w:val="21"/>
                <w:highlight w:val="none"/>
              </w:rPr>
              <w:t>；</w:t>
            </w:r>
          </w:p>
          <w:p w14:paraId="7E1E3D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.供应商认为需要提供的其他有关资料。</w:t>
            </w:r>
          </w:p>
          <w:p w14:paraId="533AC0B3">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注：以上标明“必须提供”材料复印件的，必须加盖供应商公章，否则响应文件按无效处理。</w:t>
            </w:r>
          </w:p>
        </w:tc>
      </w:tr>
      <w:tr w14:paraId="5EC0D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31DACE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7912" w:type="dxa"/>
            <w:noWrap w:val="0"/>
            <w:vAlign w:val="center"/>
          </w:tcPr>
          <w:p w14:paraId="47F2159E">
            <w:pPr>
              <w:snapToGrid w:val="0"/>
              <w:spacing w:line="360" w:lineRule="auto"/>
              <w:jc w:val="left"/>
              <w:rPr>
                <w:rFonts w:hint="eastAsia" w:ascii="宋体" w:hAnsi="宋体" w:cs="宋体"/>
                <w:color w:val="auto"/>
                <w:szCs w:val="21"/>
                <w:highlight w:val="none"/>
              </w:rPr>
            </w:pPr>
            <w:r>
              <w:rPr>
                <w:rFonts w:hint="eastAsia" w:ascii="宋体" w:hAnsi="宋体"/>
                <w:szCs w:val="21"/>
              </w:rPr>
              <w:t>竞标报价是履行合同的最终价格，</w:t>
            </w:r>
            <w:r>
              <w:rPr>
                <w:rFonts w:hint="eastAsia" w:ascii="宋体" w:hAnsi="宋体" w:cs="宋体"/>
                <w:szCs w:val="21"/>
              </w:rPr>
              <w:t>即满足全部采购需求所应提供的服务的价格；包括竞标服务的成本、技术服务、培训、税费等所有费用。</w:t>
            </w:r>
          </w:p>
        </w:tc>
      </w:tr>
      <w:tr w14:paraId="1BC9F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85318D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noWrap w:val="0"/>
            <w:vAlign w:val="center"/>
          </w:tcPr>
          <w:p w14:paraId="7BB9C43F">
            <w:pPr>
              <w:pStyle w:val="6"/>
              <w:widowControl w:val="0"/>
              <w:tabs>
                <w:tab w:val="left" w:pos="720"/>
                <w:tab w:val="left" w:pos="840"/>
              </w:tabs>
              <w:snapToGrid w:val="0"/>
              <w:spacing w:afterLines="0" w:line="360" w:lineRule="auto"/>
              <w:ind w:left="283" w:hanging="283" w:hangingChars="135"/>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rPr>
              <w:t>竞标有效期：自竞标截止之日起</w:t>
            </w:r>
            <w:r>
              <w:rPr>
                <w:rFonts w:hint="eastAsia" w:ascii="宋体" w:hAnsi="宋体" w:cs="宋体"/>
                <w:color w:val="auto"/>
                <w:kern w:val="2"/>
                <w:sz w:val="21"/>
                <w:szCs w:val="21"/>
                <w:highlight w:val="none"/>
                <w:lang w:val="en-US" w:eastAsia="zh-CN"/>
              </w:rPr>
              <w:t>60日历天。</w:t>
            </w:r>
          </w:p>
        </w:tc>
      </w:tr>
      <w:tr w14:paraId="5AC40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8F15C1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7912" w:type="dxa"/>
            <w:noWrap w:val="0"/>
            <w:vAlign w:val="center"/>
          </w:tcPr>
          <w:p w14:paraId="26E3DB3C">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olor w:val="auto"/>
                <w:szCs w:val="21"/>
                <w:highlight w:val="none"/>
              </w:rPr>
              <w:t>本项目不收取竞标保证金。</w:t>
            </w:r>
          </w:p>
        </w:tc>
      </w:tr>
      <w:tr w14:paraId="4996C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828DE7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.1</w:t>
            </w:r>
          </w:p>
        </w:tc>
        <w:tc>
          <w:tcPr>
            <w:tcW w:w="7912" w:type="dxa"/>
            <w:noWrap w:val="0"/>
            <w:vAlign w:val="center"/>
          </w:tcPr>
          <w:p w14:paraId="3AA8DCFC">
            <w:pPr>
              <w:spacing w:line="360" w:lineRule="auto"/>
              <w:contextualSpacing/>
              <w:jc w:val="left"/>
              <w:rPr>
                <w:rFonts w:hint="eastAsia" w:ascii="宋体" w:hAnsi="宋体" w:cs="宋体"/>
                <w:color w:val="auto"/>
                <w:szCs w:val="21"/>
                <w:highlight w:val="none"/>
                <w:u w:val="single"/>
              </w:rPr>
            </w:pPr>
            <w:r>
              <w:rPr>
                <w:rFonts w:hint="eastAsia" w:ascii="宋体" w:hAnsi="宋体" w:cs="宋体"/>
                <w:color w:val="auto"/>
                <w:szCs w:val="21"/>
                <w:highlight w:val="none"/>
              </w:rPr>
              <w:t>响应文件提交截止时间：详见</w:t>
            </w:r>
            <w:r>
              <w:rPr>
                <w:rFonts w:hint="eastAsia" w:ascii="宋体" w:hAnsi="宋体" w:cs="宋体"/>
                <w:color w:val="auto"/>
                <w:szCs w:val="21"/>
                <w:highlight w:val="none"/>
                <w:lang w:eastAsia="zh-CN"/>
              </w:rPr>
              <w:t>竞争性谈判公告</w:t>
            </w:r>
            <w:r>
              <w:rPr>
                <w:rFonts w:hint="eastAsia" w:ascii="宋体" w:hAnsi="宋体" w:cs="宋体"/>
                <w:color w:val="auto"/>
                <w:szCs w:val="21"/>
                <w:highlight w:val="none"/>
              </w:rPr>
              <w:t>。</w:t>
            </w:r>
          </w:p>
          <w:p w14:paraId="4DB8BA98">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响应文件提交地点：详见</w:t>
            </w:r>
            <w:r>
              <w:rPr>
                <w:rFonts w:hint="eastAsia" w:ascii="宋体" w:hAnsi="宋体" w:cs="宋体"/>
                <w:color w:val="auto"/>
                <w:szCs w:val="21"/>
                <w:highlight w:val="none"/>
                <w:lang w:eastAsia="zh-CN"/>
              </w:rPr>
              <w:t>竞争性谈判公告</w:t>
            </w:r>
            <w:r>
              <w:rPr>
                <w:rFonts w:hint="eastAsia" w:ascii="宋体" w:hAnsi="宋体" w:cs="宋体"/>
                <w:color w:val="auto"/>
                <w:szCs w:val="21"/>
                <w:highlight w:val="none"/>
              </w:rPr>
              <w:t>。</w:t>
            </w:r>
          </w:p>
          <w:p w14:paraId="3677D8DE">
            <w:pPr>
              <w:pStyle w:val="22"/>
              <w:spacing w:line="360" w:lineRule="auto"/>
              <w:rPr>
                <w:rFonts w:hint="eastAsia"/>
                <w:color w:val="auto"/>
                <w:sz w:val="21"/>
                <w:szCs w:val="21"/>
                <w:highlight w:val="none"/>
              </w:rPr>
            </w:pPr>
            <w:r>
              <w:rPr>
                <w:rFonts w:hint="eastAsia"/>
                <w:color w:val="auto"/>
                <w:sz w:val="21"/>
                <w:szCs w:val="21"/>
                <w:highlight w:val="none"/>
              </w:rPr>
              <w:t xml:space="preserve"> </w:t>
            </w:r>
            <w:r>
              <w:rPr>
                <w:rFonts w:hint="eastAsia"/>
                <w:color w:val="auto"/>
                <w:sz w:val="21"/>
                <w:szCs w:val="21"/>
                <w:highlight w:val="none"/>
                <w:lang w:val="en-US" w:eastAsia="zh-CN"/>
              </w:rPr>
              <w:t xml:space="preserve">   </w:t>
            </w:r>
            <w:r>
              <w:rPr>
                <w:rFonts w:hint="eastAsia"/>
                <w:color w:val="auto"/>
                <w:sz w:val="21"/>
                <w:szCs w:val="21"/>
                <w:highlight w:val="none"/>
              </w:rPr>
              <w:t>本项目为全流程电子化项目，通过</w:t>
            </w:r>
            <w:r>
              <w:rPr>
                <w:rFonts w:hint="eastAsia"/>
                <w:color w:val="auto"/>
                <w:sz w:val="21"/>
                <w:szCs w:val="21"/>
                <w:highlight w:val="none"/>
                <w:lang w:eastAsia="zh-CN"/>
              </w:rPr>
              <w:t>广西政府采购云平台（https://www.gcy.zfcg.gxzf.gov.cn）</w:t>
            </w:r>
            <w:r>
              <w:rPr>
                <w:rFonts w:hint="eastAsia"/>
                <w:color w:val="auto"/>
                <w:sz w:val="21"/>
                <w:szCs w:val="21"/>
                <w:highlight w:val="none"/>
              </w:rPr>
              <w:t>实行在线电子响应。</w:t>
            </w:r>
          </w:p>
          <w:p w14:paraId="5D09EEAC">
            <w:pPr>
              <w:pStyle w:val="22"/>
              <w:spacing w:line="360" w:lineRule="auto"/>
              <w:rPr>
                <w:rFonts w:hint="eastAsia"/>
                <w:color w:val="auto"/>
                <w:sz w:val="21"/>
                <w:szCs w:val="21"/>
                <w:highlight w:val="none"/>
              </w:rPr>
            </w:pPr>
            <w:r>
              <w:rPr>
                <w:rFonts w:hint="eastAsia"/>
                <w:color w:val="auto"/>
                <w:sz w:val="21"/>
                <w:szCs w:val="21"/>
                <w:highlight w:val="none"/>
              </w:rPr>
              <w:t>（1）响应文件提交方式：本项目为全流程电子化项目，通过</w:t>
            </w:r>
            <w:r>
              <w:rPr>
                <w:rFonts w:hint="eastAsia"/>
                <w:color w:val="auto"/>
                <w:sz w:val="21"/>
                <w:szCs w:val="21"/>
                <w:highlight w:val="none"/>
                <w:lang w:eastAsia="zh-CN"/>
              </w:rPr>
              <w:t>广西政府采购云平台（https://www.gcy.zfcg.gxzf.gov.cn）</w:t>
            </w:r>
            <w:r>
              <w:rPr>
                <w:rFonts w:hint="eastAsia"/>
                <w:color w:val="auto"/>
                <w:sz w:val="21"/>
                <w:szCs w:val="21"/>
                <w:highlight w:val="none"/>
              </w:rPr>
              <w:t>实行在线电子响应，供应商应先安装“政采云电子交易客户端”（请自行前往“政采云”平台进行下载），并按照本项目采购文件和“政采云”平台的要求编制、加密后在谈判截止时间前通过网络上传至“政采云”平台，供应商在“政采云”平台提交电子版响应文件时，请填写参加远程采购活动经办人联系方式，电子响应文件具体操作流程可登录“政采云”平台查询。</w:t>
            </w:r>
          </w:p>
          <w:p w14:paraId="7439B074">
            <w:pPr>
              <w:pStyle w:val="22"/>
              <w:spacing w:line="360" w:lineRule="auto"/>
              <w:rPr>
                <w:rFonts w:hint="eastAsia"/>
                <w:color w:val="auto"/>
                <w:sz w:val="21"/>
                <w:szCs w:val="21"/>
                <w:highlight w:val="none"/>
              </w:rPr>
            </w:pPr>
            <w:r>
              <w:rPr>
                <w:rFonts w:hint="eastAsia"/>
                <w:color w:val="auto"/>
                <w:sz w:val="21"/>
                <w:szCs w:val="21"/>
                <w:highlight w:val="none"/>
              </w:rPr>
              <w:t>（2）未进行网上注册并办理数字证书（CA认证）的供应商将无法参与本项目政府采购活动，潜在供应商应当在谈判截止时间前，完成电子交易平台上的CA数字证书办理（申领流程可登录“政采云”平台查询）及响应文件的提交。</w:t>
            </w:r>
          </w:p>
          <w:p w14:paraId="177857F1">
            <w:pPr>
              <w:pStyle w:val="22"/>
              <w:spacing w:line="360" w:lineRule="auto"/>
              <w:rPr>
                <w:rFonts w:hint="eastAsia"/>
                <w:color w:val="auto"/>
                <w:sz w:val="21"/>
                <w:szCs w:val="21"/>
                <w:highlight w:val="none"/>
              </w:rPr>
            </w:pPr>
            <w:r>
              <w:rPr>
                <w:rFonts w:hint="eastAsia"/>
                <w:color w:val="auto"/>
                <w:sz w:val="21"/>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6D8EF171">
            <w:pPr>
              <w:pStyle w:val="22"/>
              <w:spacing w:line="360" w:lineRule="auto"/>
              <w:rPr>
                <w:rFonts w:hint="eastAsia"/>
                <w:color w:val="auto"/>
                <w:sz w:val="21"/>
                <w:szCs w:val="21"/>
                <w:highlight w:val="none"/>
              </w:rPr>
            </w:pPr>
            <w:r>
              <w:rPr>
                <w:rFonts w:hint="eastAsia"/>
                <w:color w:val="auto"/>
                <w:sz w:val="21"/>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w:t>
            </w:r>
          </w:p>
          <w:p w14:paraId="4CE04981">
            <w:pPr>
              <w:pStyle w:val="22"/>
              <w:spacing w:line="360" w:lineRule="auto"/>
              <w:rPr>
                <w:rFonts w:hint="eastAsia"/>
                <w:color w:val="auto"/>
                <w:sz w:val="21"/>
                <w:szCs w:val="21"/>
                <w:highlight w:val="none"/>
              </w:rPr>
            </w:pPr>
            <w:r>
              <w:rPr>
                <w:rFonts w:hint="eastAsia"/>
                <w:color w:val="auto"/>
                <w:sz w:val="21"/>
                <w:szCs w:val="21"/>
                <w:highlight w:val="none"/>
              </w:rPr>
              <w:t>（4）CA证书在线解密：首次响应文件开启时，须要供应商登录“政采云”平台电子开标大厅按规定时间对加密的响应文件进行解密，否则后果自负。</w:t>
            </w:r>
          </w:p>
          <w:p w14:paraId="28737107">
            <w:pPr>
              <w:pStyle w:val="22"/>
              <w:spacing w:line="360" w:lineRule="auto"/>
              <w:rPr>
                <w:rFonts w:hint="eastAsia"/>
                <w:color w:val="auto"/>
                <w:highlight w:val="none"/>
              </w:rPr>
            </w:pPr>
            <w:r>
              <w:rPr>
                <w:rFonts w:hint="eastAsia"/>
                <w:color w:val="auto"/>
                <w:sz w:val="21"/>
                <w:szCs w:val="21"/>
                <w:highlight w:val="none"/>
              </w:rPr>
              <w:t>（5）供应商需要在具备有摄像头及语音功能且互联网网络状况良好的电脑登录“政采云”平台远程开标大厅参与本项目，否则后果自负。</w:t>
            </w:r>
          </w:p>
        </w:tc>
      </w:tr>
      <w:tr w14:paraId="1CB67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1525EC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.1</w:t>
            </w:r>
          </w:p>
        </w:tc>
        <w:tc>
          <w:tcPr>
            <w:tcW w:w="7912" w:type="dxa"/>
            <w:noWrap w:val="0"/>
            <w:vAlign w:val="center"/>
          </w:tcPr>
          <w:p w14:paraId="1C5B686A">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谈判小组的人数：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w:t>
            </w:r>
          </w:p>
        </w:tc>
      </w:tr>
      <w:tr w14:paraId="67D24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4D6EBAF">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p>
        </w:tc>
        <w:tc>
          <w:tcPr>
            <w:tcW w:w="7912" w:type="dxa"/>
            <w:noWrap w:val="0"/>
            <w:vAlign w:val="center"/>
          </w:tcPr>
          <w:p w14:paraId="2FDFA025">
            <w:pPr>
              <w:snapToGrid w:val="0"/>
              <w:spacing w:line="360" w:lineRule="auto"/>
              <w:jc w:val="left"/>
              <w:rPr>
                <w:rFonts w:hint="eastAsia"/>
                <w:color w:val="auto"/>
                <w:highlight w:val="none"/>
                <w:lang w:eastAsia="zh-CN"/>
              </w:rPr>
            </w:pPr>
            <w:r>
              <w:rPr>
                <w:rFonts w:hint="eastAsia" w:ascii="宋体" w:hAnsi="宋体" w:cs="宋体"/>
                <w:color w:val="auto"/>
                <w:szCs w:val="21"/>
                <w:highlight w:val="none"/>
              </w:rPr>
              <w:t>首次响应文件开启时间详见“竞争性谈判公告”</w:t>
            </w:r>
            <w:r>
              <w:rPr>
                <w:rFonts w:hint="eastAsia" w:ascii="宋体" w:hAnsi="宋体" w:cs="宋体"/>
                <w:color w:val="auto"/>
                <w:szCs w:val="21"/>
                <w:highlight w:val="none"/>
                <w:lang w:eastAsia="zh-CN"/>
              </w:rPr>
              <w:t>。</w:t>
            </w:r>
          </w:p>
        </w:tc>
      </w:tr>
      <w:tr w14:paraId="2EFCE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noWrap w:val="0"/>
            <w:vAlign w:val="center"/>
          </w:tcPr>
          <w:p w14:paraId="40F12978">
            <w:pPr>
              <w:spacing w:line="360" w:lineRule="auto"/>
              <w:jc w:val="center"/>
              <w:rPr>
                <w:rFonts w:hint="eastAsia" w:ascii="宋体" w:hAnsi="宋体" w:eastAsia="宋体" w:cs="宋体"/>
                <w:color w:val="auto"/>
                <w:szCs w:val="21"/>
                <w:highlight w:val="none"/>
                <w:lang w:eastAsia="zh-CN"/>
              </w:rPr>
            </w:pPr>
            <w:r>
              <w:rPr>
                <w:rFonts w:ascii="宋体" w:hAnsi="宋体" w:cs="宋体"/>
                <w:color w:val="auto"/>
                <w:szCs w:val="21"/>
                <w:highlight w:val="none"/>
              </w:rPr>
              <w:t>2</w:t>
            </w:r>
            <w:r>
              <w:rPr>
                <w:rFonts w:hint="eastAsia" w:ascii="宋体" w:hAnsi="宋体" w:cs="宋体"/>
                <w:color w:val="auto"/>
                <w:szCs w:val="21"/>
                <w:highlight w:val="none"/>
                <w:lang w:val="en-US" w:eastAsia="zh-CN"/>
              </w:rPr>
              <w:t>3</w:t>
            </w:r>
          </w:p>
        </w:tc>
        <w:tc>
          <w:tcPr>
            <w:tcW w:w="7912" w:type="dxa"/>
            <w:noWrap w:val="0"/>
            <w:vAlign w:val="center"/>
          </w:tcPr>
          <w:p w14:paraId="596A213C">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p w14:paraId="07C89254">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tc>
      </w:tr>
      <w:tr w14:paraId="6CC8B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0"/>
            <w:vAlign w:val="center"/>
          </w:tcPr>
          <w:p w14:paraId="4BBB78C4">
            <w:pPr>
              <w:spacing w:line="360" w:lineRule="auto"/>
              <w:jc w:val="center"/>
              <w:rPr>
                <w:rFonts w:hint="eastAsia" w:ascii="宋体" w:hAnsi="宋体" w:cs="宋体"/>
                <w:color w:val="auto"/>
                <w:szCs w:val="21"/>
                <w:highlight w:val="none"/>
              </w:rPr>
            </w:pPr>
          </w:p>
        </w:tc>
        <w:tc>
          <w:tcPr>
            <w:tcW w:w="7912" w:type="dxa"/>
            <w:noWrap w:val="0"/>
            <w:vAlign w:val="center"/>
          </w:tcPr>
          <w:p w14:paraId="5FA233F8">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1.本项目实行网上谈判，采用电子响应文件。若供应商参与谈判，自行承担谈判一切费用。</w:t>
            </w:r>
          </w:p>
          <w:p w14:paraId="3529956A">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2.各供应商应在截标前应确保成为政府采购云平台正式注册入库供应商，并完成 CA 数字证书申领。因未注册入库、未办理 CA 数字证书等原因造成无法谈判或谈判失败等后果由供应商自行承担。</w:t>
            </w:r>
          </w:p>
          <w:p w14:paraId="7C1AA294">
            <w:pPr>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3.供应商将广西壮族自治区全流程电子招投标项目管理系统--供应商客户端下载、安装完成后，可通过 CA 登录客户端进行电子响应文件制作。如有问题可拨打政采云客户服务热线 </w:t>
            </w:r>
            <w:r>
              <w:rPr>
                <w:rFonts w:hint="eastAsia" w:ascii="宋体" w:hAnsi="宋体" w:cs="宋体"/>
                <w:color w:val="auto"/>
                <w:szCs w:val="21"/>
                <w:highlight w:val="none"/>
                <w:lang w:eastAsia="zh-CN"/>
              </w:rPr>
              <w:t>95763</w:t>
            </w:r>
            <w:r>
              <w:rPr>
                <w:rFonts w:hint="eastAsia" w:ascii="宋体" w:hAnsi="宋体" w:cs="宋体"/>
                <w:color w:val="auto"/>
                <w:szCs w:val="21"/>
                <w:highlight w:val="none"/>
              </w:rPr>
              <w:t>进行咨询。</w:t>
            </w:r>
          </w:p>
        </w:tc>
      </w:tr>
      <w:tr w14:paraId="006F3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0"/>
            <w:vAlign w:val="center"/>
          </w:tcPr>
          <w:p w14:paraId="593C43DE">
            <w:pPr>
              <w:spacing w:line="360" w:lineRule="auto"/>
              <w:jc w:val="center"/>
              <w:rPr>
                <w:rFonts w:hint="eastAsia" w:ascii="宋体" w:hAnsi="宋体" w:cs="宋体"/>
                <w:color w:val="auto"/>
                <w:szCs w:val="21"/>
                <w:highlight w:val="none"/>
              </w:rPr>
            </w:pPr>
          </w:p>
        </w:tc>
        <w:tc>
          <w:tcPr>
            <w:tcW w:w="7912" w:type="dxa"/>
            <w:noWrap w:val="0"/>
            <w:vAlign w:val="center"/>
          </w:tcPr>
          <w:p w14:paraId="6655B412">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评审方法：最低评标价法（</w:t>
            </w:r>
            <w:r>
              <w:rPr>
                <w:rFonts w:hint="eastAsia" w:ascii="宋体" w:hAnsi="宋体" w:cs="宋体"/>
                <w:color w:val="auto"/>
                <w:szCs w:val="21"/>
                <w:highlight w:val="none"/>
                <w:lang w:val="en-US" w:eastAsia="zh-CN"/>
              </w:rPr>
              <w:t>具体</w:t>
            </w:r>
            <w:r>
              <w:rPr>
                <w:rFonts w:hint="eastAsia" w:ascii="宋体" w:hAnsi="宋体" w:cs="宋体"/>
                <w:color w:val="auto"/>
                <w:szCs w:val="21"/>
                <w:highlight w:val="none"/>
              </w:rPr>
              <w:t>详见第四章）</w:t>
            </w:r>
            <w:r>
              <w:rPr>
                <w:rFonts w:hint="eastAsia" w:ascii="宋体" w:hAnsi="宋体" w:cs="宋体"/>
                <w:color w:val="auto"/>
                <w:szCs w:val="21"/>
                <w:highlight w:val="none"/>
                <w:lang w:eastAsia="zh-CN"/>
              </w:rPr>
              <w:t>。</w:t>
            </w:r>
          </w:p>
        </w:tc>
      </w:tr>
      <w:tr w14:paraId="28658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67F9BB6">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5</w:t>
            </w:r>
            <w:r>
              <w:rPr>
                <w:rFonts w:ascii="宋体" w:hAnsi="宋体" w:cs="宋体"/>
                <w:color w:val="auto"/>
                <w:szCs w:val="21"/>
                <w:highlight w:val="none"/>
              </w:rPr>
              <w:t>.1</w:t>
            </w:r>
          </w:p>
        </w:tc>
        <w:tc>
          <w:tcPr>
            <w:tcW w:w="7912" w:type="dxa"/>
            <w:noWrap w:val="0"/>
            <w:vAlign w:val="center"/>
          </w:tcPr>
          <w:p w14:paraId="1BEF3E45">
            <w:pPr>
              <w:autoSpaceDE w:val="0"/>
              <w:autoSpaceDN w:val="0"/>
              <w:snapToGrid w:val="0"/>
              <w:spacing w:line="360" w:lineRule="auto"/>
              <w:textAlignment w:val="bottom"/>
              <w:rPr>
                <w:rFonts w:hint="eastAsia" w:ascii="宋体" w:hAnsi="宋体" w:cs="宋体"/>
                <w:color w:val="auto"/>
                <w:szCs w:val="21"/>
                <w:highlight w:val="none"/>
              </w:rPr>
            </w:pPr>
            <w:r>
              <w:rPr>
                <w:rFonts w:hint="eastAsia" w:ascii="宋体" w:hAnsi="宋体"/>
                <w:color w:val="auto"/>
                <w:szCs w:val="21"/>
                <w:highlight w:val="none"/>
              </w:rPr>
              <w:t>本项目不收取履约保证金。</w:t>
            </w:r>
          </w:p>
        </w:tc>
      </w:tr>
      <w:tr w14:paraId="7219D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328C838">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w:t>
            </w:r>
          </w:p>
        </w:tc>
        <w:tc>
          <w:tcPr>
            <w:tcW w:w="7912" w:type="dxa"/>
            <w:noWrap w:val="0"/>
            <w:vAlign w:val="center"/>
          </w:tcPr>
          <w:p w14:paraId="5BF6E110">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 xml:space="preserve">签订合同携带的证明材料： </w:t>
            </w:r>
          </w:p>
          <w:p w14:paraId="0BF993AF">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40EB230F">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27E46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69AAFBE">
            <w:pPr>
              <w:spacing w:line="360" w:lineRule="auto"/>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28.1</w:t>
            </w:r>
          </w:p>
        </w:tc>
        <w:tc>
          <w:tcPr>
            <w:tcW w:w="7912" w:type="dxa"/>
            <w:noWrap w:val="0"/>
            <w:vAlign w:val="center"/>
          </w:tcPr>
          <w:p w14:paraId="36B6C374">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接收质疑函方式：以书面形式。</w:t>
            </w:r>
          </w:p>
          <w:p w14:paraId="19DB3525">
            <w:pPr>
              <w:pStyle w:val="13"/>
              <w:snapToGrid w:val="0"/>
              <w:spacing w:line="360" w:lineRule="auto"/>
              <w:rPr>
                <w:rFonts w:hint="eastAsia" w:hAnsi="宋体" w:cs="宋体"/>
                <w:color w:val="auto"/>
                <w:kern w:val="2"/>
                <w:sz w:val="21"/>
                <w:highlight w:val="none"/>
                <w:lang w:val="en-US" w:eastAsia="zh-CN"/>
              </w:rPr>
            </w:pPr>
            <w:r>
              <w:rPr>
                <w:rFonts w:hint="eastAsia" w:hAnsi="宋体" w:cs="宋体"/>
                <w:color w:val="auto"/>
                <w:kern w:val="2"/>
                <w:sz w:val="21"/>
                <w:highlight w:val="none"/>
                <w:lang w:val="en-US" w:eastAsia="zh-CN"/>
              </w:rPr>
              <w:t>质疑联系部门及联系方式：</w:t>
            </w:r>
            <w:r>
              <w:rPr>
                <w:rFonts w:hint="eastAsia" w:hAnsi="宋体" w:cs="宋体"/>
                <w:color w:val="auto"/>
                <w:kern w:val="2"/>
                <w:sz w:val="21"/>
                <w:highlight w:val="none"/>
                <w:u w:val="single"/>
                <w:lang w:val="en-US" w:eastAsia="zh-CN"/>
              </w:rPr>
              <w:t>广西百色公共资源交易有限公司招投标业务部</w:t>
            </w:r>
            <w:r>
              <w:rPr>
                <w:rFonts w:hint="eastAsia" w:hAnsi="宋体" w:cs="宋体"/>
                <w:color w:val="auto"/>
                <w:kern w:val="2"/>
                <w:sz w:val="21"/>
                <w:highlight w:val="none"/>
                <w:lang w:val="en-US" w:eastAsia="zh-CN"/>
              </w:rPr>
              <w:t>，联系电话：0776-2981360，通讯地址：</w:t>
            </w:r>
            <w:r>
              <w:rPr>
                <w:rFonts w:hint="eastAsia" w:hAnsi="宋体" w:cs="宋体"/>
                <w:color w:val="auto"/>
                <w:kern w:val="2"/>
                <w:sz w:val="21"/>
                <w:highlight w:val="none"/>
                <w:u w:val="single"/>
                <w:lang w:val="en-US" w:eastAsia="zh-CN"/>
              </w:rPr>
              <w:t>广西百色市右江区迎龙路50号汇丰商业广场8楼807室</w:t>
            </w:r>
            <w:r>
              <w:rPr>
                <w:rFonts w:hint="eastAsia" w:hAnsi="宋体" w:cs="宋体"/>
                <w:color w:val="auto"/>
                <w:kern w:val="2"/>
                <w:sz w:val="21"/>
                <w:highlight w:val="none"/>
                <w:u w:val="none"/>
                <w:lang w:val="en-US" w:eastAsia="zh-CN"/>
              </w:rPr>
              <w:t>。</w:t>
            </w:r>
          </w:p>
          <w:p w14:paraId="2113006C">
            <w:pPr>
              <w:pStyle w:val="13"/>
              <w:snapToGrid w:val="0"/>
              <w:spacing w:line="360" w:lineRule="auto"/>
              <w:rPr>
                <w:rFonts w:hint="eastAsia" w:hAnsi="宋体" w:cs="宋体"/>
                <w:color w:val="auto"/>
                <w:kern w:val="2"/>
                <w:sz w:val="21"/>
                <w:highlight w:val="none"/>
                <w:lang w:val="en-US" w:eastAsia="zh-CN"/>
              </w:rPr>
            </w:pPr>
            <w:r>
              <w:rPr>
                <w:rFonts w:hint="eastAsia" w:hAnsi="宋体" w:cs="宋体"/>
                <w:color w:val="auto"/>
                <w:sz w:val="21"/>
                <w:highlight w:val="none"/>
                <w:lang w:val="en-US" w:eastAsia="zh-CN"/>
              </w:rPr>
              <w:t xml:space="preserve">业务时间：工作日上午 8：00 到 12：00 ，下午 15：00 到 18：00，双休日和法定节假日不办理业务。 </w:t>
            </w:r>
          </w:p>
        </w:tc>
      </w:tr>
      <w:tr w14:paraId="2F856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5DF89F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.1</w:t>
            </w:r>
          </w:p>
        </w:tc>
        <w:tc>
          <w:tcPr>
            <w:tcW w:w="7912" w:type="dxa"/>
            <w:noWrap w:val="0"/>
            <w:vAlign w:val="center"/>
          </w:tcPr>
          <w:p w14:paraId="307B8F0B">
            <w:pPr>
              <w:pStyle w:val="13"/>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1.采购代理费支付方式：</w:t>
            </w:r>
          </w:p>
          <w:p w14:paraId="44FB3204">
            <w:pPr>
              <w:pStyle w:val="13"/>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本项目代理服务费按如下规定由</w:t>
            </w:r>
            <w:r>
              <w:rPr>
                <w:rFonts w:hint="eastAsia" w:hAnsi="宋体" w:cs="宋体"/>
                <w:color w:val="auto"/>
                <w:sz w:val="21"/>
                <w:highlight w:val="none"/>
                <w:u w:val="single"/>
                <w:lang w:val="en-US" w:eastAsia="zh-CN"/>
              </w:rPr>
              <w:t>成交供应商</w:t>
            </w:r>
            <w:r>
              <w:rPr>
                <w:rFonts w:hint="eastAsia" w:hAnsi="宋体" w:cs="宋体"/>
                <w:color w:val="auto"/>
                <w:sz w:val="21"/>
                <w:highlight w:val="none"/>
                <w:lang w:val="en-US" w:eastAsia="zh-CN"/>
              </w:rPr>
              <w:t>在领取成交通知书前，一次性向采购代理机构支付。</w:t>
            </w:r>
          </w:p>
          <w:p w14:paraId="19F7AD3D">
            <w:pPr>
              <w:pStyle w:val="13"/>
              <w:snapToGrid w:val="0"/>
              <w:spacing w:line="360" w:lineRule="auto"/>
              <w:rPr>
                <w:rFonts w:hAnsi="宋体" w:cs="宋体"/>
                <w:color w:val="auto"/>
                <w:sz w:val="21"/>
                <w:highlight w:val="none"/>
                <w:u w:val="single"/>
                <w:lang w:val="en-US" w:eastAsia="zh-CN"/>
              </w:rPr>
            </w:pPr>
            <w:r>
              <w:rPr>
                <w:rFonts w:hint="eastAsia" w:hAnsi="宋体" w:cs="宋体"/>
                <w:color w:val="auto"/>
                <w:sz w:val="21"/>
                <w:highlight w:val="none"/>
                <w:lang w:val="en-US" w:eastAsia="zh-CN"/>
              </w:rPr>
              <w:t>2.采购代理费收取标准：参照《国家发展改革委关于降低部分建设项目收费标准规范收费行为等有关问题的通知》（发改价格[2011]534号）、《国家发展改革委办公厅关于招标代理服务费的通知》（发改办价格[2003]857号）文件执行，以</w:t>
            </w:r>
            <w:r>
              <w:rPr>
                <w:rFonts w:hint="eastAsia" w:hAnsi="宋体" w:cs="宋体"/>
                <w:color w:val="auto"/>
                <w:sz w:val="21"/>
                <w:highlight w:val="none"/>
                <w:u w:val="single"/>
                <w:lang w:val="en-US" w:eastAsia="zh-CN"/>
              </w:rPr>
              <w:t>成交金额</w:t>
            </w:r>
            <w:r>
              <w:rPr>
                <w:rFonts w:hint="eastAsia" w:hAnsi="宋体" w:cs="宋体"/>
                <w:color w:val="auto"/>
                <w:sz w:val="21"/>
                <w:highlight w:val="none"/>
                <w:lang w:val="en-US" w:eastAsia="zh-CN"/>
              </w:rPr>
              <w:t>为计算基数计取，按差额定率累进法计算委托代理服务费，代理服务费按标准收费计算。</w:t>
            </w:r>
          </w:p>
          <w:p w14:paraId="0FB09F73">
            <w:pPr>
              <w:pStyle w:val="13"/>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3. 采购代理费收取银行账户</w:t>
            </w:r>
          </w:p>
          <w:p w14:paraId="4303BDC5">
            <w:pPr>
              <w:spacing w:line="360" w:lineRule="auto"/>
              <w:rPr>
                <w:rFonts w:hint="eastAsia" w:ascii="宋体" w:hAnsi="宋体" w:eastAsia="宋体" w:cs="宋体"/>
                <w:color w:val="auto"/>
                <w:sz w:val="21"/>
                <w:szCs w:val="21"/>
                <w:highlight w:val="none"/>
              </w:rPr>
            </w:pPr>
            <w:r>
              <w:rPr>
                <w:rFonts w:hint="eastAsia" w:hAnsi="宋体" w:cs="宋体"/>
                <w:color w:val="auto"/>
                <w:sz w:val="21"/>
                <w:highlight w:val="none"/>
                <w:lang w:val="en-US" w:eastAsia="zh-CN"/>
              </w:rPr>
              <w:t>开户名称：</w:t>
            </w:r>
            <w:r>
              <w:rPr>
                <w:rFonts w:hint="eastAsia" w:ascii="宋体" w:hAnsi="宋体" w:eastAsia="宋体" w:cs="宋体"/>
                <w:color w:val="auto"/>
                <w:sz w:val="21"/>
                <w:szCs w:val="21"/>
                <w:highlight w:val="none"/>
                <w:lang w:eastAsia="zh-CN"/>
              </w:rPr>
              <w:t>广西百色公共资源交易有限公司</w:t>
            </w:r>
            <w:r>
              <w:rPr>
                <w:rFonts w:hint="eastAsia" w:ascii="宋体" w:hAnsi="宋体" w:eastAsia="宋体" w:cs="宋体"/>
                <w:color w:val="auto"/>
                <w:sz w:val="21"/>
                <w:szCs w:val="21"/>
                <w:highlight w:val="none"/>
              </w:rPr>
              <w:t xml:space="preserve">  </w:t>
            </w:r>
          </w:p>
          <w:p w14:paraId="3D821A0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开户银行：中国工商银行股份有限公司百色市龙景支行</w:t>
            </w:r>
          </w:p>
          <w:p w14:paraId="0C1D953E">
            <w:pPr>
              <w:pStyle w:val="13"/>
              <w:snapToGrid w:val="0"/>
              <w:spacing w:line="360" w:lineRule="auto"/>
              <w:rPr>
                <w:rFonts w:hint="eastAsia" w:hAnsi="宋体" w:cs="宋体"/>
                <w:color w:val="auto"/>
                <w:sz w:val="21"/>
                <w:highlight w:val="none"/>
                <w:u w:val="single"/>
                <w:lang w:val="en-US" w:eastAsia="zh-CN"/>
              </w:rPr>
            </w:pPr>
            <w:r>
              <w:rPr>
                <w:rFonts w:hint="eastAsia" w:ascii="宋体" w:hAnsi="宋体" w:eastAsia="宋体" w:cs="宋体"/>
                <w:color w:val="auto"/>
                <w:sz w:val="21"/>
                <w:szCs w:val="21"/>
                <w:highlight w:val="none"/>
              </w:rPr>
              <w:t xml:space="preserve">银行账号：2110 6111 0930 0074 232 </w:t>
            </w:r>
            <w:r>
              <w:rPr>
                <w:rFonts w:hint="eastAsia" w:ascii="宋体" w:hAnsi="宋体" w:eastAsia="宋体" w:cs="宋体"/>
                <w:color w:val="auto"/>
                <w:sz w:val="21"/>
                <w:highlight w:val="none"/>
              </w:rPr>
              <w:t xml:space="preserve"> </w:t>
            </w:r>
          </w:p>
        </w:tc>
      </w:tr>
      <w:tr w14:paraId="373A1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D12912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0</w:t>
            </w:r>
            <w:r>
              <w:rPr>
                <w:rFonts w:ascii="宋体" w:hAnsi="宋体" w:cs="宋体"/>
                <w:color w:val="auto"/>
                <w:szCs w:val="21"/>
                <w:highlight w:val="none"/>
              </w:rPr>
              <w:t>.1</w:t>
            </w:r>
          </w:p>
        </w:tc>
        <w:tc>
          <w:tcPr>
            <w:tcW w:w="7912" w:type="dxa"/>
            <w:noWrap w:val="0"/>
            <w:vAlign w:val="center"/>
          </w:tcPr>
          <w:p w14:paraId="4689E916">
            <w:pPr>
              <w:pStyle w:val="13"/>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解释：</w:t>
            </w:r>
            <w:r>
              <w:rPr>
                <w:rFonts w:hAnsi="宋体" w:cs="宋体"/>
                <w:color w:val="auto"/>
                <w:sz w:val="21"/>
                <w:highlight w:val="none"/>
                <w:lang w:val="en-US" w:eastAsia="zh-CN"/>
              </w:rPr>
              <w:t>构成本</w:t>
            </w:r>
            <w:r>
              <w:rPr>
                <w:rFonts w:hint="eastAsia" w:hAnsi="宋体" w:cs="宋体"/>
                <w:color w:val="auto"/>
                <w:sz w:val="21"/>
                <w:highlight w:val="none"/>
                <w:lang w:val="en-US" w:eastAsia="zh-CN"/>
              </w:rPr>
              <w:t>谈判文件</w:t>
            </w:r>
            <w:r>
              <w:rPr>
                <w:rFonts w:hAnsi="宋体" w:cs="宋体"/>
                <w:color w:val="auto"/>
                <w:sz w:val="21"/>
                <w:highlight w:val="none"/>
                <w:lang w:val="en-US" w:eastAsia="zh-CN"/>
              </w:rPr>
              <w:t>的各个组成文件应互为解释，互为说明；除</w:t>
            </w:r>
            <w:r>
              <w:rPr>
                <w:rFonts w:hint="eastAsia" w:hAnsi="宋体" w:cs="宋体"/>
                <w:color w:val="auto"/>
                <w:sz w:val="21"/>
                <w:highlight w:val="none"/>
                <w:lang w:val="en-US" w:eastAsia="zh-CN"/>
              </w:rPr>
              <w:t>谈判文件</w:t>
            </w:r>
            <w:r>
              <w:rPr>
                <w:rFonts w:hAnsi="宋体" w:cs="宋体"/>
                <w:color w:val="auto"/>
                <w:sz w:val="21"/>
                <w:highlight w:val="none"/>
                <w:lang w:val="en-US" w:eastAsia="zh-CN"/>
              </w:rPr>
              <w:t>中有特别规定外，仅适用于</w:t>
            </w:r>
            <w:r>
              <w:rPr>
                <w:rFonts w:hint="eastAsia" w:hAnsi="宋体" w:cs="宋体"/>
                <w:color w:val="auto"/>
                <w:sz w:val="21"/>
                <w:highlight w:val="none"/>
                <w:lang w:val="en-US" w:eastAsia="zh-CN"/>
              </w:rPr>
              <w:t>竞标</w:t>
            </w:r>
            <w:r>
              <w:rPr>
                <w:rFonts w:hAnsi="宋体" w:cs="宋体"/>
                <w:color w:val="auto"/>
                <w:sz w:val="21"/>
                <w:highlight w:val="none"/>
                <w:lang w:val="en-US" w:eastAsia="zh-CN"/>
              </w:rPr>
              <w:t>阶段的规定，按</w:t>
            </w:r>
            <w:r>
              <w:rPr>
                <w:rFonts w:hint="eastAsia" w:hAnsi="宋体" w:cs="宋体"/>
                <w:color w:val="auto"/>
                <w:sz w:val="21"/>
                <w:highlight w:val="none"/>
                <w:lang w:val="en-US" w:eastAsia="zh-CN"/>
              </w:rPr>
              <w:t>更正公告（澄清公告）</w:t>
            </w:r>
            <w:r>
              <w:rPr>
                <w:rFonts w:hAnsi="宋体" w:cs="宋体"/>
                <w:color w:val="auto"/>
                <w:sz w:val="21"/>
                <w:highlight w:val="none"/>
                <w:lang w:val="en-US" w:eastAsia="zh-CN"/>
              </w:rPr>
              <w:t>、</w:t>
            </w:r>
            <w:r>
              <w:rPr>
                <w:rFonts w:hint="eastAsia" w:hAnsi="宋体" w:cs="宋体"/>
                <w:color w:val="auto"/>
                <w:sz w:val="21"/>
                <w:highlight w:val="none"/>
                <w:lang w:val="en-US" w:eastAsia="zh-CN"/>
              </w:rPr>
              <w:t>竞争性谈判</w:t>
            </w:r>
            <w:r>
              <w:rPr>
                <w:rFonts w:hAnsi="宋体" w:cs="宋体"/>
                <w:color w:val="auto"/>
                <w:sz w:val="21"/>
                <w:highlight w:val="none"/>
                <w:lang w:val="en-US" w:eastAsia="zh-CN"/>
              </w:rPr>
              <w:t>公告、</w:t>
            </w:r>
            <w:r>
              <w:rPr>
                <w:rFonts w:hint="eastAsia" w:hAnsi="宋体" w:cs="宋体"/>
                <w:color w:val="auto"/>
                <w:sz w:val="21"/>
                <w:highlight w:val="none"/>
                <w:lang w:val="en-US" w:eastAsia="zh-CN"/>
              </w:rPr>
              <w:t>供应商</w:t>
            </w:r>
            <w:r>
              <w:rPr>
                <w:rFonts w:hAnsi="宋体" w:cs="宋体"/>
                <w:color w:val="auto"/>
                <w:sz w:val="21"/>
                <w:highlight w:val="none"/>
                <w:lang w:val="en-US" w:eastAsia="zh-CN"/>
              </w:rPr>
              <w:t>须知</w:t>
            </w:r>
            <w:r>
              <w:rPr>
                <w:rFonts w:hint="eastAsia" w:hAnsi="宋体" w:cs="宋体"/>
                <w:color w:val="auto"/>
                <w:sz w:val="21"/>
                <w:highlight w:val="none"/>
                <w:lang w:val="en-US" w:eastAsia="zh-CN"/>
              </w:rPr>
              <w:t>、采购需求</w:t>
            </w:r>
            <w:r>
              <w:rPr>
                <w:rFonts w:hAnsi="宋体" w:cs="宋体"/>
                <w:color w:val="auto"/>
                <w:sz w:val="21"/>
                <w:highlight w:val="none"/>
                <w:lang w:val="en-US" w:eastAsia="zh-CN"/>
              </w:rPr>
              <w:t>、</w:t>
            </w:r>
            <w:r>
              <w:rPr>
                <w:rFonts w:hint="eastAsia" w:hAnsi="宋体" w:cs="宋体"/>
                <w:color w:val="auto"/>
                <w:sz w:val="21"/>
                <w:highlight w:val="none"/>
                <w:lang w:val="en-US" w:eastAsia="zh-CN"/>
              </w:rPr>
              <w:t>评审程序和评定成交的标准</w:t>
            </w:r>
            <w:r>
              <w:rPr>
                <w:rFonts w:hAnsi="宋体" w:cs="宋体"/>
                <w:color w:val="auto"/>
                <w:sz w:val="21"/>
                <w:highlight w:val="none"/>
                <w:lang w:val="en-US" w:eastAsia="zh-CN"/>
              </w:rPr>
              <w:t>、</w:t>
            </w:r>
            <w:r>
              <w:rPr>
                <w:rFonts w:hint="eastAsia" w:hAnsi="宋体" w:cs="宋体"/>
                <w:color w:val="auto"/>
                <w:sz w:val="21"/>
                <w:highlight w:val="none"/>
                <w:lang w:val="en-US" w:eastAsia="zh-CN"/>
              </w:rPr>
              <w:t>响应</w:t>
            </w:r>
            <w:r>
              <w:rPr>
                <w:rFonts w:hAnsi="宋体" w:cs="宋体"/>
                <w:color w:val="auto"/>
                <w:sz w:val="21"/>
                <w:highlight w:val="none"/>
                <w:lang w:val="en-US" w:eastAsia="zh-CN"/>
              </w:rPr>
              <w:t>文件格式</w:t>
            </w:r>
            <w:r>
              <w:rPr>
                <w:rFonts w:hint="eastAsia" w:hAnsi="宋体" w:cs="宋体"/>
                <w:color w:val="auto"/>
                <w:sz w:val="21"/>
                <w:highlight w:val="none"/>
                <w:lang w:val="en-US" w:eastAsia="zh-CN"/>
              </w:rPr>
              <w:t>、合同文本</w:t>
            </w:r>
            <w:r>
              <w:rPr>
                <w:rFonts w:hAnsi="宋体" w:cs="宋体"/>
                <w:color w:val="auto"/>
                <w:sz w:val="21"/>
                <w:highlight w:val="none"/>
                <w:lang w:val="en-US" w:eastAsia="zh-CN"/>
              </w:rPr>
              <w:t>的先后顺序解释；同一组成文件中就同一事项的规定或约定不一致的，以编排顺序在后者为准；同一组成文件不同版本之间有不一致的，以形成时间在后者为准；</w:t>
            </w:r>
            <w:r>
              <w:rPr>
                <w:rFonts w:hint="eastAsia" w:hAnsi="宋体" w:cs="宋体"/>
                <w:color w:val="auto"/>
                <w:sz w:val="21"/>
                <w:highlight w:val="none"/>
                <w:lang w:val="en-US" w:eastAsia="zh-CN"/>
              </w:rPr>
              <w:t>更正公告（澄清公告）</w:t>
            </w:r>
            <w:r>
              <w:rPr>
                <w:rFonts w:hAnsi="宋体" w:cs="宋体"/>
                <w:color w:val="auto"/>
                <w:sz w:val="21"/>
                <w:highlight w:val="none"/>
                <w:lang w:val="en-US" w:eastAsia="zh-CN"/>
              </w:rPr>
              <w:t>与同步更新的</w:t>
            </w:r>
            <w:r>
              <w:rPr>
                <w:rFonts w:hint="eastAsia" w:hAnsi="宋体" w:cs="宋体"/>
                <w:color w:val="auto"/>
                <w:sz w:val="21"/>
                <w:highlight w:val="none"/>
                <w:lang w:val="en-US" w:eastAsia="zh-CN"/>
              </w:rPr>
              <w:t>谈判文件</w:t>
            </w:r>
            <w:r>
              <w:rPr>
                <w:rFonts w:hAnsi="宋体" w:cs="宋体"/>
                <w:color w:val="auto"/>
                <w:sz w:val="21"/>
                <w:highlight w:val="none"/>
                <w:lang w:val="en-US" w:eastAsia="zh-CN"/>
              </w:rPr>
              <w:t>不一致时以</w:t>
            </w:r>
            <w:r>
              <w:rPr>
                <w:rFonts w:hint="eastAsia" w:hAnsi="宋体" w:cs="宋体"/>
                <w:color w:val="auto"/>
                <w:sz w:val="21"/>
                <w:highlight w:val="none"/>
                <w:lang w:val="en-US" w:eastAsia="zh-CN"/>
              </w:rPr>
              <w:t>更正公告（澄清公告）</w:t>
            </w:r>
            <w:r>
              <w:rPr>
                <w:rFonts w:hAnsi="宋体" w:cs="宋体"/>
                <w:color w:val="auto"/>
                <w:sz w:val="21"/>
                <w:highlight w:val="none"/>
                <w:lang w:val="en-US" w:eastAsia="zh-CN"/>
              </w:rPr>
              <w:t>为准。按本款前述规定仍不能形成结论的，由</w:t>
            </w:r>
            <w:r>
              <w:rPr>
                <w:rFonts w:hint="eastAsia" w:hAnsi="宋体" w:cs="宋体"/>
                <w:color w:val="auto"/>
                <w:sz w:val="21"/>
                <w:highlight w:val="none"/>
                <w:lang w:val="en-US" w:eastAsia="zh-CN"/>
              </w:rPr>
              <w:t>采购</w:t>
            </w:r>
            <w:r>
              <w:rPr>
                <w:rFonts w:hAnsi="宋体" w:cs="宋体"/>
                <w:color w:val="auto"/>
                <w:sz w:val="21"/>
                <w:highlight w:val="none"/>
                <w:lang w:val="en-US" w:eastAsia="zh-CN"/>
              </w:rPr>
              <w:t>人</w:t>
            </w:r>
            <w:r>
              <w:rPr>
                <w:rFonts w:hint="eastAsia" w:hAnsi="宋体" w:cs="宋体"/>
                <w:color w:val="auto"/>
                <w:sz w:val="21"/>
                <w:highlight w:val="none"/>
                <w:lang w:val="en-US" w:eastAsia="zh-CN"/>
              </w:rPr>
              <w:t>或者采购代理机构</w:t>
            </w:r>
            <w:r>
              <w:rPr>
                <w:rFonts w:hAnsi="宋体" w:cs="宋体"/>
                <w:color w:val="auto"/>
                <w:sz w:val="21"/>
                <w:highlight w:val="none"/>
                <w:lang w:val="en-US" w:eastAsia="zh-CN"/>
              </w:rPr>
              <w:t>负责解释。</w:t>
            </w:r>
          </w:p>
        </w:tc>
      </w:tr>
      <w:tr w14:paraId="49F13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9DC5D8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0</w:t>
            </w:r>
            <w:r>
              <w:rPr>
                <w:rFonts w:ascii="宋体" w:hAnsi="宋体" w:cs="宋体"/>
                <w:color w:val="auto"/>
                <w:szCs w:val="21"/>
                <w:highlight w:val="none"/>
              </w:rPr>
              <w:t>.2</w:t>
            </w:r>
          </w:p>
        </w:tc>
        <w:tc>
          <w:tcPr>
            <w:tcW w:w="7912" w:type="dxa"/>
            <w:noWrap w:val="0"/>
            <w:vAlign w:val="center"/>
          </w:tcPr>
          <w:p w14:paraId="2FF81DEE">
            <w:pPr>
              <w:pStyle w:val="13"/>
              <w:snapToGrid w:val="0"/>
              <w:spacing w:line="360" w:lineRule="auto"/>
              <w:rPr>
                <w:rFonts w:hint="eastAsia" w:hAnsi="宋体" w:cs="宋体"/>
                <w:color w:val="auto"/>
                <w:sz w:val="21"/>
                <w:highlight w:val="none"/>
              </w:rPr>
            </w:pPr>
            <w:r>
              <w:rPr>
                <w:rFonts w:hint="eastAsia" w:hAnsi="宋体" w:cs="宋体"/>
                <w:color w:val="auto"/>
                <w:sz w:val="21"/>
                <w:highlight w:val="none"/>
              </w:rPr>
              <w:t>1、本文件中描述供应商的“公章”是指供应商通过指定电子化政府采购平台办理数字证书（CA认证）获得的以法定主体行为名称制作的电子印章。</w:t>
            </w:r>
          </w:p>
          <w:p w14:paraId="1395A099">
            <w:pPr>
              <w:pStyle w:val="13"/>
              <w:snapToGrid w:val="0"/>
              <w:spacing w:line="360" w:lineRule="auto"/>
              <w:rPr>
                <w:rFonts w:hint="eastAsia" w:hAnsi="宋体" w:cs="宋体"/>
                <w:color w:val="auto"/>
                <w:sz w:val="21"/>
                <w:highlight w:val="none"/>
              </w:rPr>
            </w:pPr>
            <w:r>
              <w:rPr>
                <w:rFonts w:hint="eastAsia" w:hAnsi="宋体" w:cs="宋体"/>
                <w:color w:val="auto"/>
                <w:sz w:val="21"/>
                <w:highlight w:val="none"/>
              </w:rPr>
              <w:t>2、本文件中描述供应商的“签字”是指供应商通过指定电子化政府采购平台办理数字证书（CA认证）获得的以供应商法定代表人或者委托代理人姓名制作的电子印章或手写签字。</w:t>
            </w:r>
          </w:p>
          <w:p w14:paraId="57F6E003">
            <w:pPr>
              <w:pStyle w:val="13"/>
              <w:snapToGrid w:val="0"/>
              <w:spacing w:line="360" w:lineRule="auto"/>
              <w:rPr>
                <w:rFonts w:hint="eastAsia" w:hAnsi="宋体" w:cs="宋体"/>
                <w:color w:val="auto"/>
                <w:sz w:val="21"/>
                <w:highlight w:val="none"/>
              </w:rPr>
            </w:pPr>
            <w:r>
              <w:rPr>
                <w:rFonts w:hint="eastAsia" w:hAnsi="宋体" w:cs="宋体"/>
                <w:color w:val="auto"/>
                <w:sz w:val="21"/>
                <w:highlight w:val="none"/>
              </w:rPr>
              <w:t>3. 供应商须知前附表是对供应商须知的具体补充和修改，如有矛盾，应以本前附表为准。</w:t>
            </w:r>
          </w:p>
          <w:p w14:paraId="16417C05">
            <w:pPr>
              <w:pStyle w:val="13"/>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rPr>
              <w:t>4.本采购文件是根据国家有关法律及有关政策、法规和参照国际惯例编制，解释权属采购代理机构。</w:t>
            </w:r>
          </w:p>
        </w:tc>
      </w:tr>
    </w:tbl>
    <w:p w14:paraId="7ACD154C">
      <w:pPr>
        <w:spacing w:line="400" w:lineRule="exact"/>
        <w:jc w:val="center"/>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2E9ABC83">
      <w:pPr>
        <w:spacing w:line="400" w:lineRule="exact"/>
        <w:jc w:val="center"/>
        <w:rPr>
          <w:rFonts w:hint="eastAsia" w:ascii="宋体" w:hAnsi="宋体"/>
          <w:b/>
          <w:color w:val="auto"/>
          <w:sz w:val="32"/>
          <w:szCs w:val="32"/>
          <w:highlight w:val="none"/>
        </w:rPr>
      </w:pPr>
    </w:p>
    <w:p w14:paraId="5A7969A9">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一、总则</w:t>
      </w:r>
    </w:p>
    <w:p w14:paraId="112FE0EF">
      <w:pPr>
        <w:spacing w:line="400" w:lineRule="exact"/>
        <w:rPr>
          <w:rFonts w:hint="eastAsia" w:ascii="宋体" w:hAnsi="宋体"/>
          <w:color w:val="auto"/>
          <w:szCs w:val="21"/>
          <w:highlight w:val="none"/>
        </w:rPr>
      </w:pPr>
    </w:p>
    <w:p w14:paraId="5F698307">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 适用范围</w:t>
      </w:r>
    </w:p>
    <w:p w14:paraId="18F572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4ED15EF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本竞争性谈判文件（以下简称谈判文件）适用于本项目的所有采购程序和环节（法律、法规另有规定的，从其规定）。</w:t>
      </w:r>
    </w:p>
    <w:p w14:paraId="11DD382E">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 定义</w:t>
      </w:r>
    </w:p>
    <w:p w14:paraId="40FDD6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2.1“采购人”是指依法进行采购的国家机关、事业单位、团体组织。</w:t>
      </w:r>
    </w:p>
    <w:p w14:paraId="14527D09">
      <w:pPr>
        <w:spacing w:line="360" w:lineRule="auto"/>
        <w:ind w:firstLine="420" w:firstLineChars="200"/>
        <w:rPr>
          <w:rFonts w:hint="eastAsia" w:ascii="宋体" w:hAnsi="宋体"/>
          <w:b/>
          <w:color w:val="auto"/>
          <w:szCs w:val="21"/>
          <w:highlight w:val="none"/>
        </w:rPr>
      </w:pPr>
      <w:r>
        <w:rPr>
          <w:rFonts w:hint="eastAsia" w:ascii="宋体" w:hAnsi="宋体" w:cs="宋体"/>
          <w:color w:val="auto"/>
          <w:szCs w:val="21"/>
          <w:highlight w:val="none"/>
        </w:rPr>
        <w:t>2.2“采购代理机构”</w:t>
      </w:r>
      <w:r>
        <w:rPr>
          <w:rFonts w:hint="eastAsia" w:ascii="宋体" w:hAnsi="宋体"/>
          <w:b w:val="0"/>
          <w:bCs/>
          <w:color w:val="auto"/>
          <w:szCs w:val="21"/>
          <w:highlight w:val="none"/>
        </w:rPr>
        <w:t>是指政府采购集中采购机构和集中采购机构以外的采购代理机构。</w:t>
      </w:r>
    </w:p>
    <w:p w14:paraId="32839A1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11F804D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w:t>
      </w:r>
      <w:r>
        <w:rPr>
          <w:rFonts w:hint="eastAsia" w:ascii="宋体" w:hAnsi="宋体" w:cs="宋体"/>
          <w:szCs w:val="21"/>
        </w:rPr>
        <w:t>“服务”是指除货物和工程以外的其他采购对象。</w:t>
      </w:r>
    </w:p>
    <w:p w14:paraId="662F00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2.5“竞标”是指按照本项目竞争性谈判公告或者邀请函规定的方式供应商获取谈判文件、提交响应文件并希望获得标的的行为。</w:t>
      </w:r>
    </w:p>
    <w:p w14:paraId="591F49A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“书面形式”是指合同书、信件和数据电文（包括电报、电传、传真、电子数据交换和电子邮件）等可以有形地表现所载内容的形式。</w:t>
      </w:r>
    </w:p>
    <w:p w14:paraId="67191A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“响应文件”</w:t>
      </w:r>
      <w:r>
        <w:rPr>
          <w:rFonts w:hint="eastAsia" w:ascii="宋体" w:hAnsi="宋体" w:cs="宋体"/>
          <w:color w:val="auto"/>
          <w:spacing w:val="-6"/>
          <w:szCs w:val="21"/>
          <w:highlight w:val="none"/>
        </w:rPr>
        <w:t>是指：供应商根据本谈判文件要求，编制包含报价、技术和服务等所有内容的文件。</w:t>
      </w:r>
    </w:p>
    <w:p w14:paraId="75E266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 xml:space="preserve"> “实质性要求”是指采购需求中带“▲”的条款或者不能负偏离的条款或者已经指明不满足按响应文件按无效处理的条款。</w:t>
      </w:r>
    </w:p>
    <w:p w14:paraId="680E774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“正偏离”，是指响应文件对谈判文件“采购需求”中有关条款作出优于条款要求并有利于采购人的响应情形；</w:t>
      </w:r>
    </w:p>
    <w:p w14:paraId="7E78C1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“负偏离”，是指响应文件对谈判文件“采购需求”中有关条款作出的响应不满足条款要求，导致采购人要求不能得到满足的情形。</w:t>
      </w:r>
    </w:p>
    <w:p w14:paraId="0BA354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“允许负偏离的条款”是指采购需求中的不属于“实质性要求”的条款。</w:t>
      </w:r>
    </w:p>
    <w:p w14:paraId="26F5E0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“首次报价”是指供应商提交的首次响应文件中的竞标报价。</w:t>
      </w:r>
    </w:p>
    <w:p w14:paraId="1DFC45FE">
      <w:pPr>
        <w:spacing w:line="360" w:lineRule="auto"/>
        <w:ind w:firstLine="482" w:firstLineChars="200"/>
        <w:contextualSpacing/>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 供应商的资格条件</w:t>
      </w:r>
    </w:p>
    <w:p w14:paraId="2A4E5C61">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030169B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 竞标费用</w:t>
      </w:r>
    </w:p>
    <w:p w14:paraId="128956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竞标费用：供应商应承担参与本次采购活动有关的所有费用，包括但不限于获取谈判文件、勘查现场、编制和提交响应文件、参加谈判与应答、签订合同等，不论竞标结果如何，均应自行承担。</w:t>
      </w:r>
    </w:p>
    <w:p w14:paraId="39CD9D37">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4D76D44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36A9D9F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5BA980D8">
      <w:pPr>
        <w:pStyle w:val="4"/>
        <w:keepNext w:val="0"/>
        <w:keepLines w:val="0"/>
        <w:spacing w:before="0" w:after="0" w:line="360" w:lineRule="auto"/>
        <w:ind w:left="420" w:leftChars="200"/>
        <w:rPr>
          <w:rFonts w:hint="eastAsia" w:ascii="宋体" w:hAnsi="宋体"/>
          <w:b w:val="0"/>
          <w:color w:val="auto"/>
          <w:sz w:val="21"/>
          <w:szCs w:val="21"/>
          <w:highlight w:val="none"/>
        </w:rPr>
      </w:pPr>
      <w:bookmarkStart w:id="47" w:name="_Toc254970673"/>
      <w:bookmarkStart w:id="48" w:name="_Toc254970532"/>
      <w:r>
        <w:rPr>
          <w:rFonts w:hint="eastAsia" w:ascii="宋体" w:hAnsi="宋体"/>
          <w:b w:val="0"/>
          <w:color w:val="auto"/>
          <w:sz w:val="21"/>
          <w:szCs w:val="21"/>
          <w:highlight w:val="none"/>
        </w:rPr>
        <w:t>6.1本项目不允许转包。</w:t>
      </w:r>
    </w:p>
    <w:p w14:paraId="625C6B37">
      <w:pPr>
        <w:pStyle w:val="4"/>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31F4F598">
      <w:pPr>
        <w:pStyle w:val="4"/>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14:paraId="6C61FA90">
      <w:pPr>
        <w:spacing w:line="360" w:lineRule="auto"/>
        <w:ind w:firstLine="482" w:firstLineChars="200"/>
        <w:rPr>
          <w:rFonts w:hint="eastAsia" w:ascii="黑体" w:hAnsi="黑体" w:eastAsia="黑体" w:cs="宋体"/>
          <w:b/>
          <w:bCs/>
          <w:color w:val="auto"/>
          <w:sz w:val="24"/>
          <w:highlight w:val="none"/>
        </w:rPr>
      </w:pPr>
      <w:r>
        <w:rPr>
          <w:rFonts w:hint="eastAsia" w:ascii="宋体" w:hAnsi="宋体" w:eastAsia="宋体" w:cs="宋体"/>
          <w:b/>
          <w:bCs/>
          <w:color w:val="auto"/>
          <w:sz w:val="24"/>
          <w:highlight w:val="none"/>
        </w:rPr>
        <w:t>▲</w:t>
      </w:r>
      <w:r>
        <w:rPr>
          <w:rFonts w:hint="eastAsia" w:ascii="黑体" w:hAnsi="黑体" w:eastAsia="黑体" w:cs="宋体"/>
          <w:b/>
          <w:bCs/>
          <w:color w:val="auto"/>
          <w:sz w:val="24"/>
          <w:highlight w:val="none"/>
        </w:rPr>
        <w:t>7.特别说明</w:t>
      </w:r>
      <w:bookmarkEnd w:id="47"/>
      <w:bookmarkEnd w:id="48"/>
    </w:p>
    <w:p w14:paraId="6EBF7E0F">
      <w:pPr>
        <w:spacing w:line="360" w:lineRule="auto"/>
        <w:ind w:firstLine="420" w:firstLineChars="200"/>
        <w:rPr>
          <w:rFonts w:hint="eastAsia" w:ascii="宋体" w:hAnsi="宋体" w:cs="宋体"/>
          <w:color w:val="auto"/>
          <w:szCs w:val="21"/>
          <w:highlight w:val="none"/>
        </w:rPr>
      </w:pPr>
      <w:bookmarkStart w:id="49" w:name="_8.1提供相同品牌产品且通过资格审查、符合性审查的不同投标人参加同一合"/>
      <w:bookmarkEnd w:id="49"/>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1</w:t>
      </w:r>
      <w:r>
        <w:rPr>
          <w:rFonts w:hint="eastAsia" w:ascii="宋体" w:hAnsi="宋体"/>
          <w:color w:val="auto"/>
          <w:szCs w:val="21"/>
          <w:highlight w:val="none"/>
        </w:rPr>
        <w:t xml:space="preserve">如果本谈判文件要求提供供应商或制造商的资格、信誉、荣誉、业绩与企业认证等材料的，资格、信誉、荣誉、业绩与企业认证等必须为供应商或者制造商所拥有或自身获得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p w14:paraId="43F1A63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供应商应仔细阅读谈判文件的所有内容，按照谈判文件的要求提交响应文件，并对所提供的全部资料的真实性承担法律责任。</w:t>
      </w:r>
    </w:p>
    <w:p w14:paraId="150F58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7.3</w:t>
      </w:r>
      <w:r>
        <w:rPr>
          <w:rFonts w:hint="eastAsia" w:ascii="宋体" w:hAnsi="宋体" w:cs="宋体"/>
          <w:color w:val="auto"/>
          <w:szCs w:val="21"/>
          <w:highlight w:val="none"/>
        </w:rPr>
        <w:t>供应商必须提供“直接控股股东信息”，并附上打印查询记录，放置在符合性审查响应，否则响应文件将被视为无效响应。</w:t>
      </w:r>
    </w:p>
    <w:p w14:paraId="22FB85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供应商在竞标活动中提供任何虚假材料</w:t>
      </w:r>
      <w:r>
        <w:rPr>
          <w:rFonts w:hint="eastAsia" w:ascii="宋体" w:hAnsi="宋体" w:cs="宋体"/>
          <w:color w:val="auto"/>
          <w:szCs w:val="21"/>
          <w:highlight w:val="none"/>
          <w:lang w:eastAsia="zh-CN"/>
        </w:rPr>
        <w:t>，</w:t>
      </w:r>
      <w:r>
        <w:rPr>
          <w:rFonts w:hint="eastAsia" w:ascii="宋体" w:hAnsi="宋体" w:cs="宋体"/>
          <w:color w:val="auto"/>
          <w:szCs w:val="21"/>
          <w:highlight w:val="none"/>
        </w:rPr>
        <w:t>其响应文件按无效处理，并报监管部门查处；签订合同后发现的</w:t>
      </w:r>
      <w:r>
        <w:rPr>
          <w:rFonts w:hint="eastAsia" w:ascii="宋体" w:hAnsi="宋体" w:cs="宋体"/>
          <w:color w:val="auto"/>
          <w:szCs w:val="21"/>
          <w:highlight w:val="none"/>
          <w:lang w:eastAsia="zh-CN"/>
        </w:rPr>
        <w:t>，</w:t>
      </w:r>
      <w:r>
        <w:rPr>
          <w:rFonts w:hint="eastAsia" w:ascii="宋体" w:hAnsi="宋体" w:cs="宋体"/>
          <w:color w:val="auto"/>
          <w:szCs w:val="21"/>
          <w:highlight w:val="none"/>
        </w:rPr>
        <w:t>成交供应商须依照《中华人民共和国消费者权益保护法》规定赔偿采购人，且民事赔偿并不免除违法供应商的行政与刑事责任。</w:t>
      </w:r>
    </w:p>
    <w:p w14:paraId="5DA8FC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在政府采购活动中，采购人员及相关人员与供应商有下列利害关系之一的，应当回避：</w:t>
      </w:r>
    </w:p>
    <w:p w14:paraId="10377F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023AD7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04B84E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1C04E2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36EE12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0689E45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BFC2B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有下列情形之一的视为供应商相互串通竞标，响应文件将被视为无效：</w:t>
      </w:r>
    </w:p>
    <w:p w14:paraId="0512A1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p>
    <w:p w14:paraId="0D1DD1D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20E4C4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50B29FD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5F976E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1106D4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（6）不同供应商的竞标保证金从同一单位或者个人账户转出。</w:t>
      </w:r>
    </w:p>
    <w:p w14:paraId="7CB63D1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供应商有下列情形之一的，属于恶意串通行为</w:t>
      </w:r>
      <w:bookmarkStart w:id="50" w:name="_Hlk54682620"/>
      <w:r>
        <w:rPr>
          <w:rFonts w:hint="eastAsia" w:ascii="宋体" w:hAnsi="宋体" w:cs="宋体"/>
          <w:color w:val="auto"/>
          <w:szCs w:val="21"/>
          <w:highlight w:val="none"/>
        </w:rPr>
        <w:t>，将报同级监督管理部门</w:t>
      </w:r>
      <w:bookmarkEnd w:id="50"/>
      <w:r>
        <w:rPr>
          <w:rFonts w:hint="eastAsia" w:ascii="宋体" w:hAnsi="宋体" w:cs="宋体"/>
          <w:color w:val="auto"/>
          <w:szCs w:val="21"/>
          <w:highlight w:val="none"/>
        </w:rPr>
        <w:t>：</w:t>
      </w:r>
    </w:p>
    <w:p w14:paraId="0778D32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3FB0592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5652B4F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22C3EA8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2808D6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w:t>
      </w:r>
      <w:r>
        <w:rPr>
          <w:rFonts w:hint="eastAsia" w:ascii="宋体" w:hAnsi="宋体" w:cs="宋体"/>
          <w:color w:val="auto"/>
          <w:szCs w:val="21"/>
          <w:highlight w:val="none"/>
          <w:lang w:eastAsia="zh-CN"/>
        </w:rPr>
        <w:t>，</w:t>
      </w:r>
      <w:r>
        <w:rPr>
          <w:rFonts w:hint="eastAsia" w:ascii="宋体" w:hAnsi="宋体" w:cs="宋体"/>
          <w:color w:val="auto"/>
          <w:szCs w:val="21"/>
          <w:highlight w:val="none"/>
        </w:rPr>
        <w:t>或者在政府采购活动中事先约定轮流以高价位或者低价位成交</w:t>
      </w:r>
      <w:r>
        <w:rPr>
          <w:rFonts w:hint="eastAsia" w:ascii="宋体" w:hAnsi="宋体" w:cs="宋体"/>
          <w:color w:val="auto"/>
          <w:szCs w:val="21"/>
          <w:highlight w:val="none"/>
          <w:lang w:eastAsia="zh-CN"/>
        </w:rPr>
        <w:t>，</w:t>
      </w:r>
      <w:r>
        <w:rPr>
          <w:rFonts w:hint="eastAsia" w:ascii="宋体" w:hAnsi="宋体" w:cs="宋体"/>
          <w:color w:val="auto"/>
          <w:szCs w:val="21"/>
          <w:highlight w:val="none"/>
        </w:rPr>
        <w:t>或者事先约定由某一特定供应商成交</w:t>
      </w:r>
      <w:r>
        <w:rPr>
          <w:rFonts w:hint="eastAsia" w:ascii="宋体" w:hAnsi="宋体" w:cs="宋体"/>
          <w:color w:val="auto"/>
          <w:szCs w:val="21"/>
          <w:highlight w:val="none"/>
          <w:lang w:eastAsia="zh-CN"/>
        </w:rPr>
        <w:t>，</w:t>
      </w:r>
      <w:r>
        <w:rPr>
          <w:rFonts w:hint="eastAsia" w:ascii="宋体" w:hAnsi="宋体" w:cs="宋体"/>
          <w:color w:val="auto"/>
          <w:szCs w:val="21"/>
          <w:highlight w:val="none"/>
        </w:rPr>
        <w:t>然后再参加竞标；</w:t>
      </w:r>
    </w:p>
    <w:p w14:paraId="1B46004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1CE0DF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53994810">
      <w:pPr>
        <w:spacing w:line="360" w:lineRule="auto"/>
        <w:ind w:left="1" w:firstLine="417" w:firstLineChars="199"/>
        <w:jc w:val="center"/>
        <w:rPr>
          <w:rFonts w:hint="eastAsia" w:ascii="宋体" w:hAnsi="宋体"/>
          <w:color w:val="auto"/>
          <w:highlight w:val="none"/>
        </w:rPr>
      </w:pPr>
      <w:bookmarkStart w:id="51" w:name="_Toc254970675"/>
      <w:bookmarkStart w:id="52" w:name="_Toc254970534"/>
    </w:p>
    <w:p w14:paraId="2E7EDFB7">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二、谈判文件</w:t>
      </w:r>
      <w:bookmarkEnd w:id="51"/>
      <w:bookmarkEnd w:id="52"/>
    </w:p>
    <w:p w14:paraId="6EFCB5D0">
      <w:pPr>
        <w:spacing w:line="360" w:lineRule="auto"/>
        <w:jc w:val="center"/>
        <w:rPr>
          <w:rFonts w:hint="eastAsia" w:ascii="宋体" w:hAnsi="宋体"/>
          <w:color w:val="auto"/>
          <w:szCs w:val="21"/>
          <w:highlight w:val="none"/>
        </w:rPr>
      </w:pPr>
    </w:p>
    <w:p w14:paraId="5D867A97">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8.谈判文件的构成</w:t>
      </w:r>
    </w:p>
    <w:p w14:paraId="4ACA29A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竞争性谈判公告</w:t>
      </w:r>
      <w:r>
        <w:rPr>
          <w:rFonts w:hint="eastAsia" w:ascii="宋体" w:hAnsi="宋体"/>
          <w:color w:val="auto"/>
          <w:szCs w:val="21"/>
          <w:highlight w:val="none"/>
        </w:rPr>
        <w:t>；</w:t>
      </w:r>
    </w:p>
    <w:p w14:paraId="52EED9A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（2）供应商须知； </w:t>
      </w:r>
    </w:p>
    <w:p w14:paraId="2D06F0E5">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（3）采购需求；</w:t>
      </w:r>
    </w:p>
    <w:p w14:paraId="5B555E22">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（4）响应文件格式</w:t>
      </w:r>
    </w:p>
    <w:p w14:paraId="65A43C1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（5）合同文本；</w:t>
      </w:r>
    </w:p>
    <w:p w14:paraId="3AA464C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（6）评审程序和评定成交的标准；</w:t>
      </w:r>
    </w:p>
    <w:p w14:paraId="0A7B03BB">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5AF5BC3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供应商应认真阅读谈判文件的采购需求，如供应商对谈判文件有疑问的，如要求采购人作出澄清或者修改的，供应商尽可能在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3113039B">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10.谈判文件的澄清和修改</w:t>
      </w:r>
    </w:p>
    <w:p w14:paraId="5C9D6C77">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3AE2E986">
      <w:pPr>
        <w:spacing w:line="360" w:lineRule="auto"/>
        <w:rPr>
          <w:rFonts w:hint="eastAsia" w:ascii="宋体" w:hAnsi="宋体"/>
          <w:color w:val="auto"/>
          <w:szCs w:val="21"/>
          <w:highlight w:val="none"/>
        </w:rPr>
      </w:pPr>
    </w:p>
    <w:p w14:paraId="1F31B1E0">
      <w:pPr>
        <w:spacing w:line="360" w:lineRule="auto"/>
        <w:jc w:val="center"/>
        <w:rPr>
          <w:rFonts w:hint="eastAsia" w:ascii="宋体" w:hAnsi="宋体"/>
          <w:b/>
          <w:color w:val="auto"/>
          <w:szCs w:val="21"/>
          <w:highlight w:val="none"/>
        </w:rPr>
      </w:pPr>
      <w:r>
        <w:rPr>
          <w:rFonts w:hint="eastAsia" w:ascii="宋体" w:hAnsi="宋体"/>
          <w:b/>
          <w:color w:val="auto"/>
          <w:sz w:val="32"/>
          <w:szCs w:val="32"/>
          <w:highlight w:val="none"/>
        </w:rPr>
        <w:t>三、响应文件的编制</w:t>
      </w:r>
    </w:p>
    <w:p w14:paraId="3036FF0C">
      <w:pPr>
        <w:spacing w:line="360" w:lineRule="auto"/>
        <w:rPr>
          <w:rFonts w:hint="eastAsia" w:ascii="宋体" w:hAnsi="宋体"/>
          <w:color w:val="auto"/>
          <w:szCs w:val="21"/>
          <w:highlight w:val="none"/>
        </w:rPr>
      </w:pPr>
    </w:p>
    <w:p w14:paraId="0046556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5219245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供应商必须按照谈判文件的要求编制响应文件，并对其提交的响应文件的真实性、合法性承担法律责任。响应文件必须对谈判文件作出实质性响应。</w:t>
      </w:r>
    </w:p>
    <w:p w14:paraId="1448EFF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252CCB4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w:t>
      </w:r>
      <w:r>
        <w:rPr>
          <w:rFonts w:hint="eastAsia" w:ascii="宋体" w:hAnsi="宋体" w:cs="宋体"/>
          <w:color w:val="auto"/>
          <w:szCs w:val="21"/>
          <w:highlight w:val="none"/>
        </w:rPr>
        <w:t>响应文件由资格证明文件、报价</w:t>
      </w:r>
      <w:r>
        <w:rPr>
          <w:rFonts w:hint="eastAsia" w:ascii="宋体" w:hAnsi="宋体" w:cs="宋体"/>
          <w:color w:val="auto"/>
          <w:szCs w:val="21"/>
          <w:highlight w:val="none"/>
          <w:lang w:eastAsia="zh-CN"/>
        </w:rPr>
        <w:t>、</w:t>
      </w:r>
      <w:r>
        <w:rPr>
          <w:rFonts w:hint="eastAsia" w:ascii="宋体" w:hAnsi="宋体" w:cs="宋体"/>
          <w:color w:val="auto"/>
          <w:szCs w:val="21"/>
          <w:highlight w:val="none"/>
        </w:rPr>
        <w:t>商务技术文件组成。</w:t>
      </w:r>
    </w:p>
    <w:p w14:paraId="73B0B984">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r>
        <w:rPr>
          <w:rFonts w:hint="eastAsia" w:ascii="宋体" w:hAnsi="宋体" w:cs="宋体"/>
          <w:color w:val="auto"/>
          <w:szCs w:val="21"/>
          <w:highlight w:val="none"/>
        </w:rPr>
        <w:t>资格证明文件：详见“供应商须知前附表”</w:t>
      </w:r>
    </w:p>
    <w:p w14:paraId="6832FB28">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2报价文件：详见“供应商须知前附表”</w:t>
      </w:r>
    </w:p>
    <w:p w14:paraId="15D6B67C">
      <w:pPr>
        <w:spacing w:line="360" w:lineRule="auto"/>
        <w:ind w:left="840" w:leftChars="200" w:hanging="420" w:hanging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12.1.3商务技术文件：详见“供应商须知前附表”</w:t>
      </w:r>
    </w:p>
    <w:p w14:paraId="7E1CEA37">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54A9ED4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谈判文件已有明确规定的，使用谈判文件规定的计量单位；谈判文件没有规定的，应采用中华人民共和国法定计量单位，货币种类为人民币，否则视同未响应。</w:t>
      </w:r>
    </w:p>
    <w:p w14:paraId="7370F4F2">
      <w:pPr>
        <w:spacing w:line="360" w:lineRule="auto"/>
        <w:ind w:firstLine="420" w:firstLineChars="200"/>
        <w:rPr>
          <w:rFonts w:hint="eastAsia" w:ascii="黑体" w:hAnsi="黑体" w:eastAsia="黑体" w:cs="宋体"/>
          <w:b/>
          <w:bCs/>
          <w:color w:val="auto"/>
          <w:sz w:val="24"/>
          <w:highlight w:val="none"/>
        </w:rPr>
      </w:pPr>
      <w:r>
        <w:rPr>
          <w:rFonts w:hint="eastAsia" w:ascii="宋体" w:hAnsi="宋体" w:eastAsia="宋体" w:cs="宋体"/>
          <w:color w:val="auto"/>
          <w:szCs w:val="21"/>
          <w:highlight w:val="none"/>
        </w:rPr>
        <w:t>▲</w:t>
      </w:r>
      <w:r>
        <w:rPr>
          <w:rFonts w:hint="eastAsia" w:ascii="黑体" w:hAnsi="黑体" w:eastAsia="黑体" w:cs="宋体"/>
          <w:b/>
          <w:bCs/>
          <w:color w:val="auto"/>
          <w:sz w:val="24"/>
          <w:highlight w:val="none"/>
        </w:rPr>
        <w:t>14.竞标的风险</w:t>
      </w:r>
    </w:p>
    <w:p w14:paraId="2178178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14.1</w:t>
      </w:r>
      <w:r>
        <w:rPr>
          <w:rFonts w:hint="eastAsia" w:ascii="宋体" w:hAnsi="宋体" w:cs="宋体"/>
          <w:color w:val="auto"/>
          <w:szCs w:val="21"/>
          <w:highlight w:val="none"/>
        </w:rPr>
        <w:t>供应商没有按照谈判文件要求提供全部资料，或者供应商没有对谈判文件在各方面作出实质性响应可能导致其响应文件按无效处理，是供应商应当考虑的风险。</w:t>
      </w:r>
    </w:p>
    <w:p w14:paraId="2DE46F49">
      <w:pPr>
        <w:spacing w:line="360" w:lineRule="auto"/>
        <w:ind w:firstLine="420" w:firstLineChars="20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14.2供应商在参加政府采购活动前 3 年内在经营活动中没有重大违法记录（重大违法记录是指供应商因违法经营受到刑事处罚或者责令停产停业、吊销许可证或者执照、较大数额罚款等行政处罚），并在响应文件中出具承诺函。</w:t>
      </w:r>
    </w:p>
    <w:p w14:paraId="1841A901">
      <w:pPr>
        <w:spacing w:line="360" w:lineRule="auto"/>
        <w:ind w:firstLine="420" w:firstLineChars="200"/>
        <w:rPr>
          <w:rFonts w:ascii="黑体" w:hAnsi="黑体" w:eastAsia="黑体" w:cs="宋体"/>
          <w:b/>
          <w:bCs/>
          <w:color w:val="auto"/>
          <w:sz w:val="24"/>
          <w:highlight w:val="none"/>
        </w:rPr>
      </w:pPr>
      <w:r>
        <w:rPr>
          <w:rFonts w:hint="eastAsia" w:ascii="宋体" w:hAnsi="宋体" w:eastAsia="宋体" w:cs="宋体"/>
          <w:color w:val="auto"/>
          <w:szCs w:val="21"/>
          <w:highlight w:val="none"/>
        </w:rPr>
        <w:t>▲</w:t>
      </w:r>
      <w:r>
        <w:rPr>
          <w:rFonts w:hint="eastAsia" w:ascii="黑体" w:hAnsi="黑体" w:eastAsia="黑体" w:cs="宋体"/>
          <w:b/>
          <w:bCs/>
          <w:color w:val="auto"/>
          <w:sz w:val="24"/>
          <w:highlight w:val="none"/>
        </w:rPr>
        <w:t>15.竞标报价</w:t>
      </w:r>
    </w:p>
    <w:p w14:paraId="1FEB403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15.1竞标报价应按谈判文件中“竞标报价表”格式填写。</w:t>
      </w:r>
    </w:p>
    <w:p w14:paraId="0C7B55D3">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15.2竞标报价的内容详见“供应商须知前附表”。</w:t>
      </w:r>
    </w:p>
    <w:p w14:paraId="0371B732">
      <w:pPr>
        <w:spacing w:line="360" w:lineRule="auto"/>
        <w:ind w:left="426" w:leftChars="203"/>
        <w:rPr>
          <w:rFonts w:hint="eastAsia" w:ascii="宋体" w:hAnsi="宋体" w:cs="宋体"/>
          <w:color w:val="auto"/>
          <w:szCs w:val="21"/>
          <w:highlight w:val="none"/>
        </w:rPr>
      </w:pPr>
      <w:r>
        <w:rPr>
          <w:rFonts w:hint="eastAsia" w:ascii="宋体" w:hAnsi="宋体" w:cs="宋体"/>
          <w:color w:val="auto"/>
          <w:szCs w:val="21"/>
          <w:highlight w:val="none"/>
        </w:rPr>
        <w:t>15.3竞标报价要求</w:t>
      </w:r>
    </w:p>
    <w:p w14:paraId="38353A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供应商的竞标报价应符合以下要求，否则响应文件按无效响应处理：</w:t>
      </w:r>
    </w:p>
    <w:p w14:paraId="1501D66B">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14:paraId="6D48596A">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14:paraId="4937E36F">
      <w:pPr>
        <w:numPr>
          <w:ilvl w:val="0"/>
          <w:numId w:val="3"/>
        </w:num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供应商必须就所竞标的分标的单项内容作唯一报价</w:t>
      </w:r>
      <w:r>
        <w:rPr>
          <w:rFonts w:hint="eastAsia" w:ascii="宋体" w:hAnsi="宋体" w:cs="宋体"/>
          <w:color w:val="auto"/>
          <w:szCs w:val="21"/>
          <w:highlight w:val="none"/>
          <w:lang w:eastAsia="zh-CN"/>
        </w:rPr>
        <w:t>；</w:t>
      </w:r>
    </w:p>
    <w:p w14:paraId="6137F51B">
      <w:pPr>
        <w:pStyle w:val="22"/>
        <w:numPr>
          <w:ilvl w:val="0"/>
          <w:numId w:val="0"/>
        </w:numPr>
        <w:spacing w:line="360" w:lineRule="auto"/>
        <w:ind w:firstLine="420" w:firstLineChars="200"/>
        <w:rPr>
          <w:rFonts w:hint="eastAsia"/>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zh-CN"/>
        </w:rPr>
        <w:t>为了确保本次项目的服务质量及诚信履约，供应商不得低于成本竞标。谈判小组认为某竞标人的有效竞标报价明显低于其他通过符合性审查供应商的报价，有可能影响商品质量和不能诚信履约的，应当要求其在合理的时间内提供书面说明，提交相关证明材料[本项目成本分析的相关材料（包括各项差旅费用、管理费用、人力成本构成、税收等所有成本和利润，税务成本必须提供近一年不少于1个同类项目及年度税务缴纳凭证作为参考依据，格式自拟]；如不提供或谈判小组认定其资料不能详尽合理说明其成本的，则视为低于成本价报价，其竞标无效。</w:t>
      </w:r>
    </w:p>
    <w:p w14:paraId="13E12B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最后报价超过所竞标分标规定的采购预算金额或者最高限价的，其响应文件将按无效处理。</w:t>
      </w:r>
    </w:p>
    <w:p w14:paraId="08C52160">
      <w:pPr>
        <w:spacing w:line="360" w:lineRule="auto"/>
        <w:ind w:firstLine="420" w:firstLineChars="200"/>
        <w:rPr>
          <w:rFonts w:hint="eastAsia" w:ascii="黑体" w:hAnsi="黑体" w:eastAsia="黑体" w:cs="宋体"/>
          <w:b/>
          <w:bCs/>
          <w:color w:val="auto"/>
          <w:sz w:val="24"/>
          <w:highlight w:val="none"/>
        </w:rPr>
      </w:pPr>
      <w:r>
        <w:rPr>
          <w:rFonts w:hint="eastAsia" w:ascii="宋体" w:hAnsi="宋体" w:eastAsia="宋体" w:cs="宋体"/>
          <w:color w:val="auto"/>
          <w:szCs w:val="21"/>
          <w:highlight w:val="none"/>
        </w:rPr>
        <w:t>▲</w:t>
      </w:r>
      <w:r>
        <w:rPr>
          <w:rFonts w:hint="eastAsia" w:ascii="黑体" w:hAnsi="黑体" w:eastAsia="黑体" w:cs="宋体"/>
          <w:b/>
          <w:bCs/>
          <w:color w:val="auto"/>
          <w:sz w:val="24"/>
          <w:highlight w:val="none"/>
        </w:rPr>
        <w:t>16.竞标有效期</w:t>
      </w:r>
    </w:p>
    <w:p w14:paraId="5466D0F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69B8799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25EC92D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56227BA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17.竞标保证金</w:t>
      </w:r>
    </w:p>
    <w:p w14:paraId="188DF482">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17.1供应商须按“供应商须知前附表”的规定提交竞标保证金。</w:t>
      </w:r>
    </w:p>
    <w:p w14:paraId="0CD0C40C">
      <w:pPr>
        <w:spacing w:line="360" w:lineRule="auto"/>
        <w:ind w:firstLine="420" w:firstLineChars="200"/>
        <w:rPr>
          <w:rFonts w:hint="eastAsia" w:ascii="黑体" w:hAnsi="黑体" w:eastAsia="黑体" w:cs="宋体"/>
          <w:b/>
          <w:bCs/>
          <w:color w:val="auto"/>
          <w:sz w:val="24"/>
          <w:highlight w:val="none"/>
        </w:rPr>
      </w:pPr>
      <w:r>
        <w:rPr>
          <w:rFonts w:hint="eastAsia" w:ascii="宋体" w:hAnsi="宋体" w:eastAsia="宋体" w:cs="宋体"/>
          <w:color w:val="auto"/>
          <w:szCs w:val="21"/>
          <w:highlight w:val="none"/>
        </w:rPr>
        <w:t>▲</w:t>
      </w:r>
      <w:r>
        <w:rPr>
          <w:rFonts w:hint="eastAsia" w:ascii="黑体" w:hAnsi="黑体" w:eastAsia="黑体" w:cs="宋体"/>
          <w:b/>
          <w:bCs/>
          <w:color w:val="auto"/>
          <w:sz w:val="24"/>
          <w:highlight w:val="none"/>
        </w:rPr>
        <w:t>18. 响应文件编制的要求</w:t>
      </w:r>
    </w:p>
    <w:p w14:paraId="021043A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（1）电子响应文件中须加盖供应商公章部分均采用 CA 签章，并根据“政府采购项目电子交易管理操作指南-供应商” 及本采购文件规定的格式和顺序编制电子响应文件并进行关联定位，以便谈判小组在评审时，点击评分项可直接定位到该评分项内容。如对采购文件的某项要求，供应商的电子响应文件未能关联定位提供相应的内容与其对应，则谈判小组在评审时如做出对供应商不利的评审由供应商自行承担。电子响应文件如内容不完整、编排混乱导致响应文件被误读、 漏读，或者在按采购文件规定的部位查找不到相关内容的，由供应商自行承担。</w:t>
      </w:r>
    </w:p>
    <w:p w14:paraId="4F371C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（2）CA 签章上目前没有法人（负责人）或授权代表签字信息，供应商在响应文件中涉及到签字的位置线下签字然后扫描或者拍照做成 PDF 的格式即可。</w:t>
      </w:r>
    </w:p>
    <w:p w14:paraId="3580FC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（3）响应文件不得涂改，若有修改错漏处，须法定代表人（负责人）或授权委托人签字。响应文件因字迹潦草或表达不清所引起的后果由供应商负责。</w:t>
      </w:r>
    </w:p>
    <w:p w14:paraId="77A88D2B">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19.响应文件的提交</w:t>
      </w:r>
    </w:p>
    <w:p w14:paraId="4CA17E9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.1供应商必须在“供应商须知前附表”规定的时间和地点提交响应文件。</w:t>
      </w:r>
    </w:p>
    <w:p w14:paraId="1C8F3912">
      <w:pPr>
        <w:spacing w:line="360" w:lineRule="auto"/>
        <w:ind w:firstLine="420" w:firstLineChars="200"/>
        <w:rPr>
          <w:rFonts w:hint="eastAsia"/>
          <w:color w:val="auto"/>
          <w:highlight w:val="none"/>
        </w:rPr>
      </w:pPr>
      <w:r>
        <w:rPr>
          <w:rFonts w:hint="eastAsia" w:ascii="宋体" w:hAnsi="宋体" w:eastAsia="宋体" w:cs="宋体"/>
          <w:color w:val="auto"/>
          <w:kern w:val="2"/>
          <w:sz w:val="21"/>
          <w:szCs w:val="21"/>
          <w:highlight w:val="none"/>
          <w:lang w:val="en-US" w:eastAsia="zh-CN" w:bidi="ar-SA"/>
        </w:rPr>
        <w:t>19.2</w:t>
      </w:r>
      <w:r>
        <w:rPr>
          <w:rFonts w:hint="eastAsia"/>
          <w:color w:val="auto"/>
          <w:highlight w:val="none"/>
        </w:rPr>
        <w:t>谈判截止时间后递交的响应文件，电子交易平台将拒收。</w:t>
      </w:r>
    </w:p>
    <w:p w14:paraId="47239E79">
      <w:pPr>
        <w:spacing w:line="360" w:lineRule="auto"/>
        <w:ind w:firstLine="420" w:firstLineChars="20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如有特殊情况，采购代理机构延长截止时间和开标时间，采购代理机构和供应商的权利和义务将受到新的截止时间和开标时间的约束。</w:t>
      </w:r>
    </w:p>
    <w:p w14:paraId="214191C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0</w:t>
      </w:r>
      <w:r>
        <w:rPr>
          <w:rFonts w:hint="eastAsia" w:ascii="黑体" w:hAnsi="黑体" w:eastAsia="黑体" w:cs="宋体"/>
          <w:b/>
          <w:bCs/>
          <w:color w:val="auto"/>
          <w:sz w:val="24"/>
          <w:highlight w:val="none"/>
        </w:rPr>
        <w:t>.首次响应文件的补充、修改与撤回</w:t>
      </w:r>
    </w:p>
    <w:p w14:paraId="058572E9">
      <w:pPr>
        <w:spacing w:line="360" w:lineRule="auto"/>
        <w:ind w:firstLine="420" w:firstLineChars="200"/>
        <w:rPr>
          <w:rFonts w:hint="eastAsia" w:hAnsi="宋体" w:cs="宋体"/>
          <w:color w:val="auto"/>
          <w:highlight w:val="none"/>
        </w:rPr>
      </w:pPr>
      <w:r>
        <w:rPr>
          <w:rFonts w:hint="eastAsia" w:hAnsi="宋体" w:cs="宋体"/>
          <w:color w:val="auto"/>
          <w:highlight w:val="none"/>
        </w:rPr>
        <w:t>在</w:t>
      </w:r>
      <w:r>
        <w:rPr>
          <w:rFonts w:hint="eastAsia" w:hAnsi="宋体" w:cs="宋体"/>
          <w:color w:val="auto"/>
          <w:highlight w:val="none"/>
          <w:lang w:eastAsia="zh-CN"/>
        </w:rPr>
        <w:t>供应商</w:t>
      </w:r>
      <w:r>
        <w:rPr>
          <w:rFonts w:hint="eastAsia" w:hAnsi="宋体" w:cs="宋体"/>
          <w:color w:val="auto"/>
          <w:highlight w:val="none"/>
          <w:lang w:val="en-US" w:eastAsia="zh-CN"/>
        </w:rPr>
        <w:t>在</w:t>
      </w:r>
      <w:r>
        <w:rPr>
          <w:rFonts w:hint="eastAsia" w:hAnsi="宋体" w:cs="宋体"/>
          <w:color w:val="auto"/>
          <w:highlight w:val="none"/>
        </w:rPr>
        <w:t>规定的</w:t>
      </w:r>
      <w:r>
        <w:rPr>
          <w:rFonts w:hint="eastAsia" w:hAnsi="宋体" w:cs="宋体"/>
          <w:color w:val="auto"/>
          <w:highlight w:val="none"/>
          <w:lang w:eastAsia="zh-CN"/>
        </w:rPr>
        <w:t>谈判截止时间</w:t>
      </w:r>
      <w:r>
        <w:rPr>
          <w:rFonts w:hint="eastAsia" w:hAnsi="宋体" w:cs="宋体"/>
          <w:color w:val="auto"/>
          <w:highlight w:val="none"/>
        </w:rPr>
        <w:t>前，</w:t>
      </w:r>
      <w:r>
        <w:rPr>
          <w:rFonts w:hint="eastAsia" w:hAnsi="宋体" w:cs="宋体"/>
          <w:color w:val="auto"/>
          <w:highlight w:val="none"/>
          <w:lang w:eastAsia="zh-CN"/>
        </w:rPr>
        <w:t>供应商</w:t>
      </w:r>
      <w:r>
        <w:rPr>
          <w:rFonts w:hint="eastAsia" w:hAnsi="宋体" w:cs="宋体"/>
          <w:color w:val="auto"/>
          <w:highlight w:val="none"/>
        </w:rPr>
        <w:t>可以修改或撤回已提交的</w:t>
      </w:r>
      <w:r>
        <w:rPr>
          <w:rFonts w:hint="eastAsia" w:hAnsi="宋体" w:cs="宋体"/>
          <w:color w:val="auto"/>
          <w:highlight w:val="none"/>
          <w:lang w:eastAsia="zh-CN"/>
        </w:rPr>
        <w:t>响应文件</w:t>
      </w:r>
      <w:r>
        <w:rPr>
          <w:rFonts w:hint="eastAsia" w:hAnsi="宋体" w:cs="宋体"/>
          <w:color w:val="auto"/>
          <w:highlight w:val="none"/>
        </w:rPr>
        <w:t>，最终</w:t>
      </w:r>
      <w:r>
        <w:rPr>
          <w:rFonts w:hint="eastAsia" w:hAnsi="宋体" w:cs="宋体"/>
          <w:color w:val="auto"/>
          <w:highlight w:val="none"/>
          <w:lang w:eastAsia="zh-CN"/>
        </w:rPr>
        <w:t>响应文件</w:t>
      </w:r>
      <w:r>
        <w:rPr>
          <w:rFonts w:hint="eastAsia" w:hAnsi="宋体" w:cs="宋体"/>
          <w:color w:val="auto"/>
          <w:highlight w:val="none"/>
        </w:rPr>
        <w:t>以</w:t>
      </w:r>
      <w:r>
        <w:rPr>
          <w:rFonts w:hint="eastAsia" w:hAnsi="宋体" w:cs="宋体"/>
          <w:color w:val="auto"/>
          <w:highlight w:val="none"/>
          <w:lang w:eastAsia="zh-CN"/>
        </w:rPr>
        <w:t>谈判截止时间</w:t>
      </w:r>
      <w:r>
        <w:rPr>
          <w:rFonts w:hint="eastAsia" w:hAnsi="宋体" w:cs="宋体"/>
          <w:color w:val="auto"/>
          <w:highlight w:val="none"/>
        </w:rPr>
        <w:t>前上传的最后一份</w:t>
      </w:r>
      <w:r>
        <w:rPr>
          <w:rFonts w:hint="eastAsia" w:hAnsi="宋体" w:cs="宋体"/>
          <w:color w:val="auto"/>
          <w:highlight w:val="none"/>
          <w:lang w:eastAsia="zh-CN"/>
        </w:rPr>
        <w:t>响应文件</w:t>
      </w:r>
      <w:r>
        <w:rPr>
          <w:rFonts w:hint="eastAsia" w:hAnsi="宋体" w:cs="宋体"/>
          <w:color w:val="auto"/>
          <w:highlight w:val="none"/>
        </w:rPr>
        <w:t>为准。</w:t>
      </w:r>
    </w:p>
    <w:p w14:paraId="279DCFC2">
      <w:pPr>
        <w:spacing w:line="360" w:lineRule="auto"/>
        <w:ind w:firstLine="420" w:firstLineChars="200"/>
        <w:rPr>
          <w:rFonts w:hint="eastAsia"/>
          <w:color w:val="auto"/>
          <w:highlight w:val="none"/>
        </w:rPr>
      </w:pPr>
      <w:r>
        <w:rPr>
          <w:rFonts w:hint="eastAsia"/>
          <w:color w:val="auto"/>
          <w:highlight w:val="none"/>
        </w:rPr>
        <w:t>供应商应当在谈判截止时间前完成响应文件的传输递交，且可以补充、修改或者撤回响应文件。补充或者修改响应文件的，应当先行撤回原文件，补充、修改后重新传输递交。谈判截止时间前未完成传输的，视为撤回响应文件。</w:t>
      </w:r>
    </w:p>
    <w:p w14:paraId="3CB21534">
      <w:pPr>
        <w:spacing w:line="360" w:lineRule="auto"/>
        <w:jc w:val="center"/>
        <w:rPr>
          <w:rFonts w:hint="eastAsia" w:ascii="宋体" w:hAnsi="宋体"/>
          <w:b/>
          <w:color w:val="auto"/>
          <w:sz w:val="32"/>
          <w:szCs w:val="32"/>
          <w:highlight w:val="none"/>
        </w:rPr>
      </w:pPr>
    </w:p>
    <w:p w14:paraId="505DD6CA">
      <w:pPr>
        <w:spacing w:line="360" w:lineRule="auto"/>
        <w:jc w:val="center"/>
        <w:rPr>
          <w:rFonts w:hint="eastAsia" w:ascii="宋体" w:hAnsi="宋体"/>
          <w:b/>
          <w:color w:val="auto"/>
          <w:sz w:val="32"/>
          <w:szCs w:val="32"/>
          <w:highlight w:val="none"/>
        </w:rPr>
      </w:pPr>
    </w:p>
    <w:p w14:paraId="2DB1BFBC">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四、评审及谈判</w:t>
      </w:r>
    </w:p>
    <w:p w14:paraId="5DC5C561">
      <w:pPr>
        <w:spacing w:line="360" w:lineRule="auto"/>
        <w:ind w:left="420" w:firstLine="420"/>
        <w:rPr>
          <w:rFonts w:hint="eastAsia" w:ascii="宋体" w:hAnsi="宋体"/>
          <w:color w:val="auto"/>
          <w:szCs w:val="21"/>
          <w:highlight w:val="none"/>
        </w:rPr>
      </w:pPr>
    </w:p>
    <w:p w14:paraId="2B525F5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1</w:t>
      </w:r>
      <w:r>
        <w:rPr>
          <w:rFonts w:hint="eastAsia" w:ascii="黑体" w:hAnsi="黑体" w:eastAsia="黑体" w:cs="宋体"/>
          <w:b/>
          <w:bCs/>
          <w:color w:val="auto"/>
          <w:sz w:val="24"/>
          <w:highlight w:val="none"/>
        </w:rPr>
        <w:t>.谈判小组成立</w:t>
      </w:r>
    </w:p>
    <w:p w14:paraId="616AD94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1竞争性谈判小组成立：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622086F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0300C191">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2</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 xml:space="preserve"> 首次响应文件的开启</w:t>
      </w:r>
    </w:p>
    <w:p w14:paraId="221CA5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首次响应文件由谈判小组或者采购代理机构在“供应商须知前附表”规定的时间开启。</w:t>
      </w:r>
    </w:p>
    <w:p w14:paraId="29C7B144">
      <w:pPr>
        <w:spacing w:line="360" w:lineRule="auto"/>
        <w:ind w:firstLine="482" w:firstLineChars="200"/>
        <w:rPr>
          <w:rFonts w:hint="default" w:ascii="黑体" w:hAnsi="黑体" w:eastAsia="黑体" w:cs="宋体"/>
          <w:b/>
          <w:bCs/>
          <w:color w:val="auto"/>
          <w:sz w:val="24"/>
          <w:highlight w:val="none"/>
          <w:lang w:val="en-US" w:eastAsia="zh-CN"/>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3</w:t>
      </w:r>
      <w:r>
        <w:rPr>
          <w:rFonts w:hint="eastAsia" w:ascii="黑体" w:hAnsi="黑体" w:eastAsia="黑体" w:cs="宋体"/>
          <w:b/>
          <w:bCs/>
          <w:color w:val="auto"/>
          <w:sz w:val="24"/>
          <w:highlight w:val="none"/>
        </w:rPr>
        <w:t xml:space="preserve">. </w:t>
      </w:r>
      <w:r>
        <w:rPr>
          <w:rFonts w:hint="eastAsia" w:ascii="黑体" w:hAnsi="黑体" w:eastAsia="黑体" w:cs="宋体"/>
          <w:b/>
          <w:bCs/>
          <w:color w:val="auto"/>
          <w:sz w:val="24"/>
          <w:highlight w:val="none"/>
          <w:lang w:val="en-US" w:eastAsia="zh-CN"/>
        </w:rPr>
        <w:t>竞争性谈判</w:t>
      </w:r>
    </w:p>
    <w:p w14:paraId="0CD59D73">
      <w:pPr>
        <w:spacing w:line="360" w:lineRule="auto"/>
        <w:ind w:firstLine="420" w:firstLineChars="200"/>
        <w:rPr>
          <w:rFonts w:hint="eastAsia"/>
          <w:color w:val="auto"/>
          <w:highlight w:val="none"/>
        </w:rPr>
      </w:pPr>
      <w:r>
        <w:rPr>
          <w:rFonts w:hint="eastAsia"/>
          <w:color w:val="auto"/>
          <w:highlight w:val="none"/>
        </w:rPr>
        <w:t>（一）谈判程序</w:t>
      </w:r>
    </w:p>
    <w:p w14:paraId="06B855EA">
      <w:pPr>
        <w:spacing w:line="360" w:lineRule="auto"/>
        <w:ind w:firstLine="420" w:firstLineChars="200"/>
        <w:rPr>
          <w:rFonts w:hint="eastAsia"/>
          <w:color w:val="auto"/>
          <w:highlight w:val="none"/>
        </w:rPr>
      </w:pPr>
      <w:r>
        <w:rPr>
          <w:rFonts w:hint="eastAsia"/>
          <w:color w:val="auto"/>
          <w:highlight w:val="none"/>
        </w:rPr>
        <w:t>1.响应文件递交截止时间后，主持人宣布谈判开始。</w:t>
      </w:r>
    </w:p>
    <w:p w14:paraId="526EDC23">
      <w:pPr>
        <w:spacing w:line="360" w:lineRule="auto"/>
        <w:ind w:firstLine="420" w:firstLineChars="200"/>
        <w:rPr>
          <w:rFonts w:hint="eastAsia"/>
          <w:color w:val="auto"/>
          <w:highlight w:val="none"/>
        </w:rPr>
      </w:pPr>
      <w:r>
        <w:rPr>
          <w:rFonts w:hint="eastAsia"/>
          <w:color w:val="auto"/>
          <w:highlight w:val="none"/>
        </w:rPr>
        <w:t>2.供应商登录”政采云” 网上招投标系统，对电子响应文件进行在线解密。在线解密电子响应文件时间为开标时间起半小时内。</w:t>
      </w:r>
    </w:p>
    <w:p w14:paraId="7E97F39A">
      <w:pPr>
        <w:spacing w:line="360" w:lineRule="auto"/>
        <w:ind w:firstLine="420" w:firstLineChars="200"/>
        <w:rPr>
          <w:rFonts w:hint="eastAsia"/>
          <w:color w:val="auto"/>
          <w:highlight w:val="none"/>
        </w:rPr>
      </w:pPr>
      <w:r>
        <w:rPr>
          <w:rFonts w:hint="eastAsia"/>
          <w:color w:val="auto"/>
          <w:highlight w:val="none"/>
        </w:rPr>
        <w:t>3.谈判小组对响应文件进行评估和比较。</w:t>
      </w:r>
    </w:p>
    <w:p w14:paraId="0525CAFB">
      <w:pPr>
        <w:spacing w:line="360" w:lineRule="auto"/>
        <w:ind w:firstLine="420" w:firstLineChars="200"/>
        <w:rPr>
          <w:rFonts w:hint="eastAsia"/>
          <w:color w:val="auto"/>
          <w:highlight w:val="none"/>
        </w:rPr>
      </w:pPr>
      <w:r>
        <w:rPr>
          <w:rFonts w:hint="eastAsia"/>
          <w:color w:val="auto"/>
          <w:highlight w:val="none"/>
        </w:rPr>
        <w:t>4.谈判小组与单一供应商分别进行谈判。（谈判时供应商的技术资料、价格和其他信息在评审、谈判过程中保密）</w:t>
      </w:r>
    </w:p>
    <w:p w14:paraId="69D3D606">
      <w:pPr>
        <w:spacing w:line="360" w:lineRule="auto"/>
        <w:ind w:firstLine="420" w:firstLineChars="200"/>
        <w:rPr>
          <w:rFonts w:hint="eastAsia"/>
          <w:color w:val="auto"/>
          <w:highlight w:val="none"/>
        </w:rPr>
      </w:pPr>
      <w:r>
        <w:rPr>
          <w:rFonts w:hint="eastAsia"/>
          <w:color w:val="auto"/>
          <w:highlight w:val="none"/>
        </w:rPr>
        <w:t>5.谈判小组要求所有实质性响应的供应商在规定时间内提交最后报价（只公开最后报价，最后报价原则上不得高于初次报价）。</w:t>
      </w:r>
    </w:p>
    <w:p w14:paraId="559D01A6">
      <w:pPr>
        <w:spacing w:line="360" w:lineRule="auto"/>
        <w:ind w:firstLine="420" w:firstLineChars="200"/>
        <w:rPr>
          <w:rFonts w:hint="eastAsia"/>
          <w:color w:val="auto"/>
          <w:highlight w:val="none"/>
        </w:rPr>
      </w:pPr>
      <w:r>
        <w:rPr>
          <w:rFonts w:hint="eastAsia"/>
          <w:color w:val="auto"/>
          <w:highlight w:val="none"/>
        </w:rPr>
        <w:t>6.由谈判小组采用最低评标价法对提交最后报价的供应商的响应文件和最后报价进行评审，在符合采购需求、质量和服务要求的前提下，按评审价从低到高的顺序推荐确定成交候选供应商。</w:t>
      </w:r>
    </w:p>
    <w:p w14:paraId="6C86694D">
      <w:pPr>
        <w:spacing w:line="360" w:lineRule="auto"/>
        <w:ind w:firstLine="420" w:firstLineChars="200"/>
        <w:rPr>
          <w:rFonts w:hint="eastAsia"/>
          <w:color w:val="auto"/>
          <w:highlight w:val="none"/>
        </w:rPr>
      </w:pPr>
      <w:r>
        <w:rPr>
          <w:rFonts w:hint="eastAsia"/>
          <w:color w:val="auto"/>
          <w:highlight w:val="none"/>
        </w:rPr>
        <w:t>特别说明：政采云公司如对电子化谈判及评审程序有调整的，按调整后的程序操作。</w:t>
      </w:r>
    </w:p>
    <w:p w14:paraId="6251FB8E">
      <w:pPr>
        <w:spacing w:line="360" w:lineRule="auto"/>
        <w:ind w:firstLine="420" w:firstLineChars="200"/>
        <w:rPr>
          <w:rFonts w:hint="eastAsia"/>
          <w:color w:val="auto"/>
          <w:highlight w:val="none"/>
        </w:rPr>
      </w:pPr>
      <w:r>
        <w:rPr>
          <w:rFonts w:hint="eastAsia"/>
          <w:color w:val="auto"/>
          <w:highlight w:val="none"/>
        </w:rPr>
        <w:t>7.采购过程中出现以下情形，导致电子交易平台无法正常运行，或者无法保证电子交易的公平、公正和安全时，采购组织机构可中止电子交易活动：</w:t>
      </w:r>
    </w:p>
    <w:p w14:paraId="7A439B30">
      <w:pPr>
        <w:spacing w:line="360" w:lineRule="auto"/>
        <w:ind w:firstLine="420" w:firstLineChars="200"/>
        <w:rPr>
          <w:rFonts w:hint="eastAsia"/>
          <w:color w:val="auto"/>
          <w:highlight w:val="none"/>
        </w:rPr>
      </w:pPr>
      <w:r>
        <w:rPr>
          <w:rFonts w:hint="eastAsia"/>
          <w:color w:val="auto"/>
          <w:highlight w:val="none"/>
        </w:rPr>
        <w:t>（1）电子交易平台发生故障而无法登录访问的；</w:t>
      </w:r>
    </w:p>
    <w:p w14:paraId="42DE0C95">
      <w:pPr>
        <w:spacing w:line="360" w:lineRule="auto"/>
        <w:ind w:firstLine="420" w:firstLineChars="200"/>
        <w:rPr>
          <w:rFonts w:hint="eastAsia"/>
          <w:color w:val="auto"/>
          <w:highlight w:val="none"/>
        </w:rPr>
      </w:pPr>
      <w:r>
        <w:rPr>
          <w:rFonts w:hint="eastAsia"/>
          <w:color w:val="auto"/>
          <w:highlight w:val="none"/>
        </w:rPr>
        <w:t>（2）电子交易平台应用或数据库出现错误，不能进行正常操作的；</w:t>
      </w:r>
    </w:p>
    <w:p w14:paraId="6A49B733">
      <w:pPr>
        <w:spacing w:line="360" w:lineRule="auto"/>
        <w:ind w:firstLine="420" w:firstLineChars="200"/>
        <w:rPr>
          <w:rFonts w:hint="eastAsia"/>
          <w:color w:val="auto"/>
          <w:highlight w:val="none"/>
        </w:rPr>
      </w:pPr>
      <w:r>
        <w:rPr>
          <w:rFonts w:hint="eastAsia"/>
          <w:color w:val="auto"/>
          <w:highlight w:val="none"/>
        </w:rPr>
        <w:t>（3）电子交易平台发现严重安全漏洞，有潜在泄密危险的；</w:t>
      </w:r>
    </w:p>
    <w:p w14:paraId="5A464A24">
      <w:pPr>
        <w:spacing w:line="360" w:lineRule="auto"/>
        <w:ind w:firstLine="420" w:firstLineChars="200"/>
        <w:rPr>
          <w:rFonts w:hint="eastAsia"/>
          <w:color w:val="auto"/>
          <w:highlight w:val="none"/>
        </w:rPr>
      </w:pPr>
      <w:r>
        <w:rPr>
          <w:rFonts w:hint="eastAsia"/>
          <w:color w:val="auto"/>
          <w:highlight w:val="none"/>
        </w:rPr>
        <w:t>（4）病毒发作导致不能进行正常操作的；</w:t>
      </w:r>
    </w:p>
    <w:p w14:paraId="0726C45C">
      <w:pPr>
        <w:spacing w:line="360" w:lineRule="auto"/>
        <w:ind w:firstLine="420" w:firstLineChars="200"/>
        <w:rPr>
          <w:rFonts w:hint="eastAsia"/>
          <w:color w:val="auto"/>
          <w:highlight w:val="none"/>
        </w:rPr>
      </w:pPr>
      <w:r>
        <w:rPr>
          <w:rFonts w:hint="eastAsia"/>
          <w:color w:val="auto"/>
          <w:highlight w:val="none"/>
        </w:rPr>
        <w:t>（5）其他无法保证电子交易的公平、公正和安全的情况。</w:t>
      </w:r>
    </w:p>
    <w:p w14:paraId="1A687580">
      <w:pPr>
        <w:spacing w:line="360" w:lineRule="auto"/>
        <w:ind w:firstLine="420" w:firstLineChars="200"/>
        <w:rPr>
          <w:rFonts w:hint="eastAsia"/>
          <w:color w:val="auto"/>
          <w:highlight w:val="none"/>
        </w:rPr>
      </w:pPr>
      <w:r>
        <w:rPr>
          <w:rFonts w:hint="eastAsia"/>
          <w:color w:val="auto"/>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3505A693">
      <w:pPr>
        <w:spacing w:line="360" w:lineRule="auto"/>
        <w:ind w:firstLine="420" w:firstLineChars="200"/>
        <w:rPr>
          <w:rFonts w:hint="eastAsia"/>
          <w:color w:val="auto"/>
          <w:highlight w:val="none"/>
        </w:rPr>
      </w:pPr>
      <w:r>
        <w:rPr>
          <w:rFonts w:hint="eastAsia"/>
          <w:color w:val="auto"/>
          <w:highlight w:val="none"/>
        </w:rPr>
        <w:t>（二）谈判内容</w:t>
      </w:r>
    </w:p>
    <w:p w14:paraId="23AC3606">
      <w:pPr>
        <w:spacing w:line="360" w:lineRule="auto"/>
        <w:ind w:firstLine="420" w:firstLineChars="200"/>
        <w:rPr>
          <w:rFonts w:hint="eastAsia"/>
          <w:color w:val="auto"/>
          <w:highlight w:val="none"/>
        </w:rPr>
      </w:pPr>
      <w:r>
        <w:rPr>
          <w:rFonts w:hint="eastAsia"/>
          <w:color w:val="auto"/>
          <w:highlight w:val="none"/>
        </w:rPr>
        <w:t>1.本次谈判内容为在采购文件范围内就供应商的响应文件，谈判小组与供应商在技术、价格、服务、合同等问题进行谈判，最终确定成交与否。</w:t>
      </w:r>
    </w:p>
    <w:p w14:paraId="6AE2A7FC">
      <w:pPr>
        <w:spacing w:line="360" w:lineRule="auto"/>
        <w:ind w:firstLine="420" w:firstLineChars="200"/>
        <w:rPr>
          <w:rFonts w:hint="eastAsia"/>
          <w:color w:val="auto"/>
          <w:highlight w:val="none"/>
        </w:rPr>
      </w:pPr>
      <w:r>
        <w:rPr>
          <w:rFonts w:hint="eastAsia"/>
          <w:color w:val="auto"/>
          <w:highlight w:val="none"/>
        </w:rPr>
        <w:t>2.谈判应作书面记录，供应商并就谈判内容作出书面承诺，并由供应商法定代表人或其授权委托人签字后生效，作为响应文件的一部分。</w:t>
      </w:r>
    </w:p>
    <w:p w14:paraId="071BBE53">
      <w:pPr>
        <w:spacing w:line="360" w:lineRule="auto"/>
        <w:ind w:firstLine="420" w:firstLineChars="200"/>
        <w:rPr>
          <w:rFonts w:hint="eastAsia"/>
          <w:color w:val="auto"/>
          <w:highlight w:val="none"/>
        </w:rPr>
      </w:pPr>
      <w:r>
        <w:rPr>
          <w:rFonts w:hint="eastAsia"/>
          <w:color w:val="auto"/>
          <w:highlight w:val="none"/>
        </w:rPr>
        <w:t>3.采购文件有实质性变动的，谈判小组以书面形式通知所有参加谈判的供应商。</w:t>
      </w:r>
    </w:p>
    <w:p w14:paraId="6D4D9D33">
      <w:pPr>
        <w:spacing w:line="360" w:lineRule="auto"/>
        <w:ind w:firstLine="420" w:firstLineChars="200"/>
        <w:rPr>
          <w:rFonts w:hint="eastAsia"/>
          <w:color w:val="auto"/>
          <w:highlight w:val="none"/>
        </w:rPr>
      </w:pPr>
      <w:r>
        <w:rPr>
          <w:rFonts w:hint="eastAsia"/>
          <w:color w:val="auto"/>
          <w:highlight w:val="none"/>
        </w:rPr>
        <w:t>（三）谈判</w:t>
      </w:r>
    </w:p>
    <w:p w14:paraId="069522B9">
      <w:pPr>
        <w:spacing w:line="360" w:lineRule="auto"/>
        <w:ind w:firstLine="420" w:firstLineChars="200"/>
        <w:rPr>
          <w:rFonts w:hint="eastAsia"/>
          <w:color w:val="auto"/>
          <w:highlight w:val="none"/>
        </w:rPr>
      </w:pPr>
      <w:r>
        <w:rPr>
          <w:rFonts w:hint="eastAsia"/>
          <w:color w:val="auto"/>
          <w:highlight w:val="none"/>
        </w:rPr>
        <w:t>1.谈判小组由采购人、采购代理机构依法组建，负责评审活动。谈判小组遵循公开、公平、公正、科学合理、竞争择优的原则。谈判小组按照“第四章  评审程序和评定成交的标准”规定的评审程序对响应文件进行评审，并按照评定成交的标准推荐成交候选供应商。</w:t>
      </w:r>
    </w:p>
    <w:p w14:paraId="77D81E52">
      <w:pPr>
        <w:spacing w:line="360" w:lineRule="auto"/>
        <w:ind w:firstLine="420" w:firstLineChars="200"/>
        <w:rPr>
          <w:rFonts w:hint="eastAsia"/>
          <w:color w:val="auto"/>
          <w:highlight w:val="none"/>
        </w:rPr>
      </w:pPr>
      <w:r>
        <w:rPr>
          <w:rFonts w:hint="eastAsia"/>
          <w:color w:val="auto"/>
          <w:highlight w:val="none"/>
        </w:rPr>
        <w:t>2.谈判小组由采购人代表和有关方面专家组成，成员人数为 3 人。</w:t>
      </w:r>
    </w:p>
    <w:p w14:paraId="34BDCB0A">
      <w:pPr>
        <w:spacing w:line="360" w:lineRule="auto"/>
        <w:ind w:firstLine="420" w:firstLineChars="200"/>
        <w:rPr>
          <w:rFonts w:hint="eastAsia"/>
          <w:color w:val="auto"/>
          <w:highlight w:val="none"/>
        </w:rPr>
      </w:pPr>
      <w:r>
        <w:rPr>
          <w:rFonts w:hint="eastAsia"/>
          <w:color w:val="auto"/>
          <w:highlight w:val="none"/>
        </w:rPr>
        <w:t>3.谈判小组负责对供应商资格的最终审定。</w:t>
      </w:r>
    </w:p>
    <w:p w14:paraId="4FF4E0B1">
      <w:pPr>
        <w:spacing w:line="360" w:lineRule="auto"/>
        <w:ind w:firstLine="420" w:firstLineChars="200"/>
        <w:rPr>
          <w:rFonts w:hint="eastAsia"/>
          <w:color w:val="auto"/>
          <w:highlight w:val="none"/>
        </w:rPr>
      </w:pPr>
      <w:r>
        <w:rPr>
          <w:rFonts w:hint="eastAsia"/>
          <w:color w:val="auto"/>
          <w:highlight w:val="none"/>
        </w:rPr>
        <w:t>4.谈判小组可以要求供应商对其响应文件中含义不明确的内容作必要的澄清或者说明，但澄清或者说明不得超过响应文件的范围或者改变响应文件的实质性内容。</w:t>
      </w:r>
    </w:p>
    <w:p w14:paraId="10D294AE">
      <w:pPr>
        <w:spacing w:line="360" w:lineRule="auto"/>
        <w:ind w:firstLine="420" w:firstLineChars="200"/>
        <w:rPr>
          <w:rFonts w:hint="eastAsia"/>
          <w:color w:val="auto"/>
          <w:highlight w:val="none"/>
        </w:rPr>
      </w:pPr>
      <w:r>
        <w:rPr>
          <w:rFonts w:hint="eastAsia"/>
          <w:color w:val="auto"/>
          <w:highlight w:val="none"/>
        </w:rPr>
        <w:t>5.谈判小组对响应文件的判定，只依据响应文件和采购文件内容本身，不依据任何外来证明。</w:t>
      </w:r>
    </w:p>
    <w:p w14:paraId="3F18DEA5">
      <w:pPr>
        <w:spacing w:line="360" w:lineRule="auto"/>
        <w:ind w:firstLine="420" w:firstLineChars="200"/>
        <w:rPr>
          <w:rFonts w:hint="eastAsia" w:ascii="宋体" w:hAnsi="宋体" w:cs="宋体"/>
          <w:b/>
          <w:bCs/>
          <w:color w:val="auto"/>
          <w:szCs w:val="21"/>
          <w:highlight w:val="none"/>
        </w:rPr>
      </w:pPr>
      <w:r>
        <w:rPr>
          <w:rFonts w:hint="eastAsia"/>
          <w:color w:val="auto"/>
          <w:highlight w:val="none"/>
        </w:rPr>
        <w:t>6.谈判小组不向落标方解释落标的原因，不退还响应文件。</w:t>
      </w:r>
    </w:p>
    <w:p w14:paraId="2FDFBB8B">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4</w:t>
      </w:r>
      <w:r>
        <w:rPr>
          <w:rFonts w:hint="eastAsia" w:ascii="黑体" w:hAnsi="黑体" w:eastAsia="黑体" w:cs="宋体"/>
          <w:b/>
          <w:bCs/>
          <w:color w:val="auto"/>
          <w:sz w:val="24"/>
          <w:highlight w:val="none"/>
        </w:rPr>
        <w:t>.确定成交供应商及结果公告</w:t>
      </w:r>
    </w:p>
    <w:p w14:paraId="44C2BC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.1</w:t>
      </w:r>
      <w:r>
        <w:rPr>
          <w:rFonts w:hint="eastAsia" w:ascii="宋体" w:hAnsi="宋体" w:cs="宋体"/>
          <w:color w:val="auto"/>
          <w:kern w:val="0"/>
          <w:szCs w:val="21"/>
          <w:highlight w:val="none"/>
        </w:rPr>
        <w:t xml:space="preserve"> 采购</w:t>
      </w:r>
      <w:r>
        <w:rPr>
          <w:rFonts w:hint="eastAsia" w:ascii="宋体" w:hAnsi="宋体" w:cs="宋体"/>
          <w:color w:val="auto"/>
          <w:szCs w:val="21"/>
          <w:highlight w:val="none"/>
        </w:rPr>
        <w:t>代理</w:t>
      </w:r>
      <w:r>
        <w:rPr>
          <w:rFonts w:hint="eastAsia" w:ascii="宋体" w:hAnsi="宋体" w:cs="宋体"/>
          <w:color w:val="auto"/>
          <w:kern w:val="0"/>
          <w:szCs w:val="21"/>
          <w:highlight w:val="none"/>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193768E9">
      <w:pPr>
        <w:pStyle w:val="7"/>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cs="Courier New"/>
          <w:color w:val="auto"/>
          <w:szCs w:val="21"/>
          <w:highlight w:val="none"/>
        </w:rPr>
        <w:t>成交供应商享受《政府采购促进中小企业发展管理办法》（财库〔2020〕46号）规定的中小企业扶持政策的，采购人、采购代理机构应当随成交结果公开成交供应商的《中小企业声明函》。</w:t>
      </w:r>
    </w:p>
    <w:p w14:paraId="7DA4C88C">
      <w:pPr>
        <w:pStyle w:val="7"/>
        <w:spacing w:line="360" w:lineRule="auto"/>
        <w:ind w:firstLine="420" w:firstLineChars="200"/>
        <w:rPr>
          <w:rFonts w:hint="eastAsia" w:ascii="宋体" w:hAnsi="宋体" w:eastAsia="宋体" w:cs="Courier New"/>
          <w:color w:val="auto"/>
          <w:szCs w:val="21"/>
          <w:highlight w:val="none"/>
          <w:lang w:eastAsia="zh-CN"/>
        </w:rPr>
      </w:pPr>
      <w:r>
        <w:rPr>
          <w:rFonts w:hint="eastAsia" w:ascii="宋体" w:hAnsi="宋体" w:cs="Courier New"/>
          <w:color w:val="auto"/>
          <w:szCs w:val="21"/>
          <w:highlight w:val="none"/>
        </w:rPr>
        <w:t>2</w:t>
      </w:r>
      <w:r>
        <w:rPr>
          <w:rFonts w:hint="eastAsia" w:ascii="宋体" w:hAnsi="宋体" w:cs="Courier New"/>
          <w:color w:val="auto"/>
          <w:szCs w:val="21"/>
          <w:highlight w:val="none"/>
          <w:lang w:val="en-US" w:eastAsia="zh-CN"/>
        </w:rPr>
        <w:t>4</w:t>
      </w:r>
      <w:r>
        <w:rPr>
          <w:rFonts w:hint="eastAsia" w:ascii="宋体" w:hAnsi="宋体" w:cs="Courier New"/>
          <w:color w:val="auto"/>
          <w:szCs w:val="21"/>
          <w:highlight w:val="none"/>
        </w:rPr>
        <w:t>.3出现下列情形之一的，采购人或者采购代理机构应当终止竞争性谈判采购活动，发布项目终止公告并说明原因，重新开展采购活动：</w:t>
      </w:r>
    </w:p>
    <w:p w14:paraId="66A1DB05">
      <w:pPr>
        <w:pStyle w:val="7"/>
        <w:spacing w:line="360" w:lineRule="auto"/>
        <w:ind w:firstLine="420" w:firstLineChars="200"/>
        <w:rPr>
          <w:rFonts w:hint="eastAsia" w:ascii="宋体" w:hAnsi="宋体" w:eastAsia="宋体" w:cs="Courier New"/>
          <w:color w:val="auto"/>
          <w:szCs w:val="21"/>
          <w:highlight w:val="none"/>
          <w:lang w:eastAsia="zh-CN"/>
        </w:rPr>
      </w:pPr>
      <w:r>
        <w:rPr>
          <w:rFonts w:hint="eastAsia" w:ascii="宋体" w:hAnsi="宋体" w:cs="Courier New"/>
          <w:color w:val="auto"/>
          <w:szCs w:val="21"/>
          <w:highlight w:val="none"/>
        </w:rPr>
        <w:t>　　（一）因情况变化，不再符合规定的竞争性谈判采购方式适用情形的；</w:t>
      </w:r>
    </w:p>
    <w:p w14:paraId="71BD233B">
      <w:pPr>
        <w:pStyle w:val="7"/>
        <w:spacing w:line="360" w:lineRule="auto"/>
        <w:ind w:firstLine="420" w:firstLineChars="200"/>
        <w:rPr>
          <w:rFonts w:hint="eastAsia" w:ascii="宋体" w:hAnsi="宋体" w:eastAsia="宋体" w:cs="Courier New"/>
          <w:color w:val="auto"/>
          <w:szCs w:val="21"/>
          <w:highlight w:val="none"/>
          <w:lang w:eastAsia="zh-CN"/>
        </w:rPr>
      </w:pPr>
      <w:r>
        <w:rPr>
          <w:rFonts w:hint="eastAsia" w:ascii="宋体" w:hAnsi="宋体" w:cs="Courier New"/>
          <w:color w:val="auto"/>
          <w:szCs w:val="21"/>
          <w:highlight w:val="none"/>
        </w:rPr>
        <w:t>　　（二）出现影响采购公正的违法、违规行为的；</w:t>
      </w:r>
    </w:p>
    <w:p w14:paraId="49188FA6">
      <w:pPr>
        <w:pStyle w:val="7"/>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　　（三）在采购过程中符合竞争要求的供应商或者报价未超过采购预算的供应商不足3家的，但</w:t>
      </w:r>
      <w:r>
        <w:rPr>
          <w:rFonts w:hint="eastAsia" w:ascii="宋体" w:hAnsi="宋体" w:cs="宋体"/>
          <w:color w:val="auto"/>
          <w:szCs w:val="21"/>
          <w:highlight w:val="none"/>
        </w:rPr>
        <w:t>“第四章 评审程序和评定成交的标准”第</w:t>
      </w:r>
      <w:r>
        <w:rPr>
          <w:rFonts w:ascii="宋体" w:hAnsi="宋体" w:cs="宋体"/>
          <w:color w:val="auto"/>
          <w:szCs w:val="21"/>
          <w:highlight w:val="none"/>
        </w:rPr>
        <w:t>3</w:t>
      </w:r>
      <w:r>
        <w:rPr>
          <w:rFonts w:hint="eastAsia" w:ascii="宋体" w:hAnsi="宋体" w:cs="宋体"/>
          <w:color w:val="auto"/>
          <w:szCs w:val="21"/>
          <w:highlight w:val="none"/>
        </w:rPr>
        <w:t>.7条规定的情形除外</w:t>
      </w:r>
      <w:r>
        <w:rPr>
          <w:rFonts w:hint="eastAsia" w:ascii="宋体" w:hAnsi="宋体" w:cs="Courier New"/>
          <w:color w:val="auto"/>
          <w:szCs w:val="21"/>
          <w:highlight w:val="none"/>
        </w:rPr>
        <w:t>。</w:t>
      </w:r>
    </w:p>
    <w:p w14:paraId="6D2D846F">
      <w:pPr>
        <w:pStyle w:val="7"/>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w:t>
      </w:r>
      <w:r>
        <w:rPr>
          <w:rFonts w:hint="eastAsia" w:ascii="宋体" w:hAnsi="宋体" w:cs="Courier New"/>
          <w:color w:val="auto"/>
          <w:szCs w:val="21"/>
          <w:highlight w:val="none"/>
          <w:lang w:val="en-US" w:eastAsia="zh-CN"/>
        </w:rPr>
        <w:t>4</w:t>
      </w:r>
      <w:r>
        <w:rPr>
          <w:rFonts w:hint="eastAsia" w:ascii="宋体" w:hAnsi="宋体" w:cs="Courier New"/>
          <w:color w:val="auto"/>
          <w:szCs w:val="21"/>
          <w:highlight w:val="none"/>
        </w:rPr>
        <w:t>.4在采购活动中因重大变故，采购任务取消的，采购人或者采购代理机构应当终止采购活动，通知所有参加采购活动的供应商，并将项目实施情况和采购任务取消原因报送本级财政部门。</w:t>
      </w:r>
    </w:p>
    <w:p w14:paraId="5C45241D">
      <w:pPr>
        <w:pStyle w:val="7"/>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4</w:t>
      </w:r>
      <w:r>
        <w:rPr>
          <w:rFonts w:ascii="宋体" w:hAnsi="宋体"/>
          <w:bCs/>
          <w:color w:val="auto"/>
          <w:szCs w:val="21"/>
          <w:highlight w:val="none"/>
        </w:rPr>
        <w:t>.</w:t>
      </w:r>
      <w:r>
        <w:rPr>
          <w:rFonts w:hint="eastAsia" w:ascii="宋体" w:hAnsi="宋体"/>
          <w:bCs/>
          <w:color w:val="auto"/>
          <w:szCs w:val="21"/>
          <w:highlight w:val="none"/>
        </w:rPr>
        <w:t>5</w:t>
      </w:r>
      <w:r>
        <w:rPr>
          <w:rFonts w:hint="eastAsia" w:ascii="宋体" w:hAnsi="宋体" w:cs="Courier New"/>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w:t>
      </w:r>
    </w:p>
    <w:p w14:paraId="27803F1B">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5</w:t>
      </w:r>
      <w:r>
        <w:rPr>
          <w:rFonts w:hint="eastAsia" w:ascii="黑体" w:hAnsi="黑体" w:eastAsia="黑体" w:cs="宋体"/>
          <w:b/>
          <w:bCs/>
          <w:color w:val="auto"/>
          <w:sz w:val="24"/>
          <w:highlight w:val="none"/>
        </w:rPr>
        <w:t>.履约保证金</w:t>
      </w:r>
    </w:p>
    <w:p w14:paraId="035ACC61">
      <w:pPr>
        <w:pStyle w:val="7"/>
        <w:spacing w:line="360" w:lineRule="auto"/>
        <w:ind w:firstLine="420" w:firstLineChars="200"/>
        <w:rPr>
          <w:rFonts w:hint="eastAsia"/>
          <w:color w:val="auto"/>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.1履约保证金的金额、提交方式、退付的时间和条件详见 “供应商须知前附表”。成交供应商未按规定提交履约保证金的，视为拒绝</w:t>
      </w:r>
      <w:r>
        <w:rPr>
          <w:color w:val="auto"/>
          <w:highlight w:val="none"/>
        </w:rPr>
        <w:t>与采购人</w:t>
      </w:r>
      <w:r>
        <w:rPr>
          <w:rFonts w:hint="eastAsia" w:ascii="宋体" w:hAnsi="宋体" w:cs="宋体"/>
          <w:color w:val="auto"/>
          <w:szCs w:val="21"/>
          <w:highlight w:val="none"/>
        </w:rPr>
        <w:t>签订合同。</w:t>
      </w:r>
    </w:p>
    <w:p w14:paraId="1F1E333A">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.2在履约保证金退还日期前，若成交供应商的开户名称、开户银行、帐号有变动的，请以书面形式通知履约保证金收取单位，否则由此产生的后果由成交供应商自负。</w:t>
      </w:r>
    </w:p>
    <w:p w14:paraId="5875151B">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6</w:t>
      </w:r>
      <w:r>
        <w:rPr>
          <w:rFonts w:hint="eastAsia" w:ascii="黑体" w:hAnsi="黑体" w:eastAsia="黑体" w:cs="宋体"/>
          <w:b/>
          <w:bCs/>
          <w:color w:val="auto"/>
          <w:sz w:val="24"/>
          <w:highlight w:val="none"/>
        </w:rPr>
        <w:t>.签订合同</w:t>
      </w:r>
    </w:p>
    <w:p w14:paraId="7EBCDF96">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.1成交供应商在收到成交通知书后，按“供应商须知前附表”规定向采购人出示相关证明材料，经采购人核验合格后方可签订合同。</w:t>
      </w:r>
    </w:p>
    <w:p w14:paraId="2F93C2A3">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 签订合同时间：按成交通知书的规定与采购人签订政府采购合同。</w:t>
      </w:r>
    </w:p>
    <w:p w14:paraId="5AE41E65">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.3</w:t>
      </w:r>
      <w:r>
        <w:rPr>
          <w:rFonts w:hint="eastAsia" w:ascii="宋体" w:hAnsi="宋体"/>
          <w:color w:val="auto"/>
          <w:szCs w:val="21"/>
          <w:highlight w:val="none"/>
        </w:rPr>
        <w:t>成交供应商拒绝与采购人签订合同的，按照本须知正文第</w:t>
      </w:r>
      <w:r>
        <w:rPr>
          <w:rFonts w:ascii="宋体" w:hAnsi="宋体"/>
          <w:color w:val="auto"/>
          <w:szCs w:val="21"/>
          <w:highlight w:val="none"/>
        </w:rPr>
        <w:t>2</w:t>
      </w: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szCs w:val="21"/>
          <w:highlight w:val="none"/>
        </w:rPr>
        <w:t>5</w:t>
      </w:r>
      <w:r>
        <w:rPr>
          <w:rFonts w:ascii="宋体" w:hAnsi="宋体"/>
          <w:color w:val="auto"/>
          <w:szCs w:val="21"/>
          <w:highlight w:val="none"/>
        </w:rPr>
        <w:t>条的规定</w:t>
      </w:r>
      <w:r>
        <w:rPr>
          <w:rFonts w:hint="eastAsia" w:ascii="宋体" w:hAnsi="宋体"/>
          <w:color w:val="auto"/>
          <w:szCs w:val="21"/>
          <w:highlight w:val="none"/>
        </w:rPr>
        <w:t>执行</w:t>
      </w:r>
      <w:r>
        <w:rPr>
          <w:rFonts w:hint="eastAsia" w:ascii="宋体" w:hAnsi="宋体" w:cs="宋体"/>
          <w:color w:val="auto"/>
          <w:szCs w:val="21"/>
          <w:highlight w:val="none"/>
        </w:rPr>
        <w:t>。</w:t>
      </w:r>
    </w:p>
    <w:p w14:paraId="23AD01C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27</w:t>
      </w:r>
      <w:r>
        <w:rPr>
          <w:rFonts w:hint="eastAsia" w:ascii="黑体" w:hAnsi="黑体" w:eastAsia="黑体" w:cs="宋体"/>
          <w:b/>
          <w:bCs/>
          <w:color w:val="auto"/>
          <w:sz w:val="24"/>
          <w:highlight w:val="none"/>
        </w:rPr>
        <w:t>.政府采购合同公告</w:t>
      </w:r>
    </w:p>
    <w:p w14:paraId="18D61ED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7D009E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28</w:t>
      </w:r>
      <w:r>
        <w:rPr>
          <w:rFonts w:hint="eastAsia" w:ascii="黑体" w:hAnsi="黑体" w:eastAsia="黑体" w:cs="宋体"/>
          <w:b/>
          <w:bCs/>
          <w:color w:val="auto"/>
          <w:sz w:val="24"/>
          <w:highlight w:val="none"/>
        </w:rPr>
        <w:t>. 询问、质疑和投诉</w:t>
      </w:r>
    </w:p>
    <w:p w14:paraId="0DC01E6D">
      <w:pPr>
        <w:pStyle w:val="5"/>
        <w:spacing w:after="120" w:line="360" w:lineRule="auto"/>
        <w:rPr>
          <w:rFonts w:hint="eastAsia" w:ascii="宋体" w:hAnsi="宋体"/>
          <w:color w:val="auto"/>
          <w:szCs w:val="21"/>
          <w:highlight w:val="none"/>
        </w:rPr>
      </w:pPr>
      <w:r>
        <w:rPr>
          <w:rFonts w:hint="eastAsia" w:ascii="宋体" w:hAnsi="宋体" w:cs="宋体"/>
          <w:color w:val="auto"/>
          <w:highlight w:val="none"/>
          <w:lang w:val="en-US" w:eastAsia="zh-CN"/>
        </w:rPr>
        <w:t>28</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p>
    <w:p w14:paraId="6E3B13E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28</w:t>
      </w:r>
      <w:r>
        <w:rPr>
          <w:rFonts w:hint="eastAsia" w:ascii="宋体" w:hAnsi="宋体" w:cs="宋体"/>
          <w:color w:val="auto"/>
          <w:highlight w:val="none"/>
        </w:rPr>
        <w:t>.2供应商认为谈判文件、采购过程或者成交结果使自己的合法权益受到损害的，应当在知道或者应知其权益受到损害之日起7个工作日内，以书面形式向采购人、采购代理机构提出质疑，</w:t>
      </w:r>
      <w:r>
        <w:rPr>
          <w:rFonts w:ascii="Arial" w:hAnsi="Arial" w:cs="Arial"/>
          <w:color w:val="auto"/>
          <w:highlight w:val="none"/>
          <w:shd w:val="clear" w:color="auto" w:fill="FFFFFF"/>
        </w:rPr>
        <w:t>接收质疑函的方式、联系部门、联系电话和通讯地址等信息</w:t>
      </w:r>
      <w:r>
        <w:rPr>
          <w:rFonts w:hint="eastAsia" w:ascii="宋体" w:hAnsi="宋体" w:cs="宋体"/>
          <w:color w:val="auto"/>
          <w:szCs w:val="21"/>
          <w:highlight w:val="none"/>
        </w:rPr>
        <w:t>详见“供应商须知前附表”</w:t>
      </w:r>
      <w:r>
        <w:rPr>
          <w:rFonts w:hint="eastAsia" w:ascii="宋体" w:hAnsi="宋体" w:cs="宋体"/>
          <w:color w:val="auto"/>
          <w:highlight w:val="none"/>
        </w:rPr>
        <w:t>。具体质疑起算时间如下：</w:t>
      </w:r>
    </w:p>
    <w:p w14:paraId="338645E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（1）对可以质疑的谈判文件提出质疑的，为获取谈判文件之日；</w:t>
      </w:r>
    </w:p>
    <w:p w14:paraId="3E07756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58950C8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632B40A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28</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010B56B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28</w:t>
      </w:r>
      <w:r>
        <w:rPr>
          <w:rFonts w:hint="eastAsia" w:ascii="宋体" w:hAnsi="宋体" w:cs="宋体"/>
          <w:color w:val="auto"/>
          <w:highlight w:val="none"/>
        </w:rPr>
        <w:t>.4供应商提出质疑应当提交质疑函和必要的证明材料，针对同一采购程序环节的质疑必须在法定质疑期内一次性提出。质疑函应当包括下列内容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44C1839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26A1D48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14:paraId="54AE8B3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1866390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7B536C2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14:paraId="2418806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14:paraId="2CF7CEE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788A59C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28</w:t>
      </w:r>
      <w:r>
        <w:rPr>
          <w:rFonts w:ascii="宋体" w:hAnsi="宋体" w:cs="宋体"/>
          <w:color w:val="auto"/>
          <w:highlight w:val="none"/>
        </w:rPr>
        <w:t>.5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02A2F4A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（1）对采购文件提出的质疑，依法通过澄清或者修改可以继续开展采购活动的，澄清或者修改采购文件后继续开展采购活动；否则应当修改采购文件后重新开展采购活动。</w:t>
      </w:r>
    </w:p>
    <w:p w14:paraId="7A6360B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（2）对采购过程或者成交结果提出的质疑，合格供应商符合法定数量时，可以从合格的成交候选人中另行确定成交供应商的，应当依法另行确定成交供应商；否则应当重新开展采购活动。</w:t>
      </w:r>
    </w:p>
    <w:p w14:paraId="104D778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357AD18A">
      <w:pPr>
        <w:spacing w:line="360" w:lineRule="auto"/>
        <w:ind w:firstLine="420" w:firstLineChars="200"/>
        <w:rPr>
          <w:rFonts w:ascii="宋体" w:hAnsi="宋体" w:cs="宋体"/>
          <w:b/>
          <w:bCs/>
          <w:color w:val="auto"/>
          <w:szCs w:val="21"/>
          <w:highlight w:val="none"/>
        </w:rPr>
      </w:pPr>
      <w:r>
        <w:rPr>
          <w:rFonts w:hint="eastAsia" w:ascii="宋体" w:hAnsi="宋体" w:cs="宋体"/>
          <w:color w:val="auto"/>
          <w:highlight w:val="none"/>
          <w:lang w:val="en-US" w:eastAsia="zh-CN"/>
        </w:rPr>
        <w:t>28</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605729E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29</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其他内容</w:t>
      </w:r>
    </w:p>
    <w:p w14:paraId="48A7A9FD">
      <w:pPr>
        <w:spacing w:line="360" w:lineRule="auto"/>
        <w:ind w:firstLine="420" w:firstLineChars="200"/>
        <w:contextualSpacing/>
        <w:rPr>
          <w:rFonts w:hint="eastAsia" w:ascii="宋体" w:hAnsi="宋体" w:eastAsia="宋体" w:cs="宋体"/>
          <w:color w:val="auto"/>
          <w:highlight w:val="none"/>
          <w:lang w:eastAsia="zh-CN"/>
        </w:rPr>
      </w:pP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.1代理服务收取标准详见“供应商须知前附表”</w:t>
      </w:r>
      <w:r>
        <w:rPr>
          <w:rFonts w:hint="eastAsia" w:ascii="宋体" w:hAnsi="宋体" w:cs="宋体"/>
          <w:color w:val="auto"/>
          <w:szCs w:val="21"/>
          <w:highlight w:val="none"/>
          <w:lang w:eastAsia="zh-CN"/>
        </w:rPr>
        <w:t>。</w:t>
      </w:r>
    </w:p>
    <w:p w14:paraId="09DD966D">
      <w:pPr>
        <w:spacing w:line="360" w:lineRule="auto"/>
        <w:ind w:firstLine="482" w:firstLineChars="200"/>
        <w:contextualSpacing/>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lang w:val="en-US" w:eastAsia="zh-CN"/>
        </w:rPr>
        <w:t>0</w:t>
      </w:r>
      <w:r>
        <w:rPr>
          <w:rFonts w:ascii="黑体" w:hAnsi="黑体" w:eastAsia="黑体" w:cs="宋体"/>
          <w:b/>
          <w:bCs/>
          <w:color w:val="auto"/>
          <w:sz w:val="24"/>
          <w:highlight w:val="none"/>
        </w:rPr>
        <w:t>. 需要补充的其他内容</w:t>
      </w:r>
    </w:p>
    <w:p w14:paraId="44B025DE">
      <w:pPr>
        <w:pStyle w:val="13"/>
        <w:spacing w:line="360" w:lineRule="auto"/>
        <w:ind w:firstLine="420" w:firstLineChars="200"/>
        <w:contextualSpacing/>
        <w:rPr>
          <w:rFonts w:hAnsi="宋体"/>
          <w:color w:val="auto"/>
          <w:sz w:val="21"/>
          <w:highlight w:val="none"/>
        </w:rPr>
      </w:pPr>
      <w:r>
        <w:rPr>
          <w:rFonts w:hAnsi="宋体"/>
          <w:color w:val="auto"/>
          <w:sz w:val="21"/>
          <w:highlight w:val="none"/>
        </w:rPr>
        <w:t>3</w:t>
      </w:r>
      <w:r>
        <w:rPr>
          <w:rFonts w:hint="eastAsia" w:hAnsi="宋体"/>
          <w:color w:val="auto"/>
          <w:sz w:val="21"/>
          <w:highlight w:val="none"/>
          <w:lang w:val="en-US" w:eastAsia="zh-CN"/>
        </w:rPr>
        <w:t>0</w:t>
      </w:r>
      <w:r>
        <w:rPr>
          <w:rFonts w:hAnsi="宋体"/>
          <w:color w:val="auto"/>
          <w:sz w:val="21"/>
          <w:highlight w:val="none"/>
        </w:rPr>
        <w:t>.1</w:t>
      </w:r>
      <w:r>
        <w:rPr>
          <w:rFonts w:hint="eastAsia" w:hAnsi="宋体" w:cs="宋体"/>
          <w:color w:val="auto"/>
          <w:sz w:val="21"/>
          <w:highlight w:val="none"/>
        </w:rPr>
        <w:t>本谈判文件解释规则详见</w:t>
      </w:r>
      <w:r>
        <w:rPr>
          <w:rFonts w:hint="eastAsia" w:hAnsi="宋体"/>
          <w:color w:val="auto"/>
          <w:sz w:val="21"/>
          <w:highlight w:val="none"/>
        </w:rPr>
        <w:t>“供应商须知前附表”。</w:t>
      </w:r>
    </w:p>
    <w:p w14:paraId="04D70851">
      <w:pPr>
        <w:spacing w:line="360" w:lineRule="auto"/>
        <w:ind w:firstLine="420" w:firstLineChars="200"/>
        <w:contextualSpacing/>
        <w:rPr>
          <w:rFonts w:hAnsi="宋体"/>
          <w:color w:val="auto"/>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lang w:val="en-US" w:eastAsia="zh-CN"/>
        </w:rPr>
        <w:t>0</w:t>
      </w:r>
      <w:r>
        <w:rPr>
          <w:rFonts w:ascii="宋体" w:hAnsi="宋体" w:cs="宋体"/>
          <w:color w:val="auto"/>
          <w:kern w:val="0"/>
          <w:szCs w:val="21"/>
          <w:highlight w:val="none"/>
        </w:rPr>
        <w:t>.2</w:t>
      </w:r>
      <w:r>
        <w:rPr>
          <w:rFonts w:hint="eastAsia" w:ascii="宋体" w:hAnsi="宋体" w:cs="宋体"/>
          <w:color w:val="auto"/>
          <w:kern w:val="0"/>
          <w:szCs w:val="21"/>
          <w:highlight w:val="none"/>
        </w:rPr>
        <w:t xml:space="preserve"> 其他事</w:t>
      </w:r>
      <w:r>
        <w:rPr>
          <w:rFonts w:hint="eastAsia" w:hAnsi="宋体"/>
          <w:color w:val="auto"/>
          <w:highlight w:val="none"/>
        </w:rPr>
        <w:t>项详见“供应商须知前附表”。</w:t>
      </w:r>
    </w:p>
    <w:p w14:paraId="55C57B13">
      <w:pPr>
        <w:pStyle w:val="13"/>
        <w:spacing w:line="360" w:lineRule="auto"/>
        <w:ind w:firstLine="420" w:firstLineChars="200"/>
        <w:contextualSpacing/>
        <w:rPr>
          <w:rFonts w:hint="eastAsia" w:hAnsi="宋体"/>
          <w:color w:val="auto"/>
          <w:sz w:val="21"/>
          <w:highlight w:val="none"/>
        </w:rPr>
      </w:pPr>
      <w:r>
        <w:rPr>
          <w:rFonts w:hint="eastAsia" w:ascii="宋体" w:hAnsi="宋体" w:eastAsia="宋体" w:cs="宋体"/>
          <w:color w:val="auto"/>
          <w:kern w:val="0"/>
          <w:sz w:val="21"/>
          <w:szCs w:val="21"/>
          <w:highlight w:val="none"/>
          <w:lang w:val="en-US" w:eastAsia="zh-CN" w:bidi="ar-SA"/>
        </w:rPr>
        <w:t>30</w:t>
      </w:r>
      <w:r>
        <w:rPr>
          <w:rFonts w:ascii="宋体" w:hAnsi="宋体" w:eastAsia="宋体" w:cs="宋体"/>
          <w:color w:val="auto"/>
          <w:kern w:val="0"/>
          <w:sz w:val="21"/>
          <w:szCs w:val="21"/>
          <w:highlight w:val="none"/>
          <w:lang w:val="en-US" w:eastAsia="zh-CN" w:bidi="ar-SA"/>
        </w:rPr>
        <w:t>.3</w:t>
      </w:r>
      <w:bookmarkStart w:id="53" w:name="_Hlk65857140"/>
      <w:r>
        <w:rPr>
          <w:rFonts w:hint="eastAsia" w:hAnsi="宋体"/>
          <w:color w:val="auto"/>
          <w:sz w:val="21"/>
          <w:highlight w:val="none"/>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14:paraId="1C3526CE">
      <w:pPr>
        <w:pStyle w:val="13"/>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2CD725D3">
      <w:pPr>
        <w:pStyle w:val="13"/>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0AACF7CD">
      <w:pPr>
        <w:pStyle w:val="13"/>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010F0CC6">
      <w:pPr>
        <w:pStyle w:val="13"/>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14:paraId="5AF53D01">
      <w:pPr>
        <w:spacing w:line="360" w:lineRule="auto"/>
        <w:ind w:firstLine="420" w:firstLineChars="200"/>
        <w:contextualSpacing/>
        <w:rPr>
          <w:rFonts w:hint="eastAsia" w:ascii="宋体" w:hAnsi="宋体" w:cs="宋体"/>
          <w:color w:val="auto"/>
          <w:highlight w:val="none"/>
        </w:rPr>
      </w:pPr>
      <w:r>
        <w:rPr>
          <w:rFonts w:hint="eastAsia" w:hAnsi="宋体"/>
          <w:color w:val="auto"/>
          <w:highlight w:val="none"/>
        </w:rPr>
        <w:t>依据本谈判文件规定享受扶持政策获得政府采购合同的，小微企业不得将合同分包给大中型企业，中型企业不得将合同分包给大型企业。</w:t>
      </w:r>
      <w:bookmarkEnd w:id="53"/>
    </w:p>
    <w:p w14:paraId="02A16F26">
      <w:pPr>
        <w:jc w:val="left"/>
        <w:rPr>
          <w:rFonts w:hint="eastAsia" w:hAnsi="宋体"/>
          <w:b/>
          <w:color w:val="auto"/>
          <w:sz w:val="32"/>
          <w:szCs w:val="32"/>
          <w:highlight w:val="none"/>
        </w:rPr>
      </w:pPr>
    </w:p>
    <w:p w14:paraId="1E01DA19">
      <w:pPr>
        <w:pStyle w:val="2"/>
        <w:spacing w:line="240" w:lineRule="auto"/>
        <w:jc w:val="center"/>
        <w:rPr>
          <w:rFonts w:hint="eastAsia"/>
          <w:color w:val="auto"/>
          <w:highlight w:val="none"/>
        </w:rPr>
      </w:pPr>
      <w:bookmarkStart w:id="54" w:name="_Toc74322010"/>
      <w:r>
        <w:rPr>
          <w:rFonts w:hint="eastAsia"/>
          <w:color w:val="auto"/>
          <w:highlight w:val="none"/>
        </w:rPr>
        <w:br w:type="page"/>
      </w:r>
      <w:r>
        <w:rPr>
          <w:rFonts w:hint="eastAsia"/>
          <w:color w:val="auto"/>
          <w:highlight w:val="none"/>
        </w:rPr>
        <w:t>第三章 采购需求</w:t>
      </w:r>
      <w:bookmarkEnd w:id="54"/>
    </w:p>
    <w:p w14:paraId="7CCAA105">
      <w:pPr>
        <w:spacing w:line="24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采购项目技术规格、参数及要求</w:t>
      </w:r>
    </w:p>
    <w:p w14:paraId="4E5BC8F4">
      <w:pPr>
        <w:spacing w:line="360" w:lineRule="auto"/>
        <w:jc w:val="left"/>
        <w:rPr>
          <w:rFonts w:ascii="宋体" w:hAnsi="宋体" w:cs="宋体"/>
          <w:szCs w:val="21"/>
        </w:rPr>
      </w:pP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1325"/>
        <w:gridCol w:w="4167"/>
        <w:gridCol w:w="2447"/>
      </w:tblGrid>
      <w:tr w14:paraId="18A82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5" w:type="dxa"/>
            <w:tcBorders>
              <w:top w:val="single" w:color="auto" w:sz="4" w:space="0"/>
              <w:left w:val="single" w:color="auto" w:sz="4" w:space="0"/>
              <w:bottom w:val="single" w:color="auto" w:sz="4" w:space="0"/>
              <w:right w:val="single" w:color="auto" w:sz="4" w:space="0"/>
            </w:tcBorders>
            <w:noWrap w:val="0"/>
            <w:vAlign w:val="top"/>
          </w:tcPr>
          <w:p w14:paraId="72C6AAC1">
            <w:pPr>
              <w:spacing w:line="360" w:lineRule="auto"/>
              <w:jc w:val="center"/>
              <w:rPr>
                <w:rFonts w:hint="eastAsia" w:ascii="宋体" w:hAnsi="宋体"/>
                <w:b/>
                <w:bCs/>
                <w:szCs w:val="21"/>
              </w:rPr>
            </w:pPr>
            <w:r>
              <w:rPr>
                <w:rFonts w:hint="eastAsia" w:ascii="宋体" w:hAnsi="宋体"/>
                <w:b/>
                <w:bCs/>
                <w:szCs w:val="21"/>
              </w:rPr>
              <w:t>序号</w:t>
            </w:r>
          </w:p>
        </w:tc>
        <w:tc>
          <w:tcPr>
            <w:tcW w:w="1325" w:type="dxa"/>
            <w:tcBorders>
              <w:top w:val="single" w:color="auto" w:sz="4" w:space="0"/>
              <w:left w:val="single" w:color="auto" w:sz="4" w:space="0"/>
              <w:bottom w:val="single" w:color="auto" w:sz="4" w:space="0"/>
              <w:right w:val="single" w:color="auto" w:sz="4" w:space="0"/>
            </w:tcBorders>
            <w:noWrap w:val="0"/>
            <w:vAlign w:val="top"/>
          </w:tcPr>
          <w:p w14:paraId="1CC5CF14">
            <w:pPr>
              <w:spacing w:line="360" w:lineRule="auto"/>
              <w:jc w:val="center"/>
              <w:rPr>
                <w:rFonts w:ascii="宋体" w:hAnsi="宋体"/>
                <w:b/>
                <w:bCs/>
                <w:szCs w:val="21"/>
              </w:rPr>
            </w:pPr>
            <w:r>
              <w:rPr>
                <w:rFonts w:hint="eastAsia" w:ascii="宋体" w:hAnsi="宋体"/>
                <w:b/>
                <w:bCs/>
                <w:szCs w:val="21"/>
              </w:rPr>
              <w:t>项目名称</w:t>
            </w:r>
          </w:p>
        </w:tc>
        <w:tc>
          <w:tcPr>
            <w:tcW w:w="4167" w:type="dxa"/>
            <w:tcBorders>
              <w:top w:val="single" w:color="auto" w:sz="4" w:space="0"/>
              <w:left w:val="single" w:color="auto" w:sz="4" w:space="0"/>
              <w:bottom w:val="single" w:color="auto" w:sz="4" w:space="0"/>
              <w:right w:val="single" w:color="auto" w:sz="4" w:space="0"/>
            </w:tcBorders>
            <w:noWrap w:val="0"/>
            <w:vAlign w:val="top"/>
          </w:tcPr>
          <w:p w14:paraId="2B9118AC">
            <w:pPr>
              <w:spacing w:line="360" w:lineRule="auto"/>
              <w:jc w:val="center"/>
              <w:rPr>
                <w:rFonts w:hint="eastAsia" w:ascii="宋体" w:hAnsi="宋体"/>
                <w:b/>
                <w:bCs/>
                <w:szCs w:val="21"/>
              </w:rPr>
            </w:pPr>
            <w:r>
              <w:rPr>
                <w:rFonts w:hint="eastAsia" w:ascii="宋体" w:hAnsi="宋体"/>
                <w:b/>
                <w:bCs/>
                <w:szCs w:val="21"/>
              </w:rPr>
              <w:t>技术要求</w:t>
            </w:r>
          </w:p>
        </w:tc>
        <w:tc>
          <w:tcPr>
            <w:tcW w:w="2447" w:type="dxa"/>
            <w:tcBorders>
              <w:top w:val="single" w:color="auto" w:sz="4" w:space="0"/>
              <w:left w:val="single" w:color="auto" w:sz="4" w:space="0"/>
              <w:bottom w:val="single" w:color="auto" w:sz="4" w:space="0"/>
              <w:right w:val="single" w:color="auto" w:sz="4" w:space="0"/>
            </w:tcBorders>
            <w:noWrap w:val="0"/>
            <w:vAlign w:val="top"/>
          </w:tcPr>
          <w:p w14:paraId="364DAD10">
            <w:pPr>
              <w:spacing w:line="360" w:lineRule="auto"/>
              <w:jc w:val="center"/>
              <w:rPr>
                <w:rFonts w:ascii="宋体" w:hAnsi="宋体"/>
                <w:b/>
                <w:bCs/>
                <w:szCs w:val="21"/>
              </w:rPr>
            </w:pPr>
            <w:r>
              <w:rPr>
                <w:rFonts w:hint="eastAsia" w:ascii="宋体" w:hAnsi="宋体"/>
                <w:b/>
                <w:bCs/>
                <w:szCs w:val="21"/>
              </w:rPr>
              <w:t>采购上限控制价</w:t>
            </w:r>
          </w:p>
        </w:tc>
      </w:tr>
      <w:tr w14:paraId="0AA17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5" w:type="dxa"/>
            <w:tcBorders>
              <w:top w:val="single" w:color="auto" w:sz="4" w:space="0"/>
              <w:left w:val="single" w:color="auto" w:sz="4" w:space="0"/>
              <w:bottom w:val="single" w:color="auto" w:sz="4" w:space="0"/>
              <w:right w:val="single" w:color="auto" w:sz="4" w:space="0"/>
            </w:tcBorders>
            <w:noWrap w:val="0"/>
            <w:vAlign w:val="center"/>
          </w:tcPr>
          <w:p w14:paraId="15A605C5">
            <w:pPr>
              <w:spacing w:line="360" w:lineRule="auto"/>
              <w:jc w:val="center"/>
              <w:rPr>
                <w:rFonts w:hint="eastAsia" w:ascii="宋体" w:hAnsi="宋体"/>
                <w:bCs/>
                <w:szCs w:val="21"/>
              </w:rPr>
            </w:pPr>
            <w:r>
              <w:rPr>
                <w:rFonts w:hint="eastAsia" w:ascii="宋体" w:hAnsi="宋体"/>
                <w:bCs/>
                <w:szCs w:val="21"/>
              </w:rPr>
              <w:t>1</w:t>
            </w:r>
          </w:p>
        </w:tc>
        <w:tc>
          <w:tcPr>
            <w:tcW w:w="1325" w:type="dxa"/>
            <w:tcBorders>
              <w:top w:val="single" w:color="auto" w:sz="4" w:space="0"/>
              <w:left w:val="single" w:color="auto" w:sz="4" w:space="0"/>
              <w:bottom w:val="single" w:color="auto" w:sz="4" w:space="0"/>
              <w:right w:val="single" w:color="auto" w:sz="4" w:space="0"/>
            </w:tcBorders>
            <w:noWrap w:val="0"/>
            <w:vAlign w:val="top"/>
          </w:tcPr>
          <w:p w14:paraId="5C0FB521">
            <w:pPr>
              <w:spacing w:line="360" w:lineRule="auto"/>
              <w:jc w:val="left"/>
              <w:rPr>
                <w:rFonts w:hint="eastAsia" w:ascii="Times New Roman" w:hAnsi="Times New Roman" w:eastAsia="宋体" w:cs="Times New Roman"/>
                <w:lang w:val="en-US" w:eastAsia="zh-CN"/>
              </w:rPr>
            </w:pPr>
          </w:p>
          <w:p w14:paraId="1EEFFECC">
            <w:pPr>
              <w:spacing w:line="360" w:lineRule="auto"/>
              <w:jc w:val="left"/>
              <w:rPr>
                <w:rFonts w:hint="eastAsia" w:ascii="Times New Roman" w:hAnsi="Times New Roman" w:eastAsia="宋体" w:cs="Times New Roman"/>
                <w:lang w:val="en-US" w:eastAsia="zh-CN"/>
              </w:rPr>
            </w:pPr>
          </w:p>
          <w:p w14:paraId="1C222C95">
            <w:pPr>
              <w:spacing w:line="360" w:lineRule="auto"/>
              <w:jc w:val="left"/>
              <w:rPr>
                <w:rFonts w:hint="eastAsia" w:ascii="Times New Roman" w:hAnsi="Times New Roman" w:eastAsia="宋体" w:cs="Times New Roman"/>
                <w:lang w:val="en-US" w:eastAsia="zh-CN"/>
              </w:rPr>
            </w:pPr>
          </w:p>
          <w:p w14:paraId="0B727C79">
            <w:pPr>
              <w:spacing w:line="360" w:lineRule="auto"/>
              <w:jc w:val="left"/>
              <w:rPr>
                <w:rFonts w:hint="eastAsia" w:ascii="Times New Roman" w:hAnsi="Times New Roman" w:eastAsia="宋体" w:cs="Times New Roman"/>
                <w:lang w:val="en-US" w:eastAsia="zh-CN"/>
              </w:rPr>
            </w:pPr>
          </w:p>
          <w:p w14:paraId="27F15E85">
            <w:pPr>
              <w:spacing w:line="360" w:lineRule="auto"/>
              <w:jc w:val="left"/>
              <w:rPr>
                <w:rFonts w:hint="eastAsia" w:ascii="Times New Roman" w:hAnsi="Times New Roman" w:eastAsia="宋体" w:cs="Times New Roman"/>
                <w:lang w:val="en-US" w:eastAsia="zh-CN"/>
              </w:rPr>
            </w:pPr>
          </w:p>
          <w:p w14:paraId="086D878B">
            <w:pPr>
              <w:spacing w:line="360" w:lineRule="auto"/>
              <w:jc w:val="left"/>
              <w:rPr>
                <w:rFonts w:hint="eastAsia" w:ascii="Times New Roman" w:hAnsi="Times New Roman" w:eastAsia="宋体" w:cs="Times New Roman"/>
                <w:lang w:val="en-US" w:eastAsia="zh-CN"/>
              </w:rPr>
            </w:pPr>
          </w:p>
          <w:p w14:paraId="5AEAA673">
            <w:pPr>
              <w:spacing w:line="360" w:lineRule="auto"/>
              <w:jc w:val="left"/>
              <w:rPr>
                <w:rFonts w:hint="eastAsia" w:ascii="Times New Roman" w:hAnsi="Times New Roman" w:eastAsia="宋体" w:cs="Times New Roman"/>
                <w:lang w:val="en-US" w:eastAsia="zh-CN"/>
              </w:rPr>
            </w:pPr>
          </w:p>
          <w:p w14:paraId="3BD49FC1">
            <w:pPr>
              <w:spacing w:line="360" w:lineRule="auto"/>
              <w:jc w:val="left"/>
              <w:rPr>
                <w:rFonts w:hint="eastAsia" w:ascii="Times New Roman" w:hAnsi="Times New Roman" w:eastAsia="宋体" w:cs="Times New Roman"/>
                <w:lang w:val="en-US" w:eastAsia="zh-CN"/>
              </w:rPr>
            </w:pPr>
          </w:p>
          <w:p w14:paraId="2AB63A47">
            <w:pPr>
              <w:spacing w:line="360" w:lineRule="auto"/>
              <w:jc w:val="left"/>
              <w:rPr>
                <w:rFonts w:hint="eastAsia" w:ascii="Times New Roman" w:hAnsi="Times New Roman" w:eastAsia="宋体" w:cs="Times New Roman"/>
                <w:lang w:val="en-US" w:eastAsia="zh-CN"/>
              </w:rPr>
            </w:pPr>
          </w:p>
          <w:p w14:paraId="09FA290D">
            <w:pPr>
              <w:spacing w:line="360" w:lineRule="auto"/>
              <w:jc w:val="left"/>
              <w:rPr>
                <w:rFonts w:hint="eastAsia" w:ascii="Times New Roman" w:hAnsi="Times New Roman" w:eastAsia="宋体" w:cs="Times New Roman"/>
                <w:lang w:val="en-US" w:eastAsia="zh-CN"/>
              </w:rPr>
            </w:pPr>
          </w:p>
          <w:p w14:paraId="0015097E">
            <w:pPr>
              <w:spacing w:line="360" w:lineRule="auto"/>
              <w:jc w:val="left"/>
              <w:rPr>
                <w:rFonts w:hint="eastAsia" w:ascii="Times New Roman" w:hAnsi="Times New Roman" w:eastAsia="宋体" w:cs="Times New Roman"/>
                <w:lang w:val="en-US" w:eastAsia="zh-CN"/>
              </w:rPr>
            </w:pPr>
          </w:p>
          <w:p w14:paraId="38D9A7F2">
            <w:pPr>
              <w:spacing w:line="360" w:lineRule="auto"/>
              <w:jc w:val="left"/>
              <w:rPr>
                <w:rFonts w:hint="eastAsia" w:ascii="Times New Roman" w:hAnsi="Times New Roman" w:eastAsia="宋体" w:cs="Times New Roman"/>
                <w:lang w:val="en-US" w:eastAsia="zh-CN"/>
              </w:rPr>
            </w:pPr>
          </w:p>
          <w:p w14:paraId="181AD62C">
            <w:pPr>
              <w:spacing w:line="36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2025年春秋两季“四害”消杀服务</w:t>
            </w:r>
          </w:p>
        </w:tc>
        <w:tc>
          <w:tcPr>
            <w:tcW w:w="4167" w:type="dxa"/>
            <w:tcBorders>
              <w:top w:val="single" w:color="auto" w:sz="4" w:space="0"/>
              <w:left w:val="single" w:color="auto" w:sz="4" w:space="0"/>
              <w:bottom w:val="single" w:color="auto" w:sz="4" w:space="0"/>
              <w:right w:val="single" w:color="auto" w:sz="4" w:space="0"/>
            </w:tcBorders>
            <w:noWrap w:val="0"/>
            <w:vAlign w:val="top"/>
          </w:tcPr>
          <w:p w14:paraId="016F581F">
            <w:pPr>
              <w:spacing w:line="36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一、消杀范围</w:t>
            </w:r>
          </w:p>
          <w:p w14:paraId="1FFFAD62">
            <w:pPr>
              <w:spacing w:line="36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消杀范围为西林县城建成区的城中、城北、城南、城西四个社区内机关单位、企事业单位、学校（含幼儿园）、医疗卫生机构、居民小区、公园(体育场)、城区公共区域绿化、城区公共区域下水道、垃圾中转站、建筑工地、“四小”行业、酒店宾馆、公厕、垃圾填埋场、农贸市场、城区内河道两岸和岛屿、江心岛、经贸酒店背后菜地、城中村（八洋屯、火亮山屯、宏达屯、中街、北街、东街）和城乡结合部（火亮山路法院路口一带、迎宾路公路养护中心一带、隆林三岔路口一带、城西新红一二组）等区域进行房前屋后灭鼠、灭蟑、灭蝇、灭蚊服务工作。</w:t>
            </w:r>
          </w:p>
          <w:p w14:paraId="61665E94">
            <w:pPr>
              <w:spacing w:line="36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二、消杀方式及标准</w:t>
            </w:r>
          </w:p>
          <w:p w14:paraId="0A96B09F">
            <w:pPr>
              <w:spacing w:line="36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（一）由持有上岗证的专业操作人员，对规定的消杀范围进行灭鼠、灭蟑、灭蝇、灭蚊服务工作，采用物理防治与化学防治相结合的方式。</w:t>
            </w:r>
          </w:p>
          <w:p w14:paraId="48146091">
            <w:pPr>
              <w:spacing w:line="36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（二）消杀标准：按全国爱卫会关于印发《灭鼠、蚊、蝇、蟑螂标准》、《灭鼠、蚊、蝇、蟑螂考核鉴定办法》的通知及其他相关行业要求与标准。</w:t>
            </w:r>
          </w:p>
          <w:p w14:paraId="107F4624">
            <w:pPr>
              <w:spacing w:line="36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1.灭鼠：达到国家爱委会创建卫生城市的要求和标准（按标准排放毒鼠屋）；</w:t>
            </w:r>
          </w:p>
          <w:p w14:paraId="3C6BD6E0">
            <w:pPr>
              <w:spacing w:line="36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2.灭蟑螂：达到国家爱委会创建卫生城市的要求和标准；</w:t>
            </w:r>
          </w:p>
          <w:p w14:paraId="460243C0">
            <w:pPr>
              <w:spacing w:line="36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3.灭蝇：达到国家爱委会创建卫生城市的要求和标准；</w:t>
            </w:r>
          </w:p>
          <w:p w14:paraId="3C891B0B">
            <w:pPr>
              <w:spacing w:line="36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4.灭蚊：达到国家爱委会创建卫生城市的要求和标准；</w:t>
            </w:r>
          </w:p>
          <w:p w14:paraId="5F62E0D5">
            <w:pPr>
              <w:spacing w:line="36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三、所使用药品及消杀时间</w:t>
            </w:r>
          </w:p>
          <w:p w14:paraId="7AE6D874">
            <w:pPr>
              <w:spacing w:line="36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(一)所使用药物不污染环境，对人体无害无味，并符合国家规定及国际室内卫生标准。</w:t>
            </w:r>
          </w:p>
          <w:p w14:paraId="29C9CCC1">
            <w:pPr>
              <w:spacing w:line="36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(二)灭四害外环境白天喷杀，内环境公共区域晚上喷杀，如对方有特殊情况需要另外喷消杀，做到随叫随到。</w:t>
            </w:r>
          </w:p>
          <w:p w14:paraId="18E10234">
            <w:pPr>
              <w:spacing w:line="36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（三）</w:t>
            </w:r>
            <w:r>
              <w:rPr>
                <w:rFonts w:hint="eastAsia" w:cs="Times New Roman"/>
                <w:color w:val="FF0000"/>
                <w:lang w:val="en-US" w:eastAsia="zh-CN"/>
              </w:rPr>
              <w:t>要求上半年于7</w:t>
            </w:r>
            <w:r>
              <w:rPr>
                <w:rFonts w:hint="eastAsia" w:ascii="Times New Roman" w:hAnsi="Times New Roman" w:eastAsia="宋体" w:cs="Times New Roman"/>
                <w:color w:val="FF0000"/>
                <w:lang w:val="en-US" w:eastAsia="zh-CN"/>
              </w:rPr>
              <w:t>月3</w:t>
            </w:r>
            <w:r>
              <w:rPr>
                <w:rFonts w:hint="eastAsia" w:cs="Times New Roman"/>
                <w:color w:val="FF0000"/>
                <w:lang w:val="en-US" w:eastAsia="zh-CN"/>
              </w:rPr>
              <w:t>1</w:t>
            </w:r>
            <w:r>
              <w:rPr>
                <w:rFonts w:hint="eastAsia" w:ascii="Times New Roman" w:hAnsi="Times New Roman" w:eastAsia="宋体" w:cs="Times New Roman"/>
                <w:color w:val="FF0000"/>
                <w:lang w:val="en-US" w:eastAsia="zh-CN"/>
              </w:rPr>
              <w:t>日前和</w:t>
            </w:r>
            <w:r>
              <w:rPr>
                <w:rFonts w:hint="eastAsia" w:cs="Times New Roman"/>
                <w:color w:val="FF0000"/>
                <w:lang w:val="en-US" w:eastAsia="zh-CN"/>
              </w:rPr>
              <w:t>下半年于11</w:t>
            </w:r>
            <w:r>
              <w:rPr>
                <w:rFonts w:hint="eastAsia" w:ascii="Times New Roman" w:hAnsi="Times New Roman" w:eastAsia="宋体" w:cs="Times New Roman"/>
                <w:color w:val="FF0000"/>
                <w:lang w:val="en-US" w:eastAsia="zh-CN"/>
              </w:rPr>
              <w:t>月30日前在消杀范围区域内各统一消杀一次，</w:t>
            </w:r>
            <w:r>
              <w:rPr>
                <w:rFonts w:hint="eastAsia" w:cs="Times New Roman"/>
                <w:color w:val="FF0000"/>
                <w:lang w:val="en-US" w:eastAsia="zh-CN"/>
              </w:rPr>
              <w:t>消杀</w:t>
            </w:r>
            <w:r>
              <w:rPr>
                <w:rFonts w:hint="eastAsia" w:ascii="Times New Roman" w:hAnsi="Times New Roman" w:eastAsia="宋体" w:cs="Times New Roman"/>
                <w:color w:val="FF0000"/>
                <w:lang w:val="en-US" w:eastAsia="zh-CN"/>
              </w:rPr>
              <w:t>公司上半年和下半年统一消杀后需由县疾控中心监测密度达标后方可收工撤离</w:t>
            </w:r>
            <w:r>
              <w:rPr>
                <w:rFonts w:hint="eastAsia" w:cs="Times New Roman"/>
                <w:color w:val="FF0000"/>
                <w:lang w:val="en-US" w:eastAsia="zh-CN"/>
              </w:rPr>
              <w:t>，</w:t>
            </w:r>
            <w:r>
              <w:rPr>
                <w:rFonts w:hint="eastAsia" w:ascii="Times New Roman" w:hAnsi="Times New Roman" w:eastAsia="宋体" w:cs="Times New Roman"/>
                <w:lang w:val="en-US" w:eastAsia="zh-CN"/>
              </w:rPr>
              <w:t>其余时间段以县疾控中心日常监测为准，如监测显示“四害”密度低于国家C级标准的，中标公司要立即开展局部消杀后经县疾控中心监测达标为止。</w:t>
            </w:r>
          </w:p>
          <w:p w14:paraId="129431E8">
            <w:pPr>
              <w:spacing w:line="360" w:lineRule="auto"/>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四、其他工作要求</w:t>
            </w:r>
          </w:p>
          <w:p w14:paraId="0429EAB6">
            <w:pPr>
              <w:spacing w:line="360" w:lineRule="auto"/>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在开展“四害”消杀工作过程中，要求中标公司每日向县爱卫工作中心报送消杀区域消杀工作进度、消杀记录表、消杀工作图片，消杀工作结束后提供消杀工作报告。</w:t>
            </w:r>
          </w:p>
          <w:p w14:paraId="3231930A">
            <w:pPr>
              <w:spacing w:line="360" w:lineRule="auto"/>
              <w:jc w:val="left"/>
              <w:rPr>
                <w:rFonts w:hint="eastAsia" w:ascii="Times New Roman" w:hAnsi="Times New Roman" w:eastAsia="宋体" w:cs="Times New Roman"/>
                <w:lang w:val="en-US" w:eastAsia="zh-CN"/>
              </w:rPr>
            </w:pPr>
          </w:p>
        </w:tc>
        <w:tc>
          <w:tcPr>
            <w:tcW w:w="2447" w:type="dxa"/>
            <w:tcBorders>
              <w:top w:val="single" w:color="auto" w:sz="4" w:space="0"/>
              <w:left w:val="single" w:color="auto" w:sz="4" w:space="0"/>
              <w:bottom w:val="single" w:color="auto" w:sz="4" w:space="0"/>
              <w:right w:val="single" w:color="auto" w:sz="4" w:space="0"/>
            </w:tcBorders>
            <w:noWrap w:val="0"/>
            <w:vAlign w:val="center"/>
          </w:tcPr>
          <w:p w14:paraId="370B6355">
            <w:pPr>
              <w:spacing w:line="360" w:lineRule="auto"/>
              <w:jc w:val="left"/>
              <w:rPr>
                <w:rFonts w:hint="default" w:eastAsia="宋体"/>
                <w:lang w:val="en-US" w:eastAsia="zh-CN"/>
              </w:rPr>
            </w:pPr>
            <w:r>
              <w:rPr>
                <w:rFonts w:hint="eastAsia" w:eastAsia="宋体"/>
                <w:lang w:val="en-US" w:eastAsia="zh-CN"/>
              </w:rPr>
              <w:t>500000.00元</w:t>
            </w:r>
          </w:p>
        </w:tc>
      </w:tr>
      <w:tr w14:paraId="5A93C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14" w:type="dxa"/>
            <w:gridSpan w:val="4"/>
            <w:tcBorders>
              <w:top w:val="single" w:color="auto" w:sz="4" w:space="0"/>
              <w:left w:val="single" w:color="auto" w:sz="4" w:space="0"/>
              <w:bottom w:val="single" w:color="auto" w:sz="4" w:space="0"/>
              <w:right w:val="single" w:color="auto" w:sz="4" w:space="0"/>
            </w:tcBorders>
            <w:noWrap w:val="0"/>
            <w:vAlign w:val="top"/>
          </w:tcPr>
          <w:p w14:paraId="48A2DF84">
            <w:pPr>
              <w:spacing w:line="360" w:lineRule="auto"/>
              <w:rPr>
                <w:rFonts w:hint="eastAsia" w:ascii="宋体" w:hAnsi="宋体"/>
                <w:b/>
                <w:szCs w:val="21"/>
              </w:rPr>
            </w:pPr>
            <w:r>
              <w:rPr>
                <w:rFonts w:hint="eastAsia" w:ascii="宋体" w:hAnsi="宋体"/>
                <w:b/>
                <w:szCs w:val="21"/>
              </w:rPr>
              <w:t>一、商务要求</w:t>
            </w:r>
          </w:p>
        </w:tc>
      </w:tr>
      <w:tr w14:paraId="27A86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72AC613B">
            <w:pPr>
              <w:spacing w:line="360" w:lineRule="auto"/>
              <w:jc w:val="center"/>
              <w:rPr>
                <w:rFonts w:ascii="宋体" w:hAnsi="宋体"/>
                <w:b/>
                <w:szCs w:val="21"/>
              </w:rPr>
            </w:pPr>
            <w:r>
              <w:rPr>
                <w:rFonts w:hint="eastAsia" w:ascii="宋体" w:hAnsi="宋体" w:cs="宋体"/>
                <w:szCs w:val="21"/>
              </w:rPr>
              <w:t>▲</w:t>
            </w:r>
            <w:r>
              <w:rPr>
                <w:rFonts w:hint="eastAsia" w:ascii="宋体" w:hAnsi="宋体"/>
                <w:szCs w:val="21"/>
              </w:rPr>
              <w:t>合同履行期限</w:t>
            </w:r>
          </w:p>
        </w:tc>
        <w:tc>
          <w:tcPr>
            <w:tcW w:w="6614" w:type="dxa"/>
            <w:gridSpan w:val="2"/>
            <w:tcBorders>
              <w:top w:val="single" w:color="auto" w:sz="4" w:space="0"/>
              <w:left w:val="single" w:color="auto" w:sz="4" w:space="0"/>
              <w:bottom w:val="single" w:color="auto" w:sz="4" w:space="0"/>
              <w:right w:val="single" w:color="auto" w:sz="4" w:space="0"/>
            </w:tcBorders>
            <w:noWrap w:val="0"/>
            <w:vAlign w:val="center"/>
          </w:tcPr>
          <w:p w14:paraId="658BAFDF">
            <w:pPr>
              <w:pStyle w:val="17"/>
              <w:keepNext w:val="0"/>
              <w:keepLines w:val="0"/>
              <w:widowControl/>
              <w:suppressLineNumbers w:val="0"/>
              <w:spacing w:before="75" w:beforeAutospacing="0" w:after="75" w:afterAutospacing="0" w:line="360" w:lineRule="auto"/>
              <w:ind w:right="0"/>
              <w:rPr>
                <w:rFonts w:hint="default" w:ascii="宋体" w:hAnsi="宋体" w:eastAsia="宋体"/>
                <w:bCs/>
                <w:szCs w:val="21"/>
                <w:lang w:val="en-US" w:eastAsia="zh-CN"/>
              </w:rPr>
            </w:pPr>
            <w:r>
              <w:rPr>
                <w:rFonts w:hint="eastAsia" w:ascii="Times New Roman" w:hAnsi="Times New Roman" w:eastAsia="宋体" w:cs="Times New Roman"/>
                <w:color w:val="FF0000"/>
                <w:kern w:val="2"/>
                <w:sz w:val="21"/>
                <w:szCs w:val="24"/>
                <w:lang w:val="en-US" w:eastAsia="zh-CN" w:bidi="ar-SA"/>
              </w:rPr>
              <w:t>上半年于7月31日前和下半年于11月30日前在消杀范围区域内各统一消杀一次，中标公司上半年和下半年统一消杀后需由县疾控中心监测密度达标后方可收工撤离</w:t>
            </w:r>
            <w:r>
              <w:rPr>
                <w:rFonts w:hint="eastAsia" w:ascii="Times New Roman" w:hAnsi="Times New Roman" w:eastAsia="宋体" w:cs="Times New Roman"/>
                <w:kern w:val="2"/>
                <w:sz w:val="21"/>
                <w:szCs w:val="24"/>
                <w:lang w:val="en-US" w:eastAsia="zh-CN" w:bidi="ar-SA"/>
              </w:rPr>
              <w:t>，其余时间段以县疾控中心日常监测为准</w:t>
            </w:r>
            <w:r>
              <w:rPr>
                <w:rFonts w:hint="eastAsia" w:ascii="宋体" w:hAnsi="宋体" w:cs="宋体"/>
                <w:i w:val="0"/>
                <w:iCs w:val="0"/>
                <w:caps w:val="0"/>
                <w:color w:val="auto"/>
                <w:spacing w:val="0"/>
                <w:sz w:val="21"/>
                <w:szCs w:val="21"/>
                <w:highlight w:val="none"/>
                <w:lang w:eastAsia="zh-CN"/>
              </w:rPr>
              <w:t>。</w:t>
            </w:r>
          </w:p>
        </w:tc>
      </w:tr>
      <w:tr w14:paraId="5AEE3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637D3234">
            <w:pPr>
              <w:spacing w:line="360" w:lineRule="auto"/>
              <w:jc w:val="center"/>
              <w:rPr>
                <w:rFonts w:ascii="宋体" w:hAnsi="宋体"/>
                <w:b/>
                <w:szCs w:val="21"/>
              </w:rPr>
            </w:pPr>
            <w:r>
              <w:rPr>
                <w:rFonts w:hint="eastAsia" w:ascii="宋体" w:hAnsi="宋体"/>
                <w:szCs w:val="21"/>
              </w:rPr>
              <w:t>合同签订时间</w:t>
            </w:r>
          </w:p>
        </w:tc>
        <w:tc>
          <w:tcPr>
            <w:tcW w:w="6614" w:type="dxa"/>
            <w:gridSpan w:val="2"/>
            <w:tcBorders>
              <w:top w:val="single" w:color="auto" w:sz="4" w:space="0"/>
              <w:left w:val="single" w:color="auto" w:sz="4" w:space="0"/>
              <w:bottom w:val="single" w:color="auto" w:sz="4" w:space="0"/>
              <w:right w:val="single" w:color="auto" w:sz="4" w:space="0"/>
            </w:tcBorders>
            <w:noWrap w:val="0"/>
            <w:vAlign w:val="center"/>
          </w:tcPr>
          <w:p w14:paraId="18FA9829">
            <w:pPr>
              <w:spacing w:line="360" w:lineRule="auto"/>
              <w:rPr>
                <w:rFonts w:ascii="宋体" w:hAnsi="宋体"/>
                <w:bCs/>
                <w:szCs w:val="21"/>
              </w:rPr>
            </w:pPr>
            <w:r>
              <w:rPr>
                <w:rFonts w:hint="eastAsia" w:ascii="宋体" w:hAnsi="宋体"/>
                <w:bCs/>
                <w:szCs w:val="21"/>
              </w:rPr>
              <w:t>自成交通知书发出之日起</w:t>
            </w:r>
            <w:r>
              <w:rPr>
                <w:rFonts w:hint="eastAsia" w:ascii="宋体" w:hAnsi="宋体"/>
                <w:bCs/>
                <w:szCs w:val="21"/>
                <w:lang w:val="en-US" w:eastAsia="zh-CN"/>
              </w:rPr>
              <w:t>25</w:t>
            </w:r>
            <w:r>
              <w:rPr>
                <w:rFonts w:hint="eastAsia" w:ascii="宋体" w:hAnsi="宋体"/>
                <w:bCs/>
                <w:szCs w:val="21"/>
              </w:rPr>
              <w:t>日内。</w:t>
            </w:r>
          </w:p>
        </w:tc>
      </w:tr>
      <w:tr w14:paraId="609F5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596B35AF">
            <w:pPr>
              <w:spacing w:line="360" w:lineRule="auto"/>
              <w:jc w:val="center"/>
              <w:rPr>
                <w:rFonts w:ascii="宋体" w:hAnsi="宋体"/>
                <w:b/>
                <w:szCs w:val="21"/>
              </w:rPr>
            </w:pPr>
            <w:r>
              <w:rPr>
                <w:rFonts w:hint="eastAsia" w:ascii="宋体" w:hAnsi="宋体"/>
                <w:szCs w:val="21"/>
              </w:rPr>
              <w:t>付款条件</w:t>
            </w:r>
          </w:p>
        </w:tc>
        <w:tc>
          <w:tcPr>
            <w:tcW w:w="6614" w:type="dxa"/>
            <w:gridSpan w:val="2"/>
            <w:tcBorders>
              <w:top w:val="single" w:color="auto" w:sz="4" w:space="0"/>
              <w:left w:val="single" w:color="auto" w:sz="4" w:space="0"/>
              <w:bottom w:val="single" w:color="auto" w:sz="4" w:space="0"/>
              <w:right w:val="single" w:color="auto" w:sz="4" w:space="0"/>
            </w:tcBorders>
            <w:noWrap w:val="0"/>
            <w:vAlign w:val="center"/>
          </w:tcPr>
          <w:p w14:paraId="1D7C9FD1">
            <w:pPr>
              <w:spacing w:line="360" w:lineRule="auto"/>
              <w:rPr>
                <w:rFonts w:ascii="宋体" w:hAnsi="宋体"/>
                <w:bCs/>
                <w:szCs w:val="21"/>
              </w:rPr>
            </w:pPr>
            <w:r>
              <w:rPr>
                <w:rFonts w:hint="eastAsia" w:ascii="宋体" w:hAnsi="宋体"/>
                <w:bCs/>
                <w:szCs w:val="21"/>
              </w:rPr>
              <w:t>按合同条款执行。</w:t>
            </w:r>
          </w:p>
        </w:tc>
      </w:tr>
      <w:tr w14:paraId="65A4C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14" w:type="dxa"/>
            <w:gridSpan w:val="4"/>
            <w:tcBorders>
              <w:top w:val="single" w:color="auto" w:sz="4" w:space="0"/>
              <w:left w:val="single" w:color="auto" w:sz="4" w:space="0"/>
              <w:bottom w:val="single" w:color="auto" w:sz="4" w:space="0"/>
              <w:right w:val="single" w:color="auto" w:sz="4" w:space="0"/>
            </w:tcBorders>
            <w:noWrap w:val="0"/>
            <w:vAlign w:val="center"/>
          </w:tcPr>
          <w:p w14:paraId="7040B6CD">
            <w:pPr>
              <w:spacing w:line="360" w:lineRule="auto"/>
              <w:rPr>
                <w:rFonts w:ascii="宋体" w:hAnsi="宋体"/>
                <w:szCs w:val="21"/>
              </w:rPr>
            </w:pPr>
            <w:r>
              <w:rPr>
                <w:rFonts w:hint="eastAsia" w:ascii="宋体" w:hAnsi="宋体"/>
                <w:b/>
                <w:bCs/>
                <w:szCs w:val="21"/>
              </w:rPr>
              <w:t>二、与实现项目目标相关的其他要求</w:t>
            </w:r>
          </w:p>
        </w:tc>
      </w:tr>
      <w:tr w14:paraId="71F4D7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14" w:type="dxa"/>
            <w:gridSpan w:val="4"/>
            <w:tcBorders>
              <w:top w:val="single" w:color="auto" w:sz="4" w:space="0"/>
              <w:left w:val="single" w:color="auto" w:sz="4" w:space="0"/>
              <w:bottom w:val="single" w:color="auto" w:sz="4" w:space="0"/>
              <w:right w:val="single" w:color="auto" w:sz="4" w:space="0"/>
            </w:tcBorders>
            <w:noWrap w:val="0"/>
            <w:vAlign w:val="center"/>
          </w:tcPr>
          <w:p w14:paraId="58E048BC">
            <w:pPr>
              <w:spacing w:line="360" w:lineRule="auto"/>
              <w:rPr>
                <w:rFonts w:ascii="宋体" w:hAnsi="宋体"/>
                <w:b/>
                <w:szCs w:val="21"/>
              </w:rPr>
            </w:pPr>
            <w:r>
              <w:rPr>
                <w:rFonts w:hint="eastAsia" w:ascii="宋体" w:hAnsi="宋体"/>
                <w:b/>
                <w:szCs w:val="21"/>
              </w:rPr>
              <w:t>（一）供应商的履约能力要求</w:t>
            </w:r>
          </w:p>
        </w:tc>
      </w:tr>
      <w:tr w14:paraId="060AF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2115994E">
            <w:pPr>
              <w:spacing w:line="360" w:lineRule="auto"/>
              <w:jc w:val="center"/>
              <w:rPr>
                <w:rFonts w:ascii="宋体" w:hAnsi="宋体"/>
                <w:szCs w:val="21"/>
              </w:rPr>
            </w:pPr>
            <w:r>
              <w:rPr>
                <w:rFonts w:hint="eastAsia" w:ascii="宋体" w:hAnsi="宋体" w:cs="宋体"/>
                <w:szCs w:val="21"/>
              </w:rPr>
              <w:t>▲</w:t>
            </w:r>
            <w:r>
              <w:rPr>
                <w:rFonts w:hint="eastAsia" w:ascii="宋体" w:hAnsi="宋体"/>
                <w:szCs w:val="21"/>
              </w:rPr>
              <w:t>诚信要求</w:t>
            </w:r>
          </w:p>
        </w:tc>
        <w:tc>
          <w:tcPr>
            <w:tcW w:w="6614" w:type="dxa"/>
            <w:gridSpan w:val="2"/>
            <w:tcBorders>
              <w:top w:val="single" w:color="auto" w:sz="4" w:space="0"/>
              <w:left w:val="single" w:color="auto" w:sz="4" w:space="0"/>
              <w:bottom w:val="single" w:color="auto" w:sz="4" w:space="0"/>
              <w:right w:val="single" w:color="auto" w:sz="4" w:space="0"/>
            </w:tcBorders>
            <w:noWrap w:val="0"/>
            <w:vAlign w:val="center"/>
          </w:tcPr>
          <w:p w14:paraId="298DD12D">
            <w:pPr>
              <w:rPr>
                <w:rFonts w:ascii="宋体" w:hAnsi="宋体"/>
                <w:b/>
                <w:szCs w:val="21"/>
              </w:rPr>
            </w:pPr>
            <w:r>
              <w:rPr>
                <w:rFonts w:hint="eastAsia" w:ascii="宋体" w:hAnsi="宋体" w:eastAsia="宋体" w:cs="Times New Roman"/>
                <w:color w:val="auto"/>
                <w:szCs w:val="21"/>
                <w:lang w:val="en-US" w:eastAsia="zh-CN"/>
              </w:rPr>
              <w:t>未被“信用中国”（www.creditchina.gov.cn)、中国政府采购网（www.ccgp.gov.cn）列入失信被执行人、重大税收违法失信主体、政府采购严重违法失信行为记录名单。</w:t>
            </w:r>
          </w:p>
        </w:tc>
      </w:tr>
    </w:tbl>
    <w:p w14:paraId="3DA6291A">
      <w:pPr>
        <w:rPr>
          <w:highlight w:val="none"/>
        </w:rPr>
      </w:pPr>
    </w:p>
    <w:p w14:paraId="06F3539A">
      <w:pPr>
        <w:tabs>
          <w:tab w:val="left" w:pos="180"/>
          <w:tab w:val="left" w:pos="1620"/>
        </w:tabs>
        <w:spacing w:line="400" w:lineRule="exact"/>
        <w:ind w:firstLine="420" w:firstLineChars="200"/>
        <w:rPr>
          <w:rFonts w:hint="eastAsia" w:ascii="宋体" w:hAnsi="宋体" w:cs="宋体"/>
          <w:color w:val="auto"/>
          <w:szCs w:val="21"/>
          <w:highlight w:val="none"/>
        </w:rPr>
      </w:pPr>
    </w:p>
    <w:p w14:paraId="55A53A37">
      <w:pPr>
        <w:pStyle w:val="9"/>
        <w:spacing w:line="360" w:lineRule="auto"/>
        <w:rPr>
          <w:rFonts w:ascii="Arial Unicode MS" w:hAnsi="Arial Unicode MS" w:eastAsia="Arial Unicode MS" w:cs="Arial Unicode MS"/>
          <w:color w:val="auto"/>
          <w:sz w:val="32"/>
          <w:szCs w:val="32"/>
          <w:highlight w:val="none"/>
        </w:rPr>
      </w:pPr>
      <w:r>
        <w:rPr>
          <w:rFonts w:hint="eastAsia" w:hAnsi="宋体"/>
          <w:color w:val="auto"/>
          <w:highlight w:val="none"/>
        </w:rPr>
        <w:br w:type="page"/>
      </w:r>
      <w:r>
        <w:rPr>
          <w:rFonts w:hint="eastAsia" w:ascii="微软雅黑" w:hAnsi="微软雅黑" w:eastAsia="微软雅黑" w:cs="微软雅黑"/>
          <w:color w:val="auto"/>
          <w:sz w:val="32"/>
          <w:szCs w:val="32"/>
          <w:highlight w:val="none"/>
        </w:rPr>
        <w:t>附件</w:t>
      </w:r>
      <w:r>
        <w:rPr>
          <w:rFonts w:ascii="Arial Unicode MS" w:hAnsi="Arial Unicode MS" w:eastAsia="Arial Unicode MS" w:cs="Arial Unicode MS"/>
          <w:color w:val="auto"/>
          <w:sz w:val="32"/>
          <w:szCs w:val="32"/>
          <w:highlight w:val="none"/>
        </w:rPr>
        <w:t>2</w:t>
      </w:r>
      <w:r>
        <w:rPr>
          <w:rFonts w:hint="eastAsia" w:ascii="微软雅黑" w:hAnsi="微软雅黑" w:eastAsia="微软雅黑" w:cs="微软雅黑"/>
          <w:color w:val="auto"/>
          <w:sz w:val="32"/>
          <w:szCs w:val="32"/>
          <w:highlight w:val="none"/>
        </w:rPr>
        <w:t>：</w:t>
      </w:r>
    </w:p>
    <w:p w14:paraId="3F8EC89B">
      <w:pPr>
        <w:spacing w:line="528" w:lineRule="exact"/>
        <w:ind w:left="1871"/>
        <w:rPr>
          <w:rFonts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18"/>
        <w:tblW w:w="7980" w:type="dxa"/>
        <w:tblInd w:w="250" w:type="dxa"/>
        <w:tblLayout w:type="fixed"/>
        <w:tblCellMar>
          <w:top w:w="0" w:type="dxa"/>
          <w:left w:w="108" w:type="dxa"/>
          <w:bottom w:w="0" w:type="dxa"/>
          <w:right w:w="108" w:type="dxa"/>
        </w:tblCellMar>
      </w:tblPr>
      <w:tblGrid>
        <w:gridCol w:w="1701"/>
        <w:gridCol w:w="1383"/>
        <w:gridCol w:w="913"/>
        <w:gridCol w:w="1619"/>
        <w:gridCol w:w="1439"/>
        <w:gridCol w:w="925"/>
      </w:tblGrid>
      <w:tr w14:paraId="0DDC638A">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noWrap w:val="0"/>
            <w:vAlign w:val="center"/>
          </w:tcPr>
          <w:p w14:paraId="6DEBF66E">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noWrap w:val="0"/>
            <w:vAlign w:val="center"/>
          </w:tcPr>
          <w:p w14:paraId="75D03415">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noWrap w:val="0"/>
            <w:vAlign w:val="center"/>
          </w:tcPr>
          <w:p w14:paraId="16B56BBB">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noWrap w:val="0"/>
            <w:vAlign w:val="center"/>
          </w:tcPr>
          <w:p w14:paraId="7D61FF45">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noWrap w:val="0"/>
            <w:vAlign w:val="center"/>
          </w:tcPr>
          <w:p w14:paraId="59283AF6">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noWrap w:val="0"/>
            <w:vAlign w:val="center"/>
          </w:tcPr>
          <w:p w14:paraId="447ACEB4">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40EEA654">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bottom"/>
          </w:tcPr>
          <w:p w14:paraId="1D5E44D6">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noWrap w:val="0"/>
            <w:vAlign w:val="center"/>
          </w:tcPr>
          <w:p w14:paraId="5992FDC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358056F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41A4247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noWrap w:val="0"/>
            <w:vAlign w:val="center"/>
          </w:tcPr>
          <w:p w14:paraId="3FA297E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925" w:type="dxa"/>
            <w:tcBorders>
              <w:top w:val="nil"/>
              <w:left w:val="nil"/>
              <w:bottom w:val="single" w:color="auto" w:sz="4" w:space="0"/>
              <w:right w:val="single" w:color="auto" w:sz="4" w:space="0"/>
            </w:tcBorders>
            <w:noWrap w:val="0"/>
            <w:vAlign w:val="center"/>
          </w:tcPr>
          <w:p w14:paraId="6306220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4158F65E">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7BF0FCBC">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noWrap w:val="0"/>
            <w:vAlign w:val="center"/>
          </w:tcPr>
          <w:p w14:paraId="008F8C5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0CB5B40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4DBBE4C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14:paraId="54DF872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14:paraId="6BC2FEC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3F6CFA0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00CEE705">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0AB6D8D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41E9C4F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0514CED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440" w:type="dxa"/>
            <w:tcBorders>
              <w:top w:val="nil"/>
              <w:left w:val="nil"/>
              <w:bottom w:val="single" w:color="auto" w:sz="4" w:space="0"/>
              <w:right w:val="single" w:color="auto" w:sz="4" w:space="0"/>
            </w:tcBorders>
            <w:noWrap w:val="0"/>
            <w:vAlign w:val="center"/>
          </w:tcPr>
          <w:p w14:paraId="7CE70B1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925" w:type="dxa"/>
            <w:tcBorders>
              <w:top w:val="nil"/>
              <w:left w:val="nil"/>
              <w:bottom w:val="single" w:color="auto" w:sz="4" w:space="0"/>
              <w:right w:val="single" w:color="auto" w:sz="4" w:space="0"/>
            </w:tcBorders>
            <w:noWrap w:val="0"/>
            <w:vAlign w:val="center"/>
          </w:tcPr>
          <w:p w14:paraId="2B0055D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2DCF777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02133FED">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noWrap w:val="0"/>
            <w:vAlign w:val="center"/>
          </w:tcPr>
          <w:p w14:paraId="7EF3303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794998E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636DB51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440" w:type="dxa"/>
            <w:tcBorders>
              <w:top w:val="nil"/>
              <w:left w:val="nil"/>
              <w:bottom w:val="single" w:color="auto" w:sz="4" w:space="0"/>
              <w:right w:val="single" w:color="auto" w:sz="4" w:space="0"/>
            </w:tcBorders>
            <w:noWrap w:val="0"/>
            <w:vAlign w:val="center"/>
          </w:tcPr>
          <w:p w14:paraId="6C1F0CA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925" w:type="dxa"/>
            <w:tcBorders>
              <w:top w:val="nil"/>
              <w:left w:val="nil"/>
              <w:bottom w:val="single" w:color="auto" w:sz="4" w:space="0"/>
              <w:right w:val="single" w:color="auto" w:sz="4" w:space="0"/>
            </w:tcBorders>
            <w:noWrap w:val="0"/>
            <w:vAlign w:val="center"/>
          </w:tcPr>
          <w:p w14:paraId="5E97C1B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5B6B3D3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0A39B781">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2C7C675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14:paraId="7999E60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5C7C9BF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440" w:type="dxa"/>
            <w:tcBorders>
              <w:top w:val="nil"/>
              <w:left w:val="nil"/>
              <w:bottom w:val="single" w:color="auto" w:sz="4" w:space="0"/>
              <w:right w:val="single" w:color="auto" w:sz="4" w:space="0"/>
            </w:tcBorders>
            <w:noWrap w:val="0"/>
            <w:vAlign w:val="center"/>
          </w:tcPr>
          <w:p w14:paraId="1C7024A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925" w:type="dxa"/>
            <w:tcBorders>
              <w:top w:val="nil"/>
              <w:left w:val="nil"/>
              <w:bottom w:val="single" w:color="auto" w:sz="4" w:space="0"/>
              <w:right w:val="single" w:color="auto" w:sz="4" w:space="0"/>
            </w:tcBorders>
            <w:noWrap w:val="0"/>
            <w:vAlign w:val="center"/>
          </w:tcPr>
          <w:p w14:paraId="0F84253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7B18FBE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38ACC52B">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noWrap w:val="0"/>
            <w:vAlign w:val="center"/>
          </w:tcPr>
          <w:p w14:paraId="106AB0F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24DD022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1956D45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440" w:type="dxa"/>
            <w:tcBorders>
              <w:top w:val="nil"/>
              <w:left w:val="nil"/>
              <w:bottom w:val="single" w:color="auto" w:sz="4" w:space="0"/>
              <w:right w:val="single" w:color="auto" w:sz="4" w:space="0"/>
            </w:tcBorders>
            <w:noWrap w:val="0"/>
            <w:vAlign w:val="center"/>
          </w:tcPr>
          <w:p w14:paraId="4921110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925" w:type="dxa"/>
            <w:tcBorders>
              <w:top w:val="nil"/>
              <w:left w:val="nil"/>
              <w:bottom w:val="single" w:color="auto" w:sz="4" w:space="0"/>
              <w:right w:val="single" w:color="auto" w:sz="4" w:space="0"/>
            </w:tcBorders>
            <w:noWrap w:val="0"/>
            <w:vAlign w:val="center"/>
          </w:tcPr>
          <w:p w14:paraId="13E9E79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66D84B6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3AF64E7E">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655B6FB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66B184D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5A41DBC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440" w:type="dxa"/>
            <w:tcBorders>
              <w:top w:val="nil"/>
              <w:left w:val="nil"/>
              <w:bottom w:val="single" w:color="auto" w:sz="4" w:space="0"/>
              <w:right w:val="single" w:color="auto" w:sz="4" w:space="0"/>
            </w:tcBorders>
            <w:noWrap w:val="0"/>
            <w:vAlign w:val="center"/>
          </w:tcPr>
          <w:p w14:paraId="65B370A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925" w:type="dxa"/>
            <w:tcBorders>
              <w:top w:val="nil"/>
              <w:left w:val="nil"/>
              <w:bottom w:val="single" w:color="auto" w:sz="4" w:space="0"/>
              <w:right w:val="single" w:color="auto" w:sz="4" w:space="0"/>
            </w:tcBorders>
            <w:noWrap w:val="0"/>
            <w:vAlign w:val="center"/>
          </w:tcPr>
          <w:p w14:paraId="6C5E931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4A1CA22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6838F14E">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noWrap w:val="0"/>
            <w:vAlign w:val="center"/>
          </w:tcPr>
          <w:p w14:paraId="19B0440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1F9850D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0EEA582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440" w:type="dxa"/>
            <w:tcBorders>
              <w:top w:val="nil"/>
              <w:left w:val="nil"/>
              <w:bottom w:val="single" w:color="auto" w:sz="4" w:space="0"/>
              <w:right w:val="single" w:color="auto" w:sz="4" w:space="0"/>
            </w:tcBorders>
            <w:noWrap w:val="0"/>
            <w:vAlign w:val="center"/>
          </w:tcPr>
          <w:p w14:paraId="4A06F32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925" w:type="dxa"/>
            <w:tcBorders>
              <w:top w:val="nil"/>
              <w:left w:val="nil"/>
              <w:bottom w:val="single" w:color="auto" w:sz="4" w:space="0"/>
              <w:right w:val="single" w:color="auto" w:sz="4" w:space="0"/>
            </w:tcBorders>
            <w:noWrap w:val="0"/>
            <w:vAlign w:val="center"/>
          </w:tcPr>
          <w:p w14:paraId="05187D8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E75D3A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2E5347C1">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25CBE5E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049A977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6A7580B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40" w:type="dxa"/>
            <w:tcBorders>
              <w:top w:val="nil"/>
              <w:left w:val="nil"/>
              <w:bottom w:val="single" w:color="auto" w:sz="4" w:space="0"/>
              <w:right w:val="single" w:color="auto" w:sz="4" w:space="0"/>
            </w:tcBorders>
            <w:noWrap w:val="0"/>
            <w:vAlign w:val="center"/>
          </w:tcPr>
          <w:p w14:paraId="19A4673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925" w:type="dxa"/>
            <w:tcBorders>
              <w:top w:val="nil"/>
              <w:left w:val="nil"/>
              <w:bottom w:val="single" w:color="auto" w:sz="4" w:space="0"/>
              <w:right w:val="single" w:color="auto" w:sz="4" w:space="0"/>
            </w:tcBorders>
            <w:noWrap w:val="0"/>
            <w:vAlign w:val="center"/>
          </w:tcPr>
          <w:p w14:paraId="2821059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6B577D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6734C035">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noWrap w:val="0"/>
            <w:vAlign w:val="center"/>
          </w:tcPr>
          <w:p w14:paraId="6D0B29A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7F1B69F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19C5179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14:paraId="2D43B4C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14:paraId="65BA5B6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4732250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0E83DACA">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6D8E8C7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4667302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36754A1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440" w:type="dxa"/>
            <w:tcBorders>
              <w:top w:val="nil"/>
              <w:left w:val="nil"/>
              <w:bottom w:val="single" w:color="auto" w:sz="4" w:space="0"/>
              <w:right w:val="single" w:color="auto" w:sz="4" w:space="0"/>
            </w:tcBorders>
            <w:noWrap w:val="0"/>
            <w:vAlign w:val="center"/>
          </w:tcPr>
          <w:p w14:paraId="2A8312C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925" w:type="dxa"/>
            <w:tcBorders>
              <w:top w:val="nil"/>
              <w:left w:val="nil"/>
              <w:bottom w:val="single" w:color="auto" w:sz="4" w:space="0"/>
              <w:right w:val="single" w:color="auto" w:sz="4" w:space="0"/>
            </w:tcBorders>
            <w:noWrap w:val="0"/>
            <w:vAlign w:val="center"/>
          </w:tcPr>
          <w:p w14:paraId="6E74FBF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4E0AFCB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680A1D08">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noWrap w:val="0"/>
            <w:vAlign w:val="center"/>
          </w:tcPr>
          <w:p w14:paraId="684148F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1C3ECF4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2695C5F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440" w:type="dxa"/>
            <w:tcBorders>
              <w:top w:val="nil"/>
              <w:left w:val="nil"/>
              <w:bottom w:val="single" w:color="auto" w:sz="4" w:space="0"/>
              <w:right w:val="single" w:color="auto" w:sz="4" w:space="0"/>
            </w:tcBorders>
            <w:noWrap w:val="0"/>
            <w:vAlign w:val="center"/>
          </w:tcPr>
          <w:p w14:paraId="454DF51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925" w:type="dxa"/>
            <w:tcBorders>
              <w:top w:val="nil"/>
              <w:left w:val="nil"/>
              <w:bottom w:val="single" w:color="auto" w:sz="4" w:space="0"/>
              <w:right w:val="single" w:color="auto" w:sz="4" w:space="0"/>
            </w:tcBorders>
            <w:noWrap w:val="0"/>
            <w:vAlign w:val="center"/>
          </w:tcPr>
          <w:p w14:paraId="16FDBA2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756AA9B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37AF7BC9">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5BDBED7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0674175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79DE608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440" w:type="dxa"/>
            <w:tcBorders>
              <w:top w:val="nil"/>
              <w:left w:val="nil"/>
              <w:bottom w:val="single" w:color="auto" w:sz="4" w:space="0"/>
              <w:right w:val="single" w:color="auto" w:sz="4" w:space="0"/>
            </w:tcBorders>
            <w:noWrap w:val="0"/>
            <w:vAlign w:val="center"/>
          </w:tcPr>
          <w:p w14:paraId="07097D4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noWrap w:val="0"/>
            <w:vAlign w:val="center"/>
          </w:tcPr>
          <w:p w14:paraId="42E8F04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CC92AC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53B2DDBE">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noWrap w:val="0"/>
            <w:vAlign w:val="center"/>
          </w:tcPr>
          <w:p w14:paraId="2885296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4D2280B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54E3A7D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14:paraId="5CBE633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14:paraId="5F4F764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17AB5A2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6CCD2A5E">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6DBD9E7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5BE021C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474BD9F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440" w:type="dxa"/>
            <w:tcBorders>
              <w:top w:val="nil"/>
              <w:left w:val="nil"/>
              <w:bottom w:val="single" w:color="auto" w:sz="4" w:space="0"/>
              <w:right w:val="single" w:color="auto" w:sz="4" w:space="0"/>
            </w:tcBorders>
            <w:noWrap w:val="0"/>
            <w:vAlign w:val="center"/>
          </w:tcPr>
          <w:p w14:paraId="502201D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14:paraId="0ED5AFB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63EAB4CE">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27D5AB9C">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noWrap w:val="0"/>
            <w:vAlign w:val="center"/>
          </w:tcPr>
          <w:p w14:paraId="5B80928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191E889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03978BF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7265518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65D3CD7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83AE3C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06538D98">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0667525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717F806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78CA16E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noWrap w:val="0"/>
            <w:vAlign w:val="center"/>
          </w:tcPr>
          <w:p w14:paraId="1A0D7BD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14:paraId="76DE46B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391555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0F8F1055">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noWrap w:val="0"/>
            <w:vAlign w:val="center"/>
          </w:tcPr>
          <w:p w14:paraId="1380FF1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58455F0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524EFBD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6B869F5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7AA342F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3699A1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4C113E3F">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55844EF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761E399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51DA747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40" w:type="dxa"/>
            <w:tcBorders>
              <w:top w:val="nil"/>
              <w:left w:val="nil"/>
              <w:bottom w:val="single" w:color="auto" w:sz="4" w:space="0"/>
              <w:right w:val="single" w:color="auto" w:sz="4" w:space="0"/>
            </w:tcBorders>
            <w:noWrap w:val="0"/>
            <w:vAlign w:val="center"/>
          </w:tcPr>
          <w:p w14:paraId="6E42D77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14:paraId="2014CCE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99410C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7C216609">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noWrap w:val="0"/>
            <w:vAlign w:val="center"/>
          </w:tcPr>
          <w:p w14:paraId="5FAC9CC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535165E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75186BF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440" w:type="dxa"/>
            <w:tcBorders>
              <w:top w:val="nil"/>
              <w:left w:val="nil"/>
              <w:bottom w:val="single" w:color="auto" w:sz="4" w:space="0"/>
              <w:right w:val="single" w:color="auto" w:sz="4" w:space="0"/>
            </w:tcBorders>
            <w:noWrap w:val="0"/>
            <w:vAlign w:val="center"/>
          </w:tcPr>
          <w:p w14:paraId="0AEFE38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2F87858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4FA0B46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2ED3CB7D">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05A8503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5AF9011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52A5D2F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noWrap w:val="0"/>
            <w:vAlign w:val="center"/>
          </w:tcPr>
          <w:p w14:paraId="4BC48AC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noWrap w:val="0"/>
            <w:vAlign w:val="center"/>
          </w:tcPr>
          <w:p w14:paraId="19E1BAF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5D7677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73697D0F">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noWrap w:val="0"/>
            <w:vAlign w:val="center"/>
          </w:tcPr>
          <w:p w14:paraId="06AA6C5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0517E3E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6D2A3BF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0D36632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4B3116D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10EC59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63FD3836">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39F22AB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7660315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24FAB2B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440" w:type="dxa"/>
            <w:tcBorders>
              <w:top w:val="nil"/>
              <w:left w:val="nil"/>
              <w:bottom w:val="single" w:color="auto" w:sz="4" w:space="0"/>
              <w:right w:val="single" w:color="auto" w:sz="4" w:space="0"/>
            </w:tcBorders>
            <w:noWrap w:val="0"/>
            <w:vAlign w:val="center"/>
          </w:tcPr>
          <w:p w14:paraId="45EFDEF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925" w:type="dxa"/>
            <w:tcBorders>
              <w:top w:val="nil"/>
              <w:left w:val="nil"/>
              <w:bottom w:val="single" w:color="auto" w:sz="4" w:space="0"/>
              <w:right w:val="single" w:color="auto" w:sz="4" w:space="0"/>
            </w:tcBorders>
            <w:noWrap w:val="0"/>
            <w:vAlign w:val="center"/>
          </w:tcPr>
          <w:p w14:paraId="17CE150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411380C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64B5EC3A">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noWrap w:val="0"/>
            <w:vAlign w:val="center"/>
          </w:tcPr>
          <w:p w14:paraId="61A05F8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30D709F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3EC24A8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noWrap w:val="0"/>
            <w:vAlign w:val="center"/>
          </w:tcPr>
          <w:p w14:paraId="0AEC216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925" w:type="dxa"/>
            <w:tcBorders>
              <w:top w:val="nil"/>
              <w:left w:val="nil"/>
              <w:bottom w:val="single" w:color="auto" w:sz="4" w:space="0"/>
              <w:right w:val="single" w:color="auto" w:sz="4" w:space="0"/>
            </w:tcBorders>
            <w:noWrap w:val="0"/>
            <w:vAlign w:val="center"/>
          </w:tcPr>
          <w:p w14:paraId="6E40FA3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71828C8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708A5256">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7D3F94A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14:paraId="52BC336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6EB5FE8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440" w:type="dxa"/>
            <w:tcBorders>
              <w:top w:val="nil"/>
              <w:left w:val="nil"/>
              <w:bottom w:val="single" w:color="auto" w:sz="4" w:space="0"/>
              <w:right w:val="single" w:color="auto" w:sz="4" w:space="0"/>
            </w:tcBorders>
            <w:noWrap w:val="0"/>
            <w:vAlign w:val="center"/>
          </w:tcPr>
          <w:p w14:paraId="3F620F1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925" w:type="dxa"/>
            <w:tcBorders>
              <w:top w:val="nil"/>
              <w:left w:val="nil"/>
              <w:bottom w:val="single" w:color="auto" w:sz="4" w:space="0"/>
              <w:right w:val="single" w:color="auto" w:sz="4" w:space="0"/>
            </w:tcBorders>
            <w:noWrap w:val="0"/>
            <w:vAlign w:val="center"/>
          </w:tcPr>
          <w:p w14:paraId="5A104D7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4FE6A22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60C6CBB8">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noWrap w:val="0"/>
            <w:vAlign w:val="center"/>
          </w:tcPr>
          <w:p w14:paraId="495CEE6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7EA8E6E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7D67453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14:paraId="3F54FAF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925" w:type="dxa"/>
            <w:tcBorders>
              <w:top w:val="nil"/>
              <w:left w:val="nil"/>
              <w:bottom w:val="single" w:color="auto" w:sz="4" w:space="0"/>
              <w:right w:val="single" w:color="auto" w:sz="4" w:space="0"/>
            </w:tcBorders>
            <w:noWrap w:val="0"/>
            <w:vAlign w:val="center"/>
          </w:tcPr>
          <w:p w14:paraId="059247A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702BF68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4B846341">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11E7FCE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26657E6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2134DEF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440" w:type="dxa"/>
            <w:tcBorders>
              <w:top w:val="nil"/>
              <w:left w:val="nil"/>
              <w:bottom w:val="single" w:color="auto" w:sz="4" w:space="0"/>
              <w:right w:val="single" w:color="auto" w:sz="4" w:space="0"/>
            </w:tcBorders>
            <w:noWrap w:val="0"/>
            <w:vAlign w:val="center"/>
          </w:tcPr>
          <w:p w14:paraId="06E1E6B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925" w:type="dxa"/>
            <w:tcBorders>
              <w:top w:val="nil"/>
              <w:left w:val="nil"/>
              <w:bottom w:val="single" w:color="auto" w:sz="4" w:space="0"/>
              <w:right w:val="single" w:color="auto" w:sz="4" w:space="0"/>
            </w:tcBorders>
            <w:noWrap w:val="0"/>
            <w:vAlign w:val="center"/>
          </w:tcPr>
          <w:p w14:paraId="1F53DD6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5A6F3828">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14:paraId="5AE3387B">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noWrap w:val="0"/>
            <w:vAlign w:val="center"/>
          </w:tcPr>
          <w:p w14:paraId="2BC701E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465A824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53B1E9A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06AE2F0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10AC55B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0DD2819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14:paraId="2D7D6EE2">
            <w:pPr>
              <w:widowControl/>
              <w:jc w:val="left"/>
              <w:rPr>
                <w:rFonts w:ascii="仿宋_GB2312" w:hAnsi="仿宋" w:eastAsia="仿宋_GB2312" w:cs="宋体"/>
                <w:b/>
                <w:bCs/>
                <w:color w:val="auto"/>
                <w:kern w:val="0"/>
                <w:sz w:val="18"/>
                <w:szCs w:val="18"/>
                <w:highlight w:val="none"/>
              </w:rPr>
            </w:pPr>
          </w:p>
        </w:tc>
        <w:tc>
          <w:tcPr>
            <w:tcW w:w="1384" w:type="dxa"/>
            <w:tcBorders>
              <w:top w:val="nil"/>
              <w:left w:val="nil"/>
              <w:bottom w:val="single" w:color="auto" w:sz="4" w:space="0"/>
              <w:right w:val="single" w:color="auto" w:sz="4" w:space="0"/>
            </w:tcBorders>
            <w:noWrap w:val="0"/>
            <w:vAlign w:val="center"/>
          </w:tcPr>
          <w:p w14:paraId="0F23D96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14:paraId="01D5F4E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573AB52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noWrap w:val="0"/>
            <w:vAlign w:val="center"/>
          </w:tcPr>
          <w:p w14:paraId="6F53DAC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925" w:type="dxa"/>
            <w:tcBorders>
              <w:top w:val="nil"/>
              <w:left w:val="nil"/>
              <w:bottom w:val="single" w:color="auto" w:sz="4" w:space="0"/>
              <w:right w:val="single" w:color="auto" w:sz="4" w:space="0"/>
            </w:tcBorders>
            <w:noWrap w:val="0"/>
            <w:vAlign w:val="center"/>
          </w:tcPr>
          <w:p w14:paraId="07F8F6D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ABC9C03">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bottom"/>
          </w:tcPr>
          <w:p w14:paraId="63E6F58A">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noWrap w:val="0"/>
            <w:vAlign w:val="center"/>
          </w:tcPr>
          <w:p w14:paraId="60F320A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5AB1529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13D946D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0351962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14:paraId="1CD187A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2AD22EA3">
      <w:pPr>
        <w:spacing w:line="360" w:lineRule="auto"/>
        <w:ind w:firstLine="525" w:firstLineChars="250"/>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2367BEA1">
      <w:pPr>
        <w:tabs>
          <w:tab w:val="left" w:pos="180"/>
          <w:tab w:val="left" w:pos="1620"/>
        </w:tabs>
        <w:spacing w:line="400" w:lineRule="exact"/>
        <w:ind w:firstLine="420" w:firstLineChars="200"/>
        <w:rPr>
          <w:rFonts w:hint="eastAsia" w:ascii="宋体" w:hAnsi="宋体" w:cs="宋体"/>
          <w:color w:val="auto"/>
          <w:szCs w:val="21"/>
          <w:highlight w:val="none"/>
        </w:rPr>
      </w:pPr>
    </w:p>
    <w:p w14:paraId="0770A840">
      <w:pPr>
        <w:pStyle w:val="9"/>
        <w:spacing w:line="360" w:lineRule="auto"/>
        <w:rPr>
          <w:color w:val="auto"/>
          <w:szCs w:val="21"/>
          <w:highlight w:val="none"/>
        </w:rPr>
      </w:pPr>
    </w:p>
    <w:p w14:paraId="752CCF8C">
      <w:pPr>
        <w:widowControl/>
        <w:jc w:val="left"/>
        <w:rPr>
          <w:rFonts w:ascii="宋体" w:hAnsi="宋体" w:cs="宋体"/>
          <w:color w:val="auto"/>
          <w:sz w:val="20"/>
          <w:szCs w:val="20"/>
          <w:highlight w:val="none"/>
        </w:rPr>
      </w:pPr>
    </w:p>
    <w:p w14:paraId="17F39BD4">
      <w:pPr>
        <w:pStyle w:val="2"/>
        <w:jc w:val="center"/>
        <w:rPr>
          <w:rFonts w:hint="eastAsia"/>
          <w:color w:val="auto"/>
          <w:highlight w:val="none"/>
        </w:rPr>
      </w:pPr>
      <w:r>
        <w:rPr>
          <w:rFonts w:ascii="宋体" w:hAnsi="宋体" w:cs="宋体"/>
          <w:color w:val="auto"/>
          <w:sz w:val="20"/>
          <w:szCs w:val="20"/>
          <w:highlight w:val="none"/>
        </w:rPr>
        <w:br w:type="page"/>
      </w:r>
      <w:bookmarkStart w:id="55" w:name="_Toc74322011"/>
      <w:r>
        <w:rPr>
          <w:rFonts w:hint="eastAsia"/>
          <w:color w:val="auto"/>
          <w:highlight w:val="none"/>
        </w:rPr>
        <w:t xml:space="preserve">第四章  </w:t>
      </w:r>
      <w:bookmarkStart w:id="56" w:name="_Hlk68601507"/>
      <w:r>
        <w:rPr>
          <w:rFonts w:hint="eastAsia"/>
          <w:color w:val="auto"/>
          <w:highlight w:val="none"/>
        </w:rPr>
        <w:t>评审程序和评定成交的标准</w:t>
      </w:r>
      <w:bookmarkEnd w:id="55"/>
      <w:bookmarkEnd w:id="56"/>
    </w:p>
    <w:p w14:paraId="52A828FA">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一、评审程序</w:t>
      </w:r>
    </w:p>
    <w:p w14:paraId="4D1A367C">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.确认谈判文件</w:t>
      </w:r>
    </w:p>
    <w:p w14:paraId="40F8AB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由谈判小组确认谈判文件。</w:t>
      </w:r>
    </w:p>
    <w:p w14:paraId="1F4D1BB2">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.资格审查</w:t>
      </w:r>
    </w:p>
    <w:p w14:paraId="0057A5E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.1响应文件开启后，谈判小组依法对供应商的资格证明文件进行审查。</w:t>
      </w:r>
    </w:p>
    <w:p w14:paraId="5A6DEBB5">
      <w:pPr>
        <w:snapToGrid w:val="0"/>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.2资格审查标准为本谈判文件中载明对供应商资格要求的条件。本项目资格审查采用合格制，凡符合谈判文件规定的供应商资格要求的供应商均通过资格审查。</w:t>
      </w:r>
    </w:p>
    <w:p w14:paraId="79E3BCD4">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.3 供应商有下列情形之一的，资格审查不通过，其响应文件按无效处理：</w:t>
      </w:r>
    </w:p>
    <w:p w14:paraId="51EDDB4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）不具备谈判文件中规定的资格要求的；</w:t>
      </w:r>
    </w:p>
    <w:p w14:paraId="095F5A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（2）未按谈判文件规定的方式获取本谈判文件的供应商；</w:t>
      </w:r>
    </w:p>
    <w:p w14:paraId="05E21C65">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）响应文件中的资格证明文件缺少任一项“供应商须知前附表”资格证明文件规定的“必须提供”的文件资料的；</w:t>
      </w:r>
    </w:p>
    <w:p w14:paraId="5E72B86E">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1A2682CE">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r>
        <w:rPr>
          <w:rFonts w:hint="eastAsia" w:ascii="宋体" w:hAnsi="宋体" w:cs="宋体"/>
          <w:color w:val="auto"/>
          <w:szCs w:val="21"/>
          <w:highlight w:val="none"/>
          <w:lang w:eastAsia="zh-CN"/>
        </w:rPr>
        <w:t>；</w:t>
      </w:r>
    </w:p>
    <w:p w14:paraId="77F91182">
      <w:pPr>
        <w:pStyle w:val="2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kern w:val="2"/>
          <w:sz w:val="21"/>
          <w:szCs w:val="21"/>
          <w:highlight w:val="none"/>
          <w:lang w:val="en-US" w:eastAsia="zh-CN" w:bidi="ar-SA"/>
        </w:rPr>
        <w:t>（6）在“信用中国”网站（www.creditchina.gov.cn） 、中国政府采购网（www.ccgp.gov.cn）被列入失信被执行人、重大税收违法案件当事人名单、政府采购严重违法失信行为记录名单及其他不符合《中华人民共和国政府采购法》第二十二条规定条件的；</w:t>
      </w:r>
    </w:p>
    <w:p w14:paraId="42EC7AAB">
      <w:pPr>
        <w:pStyle w:val="22"/>
        <w:spacing w:line="360" w:lineRule="auto"/>
        <w:ind w:firstLine="420" w:firstLineChars="200"/>
        <w:rPr>
          <w:rFonts w:hint="default" w:eastAsia="宋体"/>
          <w:color w:val="auto"/>
          <w:highlight w:val="none"/>
          <w:lang w:val="en-US" w:eastAsia="zh-CN"/>
        </w:rPr>
      </w:pPr>
      <w:r>
        <w:rPr>
          <w:rFonts w:hint="eastAsia" w:ascii="宋体" w:hAnsi="宋体" w:eastAsia="宋体" w:cs="宋体"/>
          <w:color w:val="auto"/>
          <w:kern w:val="2"/>
          <w:sz w:val="21"/>
          <w:szCs w:val="21"/>
          <w:highlight w:val="none"/>
          <w:lang w:val="en-US" w:eastAsia="zh-CN" w:bidi="ar-SA"/>
        </w:rPr>
        <w:t>（7）在参加政府采购活动前 3 年内在经营活动中存在重大违法记录（重大违法记录是指供应商因违法经营受到刑事处罚或者责令停产停业、吊销许可证或者执照、较大数额罚款等行政处罚）的。</w:t>
      </w:r>
    </w:p>
    <w:p w14:paraId="7CCAAAF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.4通过资格审查的合格供应商不足3家（本章</w:t>
      </w:r>
      <w:r>
        <w:rPr>
          <w:rFonts w:ascii="宋体" w:hAnsi="宋体" w:cs="宋体"/>
          <w:color w:val="auto"/>
          <w:szCs w:val="21"/>
          <w:highlight w:val="none"/>
        </w:rPr>
        <w:t>3</w:t>
      </w:r>
      <w:r>
        <w:rPr>
          <w:rFonts w:hint="eastAsia" w:ascii="宋体" w:hAnsi="宋体" w:cs="宋体"/>
          <w:color w:val="auto"/>
          <w:szCs w:val="21"/>
          <w:highlight w:val="none"/>
        </w:rPr>
        <w:t>.7条规定除外）的，不得进入符合性审查环节，应当重新开展采购活动。</w:t>
      </w:r>
    </w:p>
    <w:p w14:paraId="3884220A">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.符合性审查</w:t>
      </w:r>
    </w:p>
    <w:p w14:paraId="26C8C6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w:t>
      </w:r>
      <w:r>
        <w:rPr>
          <w:rFonts w:hint="eastAsia" w:ascii="宋体" w:hAnsi="宋体" w:cs="宋体"/>
          <w:color w:val="auto"/>
          <w:szCs w:val="21"/>
          <w:highlight w:val="none"/>
        </w:rPr>
        <w:t>谈判小组应当对符合资格的供应商的响应文件进行竞标报价、商务、技术等实质性要求符合性审查，以确定其是否满足谈判文件的实质性要求。</w:t>
      </w:r>
    </w:p>
    <w:p w14:paraId="2B591C1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.2</w:t>
      </w:r>
      <w:r>
        <w:rPr>
          <w:rFonts w:hint="eastAsia" w:ascii="宋体" w:hAnsi="宋体" w:cs="宋体"/>
          <w:color w:val="auto"/>
          <w:szCs w:val="21"/>
          <w:highlight w:val="none"/>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7E748F8">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谈判小组要求供应商澄清、说明或者更正响应文件应当以书面形式作出。供应商的澄清、说明或者更正必须以书面形式按照谈判小组的要求作出明确的澄清、说明或者更正，未按谈判小组的要求作出明确澄清、说明或者更正的供应商的响应文件将按照</w:t>
      </w:r>
      <w:r>
        <w:rPr>
          <w:rFonts w:hint="eastAsia" w:ascii="宋体" w:hAnsi="宋体" w:cs="宋体"/>
          <w:color w:val="auto"/>
          <w:highlight w:val="none"/>
        </w:rPr>
        <w:t>有利于采购人</w:t>
      </w:r>
      <w:r>
        <w:rPr>
          <w:rFonts w:hint="eastAsia" w:ascii="宋体" w:hAnsi="宋体" w:cs="宋体"/>
          <w:color w:val="auto"/>
          <w:szCs w:val="21"/>
          <w:highlight w:val="none"/>
        </w:rPr>
        <w:t>的原则由谈判小组进行判定。</w:t>
      </w:r>
    </w:p>
    <w:p w14:paraId="28842C1C">
      <w:pPr>
        <w:spacing w:line="360" w:lineRule="auto"/>
        <w:ind w:firstLine="396" w:firstLineChars="200"/>
        <w:rPr>
          <w:rFonts w:hint="eastAsia" w:ascii="宋体" w:hAnsi="宋体" w:cs="宋体"/>
          <w:color w:val="auto"/>
          <w:szCs w:val="21"/>
          <w:highlight w:val="none"/>
        </w:rPr>
      </w:pPr>
      <w:r>
        <w:rPr>
          <w:rFonts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5A68FD8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4A0CE7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44623F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00E4C82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4A7872C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788E7A6B">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2C2CD2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2751124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（1）商务技术评审</w:t>
      </w:r>
    </w:p>
    <w:p w14:paraId="5C9345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）响应文件未按谈判文件要求签署、盖章的；</w:t>
      </w:r>
    </w:p>
    <w:p w14:paraId="31A0F72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）委托代理人未能出具有效身份证或者出具的身份证与授权委托书中的信息不符的； </w:t>
      </w:r>
    </w:p>
    <w:p w14:paraId="4778A4A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）供应商必须提供“直接控股股东信息”表，并附上打印查询记录扫描件，放置在符合性审查响应文件中，否则响应文件将被拒绝；</w:t>
      </w:r>
    </w:p>
    <w:p w14:paraId="228C1D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11CAEF2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）商务要求允许负偏离的条款数超过“供应商须知前附表”规定项数的；</w:t>
      </w:r>
    </w:p>
    <w:p w14:paraId="351363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）未对竞标有效期作出响应或者响应文件承诺的竞标有效期不满足谈判文件要求；</w:t>
      </w:r>
    </w:p>
    <w:p w14:paraId="35BB5F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）响应文件的实质性内容未使用中文表述、使用计量单位不符合谈判文件要求的；</w:t>
      </w:r>
    </w:p>
    <w:p w14:paraId="48C733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）响应文件中的文件资料因填写不齐全或者内容虚假或者出现其他情形而导致被谈判小组认定无效的；</w:t>
      </w:r>
    </w:p>
    <w:p w14:paraId="35CB987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）响应文件含有采购人不能接受的附加条件的；</w:t>
      </w:r>
    </w:p>
    <w:p w14:paraId="7B35D6EC">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）属于“供应商须知正文”第7.</w:t>
      </w:r>
      <w:r>
        <w:rPr>
          <w:rFonts w:ascii="宋体" w:hAnsi="宋体" w:cs="宋体"/>
          <w:color w:val="auto"/>
          <w:szCs w:val="21"/>
          <w:highlight w:val="none"/>
        </w:rPr>
        <w:t>5</w:t>
      </w:r>
      <w:r>
        <w:rPr>
          <w:rFonts w:hint="eastAsia" w:ascii="宋体" w:hAnsi="宋体" w:cs="宋体"/>
          <w:color w:val="auto"/>
          <w:szCs w:val="21"/>
          <w:highlight w:val="none"/>
        </w:rPr>
        <w:t>条的情形的；</w:t>
      </w:r>
    </w:p>
    <w:p w14:paraId="52F1EA8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）技术评审允许负偏离的条款数超过“供应商须知前附表”规定项数的；</w:t>
      </w:r>
    </w:p>
    <w:p w14:paraId="084FC6DE">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）虚假竞标，或者出现其他情形而导致被谈判小组认定无效的；</w:t>
      </w:r>
    </w:p>
    <w:p w14:paraId="7262DEFC">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bookmarkStart w:id="57" w:name="_Hlk71704147"/>
      <w:r>
        <w:rPr>
          <w:rFonts w:hint="eastAsia" w:ascii="宋体" w:hAnsi="宋体" w:cs="宋体"/>
          <w:color w:val="auto"/>
          <w:szCs w:val="21"/>
          <w:highlight w:val="none"/>
        </w:rPr>
        <w:t>谈判文件未载明允许提供备选（替代）竞标方案或明确不允许提供备选（替代）竞标方案时，供应商提供了备选（替代）竞标方案的；</w:t>
      </w:r>
      <w:bookmarkEnd w:id="57"/>
    </w:p>
    <w:p w14:paraId="75CB0BF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）响应文件标注的项目名称或者项目编号与谈判文件标注的项目名称或者项目编号不一致的；</w:t>
      </w:r>
    </w:p>
    <w:p w14:paraId="4542C99F">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b w:val="0"/>
          <w:bCs w:val="0"/>
          <w:color w:val="auto"/>
          <w:szCs w:val="21"/>
          <w:highlight w:val="none"/>
        </w:rPr>
        <w:t>）</w:t>
      </w:r>
      <w:r>
        <w:rPr>
          <w:rFonts w:hint="eastAsia" w:ascii="宋体" w:hAnsi="宋体"/>
          <w:b w:val="0"/>
          <w:bCs w:val="0"/>
          <w:color w:val="auto"/>
          <w:szCs w:val="21"/>
          <w:highlight w:val="none"/>
        </w:rPr>
        <w:t>谈判文件明确不允许分包，响应文件拟分包的；</w:t>
      </w:r>
    </w:p>
    <w:p w14:paraId="1388FDC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）未响应谈判文件实质性要求；</w:t>
      </w:r>
    </w:p>
    <w:p w14:paraId="0D1B5DF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）法律、法规和谈判文件规定的其他无效情形。</w:t>
      </w:r>
    </w:p>
    <w:p w14:paraId="3E23C7A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2）报</w:t>
      </w:r>
      <w:r>
        <w:rPr>
          <w:rFonts w:hint="eastAsia" w:ascii="宋体" w:hAnsi="宋体" w:cs="宋体"/>
          <w:color w:val="auto"/>
          <w:szCs w:val="21"/>
          <w:highlight w:val="none"/>
        </w:rPr>
        <w:t>价评审</w:t>
      </w:r>
    </w:p>
    <w:p w14:paraId="23CB7F0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1）响应文件未提供“供应商须知前附表” 报价商务技术文件中规定的“竞标报价表”的；</w:t>
      </w:r>
    </w:p>
    <w:p w14:paraId="1BD858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2）未采用人民币报价或者未按照谈判文件标明的币种报价的；</w:t>
      </w:r>
    </w:p>
    <w:p w14:paraId="290EFD8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的；供应商未就所竞标分标的单项内容作唯一报价的；供应商未就所竞标分标的全部内容作完整唯一总价报价的；供应商响应文件中存在有选择、有条件报价的（谈判文件允许有备选方案或者其他约定的除外）；</w:t>
      </w:r>
    </w:p>
    <w:p w14:paraId="628B68E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4）最后报价超过所竞标分标规定的采购预算金额或者最高限价的（如本项目公布了最高限价）； </w:t>
      </w:r>
    </w:p>
    <w:p w14:paraId="143EA6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5）修正后的报价，供应商不确认的；或者经供应商确认修正后的最后报价超过所竞标分标规定的采购预算金额或者最高限价；</w:t>
      </w:r>
    </w:p>
    <w:p w14:paraId="7092A0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响应文件响应的标的数量及单位与竞争性谈判采购文件要求实质性不一致的。</w:t>
      </w:r>
    </w:p>
    <w:p w14:paraId="195E58D6">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38C1A364">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.7通过符合性审查的合格供应商不足3家的，不得进入谈判环节，应当重新开展采购活动。</w:t>
      </w:r>
    </w:p>
    <w:p w14:paraId="01488867">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谈判程序</w:t>
      </w:r>
    </w:p>
    <w:p w14:paraId="6EF2740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.1</w:t>
      </w:r>
      <w:r>
        <w:rPr>
          <w:rFonts w:hint="eastAsia" w:ascii="宋体" w:hAnsi="宋体" w:cs="宋体"/>
          <w:color w:val="auto"/>
          <w:kern w:val="0"/>
          <w:szCs w:val="21"/>
          <w:highlight w:val="none"/>
        </w:rPr>
        <w:t>谈判小组按照“供应商须知</w:t>
      </w:r>
      <w:r>
        <w:rPr>
          <w:rFonts w:hint="eastAsia" w:ascii="宋体" w:hAnsi="宋体" w:cs="宋体"/>
          <w:color w:val="auto"/>
          <w:kern w:val="0"/>
          <w:szCs w:val="21"/>
          <w:highlight w:val="none"/>
          <w:lang w:val="en-US" w:eastAsia="zh-CN"/>
        </w:rPr>
        <w:t>正文</w:t>
      </w:r>
      <w:r>
        <w:rPr>
          <w:rFonts w:hint="eastAsia" w:ascii="宋体" w:hAnsi="宋体" w:cs="宋体"/>
          <w:color w:val="auto"/>
          <w:kern w:val="0"/>
          <w:szCs w:val="21"/>
          <w:highlight w:val="none"/>
        </w:rPr>
        <w:t>”第2</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条</w:t>
      </w:r>
      <w:r>
        <w:rPr>
          <w:rFonts w:hint="eastAsia" w:ascii="宋体" w:hAnsi="宋体" w:cs="宋体"/>
          <w:color w:val="auto"/>
          <w:kern w:val="0"/>
          <w:szCs w:val="21"/>
          <w:highlight w:val="none"/>
          <w:lang w:val="en-US" w:eastAsia="zh-CN"/>
        </w:rPr>
        <w:t>规定</w:t>
      </w:r>
      <w:r>
        <w:rPr>
          <w:rFonts w:hint="eastAsia" w:ascii="宋体" w:hAnsi="宋体" w:cs="宋体"/>
          <w:color w:val="auto"/>
          <w:szCs w:val="21"/>
          <w:highlight w:val="none"/>
        </w:rPr>
        <w:t>，集中与单一供应商分别进行谈判，并给予所有参加谈判的供应商平等的谈判机会。</w:t>
      </w:r>
    </w:p>
    <w:p w14:paraId="2C62D51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279178B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对谈判文件作出的实质性变动是谈判文件的有效组成部分，谈判小组应当及时以书面形式同时通知所有参加谈判的供应商。</w:t>
      </w:r>
    </w:p>
    <w:p w14:paraId="07FF3077">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供应商必须按照谈判文件的变动情况和谈判小组的要求重新提交响应文件，并由其法定代表人或者委托代理人签字或者加盖公章。由委托代理人签字的，</w:t>
      </w:r>
      <w:r>
        <w:rPr>
          <w:rFonts w:hint="eastAsia" w:ascii="宋体" w:hAnsi="宋体" w:cs="宋体"/>
          <w:bCs/>
          <w:color w:val="auto"/>
          <w:szCs w:val="21"/>
          <w:highlight w:val="none"/>
        </w:rPr>
        <w:t>若委托代理人不是响应文件中授权的委托代理人时，必须同时出示有效的授权委托书原件</w:t>
      </w:r>
      <w:r>
        <w:rPr>
          <w:rFonts w:hint="eastAsia" w:ascii="宋体" w:hAnsi="宋体" w:cs="宋体"/>
          <w:color w:val="auto"/>
          <w:szCs w:val="21"/>
          <w:highlight w:val="none"/>
        </w:rPr>
        <w:t>。供应商为自然人的，必须由本人签字并附身份证明。参加谈判的供应商未在规定时间内重新提交响应文件的，视同退出谈判，其响应文件按无效处理。</w:t>
      </w:r>
    </w:p>
    <w:p w14:paraId="156E02E3">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谈判中，谈判的任何一方不得透露与谈判有关的其他供应商的技术资料、价格和其他信息。</w:t>
      </w:r>
    </w:p>
    <w:p w14:paraId="6D3E394B">
      <w:pPr>
        <w:widowControl/>
        <w:tabs>
          <w:tab w:val="left" w:pos="540"/>
        </w:tabs>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采购代理机构对谈判过程和重要谈判内容进行记录，谈判双方在记录上签字确认。</w:t>
      </w:r>
    </w:p>
    <w:p w14:paraId="072B2F70">
      <w:pPr>
        <w:widowControl/>
        <w:tabs>
          <w:tab w:val="left" w:pos="540"/>
        </w:tabs>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highlight w:val="none"/>
        </w:rPr>
        <w:t>谈判过程中重新提交的响应文件，供应商可以在</w:t>
      </w:r>
      <w:r>
        <w:rPr>
          <w:rFonts w:hint="eastAsia" w:ascii="宋体" w:hAnsi="宋体" w:cs="宋体"/>
          <w:color w:val="auto"/>
          <w:szCs w:val="21"/>
          <w:highlight w:val="none"/>
        </w:rPr>
        <w:t>开启前补充、修改。</w:t>
      </w:r>
    </w:p>
    <w:p w14:paraId="5ACF48D7">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最后谈判结束后，谈判小组不得再与供应商进行任何形式的商谈。</w:t>
      </w:r>
    </w:p>
    <w:p w14:paraId="5AFA356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 xml:space="preserve"> 最后报价</w:t>
      </w:r>
    </w:p>
    <w:p w14:paraId="539B28F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.1</w:t>
      </w:r>
      <w:r>
        <w:rPr>
          <w:rFonts w:hint="eastAsia" w:ascii="宋体" w:hAnsi="宋体" w:cs="宋体"/>
          <w:color w:val="auto"/>
          <w:szCs w:val="21"/>
          <w:highlight w:val="none"/>
        </w:rPr>
        <w:t>谈判文件能够详细列明采购标的的技术、服务要求的，谈判结束后，谈判小组应当要求所有继续参加谈判的供应商在规定时间内提交最后报价，提交最后报价的供应商不得少于3家，除本章第3.7条外，否则必须重新采购。</w:t>
      </w:r>
    </w:p>
    <w:p w14:paraId="7553CC0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谈判文件不能详细列明采购标的的技术、服务要求，需经谈判由供应商提供最后设计方案或者解决方案的，谈判结束后，谈判小组应当按照少数服从多数的原则投票推荐3家供应商的设计方案或者解决方案，并要求其在规定时间内密封提交最后报价。</w:t>
      </w:r>
    </w:p>
    <w:p w14:paraId="50F3C87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最后报价是供应商响应文件的有效组成部分。</w:t>
      </w:r>
    </w:p>
    <w:p w14:paraId="07B9F380">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已经提交响应文件的供应商，在提交最后报价之前，可以根据谈判情况退出谈判。采购人、采购代理机构将退还退出谈判的供应商的保证金。</w:t>
      </w:r>
    </w:p>
    <w:p w14:paraId="4F8EF4E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供应商未在规定时间内提交最后报价的，视为退出谈判，其响应文件按无效处理。</w:t>
      </w:r>
    </w:p>
    <w:p w14:paraId="5D1324B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.6</w:t>
      </w:r>
      <w:r>
        <w:rPr>
          <w:rFonts w:hint="eastAsia" w:ascii="宋体" w:hAnsi="宋体" w:cs="宋体"/>
          <w:color w:val="auto"/>
          <w:szCs w:val="21"/>
          <w:highlight w:val="none"/>
        </w:rPr>
        <w:t>谈判小组收齐某一分标最后报价后统一开启，谈判小组对最后报价进行有效性、完整性和响应程度的审查。</w:t>
      </w:r>
    </w:p>
    <w:p w14:paraId="496C3F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为了确保本次项目的服务质量及诚信履约，供应商不得低于成本竞标。谈判小组认为某竞标人的有效竞标报价明显低于其他通过符合性审查供应商的报价，有可能影响商品质量和不能诚信履约的，应当要求其在合理的时间内提供书面说明，提交相关证明材料</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本项目成本分析的相关材料（包括各项差旅费用、管理费用、人力成本构成、税收等所有成本和利润，税务成本必须提供近一年不少于1个同类项目及年度税务缴纳凭证作为参考依据，格式自拟</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；如不提供或谈判小组认定其资料不能详尽合理说明其成本的，则视为低于成本价报价，其竞标无效。</w:t>
      </w:r>
    </w:p>
    <w:p w14:paraId="75B49B84">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5.7</w:t>
      </w:r>
      <w:r>
        <w:rPr>
          <w:rFonts w:hint="eastAsia" w:ascii="宋体" w:hAnsi="宋体" w:cs="宋体"/>
          <w:color w:val="auto"/>
          <w:szCs w:val="21"/>
          <w:highlight w:val="none"/>
        </w:rPr>
        <w:t>响应文件首次及最后报价出现前后不一致的，按照本章第</w:t>
      </w:r>
      <w:r>
        <w:rPr>
          <w:rFonts w:ascii="宋体" w:hAnsi="宋体" w:cs="宋体"/>
          <w:color w:val="auto"/>
          <w:szCs w:val="21"/>
          <w:highlight w:val="none"/>
        </w:rPr>
        <w:t>3.4</w:t>
      </w:r>
      <w:r>
        <w:rPr>
          <w:rFonts w:hint="eastAsia" w:ascii="宋体" w:hAnsi="宋体" w:cs="宋体"/>
          <w:color w:val="auto"/>
          <w:szCs w:val="21"/>
          <w:highlight w:val="none"/>
        </w:rPr>
        <w:t xml:space="preserve">条的规定修正。 </w:t>
      </w:r>
    </w:p>
    <w:p w14:paraId="70181144">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5.8</w:t>
      </w:r>
      <w:r>
        <w:rPr>
          <w:rFonts w:hint="eastAsia" w:ascii="宋体" w:hAnsi="宋体" w:cs="宋体"/>
          <w:color w:val="auto"/>
          <w:szCs w:val="21"/>
          <w:highlight w:val="none"/>
        </w:rPr>
        <w:t>经供应商确认修正后的最后报价作为评审及签订合同的依据。</w:t>
      </w:r>
    </w:p>
    <w:p w14:paraId="71C41E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9</w:t>
      </w:r>
      <w:r>
        <w:rPr>
          <w:rFonts w:hint="eastAsia" w:ascii="宋体" w:hAnsi="宋体" w:cs="宋体"/>
          <w:color w:val="auto"/>
          <w:szCs w:val="21"/>
          <w:highlight w:val="none"/>
        </w:rPr>
        <w:t>供应商出现最后报价按无效响应处理或者响应文件按无效处理时</w:t>
      </w:r>
      <w:r>
        <w:rPr>
          <w:rFonts w:hint="eastAsia" w:ascii="宋体" w:hAnsi="宋体"/>
          <w:color w:val="auto"/>
          <w:sz w:val="22"/>
          <w:szCs w:val="22"/>
          <w:highlight w:val="none"/>
        </w:rPr>
        <w:t>，谈判小组应当告知有关供应商</w:t>
      </w:r>
      <w:r>
        <w:rPr>
          <w:rFonts w:hint="eastAsia" w:ascii="宋体" w:hAnsi="宋体" w:cs="宋体"/>
          <w:color w:val="auto"/>
          <w:szCs w:val="21"/>
          <w:highlight w:val="none"/>
        </w:rPr>
        <w:t>。</w:t>
      </w:r>
    </w:p>
    <w:p w14:paraId="6BC77B47">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5.10</w:t>
      </w:r>
      <w:r>
        <w:rPr>
          <w:rFonts w:hint="eastAsia" w:ascii="宋体" w:hAnsi="宋体" w:cs="宋体"/>
          <w:color w:val="auto"/>
          <w:szCs w:val="21"/>
          <w:highlight w:val="none"/>
        </w:rPr>
        <w:t>最后报价结束后，谈判小组不得再与供应商进行任何形式的商谈。</w:t>
      </w:r>
    </w:p>
    <w:p w14:paraId="28ED9265">
      <w:pPr>
        <w:spacing w:line="360" w:lineRule="auto"/>
        <w:ind w:firstLine="420" w:firstLineChars="200"/>
        <w:rPr>
          <w:rFonts w:hint="eastAsia" w:ascii="宋体" w:hAnsi="宋体" w:cs="宋体"/>
          <w:color w:val="auto"/>
          <w:highlight w:val="none"/>
        </w:rPr>
      </w:pPr>
    </w:p>
    <w:p w14:paraId="7557E4A8">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二、评定成交的标准</w:t>
      </w:r>
    </w:p>
    <w:p w14:paraId="6B4EE84D">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7.</w:t>
      </w:r>
      <w:r>
        <w:rPr>
          <w:rFonts w:hint="eastAsia" w:ascii="黑体" w:hAnsi="黑体" w:eastAsia="黑体" w:cs="宋体"/>
          <w:b/>
          <w:bCs/>
          <w:color w:val="auto"/>
          <w:sz w:val="24"/>
          <w:highlight w:val="none"/>
        </w:rPr>
        <w:t xml:space="preserve"> 成交候选人推荐原则</w:t>
      </w:r>
    </w:p>
    <w:p w14:paraId="6524AF4C">
      <w:pPr>
        <w:spacing w:line="360" w:lineRule="auto"/>
        <w:ind w:firstLine="420" w:firstLineChars="200"/>
        <w:contextualSpacing/>
        <w:rPr>
          <w:rFonts w:hint="eastAsia" w:ascii="宋体" w:hAnsi="宋体" w:cs="宋体"/>
        </w:rPr>
      </w:pPr>
      <w:r>
        <w:rPr>
          <w:rFonts w:hint="eastAsia" w:ascii="宋体" w:hAnsi="宋体" w:cs="宋体"/>
        </w:rPr>
        <w:t>谈判小组应当从质量和服务均能满足谈判文件实质性响应要求的供应商中，按照</w:t>
      </w:r>
      <w:r>
        <w:rPr>
          <w:rFonts w:hint="eastAsia" w:ascii="宋体" w:hAnsi="宋体" w:cs="宋体"/>
          <w:lang w:val="en-US" w:eastAsia="zh-CN"/>
        </w:rPr>
        <w:t>最后报价</w:t>
      </w:r>
      <w:r>
        <w:rPr>
          <w:rFonts w:hint="eastAsia" w:ascii="宋体" w:hAnsi="宋体" w:cs="宋体"/>
        </w:rPr>
        <w:t>由低到高的顺序提出3名成交候选人（最后报价相同时，</w:t>
      </w:r>
      <w:r>
        <w:rPr>
          <w:rFonts w:hint="eastAsia" w:ascii="宋体" w:hAnsi="宋体" w:cs="宋体"/>
          <w:szCs w:val="21"/>
        </w:rPr>
        <w:t>由谈判小组</w:t>
      </w:r>
      <w:r>
        <w:rPr>
          <w:rFonts w:hint="eastAsia" w:ascii="宋体" w:hAnsi="宋体" w:cs="宋体"/>
          <w:szCs w:val="21"/>
          <w:lang w:val="en-US" w:eastAsia="zh-CN"/>
        </w:rPr>
        <w:t>投票</w:t>
      </w:r>
      <w:r>
        <w:rPr>
          <w:rFonts w:hint="eastAsia" w:ascii="宋体" w:hAnsi="宋体" w:cs="宋体"/>
          <w:szCs w:val="21"/>
        </w:rPr>
        <w:t>随机抽取推荐。</w:t>
      </w:r>
      <w:r>
        <w:rPr>
          <w:rFonts w:hint="eastAsia" w:ascii="宋体" w:hAnsi="宋体" w:cs="宋体"/>
        </w:rPr>
        <w:t>）,并编写评审报告。</w:t>
      </w:r>
    </w:p>
    <w:p w14:paraId="02916D3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lang w:val="en-US" w:eastAsia="zh-CN"/>
        </w:rPr>
        <w:t>8.</w:t>
      </w:r>
      <w:r>
        <w:rPr>
          <w:rFonts w:hint="eastAsia" w:ascii="黑体" w:hAnsi="黑体" w:eastAsia="黑体" w:cs="宋体"/>
          <w:b/>
          <w:bCs/>
          <w:color w:val="auto"/>
          <w:sz w:val="24"/>
          <w:highlight w:val="none"/>
        </w:rPr>
        <w:t>评标争议事项处理</w:t>
      </w:r>
    </w:p>
    <w:p w14:paraId="42E6982D">
      <w:pPr>
        <w:pStyle w:val="22"/>
        <w:spacing w:line="360" w:lineRule="auto"/>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谈判小组成员对需要共同认定的事项存在争议的，应当按照少数服从多数的原则作出结论。持不同意 见的谈判小组成员应当在评标报告上签署不同意见及理由，否则视为同意评标报告。</w:t>
      </w:r>
    </w:p>
    <w:p w14:paraId="0B67B65A">
      <w:pPr>
        <w:pStyle w:val="2"/>
        <w:jc w:val="center"/>
        <w:rPr>
          <w:rFonts w:hint="eastAsia"/>
          <w:color w:val="auto"/>
          <w:highlight w:val="none"/>
        </w:rPr>
      </w:pPr>
      <w:r>
        <w:rPr>
          <w:color w:val="auto"/>
          <w:highlight w:val="none"/>
        </w:rPr>
        <w:br w:type="page"/>
      </w:r>
    </w:p>
    <w:p w14:paraId="089D12D0">
      <w:pPr>
        <w:rPr>
          <w:rFonts w:hint="eastAsia"/>
          <w:color w:val="auto"/>
          <w:highlight w:val="none"/>
        </w:rPr>
      </w:pPr>
    </w:p>
    <w:p w14:paraId="5698A6B6">
      <w:pPr>
        <w:rPr>
          <w:rFonts w:hint="eastAsia"/>
          <w:color w:val="auto"/>
          <w:highlight w:val="none"/>
        </w:rPr>
      </w:pPr>
    </w:p>
    <w:p w14:paraId="2350BEAD">
      <w:pPr>
        <w:rPr>
          <w:rFonts w:hint="eastAsia"/>
          <w:color w:val="auto"/>
          <w:highlight w:val="none"/>
        </w:rPr>
      </w:pPr>
    </w:p>
    <w:p w14:paraId="7C30AD57">
      <w:pPr>
        <w:rPr>
          <w:rFonts w:hint="eastAsia"/>
          <w:color w:val="auto"/>
          <w:highlight w:val="none"/>
        </w:rPr>
      </w:pPr>
    </w:p>
    <w:p w14:paraId="2367EA8B">
      <w:pPr>
        <w:rPr>
          <w:rFonts w:hint="eastAsia"/>
          <w:color w:val="auto"/>
          <w:highlight w:val="none"/>
        </w:rPr>
      </w:pPr>
    </w:p>
    <w:p w14:paraId="7DC0F410">
      <w:pPr>
        <w:rPr>
          <w:rFonts w:hint="eastAsia"/>
          <w:color w:val="auto"/>
          <w:highlight w:val="none"/>
        </w:rPr>
      </w:pPr>
    </w:p>
    <w:p w14:paraId="0D7FACBD">
      <w:pPr>
        <w:rPr>
          <w:rFonts w:hint="eastAsia"/>
          <w:color w:val="auto"/>
          <w:highlight w:val="none"/>
        </w:rPr>
      </w:pPr>
    </w:p>
    <w:p w14:paraId="2FB1D642">
      <w:pPr>
        <w:rPr>
          <w:rFonts w:hint="eastAsia"/>
          <w:color w:val="auto"/>
          <w:highlight w:val="none"/>
        </w:rPr>
      </w:pPr>
    </w:p>
    <w:p w14:paraId="24EA60AC">
      <w:pPr>
        <w:rPr>
          <w:rFonts w:hint="eastAsia"/>
          <w:color w:val="auto"/>
          <w:highlight w:val="none"/>
        </w:rPr>
      </w:pPr>
    </w:p>
    <w:p w14:paraId="5D59C637">
      <w:pPr>
        <w:rPr>
          <w:rFonts w:hint="eastAsia"/>
          <w:color w:val="auto"/>
          <w:highlight w:val="none"/>
        </w:rPr>
      </w:pPr>
    </w:p>
    <w:p w14:paraId="3BBE5609">
      <w:pPr>
        <w:rPr>
          <w:rFonts w:hint="eastAsia"/>
          <w:color w:val="auto"/>
          <w:highlight w:val="none"/>
        </w:rPr>
      </w:pPr>
    </w:p>
    <w:p w14:paraId="2882FAEB">
      <w:pPr>
        <w:rPr>
          <w:rFonts w:hint="eastAsia"/>
          <w:color w:val="auto"/>
          <w:highlight w:val="none"/>
        </w:rPr>
      </w:pPr>
    </w:p>
    <w:p w14:paraId="1932B13A">
      <w:pPr>
        <w:rPr>
          <w:rFonts w:hint="eastAsia"/>
          <w:color w:val="auto"/>
          <w:highlight w:val="none"/>
        </w:rPr>
      </w:pPr>
    </w:p>
    <w:p w14:paraId="0E757C70">
      <w:pPr>
        <w:pStyle w:val="2"/>
        <w:jc w:val="center"/>
        <w:rPr>
          <w:rFonts w:hint="eastAsia"/>
          <w:color w:val="auto"/>
          <w:highlight w:val="none"/>
        </w:rPr>
      </w:pPr>
      <w:bookmarkStart w:id="58" w:name="_Toc74322012"/>
      <w:r>
        <w:rPr>
          <w:rFonts w:hint="eastAsia"/>
          <w:color w:val="auto"/>
          <w:highlight w:val="none"/>
        </w:rPr>
        <w:t>第五章 响应文件格式</w:t>
      </w:r>
      <w:bookmarkEnd w:id="58"/>
    </w:p>
    <w:p w14:paraId="00242FA9">
      <w:pPr>
        <w:spacing w:line="240" w:lineRule="atLeast"/>
        <w:rPr>
          <w:rFonts w:hint="eastAsia" w:ascii="宋体" w:hAnsi="宋体"/>
          <w:b/>
          <w:color w:val="auto"/>
          <w:sz w:val="32"/>
          <w:szCs w:val="32"/>
          <w:highlight w:val="none"/>
        </w:rPr>
      </w:pPr>
    </w:p>
    <w:p w14:paraId="458C9CE9">
      <w:pPr>
        <w:spacing w:line="240" w:lineRule="atLeast"/>
        <w:rPr>
          <w:rFonts w:hint="eastAsia" w:ascii="宋体" w:hAnsi="宋体"/>
          <w:b/>
          <w:color w:val="auto"/>
          <w:sz w:val="32"/>
          <w:szCs w:val="32"/>
          <w:highlight w:val="none"/>
        </w:rPr>
      </w:pPr>
    </w:p>
    <w:p w14:paraId="42926F22">
      <w:pPr>
        <w:spacing w:line="240" w:lineRule="atLeast"/>
        <w:rPr>
          <w:rFonts w:hint="eastAsia" w:ascii="宋体" w:hAnsi="宋体"/>
          <w:b/>
          <w:color w:val="auto"/>
          <w:sz w:val="32"/>
          <w:szCs w:val="32"/>
          <w:highlight w:val="none"/>
        </w:rPr>
      </w:pPr>
    </w:p>
    <w:p w14:paraId="5CFA9223">
      <w:pPr>
        <w:spacing w:line="240" w:lineRule="atLeast"/>
        <w:rPr>
          <w:rFonts w:hint="eastAsia" w:ascii="宋体" w:hAnsi="宋体"/>
          <w:b/>
          <w:color w:val="auto"/>
          <w:sz w:val="32"/>
          <w:szCs w:val="32"/>
          <w:highlight w:val="none"/>
        </w:rPr>
      </w:pPr>
    </w:p>
    <w:p w14:paraId="2FEB5B14">
      <w:pPr>
        <w:spacing w:line="240" w:lineRule="atLeast"/>
        <w:rPr>
          <w:rFonts w:hint="eastAsia" w:ascii="宋体" w:hAnsi="宋体"/>
          <w:b/>
          <w:color w:val="auto"/>
          <w:sz w:val="32"/>
          <w:szCs w:val="32"/>
          <w:highlight w:val="none"/>
        </w:rPr>
      </w:pPr>
    </w:p>
    <w:p w14:paraId="5699BD97">
      <w:pPr>
        <w:spacing w:line="240" w:lineRule="atLeast"/>
        <w:rPr>
          <w:rFonts w:hint="eastAsia" w:ascii="宋体" w:hAnsi="宋体"/>
          <w:b/>
          <w:color w:val="auto"/>
          <w:sz w:val="32"/>
          <w:szCs w:val="32"/>
          <w:highlight w:val="none"/>
        </w:rPr>
      </w:pPr>
    </w:p>
    <w:p w14:paraId="490E3703">
      <w:pPr>
        <w:spacing w:line="240" w:lineRule="atLeast"/>
        <w:rPr>
          <w:rFonts w:hint="eastAsia" w:ascii="宋体" w:hAnsi="宋体"/>
          <w:b/>
          <w:color w:val="auto"/>
          <w:sz w:val="32"/>
          <w:szCs w:val="32"/>
          <w:highlight w:val="none"/>
        </w:rPr>
      </w:pPr>
    </w:p>
    <w:p w14:paraId="20BFAA90">
      <w:pPr>
        <w:spacing w:line="240" w:lineRule="atLeast"/>
        <w:rPr>
          <w:rFonts w:hint="eastAsia" w:ascii="宋体" w:hAnsi="宋体"/>
          <w:b/>
          <w:color w:val="auto"/>
          <w:sz w:val="32"/>
          <w:szCs w:val="32"/>
          <w:highlight w:val="none"/>
        </w:rPr>
      </w:pPr>
    </w:p>
    <w:p w14:paraId="3FA07F7E">
      <w:pPr>
        <w:spacing w:line="240" w:lineRule="atLeast"/>
        <w:rPr>
          <w:rFonts w:hint="eastAsia" w:ascii="宋体" w:hAnsi="宋体"/>
          <w:b/>
          <w:color w:val="auto"/>
          <w:sz w:val="32"/>
          <w:szCs w:val="32"/>
          <w:highlight w:val="none"/>
        </w:rPr>
      </w:pPr>
    </w:p>
    <w:p w14:paraId="6D10ED7D">
      <w:pPr>
        <w:spacing w:line="240" w:lineRule="atLeast"/>
        <w:rPr>
          <w:rFonts w:hint="eastAsia" w:ascii="宋体" w:hAnsi="宋体"/>
          <w:b/>
          <w:color w:val="auto"/>
          <w:sz w:val="32"/>
          <w:szCs w:val="32"/>
          <w:highlight w:val="none"/>
        </w:rPr>
      </w:pPr>
    </w:p>
    <w:p w14:paraId="75747961">
      <w:pPr>
        <w:spacing w:line="240" w:lineRule="atLeast"/>
        <w:rPr>
          <w:rFonts w:hint="eastAsia" w:ascii="宋体" w:hAnsi="宋体"/>
          <w:b/>
          <w:color w:val="auto"/>
          <w:sz w:val="32"/>
          <w:szCs w:val="32"/>
          <w:highlight w:val="none"/>
        </w:rPr>
      </w:pPr>
    </w:p>
    <w:p w14:paraId="7F0A64D7">
      <w:pPr>
        <w:spacing w:line="240" w:lineRule="atLeast"/>
        <w:rPr>
          <w:rFonts w:hint="eastAsia" w:ascii="宋体" w:hAnsi="宋体"/>
          <w:b/>
          <w:color w:val="auto"/>
          <w:sz w:val="32"/>
          <w:szCs w:val="32"/>
          <w:highlight w:val="none"/>
        </w:rPr>
      </w:pPr>
    </w:p>
    <w:p w14:paraId="68D17681">
      <w:pPr>
        <w:spacing w:line="240" w:lineRule="atLeast"/>
        <w:rPr>
          <w:rFonts w:hint="eastAsia" w:ascii="宋体" w:hAnsi="宋体"/>
          <w:b/>
          <w:color w:val="auto"/>
          <w:sz w:val="32"/>
          <w:szCs w:val="32"/>
          <w:highlight w:val="none"/>
        </w:rPr>
      </w:pPr>
    </w:p>
    <w:p w14:paraId="42528F33">
      <w:pPr>
        <w:spacing w:line="240" w:lineRule="atLeast"/>
        <w:rPr>
          <w:rFonts w:hint="eastAsia" w:ascii="宋体" w:hAnsi="宋体"/>
          <w:b/>
          <w:color w:val="auto"/>
          <w:sz w:val="32"/>
          <w:szCs w:val="32"/>
          <w:highlight w:val="none"/>
        </w:rPr>
      </w:pPr>
    </w:p>
    <w:p w14:paraId="10FA8C2B">
      <w:pPr>
        <w:snapToGrid w:val="0"/>
        <w:spacing w:before="50" w:after="50"/>
        <w:outlineLvl w:val="1"/>
        <w:rPr>
          <w:rFonts w:hint="eastAsia" w:ascii="宋体" w:hAnsi="宋体"/>
          <w:b/>
          <w:bCs/>
          <w:color w:val="auto"/>
          <w:sz w:val="24"/>
          <w:highlight w:val="none"/>
        </w:rPr>
      </w:pPr>
    </w:p>
    <w:p w14:paraId="594B04FE">
      <w:pPr>
        <w:snapToGrid w:val="0"/>
        <w:spacing w:before="50" w:after="50"/>
        <w:outlineLvl w:val="1"/>
        <w:rPr>
          <w:rFonts w:hint="eastAsia" w:ascii="宋体" w:hAnsi="宋体"/>
          <w:b/>
          <w:bCs/>
          <w:color w:val="auto"/>
          <w:sz w:val="24"/>
          <w:highlight w:val="none"/>
        </w:rPr>
      </w:pPr>
    </w:p>
    <w:p w14:paraId="7B436B70">
      <w:pPr>
        <w:snapToGrid w:val="0"/>
        <w:spacing w:before="50" w:after="50"/>
        <w:outlineLvl w:val="1"/>
        <w:rPr>
          <w:rFonts w:hint="eastAsia" w:ascii="宋体" w:hAnsi="宋体"/>
          <w:b/>
          <w:bCs/>
          <w:color w:val="auto"/>
          <w:sz w:val="24"/>
          <w:highlight w:val="none"/>
        </w:rPr>
      </w:pPr>
    </w:p>
    <w:p w14:paraId="7C76F169">
      <w:pPr>
        <w:snapToGrid w:val="0"/>
        <w:spacing w:before="50" w:after="50"/>
        <w:outlineLvl w:val="1"/>
        <w:rPr>
          <w:rFonts w:hint="eastAsia" w:ascii="宋体" w:hAnsi="宋体"/>
          <w:b/>
          <w:bCs/>
          <w:color w:val="auto"/>
          <w:sz w:val="24"/>
          <w:highlight w:val="none"/>
        </w:rPr>
      </w:pPr>
    </w:p>
    <w:p w14:paraId="5F43BDEF">
      <w:pPr>
        <w:snapToGrid w:val="0"/>
        <w:spacing w:before="50" w:after="50"/>
        <w:outlineLvl w:val="1"/>
        <w:rPr>
          <w:rFonts w:hint="eastAsia" w:ascii="宋体" w:hAnsi="宋体"/>
          <w:b/>
          <w:bCs/>
          <w:color w:val="auto"/>
          <w:sz w:val="24"/>
          <w:highlight w:val="none"/>
        </w:rPr>
      </w:pPr>
    </w:p>
    <w:p w14:paraId="48CC4536">
      <w:pPr>
        <w:snapToGrid w:val="0"/>
        <w:spacing w:before="50" w:after="50"/>
        <w:outlineLvl w:val="1"/>
        <w:rPr>
          <w:rFonts w:hint="eastAsia" w:ascii="宋体" w:hAnsi="宋体"/>
          <w:b/>
          <w:bCs/>
          <w:color w:val="auto"/>
          <w:sz w:val="24"/>
          <w:highlight w:val="none"/>
        </w:rPr>
      </w:pPr>
    </w:p>
    <w:p w14:paraId="544B2B95">
      <w:pPr>
        <w:snapToGrid w:val="0"/>
        <w:spacing w:before="50" w:after="50"/>
        <w:outlineLvl w:val="1"/>
        <w:rPr>
          <w:rFonts w:hint="eastAsia" w:ascii="宋体" w:hAnsi="宋体"/>
          <w:b/>
          <w:bCs/>
          <w:color w:val="auto"/>
          <w:sz w:val="24"/>
          <w:highlight w:val="none"/>
        </w:rPr>
      </w:pPr>
    </w:p>
    <w:p w14:paraId="444EC2DC">
      <w:pPr>
        <w:snapToGrid w:val="0"/>
        <w:spacing w:before="50" w:after="50"/>
        <w:outlineLvl w:val="1"/>
        <w:rPr>
          <w:rFonts w:hint="eastAsia" w:ascii="宋体" w:hAnsi="宋体"/>
          <w:b/>
          <w:bCs/>
          <w:color w:val="auto"/>
          <w:sz w:val="24"/>
          <w:highlight w:val="none"/>
        </w:rPr>
      </w:pPr>
    </w:p>
    <w:p w14:paraId="2381AECE">
      <w:pPr>
        <w:spacing w:line="240" w:lineRule="atLeast"/>
        <w:rPr>
          <w:rFonts w:ascii="宋体" w:hAnsi="宋体"/>
          <w:b/>
          <w:bCs/>
          <w:color w:val="auto"/>
          <w:sz w:val="32"/>
          <w:szCs w:val="32"/>
          <w:highlight w:val="none"/>
        </w:rPr>
      </w:pPr>
    </w:p>
    <w:p w14:paraId="1314BA65">
      <w:pPr>
        <w:spacing w:line="240" w:lineRule="atLeast"/>
        <w:rPr>
          <w:rFonts w:hint="eastAsia"/>
          <w:b/>
          <w:color w:val="auto"/>
          <w:sz w:val="32"/>
          <w:szCs w:val="32"/>
          <w:highlight w:val="none"/>
        </w:rPr>
      </w:pPr>
      <w:bookmarkStart w:id="59" w:name="_Toc71365382"/>
      <w:bookmarkStart w:id="60" w:name="_Toc71366060"/>
      <w:r>
        <w:rPr>
          <w:rFonts w:hint="eastAsia"/>
          <w:b/>
          <w:color w:val="auto"/>
          <w:sz w:val="32"/>
          <w:szCs w:val="32"/>
          <w:highlight w:val="none"/>
        </w:rPr>
        <w:t>一、资格证明文件格式</w:t>
      </w:r>
      <w:bookmarkEnd w:id="59"/>
      <w:bookmarkEnd w:id="60"/>
    </w:p>
    <w:p w14:paraId="0FB2FA4C">
      <w:pPr>
        <w:snapToGrid w:val="0"/>
        <w:spacing w:before="120" w:beforeLines="50" w:after="50" w:line="360" w:lineRule="auto"/>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632572CD">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2FDDCCA9">
      <w:pPr>
        <w:snapToGrid w:val="0"/>
        <w:spacing w:before="120" w:beforeLines="50" w:after="50"/>
        <w:rPr>
          <w:rFonts w:hint="eastAsia" w:ascii="宋体" w:hAnsi="宋体"/>
          <w:color w:val="auto"/>
          <w:sz w:val="24"/>
          <w:szCs w:val="20"/>
          <w:highlight w:val="none"/>
        </w:rPr>
      </w:pPr>
    </w:p>
    <w:p w14:paraId="612EC3D7">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响  应  文  件</w:t>
      </w:r>
    </w:p>
    <w:p w14:paraId="3AE7B9D4">
      <w:pPr>
        <w:snapToGrid w:val="0"/>
        <w:spacing w:before="120" w:beforeLines="50" w:after="50"/>
        <w:rPr>
          <w:rFonts w:hint="eastAsia" w:ascii="宋体" w:hAnsi="宋体"/>
          <w:color w:val="auto"/>
          <w:sz w:val="24"/>
          <w:szCs w:val="20"/>
          <w:highlight w:val="none"/>
        </w:rPr>
      </w:pPr>
    </w:p>
    <w:p w14:paraId="75BFB43F">
      <w:pPr>
        <w:snapToGrid w:val="0"/>
        <w:spacing w:before="120" w:beforeLines="50" w:after="50"/>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资  格  证  明  文  件</w:t>
      </w:r>
    </w:p>
    <w:p w14:paraId="377C75B6">
      <w:pPr>
        <w:snapToGrid w:val="0"/>
        <w:spacing w:before="120" w:beforeLines="50" w:after="50"/>
        <w:rPr>
          <w:rFonts w:hint="eastAsia" w:ascii="宋体" w:hAnsi="宋体"/>
          <w:bCs/>
          <w:color w:val="auto"/>
          <w:sz w:val="24"/>
          <w:szCs w:val="20"/>
          <w:highlight w:val="none"/>
        </w:rPr>
      </w:pPr>
    </w:p>
    <w:p w14:paraId="78191A6D">
      <w:pPr>
        <w:snapToGrid w:val="0"/>
        <w:spacing w:before="120" w:beforeLines="50" w:after="50"/>
        <w:rPr>
          <w:rFonts w:hint="eastAsia" w:ascii="宋体" w:hAnsi="宋体"/>
          <w:bCs/>
          <w:color w:val="auto"/>
          <w:sz w:val="24"/>
          <w:szCs w:val="20"/>
          <w:highlight w:val="none"/>
        </w:rPr>
      </w:pPr>
    </w:p>
    <w:p w14:paraId="397F8868">
      <w:pPr>
        <w:snapToGrid w:val="0"/>
        <w:spacing w:before="120" w:beforeLines="50" w:after="50"/>
        <w:rPr>
          <w:rFonts w:hint="eastAsia" w:ascii="宋体" w:hAnsi="宋体"/>
          <w:bCs/>
          <w:color w:val="auto"/>
          <w:sz w:val="24"/>
          <w:szCs w:val="20"/>
          <w:highlight w:val="none"/>
        </w:rPr>
      </w:pPr>
    </w:p>
    <w:p w14:paraId="40F7E385">
      <w:pPr>
        <w:snapToGrid w:val="0"/>
        <w:spacing w:before="120" w:beforeLines="50" w:after="50"/>
        <w:rPr>
          <w:rFonts w:hint="eastAsia" w:ascii="宋体" w:hAnsi="宋体"/>
          <w:bCs/>
          <w:color w:val="auto"/>
          <w:sz w:val="24"/>
          <w:szCs w:val="20"/>
          <w:highlight w:val="none"/>
        </w:rPr>
      </w:pPr>
    </w:p>
    <w:p w14:paraId="73208250">
      <w:pPr>
        <w:snapToGrid w:val="0"/>
        <w:spacing w:before="120" w:beforeLines="50" w:after="50"/>
        <w:rPr>
          <w:rFonts w:hint="eastAsia" w:ascii="宋体" w:hAnsi="宋体"/>
          <w:bCs/>
          <w:color w:val="auto"/>
          <w:sz w:val="24"/>
          <w:szCs w:val="20"/>
          <w:highlight w:val="none"/>
        </w:rPr>
      </w:pPr>
    </w:p>
    <w:p w14:paraId="2385E6E7">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50FD0F89">
      <w:pPr>
        <w:snapToGrid w:val="0"/>
        <w:spacing w:before="120" w:beforeLines="50" w:after="50"/>
        <w:ind w:firstLine="720" w:firstLineChars="225"/>
        <w:rPr>
          <w:rFonts w:hint="eastAsia" w:ascii="宋体" w:hAnsi="宋体" w:cs="仿宋_GB2312"/>
          <w:bCs/>
          <w:color w:val="auto"/>
          <w:sz w:val="32"/>
          <w:szCs w:val="32"/>
          <w:highlight w:val="none"/>
        </w:rPr>
      </w:pPr>
    </w:p>
    <w:p w14:paraId="431E7B34">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1868E593">
      <w:pPr>
        <w:snapToGrid w:val="0"/>
        <w:spacing w:before="120" w:beforeLines="50" w:after="50"/>
        <w:ind w:firstLine="720" w:firstLineChars="225"/>
        <w:rPr>
          <w:rFonts w:hint="eastAsia" w:ascii="宋体" w:hAnsi="宋体" w:cs="仿宋_GB2312"/>
          <w:bCs/>
          <w:color w:val="auto"/>
          <w:sz w:val="32"/>
          <w:szCs w:val="32"/>
          <w:highlight w:val="none"/>
        </w:rPr>
      </w:pPr>
    </w:p>
    <w:p w14:paraId="67ED7963">
      <w:pPr>
        <w:snapToGrid w:val="0"/>
        <w:spacing w:before="120" w:beforeLines="50" w:after="50"/>
        <w:ind w:firstLine="720" w:firstLineChars="225"/>
        <w:rPr>
          <w:rFonts w:hint="eastAsia" w:ascii="宋体" w:hAnsi="宋体" w:cs="仿宋_GB2312"/>
          <w:bCs/>
          <w:color w:val="auto"/>
          <w:sz w:val="32"/>
          <w:szCs w:val="32"/>
          <w:highlight w:val="none"/>
        </w:rPr>
      </w:pPr>
    </w:p>
    <w:p w14:paraId="2F733EED">
      <w:pPr>
        <w:pStyle w:val="5"/>
        <w:snapToGrid w:val="0"/>
        <w:spacing w:before="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2762D40C">
      <w:pPr>
        <w:snapToGrid w:val="0"/>
        <w:spacing w:before="120" w:beforeLines="50" w:after="50"/>
        <w:ind w:firstLine="640" w:firstLineChars="200"/>
        <w:rPr>
          <w:rFonts w:hint="eastAsia" w:ascii="宋体" w:hAnsi="宋体" w:cs="仿宋_GB2312"/>
          <w:bCs/>
          <w:color w:val="auto"/>
          <w:sz w:val="32"/>
          <w:szCs w:val="32"/>
          <w:highlight w:val="none"/>
        </w:rPr>
      </w:pPr>
    </w:p>
    <w:p w14:paraId="3796397B">
      <w:pPr>
        <w:pStyle w:val="5"/>
        <w:snapToGrid w:val="0"/>
        <w:spacing w:before="50" w:after="50"/>
        <w:ind w:firstLine="720" w:firstLineChars="225"/>
        <w:rPr>
          <w:rFonts w:hint="eastAsia" w:ascii="宋体" w:hAnsi="宋体" w:cs="仿宋_GB2312"/>
          <w:bCs/>
          <w:color w:val="auto"/>
          <w:sz w:val="32"/>
          <w:szCs w:val="32"/>
          <w:highlight w:val="none"/>
        </w:rPr>
      </w:pPr>
    </w:p>
    <w:p w14:paraId="6F161B17">
      <w:pPr>
        <w:pStyle w:val="5"/>
        <w:snapToGrid w:val="0"/>
        <w:spacing w:before="50" w:after="50"/>
        <w:ind w:firstLine="720" w:firstLineChars="225"/>
        <w:rPr>
          <w:rFonts w:hint="eastAsia" w:ascii="宋体" w:hAnsi="宋体" w:cs="仿宋_GB2312"/>
          <w:bCs/>
          <w:color w:val="auto"/>
          <w:sz w:val="32"/>
          <w:szCs w:val="32"/>
          <w:highlight w:val="none"/>
        </w:rPr>
      </w:pPr>
    </w:p>
    <w:p w14:paraId="3679D465">
      <w:pPr>
        <w:pStyle w:val="5"/>
        <w:snapToGrid w:val="0"/>
        <w:spacing w:before="50" w:after="50"/>
        <w:ind w:firstLine="1280" w:firstLineChars="400"/>
        <w:rPr>
          <w:rFonts w:hint="eastAsia" w:ascii="宋体" w:hAnsi="宋体" w:cs="仿宋_GB2312"/>
          <w:bCs/>
          <w:color w:val="auto"/>
          <w:sz w:val="32"/>
          <w:szCs w:val="32"/>
          <w:highlight w:val="none"/>
        </w:rPr>
      </w:pPr>
    </w:p>
    <w:p w14:paraId="7418C2C1">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75E82974">
      <w:pPr>
        <w:snapToGrid w:val="0"/>
        <w:spacing w:before="120" w:beforeLines="50" w:after="50" w:line="360" w:lineRule="auto"/>
        <w:ind w:left="142"/>
        <w:jc w:val="left"/>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2CA9583B">
      <w:pPr>
        <w:snapToGrid w:val="0"/>
        <w:spacing w:before="120"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14:paraId="5EA908CE">
      <w:pPr>
        <w:snapToGrid w:val="0"/>
        <w:spacing w:before="120" w:beforeLines="50" w:after="50" w:line="360" w:lineRule="auto"/>
        <w:rPr>
          <w:rFonts w:ascii="宋体" w:hAnsi="宋体"/>
          <w:color w:val="auto"/>
          <w:sz w:val="24"/>
          <w:szCs w:val="20"/>
          <w:highlight w:val="none"/>
        </w:rPr>
      </w:pPr>
      <w:r>
        <w:rPr>
          <w:rFonts w:ascii="宋体" w:hAnsi="宋体"/>
          <w:color w:val="auto"/>
          <w:sz w:val="24"/>
          <w:szCs w:val="20"/>
          <w:highlight w:val="none"/>
        </w:rPr>
        <w:t xml:space="preserve"> </w:t>
      </w:r>
    </w:p>
    <w:p w14:paraId="74B90B64">
      <w:pPr>
        <w:spacing w:line="360" w:lineRule="auto"/>
        <w:rPr>
          <w:rFonts w:hint="eastAsia" w:ascii="宋体" w:hAnsi="宋体"/>
          <w:color w:val="auto"/>
          <w:szCs w:val="21"/>
          <w:highlight w:val="none"/>
        </w:rPr>
      </w:pPr>
    </w:p>
    <w:p w14:paraId="6FFAC1F6">
      <w:pPr>
        <w:spacing w:line="360" w:lineRule="auto"/>
        <w:rPr>
          <w:rFonts w:hint="eastAsia" w:ascii="宋体" w:hAnsi="宋体"/>
          <w:color w:val="auto"/>
          <w:szCs w:val="21"/>
          <w:highlight w:val="none"/>
        </w:rPr>
      </w:pPr>
    </w:p>
    <w:p w14:paraId="1346ADE4">
      <w:pPr>
        <w:spacing w:line="360" w:lineRule="auto"/>
        <w:rPr>
          <w:rFonts w:hint="eastAsia" w:ascii="宋体" w:hAnsi="宋体"/>
          <w:color w:val="auto"/>
          <w:szCs w:val="21"/>
          <w:highlight w:val="none"/>
        </w:rPr>
      </w:pPr>
    </w:p>
    <w:p w14:paraId="06F64F1D">
      <w:pPr>
        <w:spacing w:line="360" w:lineRule="auto"/>
        <w:rPr>
          <w:rFonts w:hint="eastAsia" w:ascii="宋体" w:hAnsi="宋体"/>
          <w:color w:val="auto"/>
          <w:szCs w:val="21"/>
          <w:highlight w:val="none"/>
        </w:rPr>
      </w:pPr>
    </w:p>
    <w:p w14:paraId="5D510EF7">
      <w:pPr>
        <w:spacing w:line="300" w:lineRule="auto"/>
        <w:rPr>
          <w:rFonts w:hint="eastAsia" w:ascii="宋体" w:hAnsi="宋体"/>
          <w:color w:val="auto"/>
          <w:szCs w:val="21"/>
          <w:highlight w:val="none"/>
        </w:rPr>
      </w:pPr>
    </w:p>
    <w:p w14:paraId="76AD31B3">
      <w:pPr>
        <w:spacing w:line="300" w:lineRule="auto"/>
        <w:rPr>
          <w:rFonts w:hint="eastAsia" w:ascii="宋体" w:hAnsi="宋体"/>
          <w:color w:val="auto"/>
          <w:szCs w:val="21"/>
          <w:highlight w:val="none"/>
        </w:rPr>
      </w:pPr>
    </w:p>
    <w:p w14:paraId="4EE21D3A">
      <w:pPr>
        <w:spacing w:line="300" w:lineRule="auto"/>
        <w:rPr>
          <w:rFonts w:hint="eastAsia" w:ascii="宋体" w:hAnsi="宋体"/>
          <w:color w:val="auto"/>
          <w:szCs w:val="21"/>
          <w:highlight w:val="none"/>
        </w:rPr>
      </w:pPr>
    </w:p>
    <w:p w14:paraId="10979E43">
      <w:pPr>
        <w:spacing w:line="300" w:lineRule="auto"/>
        <w:rPr>
          <w:rFonts w:hint="eastAsia" w:ascii="宋体" w:hAnsi="宋体"/>
          <w:color w:val="auto"/>
          <w:szCs w:val="21"/>
          <w:highlight w:val="none"/>
        </w:rPr>
      </w:pPr>
    </w:p>
    <w:p w14:paraId="622AFEF1">
      <w:pPr>
        <w:spacing w:line="300" w:lineRule="auto"/>
        <w:rPr>
          <w:rFonts w:hint="eastAsia" w:ascii="宋体" w:hAnsi="宋体"/>
          <w:color w:val="auto"/>
          <w:szCs w:val="21"/>
          <w:highlight w:val="none"/>
        </w:rPr>
      </w:pPr>
    </w:p>
    <w:p w14:paraId="55CD87BC">
      <w:pPr>
        <w:spacing w:line="300" w:lineRule="auto"/>
        <w:rPr>
          <w:rFonts w:hint="eastAsia" w:ascii="宋体" w:hAnsi="宋体"/>
          <w:color w:val="auto"/>
          <w:szCs w:val="21"/>
          <w:highlight w:val="none"/>
        </w:rPr>
      </w:pPr>
    </w:p>
    <w:p w14:paraId="53B8E4E2">
      <w:pPr>
        <w:spacing w:line="300" w:lineRule="auto"/>
        <w:rPr>
          <w:rFonts w:hint="eastAsia" w:ascii="宋体" w:hAnsi="宋体"/>
          <w:color w:val="auto"/>
          <w:szCs w:val="21"/>
          <w:highlight w:val="none"/>
        </w:rPr>
      </w:pPr>
    </w:p>
    <w:p w14:paraId="7688AE75">
      <w:pPr>
        <w:spacing w:line="300" w:lineRule="auto"/>
        <w:rPr>
          <w:rFonts w:hint="eastAsia" w:ascii="宋体" w:hAnsi="宋体"/>
          <w:color w:val="auto"/>
          <w:szCs w:val="21"/>
          <w:highlight w:val="none"/>
        </w:rPr>
      </w:pPr>
    </w:p>
    <w:p w14:paraId="3E39ED70">
      <w:pPr>
        <w:spacing w:line="300" w:lineRule="auto"/>
        <w:rPr>
          <w:rFonts w:hint="eastAsia" w:ascii="宋体" w:hAnsi="宋体"/>
          <w:color w:val="auto"/>
          <w:szCs w:val="21"/>
          <w:highlight w:val="none"/>
        </w:rPr>
      </w:pPr>
    </w:p>
    <w:p w14:paraId="28128451">
      <w:pPr>
        <w:spacing w:line="300" w:lineRule="auto"/>
        <w:rPr>
          <w:rFonts w:hint="eastAsia" w:ascii="宋体" w:hAnsi="宋体"/>
          <w:color w:val="auto"/>
          <w:szCs w:val="21"/>
          <w:highlight w:val="none"/>
        </w:rPr>
      </w:pPr>
    </w:p>
    <w:p w14:paraId="1BF5D986">
      <w:pPr>
        <w:spacing w:line="300" w:lineRule="auto"/>
        <w:rPr>
          <w:rFonts w:hint="eastAsia" w:ascii="宋体" w:hAnsi="宋体"/>
          <w:color w:val="auto"/>
          <w:szCs w:val="21"/>
          <w:highlight w:val="none"/>
        </w:rPr>
      </w:pPr>
    </w:p>
    <w:p w14:paraId="1FCC93B0">
      <w:pPr>
        <w:spacing w:line="320" w:lineRule="exact"/>
        <w:jc w:val="left"/>
        <w:rPr>
          <w:rFonts w:hint="eastAsia" w:ascii="宋体" w:hAnsi="宋体"/>
          <w:color w:val="auto"/>
          <w:szCs w:val="21"/>
          <w:highlight w:val="none"/>
        </w:rPr>
      </w:pPr>
    </w:p>
    <w:p w14:paraId="3402A397">
      <w:pPr>
        <w:snapToGrid w:val="0"/>
        <w:spacing w:before="120" w:beforeLines="50" w:after="50"/>
        <w:jc w:val="center"/>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供应商直接控股、管理关系信息表</w:t>
      </w:r>
    </w:p>
    <w:p w14:paraId="52281A20">
      <w:pPr>
        <w:snapToGrid w:val="0"/>
        <w:spacing w:before="120" w:beforeLines="50" w:after="50"/>
        <w:jc w:val="center"/>
        <w:rPr>
          <w:rFonts w:hint="eastAsia" w:ascii="宋体" w:hAnsi="宋体"/>
          <w:b/>
          <w:color w:val="auto"/>
          <w:sz w:val="32"/>
          <w:szCs w:val="32"/>
          <w:highlight w:val="none"/>
        </w:rPr>
      </w:pPr>
    </w:p>
    <w:p w14:paraId="54D72095">
      <w:pPr>
        <w:snapToGrid w:val="0"/>
        <w:spacing w:before="120" w:beforeLines="50" w:after="50"/>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0ED69407">
      <w:pPr>
        <w:snapToGrid w:val="0"/>
        <w:spacing w:before="50" w:after="120" w:afterLines="50"/>
        <w:jc w:val="center"/>
        <w:rPr>
          <w:rFonts w:hint="eastAsia" w:ascii="宋体" w:hAnsi="宋体"/>
          <w:b/>
          <w:color w:val="auto"/>
          <w:sz w:val="32"/>
          <w:szCs w:val="32"/>
          <w:highlight w:val="none"/>
        </w:rPr>
      </w:pPr>
    </w:p>
    <w:tbl>
      <w:tblPr>
        <w:tblStyle w:val="18"/>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706D1DB5">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E57FFF5">
            <w:pPr>
              <w:widowControl/>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9991257">
            <w:pPr>
              <w:widowControl/>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0B4104B">
            <w:pPr>
              <w:widowControl/>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8B8D8E6">
            <w:pPr>
              <w:widowControl/>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B65D1E9">
            <w:pPr>
              <w:widowControl/>
              <w:spacing w:line="360" w:lineRule="auto"/>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14:paraId="0FC41E6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633266">
            <w:pPr>
              <w:widowControl/>
              <w:spacing w:line="360" w:lineRule="auto"/>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826CF51">
            <w:pPr>
              <w:widowControl/>
              <w:spacing w:line="360" w:lineRule="auto"/>
              <w:jc w:val="center"/>
              <w:rPr>
                <w:rFonts w:hint="eastAsia"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BA639EA">
            <w:pPr>
              <w:widowControl/>
              <w:spacing w:line="360" w:lineRule="auto"/>
              <w:jc w:val="center"/>
              <w:rPr>
                <w:rFonts w:hint="eastAsia"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74FF31F">
            <w:pPr>
              <w:widowControl/>
              <w:spacing w:line="360" w:lineRule="auto"/>
              <w:jc w:val="center"/>
              <w:rPr>
                <w:rFonts w:hint="eastAsia"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346A37D">
            <w:pPr>
              <w:widowControl/>
              <w:spacing w:line="360" w:lineRule="auto"/>
              <w:jc w:val="center"/>
              <w:rPr>
                <w:rFonts w:hint="eastAsia" w:ascii="宋体" w:hAnsi="宋体" w:cs="宋体"/>
                <w:color w:val="auto"/>
                <w:kern w:val="0"/>
                <w:sz w:val="28"/>
                <w:szCs w:val="28"/>
                <w:highlight w:val="none"/>
              </w:rPr>
            </w:pPr>
          </w:p>
        </w:tc>
      </w:tr>
      <w:tr w14:paraId="3189D443">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2B66CE">
            <w:pPr>
              <w:widowControl/>
              <w:spacing w:line="360" w:lineRule="auto"/>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5C574E">
            <w:pPr>
              <w:widowControl/>
              <w:spacing w:line="360" w:lineRule="auto"/>
              <w:jc w:val="center"/>
              <w:rPr>
                <w:rFonts w:hint="eastAsia"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E779FE">
            <w:pPr>
              <w:widowControl/>
              <w:spacing w:line="360" w:lineRule="auto"/>
              <w:jc w:val="center"/>
              <w:rPr>
                <w:rFonts w:hint="eastAsia"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A0EA2E">
            <w:pPr>
              <w:widowControl/>
              <w:spacing w:line="360" w:lineRule="auto"/>
              <w:jc w:val="center"/>
              <w:rPr>
                <w:rFonts w:hint="eastAsia"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848A967">
            <w:pPr>
              <w:widowControl/>
              <w:spacing w:line="360" w:lineRule="auto"/>
              <w:jc w:val="center"/>
              <w:rPr>
                <w:rFonts w:hint="eastAsia" w:ascii="宋体" w:hAnsi="宋体" w:cs="宋体"/>
                <w:color w:val="auto"/>
                <w:kern w:val="0"/>
                <w:sz w:val="28"/>
                <w:szCs w:val="28"/>
                <w:highlight w:val="none"/>
              </w:rPr>
            </w:pPr>
          </w:p>
        </w:tc>
      </w:tr>
      <w:tr w14:paraId="4658BC16">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50E4390">
            <w:pPr>
              <w:widowControl/>
              <w:spacing w:line="360" w:lineRule="auto"/>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895E4D6">
            <w:pPr>
              <w:widowControl/>
              <w:spacing w:line="360" w:lineRule="auto"/>
              <w:jc w:val="center"/>
              <w:rPr>
                <w:rFonts w:hint="eastAsia"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A0B044">
            <w:pPr>
              <w:widowControl/>
              <w:spacing w:line="360" w:lineRule="auto"/>
              <w:jc w:val="center"/>
              <w:rPr>
                <w:rFonts w:hint="eastAsia"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80F90C">
            <w:pPr>
              <w:widowControl/>
              <w:spacing w:line="360" w:lineRule="auto"/>
              <w:jc w:val="center"/>
              <w:rPr>
                <w:rFonts w:hint="eastAsia"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45D5A7">
            <w:pPr>
              <w:widowControl/>
              <w:spacing w:line="360" w:lineRule="auto"/>
              <w:jc w:val="center"/>
              <w:rPr>
                <w:rFonts w:hint="eastAsia" w:ascii="宋体" w:hAnsi="宋体" w:cs="宋体"/>
                <w:color w:val="auto"/>
                <w:kern w:val="0"/>
                <w:sz w:val="28"/>
                <w:szCs w:val="28"/>
                <w:highlight w:val="none"/>
              </w:rPr>
            </w:pPr>
          </w:p>
        </w:tc>
      </w:tr>
      <w:tr w14:paraId="28A2BC3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01C31EF">
            <w:pPr>
              <w:widowControl/>
              <w:spacing w:line="360" w:lineRule="auto"/>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6CD3D5E">
            <w:pPr>
              <w:widowControl/>
              <w:spacing w:line="360" w:lineRule="auto"/>
              <w:jc w:val="center"/>
              <w:rPr>
                <w:rFonts w:hint="eastAsia"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54605FC">
            <w:pPr>
              <w:widowControl/>
              <w:spacing w:line="360" w:lineRule="auto"/>
              <w:jc w:val="center"/>
              <w:rPr>
                <w:rFonts w:hint="eastAsia"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AB5F463">
            <w:pPr>
              <w:widowControl/>
              <w:spacing w:line="360" w:lineRule="auto"/>
              <w:jc w:val="center"/>
              <w:rPr>
                <w:rFonts w:hint="eastAsia"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8F19735">
            <w:pPr>
              <w:widowControl/>
              <w:spacing w:line="360" w:lineRule="auto"/>
              <w:jc w:val="center"/>
              <w:rPr>
                <w:rFonts w:hint="eastAsia" w:ascii="宋体" w:hAnsi="宋体" w:cs="宋体"/>
                <w:color w:val="auto"/>
                <w:kern w:val="0"/>
                <w:sz w:val="28"/>
                <w:szCs w:val="28"/>
                <w:highlight w:val="none"/>
              </w:rPr>
            </w:pPr>
          </w:p>
        </w:tc>
      </w:tr>
    </w:tbl>
    <w:p w14:paraId="5397F1CA">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w:t>
      </w:r>
    </w:p>
    <w:p w14:paraId="445CFB48">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6B18624">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2EBB6862">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59600B4D">
      <w:pPr>
        <w:spacing w:line="360" w:lineRule="auto"/>
        <w:ind w:firstLine="420" w:firstLineChars="200"/>
        <w:contextualSpacing/>
        <w:jc w:val="left"/>
        <w:rPr>
          <w:rFonts w:ascii="宋体" w:hAnsi="宋体" w:cs="宋体"/>
          <w:color w:val="auto"/>
          <w:szCs w:val="21"/>
          <w:highlight w:val="none"/>
        </w:rPr>
      </w:pPr>
    </w:p>
    <w:p w14:paraId="65E82495">
      <w:pPr>
        <w:spacing w:line="360" w:lineRule="auto"/>
        <w:ind w:firstLine="560" w:firstLineChars="200"/>
        <w:contextualSpacing/>
        <w:jc w:val="left"/>
        <w:rPr>
          <w:rFonts w:hint="eastAsia" w:ascii="宋体" w:hAnsi="宋体" w:cs="宋体"/>
          <w:color w:val="auto"/>
          <w:sz w:val="28"/>
          <w:szCs w:val="28"/>
          <w:highlight w:val="none"/>
        </w:rPr>
      </w:pPr>
    </w:p>
    <w:p w14:paraId="01BF3B4A">
      <w:pPr>
        <w:spacing w:line="360" w:lineRule="auto"/>
        <w:ind w:right="480"/>
        <w:contextualSpacing/>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法定代表人或者委托代理人签字：</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79351C57">
      <w:pPr>
        <w:spacing w:line="360" w:lineRule="auto"/>
        <w:ind w:right="480" w:firstLine="3000" w:firstLineChars="1250"/>
        <w:contextualSpacing/>
        <w:rPr>
          <w:rFonts w:hint="eastAsia" w:ascii="宋体" w:hAnsi="宋体" w:cs="宋体"/>
          <w:color w:val="auto"/>
          <w:sz w:val="24"/>
          <w:highlight w:val="none"/>
          <w:u w:val="single"/>
        </w:rPr>
      </w:pPr>
      <w:r>
        <w:rPr>
          <w:rFonts w:hint="eastAsia" w:ascii="宋体" w:hAnsi="宋体" w:cs="宋体"/>
          <w:color w:val="auto"/>
          <w:sz w:val="24"/>
          <w:highlight w:val="none"/>
        </w:rPr>
        <w:t xml:space="preserve">供应商（盖公章 ）： </w:t>
      </w:r>
      <w:r>
        <w:rPr>
          <w:rFonts w:hint="eastAsia" w:ascii="宋体" w:hAnsi="宋体" w:cs="宋体"/>
          <w:color w:val="auto"/>
          <w:sz w:val="24"/>
          <w:highlight w:val="none"/>
          <w:u w:val="single"/>
        </w:rPr>
        <w:t xml:space="preserve">                              </w:t>
      </w:r>
    </w:p>
    <w:p w14:paraId="553AE7A2">
      <w:pPr>
        <w:spacing w:line="360" w:lineRule="auto"/>
        <w:ind w:right="480" w:firstLine="5280" w:firstLineChars="2200"/>
        <w:contextualSpacing/>
        <w:rPr>
          <w:rFonts w:hint="eastAsia" w:ascii="宋体" w:hAnsi="宋体" w:cs="宋体"/>
          <w:color w:val="auto"/>
          <w:sz w:val="28"/>
          <w:szCs w:val="28"/>
          <w:highlight w:val="none"/>
        </w:rPr>
      </w:pPr>
      <w:r>
        <w:rPr>
          <w:rFonts w:hint="eastAsia" w:ascii="宋体" w:hAnsi="宋体" w:cs="宋体"/>
          <w:color w:val="auto"/>
          <w:sz w:val="24"/>
          <w:highlight w:val="none"/>
        </w:rPr>
        <w:t>年    月    日</w:t>
      </w:r>
    </w:p>
    <w:p w14:paraId="6B4FBEC5">
      <w:pPr>
        <w:snapToGrid w:val="0"/>
        <w:jc w:val="center"/>
        <w:rPr>
          <w:rFonts w:hint="eastAsia" w:ascii="宋体" w:hAnsi="宋体"/>
          <w:b/>
          <w:color w:val="auto"/>
          <w:sz w:val="28"/>
          <w:szCs w:val="28"/>
          <w:highlight w:val="none"/>
        </w:rPr>
      </w:pPr>
      <w:r>
        <w:rPr>
          <w:rFonts w:ascii="宋体" w:hAnsi="宋体"/>
          <w:b/>
          <w:color w:val="auto"/>
          <w:sz w:val="28"/>
          <w:szCs w:val="28"/>
          <w:highlight w:val="none"/>
        </w:rPr>
        <w:br w:type="page"/>
      </w:r>
    </w:p>
    <w:p w14:paraId="5872E9C1">
      <w:pPr>
        <w:snapToGrid w:val="0"/>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45844DAE">
      <w:pPr>
        <w:snapToGrid w:val="0"/>
        <w:jc w:val="center"/>
        <w:rPr>
          <w:rFonts w:hint="eastAsia" w:ascii="宋体" w:hAnsi="宋体"/>
          <w:b/>
          <w:color w:val="auto"/>
          <w:sz w:val="32"/>
          <w:szCs w:val="32"/>
          <w:highlight w:val="none"/>
        </w:rPr>
      </w:pPr>
    </w:p>
    <w:tbl>
      <w:tblPr>
        <w:tblStyle w:val="18"/>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F9C1D3D">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3FAAB85">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C0F5F45">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55F842D">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94FD373">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14:paraId="472A856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F097BC3">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66A260">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1E7421C">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5EDB2D7">
            <w:pPr>
              <w:widowControl/>
              <w:wordWrap w:val="0"/>
              <w:spacing w:line="200" w:lineRule="atLeast"/>
              <w:jc w:val="center"/>
              <w:rPr>
                <w:rFonts w:ascii="宋体" w:hAnsi="宋体" w:cs="宋体"/>
                <w:color w:val="auto"/>
                <w:kern w:val="0"/>
                <w:sz w:val="28"/>
                <w:szCs w:val="28"/>
                <w:highlight w:val="none"/>
              </w:rPr>
            </w:pPr>
          </w:p>
        </w:tc>
      </w:tr>
      <w:tr w14:paraId="3A726AE6">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43158E">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80F945F">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479DE1">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6CDE60">
            <w:pPr>
              <w:widowControl/>
              <w:wordWrap w:val="0"/>
              <w:spacing w:line="200" w:lineRule="atLeast"/>
              <w:jc w:val="center"/>
              <w:rPr>
                <w:rFonts w:ascii="宋体" w:hAnsi="宋体" w:cs="宋体"/>
                <w:color w:val="auto"/>
                <w:kern w:val="0"/>
                <w:sz w:val="28"/>
                <w:szCs w:val="28"/>
                <w:highlight w:val="none"/>
              </w:rPr>
            </w:pPr>
          </w:p>
        </w:tc>
      </w:tr>
      <w:tr w14:paraId="3311CD2C">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796679F">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50BA556">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F629F40">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3094AD1">
            <w:pPr>
              <w:widowControl/>
              <w:wordWrap w:val="0"/>
              <w:spacing w:line="200" w:lineRule="atLeast"/>
              <w:jc w:val="center"/>
              <w:rPr>
                <w:rFonts w:ascii="宋体" w:hAnsi="宋体" w:cs="宋体"/>
                <w:color w:val="auto"/>
                <w:kern w:val="0"/>
                <w:sz w:val="28"/>
                <w:szCs w:val="28"/>
                <w:highlight w:val="none"/>
              </w:rPr>
            </w:pPr>
          </w:p>
        </w:tc>
      </w:tr>
      <w:tr w14:paraId="4F20D15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69A9CF">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62AB2C0">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FEB898">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60C2C3">
            <w:pPr>
              <w:widowControl/>
              <w:wordWrap w:val="0"/>
              <w:spacing w:line="200" w:lineRule="atLeast"/>
              <w:jc w:val="center"/>
              <w:rPr>
                <w:rFonts w:ascii="宋体" w:hAnsi="宋体" w:cs="宋体"/>
                <w:color w:val="auto"/>
                <w:kern w:val="0"/>
                <w:sz w:val="28"/>
                <w:szCs w:val="28"/>
                <w:highlight w:val="none"/>
              </w:rPr>
            </w:pPr>
          </w:p>
        </w:tc>
      </w:tr>
    </w:tbl>
    <w:p w14:paraId="2176C420">
      <w:pPr>
        <w:spacing w:line="360" w:lineRule="auto"/>
        <w:contextualSpacing/>
        <w:jc w:val="left"/>
        <w:rPr>
          <w:rFonts w:hint="eastAsia" w:ascii="宋体" w:hAnsi="宋体"/>
          <w:color w:val="auto"/>
          <w:sz w:val="24"/>
          <w:highlight w:val="none"/>
        </w:rPr>
      </w:pPr>
      <w:r>
        <w:rPr>
          <w:rFonts w:hint="eastAsia" w:ascii="宋体" w:hAnsi="宋体"/>
          <w:color w:val="auto"/>
          <w:sz w:val="24"/>
          <w:highlight w:val="none"/>
        </w:rPr>
        <w:t>注：</w:t>
      </w:r>
    </w:p>
    <w:p w14:paraId="36A7E3D7">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71E6AE5E">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2B27A3B3">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3.供应商不存在直接管理关系的，则填“无”。</w:t>
      </w:r>
    </w:p>
    <w:p w14:paraId="60CB23AB">
      <w:pPr>
        <w:spacing w:line="360" w:lineRule="auto"/>
        <w:contextualSpacing/>
        <w:jc w:val="left"/>
        <w:rPr>
          <w:rFonts w:hint="eastAsia" w:ascii="宋体" w:hAnsi="宋体"/>
          <w:color w:val="auto"/>
          <w:sz w:val="28"/>
          <w:szCs w:val="28"/>
          <w:highlight w:val="none"/>
        </w:rPr>
      </w:pPr>
    </w:p>
    <w:p w14:paraId="25E95CC4">
      <w:pPr>
        <w:spacing w:line="360" w:lineRule="auto"/>
        <w:contextualSpacing/>
        <w:jc w:val="left"/>
        <w:rPr>
          <w:rFonts w:hint="eastAsia" w:ascii="宋体" w:hAnsi="宋体"/>
          <w:color w:val="auto"/>
          <w:sz w:val="28"/>
          <w:szCs w:val="28"/>
          <w:highlight w:val="none"/>
        </w:rPr>
      </w:pPr>
    </w:p>
    <w:p w14:paraId="7F6474D7">
      <w:pPr>
        <w:spacing w:line="360" w:lineRule="auto"/>
        <w:contextualSpacing/>
        <w:jc w:val="left"/>
        <w:rPr>
          <w:rFonts w:hint="eastAsia"/>
          <w:color w:val="auto"/>
          <w:sz w:val="28"/>
          <w:szCs w:val="28"/>
          <w:highlight w:val="none"/>
        </w:rPr>
      </w:pPr>
    </w:p>
    <w:p w14:paraId="1A264E37">
      <w:pPr>
        <w:spacing w:line="360" w:lineRule="auto"/>
        <w:contextualSpacing/>
        <w:jc w:val="left"/>
        <w:rPr>
          <w:rFonts w:hint="eastAsia"/>
          <w:color w:val="auto"/>
          <w:sz w:val="28"/>
          <w:szCs w:val="28"/>
          <w:highlight w:val="none"/>
        </w:rPr>
      </w:pPr>
    </w:p>
    <w:p w14:paraId="77E2348D">
      <w:pPr>
        <w:spacing w:line="360" w:lineRule="auto"/>
        <w:contextualSpacing/>
        <w:jc w:val="left"/>
        <w:rPr>
          <w:rFonts w:hint="eastAsia"/>
          <w:color w:val="auto"/>
          <w:sz w:val="28"/>
          <w:szCs w:val="28"/>
          <w:highlight w:val="none"/>
        </w:rPr>
      </w:pPr>
    </w:p>
    <w:p w14:paraId="3E66172C">
      <w:pPr>
        <w:spacing w:line="360" w:lineRule="auto"/>
        <w:contextualSpacing/>
        <w:jc w:val="left"/>
        <w:rPr>
          <w:rFonts w:hint="eastAsia" w:ascii="宋体" w:hAnsi="宋体"/>
          <w:color w:val="auto"/>
          <w:sz w:val="28"/>
          <w:szCs w:val="28"/>
          <w:highlight w:val="none"/>
        </w:rPr>
      </w:pPr>
    </w:p>
    <w:p w14:paraId="35873062">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43002E71">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供应商（盖公章）：</w:t>
      </w:r>
      <w:r>
        <w:rPr>
          <w:rFonts w:hint="eastAsia" w:ascii="宋体" w:hAnsi="宋体"/>
          <w:color w:val="auto"/>
          <w:sz w:val="24"/>
          <w:highlight w:val="none"/>
          <w:u w:val="single"/>
        </w:rPr>
        <w:t xml:space="preserve">                </w:t>
      </w:r>
    </w:p>
    <w:p w14:paraId="45F241C9">
      <w:pPr>
        <w:spacing w:line="360" w:lineRule="auto"/>
        <w:ind w:right="480" w:firstLine="240" w:firstLineChars="100"/>
        <w:contextualSpacing/>
        <w:jc w:val="center"/>
        <w:rPr>
          <w:rFonts w:hint="eastAsia" w:ascii="宋体" w:hAnsi="宋体"/>
          <w:color w:val="auto"/>
          <w:sz w:val="28"/>
          <w:szCs w:val="28"/>
          <w:highlight w:val="none"/>
        </w:rPr>
      </w:pPr>
      <w:r>
        <w:rPr>
          <w:rFonts w:hint="eastAsia" w:ascii="宋体" w:hAnsi="宋体"/>
          <w:color w:val="auto"/>
          <w:sz w:val="24"/>
          <w:highlight w:val="none"/>
        </w:rPr>
        <w:t xml:space="preserve">                                        年    月    日</w:t>
      </w:r>
    </w:p>
    <w:p w14:paraId="3A59206A">
      <w:pPr>
        <w:spacing w:line="320" w:lineRule="exact"/>
        <w:jc w:val="center"/>
        <w:rPr>
          <w:rFonts w:hint="eastAsia" w:ascii="方正小标宋简体" w:hAnsi="宋体" w:eastAsia="方正小标宋简体"/>
          <w:b/>
          <w:color w:val="auto"/>
          <w:sz w:val="32"/>
          <w:szCs w:val="32"/>
          <w:highlight w:val="none"/>
        </w:rPr>
      </w:pPr>
      <w:r>
        <w:rPr>
          <w:rFonts w:ascii="宋体" w:hAnsi="宋体"/>
          <w:b/>
          <w:color w:val="auto"/>
          <w:sz w:val="32"/>
          <w:szCs w:val="32"/>
          <w:highlight w:val="none"/>
        </w:rPr>
        <w:br w:type="page"/>
      </w:r>
      <w:r>
        <w:rPr>
          <w:rFonts w:hint="eastAsia" w:ascii="方正小标宋简体" w:hAnsi="宋体" w:eastAsia="方正小标宋简体"/>
          <w:b/>
          <w:color w:val="auto"/>
          <w:sz w:val="32"/>
          <w:szCs w:val="32"/>
          <w:highlight w:val="none"/>
        </w:rPr>
        <w:t>竞标声明</w:t>
      </w:r>
    </w:p>
    <w:p w14:paraId="6416C40C">
      <w:pPr>
        <w:spacing w:line="320" w:lineRule="exact"/>
        <w:jc w:val="center"/>
        <w:rPr>
          <w:rFonts w:hint="eastAsia" w:ascii="宋体" w:hAnsi="宋体"/>
          <w:color w:val="auto"/>
          <w:sz w:val="24"/>
          <w:szCs w:val="20"/>
          <w:highlight w:val="none"/>
        </w:rPr>
      </w:pPr>
    </w:p>
    <w:p w14:paraId="28860977">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3462691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FE2927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61C311E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797B025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4C4CDE71">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23979BA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（1）已详细审查全部谈判文件，包括补遗文件（如有）；</w:t>
      </w:r>
    </w:p>
    <w:p w14:paraId="2A09D7D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（2）同意提供按照贵方可能要求的与谈判有关的一切数据或者资料。</w:t>
      </w:r>
    </w:p>
    <w:p w14:paraId="5D2C681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根据《中华人民共和国政府采购法实施条例》第五十条要求对政府采购合同进行公告，但政府采购合同中涉及国家秘密、商业秘密的内容除外。我方就对本次响应文件进行注明如下：（两项内容中必须选择一项）</w:t>
      </w:r>
    </w:p>
    <w:p w14:paraId="61836DD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124B176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F039C6A">
      <w:pPr>
        <w:pStyle w:val="13"/>
        <w:numPr>
          <w:ilvl w:val="0"/>
          <w:numId w:val="4"/>
        </w:numPr>
        <w:spacing w:line="360" w:lineRule="auto"/>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与本谈判有关的一切正式往来信函请寄：</w:t>
      </w:r>
    </w:p>
    <w:p w14:paraId="64D154BA">
      <w:pPr>
        <w:pStyle w:val="13"/>
        <w:numPr>
          <w:ilvl w:val="0"/>
          <w:numId w:val="0"/>
        </w:numPr>
        <w:spacing w:line="360" w:lineRule="auto"/>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u w:val="none"/>
          <w:lang w:val="en-US" w:eastAsia="zh-CN"/>
        </w:rPr>
        <w:t>地址：</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u w:val="none"/>
          <w:lang w:val="en-US" w:eastAsia="zh-CN"/>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u w:val="single"/>
        </w:rPr>
        <w:t xml:space="preserve">  </w:t>
      </w:r>
    </w:p>
    <w:p w14:paraId="12DF2B30">
      <w:pPr>
        <w:pStyle w:val="13"/>
        <w:spacing w:line="360" w:lineRule="auto"/>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lang w:val="en-US" w:eastAsia="zh-CN"/>
        </w:rPr>
        <w:t>联系</w:t>
      </w: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电子函件：</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2E50F662">
      <w:pPr>
        <w:pStyle w:val="12"/>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账号</w:t>
      </w:r>
      <w:r>
        <w:rPr>
          <w:rFonts w:hint="eastAsia" w:ascii="宋体" w:hAnsi="宋体" w:cs="宋体"/>
          <w:color w:val="auto"/>
          <w:sz w:val="24"/>
          <w:highlight w:val="none"/>
        </w:rPr>
        <w:t>/行号：</w:t>
      </w:r>
      <w:r>
        <w:rPr>
          <w:rFonts w:hint="eastAsia" w:ascii="宋体" w:hAnsi="宋体" w:cs="宋体"/>
          <w:color w:val="auto"/>
          <w:sz w:val="24"/>
          <w:highlight w:val="none"/>
          <w:u w:val="single"/>
        </w:rPr>
        <w:t xml:space="preserve">           </w:t>
      </w:r>
    </w:p>
    <w:p w14:paraId="03E930B8">
      <w:pPr>
        <w:pStyle w:val="12"/>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.以上事项如有虚假或者隐瞒，我方愿意承担一切后果，并不再寻求任何旨在减轻或者免除法律责任的辩解。</w:t>
      </w:r>
    </w:p>
    <w:p w14:paraId="2A76F6A3">
      <w:pPr>
        <w:pStyle w:val="12"/>
        <w:tabs>
          <w:tab w:val="left" w:pos="939"/>
        </w:tabs>
        <w:spacing w:line="360" w:lineRule="auto"/>
        <w:ind w:left="141" w:leftChars="67" w:firstLine="360" w:firstLineChars="150"/>
        <w:rPr>
          <w:rFonts w:hint="eastAsia" w:ascii="宋体" w:hAnsi="宋体" w:cs="宋体"/>
          <w:color w:val="auto"/>
          <w:szCs w:val="21"/>
          <w:highlight w:val="none"/>
        </w:rPr>
      </w:pPr>
      <w:r>
        <w:rPr>
          <w:rFonts w:hint="eastAsia" w:ascii="宋体" w:hAnsi="宋体" w:cs="宋体"/>
          <w:color w:val="auto"/>
          <w:sz w:val="24"/>
          <w:highlight w:val="none"/>
        </w:rPr>
        <w:t>特此承诺。</w:t>
      </w:r>
    </w:p>
    <w:p w14:paraId="46C805CC">
      <w:pPr>
        <w:spacing w:line="360" w:lineRule="auto"/>
        <w:contextualSpacing/>
        <w:jc w:val="left"/>
        <w:rPr>
          <w:rFonts w:hint="eastAsia" w:ascii="宋体" w:hAnsi="宋体"/>
          <w:b/>
          <w:color w:val="auto"/>
          <w:sz w:val="24"/>
          <w:highlight w:val="none"/>
        </w:rPr>
      </w:pPr>
      <w:r>
        <w:rPr>
          <w:rFonts w:hint="eastAsia" w:ascii="宋体" w:hAnsi="宋体"/>
          <w:b/>
          <w:color w:val="auto"/>
          <w:sz w:val="24"/>
          <w:highlight w:val="none"/>
        </w:rPr>
        <w:t xml:space="preserve">    </w:t>
      </w:r>
    </w:p>
    <w:p w14:paraId="42C4AED8">
      <w:pPr>
        <w:spacing w:line="360" w:lineRule="auto"/>
        <w:contextualSpacing/>
        <w:jc w:val="left"/>
        <w:rPr>
          <w:rFonts w:hint="eastAsia" w:ascii="宋体" w:hAnsi="宋体" w:cs="宋体"/>
          <w:color w:val="auto"/>
          <w:szCs w:val="21"/>
          <w:highlight w:val="none"/>
        </w:rPr>
      </w:pPr>
    </w:p>
    <w:p w14:paraId="530F3FB8">
      <w:pPr>
        <w:spacing w:line="360" w:lineRule="auto"/>
        <w:ind w:firstLine="4320" w:firstLineChars="1800"/>
        <w:contextualSpacing/>
        <w:rPr>
          <w:rFonts w:hint="eastAsia"/>
          <w:color w:val="auto"/>
          <w:sz w:val="24"/>
          <w:szCs w:val="24"/>
          <w:highlight w:val="none"/>
        </w:rPr>
      </w:pPr>
      <w:r>
        <w:rPr>
          <w:rFonts w:hint="eastAsia"/>
          <w:color w:val="auto"/>
          <w:sz w:val="24"/>
          <w:szCs w:val="24"/>
          <w:highlight w:val="none"/>
        </w:rPr>
        <w:t>法定代表人（签字或者盖章）：</w:t>
      </w:r>
      <w:r>
        <w:rPr>
          <w:rFonts w:hint="eastAsia"/>
          <w:color w:val="auto"/>
          <w:sz w:val="24"/>
          <w:szCs w:val="24"/>
          <w:highlight w:val="none"/>
          <w:u w:val="single"/>
        </w:rPr>
        <w:t xml:space="preserve">           </w:t>
      </w:r>
      <w:r>
        <w:rPr>
          <w:rFonts w:hint="eastAsia"/>
          <w:color w:val="auto"/>
          <w:sz w:val="24"/>
          <w:szCs w:val="24"/>
          <w:highlight w:val="none"/>
        </w:rPr>
        <w:t xml:space="preserve">                                     </w:t>
      </w:r>
    </w:p>
    <w:p w14:paraId="65EDE732">
      <w:pPr>
        <w:spacing w:line="360" w:lineRule="auto"/>
        <w:ind w:firstLine="4320" w:firstLineChars="1800"/>
        <w:contextualSpacing/>
        <w:rPr>
          <w:rFonts w:hint="eastAsia" w:ascii="宋体" w:hAnsi="宋体" w:cs="宋体"/>
          <w:color w:val="auto"/>
          <w:sz w:val="24"/>
          <w:szCs w:val="24"/>
          <w:highlight w:val="none"/>
          <w:u w:val="single"/>
        </w:rPr>
      </w:pPr>
      <w:r>
        <w:rPr>
          <w:rFonts w:hint="eastAsia"/>
          <w:color w:val="auto"/>
          <w:sz w:val="24"/>
          <w:szCs w:val="24"/>
          <w:highlight w:val="none"/>
        </w:rPr>
        <w:t>供应商（盖公章）：</w:t>
      </w:r>
      <w:r>
        <w:rPr>
          <w:rFonts w:hint="eastAsia"/>
          <w:color w:val="auto"/>
          <w:sz w:val="24"/>
          <w:szCs w:val="24"/>
          <w:highlight w:val="none"/>
          <w:u w:val="single"/>
        </w:rPr>
        <w:t xml:space="preserve">                               </w:t>
      </w:r>
      <w:r>
        <w:rPr>
          <w:rFonts w:hint="eastAsia"/>
          <w:color w:val="auto"/>
          <w:sz w:val="24"/>
          <w:szCs w:val="24"/>
          <w:highlight w:val="none"/>
        </w:rPr>
        <w:t xml:space="preserve">       </w:t>
      </w:r>
      <w:r>
        <w:rPr>
          <w:rFonts w:hint="eastAsia" w:ascii="宋体" w:hAnsi="宋体" w:cs="宋体"/>
          <w:color w:val="auto"/>
          <w:sz w:val="24"/>
          <w:szCs w:val="24"/>
          <w:highlight w:val="none"/>
        </w:rPr>
        <w:t xml:space="preserve">    </w:t>
      </w:r>
    </w:p>
    <w:p w14:paraId="305502C1">
      <w:pPr>
        <w:spacing w:line="360" w:lineRule="auto"/>
        <w:ind w:right="482" w:firstLine="240" w:firstLineChars="100"/>
        <w:contextualSpacing/>
        <w:jc w:val="center"/>
        <w:rPr>
          <w:rFonts w:hint="eastAsia"/>
          <w:color w:val="auto"/>
          <w:highlight w:val="none"/>
        </w:rPr>
      </w:pPr>
      <w:r>
        <w:rPr>
          <w:rFonts w:hint="eastAsia" w:ascii="宋体" w:hAnsi="宋体" w:cs="宋体"/>
          <w:color w:val="auto"/>
          <w:sz w:val="24"/>
          <w:szCs w:val="24"/>
          <w:highlight w:val="none"/>
        </w:rPr>
        <w:t xml:space="preserve">                                           </w:t>
      </w:r>
      <w:r>
        <w:rPr>
          <w:rFonts w:hint="eastAsia"/>
          <w:color w:val="auto"/>
          <w:sz w:val="24"/>
          <w:szCs w:val="24"/>
          <w:highlight w:val="none"/>
        </w:rPr>
        <w:t xml:space="preserve"> 年    月    日</w:t>
      </w:r>
      <w:r>
        <w:rPr>
          <w:rFonts w:hint="eastAsia"/>
          <w:color w:val="auto"/>
          <w:highlight w:val="none"/>
        </w:rPr>
        <w:t xml:space="preserve"> </w:t>
      </w:r>
    </w:p>
    <w:p w14:paraId="2A1E84A4">
      <w:pPr>
        <w:spacing w:before="143" w:line="219" w:lineRule="auto"/>
        <w:ind w:left="271"/>
        <w:rPr>
          <w:rFonts w:ascii="宋体" w:hAnsi="宋体" w:cs="宋体"/>
          <w:color w:val="auto"/>
          <w:sz w:val="44"/>
          <w:szCs w:val="44"/>
          <w:highlight w:val="none"/>
        </w:rPr>
      </w:pPr>
      <w:r>
        <w:rPr>
          <w:rFonts w:hint="eastAsia"/>
          <w:color w:val="auto"/>
          <w:highlight w:val="none"/>
        </w:rPr>
        <w:br w:type="page"/>
      </w:r>
      <w:r>
        <w:rPr>
          <w:rFonts w:ascii="宋体" w:hAnsi="宋体" w:cs="宋体"/>
          <w:b/>
          <w:bCs/>
          <w:color w:val="auto"/>
          <w:spacing w:val="7"/>
          <w:sz w:val="44"/>
          <w:szCs w:val="44"/>
          <w:highlight w:val="none"/>
        </w:rPr>
        <w:t>百色市政府采购供应商信用承诺函(格式)</w:t>
      </w:r>
    </w:p>
    <w:p w14:paraId="75B52207">
      <w:pPr>
        <w:spacing w:line="298" w:lineRule="auto"/>
        <w:rPr>
          <w:rFonts w:ascii="Arial"/>
          <w:color w:val="auto"/>
          <w:highlight w:val="none"/>
        </w:rPr>
      </w:pPr>
    </w:p>
    <w:p w14:paraId="088BFFD9">
      <w:pPr>
        <w:spacing w:line="298" w:lineRule="auto"/>
        <w:rPr>
          <w:rFonts w:ascii="Arial"/>
          <w:color w:val="auto"/>
          <w:highlight w:val="none"/>
        </w:rPr>
      </w:pPr>
    </w:p>
    <w:p w14:paraId="05D49E32">
      <w:pPr>
        <w:pStyle w:val="9"/>
        <w:spacing w:before="180" w:line="240" w:lineRule="auto"/>
        <w:rPr>
          <w:rFonts w:ascii="Times New Roman" w:hAnsi="Times New Roman" w:eastAsia="宋体" w:cs="Times New Roman"/>
          <w:b w:val="0"/>
          <w:bCs w:val="0"/>
          <w:color w:val="auto"/>
          <w:spacing w:val="-10"/>
          <w:position w:val="18"/>
          <w:sz w:val="24"/>
          <w:szCs w:val="24"/>
          <w:highlight w:val="none"/>
        </w:rPr>
      </w:pPr>
      <w:r>
        <w:rPr>
          <w:rFonts w:ascii="Times New Roman" w:hAnsi="Times New Roman" w:eastAsia="宋体" w:cs="Times New Roman"/>
          <w:b w:val="0"/>
          <w:bCs w:val="0"/>
          <w:color w:val="auto"/>
          <w:spacing w:val="-10"/>
          <w:position w:val="18"/>
          <w:sz w:val="24"/>
          <w:szCs w:val="24"/>
          <w:highlight w:val="none"/>
        </w:rPr>
        <w:t xml:space="preserve">致. </w:t>
      </w:r>
      <w:r>
        <w:rPr>
          <w:rFonts w:ascii="Times New Roman" w:hAnsi="Times New Roman" w:eastAsia="宋体" w:cs="Times New Roman"/>
          <w:b w:val="0"/>
          <w:bCs w:val="0"/>
          <w:color w:val="auto"/>
          <w:spacing w:val="-10"/>
          <w:position w:val="18"/>
          <w:sz w:val="24"/>
          <w:szCs w:val="24"/>
          <w:highlight w:val="none"/>
          <w:u w:val="single"/>
        </w:rPr>
        <w:t xml:space="preserve"> (采购人或采购代理机构) </w:t>
      </w:r>
      <w:r>
        <w:rPr>
          <w:rFonts w:ascii="Times New Roman" w:hAnsi="Times New Roman" w:eastAsia="宋体" w:cs="Times New Roman"/>
          <w:b w:val="0"/>
          <w:bCs w:val="0"/>
          <w:color w:val="auto"/>
          <w:spacing w:val="-10"/>
          <w:position w:val="18"/>
          <w:sz w:val="24"/>
          <w:szCs w:val="24"/>
          <w:highlight w:val="none"/>
        </w:rPr>
        <w:t xml:space="preserve"> :</w:t>
      </w:r>
    </w:p>
    <w:p w14:paraId="469F5274">
      <w:pPr>
        <w:pStyle w:val="9"/>
        <w:spacing w:before="1" w:line="240" w:lineRule="auto"/>
        <w:ind w:left="639"/>
        <w:rPr>
          <w:b w:val="0"/>
          <w:bCs w:val="0"/>
          <w:color w:val="auto"/>
          <w:sz w:val="24"/>
          <w:szCs w:val="24"/>
          <w:highlight w:val="none"/>
          <w:u w:val="single"/>
        </w:rPr>
      </w:pPr>
      <w:r>
        <w:rPr>
          <w:b w:val="0"/>
          <w:bCs w:val="0"/>
          <w:color w:val="auto"/>
          <w:spacing w:val="-11"/>
          <w:sz w:val="24"/>
          <w:szCs w:val="24"/>
          <w:highlight w:val="none"/>
        </w:rPr>
        <w:t>供应商名称：</w:t>
      </w:r>
    </w:p>
    <w:p w14:paraId="6C178E8D">
      <w:pPr>
        <w:pStyle w:val="9"/>
        <w:spacing w:before="180" w:line="240" w:lineRule="auto"/>
        <w:ind w:left="639"/>
        <w:rPr>
          <w:b w:val="0"/>
          <w:bCs w:val="0"/>
          <w:color w:val="auto"/>
          <w:sz w:val="24"/>
          <w:szCs w:val="24"/>
          <w:highlight w:val="none"/>
        </w:rPr>
      </w:pPr>
      <w:r>
        <w:rPr>
          <w:b w:val="0"/>
          <w:bCs w:val="0"/>
          <w:color w:val="auto"/>
          <w:spacing w:val="-10"/>
          <w:position w:val="18"/>
          <w:sz w:val="24"/>
          <w:szCs w:val="24"/>
          <w:highlight w:val="none"/>
        </w:rPr>
        <w:t>统一社会信用代码：</w:t>
      </w:r>
    </w:p>
    <w:p w14:paraId="2DB9538E">
      <w:pPr>
        <w:pStyle w:val="9"/>
        <w:spacing w:line="240" w:lineRule="auto"/>
        <w:ind w:left="639"/>
        <w:rPr>
          <w:b w:val="0"/>
          <w:bCs w:val="0"/>
          <w:color w:val="auto"/>
          <w:sz w:val="24"/>
          <w:szCs w:val="24"/>
          <w:highlight w:val="none"/>
        </w:rPr>
      </w:pPr>
      <w:r>
        <w:rPr>
          <w:b w:val="0"/>
          <w:bCs w:val="0"/>
          <w:color w:val="auto"/>
          <w:spacing w:val="-11"/>
          <w:sz w:val="24"/>
          <w:szCs w:val="24"/>
          <w:highlight w:val="none"/>
        </w:rPr>
        <w:t>供应商地址：</w:t>
      </w:r>
    </w:p>
    <w:p w14:paraId="23B091B7">
      <w:pPr>
        <w:pStyle w:val="9"/>
        <w:spacing w:before="151" w:line="240" w:lineRule="auto"/>
        <w:ind w:left="9" w:firstLine="629"/>
        <w:rPr>
          <w:b w:val="0"/>
          <w:bCs w:val="0"/>
          <w:color w:val="auto"/>
          <w:sz w:val="24"/>
          <w:szCs w:val="24"/>
          <w:highlight w:val="none"/>
        </w:rPr>
      </w:pPr>
      <w:r>
        <w:rPr>
          <w:b w:val="0"/>
          <w:bCs w:val="0"/>
          <w:color w:val="auto"/>
          <w:spacing w:val="8"/>
          <w:sz w:val="24"/>
          <w:szCs w:val="24"/>
          <w:highlight w:val="none"/>
        </w:rPr>
        <w:t>我方自愿参加</w:t>
      </w:r>
      <w:r>
        <w:rPr>
          <w:b w:val="0"/>
          <w:bCs w:val="0"/>
          <w:color w:val="auto"/>
          <w:spacing w:val="-132"/>
          <w:sz w:val="24"/>
          <w:szCs w:val="24"/>
          <w:highlight w:val="none"/>
        </w:rPr>
        <w:t xml:space="preserve"> </w:t>
      </w:r>
      <w:r>
        <w:rPr>
          <w:b w:val="0"/>
          <w:bCs w:val="0"/>
          <w:color w:val="auto"/>
          <w:spacing w:val="134"/>
          <w:sz w:val="24"/>
          <w:szCs w:val="24"/>
          <w:highlight w:val="none"/>
          <w:u w:val="single"/>
        </w:rPr>
        <w:t xml:space="preserve"> </w:t>
      </w:r>
      <w:r>
        <w:rPr>
          <w:b w:val="0"/>
          <w:bCs w:val="0"/>
          <w:color w:val="auto"/>
          <w:spacing w:val="8"/>
          <w:sz w:val="24"/>
          <w:szCs w:val="24"/>
          <w:highlight w:val="none"/>
          <w:u w:val="single"/>
        </w:rPr>
        <w:t>(项目名称)</w:t>
      </w:r>
      <w:r>
        <w:rPr>
          <w:b w:val="0"/>
          <w:bCs w:val="0"/>
          <w:color w:val="auto"/>
          <w:spacing w:val="85"/>
          <w:sz w:val="24"/>
          <w:szCs w:val="24"/>
          <w:highlight w:val="none"/>
        </w:rPr>
        <w:t xml:space="preserve"> </w:t>
      </w:r>
      <w:r>
        <w:rPr>
          <w:b w:val="0"/>
          <w:bCs w:val="0"/>
          <w:color w:val="auto"/>
          <w:spacing w:val="8"/>
          <w:sz w:val="24"/>
          <w:szCs w:val="24"/>
          <w:highlight w:val="none"/>
        </w:rPr>
        <w:t>项目</w:t>
      </w:r>
      <w:r>
        <w:rPr>
          <w:b w:val="0"/>
          <w:bCs w:val="0"/>
          <w:color w:val="auto"/>
          <w:spacing w:val="-93"/>
          <w:sz w:val="24"/>
          <w:szCs w:val="24"/>
          <w:highlight w:val="none"/>
          <w:u w:val="single"/>
        </w:rPr>
        <w:t xml:space="preserve"> </w:t>
      </w:r>
      <w:r>
        <w:rPr>
          <w:b w:val="0"/>
          <w:bCs w:val="0"/>
          <w:color w:val="auto"/>
          <w:spacing w:val="8"/>
          <w:sz w:val="24"/>
          <w:szCs w:val="24"/>
          <w:highlight w:val="none"/>
          <w:u w:val="single"/>
        </w:rPr>
        <w:t>(项目：编</w:t>
      </w:r>
      <w:r>
        <w:rPr>
          <w:b w:val="0"/>
          <w:bCs w:val="0"/>
          <w:color w:val="auto"/>
          <w:spacing w:val="7"/>
          <w:sz w:val="24"/>
          <w:szCs w:val="24"/>
          <w:highlight w:val="none"/>
          <w:u w:val="single"/>
        </w:rPr>
        <w:t>号</w:t>
      </w:r>
      <w:r>
        <w:rPr>
          <w:b w:val="0"/>
          <w:bCs w:val="0"/>
          <w:color w:val="auto"/>
          <w:spacing w:val="35"/>
          <w:sz w:val="24"/>
          <w:szCs w:val="24"/>
          <w:highlight w:val="none"/>
          <w:u w:val="single"/>
        </w:rPr>
        <w:t xml:space="preserve">   </w:t>
      </w:r>
      <w:r>
        <w:rPr>
          <w:b w:val="0"/>
          <w:bCs w:val="0"/>
          <w:color w:val="auto"/>
          <w:spacing w:val="7"/>
          <w:sz w:val="24"/>
          <w:szCs w:val="24"/>
          <w:highlight w:val="none"/>
          <w:u w:val="single"/>
        </w:rPr>
        <w:t>)</w:t>
      </w:r>
      <w:r>
        <w:rPr>
          <w:b w:val="0"/>
          <w:bCs w:val="0"/>
          <w:color w:val="auto"/>
          <w:spacing w:val="7"/>
          <w:sz w:val="24"/>
          <w:szCs w:val="24"/>
          <w:highlight w:val="none"/>
        </w:rPr>
        <w:t>的政</w:t>
      </w:r>
      <w:r>
        <w:rPr>
          <w:b w:val="0"/>
          <w:bCs w:val="0"/>
          <w:color w:val="auto"/>
          <w:spacing w:val="1"/>
          <w:sz w:val="24"/>
          <w:szCs w:val="24"/>
          <w:highlight w:val="none"/>
        </w:rPr>
        <w:t xml:space="preserve"> </w:t>
      </w:r>
      <w:r>
        <w:rPr>
          <w:b w:val="0"/>
          <w:bCs w:val="0"/>
          <w:color w:val="auto"/>
          <w:spacing w:val="-1"/>
          <w:sz w:val="24"/>
          <w:szCs w:val="24"/>
          <w:highlight w:val="none"/>
        </w:rPr>
        <w:t>府采购活动，严格遵守《中华人民共和国政府采购法》及</w:t>
      </w:r>
      <w:r>
        <w:rPr>
          <w:b w:val="0"/>
          <w:bCs w:val="0"/>
          <w:color w:val="auto"/>
          <w:spacing w:val="-2"/>
          <w:sz w:val="24"/>
          <w:szCs w:val="24"/>
          <w:highlight w:val="none"/>
        </w:rPr>
        <w:t>相关法</w:t>
      </w:r>
      <w:r>
        <w:rPr>
          <w:b w:val="0"/>
          <w:bCs w:val="0"/>
          <w:color w:val="auto"/>
          <w:spacing w:val="-1"/>
          <w:sz w:val="24"/>
          <w:szCs w:val="24"/>
          <w:highlight w:val="none"/>
        </w:rPr>
        <w:t>律法规，依法诚信经营，无条件遵守本次政府采购活动的各项规</w:t>
      </w:r>
      <w:r>
        <w:rPr>
          <w:b w:val="0"/>
          <w:bCs w:val="0"/>
          <w:color w:val="auto"/>
          <w:sz w:val="24"/>
          <w:szCs w:val="24"/>
          <w:highlight w:val="none"/>
        </w:rPr>
        <w:t>定。并郑重承诺，我方符合《中华人民共和国政府采购法</w:t>
      </w:r>
      <w:r>
        <w:rPr>
          <w:b w:val="0"/>
          <w:bCs w:val="0"/>
          <w:color w:val="auto"/>
          <w:spacing w:val="-1"/>
          <w:sz w:val="24"/>
          <w:szCs w:val="24"/>
          <w:highlight w:val="none"/>
        </w:rPr>
        <w:t>》第二</w:t>
      </w:r>
    </w:p>
    <w:p w14:paraId="17850023">
      <w:pPr>
        <w:pStyle w:val="9"/>
        <w:spacing w:before="1" w:line="240" w:lineRule="auto"/>
        <w:ind w:left="9"/>
        <w:rPr>
          <w:b w:val="0"/>
          <w:bCs w:val="0"/>
          <w:color w:val="auto"/>
          <w:sz w:val="24"/>
          <w:szCs w:val="24"/>
          <w:highlight w:val="none"/>
        </w:rPr>
      </w:pPr>
      <w:r>
        <w:rPr>
          <w:b w:val="0"/>
          <w:bCs w:val="0"/>
          <w:color w:val="auto"/>
          <w:spacing w:val="-10"/>
          <w:sz w:val="24"/>
          <w:szCs w:val="24"/>
          <w:highlight w:val="none"/>
        </w:rPr>
        <w:t>十二条规定的条件：</w:t>
      </w:r>
    </w:p>
    <w:p w14:paraId="0DAA4068">
      <w:pPr>
        <w:pStyle w:val="9"/>
        <w:spacing w:before="205" w:line="240" w:lineRule="auto"/>
        <w:rPr>
          <w:b w:val="0"/>
          <w:bCs w:val="0"/>
          <w:color w:val="auto"/>
          <w:sz w:val="24"/>
          <w:szCs w:val="24"/>
          <w:highlight w:val="none"/>
        </w:rPr>
      </w:pPr>
      <w:r>
        <w:rPr>
          <w:b w:val="0"/>
          <w:bCs w:val="0"/>
          <w:color w:val="auto"/>
          <w:spacing w:val="-9"/>
          <w:sz w:val="24"/>
          <w:szCs w:val="24"/>
          <w:highlight w:val="none"/>
        </w:rPr>
        <w:t>1.具有独立承担民事责任的能力。</w:t>
      </w:r>
    </w:p>
    <w:p w14:paraId="7FFD0A36">
      <w:pPr>
        <w:pStyle w:val="9"/>
        <w:spacing w:before="176" w:line="240" w:lineRule="auto"/>
        <w:rPr>
          <w:b w:val="0"/>
          <w:bCs w:val="0"/>
          <w:color w:val="auto"/>
          <w:sz w:val="24"/>
          <w:szCs w:val="24"/>
          <w:highlight w:val="none"/>
        </w:rPr>
      </w:pPr>
      <w:r>
        <w:rPr>
          <w:b w:val="0"/>
          <w:bCs w:val="0"/>
          <w:color w:val="auto"/>
          <w:spacing w:val="-4"/>
          <w:sz w:val="24"/>
          <w:szCs w:val="24"/>
          <w:highlight w:val="none"/>
        </w:rPr>
        <w:t>2.具有符合采购文件资格要求的财务状况报告。</w:t>
      </w:r>
    </w:p>
    <w:p w14:paraId="3AD8F757">
      <w:pPr>
        <w:pStyle w:val="9"/>
        <w:spacing w:before="169" w:line="240" w:lineRule="auto"/>
        <w:ind w:right="26"/>
        <w:jc w:val="both"/>
        <w:rPr>
          <w:b w:val="0"/>
          <w:bCs w:val="0"/>
          <w:color w:val="auto"/>
          <w:sz w:val="24"/>
          <w:szCs w:val="24"/>
          <w:highlight w:val="none"/>
        </w:rPr>
      </w:pPr>
      <w:r>
        <w:rPr>
          <w:b w:val="0"/>
          <w:bCs w:val="0"/>
          <w:color w:val="auto"/>
          <w:spacing w:val="10"/>
          <w:position w:val="19"/>
          <w:sz w:val="24"/>
          <w:szCs w:val="24"/>
          <w:highlight w:val="none"/>
        </w:rPr>
        <w:t>3.具有符合采购文件资格要求的依法缴纳税收和</w:t>
      </w:r>
      <w:r>
        <w:rPr>
          <w:rFonts w:ascii="Times New Roman" w:hAnsi="Times New Roman" w:eastAsia="宋体" w:cs="Times New Roman"/>
          <w:b w:val="0"/>
          <w:bCs w:val="0"/>
          <w:color w:val="auto"/>
          <w:spacing w:val="10"/>
          <w:position w:val="19"/>
          <w:sz w:val="24"/>
          <w:szCs w:val="24"/>
          <w:highlight w:val="none"/>
        </w:rPr>
        <w:t>社会保障记录的良好记录。</w:t>
      </w:r>
    </w:p>
    <w:p w14:paraId="5C4DEB6D">
      <w:pPr>
        <w:pStyle w:val="9"/>
        <w:spacing w:before="172" w:line="240" w:lineRule="auto"/>
        <w:ind w:right="24"/>
        <w:jc w:val="both"/>
        <w:rPr>
          <w:rFonts w:ascii="Times New Roman" w:hAnsi="Times New Roman" w:eastAsia="宋体" w:cs="Times New Roman"/>
          <w:b w:val="0"/>
          <w:bCs w:val="0"/>
          <w:color w:val="auto"/>
          <w:spacing w:val="11"/>
          <w:position w:val="17"/>
          <w:sz w:val="24"/>
          <w:szCs w:val="24"/>
          <w:highlight w:val="none"/>
        </w:rPr>
      </w:pPr>
      <w:r>
        <w:rPr>
          <w:b w:val="0"/>
          <w:bCs w:val="0"/>
          <w:color w:val="auto"/>
          <w:spacing w:val="11"/>
          <w:position w:val="17"/>
          <w:sz w:val="24"/>
          <w:szCs w:val="24"/>
          <w:highlight w:val="none"/>
        </w:rPr>
        <w:t>4.具有符合采购文件资格要求履行合同所</w:t>
      </w:r>
      <w:r>
        <w:rPr>
          <w:b w:val="0"/>
          <w:bCs w:val="0"/>
          <w:color w:val="auto"/>
          <w:spacing w:val="10"/>
          <w:position w:val="17"/>
          <w:sz w:val="24"/>
          <w:szCs w:val="24"/>
          <w:highlight w:val="none"/>
        </w:rPr>
        <w:t>必需的设备和</w:t>
      </w:r>
      <w:r>
        <w:rPr>
          <w:rFonts w:ascii="Times New Roman" w:hAnsi="Times New Roman" w:eastAsia="宋体" w:cs="Times New Roman"/>
          <w:b w:val="0"/>
          <w:bCs w:val="0"/>
          <w:color w:val="auto"/>
          <w:spacing w:val="11"/>
          <w:position w:val="17"/>
          <w:sz w:val="24"/>
          <w:szCs w:val="24"/>
          <w:highlight w:val="none"/>
        </w:rPr>
        <w:t>专业技术能力。</w:t>
      </w:r>
    </w:p>
    <w:p w14:paraId="0A65FC66">
      <w:pPr>
        <w:pStyle w:val="9"/>
        <w:spacing w:before="164" w:line="240" w:lineRule="auto"/>
        <w:ind w:right="28"/>
        <w:jc w:val="both"/>
        <w:rPr>
          <w:rFonts w:ascii="Times New Roman" w:hAnsi="Times New Roman" w:eastAsia="宋体" w:cs="Times New Roman"/>
          <w:b w:val="0"/>
          <w:bCs w:val="0"/>
          <w:color w:val="auto"/>
          <w:spacing w:val="-2"/>
          <w:position w:val="19"/>
          <w:sz w:val="24"/>
          <w:szCs w:val="24"/>
          <w:highlight w:val="none"/>
        </w:rPr>
      </w:pPr>
      <w:r>
        <w:rPr>
          <w:b w:val="0"/>
          <w:bCs w:val="0"/>
          <w:color w:val="auto"/>
          <w:spacing w:val="-2"/>
          <w:position w:val="19"/>
          <w:sz w:val="24"/>
          <w:szCs w:val="24"/>
          <w:highlight w:val="none"/>
        </w:rPr>
        <w:t>5.参加政府采购活动前三年内，在经营活动中没有重大违法</w:t>
      </w:r>
      <w:r>
        <w:rPr>
          <w:rFonts w:ascii="Times New Roman" w:hAnsi="Times New Roman" w:eastAsia="宋体" w:cs="Times New Roman"/>
          <w:b w:val="0"/>
          <w:bCs w:val="0"/>
          <w:color w:val="auto"/>
          <w:spacing w:val="-2"/>
          <w:position w:val="19"/>
          <w:sz w:val="24"/>
          <w:szCs w:val="24"/>
          <w:highlight w:val="none"/>
        </w:rPr>
        <w:t>记录。</w:t>
      </w:r>
    </w:p>
    <w:p w14:paraId="6B4B8BF0">
      <w:pPr>
        <w:pStyle w:val="9"/>
        <w:spacing w:before="164" w:line="240" w:lineRule="auto"/>
        <w:ind w:right="28"/>
        <w:jc w:val="both"/>
        <w:rPr>
          <w:rFonts w:ascii="Arial"/>
          <w:b w:val="0"/>
          <w:bCs w:val="0"/>
          <w:color w:val="auto"/>
          <w:sz w:val="18"/>
          <w:szCs w:val="21"/>
          <w:highlight w:val="none"/>
        </w:rPr>
      </w:pPr>
      <w:r>
        <w:rPr>
          <w:b w:val="0"/>
          <w:bCs w:val="0"/>
          <w:color w:val="auto"/>
          <w:spacing w:val="3"/>
          <w:sz w:val="24"/>
          <w:szCs w:val="24"/>
          <w:highlight w:val="none"/>
        </w:rPr>
        <w:t>6.法律、行政法规规定的其他条件。</w:t>
      </w:r>
    </w:p>
    <w:p w14:paraId="379A8148">
      <w:pPr>
        <w:spacing w:line="307" w:lineRule="auto"/>
        <w:rPr>
          <w:rFonts w:ascii="Arial"/>
          <w:b w:val="0"/>
          <w:bCs w:val="0"/>
          <w:color w:val="auto"/>
          <w:sz w:val="18"/>
          <w:szCs w:val="21"/>
          <w:highlight w:val="none"/>
        </w:rPr>
      </w:pPr>
    </w:p>
    <w:p w14:paraId="7B1B18B0">
      <w:pPr>
        <w:pStyle w:val="9"/>
        <w:spacing w:before="101" w:line="553" w:lineRule="exact"/>
        <w:ind w:right="23"/>
        <w:jc w:val="both"/>
        <w:rPr>
          <w:b w:val="0"/>
          <w:bCs w:val="0"/>
          <w:color w:val="auto"/>
          <w:sz w:val="24"/>
          <w:szCs w:val="24"/>
          <w:highlight w:val="none"/>
        </w:rPr>
      </w:pPr>
      <w:r>
        <w:rPr>
          <w:b w:val="0"/>
          <w:bCs w:val="0"/>
          <w:color w:val="auto"/>
          <w:spacing w:val="13"/>
          <w:position w:val="17"/>
          <w:sz w:val="24"/>
          <w:szCs w:val="24"/>
          <w:highlight w:val="none"/>
        </w:rPr>
        <w:t>若我方保证上述承诺事项的真实性。如有虚假</w:t>
      </w:r>
      <w:r>
        <w:rPr>
          <w:b w:val="0"/>
          <w:bCs w:val="0"/>
          <w:color w:val="auto"/>
          <w:spacing w:val="12"/>
          <w:position w:val="17"/>
          <w:sz w:val="24"/>
          <w:szCs w:val="24"/>
          <w:highlight w:val="none"/>
        </w:rPr>
        <w:t>，将依法承</w:t>
      </w:r>
    </w:p>
    <w:p w14:paraId="40E81B7A">
      <w:pPr>
        <w:pStyle w:val="9"/>
        <w:spacing w:before="1" w:line="221" w:lineRule="auto"/>
        <w:rPr>
          <w:b w:val="0"/>
          <w:bCs w:val="0"/>
          <w:color w:val="auto"/>
          <w:sz w:val="24"/>
          <w:szCs w:val="24"/>
          <w:highlight w:val="none"/>
        </w:rPr>
      </w:pPr>
      <w:r>
        <w:rPr>
          <w:b w:val="0"/>
          <w:bCs w:val="0"/>
          <w:color w:val="auto"/>
          <w:spacing w:val="-6"/>
          <w:sz w:val="24"/>
          <w:szCs w:val="24"/>
          <w:highlight w:val="none"/>
        </w:rPr>
        <w:t>担相应的法律责任。</w:t>
      </w:r>
    </w:p>
    <w:p w14:paraId="4562DD32">
      <w:pPr>
        <w:spacing w:line="320" w:lineRule="auto"/>
        <w:rPr>
          <w:rFonts w:ascii="Arial"/>
          <w:b w:val="0"/>
          <w:bCs w:val="0"/>
          <w:color w:val="auto"/>
          <w:sz w:val="18"/>
          <w:szCs w:val="21"/>
          <w:highlight w:val="none"/>
        </w:rPr>
      </w:pPr>
    </w:p>
    <w:p w14:paraId="149A5020">
      <w:pPr>
        <w:spacing w:line="321" w:lineRule="auto"/>
        <w:rPr>
          <w:rFonts w:ascii="Arial"/>
          <w:b w:val="0"/>
          <w:bCs w:val="0"/>
          <w:color w:val="auto"/>
          <w:sz w:val="18"/>
          <w:szCs w:val="21"/>
          <w:highlight w:val="none"/>
        </w:rPr>
      </w:pPr>
    </w:p>
    <w:p w14:paraId="42ABC5DC">
      <w:pPr>
        <w:pStyle w:val="9"/>
        <w:spacing w:before="101" w:line="563" w:lineRule="exact"/>
        <w:ind w:left="3680"/>
        <w:rPr>
          <w:b w:val="0"/>
          <w:bCs w:val="0"/>
          <w:color w:val="auto"/>
          <w:sz w:val="24"/>
          <w:szCs w:val="24"/>
          <w:highlight w:val="none"/>
        </w:rPr>
      </w:pPr>
      <w:r>
        <w:rPr>
          <w:b w:val="0"/>
          <w:bCs w:val="0"/>
          <w:color w:val="auto"/>
          <w:spacing w:val="18"/>
          <w:position w:val="18"/>
          <w:sz w:val="24"/>
          <w:szCs w:val="24"/>
          <w:highlight w:val="none"/>
        </w:rPr>
        <w:t>供应商名称(公章):</w:t>
      </w:r>
    </w:p>
    <w:p w14:paraId="34622F35">
      <w:pPr>
        <w:pStyle w:val="9"/>
        <w:spacing w:line="222" w:lineRule="auto"/>
        <w:ind w:left="2250" w:firstLine="684" w:firstLineChars="300"/>
        <w:rPr>
          <w:b w:val="0"/>
          <w:bCs w:val="0"/>
          <w:color w:val="auto"/>
          <w:sz w:val="24"/>
          <w:szCs w:val="24"/>
          <w:highlight w:val="none"/>
        </w:rPr>
      </w:pPr>
      <w:r>
        <w:rPr>
          <w:b w:val="0"/>
          <w:bCs w:val="0"/>
          <w:color w:val="auto"/>
          <w:spacing w:val="-6"/>
          <w:sz w:val="24"/>
          <w:szCs w:val="24"/>
          <w:highlight w:val="none"/>
        </w:rPr>
        <w:t>法定代表人或授权代表(签名):</w:t>
      </w:r>
    </w:p>
    <w:p w14:paraId="44EF9666">
      <w:pPr>
        <w:spacing w:line="343" w:lineRule="auto"/>
        <w:rPr>
          <w:rFonts w:ascii="Arial"/>
          <w:b w:val="0"/>
          <w:bCs w:val="0"/>
          <w:color w:val="auto"/>
          <w:sz w:val="18"/>
          <w:szCs w:val="21"/>
          <w:highlight w:val="none"/>
        </w:rPr>
      </w:pPr>
    </w:p>
    <w:p w14:paraId="04DB69D4">
      <w:pPr>
        <w:spacing w:line="344" w:lineRule="auto"/>
        <w:rPr>
          <w:rFonts w:ascii="Arial"/>
          <w:b w:val="0"/>
          <w:bCs w:val="0"/>
          <w:color w:val="auto"/>
          <w:sz w:val="18"/>
          <w:szCs w:val="21"/>
          <w:highlight w:val="none"/>
        </w:rPr>
      </w:pPr>
    </w:p>
    <w:p w14:paraId="38E3C677">
      <w:pPr>
        <w:pStyle w:val="9"/>
        <w:spacing w:before="85" w:line="222" w:lineRule="auto"/>
        <w:ind w:left="4219"/>
        <w:rPr>
          <w:b w:val="0"/>
          <w:bCs w:val="0"/>
          <w:color w:val="auto"/>
          <w:sz w:val="24"/>
          <w:szCs w:val="24"/>
          <w:highlight w:val="none"/>
        </w:rPr>
      </w:pPr>
      <w:r>
        <w:rPr>
          <w:b w:val="0"/>
          <w:bCs w:val="0"/>
          <w:color w:val="auto"/>
          <w:spacing w:val="-28"/>
          <w:sz w:val="24"/>
          <w:szCs w:val="24"/>
          <w:highlight w:val="none"/>
        </w:rPr>
        <w:t>日 期</w:t>
      </w:r>
      <w:r>
        <w:rPr>
          <w:b w:val="0"/>
          <w:bCs w:val="0"/>
          <w:color w:val="auto"/>
          <w:spacing w:val="14"/>
          <w:sz w:val="24"/>
          <w:szCs w:val="24"/>
          <w:highlight w:val="none"/>
        </w:rPr>
        <w:t xml:space="preserve"> </w:t>
      </w:r>
      <w:r>
        <w:rPr>
          <w:b w:val="0"/>
          <w:bCs w:val="0"/>
          <w:color w:val="auto"/>
          <w:spacing w:val="-28"/>
          <w:sz w:val="24"/>
          <w:szCs w:val="24"/>
          <w:highlight w:val="none"/>
        </w:rPr>
        <w:t>： 年</w:t>
      </w:r>
      <w:r>
        <w:rPr>
          <w:b w:val="0"/>
          <w:bCs w:val="0"/>
          <w:color w:val="auto"/>
          <w:spacing w:val="36"/>
          <w:sz w:val="24"/>
          <w:szCs w:val="24"/>
          <w:highlight w:val="none"/>
        </w:rPr>
        <w:t xml:space="preserve">  </w:t>
      </w:r>
      <w:r>
        <w:rPr>
          <w:b w:val="0"/>
          <w:bCs w:val="0"/>
          <w:color w:val="auto"/>
          <w:spacing w:val="-28"/>
          <w:sz w:val="24"/>
          <w:szCs w:val="24"/>
          <w:highlight w:val="none"/>
        </w:rPr>
        <w:t>月</w:t>
      </w:r>
      <w:r>
        <w:rPr>
          <w:b w:val="0"/>
          <w:bCs w:val="0"/>
          <w:color w:val="auto"/>
          <w:spacing w:val="90"/>
          <w:sz w:val="24"/>
          <w:szCs w:val="24"/>
          <w:highlight w:val="none"/>
        </w:rPr>
        <w:t xml:space="preserve"> </w:t>
      </w:r>
      <w:r>
        <w:rPr>
          <w:b w:val="0"/>
          <w:bCs w:val="0"/>
          <w:color w:val="auto"/>
          <w:spacing w:val="-28"/>
          <w:sz w:val="24"/>
          <w:szCs w:val="24"/>
          <w:highlight w:val="none"/>
        </w:rPr>
        <w:t>日</w:t>
      </w:r>
    </w:p>
    <w:p w14:paraId="233534E4">
      <w:pPr>
        <w:spacing w:line="315" w:lineRule="auto"/>
        <w:rPr>
          <w:rFonts w:ascii="Arial"/>
          <w:b w:val="0"/>
          <w:bCs w:val="0"/>
          <w:color w:val="auto"/>
          <w:sz w:val="18"/>
          <w:szCs w:val="21"/>
          <w:highlight w:val="none"/>
        </w:rPr>
      </w:pPr>
    </w:p>
    <w:p w14:paraId="20E8A193">
      <w:pPr>
        <w:spacing w:line="316" w:lineRule="auto"/>
        <w:rPr>
          <w:rFonts w:ascii="Arial"/>
          <w:b w:val="0"/>
          <w:bCs w:val="0"/>
          <w:color w:val="auto"/>
          <w:sz w:val="18"/>
          <w:szCs w:val="21"/>
          <w:highlight w:val="none"/>
        </w:rPr>
      </w:pPr>
    </w:p>
    <w:p w14:paraId="64FA35E7">
      <w:pPr>
        <w:pStyle w:val="9"/>
        <w:spacing w:before="101" w:line="328" w:lineRule="auto"/>
        <w:ind w:firstLine="650"/>
        <w:rPr>
          <w:b w:val="0"/>
          <w:bCs w:val="0"/>
          <w:color w:val="auto"/>
          <w:sz w:val="24"/>
          <w:szCs w:val="24"/>
          <w:highlight w:val="none"/>
        </w:rPr>
      </w:pPr>
      <w:r>
        <w:rPr>
          <w:b w:val="0"/>
          <w:bCs w:val="0"/>
          <w:color w:val="auto"/>
          <w:spacing w:val="12"/>
          <w:sz w:val="24"/>
          <w:szCs w:val="24"/>
          <w:highlight w:val="none"/>
        </w:rPr>
        <w:t>注：供应商的法定代表人(其他组织的为负责人)或者授权</w:t>
      </w:r>
      <w:r>
        <w:rPr>
          <w:b w:val="0"/>
          <w:bCs w:val="0"/>
          <w:color w:val="auto"/>
          <w:spacing w:val="2"/>
          <w:sz w:val="24"/>
          <w:szCs w:val="24"/>
          <w:highlight w:val="none"/>
        </w:rPr>
        <w:t>代表的签名或盖章应真实、有效，如由授权代表签名或盖章的，</w:t>
      </w:r>
      <w:r>
        <w:rPr>
          <w:b w:val="0"/>
          <w:bCs w:val="0"/>
          <w:color w:val="auto"/>
          <w:spacing w:val="-26"/>
          <w:sz w:val="24"/>
          <w:szCs w:val="24"/>
          <w:highlight w:val="none"/>
        </w:rPr>
        <w:t>应提供“法定代表人授权书”。</w:t>
      </w:r>
    </w:p>
    <w:p w14:paraId="7AA56923">
      <w:pPr>
        <w:pStyle w:val="12"/>
        <w:tabs>
          <w:tab w:val="left" w:pos="939"/>
        </w:tabs>
        <w:spacing w:line="360" w:lineRule="auto"/>
        <w:ind w:left="0" w:leftChars="0" w:firstLine="420" w:firstLineChars="200"/>
        <w:jc w:val="center"/>
        <w:rPr>
          <w:rFonts w:hint="eastAsia"/>
          <w:color w:val="auto"/>
          <w:highlight w:val="none"/>
        </w:rPr>
      </w:pPr>
    </w:p>
    <w:p w14:paraId="0DBF3A07">
      <w:pPr>
        <w:spacing w:line="360" w:lineRule="auto"/>
        <w:ind w:right="420"/>
        <w:contextualSpacing/>
        <w:jc w:val="left"/>
        <w:rPr>
          <w:rFonts w:hint="eastAsia" w:ascii="宋体" w:hAnsi="宋体"/>
          <w:b/>
          <w:color w:val="auto"/>
          <w:sz w:val="32"/>
          <w:szCs w:val="32"/>
          <w:highlight w:val="none"/>
        </w:rPr>
      </w:pP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70BD032A">
      <w:pPr>
        <w:snapToGrid w:val="0"/>
        <w:spacing w:before="120"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1.报价文件封面格式</w:t>
      </w:r>
    </w:p>
    <w:p w14:paraId="431EDBB8">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3799E25F">
      <w:pPr>
        <w:snapToGrid w:val="0"/>
        <w:spacing w:before="120" w:beforeLines="50" w:after="50"/>
        <w:rPr>
          <w:rFonts w:hint="eastAsia" w:ascii="宋体" w:hAnsi="宋体"/>
          <w:color w:val="auto"/>
          <w:sz w:val="24"/>
          <w:szCs w:val="20"/>
          <w:highlight w:val="none"/>
        </w:rPr>
      </w:pPr>
    </w:p>
    <w:p w14:paraId="7D5EB519">
      <w:pPr>
        <w:snapToGrid w:val="0"/>
        <w:spacing w:before="120" w:beforeLines="50" w:after="50"/>
        <w:rPr>
          <w:rFonts w:hint="eastAsia" w:ascii="宋体" w:hAnsi="宋体"/>
          <w:color w:val="auto"/>
          <w:sz w:val="24"/>
          <w:szCs w:val="20"/>
          <w:highlight w:val="none"/>
        </w:rPr>
      </w:pPr>
    </w:p>
    <w:p w14:paraId="69A0E231">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响  应  文  件</w:t>
      </w:r>
    </w:p>
    <w:p w14:paraId="3EBA9D06">
      <w:pPr>
        <w:snapToGrid w:val="0"/>
        <w:spacing w:before="120" w:beforeLines="50" w:after="50"/>
        <w:rPr>
          <w:rFonts w:hint="eastAsia" w:ascii="宋体" w:hAnsi="宋体"/>
          <w:color w:val="auto"/>
          <w:sz w:val="24"/>
          <w:szCs w:val="20"/>
          <w:highlight w:val="none"/>
        </w:rPr>
      </w:pPr>
    </w:p>
    <w:p w14:paraId="5CEBD719">
      <w:pPr>
        <w:snapToGrid w:val="0"/>
        <w:spacing w:before="120" w:beforeLines="50" w:after="50"/>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报  价  文  件</w:t>
      </w:r>
    </w:p>
    <w:p w14:paraId="05A60562">
      <w:pPr>
        <w:snapToGrid w:val="0"/>
        <w:spacing w:before="120" w:beforeLines="50" w:after="50"/>
        <w:rPr>
          <w:rFonts w:hint="eastAsia" w:ascii="宋体" w:hAnsi="宋体"/>
          <w:bCs/>
          <w:color w:val="auto"/>
          <w:sz w:val="24"/>
          <w:szCs w:val="20"/>
          <w:highlight w:val="none"/>
        </w:rPr>
      </w:pPr>
    </w:p>
    <w:p w14:paraId="5F01EA06">
      <w:pPr>
        <w:snapToGrid w:val="0"/>
        <w:spacing w:before="120" w:beforeLines="50" w:after="50"/>
        <w:rPr>
          <w:rFonts w:hint="eastAsia" w:ascii="宋体" w:hAnsi="宋体"/>
          <w:bCs/>
          <w:color w:val="auto"/>
          <w:sz w:val="24"/>
          <w:szCs w:val="20"/>
          <w:highlight w:val="none"/>
        </w:rPr>
      </w:pPr>
    </w:p>
    <w:p w14:paraId="6DF581CE">
      <w:pPr>
        <w:snapToGrid w:val="0"/>
        <w:spacing w:before="120" w:beforeLines="50" w:after="50"/>
        <w:rPr>
          <w:rFonts w:hint="eastAsia" w:ascii="宋体" w:hAnsi="宋体"/>
          <w:bCs/>
          <w:color w:val="auto"/>
          <w:sz w:val="24"/>
          <w:szCs w:val="20"/>
          <w:highlight w:val="none"/>
        </w:rPr>
      </w:pPr>
    </w:p>
    <w:p w14:paraId="254405DE">
      <w:pPr>
        <w:snapToGrid w:val="0"/>
        <w:spacing w:before="120" w:beforeLines="50" w:after="50"/>
        <w:rPr>
          <w:rFonts w:hint="eastAsia" w:ascii="宋体" w:hAnsi="宋体"/>
          <w:bCs/>
          <w:color w:val="auto"/>
          <w:sz w:val="24"/>
          <w:szCs w:val="20"/>
          <w:highlight w:val="none"/>
        </w:rPr>
      </w:pPr>
    </w:p>
    <w:p w14:paraId="6A7A2DEB">
      <w:pPr>
        <w:snapToGrid w:val="0"/>
        <w:spacing w:before="120" w:beforeLines="50" w:after="50"/>
        <w:rPr>
          <w:rFonts w:hint="eastAsia" w:ascii="宋体" w:hAnsi="宋体"/>
          <w:bCs/>
          <w:color w:val="auto"/>
          <w:sz w:val="24"/>
          <w:szCs w:val="20"/>
          <w:highlight w:val="none"/>
        </w:rPr>
      </w:pPr>
    </w:p>
    <w:p w14:paraId="5F466978">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62D775FD">
      <w:pPr>
        <w:snapToGrid w:val="0"/>
        <w:spacing w:before="120" w:beforeLines="50" w:after="50"/>
        <w:ind w:firstLine="720" w:firstLineChars="225"/>
        <w:rPr>
          <w:rFonts w:hint="eastAsia" w:ascii="宋体" w:hAnsi="宋体" w:cs="仿宋_GB2312"/>
          <w:bCs/>
          <w:color w:val="auto"/>
          <w:sz w:val="32"/>
          <w:szCs w:val="32"/>
          <w:highlight w:val="none"/>
        </w:rPr>
      </w:pPr>
    </w:p>
    <w:p w14:paraId="6F1AFC20">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05D2D76B">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0802EAC2">
      <w:pPr>
        <w:snapToGrid w:val="0"/>
        <w:spacing w:before="120" w:beforeLines="50" w:after="50"/>
        <w:ind w:firstLine="720" w:firstLineChars="225"/>
        <w:rPr>
          <w:rFonts w:hint="eastAsia" w:ascii="宋体" w:hAnsi="宋体" w:cs="仿宋_GB2312"/>
          <w:bCs/>
          <w:color w:val="auto"/>
          <w:sz w:val="32"/>
          <w:szCs w:val="32"/>
          <w:highlight w:val="none"/>
        </w:rPr>
      </w:pPr>
    </w:p>
    <w:p w14:paraId="18B5643F">
      <w:pPr>
        <w:pStyle w:val="5"/>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2772D327">
      <w:pPr>
        <w:pStyle w:val="5"/>
        <w:snapToGrid w:val="0"/>
        <w:spacing w:before="50" w:after="50"/>
        <w:ind w:firstLine="640" w:firstLineChars="200"/>
        <w:rPr>
          <w:rFonts w:hint="eastAsia" w:ascii="宋体" w:hAnsi="宋体" w:cs="仿宋_GB2312"/>
          <w:bCs/>
          <w:color w:val="auto"/>
          <w:sz w:val="32"/>
          <w:szCs w:val="32"/>
          <w:highlight w:val="none"/>
        </w:rPr>
      </w:pPr>
    </w:p>
    <w:p w14:paraId="63CB1196">
      <w:pPr>
        <w:pStyle w:val="5"/>
        <w:snapToGrid w:val="0"/>
        <w:spacing w:before="50" w:after="50"/>
        <w:ind w:firstLine="720" w:firstLineChars="225"/>
        <w:rPr>
          <w:rFonts w:hint="eastAsia" w:ascii="宋体" w:hAnsi="宋体" w:cs="仿宋_GB2312"/>
          <w:bCs/>
          <w:color w:val="auto"/>
          <w:sz w:val="32"/>
          <w:szCs w:val="32"/>
          <w:highlight w:val="none"/>
        </w:rPr>
      </w:pPr>
    </w:p>
    <w:p w14:paraId="3A0D5C38">
      <w:pPr>
        <w:pStyle w:val="5"/>
        <w:snapToGrid w:val="0"/>
        <w:spacing w:before="50" w:after="50"/>
        <w:ind w:firstLine="0"/>
        <w:rPr>
          <w:rFonts w:hint="eastAsia" w:ascii="宋体" w:hAnsi="宋体" w:cs="仿宋_GB2312"/>
          <w:bCs/>
          <w:color w:val="auto"/>
          <w:sz w:val="32"/>
          <w:szCs w:val="32"/>
          <w:highlight w:val="none"/>
        </w:rPr>
      </w:pPr>
    </w:p>
    <w:p w14:paraId="51922A31">
      <w:pPr>
        <w:pStyle w:val="5"/>
        <w:snapToGrid w:val="0"/>
        <w:spacing w:before="50" w:after="50"/>
        <w:ind w:firstLine="1280" w:firstLineChars="400"/>
        <w:rPr>
          <w:rFonts w:hint="eastAsia" w:ascii="宋体" w:hAnsi="宋体" w:cs="仿宋_GB2312"/>
          <w:bCs/>
          <w:color w:val="auto"/>
          <w:sz w:val="32"/>
          <w:szCs w:val="32"/>
          <w:highlight w:val="none"/>
        </w:rPr>
      </w:pPr>
    </w:p>
    <w:p w14:paraId="4F46A958">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16A24F08">
      <w:pPr>
        <w:snapToGrid w:val="0"/>
        <w:spacing w:before="120" w:beforeLines="50" w:after="50" w:line="360" w:lineRule="auto"/>
        <w:ind w:left="142"/>
        <w:jc w:val="left"/>
        <w:rPr>
          <w:rFonts w:hint="eastAsia"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2.报价文件目录</w:t>
      </w:r>
    </w:p>
    <w:p w14:paraId="25D40503">
      <w:pPr>
        <w:snapToGrid w:val="0"/>
        <w:spacing w:before="120"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14:paraId="36C5E809">
      <w:pPr>
        <w:spacing w:line="400" w:lineRule="exact"/>
        <w:rPr>
          <w:rFonts w:hint="eastAsia" w:ascii="仿宋_GB2312" w:hAnsi="仿宋_GB2312" w:eastAsia="仿宋_GB2312" w:cs="仿宋_GB2312"/>
          <w:color w:val="auto"/>
          <w:sz w:val="32"/>
          <w:szCs w:val="32"/>
          <w:highlight w:val="none"/>
        </w:rPr>
      </w:pPr>
    </w:p>
    <w:p w14:paraId="1E9D702E">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lang w:val="en-US" w:eastAsia="zh-CN"/>
        </w:rPr>
        <w:t>竞标</w:t>
      </w:r>
      <w:r>
        <w:rPr>
          <w:rFonts w:hint="eastAsia" w:ascii="方正小标宋简体" w:hAnsi="方正小标宋简体" w:eastAsia="方正小标宋简体" w:cs="方正小标宋简体"/>
          <w:color w:val="auto"/>
          <w:sz w:val="44"/>
          <w:szCs w:val="44"/>
          <w:highlight w:val="none"/>
        </w:rPr>
        <w:t>函</w:t>
      </w:r>
    </w:p>
    <w:p w14:paraId="2E728D60">
      <w:pPr>
        <w:spacing w:line="360" w:lineRule="auto"/>
        <w:ind w:firstLine="640" w:firstLineChars="200"/>
        <w:contextualSpacing/>
        <w:rPr>
          <w:rFonts w:hint="eastAsia" w:ascii="仿宋_GB2312" w:hAnsi="仿宋_GB2312" w:eastAsia="仿宋_GB2312" w:cs="仿宋_GB2312"/>
          <w:color w:val="auto"/>
          <w:sz w:val="32"/>
          <w:szCs w:val="32"/>
          <w:highlight w:val="none"/>
        </w:rPr>
      </w:pPr>
    </w:p>
    <w:p w14:paraId="021427FF">
      <w:pPr>
        <w:spacing w:line="240" w:lineRule="auto"/>
        <w:ind w:firstLine="480" w:firstLineChars="200"/>
        <w:contextualSpacing/>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lang w:val="en-US" w:eastAsia="zh-CN"/>
        </w:rPr>
        <w:t xml:space="preserve">    （采购人）   </w:t>
      </w:r>
    </w:p>
    <w:p w14:paraId="287F7778">
      <w:pPr>
        <w:spacing w:line="24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我方已仔细阅读了贵方的</w:t>
      </w:r>
      <w:r>
        <w:rPr>
          <w:rFonts w:hint="eastAsia" w:ascii="宋体" w:hAnsi="宋体" w:cs="仿宋_GB2312"/>
          <w:color w:val="auto"/>
          <w:sz w:val="24"/>
          <w:highlight w:val="none"/>
          <w:u w:val="single"/>
          <w:lang w:val="en-US" w:eastAsia="zh-CN"/>
        </w:rPr>
        <w:t xml:space="preserve">  （项目名称及项目编号）  </w:t>
      </w:r>
      <w:r>
        <w:rPr>
          <w:rFonts w:hint="eastAsia" w:ascii="宋体" w:hAnsi="宋体" w:cs="仿宋_GB2312"/>
          <w:color w:val="auto"/>
          <w:sz w:val="24"/>
          <w:highlight w:val="none"/>
        </w:rPr>
        <w:t>的</w:t>
      </w:r>
      <w:r>
        <w:rPr>
          <w:rFonts w:hint="eastAsia" w:ascii="宋体" w:hAnsi="宋体" w:cs="仿宋_GB2312"/>
          <w:color w:val="auto"/>
          <w:sz w:val="24"/>
          <w:highlight w:val="none"/>
          <w:lang w:val="en-US" w:eastAsia="zh-CN"/>
        </w:rPr>
        <w:t>采购</w:t>
      </w:r>
      <w:r>
        <w:rPr>
          <w:rFonts w:hint="eastAsia" w:ascii="宋体" w:hAnsi="宋体" w:cs="仿宋_GB2312"/>
          <w:color w:val="auto"/>
          <w:sz w:val="24"/>
          <w:highlight w:val="none"/>
        </w:rPr>
        <w:t>文件的全部内容，授权</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(全权代表姓名)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(职务、职称)为全权代表，参加贵方组织的本次政府采购活动： </w:t>
      </w:r>
    </w:p>
    <w:p w14:paraId="0C75679E">
      <w:pPr>
        <w:spacing w:line="24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我方愿意以（大写）人民币</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元)的</w:t>
      </w:r>
      <w:r>
        <w:rPr>
          <w:rFonts w:hint="eastAsia" w:ascii="宋体" w:hAnsi="宋体" w:cs="仿宋_GB2312"/>
          <w:color w:val="auto"/>
          <w:sz w:val="24"/>
          <w:highlight w:val="none"/>
          <w:lang w:val="en-US" w:eastAsia="zh-CN"/>
        </w:rPr>
        <w:t>竞</w:t>
      </w:r>
      <w:r>
        <w:rPr>
          <w:rFonts w:hint="eastAsia" w:ascii="宋体" w:hAnsi="宋体" w:cs="仿宋_GB2312"/>
          <w:color w:val="auto"/>
          <w:sz w:val="24"/>
          <w:highlight w:val="none"/>
        </w:rPr>
        <w:t>标总报价，交付时间</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，提供本项目</w:t>
      </w:r>
      <w:r>
        <w:rPr>
          <w:rFonts w:hint="eastAsia" w:ascii="宋体" w:hAnsi="宋体" w:cs="仿宋_GB2312"/>
          <w:color w:val="auto"/>
          <w:sz w:val="24"/>
          <w:highlight w:val="none"/>
          <w:lang w:val="en-US" w:eastAsia="zh-CN"/>
        </w:rPr>
        <w:t>采购</w:t>
      </w:r>
      <w:r>
        <w:rPr>
          <w:rFonts w:hint="eastAsia" w:ascii="宋体" w:hAnsi="宋体" w:cs="仿宋_GB2312"/>
          <w:color w:val="auto"/>
          <w:sz w:val="24"/>
          <w:highlight w:val="none"/>
        </w:rPr>
        <w:t>文件第</w:t>
      </w:r>
      <w:r>
        <w:rPr>
          <w:rFonts w:hint="eastAsia" w:ascii="宋体" w:hAnsi="宋体" w:cs="仿宋_GB2312"/>
          <w:color w:val="auto"/>
          <w:sz w:val="24"/>
          <w:highlight w:val="none"/>
          <w:lang w:val="en-US" w:eastAsia="zh-CN"/>
        </w:rPr>
        <w:t>三</w:t>
      </w:r>
      <w:r>
        <w:rPr>
          <w:rFonts w:hint="eastAsia" w:ascii="宋体" w:hAnsi="宋体" w:cs="仿宋_GB2312"/>
          <w:color w:val="auto"/>
          <w:sz w:val="24"/>
          <w:highlight w:val="none"/>
        </w:rPr>
        <w:t>章“</w:t>
      </w:r>
      <w:r>
        <w:rPr>
          <w:rFonts w:hint="eastAsia" w:ascii="宋体" w:hAnsi="宋体" w:cs="仿宋_GB2312"/>
          <w:color w:val="auto"/>
          <w:sz w:val="24"/>
          <w:highlight w:val="none"/>
          <w:lang w:val="en-US" w:eastAsia="zh-CN"/>
        </w:rPr>
        <w:t>采购</w:t>
      </w:r>
      <w:r>
        <w:rPr>
          <w:rFonts w:hint="eastAsia" w:ascii="宋体" w:hAnsi="宋体" w:cs="仿宋_GB2312"/>
          <w:color w:val="auto"/>
          <w:sz w:val="24"/>
          <w:highlight w:val="none"/>
        </w:rPr>
        <w:t>需求”中的相应的采购内容。</w:t>
      </w:r>
    </w:p>
    <w:p w14:paraId="1D4CCF97">
      <w:pPr>
        <w:spacing w:line="24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2、我方所递交的投标文件及有关资料都是内容完整、真实和准确的。</w:t>
      </w:r>
    </w:p>
    <w:p w14:paraId="4FACDB13">
      <w:pPr>
        <w:spacing w:line="24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3</w:t>
      </w:r>
      <w:r>
        <w:rPr>
          <w:rFonts w:hint="eastAsia" w:ascii="宋体" w:hAnsi="宋体" w:cs="仿宋_GB2312"/>
          <w:color w:val="auto"/>
          <w:sz w:val="24"/>
          <w:highlight w:val="none"/>
        </w:rPr>
        <w:t>、如本项目采购内容涉及须符合国家强制规定的，我方承诺我方本次</w:t>
      </w:r>
      <w:r>
        <w:rPr>
          <w:rFonts w:hint="eastAsia" w:ascii="宋体" w:hAnsi="宋体" w:cs="仿宋_GB2312"/>
          <w:color w:val="auto"/>
          <w:sz w:val="24"/>
          <w:highlight w:val="none"/>
          <w:lang w:val="en-US" w:eastAsia="zh-CN"/>
        </w:rPr>
        <w:t>竞</w:t>
      </w:r>
      <w:r>
        <w:rPr>
          <w:rFonts w:hint="eastAsia" w:ascii="宋体" w:hAnsi="宋体" w:cs="仿宋_GB2312"/>
          <w:color w:val="auto"/>
          <w:sz w:val="24"/>
          <w:highlight w:val="none"/>
        </w:rPr>
        <w:t>标（包括资格条件和所投产品）均符合国家有关强制规定。</w:t>
      </w:r>
    </w:p>
    <w:p w14:paraId="0875C3C4">
      <w:pPr>
        <w:spacing w:line="24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4</w:t>
      </w:r>
      <w:r>
        <w:rPr>
          <w:rFonts w:hint="eastAsia" w:ascii="宋体" w:hAnsi="宋体" w:cs="仿宋_GB2312"/>
          <w:color w:val="auto"/>
          <w:sz w:val="24"/>
          <w:highlight w:val="none"/>
        </w:rPr>
        <w:t>、我方已详细审核</w:t>
      </w:r>
      <w:r>
        <w:rPr>
          <w:rFonts w:hint="eastAsia" w:ascii="宋体" w:hAnsi="宋体" w:cs="仿宋_GB2312"/>
          <w:color w:val="auto"/>
          <w:sz w:val="24"/>
          <w:highlight w:val="none"/>
          <w:lang w:val="en-US" w:eastAsia="zh-CN"/>
        </w:rPr>
        <w:t>采购</w:t>
      </w:r>
      <w:r>
        <w:rPr>
          <w:rFonts w:hint="eastAsia" w:ascii="宋体" w:hAnsi="宋体" w:cs="仿宋_GB2312"/>
          <w:color w:val="auto"/>
          <w:sz w:val="24"/>
          <w:highlight w:val="none"/>
        </w:rPr>
        <w:t>文件，我方知道必须放弃提出含糊不清或误解问题的权利。</w:t>
      </w:r>
    </w:p>
    <w:p w14:paraId="5DA75A97">
      <w:pPr>
        <w:spacing w:line="24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5</w:t>
      </w:r>
      <w:r>
        <w:rPr>
          <w:rFonts w:hint="eastAsia" w:ascii="宋体" w:hAnsi="宋体" w:cs="仿宋_GB2312"/>
          <w:color w:val="auto"/>
          <w:sz w:val="24"/>
          <w:highlight w:val="none"/>
        </w:rPr>
        <w:t>、我方完全理解贵方不一定接受</w:t>
      </w:r>
      <w:r>
        <w:rPr>
          <w:rFonts w:hint="eastAsia" w:ascii="宋体" w:hAnsi="宋体" w:cs="仿宋_GB2312"/>
          <w:color w:val="auto"/>
          <w:sz w:val="24"/>
          <w:highlight w:val="none"/>
          <w:lang w:val="en-US" w:eastAsia="zh-CN"/>
        </w:rPr>
        <w:t>竞</w:t>
      </w:r>
      <w:r>
        <w:rPr>
          <w:rFonts w:hint="eastAsia" w:ascii="宋体" w:hAnsi="宋体" w:cs="仿宋_GB2312"/>
          <w:color w:val="auto"/>
          <w:sz w:val="24"/>
          <w:highlight w:val="none"/>
        </w:rPr>
        <w:t>标报价最低的投标人为</w:t>
      </w:r>
      <w:r>
        <w:rPr>
          <w:rFonts w:hint="eastAsia" w:ascii="宋体" w:hAnsi="宋体" w:cs="仿宋_GB2312"/>
          <w:color w:val="auto"/>
          <w:sz w:val="24"/>
          <w:highlight w:val="none"/>
          <w:lang w:val="en-US" w:eastAsia="zh-CN"/>
        </w:rPr>
        <w:t>成交</w:t>
      </w:r>
      <w:r>
        <w:rPr>
          <w:rFonts w:hint="eastAsia" w:ascii="宋体" w:hAnsi="宋体" w:cs="仿宋_GB2312"/>
          <w:color w:val="auto"/>
          <w:sz w:val="24"/>
          <w:highlight w:val="none"/>
        </w:rPr>
        <w:t>供应商的行为。</w:t>
      </w:r>
    </w:p>
    <w:p w14:paraId="6E10BCE4">
      <w:pPr>
        <w:spacing w:line="24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6</w:t>
      </w:r>
      <w:r>
        <w:rPr>
          <w:rFonts w:hint="eastAsia" w:ascii="宋体" w:hAnsi="宋体" w:cs="仿宋_GB2312"/>
          <w:color w:val="auto"/>
          <w:sz w:val="24"/>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EBFAB65">
      <w:pPr>
        <w:spacing w:line="24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（1）提供虚假材料谋取中标、成交的；</w:t>
      </w:r>
    </w:p>
    <w:p w14:paraId="7B43C0A8">
      <w:pPr>
        <w:spacing w:line="24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（2）采取不正当手段诋毁、排挤其他供应商的；</w:t>
      </w:r>
    </w:p>
    <w:p w14:paraId="45F477B3">
      <w:pPr>
        <w:spacing w:line="24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（3）与采购人、其他供应商或者采购代理机构恶意串通的；</w:t>
      </w:r>
    </w:p>
    <w:p w14:paraId="3A55F5B8">
      <w:pPr>
        <w:spacing w:line="24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（4）向采购人、采购代理机构行贿或者提供其他不正当利益的；</w:t>
      </w:r>
    </w:p>
    <w:p w14:paraId="1F05FB95">
      <w:pPr>
        <w:spacing w:line="24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（5）在招标采购过程中与采购人进行协商谈判的；</w:t>
      </w:r>
    </w:p>
    <w:p w14:paraId="44DACA00">
      <w:pPr>
        <w:spacing w:line="24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（6）拒绝有关部门监督检查或提供虚假情况的。</w:t>
      </w:r>
    </w:p>
    <w:p w14:paraId="49A49AD8">
      <w:pPr>
        <w:spacing w:line="24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7</w:t>
      </w:r>
      <w:r>
        <w:rPr>
          <w:rFonts w:hint="eastAsia" w:ascii="宋体" w:hAnsi="宋体" w:cs="仿宋_GB2312"/>
          <w:color w:val="auto"/>
          <w:sz w:val="24"/>
          <w:highlight w:val="none"/>
        </w:rPr>
        <w:t>、我方及由本人担任法定代表人的其他机构最近三年内</w:t>
      </w:r>
      <w:r>
        <w:rPr>
          <w:rFonts w:hint="eastAsia" w:ascii="宋体" w:hAnsi="宋体" w:cs="仿宋_GB2312"/>
          <w:color w:val="auto"/>
          <w:sz w:val="24"/>
          <w:highlight w:val="none"/>
          <w:lang w:val="en-US" w:eastAsia="zh-CN"/>
        </w:rPr>
        <w:t>没</w:t>
      </w:r>
      <w:r>
        <w:rPr>
          <w:rFonts w:hint="eastAsia" w:ascii="宋体" w:hAnsi="宋体" w:cs="仿宋_GB2312"/>
          <w:color w:val="auto"/>
          <w:sz w:val="24"/>
          <w:highlight w:val="none"/>
        </w:rPr>
        <w:t>有被处罚的违法行为</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 xml:space="preserve">                                                                                                                                          </w:t>
      </w:r>
    </w:p>
    <w:p w14:paraId="6492DB9B">
      <w:pPr>
        <w:spacing w:line="24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8</w:t>
      </w:r>
      <w:r>
        <w:rPr>
          <w:rFonts w:hint="eastAsia" w:ascii="宋体" w:hAnsi="宋体" w:cs="仿宋_GB2312"/>
          <w:color w:val="auto"/>
          <w:sz w:val="24"/>
          <w:highlight w:val="none"/>
        </w:rPr>
        <w:t>、以上事项如有虚假或隐瞒，我方愿意承担一切后果，并不再寻求任何旨在减轻或免除法律责任的辩解。</w:t>
      </w:r>
    </w:p>
    <w:p w14:paraId="1DA7AB1F">
      <w:pPr>
        <w:spacing w:line="24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71B419FF">
      <w:pPr>
        <w:spacing w:line="240" w:lineRule="auto"/>
        <w:ind w:firstLine="480" w:firstLineChars="200"/>
        <w:contextualSpacing/>
        <w:rPr>
          <w:rFonts w:hint="eastAsia" w:ascii="宋体" w:hAnsi="宋体" w:cs="仿宋_GB2312"/>
          <w:color w:val="auto"/>
          <w:sz w:val="24"/>
          <w:highlight w:val="none"/>
        </w:rPr>
      </w:pPr>
    </w:p>
    <w:p w14:paraId="4A9F7FCF">
      <w:pPr>
        <w:spacing w:line="240" w:lineRule="auto"/>
        <w:ind w:firstLine="4320" w:firstLineChars="1800"/>
        <w:contextualSpacing/>
        <w:rPr>
          <w:rFonts w:hint="eastAsia"/>
          <w:color w:val="auto"/>
          <w:sz w:val="24"/>
          <w:szCs w:val="24"/>
          <w:highlight w:val="none"/>
        </w:rPr>
      </w:pPr>
    </w:p>
    <w:p w14:paraId="00E36CA4">
      <w:pPr>
        <w:spacing w:line="240" w:lineRule="auto"/>
        <w:ind w:firstLine="4320" w:firstLineChars="1800"/>
        <w:contextualSpacing/>
        <w:rPr>
          <w:rFonts w:hint="eastAsia"/>
          <w:color w:val="auto"/>
          <w:sz w:val="24"/>
          <w:szCs w:val="24"/>
          <w:highlight w:val="none"/>
        </w:rPr>
      </w:pPr>
    </w:p>
    <w:p w14:paraId="4F9664C5">
      <w:pPr>
        <w:spacing w:line="240" w:lineRule="auto"/>
        <w:ind w:firstLine="4320" w:firstLineChars="1800"/>
        <w:contextualSpacing/>
        <w:rPr>
          <w:rFonts w:hint="eastAsia"/>
          <w:color w:val="auto"/>
          <w:sz w:val="24"/>
          <w:szCs w:val="24"/>
          <w:highlight w:val="none"/>
        </w:rPr>
      </w:pPr>
    </w:p>
    <w:p w14:paraId="7556EBCB">
      <w:pPr>
        <w:spacing w:line="240" w:lineRule="auto"/>
        <w:ind w:firstLine="4320" w:firstLineChars="1800"/>
        <w:contextualSpacing/>
        <w:rPr>
          <w:rFonts w:hint="eastAsia"/>
          <w:color w:val="auto"/>
          <w:sz w:val="24"/>
          <w:szCs w:val="24"/>
          <w:highlight w:val="none"/>
        </w:rPr>
      </w:pPr>
    </w:p>
    <w:p w14:paraId="7C9D42BA">
      <w:pPr>
        <w:spacing w:line="240" w:lineRule="auto"/>
        <w:ind w:firstLine="4320" w:firstLineChars="1800"/>
        <w:contextualSpacing/>
        <w:rPr>
          <w:rFonts w:hint="eastAsia"/>
          <w:color w:val="auto"/>
          <w:sz w:val="24"/>
          <w:szCs w:val="24"/>
          <w:highlight w:val="none"/>
        </w:rPr>
      </w:pPr>
    </w:p>
    <w:p w14:paraId="2217AD7F">
      <w:pPr>
        <w:spacing w:line="240" w:lineRule="auto"/>
        <w:ind w:firstLine="4320" w:firstLineChars="1800"/>
        <w:contextualSpacing/>
        <w:rPr>
          <w:rFonts w:hint="eastAsia"/>
          <w:color w:val="auto"/>
          <w:sz w:val="24"/>
          <w:szCs w:val="24"/>
          <w:highlight w:val="none"/>
        </w:rPr>
      </w:pPr>
      <w:r>
        <w:rPr>
          <w:rFonts w:hint="eastAsia"/>
          <w:color w:val="auto"/>
          <w:sz w:val="24"/>
          <w:szCs w:val="24"/>
          <w:highlight w:val="none"/>
        </w:rPr>
        <w:t>法定代表人（签字或者盖章）：</w:t>
      </w:r>
      <w:r>
        <w:rPr>
          <w:rFonts w:hint="eastAsia"/>
          <w:color w:val="auto"/>
          <w:sz w:val="24"/>
          <w:szCs w:val="24"/>
          <w:highlight w:val="none"/>
          <w:u w:val="single"/>
        </w:rPr>
        <w:t xml:space="preserve">           </w:t>
      </w:r>
      <w:r>
        <w:rPr>
          <w:rFonts w:hint="eastAsia"/>
          <w:color w:val="auto"/>
          <w:sz w:val="24"/>
          <w:szCs w:val="24"/>
          <w:highlight w:val="none"/>
        </w:rPr>
        <w:t xml:space="preserve">                                     </w:t>
      </w:r>
    </w:p>
    <w:p w14:paraId="5478FDF0">
      <w:pPr>
        <w:spacing w:line="240" w:lineRule="auto"/>
        <w:ind w:firstLine="4320" w:firstLineChars="1800"/>
        <w:contextualSpacing/>
        <w:rPr>
          <w:rFonts w:hint="eastAsia"/>
          <w:color w:val="auto"/>
          <w:sz w:val="24"/>
          <w:szCs w:val="24"/>
          <w:highlight w:val="none"/>
        </w:rPr>
      </w:pPr>
    </w:p>
    <w:p w14:paraId="1643CB17">
      <w:pPr>
        <w:spacing w:line="240" w:lineRule="auto"/>
        <w:ind w:firstLine="4320" w:firstLineChars="1800"/>
        <w:contextualSpacing/>
        <w:rPr>
          <w:rFonts w:hint="eastAsia" w:ascii="宋体" w:hAnsi="宋体" w:cs="宋体"/>
          <w:color w:val="auto"/>
          <w:sz w:val="24"/>
          <w:szCs w:val="24"/>
          <w:highlight w:val="none"/>
          <w:u w:val="single"/>
        </w:rPr>
      </w:pPr>
      <w:r>
        <w:rPr>
          <w:rFonts w:hint="eastAsia"/>
          <w:color w:val="auto"/>
          <w:sz w:val="24"/>
          <w:szCs w:val="24"/>
          <w:highlight w:val="none"/>
        </w:rPr>
        <w:t>供应商（盖公章）：</w:t>
      </w:r>
      <w:r>
        <w:rPr>
          <w:rFonts w:hint="eastAsia"/>
          <w:color w:val="auto"/>
          <w:sz w:val="24"/>
          <w:szCs w:val="24"/>
          <w:highlight w:val="none"/>
          <w:u w:val="single"/>
        </w:rPr>
        <w:t xml:space="preserve">                               </w:t>
      </w:r>
      <w:r>
        <w:rPr>
          <w:rFonts w:hint="eastAsia"/>
          <w:color w:val="auto"/>
          <w:sz w:val="24"/>
          <w:szCs w:val="24"/>
          <w:highlight w:val="none"/>
        </w:rPr>
        <w:t xml:space="preserve">       </w:t>
      </w:r>
      <w:r>
        <w:rPr>
          <w:rFonts w:hint="eastAsia" w:ascii="宋体" w:hAnsi="宋体" w:cs="宋体"/>
          <w:color w:val="auto"/>
          <w:sz w:val="24"/>
          <w:szCs w:val="24"/>
          <w:highlight w:val="none"/>
        </w:rPr>
        <w:t xml:space="preserve">    </w:t>
      </w:r>
    </w:p>
    <w:p w14:paraId="3D9C0F7F">
      <w:pPr>
        <w:spacing w:line="240" w:lineRule="auto"/>
        <w:ind w:firstLine="480" w:firstLineChars="200"/>
        <w:contextualSpacing/>
        <w:jc w:val="center"/>
        <w:rPr>
          <w:rFonts w:hint="eastAsia"/>
          <w:color w:val="auto"/>
          <w:sz w:val="24"/>
          <w:szCs w:val="24"/>
          <w:highlight w:val="none"/>
        </w:rPr>
      </w:pPr>
      <w:r>
        <w:rPr>
          <w:rFonts w:hint="eastAsia" w:ascii="宋体" w:hAnsi="宋体" w:cs="宋体"/>
          <w:color w:val="auto"/>
          <w:sz w:val="24"/>
          <w:szCs w:val="24"/>
          <w:highlight w:val="none"/>
        </w:rPr>
        <w:t xml:space="preserve">                                           </w:t>
      </w:r>
      <w:r>
        <w:rPr>
          <w:rFonts w:hint="eastAsia"/>
          <w:color w:val="auto"/>
          <w:sz w:val="24"/>
          <w:szCs w:val="24"/>
          <w:highlight w:val="none"/>
        </w:rPr>
        <w:t xml:space="preserve"> </w:t>
      </w:r>
    </w:p>
    <w:p w14:paraId="4B82A24B">
      <w:pPr>
        <w:spacing w:line="240" w:lineRule="auto"/>
        <w:ind w:firstLine="480" w:firstLineChars="200"/>
        <w:contextualSpacing/>
        <w:jc w:val="center"/>
        <w:rPr>
          <w:rFonts w:hint="eastAsia"/>
          <w:color w:val="auto"/>
          <w:sz w:val="24"/>
          <w:szCs w:val="24"/>
          <w:highlight w:val="none"/>
        </w:rPr>
      </w:pPr>
    </w:p>
    <w:p w14:paraId="26FB4C6D">
      <w:pPr>
        <w:spacing w:line="240" w:lineRule="auto"/>
        <w:ind w:firstLine="480" w:firstLineChars="200"/>
        <w:contextualSpacing/>
        <w:jc w:val="right"/>
        <w:rPr>
          <w:rFonts w:hint="eastAsia" w:ascii="宋体" w:hAnsi="宋体" w:cs="仿宋_GB2312"/>
          <w:color w:val="auto"/>
          <w:sz w:val="32"/>
          <w:szCs w:val="32"/>
          <w:highlight w:val="none"/>
        </w:rPr>
      </w:pPr>
      <w:r>
        <w:rPr>
          <w:rFonts w:hint="eastAsia"/>
          <w:color w:val="auto"/>
          <w:sz w:val="24"/>
          <w:szCs w:val="24"/>
          <w:highlight w:val="none"/>
        </w:rPr>
        <w:t>年    月    日</w:t>
      </w:r>
    </w:p>
    <w:p w14:paraId="2251D74F">
      <w:pPr>
        <w:tabs>
          <w:tab w:val="left" w:pos="3479"/>
        </w:tabs>
        <w:spacing w:line="520" w:lineRule="exact"/>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竞  标  报  价  表</w:t>
      </w:r>
    </w:p>
    <w:p w14:paraId="5F5E7D8B">
      <w:pPr>
        <w:spacing w:line="520" w:lineRule="exact"/>
        <w:jc w:val="center"/>
        <w:rPr>
          <w:rFonts w:hint="eastAsia" w:ascii="方正小标宋简体" w:hAnsi="方正小标宋简体" w:eastAsia="方正小标宋简体" w:cs="方正小标宋简体"/>
          <w:bCs/>
          <w:color w:val="auto"/>
          <w:sz w:val="32"/>
          <w:szCs w:val="32"/>
          <w:highlight w:val="none"/>
        </w:rPr>
      </w:pPr>
    </w:p>
    <w:p w14:paraId="135C307B">
      <w:pPr>
        <w:snapToGrid w:val="0"/>
        <w:spacing w:before="50" w:after="50" w:line="360" w:lineRule="auto"/>
        <w:rPr>
          <w:rFonts w:hint="eastAsia" w:ascii="宋体" w:hAnsi="宋体" w:cs="仿宋_GB2312"/>
          <w:color w:val="auto"/>
          <w:sz w:val="24"/>
          <w:highlight w:val="non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0BA8BE1E">
      <w:pPr>
        <w:snapToGrid w:val="0"/>
        <w:spacing w:before="50" w:after="50" w:line="360" w:lineRule="auto"/>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tbl>
      <w:tblPr>
        <w:tblStyle w:val="18"/>
        <w:tblpPr w:leftFromText="180" w:rightFromText="180" w:vertAnchor="text" w:horzAnchor="page" w:tblpX="1803" w:tblpY="409"/>
        <w:tblOverlap w:val="never"/>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600"/>
        <w:gridCol w:w="2138"/>
        <w:gridCol w:w="1631"/>
      </w:tblGrid>
      <w:tr w14:paraId="76BC8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587" w:type="dxa"/>
            <w:tcBorders>
              <w:top w:val="single" w:color="auto" w:sz="4" w:space="0"/>
              <w:left w:val="single" w:color="auto" w:sz="4" w:space="0"/>
              <w:bottom w:val="single" w:color="auto" w:sz="4" w:space="0"/>
              <w:right w:val="single" w:color="auto" w:sz="4" w:space="0"/>
            </w:tcBorders>
            <w:noWrap w:val="0"/>
            <w:vAlign w:val="center"/>
          </w:tcPr>
          <w:p w14:paraId="1AC82C4C">
            <w:pPr>
              <w:spacing w:line="360" w:lineRule="auto"/>
              <w:jc w:val="center"/>
              <w:rPr>
                <w:rFonts w:ascii="宋体" w:hAnsi="宋体" w:cs="仿宋_GB2312"/>
                <w:sz w:val="24"/>
                <w:highlight w:val="none"/>
              </w:rPr>
            </w:pPr>
            <w:r>
              <w:rPr>
                <w:rFonts w:ascii="宋体" w:hAnsi="宋体" w:cs="仿宋_GB2312"/>
                <w:sz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CEA5A51">
            <w:pPr>
              <w:spacing w:line="360" w:lineRule="auto"/>
              <w:jc w:val="center"/>
              <w:rPr>
                <w:rFonts w:ascii="宋体" w:hAnsi="宋体" w:cs="仿宋_GB2312"/>
                <w:sz w:val="24"/>
                <w:highlight w:val="none"/>
              </w:rPr>
            </w:pPr>
            <w:r>
              <w:rPr>
                <w:rFonts w:hint="eastAsia" w:ascii="宋体" w:hAnsi="宋体"/>
                <w:b/>
                <w:sz w:val="24"/>
                <w:highlight w:val="none"/>
                <w:lang w:val="en-US" w:eastAsia="zh-CN"/>
              </w:rPr>
              <w:t>项目</w:t>
            </w:r>
            <w:r>
              <w:rPr>
                <w:rFonts w:hint="eastAsia" w:ascii="宋体" w:hAnsi="宋体"/>
                <w:b/>
                <w:sz w:val="24"/>
                <w:highlight w:val="none"/>
              </w:rPr>
              <w:t>名称</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75266AB9">
            <w:pPr>
              <w:spacing w:line="360" w:lineRule="auto"/>
              <w:jc w:val="center"/>
              <w:rPr>
                <w:rFonts w:hint="default" w:ascii="宋体" w:hAnsi="宋体" w:eastAsia="宋体" w:cs="仿宋_GB2312"/>
                <w:sz w:val="24"/>
                <w:highlight w:val="none"/>
                <w:lang w:val="en-US" w:eastAsia="zh-CN"/>
              </w:rPr>
            </w:pPr>
            <w:r>
              <w:rPr>
                <w:rFonts w:hint="eastAsia" w:ascii="宋体" w:hAnsi="宋体" w:cs="仿宋_GB2312"/>
                <w:sz w:val="24"/>
                <w:highlight w:val="none"/>
                <w:lang w:val="en-US" w:eastAsia="zh-CN"/>
              </w:rPr>
              <w:t>服务范围</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DB90224">
            <w:pPr>
              <w:spacing w:line="360" w:lineRule="auto"/>
              <w:jc w:val="center"/>
              <w:rPr>
                <w:rFonts w:hint="eastAsia" w:ascii="宋体" w:hAnsi="宋体" w:eastAsia="宋体" w:cs="仿宋_GB2312"/>
                <w:sz w:val="24"/>
                <w:highlight w:val="none"/>
                <w:lang w:eastAsia="zh-CN"/>
              </w:rPr>
            </w:pPr>
            <w:r>
              <w:rPr>
                <w:rFonts w:hint="eastAsia" w:ascii="宋体" w:hAnsi="宋体" w:cs="仿宋_GB2312"/>
                <w:sz w:val="24"/>
                <w:highlight w:val="none"/>
                <w:lang w:val="en-US" w:eastAsia="zh-CN"/>
              </w:rPr>
              <w:t>服务期限</w:t>
            </w:r>
          </w:p>
        </w:tc>
        <w:tc>
          <w:tcPr>
            <w:tcW w:w="1631" w:type="dxa"/>
            <w:tcBorders>
              <w:top w:val="single" w:color="auto" w:sz="4" w:space="0"/>
              <w:left w:val="single" w:color="auto" w:sz="4" w:space="0"/>
              <w:bottom w:val="single" w:color="auto" w:sz="4" w:space="0"/>
              <w:right w:val="single" w:color="auto" w:sz="4" w:space="0"/>
            </w:tcBorders>
            <w:noWrap w:val="0"/>
            <w:vAlign w:val="center"/>
          </w:tcPr>
          <w:p w14:paraId="7BFA8D2D">
            <w:pPr>
              <w:spacing w:line="360" w:lineRule="auto"/>
              <w:jc w:val="center"/>
              <w:rPr>
                <w:rFonts w:ascii="宋体" w:hAnsi="宋体" w:cs="仿宋_GB2312"/>
                <w:sz w:val="24"/>
                <w:highlight w:val="none"/>
              </w:rPr>
            </w:pPr>
            <w:r>
              <w:rPr>
                <w:rFonts w:ascii="宋体" w:hAnsi="宋体" w:cs="仿宋_GB2312"/>
                <w:sz w:val="24"/>
                <w:highlight w:val="none"/>
              </w:rPr>
              <w:t>备注</w:t>
            </w:r>
          </w:p>
        </w:tc>
      </w:tr>
      <w:tr w14:paraId="4467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587" w:type="dxa"/>
            <w:tcBorders>
              <w:top w:val="single" w:color="auto" w:sz="4" w:space="0"/>
              <w:left w:val="single" w:color="auto" w:sz="4" w:space="0"/>
              <w:bottom w:val="single" w:color="auto" w:sz="4" w:space="0"/>
              <w:right w:val="single" w:color="auto" w:sz="4" w:space="0"/>
            </w:tcBorders>
            <w:noWrap w:val="0"/>
            <w:vAlign w:val="center"/>
          </w:tcPr>
          <w:p w14:paraId="6FF3D566">
            <w:pPr>
              <w:spacing w:line="360" w:lineRule="auto"/>
              <w:jc w:val="center"/>
              <w:rPr>
                <w:rFonts w:ascii="宋体" w:hAnsi="宋体" w:cs="仿宋_GB2312"/>
                <w:sz w:val="24"/>
                <w:highlight w:val="none"/>
              </w:rPr>
            </w:pPr>
            <w:r>
              <w:rPr>
                <w:rFonts w:ascii="宋体" w:hAnsi="宋体" w:cs="仿宋_GB2312"/>
                <w:sz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36F0EB4B">
            <w:pPr>
              <w:spacing w:line="360" w:lineRule="auto"/>
              <w:jc w:val="center"/>
              <w:rPr>
                <w:rFonts w:ascii="宋体" w:hAnsi="宋体" w:cs="仿宋_GB2312"/>
                <w:sz w:val="24"/>
                <w:highlight w:val="none"/>
                <w:lang w:val="en-US"/>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14:paraId="2708089F">
            <w:pPr>
              <w:spacing w:line="360" w:lineRule="auto"/>
              <w:jc w:val="center"/>
              <w:rPr>
                <w:rFonts w:hint="default" w:ascii="宋体" w:hAnsi="宋体" w:eastAsia="宋体" w:cs="仿宋_GB2312"/>
                <w:sz w:val="24"/>
                <w:highlight w:val="none"/>
                <w:lang w:val="en-US" w:eastAsia="zh-CN"/>
              </w:rPr>
            </w:pP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FD1AE91">
            <w:pPr>
              <w:spacing w:line="360" w:lineRule="auto"/>
              <w:jc w:val="both"/>
              <w:rPr>
                <w:rFonts w:hint="eastAsia" w:ascii="宋体" w:hAnsi="宋体" w:eastAsia="宋体" w:cs="仿宋_GB2312"/>
                <w:sz w:val="24"/>
                <w:highlight w:val="none"/>
                <w:lang w:eastAsia="zh-CN"/>
              </w:rPr>
            </w:pPr>
          </w:p>
        </w:tc>
        <w:tc>
          <w:tcPr>
            <w:tcW w:w="1631" w:type="dxa"/>
            <w:tcBorders>
              <w:top w:val="single" w:color="auto" w:sz="4" w:space="0"/>
              <w:left w:val="single" w:color="auto" w:sz="4" w:space="0"/>
              <w:bottom w:val="single" w:color="auto" w:sz="4" w:space="0"/>
              <w:right w:val="single" w:color="auto" w:sz="4" w:space="0"/>
            </w:tcBorders>
            <w:noWrap w:val="0"/>
            <w:vAlign w:val="top"/>
          </w:tcPr>
          <w:p w14:paraId="2E4EED3F">
            <w:pPr>
              <w:spacing w:line="360" w:lineRule="auto"/>
              <w:rPr>
                <w:rFonts w:ascii="宋体" w:hAnsi="宋体" w:cs="仿宋_GB2312"/>
                <w:sz w:val="24"/>
                <w:highlight w:val="none"/>
              </w:rPr>
            </w:pPr>
          </w:p>
        </w:tc>
      </w:tr>
      <w:tr w14:paraId="5EDF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8668" w:type="dxa"/>
            <w:gridSpan w:val="5"/>
            <w:tcBorders>
              <w:top w:val="single" w:color="auto" w:sz="4" w:space="0"/>
              <w:left w:val="single" w:color="auto" w:sz="4" w:space="0"/>
              <w:bottom w:val="single" w:color="auto" w:sz="4" w:space="0"/>
              <w:right w:val="single" w:color="auto" w:sz="4" w:space="0"/>
            </w:tcBorders>
            <w:noWrap w:val="0"/>
            <w:vAlign w:val="center"/>
          </w:tcPr>
          <w:p w14:paraId="28E547F9">
            <w:pPr>
              <w:snapToGrid w:val="0"/>
              <w:spacing w:before="50" w:after="50" w:line="360" w:lineRule="auto"/>
              <w:rPr>
                <w:rFonts w:ascii="宋体" w:hAnsi="宋体" w:cs="仿宋_GB2312"/>
                <w:sz w:val="24"/>
                <w:highlight w:val="none"/>
              </w:rPr>
            </w:pPr>
            <w:r>
              <w:rPr>
                <w:rFonts w:hint="eastAsia" w:ascii="宋体" w:hAnsi="宋体" w:cs="仿宋_GB2312"/>
                <w:sz w:val="24"/>
                <w:highlight w:val="none"/>
                <w:lang w:eastAsia="zh-CN"/>
              </w:rPr>
              <w:t>竞标总报价</w:t>
            </w:r>
            <w:r>
              <w:rPr>
                <w:rFonts w:hint="eastAsia" w:ascii="宋体" w:hAnsi="宋体" w:cs="仿宋_GB2312"/>
                <w:sz w:val="24"/>
                <w:highlight w:val="none"/>
              </w:rPr>
              <w:t>：人民币</w:t>
            </w:r>
            <w:r>
              <w:rPr>
                <w:rFonts w:hint="eastAsia" w:ascii="宋体" w:hAnsi="宋体" w:cs="仿宋_GB2312"/>
                <w:sz w:val="24"/>
                <w:highlight w:val="none"/>
                <w:u w:val="single"/>
              </w:rPr>
              <w:t xml:space="preserve">       </w:t>
            </w:r>
            <w:r>
              <w:rPr>
                <w:rFonts w:hint="eastAsia" w:ascii="宋体" w:hAnsi="宋体" w:cs="仿宋_GB2312"/>
                <w:sz w:val="24"/>
                <w:highlight w:val="none"/>
                <w:u w:val="single"/>
                <w:lang w:val="en-US" w:eastAsia="zh-CN"/>
              </w:rPr>
              <w:t xml:space="preserve">           </w:t>
            </w:r>
            <w:r>
              <w:rPr>
                <w:rFonts w:hint="eastAsia" w:ascii="宋体" w:hAnsi="宋体" w:cs="仿宋_GB2312"/>
                <w:sz w:val="24"/>
                <w:highlight w:val="none"/>
                <w:u w:val="single"/>
              </w:rPr>
              <w:t xml:space="preserve">    </w:t>
            </w:r>
            <w:r>
              <w:rPr>
                <w:rFonts w:hint="eastAsia" w:ascii="宋体" w:hAnsi="宋体" w:cs="仿宋_GB2312"/>
                <w:sz w:val="24"/>
                <w:highlight w:val="none"/>
              </w:rPr>
              <w:t>（￥</w:t>
            </w:r>
            <w:r>
              <w:rPr>
                <w:rFonts w:hint="eastAsia" w:ascii="宋体" w:hAnsi="宋体" w:cs="仿宋_GB2312"/>
                <w:sz w:val="24"/>
                <w:highlight w:val="none"/>
                <w:u w:val="single"/>
              </w:rPr>
              <w:t xml:space="preserve">           </w:t>
            </w:r>
            <w:r>
              <w:rPr>
                <w:rFonts w:hint="eastAsia" w:ascii="宋体" w:hAnsi="宋体" w:cs="仿宋_GB2312"/>
                <w:sz w:val="24"/>
                <w:highlight w:val="none"/>
                <w:u w:val="single"/>
                <w:lang w:eastAsia="zh-CN"/>
              </w:rPr>
              <w:t>元</w:t>
            </w:r>
            <w:r>
              <w:rPr>
                <w:rFonts w:hint="eastAsia" w:ascii="宋体" w:hAnsi="宋体" w:cs="仿宋_GB2312"/>
                <w:sz w:val="24"/>
                <w:highlight w:val="none"/>
              </w:rPr>
              <w:t>）</w:t>
            </w:r>
          </w:p>
        </w:tc>
      </w:tr>
    </w:tbl>
    <w:p w14:paraId="1FEB7AF0">
      <w:pPr>
        <w:snapToGrid w:val="0"/>
        <w:spacing w:before="50" w:after="50" w:line="360" w:lineRule="auto"/>
        <w:ind w:firstLine="5520" w:firstLineChars="2300"/>
        <w:rPr>
          <w:rFonts w:hint="eastAsia" w:ascii="宋体" w:hAnsi="宋体" w:cs="仿宋_GB2312"/>
          <w:color w:val="auto"/>
          <w:sz w:val="24"/>
          <w:highlight w:val="none"/>
        </w:rPr>
      </w:pPr>
      <w:r>
        <w:rPr>
          <w:rFonts w:hint="eastAsia" w:ascii="宋体" w:hAnsi="宋体" w:cs="仿宋_GB2312"/>
          <w:color w:val="auto"/>
          <w:sz w:val="24"/>
          <w:highlight w:val="none"/>
        </w:rPr>
        <w:t>单</w:t>
      </w:r>
    </w:p>
    <w:p w14:paraId="23316E90">
      <w:pPr>
        <w:snapToGrid w:val="0"/>
        <w:spacing w:before="50" w:after="50" w:line="360" w:lineRule="auto"/>
        <w:ind w:firstLine="5520" w:firstLineChars="2300"/>
        <w:rPr>
          <w:rFonts w:hint="eastAsia" w:ascii="宋体" w:hAnsi="宋体" w:cs="仿宋_GB2312"/>
          <w:color w:val="auto"/>
          <w:sz w:val="24"/>
          <w:highlight w:val="none"/>
        </w:rPr>
      </w:pPr>
    </w:p>
    <w:p w14:paraId="2476540E">
      <w:pPr>
        <w:snapToGrid w:val="0"/>
        <w:spacing w:before="50" w:after="50" w:line="360" w:lineRule="auto"/>
        <w:ind w:firstLine="5520" w:firstLineChars="2300"/>
        <w:rPr>
          <w:rFonts w:hint="eastAsia" w:ascii="宋体" w:hAnsi="宋体" w:cs="仿宋_GB2312"/>
          <w:color w:val="auto"/>
          <w:sz w:val="24"/>
          <w:highlight w:val="none"/>
        </w:rPr>
      </w:pPr>
    </w:p>
    <w:p w14:paraId="47A17CF6">
      <w:pPr>
        <w:snapToGrid w:val="0"/>
        <w:spacing w:before="50" w:after="50" w:line="360" w:lineRule="auto"/>
        <w:ind w:firstLine="5520" w:firstLineChars="2300"/>
        <w:rPr>
          <w:rFonts w:hint="eastAsia" w:ascii="宋体" w:hAnsi="宋体" w:cs="仿宋_GB2312"/>
          <w:color w:val="auto"/>
          <w:sz w:val="24"/>
          <w:highlight w:val="none"/>
        </w:rPr>
      </w:pPr>
    </w:p>
    <w:p w14:paraId="2FC28B4D">
      <w:pPr>
        <w:snapToGrid w:val="0"/>
        <w:spacing w:before="50" w:after="50" w:line="360" w:lineRule="auto"/>
        <w:ind w:firstLine="5520" w:firstLineChars="2300"/>
        <w:rPr>
          <w:rFonts w:hint="eastAsia" w:ascii="宋体" w:hAnsi="宋体" w:cs="仿宋_GB2312"/>
          <w:color w:val="auto"/>
          <w:sz w:val="24"/>
          <w:highlight w:val="none"/>
        </w:rPr>
      </w:pPr>
    </w:p>
    <w:p w14:paraId="76337C4A">
      <w:pPr>
        <w:snapToGrid w:val="0"/>
        <w:spacing w:before="50" w:after="50" w:line="360" w:lineRule="auto"/>
        <w:ind w:firstLine="5520" w:firstLineChars="2300"/>
        <w:rPr>
          <w:rFonts w:hint="eastAsia" w:ascii="宋体" w:hAnsi="宋体" w:cs="仿宋_GB2312"/>
          <w:color w:val="auto"/>
          <w:sz w:val="24"/>
          <w:highlight w:val="none"/>
        </w:rPr>
      </w:pPr>
      <w:r>
        <w:rPr>
          <w:rFonts w:hint="eastAsia" w:ascii="宋体" w:hAnsi="宋体" w:cs="仿宋_GB2312"/>
          <w:color w:val="auto"/>
          <w:sz w:val="24"/>
          <w:highlight w:val="none"/>
        </w:rPr>
        <w:t>位</w:t>
      </w:r>
    </w:p>
    <w:p w14:paraId="406FC6FC">
      <w:pPr>
        <w:snapToGrid w:val="0"/>
        <w:spacing w:before="50" w:after="50" w:line="360" w:lineRule="auto"/>
        <w:ind w:firstLine="5520" w:firstLineChars="2300"/>
        <w:rPr>
          <w:rFonts w:hint="eastAsia" w:ascii="宋体" w:hAnsi="宋体" w:cs="仿宋_GB2312"/>
          <w:sz w:val="24"/>
        </w:rPr>
      </w:pPr>
    </w:p>
    <w:p w14:paraId="03576C3F">
      <w:pPr>
        <w:spacing w:line="360" w:lineRule="auto"/>
        <w:ind w:right="218" w:rightChars="104"/>
        <w:contextualSpacing/>
        <w:jc w:val="left"/>
        <w:rPr>
          <w:rFonts w:hint="eastAsia" w:ascii="宋体" w:hAnsi="宋体" w:cs="仿宋_GB2312"/>
          <w:sz w:val="24"/>
        </w:rPr>
      </w:pPr>
      <w:r>
        <w:rPr>
          <w:rFonts w:hint="eastAsia" w:ascii="宋体" w:hAnsi="宋体" w:cs="仿宋_GB2312"/>
          <w:sz w:val="24"/>
        </w:rPr>
        <w:t xml:space="preserve">注: </w:t>
      </w:r>
    </w:p>
    <w:p w14:paraId="566B7159">
      <w:pPr>
        <w:spacing w:line="360" w:lineRule="auto"/>
        <w:ind w:firstLine="480" w:firstLineChars="200"/>
        <w:contextualSpacing/>
        <w:jc w:val="left"/>
        <w:rPr>
          <w:rFonts w:hint="eastAsia" w:ascii="宋体" w:hAnsi="宋体" w:cs="仿宋_GB2312"/>
          <w:sz w:val="24"/>
        </w:rPr>
      </w:pPr>
      <w:r>
        <w:rPr>
          <w:rFonts w:hint="eastAsia" w:ascii="宋体" w:hAnsi="宋体" w:cs="仿宋_GB2312"/>
          <w:sz w:val="24"/>
        </w:rPr>
        <w:t>1.供应商的报价表必须加盖供应商公章并由法定代表人或者委托代理人签字，</w:t>
      </w:r>
      <w:r>
        <w:rPr>
          <w:rFonts w:hint="eastAsia" w:ascii="宋体" w:hAnsi="宋体" w:cs="仿宋_GB2312"/>
          <w:b/>
          <w:sz w:val="24"/>
        </w:rPr>
        <w:t>否则其响应文件按无效响应处理</w:t>
      </w:r>
      <w:r>
        <w:rPr>
          <w:rFonts w:hint="eastAsia" w:ascii="宋体" w:hAnsi="宋体" w:cs="仿宋_GB2312"/>
          <w:sz w:val="24"/>
        </w:rPr>
        <w:t>。</w:t>
      </w:r>
    </w:p>
    <w:p w14:paraId="605A1C78">
      <w:pPr>
        <w:spacing w:line="360" w:lineRule="auto"/>
        <w:ind w:firstLine="480" w:firstLineChars="200"/>
        <w:contextualSpacing/>
        <w:jc w:val="left"/>
        <w:rPr>
          <w:rFonts w:hint="eastAsia" w:ascii="宋体" w:hAnsi="宋体" w:cs="仿宋_GB2312"/>
          <w:b/>
          <w:sz w:val="24"/>
        </w:rPr>
      </w:pPr>
      <w:r>
        <w:rPr>
          <w:rFonts w:hint="eastAsia" w:ascii="宋体" w:hAnsi="宋体" w:cs="仿宋_GB2312"/>
          <w:bCs/>
          <w:sz w:val="24"/>
        </w:rPr>
        <w:t>2.</w:t>
      </w:r>
      <w:r>
        <w:rPr>
          <w:rFonts w:hint="eastAsia" w:ascii="宋体" w:hAnsi="宋体" w:cs="仿宋_GB2312"/>
          <w:sz w:val="24"/>
        </w:rPr>
        <w:t>报价一经涂改，应在涂改处加盖供应商公章或者由法定代表人或者委托代理人签字或者盖章</w:t>
      </w:r>
      <w:r>
        <w:rPr>
          <w:rFonts w:hint="eastAsia" w:ascii="宋体" w:hAnsi="宋体" w:cs="仿宋_GB2312"/>
          <w:b/>
          <w:sz w:val="24"/>
        </w:rPr>
        <w:t>，否则其响应文件按无效响应处理。</w:t>
      </w:r>
    </w:p>
    <w:p w14:paraId="4733648B">
      <w:pPr>
        <w:spacing w:line="360" w:lineRule="auto"/>
        <w:ind w:right="-817" w:rightChars="-389" w:firstLine="2640" w:firstLineChars="1100"/>
        <w:contextualSpacing/>
        <w:rPr>
          <w:rFonts w:hint="eastAsia" w:ascii="宋体" w:hAnsi="宋体" w:cs="仿宋_GB2312"/>
          <w:sz w:val="24"/>
        </w:rPr>
      </w:pPr>
    </w:p>
    <w:p w14:paraId="34528611">
      <w:pPr>
        <w:spacing w:line="360" w:lineRule="auto"/>
        <w:ind w:right="-817" w:rightChars="-389" w:firstLine="2640" w:firstLineChars="1100"/>
        <w:contextualSpacing/>
        <w:rPr>
          <w:rFonts w:hint="eastAsia" w:ascii="宋体" w:hAnsi="宋体" w:cs="仿宋_GB2312"/>
          <w:sz w:val="24"/>
        </w:rPr>
      </w:pPr>
    </w:p>
    <w:p w14:paraId="3C0A20B2">
      <w:pPr>
        <w:spacing w:line="360" w:lineRule="auto"/>
        <w:ind w:right="-817" w:rightChars="-389"/>
        <w:contextualSpacing/>
        <w:rPr>
          <w:rFonts w:hint="eastAsia" w:ascii="宋体" w:hAnsi="宋体" w:cs="仿宋_GB2312"/>
          <w:sz w:val="24"/>
        </w:rPr>
      </w:pPr>
    </w:p>
    <w:p w14:paraId="4C82778B">
      <w:pPr>
        <w:spacing w:line="360" w:lineRule="auto"/>
        <w:ind w:right="-817" w:rightChars="-389" w:firstLine="2640" w:firstLineChars="1100"/>
        <w:contextualSpacing/>
        <w:rPr>
          <w:rFonts w:hint="eastAsia" w:ascii="宋体" w:hAnsi="宋体" w:cs="仿宋_GB2312"/>
          <w:sz w:val="24"/>
        </w:rPr>
      </w:pPr>
      <w:r>
        <w:rPr>
          <w:rFonts w:hint="eastAsia" w:ascii="宋体" w:hAnsi="宋体" w:cs="仿宋_GB2312"/>
          <w:sz w:val="24"/>
        </w:rPr>
        <w:t xml:space="preserve">法定代表人（签字或者盖章）或者委托代理人（签字）：                    </w:t>
      </w:r>
    </w:p>
    <w:p w14:paraId="547C10E2">
      <w:pPr>
        <w:spacing w:line="360" w:lineRule="auto"/>
        <w:ind w:right="-817" w:rightChars="-389" w:firstLine="2640" w:firstLineChars="1100"/>
        <w:contextualSpacing/>
        <w:rPr>
          <w:rFonts w:hint="eastAsia" w:ascii="宋体" w:hAnsi="宋体" w:cs="仿宋_GB2312"/>
          <w:sz w:val="24"/>
        </w:rPr>
      </w:pPr>
      <w:r>
        <w:rPr>
          <w:rFonts w:hint="eastAsia" w:ascii="宋体" w:hAnsi="宋体" w:cs="仿宋_GB2312"/>
          <w:sz w:val="24"/>
        </w:rPr>
        <w:t>供应商（盖公章）：</w:t>
      </w:r>
    </w:p>
    <w:p w14:paraId="7D24DAC8">
      <w:pPr>
        <w:spacing w:line="360" w:lineRule="auto"/>
        <w:ind w:right="-817" w:rightChars="-389" w:firstLine="2640" w:firstLineChars="1100"/>
        <w:contextualSpacing/>
        <w:rPr>
          <w:rFonts w:hint="eastAsia" w:ascii="宋体" w:hAnsi="宋体" w:cs="仿宋_GB2312"/>
          <w:sz w:val="24"/>
        </w:rPr>
      </w:pPr>
      <w:r>
        <w:rPr>
          <w:rFonts w:hint="eastAsia" w:ascii="宋体" w:hAnsi="宋体" w:cs="仿宋_GB2312"/>
          <w:sz w:val="24"/>
        </w:rPr>
        <w:t xml:space="preserve">      </w:t>
      </w:r>
    </w:p>
    <w:p w14:paraId="01EB60C2">
      <w:pPr>
        <w:spacing w:line="360" w:lineRule="auto"/>
        <w:ind w:right="-817" w:rightChars="-389" w:firstLine="4080" w:firstLineChars="1700"/>
        <w:contextualSpacing/>
        <w:rPr>
          <w:rFonts w:hint="eastAsia" w:ascii="仿宋_GB2312" w:hAnsi="仿宋_GB2312" w:eastAsia="仿宋_GB2312" w:cs="仿宋_GB2312"/>
          <w:b/>
          <w:sz w:val="32"/>
          <w:szCs w:val="32"/>
        </w:rPr>
      </w:pPr>
      <w:r>
        <w:rPr>
          <w:rFonts w:hint="eastAsia" w:ascii="宋体" w:hAnsi="宋体" w:cs="仿宋_GB2312"/>
          <w:sz w:val="24"/>
        </w:rPr>
        <w:t>日期：   年   月   日</w:t>
      </w:r>
    </w:p>
    <w:p w14:paraId="3D4BB220">
      <w:pPr>
        <w:spacing w:line="360" w:lineRule="auto"/>
        <w:ind w:right="-817" w:rightChars="-389" w:firstLine="3534" w:firstLineChars="1100"/>
        <w:contextualSpacing/>
        <w:rPr>
          <w:rFonts w:hint="eastAsia" w:ascii="宋体" w:hAnsi="宋体" w:cs="仿宋_GB2312"/>
          <w:color w:val="auto"/>
          <w:sz w:val="24"/>
          <w:highlight w:val="none"/>
        </w:rPr>
      </w:pPr>
      <w:r>
        <w:rPr>
          <w:rFonts w:hint="eastAsia" w:ascii="宋体" w:hAnsi="Courier New"/>
          <w:b/>
          <w:sz w:val="32"/>
          <w:szCs w:val="32"/>
        </w:rPr>
        <w:br w:type="page"/>
      </w:r>
    </w:p>
    <w:p w14:paraId="1BE269F9">
      <w:pPr>
        <w:spacing w:line="360" w:lineRule="auto"/>
        <w:ind w:right="420"/>
        <w:contextualSpacing/>
        <w:jc w:val="left"/>
        <w:rPr>
          <w:rFonts w:hint="eastAsia" w:ascii="宋体" w:hAnsi="宋体"/>
          <w:b/>
          <w:color w:val="auto"/>
          <w:sz w:val="32"/>
          <w:szCs w:val="32"/>
          <w:highlight w:val="none"/>
        </w:rPr>
      </w:pP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商务技术文件格式 </w:t>
      </w:r>
    </w:p>
    <w:p w14:paraId="7C73AB15">
      <w:pPr>
        <w:snapToGrid w:val="0"/>
        <w:spacing w:before="120"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1.商务技术文件封面格式</w:t>
      </w:r>
    </w:p>
    <w:p w14:paraId="0039FBFA">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7E238013">
      <w:pPr>
        <w:snapToGrid w:val="0"/>
        <w:spacing w:before="120" w:beforeLines="50" w:after="50"/>
        <w:rPr>
          <w:rFonts w:hint="eastAsia" w:ascii="宋体" w:hAnsi="宋体"/>
          <w:color w:val="auto"/>
          <w:sz w:val="24"/>
          <w:szCs w:val="20"/>
          <w:highlight w:val="none"/>
        </w:rPr>
      </w:pPr>
    </w:p>
    <w:p w14:paraId="5015B7CF">
      <w:pPr>
        <w:snapToGrid w:val="0"/>
        <w:spacing w:before="120" w:beforeLines="50" w:after="50"/>
        <w:rPr>
          <w:rFonts w:hint="eastAsia" w:ascii="宋体" w:hAnsi="宋体"/>
          <w:color w:val="auto"/>
          <w:sz w:val="24"/>
          <w:szCs w:val="20"/>
          <w:highlight w:val="none"/>
        </w:rPr>
      </w:pPr>
    </w:p>
    <w:p w14:paraId="7F32E982">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响  应  文  件</w:t>
      </w:r>
    </w:p>
    <w:p w14:paraId="042665F1">
      <w:pPr>
        <w:snapToGrid w:val="0"/>
        <w:spacing w:before="120" w:beforeLines="50" w:after="50"/>
        <w:rPr>
          <w:rFonts w:hint="eastAsia" w:ascii="宋体" w:hAnsi="宋体"/>
          <w:color w:val="auto"/>
          <w:sz w:val="24"/>
          <w:szCs w:val="20"/>
          <w:highlight w:val="none"/>
        </w:rPr>
      </w:pPr>
    </w:p>
    <w:p w14:paraId="5E9AD1AA">
      <w:pPr>
        <w:snapToGrid w:val="0"/>
        <w:spacing w:before="120" w:beforeLines="50" w:after="50"/>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报  价  商  务  技  术  文  件</w:t>
      </w:r>
    </w:p>
    <w:p w14:paraId="29DE164A">
      <w:pPr>
        <w:snapToGrid w:val="0"/>
        <w:spacing w:before="120" w:beforeLines="50" w:after="50"/>
        <w:rPr>
          <w:rFonts w:hint="eastAsia" w:ascii="宋体" w:hAnsi="宋体"/>
          <w:bCs/>
          <w:color w:val="auto"/>
          <w:sz w:val="24"/>
          <w:szCs w:val="20"/>
          <w:highlight w:val="none"/>
        </w:rPr>
      </w:pPr>
    </w:p>
    <w:p w14:paraId="36634DD6">
      <w:pPr>
        <w:snapToGrid w:val="0"/>
        <w:spacing w:before="120" w:beforeLines="50" w:after="50"/>
        <w:rPr>
          <w:rFonts w:hint="eastAsia" w:ascii="宋体" w:hAnsi="宋体"/>
          <w:bCs/>
          <w:color w:val="auto"/>
          <w:sz w:val="24"/>
          <w:szCs w:val="20"/>
          <w:highlight w:val="none"/>
        </w:rPr>
      </w:pPr>
    </w:p>
    <w:p w14:paraId="493EBFC3">
      <w:pPr>
        <w:snapToGrid w:val="0"/>
        <w:spacing w:before="120" w:beforeLines="50" w:after="50"/>
        <w:rPr>
          <w:rFonts w:hint="eastAsia" w:ascii="宋体" w:hAnsi="宋体"/>
          <w:bCs/>
          <w:color w:val="auto"/>
          <w:sz w:val="24"/>
          <w:szCs w:val="20"/>
          <w:highlight w:val="none"/>
        </w:rPr>
      </w:pPr>
    </w:p>
    <w:p w14:paraId="0AFC2D60">
      <w:pPr>
        <w:snapToGrid w:val="0"/>
        <w:spacing w:before="120" w:beforeLines="50" w:after="50"/>
        <w:rPr>
          <w:rFonts w:hint="eastAsia" w:ascii="宋体" w:hAnsi="宋体"/>
          <w:bCs/>
          <w:color w:val="auto"/>
          <w:sz w:val="24"/>
          <w:szCs w:val="20"/>
          <w:highlight w:val="none"/>
        </w:rPr>
      </w:pPr>
    </w:p>
    <w:p w14:paraId="05031B2F">
      <w:pPr>
        <w:snapToGrid w:val="0"/>
        <w:spacing w:before="120" w:beforeLines="50" w:after="50"/>
        <w:rPr>
          <w:rFonts w:hint="eastAsia" w:ascii="宋体" w:hAnsi="宋体"/>
          <w:bCs/>
          <w:color w:val="auto"/>
          <w:sz w:val="24"/>
          <w:szCs w:val="20"/>
          <w:highlight w:val="none"/>
        </w:rPr>
      </w:pPr>
    </w:p>
    <w:p w14:paraId="7124BA30">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35148E6A">
      <w:pPr>
        <w:snapToGrid w:val="0"/>
        <w:spacing w:before="120" w:beforeLines="50" w:after="50"/>
        <w:ind w:firstLine="720" w:firstLineChars="225"/>
        <w:rPr>
          <w:rFonts w:hint="eastAsia" w:ascii="宋体" w:hAnsi="宋体" w:cs="仿宋_GB2312"/>
          <w:bCs/>
          <w:color w:val="auto"/>
          <w:sz w:val="32"/>
          <w:szCs w:val="32"/>
          <w:highlight w:val="none"/>
        </w:rPr>
      </w:pPr>
    </w:p>
    <w:p w14:paraId="225D3D8D">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6F54993C">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14671B08">
      <w:pPr>
        <w:snapToGrid w:val="0"/>
        <w:spacing w:before="120" w:beforeLines="50" w:after="50"/>
        <w:ind w:firstLine="720" w:firstLineChars="225"/>
        <w:rPr>
          <w:rFonts w:hint="eastAsia" w:ascii="宋体" w:hAnsi="宋体" w:cs="仿宋_GB2312"/>
          <w:bCs/>
          <w:color w:val="auto"/>
          <w:sz w:val="32"/>
          <w:szCs w:val="32"/>
          <w:highlight w:val="none"/>
        </w:rPr>
      </w:pPr>
    </w:p>
    <w:p w14:paraId="3127EEA7">
      <w:pPr>
        <w:pStyle w:val="5"/>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0741A6C">
      <w:pPr>
        <w:pStyle w:val="5"/>
        <w:snapToGrid w:val="0"/>
        <w:spacing w:before="50" w:after="50"/>
        <w:ind w:firstLine="640" w:firstLineChars="200"/>
        <w:rPr>
          <w:rFonts w:hint="eastAsia" w:ascii="宋体" w:hAnsi="宋体" w:cs="仿宋_GB2312"/>
          <w:bCs/>
          <w:color w:val="auto"/>
          <w:sz w:val="32"/>
          <w:szCs w:val="32"/>
          <w:highlight w:val="none"/>
        </w:rPr>
      </w:pPr>
    </w:p>
    <w:p w14:paraId="09256F1A">
      <w:pPr>
        <w:pStyle w:val="5"/>
        <w:snapToGrid w:val="0"/>
        <w:spacing w:before="50" w:after="50"/>
        <w:ind w:firstLine="720" w:firstLineChars="225"/>
        <w:rPr>
          <w:rFonts w:hint="eastAsia" w:ascii="宋体" w:hAnsi="宋体" w:cs="仿宋_GB2312"/>
          <w:bCs/>
          <w:color w:val="auto"/>
          <w:sz w:val="32"/>
          <w:szCs w:val="32"/>
          <w:highlight w:val="none"/>
        </w:rPr>
      </w:pPr>
    </w:p>
    <w:p w14:paraId="2575D0D3">
      <w:pPr>
        <w:pStyle w:val="5"/>
        <w:snapToGrid w:val="0"/>
        <w:spacing w:before="50" w:after="50"/>
        <w:ind w:firstLine="0"/>
        <w:rPr>
          <w:rFonts w:hint="eastAsia" w:ascii="宋体" w:hAnsi="宋体" w:cs="仿宋_GB2312"/>
          <w:bCs/>
          <w:color w:val="auto"/>
          <w:sz w:val="32"/>
          <w:szCs w:val="32"/>
          <w:highlight w:val="none"/>
        </w:rPr>
      </w:pPr>
    </w:p>
    <w:p w14:paraId="52E2F5BD">
      <w:pPr>
        <w:pStyle w:val="5"/>
        <w:snapToGrid w:val="0"/>
        <w:spacing w:before="50" w:after="50"/>
        <w:ind w:firstLine="1280" w:firstLineChars="400"/>
        <w:rPr>
          <w:rFonts w:hint="eastAsia" w:ascii="宋体" w:hAnsi="宋体" w:cs="仿宋_GB2312"/>
          <w:bCs/>
          <w:color w:val="auto"/>
          <w:sz w:val="32"/>
          <w:szCs w:val="32"/>
          <w:highlight w:val="none"/>
        </w:rPr>
      </w:pPr>
    </w:p>
    <w:p w14:paraId="45D6F5FE">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1C76B5F6">
      <w:pPr>
        <w:snapToGrid w:val="0"/>
        <w:spacing w:before="120" w:beforeLines="50" w:after="50" w:line="360" w:lineRule="auto"/>
        <w:ind w:left="142"/>
        <w:jc w:val="left"/>
        <w:rPr>
          <w:rFonts w:hint="eastAsia"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1C16E275">
      <w:pPr>
        <w:snapToGrid w:val="0"/>
        <w:spacing w:before="120"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14:paraId="56E90E44">
      <w:pPr>
        <w:spacing w:line="400" w:lineRule="exact"/>
        <w:rPr>
          <w:rFonts w:hint="eastAsia" w:ascii="仿宋_GB2312" w:hAnsi="仿宋_GB2312" w:eastAsia="仿宋_GB2312" w:cs="仿宋_GB2312"/>
          <w:color w:val="auto"/>
          <w:sz w:val="32"/>
          <w:szCs w:val="32"/>
          <w:highlight w:val="none"/>
        </w:rPr>
      </w:pPr>
    </w:p>
    <w:p w14:paraId="2C248DD8">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31164E0A">
      <w:pPr>
        <w:spacing w:line="360" w:lineRule="auto"/>
        <w:ind w:firstLine="640" w:firstLineChars="200"/>
        <w:contextualSpacing/>
        <w:rPr>
          <w:rFonts w:hint="eastAsia" w:ascii="仿宋_GB2312" w:hAnsi="仿宋_GB2312" w:eastAsia="仿宋_GB2312" w:cs="仿宋_GB2312"/>
          <w:color w:val="auto"/>
          <w:sz w:val="32"/>
          <w:szCs w:val="32"/>
          <w:highlight w:val="none"/>
        </w:rPr>
      </w:pPr>
    </w:p>
    <w:p w14:paraId="24F7E871">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043F85EB">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1.不同供应商的响应文件由同一单位或者个人编制；</w:t>
      </w:r>
    </w:p>
    <w:p w14:paraId="216D131D">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690DE120">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3.不同的供应商的响应文件载明的项目管理员为同一个人；</w:t>
      </w:r>
    </w:p>
    <w:p w14:paraId="0F59D095">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1E9BF03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050FAB49">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6.不同供应商的竞标保证金从同一单位或者个人账户转出。</w:t>
      </w:r>
    </w:p>
    <w:p w14:paraId="50B19C29">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3A5164E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15E60863">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7DBF80C5">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596308F4">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7DCAAC02">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或者在竞争性谈判项目中事先约定轮流以高价位或者低价位成交</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或者事先约定由某一特定供应商成交</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然后再参加竞标；</w:t>
      </w:r>
    </w:p>
    <w:p w14:paraId="343FB329">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24C7E23B">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7BC3904B">
      <w:pPr>
        <w:spacing w:line="360" w:lineRule="auto"/>
        <w:ind w:firstLine="480" w:firstLineChars="200"/>
        <w:contextualSpacing/>
        <w:rPr>
          <w:rFonts w:hint="eastAsia" w:ascii="宋体" w:hAnsi="宋体" w:cs="仿宋_GB2312"/>
          <w:color w:val="auto"/>
          <w:sz w:val="24"/>
          <w:highlight w:val="none"/>
        </w:rPr>
      </w:pPr>
    </w:p>
    <w:p w14:paraId="1B60AFD3">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4790A36E">
      <w:pPr>
        <w:spacing w:line="360" w:lineRule="auto"/>
        <w:ind w:firstLine="480" w:firstLineChars="200"/>
        <w:contextualSpacing/>
        <w:rPr>
          <w:rFonts w:hint="eastAsia" w:ascii="宋体" w:hAnsi="宋体" w:cs="仿宋_GB2312"/>
          <w:color w:val="auto"/>
          <w:sz w:val="24"/>
          <w:highlight w:val="none"/>
        </w:rPr>
      </w:pPr>
    </w:p>
    <w:p w14:paraId="00995442">
      <w:pPr>
        <w:spacing w:line="360" w:lineRule="auto"/>
        <w:contextualSpacing/>
        <w:rPr>
          <w:rFonts w:hint="eastAsia" w:ascii="宋体" w:hAnsi="宋体" w:cs="仿宋_GB2312"/>
          <w:color w:val="auto"/>
          <w:sz w:val="24"/>
          <w:highlight w:val="none"/>
        </w:rPr>
      </w:pPr>
    </w:p>
    <w:p w14:paraId="7BE75CC7">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供应商（盖公章 ）：</w:t>
      </w:r>
    </w:p>
    <w:p w14:paraId="4B72DDB8">
      <w:pPr>
        <w:spacing w:line="360" w:lineRule="auto"/>
        <w:ind w:firstLine="480" w:firstLineChars="200"/>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 xml:space="preserve">                               年   月   日</w:t>
      </w:r>
    </w:p>
    <w:p w14:paraId="393B1C00">
      <w:pPr>
        <w:spacing w:line="360" w:lineRule="auto"/>
        <w:ind w:firstLine="640" w:firstLineChars="200"/>
        <w:contextualSpacing/>
        <w:jc w:val="center"/>
        <w:rPr>
          <w:rFonts w:hint="eastAsia" w:ascii="宋体" w:hAnsi="宋体" w:cs="仿宋_GB2312"/>
          <w:color w:val="auto"/>
          <w:sz w:val="32"/>
          <w:szCs w:val="32"/>
          <w:highlight w:val="none"/>
        </w:rPr>
      </w:pPr>
    </w:p>
    <w:p w14:paraId="07A0CD63">
      <w:pPr>
        <w:spacing w:before="240" w:beforeLines="100" w:after="120" w:afterLines="50" w:line="520" w:lineRule="exact"/>
        <w:ind w:left="540"/>
        <w:jc w:val="center"/>
        <w:rPr>
          <w:rFonts w:hint="eastAsia" w:ascii="仿宋_GB2312" w:hAnsi="仿宋_GB2312" w:eastAsia="仿宋_GB2312" w:cs="仿宋_GB2312"/>
          <w:color w:val="auto"/>
          <w:sz w:val="32"/>
          <w:szCs w:val="32"/>
          <w:highlight w:val="none"/>
        </w:rPr>
      </w:pPr>
      <w:r>
        <w:rPr>
          <w:rFonts w:hint="eastAsia" w:ascii="宋体" w:hAnsi="Courier New"/>
          <w:b/>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62868FB2">
      <w:pPr>
        <w:spacing w:line="360" w:lineRule="auto"/>
        <w:ind w:left="540"/>
        <w:contextualSpacing/>
        <w:rPr>
          <w:rFonts w:hint="eastAsia" w:ascii="仿宋_GB2312" w:hAnsi="仿宋_GB2312" w:eastAsia="仿宋_GB2312" w:cs="仿宋_GB2312"/>
          <w:color w:val="auto"/>
          <w:sz w:val="32"/>
          <w:szCs w:val="32"/>
          <w:highlight w:val="none"/>
        </w:rPr>
      </w:pPr>
    </w:p>
    <w:p w14:paraId="635DABE1">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2637C32D">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0C93FBD3">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0FF223C6">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7A038126">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0C288C31">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w:t>
      </w:r>
      <w:r>
        <w:rPr>
          <w:rFonts w:ascii="宋体" w:hAnsi="宋体" w:cs="仿宋_GB2312"/>
          <w:color w:val="auto"/>
          <w:sz w:val="24"/>
          <w:highlight w:val="none"/>
          <w:u w:val="single"/>
        </w:rPr>
        <w:t xml:space="preserve">   </w:t>
      </w:r>
      <w:r>
        <w:rPr>
          <w:rFonts w:hint="eastAsia" w:ascii="宋体" w:hAnsi="宋体" w:cs="仿宋_GB2312"/>
          <w:color w:val="auto"/>
          <w:sz w:val="24"/>
          <w:highlight w:val="none"/>
          <w:u w:val="single"/>
        </w:rPr>
        <w:t xml:space="preserve">（供应商名称） </w:t>
      </w:r>
      <w:r>
        <w:rPr>
          <w:rFonts w:ascii="宋体" w:hAnsi="宋体" w:cs="仿宋_GB2312"/>
          <w:color w:val="auto"/>
          <w:sz w:val="24"/>
          <w:highlight w:val="none"/>
          <w:u w:val="single"/>
        </w:rPr>
        <w:t xml:space="preserve">  </w:t>
      </w:r>
      <w:r>
        <w:rPr>
          <w:rFonts w:hint="eastAsia" w:ascii="宋体" w:hAnsi="宋体" w:cs="仿宋_GB2312"/>
          <w:color w:val="auto"/>
          <w:sz w:val="24"/>
          <w:highlight w:val="none"/>
        </w:rPr>
        <w:t>的法定代表人。</w:t>
      </w:r>
    </w:p>
    <w:p w14:paraId="671F23AA">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166F0E18">
      <w:pPr>
        <w:spacing w:line="360" w:lineRule="auto"/>
        <w:ind w:left="540"/>
        <w:contextualSpacing/>
        <w:rPr>
          <w:rFonts w:hint="eastAsia" w:ascii="宋体" w:hAnsi="宋体" w:cs="仿宋_GB2312"/>
          <w:color w:val="auto"/>
          <w:sz w:val="24"/>
          <w:highlight w:val="none"/>
        </w:rPr>
      </w:pPr>
    </w:p>
    <w:p w14:paraId="6D37FE10">
      <w:pPr>
        <w:spacing w:line="360" w:lineRule="auto"/>
        <w:ind w:left="540"/>
        <w:contextualSpacing/>
        <w:rPr>
          <w:rFonts w:hint="eastAsia" w:ascii="宋体" w:hAnsi="宋体" w:cs="仿宋_GB2312"/>
          <w:color w:val="auto"/>
          <w:sz w:val="24"/>
          <w:highlight w:val="none"/>
        </w:rPr>
      </w:pPr>
    </w:p>
    <w:p w14:paraId="3DAAAEB2">
      <w:pPr>
        <w:spacing w:line="360" w:lineRule="auto"/>
        <w:ind w:left="540"/>
        <w:contextualSpacing/>
        <w:rPr>
          <w:rFonts w:hint="eastAsia" w:ascii="宋体" w:hAnsi="宋体" w:cs="仿宋_GB2312"/>
          <w:color w:val="auto"/>
          <w:sz w:val="24"/>
          <w:highlight w:val="none"/>
        </w:rPr>
      </w:pPr>
    </w:p>
    <w:p w14:paraId="516F2A91">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4B9E3E19">
      <w:pPr>
        <w:spacing w:line="360" w:lineRule="auto"/>
        <w:ind w:left="540"/>
        <w:contextualSpacing/>
        <w:rPr>
          <w:rFonts w:hint="eastAsia" w:ascii="宋体" w:hAnsi="宋体" w:cs="仿宋_GB2312"/>
          <w:color w:val="auto"/>
          <w:sz w:val="24"/>
          <w:highlight w:val="none"/>
        </w:rPr>
      </w:pPr>
    </w:p>
    <w:p w14:paraId="470D8B52">
      <w:pPr>
        <w:spacing w:line="360" w:lineRule="auto"/>
        <w:ind w:left="540"/>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供应商（盖公章）：</w:t>
      </w:r>
      <w:r>
        <w:rPr>
          <w:rFonts w:hint="eastAsia" w:ascii="宋体" w:hAnsi="宋体" w:cs="仿宋_GB2312"/>
          <w:color w:val="auto"/>
          <w:sz w:val="24"/>
          <w:highlight w:val="none"/>
          <w:u w:val="single"/>
        </w:rPr>
        <w:t xml:space="preserve">               </w:t>
      </w:r>
    </w:p>
    <w:p w14:paraId="16411901">
      <w:pPr>
        <w:spacing w:line="360" w:lineRule="auto"/>
        <w:ind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7C38C719">
      <w:pPr>
        <w:spacing w:line="360" w:lineRule="auto"/>
        <w:contextualSpacing/>
        <w:jc w:val="center"/>
        <w:rPr>
          <w:rFonts w:hint="eastAsia" w:ascii="宋体" w:hAnsi="宋体" w:cs="仿宋_GB2312"/>
          <w:b/>
          <w:color w:val="auto"/>
          <w:sz w:val="24"/>
          <w:highlight w:val="none"/>
        </w:rPr>
      </w:pPr>
    </w:p>
    <w:p w14:paraId="0CF0B7F9">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注：自然人竞标的无需提供。</w:t>
      </w:r>
    </w:p>
    <w:p w14:paraId="601F4396">
      <w:pPr>
        <w:adjustRightInd w:val="0"/>
        <w:snapToGrid w:val="0"/>
        <w:spacing w:line="300" w:lineRule="auto"/>
        <w:jc w:val="left"/>
        <w:rPr>
          <w:rFonts w:hint="eastAsia" w:ascii="宋体" w:hAnsi="宋体"/>
          <w:b/>
          <w:color w:val="auto"/>
          <w:szCs w:val="21"/>
          <w:highlight w:val="none"/>
        </w:rPr>
      </w:pPr>
    </w:p>
    <w:p w14:paraId="39F7F329">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14:paraId="74C50B99">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14:paraId="50B01A09">
      <w:pPr>
        <w:spacing w:line="360" w:lineRule="auto"/>
        <w:contextualSpacing/>
        <w:rPr>
          <w:rFonts w:hint="eastAsia" w:ascii="仿宋_GB2312" w:hAnsi="仿宋_GB2312" w:eastAsia="仿宋_GB2312" w:cs="仿宋_GB2312"/>
          <w:color w:val="auto"/>
          <w:sz w:val="32"/>
          <w:szCs w:val="32"/>
          <w:highlight w:val="none"/>
        </w:rPr>
      </w:pPr>
    </w:p>
    <w:p w14:paraId="30BED233">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11828DF8">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sym w:font="Wingdings 2" w:char="00A3"/>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6B2983B9">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我方对委托代理人的签字事项负全部责任。</w:t>
      </w:r>
    </w:p>
    <w:p w14:paraId="3F0EB103">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2221FBE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7CD15808">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56C3AC1E">
      <w:pPr>
        <w:spacing w:line="360" w:lineRule="auto"/>
        <w:contextualSpacing/>
        <w:rPr>
          <w:rFonts w:hint="eastAsia" w:ascii="宋体" w:hAnsi="宋体" w:cs="仿宋_GB2312"/>
          <w:color w:val="auto"/>
          <w:sz w:val="24"/>
          <w:highlight w:val="none"/>
        </w:rPr>
      </w:pPr>
    </w:p>
    <w:p w14:paraId="1A31A36E">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委托代理人（签字）：         法定代表人（签字或者盖章）：                    </w:t>
      </w:r>
    </w:p>
    <w:p w14:paraId="0DED1BDC">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45733A73">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5CBF59D3">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供应商（盖公章）：                      </w:t>
      </w:r>
    </w:p>
    <w:p w14:paraId="66E28C8D">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年    月    日</w:t>
      </w:r>
    </w:p>
    <w:p w14:paraId="323378BD">
      <w:pPr>
        <w:spacing w:line="360" w:lineRule="auto"/>
        <w:contextualSpacing/>
        <w:rPr>
          <w:rFonts w:hint="eastAsia" w:ascii="宋体" w:hAnsi="宋体" w:cs="仿宋_GB2312"/>
          <w:color w:val="auto"/>
          <w:sz w:val="24"/>
          <w:highlight w:val="none"/>
        </w:rPr>
      </w:pPr>
    </w:p>
    <w:p w14:paraId="6000AC01">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法定代表人必须在授权委托书上亲笔签字或者盖章，委托代理人必须在授权委托书上亲笔签字，</w:t>
      </w:r>
      <w:r>
        <w:rPr>
          <w:rFonts w:hint="eastAsia" w:ascii="宋体" w:hAnsi="宋体" w:cs="仿宋_GB2312"/>
          <w:b/>
          <w:color w:val="auto"/>
          <w:sz w:val="24"/>
          <w:highlight w:val="none"/>
        </w:rPr>
        <w:t>否则其响应文件按无效响应处理。</w:t>
      </w:r>
    </w:p>
    <w:p w14:paraId="0CCCEB6A">
      <w:pPr>
        <w:spacing w:line="360" w:lineRule="auto"/>
        <w:ind w:firstLine="480" w:firstLineChars="200"/>
        <w:contextualSpacing/>
        <w:jc w:val="left"/>
        <w:rPr>
          <w:rFonts w:hint="eastAsia" w:ascii="宋体" w:hAns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法人、其他组织竞标时“我方”是指“我单位”，自然人竞标时“我方”是指“本人”。</w:t>
      </w:r>
    </w:p>
    <w:p w14:paraId="67E1FEB4">
      <w:pPr>
        <w:spacing w:line="360" w:lineRule="auto"/>
        <w:ind w:firstLine="420" w:firstLineChars="200"/>
        <w:contextualSpacing/>
        <w:jc w:val="left"/>
        <w:rPr>
          <w:rFonts w:hint="eastAsia" w:ascii="仿宋_GB2312" w:hAnsi="仿宋_GB2312" w:eastAsia="仿宋_GB2312" w:cs="仿宋_GB2312"/>
          <w:color w:val="auto"/>
          <w:szCs w:val="21"/>
          <w:highlight w:val="none"/>
        </w:rPr>
      </w:pPr>
    </w:p>
    <w:p w14:paraId="7BADF678">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bCs/>
          <w:color w:val="auto"/>
          <w:sz w:val="44"/>
          <w:szCs w:val="44"/>
          <w:highlight w:val="none"/>
        </w:rPr>
        <w:t>商务要求偏离表格式</w:t>
      </w:r>
    </w:p>
    <w:p w14:paraId="3103001A">
      <w:pPr>
        <w:snapToGrid w:val="0"/>
        <w:spacing w:before="50"/>
        <w:jc w:val="left"/>
        <w:rPr>
          <w:rFonts w:hint="eastAsia" w:ascii="宋体" w:hAnsi="宋体"/>
          <w:color w:val="auto"/>
          <w:sz w:val="24"/>
          <w:highlight w:val="none"/>
        </w:rPr>
      </w:pPr>
    </w:p>
    <w:p w14:paraId="3D5A16BA">
      <w:pPr>
        <w:pStyle w:val="13"/>
        <w:spacing w:line="360" w:lineRule="auto"/>
        <w:rPr>
          <w:rFonts w:hint="eastAsia" w:hAnsi="宋体" w:cs="仿宋_GB2312"/>
          <w:color w:val="auto"/>
          <w:sz w:val="24"/>
          <w:szCs w:val="24"/>
          <w:highlight w:val="none"/>
        </w:rPr>
      </w:pPr>
      <w:r>
        <w:rPr>
          <w:rFonts w:hint="eastAsia" w:hAnsi="宋体" w:cs="仿宋_GB2312"/>
          <w:color w:val="auto"/>
          <w:sz w:val="24"/>
          <w:szCs w:val="24"/>
          <w:highlight w:val="none"/>
        </w:rPr>
        <w:t>所竞分标：</w:t>
      </w:r>
      <w:r>
        <w:rPr>
          <w:rFonts w:hint="eastAsia" w:hAnsi="宋体" w:cs="仿宋_GB2312"/>
          <w:color w:val="auto"/>
          <w:sz w:val="24"/>
          <w:szCs w:val="24"/>
          <w:highlight w:val="none"/>
          <w:u w:val="single"/>
        </w:rPr>
        <w:t xml:space="preserve">              </w:t>
      </w:r>
    </w:p>
    <w:tbl>
      <w:tblPr>
        <w:tblStyle w:val="18"/>
        <w:tblpPr w:leftFromText="180" w:rightFromText="180" w:vertAnchor="text" w:horzAnchor="margin" w:tblpY="311"/>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14:paraId="000A1C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5B256E5E">
            <w:pPr>
              <w:snapToGrid w:val="0"/>
              <w:spacing w:before="120" w:beforeLines="50"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18123F36">
            <w:pPr>
              <w:snapToGrid w:val="0"/>
              <w:spacing w:before="120" w:beforeLines="50"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谈判文件商务要求</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6789EA43">
            <w:pPr>
              <w:snapToGrid w:val="0"/>
              <w:spacing w:before="120" w:beforeLines="50"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供应商的响应</w:t>
            </w:r>
          </w:p>
        </w:tc>
        <w:tc>
          <w:tcPr>
            <w:tcW w:w="1829" w:type="dxa"/>
            <w:tcBorders>
              <w:top w:val="single" w:color="auto" w:sz="4" w:space="0"/>
              <w:left w:val="single" w:color="auto" w:sz="4" w:space="0"/>
              <w:bottom w:val="single" w:color="auto" w:sz="4" w:space="0"/>
              <w:right w:val="single" w:color="auto" w:sz="4" w:space="0"/>
            </w:tcBorders>
            <w:noWrap w:val="0"/>
            <w:vAlign w:val="center"/>
          </w:tcPr>
          <w:p w14:paraId="698C903E">
            <w:pPr>
              <w:snapToGrid w:val="0"/>
              <w:spacing w:before="120" w:beforeLines="50"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偏离说明</w:t>
            </w:r>
          </w:p>
        </w:tc>
      </w:tr>
      <w:tr w14:paraId="02CB5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5FE6D97E">
            <w:pPr>
              <w:jc w:val="center"/>
              <w:rPr>
                <w:rFonts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4E86E532">
            <w:pPr>
              <w:jc w:val="center"/>
              <w:rPr>
                <w:rFonts w:ascii="宋体" w:hAnsi="宋体"/>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30186BF3">
            <w:pPr>
              <w:snapToGrid w:val="0"/>
              <w:spacing w:before="120" w:beforeLines="50" w:line="360" w:lineRule="auto"/>
              <w:jc w:val="center"/>
              <w:rPr>
                <w:rFonts w:hint="eastAsia" w:ascii="宋体" w:hAnsi="宋体" w:cs="仿宋_GB2312"/>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63A57510">
            <w:pPr>
              <w:snapToGrid w:val="0"/>
              <w:spacing w:before="120" w:beforeLines="50" w:line="360" w:lineRule="auto"/>
              <w:jc w:val="center"/>
              <w:rPr>
                <w:rFonts w:hint="eastAsia" w:ascii="宋体" w:hAnsi="宋体" w:cs="仿宋_GB2312"/>
                <w:color w:val="auto"/>
                <w:sz w:val="24"/>
                <w:highlight w:val="none"/>
              </w:rPr>
            </w:pPr>
          </w:p>
        </w:tc>
      </w:tr>
      <w:tr w14:paraId="54A02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37E6EF99">
            <w:pPr>
              <w:jc w:val="center"/>
              <w:rPr>
                <w:rFonts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0A0992D3">
            <w:pPr>
              <w:jc w:val="center"/>
              <w:rPr>
                <w:rFonts w:ascii="宋体" w:hAnsi="宋体"/>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6CD34D1D">
            <w:pPr>
              <w:snapToGrid w:val="0"/>
              <w:spacing w:before="120" w:beforeLines="50" w:line="360" w:lineRule="auto"/>
              <w:ind w:left="43"/>
              <w:jc w:val="center"/>
              <w:rPr>
                <w:rFonts w:hint="eastAsia" w:ascii="宋体" w:hAnsi="宋体" w:cs="仿宋_GB2312"/>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11922745">
            <w:pPr>
              <w:snapToGrid w:val="0"/>
              <w:spacing w:before="120" w:beforeLines="50" w:line="360" w:lineRule="auto"/>
              <w:ind w:left="43"/>
              <w:jc w:val="center"/>
              <w:rPr>
                <w:rFonts w:hint="eastAsia" w:ascii="宋体" w:hAnsi="宋体" w:cs="仿宋_GB2312"/>
                <w:color w:val="auto"/>
                <w:sz w:val="24"/>
                <w:highlight w:val="none"/>
              </w:rPr>
            </w:pPr>
          </w:p>
        </w:tc>
      </w:tr>
      <w:tr w14:paraId="0AF27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4AEE2187">
            <w:pPr>
              <w:snapToGrid w:val="0"/>
              <w:spacing w:before="120" w:beforeLines="50"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68BE145B">
            <w:pPr>
              <w:snapToGrid w:val="0"/>
              <w:spacing w:before="120" w:beforeLines="50" w:line="360" w:lineRule="auto"/>
              <w:jc w:val="center"/>
              <w:rPr>
                <w:rFonts w:hint="eastAsia" w:ascii="宋体" w:hAnsi="宋体" w:cs="仿宋_GB2312"/>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14802C88">
            <w:pPr>
              <w:snapToGrid w:val="0"/>
              <w:spacing w:before="120" w:beforeLines="50" w:line="360" w:lineRule="auto"/>
              <w:jc w:val="center"/>
              <w:rPr>
                <w:rFonts w:hint="eastAsia" w:ascii="宋体" w:hAnsi="宋体" w:cs="仿宋_GB2312"/>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3390F294">
            <w:pPr>
              <w:snapToGrid w:val="0"/>
              <w:spacing w:before="120" w:beforeLines="50" w:line="360" w:lineRule="auto"/>
              <w:jc w:val="center"/>
              <w:rPr>
                <w:rFonts w:hint="eastAsia" w:ascii="宋体" w:hAnsi="宋体" w:cs="仿宋_GB2312"/>
                <w:color w:val="auto"/>
                <w:sz w:val="24"/>
                <w:highlight w:val="none"/>
              </w:rPr>
            </w:pPr>
          </w:p>
        </w:tc>
      </w:tr>
    </w:tbl>
    <w:p w14:paraId="61CFDEED">
      <w:pPr>
        <w:pStyle w:val="8"/>
        <w:spacing w:after="0" w:line="360" w:lineRule="auto"/>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注：</w:t>
      </w:r>
    </w:p>
    <w:p w14:paraId="63E2DBFF">
      <w:pPr>
        <w:pStyle w:val="8"/>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1. 说明：应对照谈判文件“第三章 采购需求”中的商务要求逐条明确响应，并作出偏离说明。</w:t>
      </w:r>
    </w:p>
    <w:p w14:paraId="172FE45E">
      <w:pPr>
        <w:spacing w:line="360" w:lineRule="auto"/>
        <w:contextualSpacing/>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2.供应商应根据自身的承诺，对照谈判文件要求在“偏离说明”中注明“正偏离”、“负偏离”或者“无偏离”。既不属于“正偏离”也不属于“负偏离”即为“无偏离”。</w:t>
      </w:r>
    </w:p>
    <w:p w14:paraId="64851D3F">
      <w:pPr>
        <w:pStyle w:val="8"/>
        <w:spacing w:after="0" w:line="360" w:lineRule="auto"/>
        <w:contextualSpacing/>
        <w:rPr>
          <w:rFonts w:hint="eastAsia" w:ascii="宋体" w:hAnsi="宋体"/>
          <w:color w:val="auto"/>
          <w:kern w:val="0"/>
          <w:sz w:val="24"/>
          <w:szCs w:val="24"/>
          <w:highlight w:val="none"/>
        </w:rPr>
      </w:pPr>
    </w:p>
    <w:p w14:paraId="61E1C710">
      <w:pPr>
        <w:spacing w:line="360" w:lineRule="auto"/>
        <w:contextualSpacing/>
        <w:jc w:val="left"/>
        <w:rPr>
          <w:rFonts w:hint="eastAsia" w:ascii="宋体" w:hAnsi="宋体" w:cs="仿宋_GB2312"/>
          <w:color w:val="auto"/>
          <w:sz w:val="24"/>
          <w:highlight w:val="none"/>
          <w:u w:val="single"/>
        </w:rPr>
      </w:pPr>
    </w:p>
    <w:p w14:paraId="5B6FE61E">
      <w:pPr>
        <w:spacing w:line="360" w:lineRule="auto"/>
        <w:contextualSpacing/>
        <w:jc w:val="left"/>
        <w:rPr>
          <w:rFonts w:hint="eastAsia" w:ascii="宋体" w:hAnsi="宋体" w:cs="仿宋_GB2312"/>
          <w:color w:val="auto"/>
          <w:sz w:val="24"/>
          <w:highlight w:val="none"/>
          <w:u w:val="single"/>
        </w:rPr>
      </w:pPr>
    </w:p>
    <w:p w14:paraId="58A984ED">
      <w:pPr>
        <w:spacing w:line="360" w:lineRule="auto"/>
        <w:ind w:right="-817" w:rightChars="-389"/>
        <w:contextualSpacing/>
        <w:rPr>
          <w:rFonts w:hint="eastAsia" w:ascii="宋体" w:hAnsi="宋体" w:cs="仿宋_GB2312"/>
          <w:color w:val="auto"/>
          <w:sz w:val="24"/>
          <w:highlight w:val="none"/>
        </w:rPr>
      </w:pPr>
    </w:p>
    <w:p w14:paraId="37EBFDAA">
      <w:pPr>
        <w:spacing w:line="360" w:lineRule="auto"/>
        <w:ind w:right="-817" w:rightChars="-389"/>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法定代表人或者委托代理人（签字）：</w:t>
      </w:r>
    </w:p>
    <w:p w14:paraId="1433C2D0">
      <w:pPr>
        <w:spacing w:line="360" w:lineRule="auto"/>
        <w:ind w:right="-817" w:rightChars="-389" w:firstLine="2880" w:firstLineChars="1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供应商（盖公章）：      </w:t>
      </w:r>
    </w:p>
    <w:p w14:paraId="125B5112">
      <w:pPr>
        <w:spacing w:line="360" w:lineRule="auto"/>
        <w:ind w:right="-817" w:rightChars="-389" w:firstLine="2880" w:firstLineChars="12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25868B6C">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auto"/>
          <w:sz w:val="44"/>
          <w:szCs w:val="44"/>
          <w:highlight w:val="none"/>
        </w:rPr>
      </w:pPr>
    </w:p>
    <w:p w14:paraId="0F590DFA">
      <w:pPr>
        <w:adjustRightInd w:val="0"/>
        <w:snapToGrid w:val="0"/>
        <w:spacing w:line="520" w:lineRule="exact"/>
        <w:jc w:val="center"/>
        <w:rPr>
          <w:rFonts w:hint="eastAsia" w:ascii="宋体" w:hAnsi="宋体"/>
          <w:b/>
          <w:color w:val="auto"/>
          <w:sz w:val="32"/>
          <w:szCs w:val="32"/>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lang w:val="en-US" w:eastAsia="zh-CN"/>
        </w:rPr>
        <w:t>药品</w:t>
      </w:r>
      <w:r>
        <w:rPr>
          <w:rFonts w:hint="eastAsia" w:ascii="方正小标宋简体" w:hAnsi="方正小标宋简体" w:eastAsia="方正小标宋简体" w:cs="方正小标宋简体"/>
          <w:bCs/>
          <w:color w:val="auto"/>
          <w:sz w:val="44"/>
          <w:szCs w:val="44"/>
          <w:highlight w:val="none"/>
        </w:rPr>
        <w:t>配置清单</w:t>
      </w:r>
    </w:p>
    <w:p w14:paraId="12FCF1BA">
      <w:pPr>
        <w:spacing w:line="300" w:lineRule="auto"/>
        <w:rPr>
          <w:rFonts w:hint="eastAsia" w:ascii="宋体" w:hAnsi="宋体"/>
          <w:color w:val="auto"/>
          <w:szCs w:val="21"/>
          <w:highlight w:val="none"/>
        </w:rPr>
      </w:pPr>
    </w:p>
    <w:p w14:paraId="68371BFE">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6C31D840">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39694ABF">
      <w:pPr>
        <w:spacing w:line="360" w:lineRule="auto"/>
        <w:rPr>
          <w:rFonts w:hint="eastAsia" w:ascii="宋体" w:hAnsi="宋体" w:cs="仿宋_GB2312"/>
          <w:color w:val="auto"/>
          <w:sz w:val="24"/>
          <w:highlight w:val="none"/>
          <w:u w:val="single"/>
        </w:rPr>
      </w:pPr>
      <w:r>
        <w:rPr>
          <w:rFonts w:hint="eastAsia" w:ascii="宋体" w:hAnsi="宋体" w:cs="仿宋_GB2312"/>
          <w:color w:val="auto"/>
          <w:sz w:val="24"/>
          <w:highlight w:val="none"/>
        </w:rPr>
        <w:t>所竞分标：</w:t>
      </w:r>
      <w:r>
        <w:rPr>
          <w:rFonts w:hint="eastAsia" w:ascii="宋体" w:hAnsi="宋体" w:cs="仿宋_GB2312"/>
          <w:color w:val="auto"/>
          <w:sz w:val="24"/>
          <w:highlight w:val="none"/>
          <w:u w:val="single"/>
        </w:rPr>
        <w:t xml:space="preserve">                 </w:t>
      </w:r>
    </w:p>
    <w:tbl>
      <w:tblPr>
        <w:tblStyle w:val="1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9"/>
        <w:gridCol w:w="1245"/>
        <w:gridCol w:w="803"/>
        <w:gridCol w:w="895"/>
        <w:gridCol w:w="1786"/>
        <w:gridCol w:w="1245"/>
        <w:gridCol w:w="737"/>
        <w:gridCol w:w="1496"/>
      </w:tblGrid>
      <w:tr w14:paraId="64B34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30071390">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序号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1EE4C107">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lang w:val="en-US" w:eastAsia="zh-CN"/>
              </w:rPr>
              <w:t>药品</w:t>
            </w:r>
            <w:r>
              <w:rPr>
                <w:rFonts w:hint="eastAsia" w:ascii="宋体" w:hAnsi="宋体"/>
                <w:color w:val="auto"/>
                <w:sz w:val="24"/>
                <w:highlight w:val="none"/>
              </w:rPr>
              <w:t>名称</w:t>
            </w:r>
          </w:p>
        </w:tc>
        <w:tc>
          <w:tcPr>
            <w:tcW w:w="449" w:type="pct"/>
            <w:tcBorders>
              <w:top w:val="single" w:color="auto" w:sz="4" w:space="0"/>
              <w:left w:val="single" w:color="auto" w:sz="4" w:space="0"/>
              <w:bottom w:val="single" w:color="auto" w:sz="4" w:space="0"/>
              <w:right w:val="single" w:color="auto" w:sz="4" w:space="0"/>
            </w:tcBorders>
            <w:noWrap w:val="0"/>
            <w:vAlign w:val="center"/>
          </w:tcPr>
          <w:p w14:paraId="00044015">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数量及单位</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3862B804">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品牌</w:t>
            </w:r>
          </w:p>
        </w:tc>
        <w:tc>
          <w:tcPr>
            <w:tcW w:w="998" w:type="pct"/>
            <w:tcBorders>
              <w:top w:val="single" w:color="auto" w:sz="4" w:space="0"/>
              <w:left w:val="single" w:color="auto" w:sz="4" w:space="0"/>
              <w:bottom w:val="single" w:color="auto" w:sz="4" w:space="0"/>
              <w:right w:val="single" w:color="auto" w:sz="4" w:space="0"/>
            </w:tcBorders>
            <w:noWrap w:val="0"/>
            <w:vAlign w:val="top"/>
          </w:tcPr>
          <w:p w14:paraId="20DF3D16">
            <w:pPr>
              <w:snapToGrid w:val="0"/>
              <w:spacing w:before="50" w:after="50"/>
              <w:jc w:val="center"/>
              <w:rPr>
                <w:rFonts w:ascii="宋体" w:hAnsi="宋体"/>
                <w:color w:val="auto"/>
                <w:sz w:val="24"/>
                <w:highlight w:val="none"/>
              </w:rPr>
            </w:pPr>
          </w:p>
          <w:p w14:paraId="3AA177C0">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规格型号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71C9E717">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435CF08E">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原产地</w:t>
            </w:r>
          </w:p>
        </w:tc>
        <w:tc>
          <w:tcPr>
            <w:tcW w:w="836" w:type="pct"/>
            <w:tcBorders>
              <w:top w:val="single" w:color="auto" w:sz="4" w:space="0"/>
              <w:left w:val="single" w:color="auto" w:sz="4" w:space="0"/>
              <w:bottom w:val="single" w:color="auto" w:sz="4" w:space="0"/>
              <w:right w:val="single" w:color="auto" w:sz="4" w:space="0"/>
            </w:tcBorders>
            <w:noWrap w:val="0"/>
            <w:vAlign w:val="center"/>
          </w:tcPr>
          <w:p w14:paraId="3E72BB61">
            <w:pPr>
              <w:snapToGrid w:val="0"/>
              <w:spacing w:before="50" w:after="5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药品功能</w:t>
            </w:r>
          </w:p>
        </w:tc>
      </w:tr>
      <w:tr w14:paraId="75814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633A74B2">
            <w:pPr>
              <w:snapToGrid w:val="0"/>
              <w:spacing w:before="50" w:after="50"/>
              <w:jc w:val="center"/>
              <w:rPr>
                <w:rFonts w:hint="eastAsia"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513D835E">
            <w:pPr>
              <w:snapToGrid w:val="0"/>
              <w:spacing w:before="50" w:after="50"/>
              <w:jc w:val="center"/>
              <w:rPr>
                <w:rFonts w:hint="eastAsia" w:ascii="宋体" w:hAnsi="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04F378D6">
            <w:pPr>
              <w:snapToGrid w:val="0"/>
              <w:spacing w:before="50" w:after="50"/>
              <w:jc w:val="center"/>
              <w:rPr>
                <w:rFonts w:hint="eastAsia" w:ascii="宋体" w:hAnsi="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1632BE1A">
            <w:pPr>
              <w:snapToGrid w:val="0"/>
              <w:spacing w:before="50" w:after="50"/>
              <w:jc w:val="center"/>
              <w:rPr>
                <w:rFonts w:hint="eastAsia" w:ascii="宋体" w:hAnsi="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32C6D22A">
            <w:pPr>
              <w:snapToGrid w:val="0"/>
              <w:spacing w:before="50" w:after="50"/>
              <w:jc w:val="center"/>
              <w:rPr>
                <w:rFonts w:hint="eastAsia"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223A5D13">
            <w:pPr>
              <w:snapToGrid w:val="0"/>
              <w:spacing w:before="50" w:after="50"/>
              <w:jc w:val="center"/>
              <w:rPr>
                <w:rFonts w:hint="eastAsia"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3CE9F35B">
            <w:pPr>
              <w:snapToGrid w:val="0"/>
              <w:spacing w:before="50" w:after="50"/>
              <w:jc w:val="center"/>
              <w:rPr>
                <w:rFonts w:hint="eastAsia"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6DF7229E">
            <w:pPr>
              <w:snapToGrid w:val="0"/>
              <w:spacing w:before="50" w:after="50"/>
              <w:jc w:val="center"/>
              <w:rPr>
                <w:rFonts w:hint="eastAsia" w:ascii="宋体" w:hAnsi="宋体"/>
                <w:color w:val="auto"/>
                <w:sz w:val="24"/>
                <w:highlight w:val="none"/>
              </w:rPr>
            </w:pPr>
          </w:p>
        </w:tc>
      </w:tr>
      <w:tr w14:paraId="1A576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5809A560">
            <w:pPr>
              <w:snapToGrid w:val="0"/>
              <w:spacing w:before="50" w:after="50"/>
              <w:jc w:val="center"/>
              <w:rPr>
                <w:rFonts w:hint="eastAsia"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73560DFB">
            <w:pPr>
              <w:snapToGrid w:val="0"/>
              <w:spacing w:before="50" w:after="50"/>
              <w:jc w:val="center"/>
              <w:rPr>
                <w:rFonts w:hint="eastAsia" w:ascii="宋体" w:hAnsi="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3F604CFE">
            <w:pPr>
              <w:snapToGrid w:val="0"/>
              <w:spacing w:before="50" w:after="50"/>
              <w:jc w:val="center"/>
              <w:rPr>
                <w:rFonts w:hint="eastAsia" w:ascii="宋体" w:hAnsi="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443807C4">
            <w:pPr>
              <w:snapToGrid w:val="0"/>
              <w:spacing w:before="50" w:after="50"/>
              <w:jc w:val="center"/>
              <w:rPr>
                <w:rFonts w:hint="eastAsia" w:ascii="宋体" w:hAnsi="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57F44F98">
            <w:pPr>
              <w:snapToGrid w:val="0"/>
              <w:spacing w:before="50" w:after="50"/>
              <w:jc w:val="center"/>
              <w:rPr>
                <w:rFonts w:hint="eastAsia"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045474FC">
            <w:pPr>
              <w:snapToGrid w:val="0"/>
              <w:spacing w:before="50" w:after="50"/>
              <w:jc w:val="center"/>
              <w:rPr>
                <w:rFonts w:hint="eastAsia"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2273312C">
            <w:pPr>
              <w:snapToGrid w:val="0"/>
              <w:spacing w:before="50" w:after="50"/>
              <w:jc w:val="center"/>
              <w:rPr>
                <w:rFonts w:hint="eastAsia"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7F470CFA">
            <w:pPr>
              <w:snapToGrid w:val="0"/>
              <w:spacing w:before="50" w:after="50"/>
              <w:jc w:val="center"/>
              <w:rPr>
                <w:rFonts w:hint="eastAsia" w:ascii="宋体" w:hAnsi="宋体"/>
                <w:color w:val="auto"/>
                <w:sz w:val="24"/>
                <w:highlight w:val="none"/>
              </w:rPr>
            </w:pPr>
          </w:p>
        </w:tc>
      </w:tr>
      <w:tr w14:paraId="1D0A8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137DBBAC">
            <w:pPr>
              <w:snapToGrid w:val="0"/>
              <w:spacing w:before="50" w:after="50"/>
              <w:jc w:val="center"/>
              <w:rPr>
                <w:rFonts w:hint="eastAsia"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2513D4DB">
            <w:pPr>
              <w:snapToGrid w:val="0"/>
              <w:spacing w:before="50" w:after="50"/>
              <w:jc w:val="center"/>
              <w:rPr>
                <w:rFonts w:hint="eastAsia" w:ascii="宋体" w:hAnsi="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725F243F">
            <w:pPr>
              <w:snapToGrid w:val="0"/>
              <w:spacing w:before="50" w:after="50"/>
              <w:jc w:val="center"/>
              <w:rPr>
                <w:rFonts w:hint="eastAsia" w:ascii="宋体" w:hAnsi="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4395C469">
            <w:pPr>
              <w:snapToGrid w:val="0"/>
              <w:spacing w:before="50" w:after="50"/>
              <w:jc w:val="center"/>
              <w:rPr>
                <w:rFonts w:hint="eastAsia" w:ascii="宋体" w:hAnsi="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62C3018E">
            <w:pPr>
              <w:snapToGrid w:val="0"/>
              <w:spacing w:before="50" w:after="50"/>
              <w:jc w:val="center"/>
              <w:rPr>
                <w:rFonts w:hint="eastAsia"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3A876FD1">
            <w:pPr>
              <w:snapToGrid w:val="0"/>
              <w:spacing w:before="50" w:after="50"/>
              <w:jc w:val="center"/>
              <w:rPr>
                <w:rFonts w:hint="eastAsia"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7CB1CF45">
            <w:pPr>
              <w:snapToGrid w:val="0"/>
              <w:spacing w:before="50" w:after="50"/>
              <w:jc w:val="center"/>
              <w:rPr>
                <w:rFonts w:hint="eastAsia"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3C43952D">
            <w:pPr>
              <w:snapToGrid w:val="0"/>
              <w:spacing w:before="50" w:after="50"/>
              <w:jc w:val="center"/>
              <w:rPr>
                <w:rFonts w:hint="eastAsia" w:ascii="宋体" w:hAnsi="宋体"/>
                <w:color w:val="auto"/>
                <w:sz w:val="24"/>
                <w:highlight w:val="none"/>
              </w:rPr>
            </w:pPr>
          </w:p>
        </w:tc>
      </w:tr>
    </w:tbl>
    <w:p w14:paraId="71C610E0">
      <w:pPr>
        <w:spacing w:line="360" w:lineRule="auto"/>
        <w:contextualSpacing/>
        <w:rPr>
          <w:rFonts w:hint="eastAsia" w:ascii="宋体" w:hAnsi="宋体"/>
          <w:color w:val="auto"/>
          <w:sz w:val="24"/>
          <w:highlight w:val="none"/>
        </w:rPr>
      </w:pPr>
      <w:r>
        <w:rPr>
          <w:rFonts w:hint="eastAsia" w:ascii="宋体" w:hAnsi="宋体"/>
          <w:color w:val="auto"/>
          <w:sz w:val="24"/>
          <w:highlight w:val="none"/>
        </w:rPr>
        <w:t>备注：</w:t>
      </w:r>
    </w:p>
    <w:p w14:paraId="65D8E998">
      <w:pPr>
        <w:tabs>
          <w:tab w:val="left" w:pos="1065"/>
        </w:tabs>
        <w:adjustRightInd w:val="0"/>
        <w:spacing w:line="360" w:lineRule="auto"/>
        <w:contextualSpacing/>
        <w:rPr>
          <w:rFonts w:hint="eastAsia" w:ascii="宋体" w:hAnsi="宋体" w:cs="仿宋_GB2312"/>
          <w:color w:val="auto"/>
          <w:sz w:val="24"/>
          <w:highlight w:val="none"/>
        </w:rPr>
      </w:pPr>
      <w:r>
        <w:rPr>
          <w:rFonts w:hint="eastAsia" w:ascii="宋体" w:hAnsi="宋体"/>
          <w:b/>
          <w:bCs/>
          <w:color w:val="auto"/>
          <w:sz w:val="24"/>
          <w:highlight w:val="none"/>
        </w:rPr>
        <w:t>以上配置清单中</w:t>
      </w:r>
      <w:r>
        <w:rPr>
          <w:rFonts w:hint="eastAsia" w:ascii="宋体" w:hAnsi="宋体"/>
          <w:b/>
          <w:bCs/>
          <w:color w:val="auto"/>
          <w:sz w:val="24"/>
          <w:highlight w:val="none"/>
          <w:lang w:val="en-US" w:eastAsia="zh-CN"/>
        </w:rPr>
        <w:t>所有内容</w:t>
      </w:r>
      <w:r>
        <w:rPr>
          <w:rFonts w:hint="eastAsia" w:ascii="宋体" w:hAnsi="宋体"/>
          <w:b/>
          <w:bCs/>
          <w:color w:val="auto"/>
          <w:sz w:val="24"/>
          <w:highlight w:val="none"/>
        </w:rPr>
        <w:t>必须如实填写完整，品牌、规格型号没有则填无，填写有缺漏的，响应文件按无效处理</w:t>
      </w:r>
      <w:r>
        <w:rPr>
          <w:rFonts w:hint="eastAsia" w:ascii="宋体" w:hAnsi="宋体"/>
          <w:b/>
          <w:color w:val="auto"/>
          <w:sz w:val="24"/>
          <w:highlight w:val="none"/>
        </w:rPr>
        <w:t>。</w:t>
      </w:r>
      <w:r>
        <w:rPr>
          <w:rFonts w:hint="eastAsia" w:ascii="宋体" w:hAnsi="宋体" w:cs="仿宋_GB2312"/>
          <w:color w:val="auto"/>
          <w:sz w:val="24"/>
          <w:highlight w:val="none"/>
        </w:rPr>
        <w:tab/>
      </w:r>
    </w:p>
    <w:p w14:paraId="41DD2D08">
      <w:pPr>
        <w:adjustRightInd w:val="0"/>
        <w:spacing w:line="360" w:lineRule="auto"/>
        <w:contextualSpacing/>
        <w:jc w:val="left"/>
        <w:rPr>
          <w:rFonts w:hint="eastAsia" w:ascii="宋体" w:hAnsi="宋体" w:cs="仿宋_GB2312"/>
          <w:color w:val="auto"/>
          <w:sz w:val="24"/>
          <w:highlight w:val="none"/>
        </w:rPr>
      </w:pPr>
    </w:p>
    <w:p w14:paraId="57F600EF">
      <w:pPr>
        <w:adjustRightInd w:val="0"/>
        <w:spacing w:line="360" w:lineRule="auto"/>
        <w:contextualSpacing/>
        <w:jc w:val="left"/>
        <w:rPr>
          <w:rFonts w:hint="eastAsia" w:ascii="宋体" w:hAnsi="宋体" w:cs="仿宋_GB2312"/>
          <w:color w:val="auto"/>
          <w:sz w:val="24"/>
          <w:highlight w:val="none"/>
        </w:rPr>
      </w:pPr>
    </w:p>
    <w:p w14:paraId="65661461">
      <w:pPr>
        <w:adjustRightInd w:val="0"/>
        <w:spacing w:line="360" w:lineRule="auto"/>
        <w:contextualSpacing/>
        <w:jc w:val="left"/>
        <w:rPr>
          <w:rFonts w:hint="eastAsia" w:ascii="宋体" w:hAnsi="宋体" w:cs="仿宋_GB2312"/>
          <w:color w:val="auto"/>
          <w:sz w:val="24"/>
          <w:highlight w:val="none"/>
        </w:rPr>
      </w:pPr>
    </w:p>
    <w:p w14:paraId="4F33FBD0">
      <w:pPr>
        <w:spacing w:line="360" w:lineRule="auto"/>
        <w:ind w:right="-817" w:rightChars="-389"/>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法定代表人或者委托代理人（签字）：</w:t>
      </w:r>
    </w:p>
    <w:p w14:paraId="469CE782">
      <w:pPr>
        <w:spacing w:line="360" w:lineRule="auto"/>
        <w:ind w:right="-817" w:rightChars="-389" w:firstLine="2880" w:firstLineChars="1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供应商（盖公章）：      </w:t>
      </w:r>
    </w:p>
    <w:p w14:paraId="184BC931">
      <w:pPr>
        <w:spacing w:line="360" w:lineRule="auto"/>
        <w:ind w:right="-817" w:rightChars="-389" w:firstLine="2880" w:firstLineChars="1200"/>
        <w:contextualSpacing/>
        <w:rPr>
          <w:rFonts w:hint="eastAsia"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   年   月   日</w:t>
      </w:r>
    </w:p>
    <w:p w14:paraId="64754C96">
      <w:pPr>
        <w:adjustRightInd w:val="0"/>
        <w:snapToGrid w:val="0"/>
        <w:spacing w:line="300" w:lineRule="auto"/>
        <w:rPr>
          <w:rFonts w:hint="eastAsia" w:ascii="宋体" w:hAnsi="宋体"/>
          <w:color w:val="auto"/>
          <w:szCs w:val="21"/>
          <w:highlight w:val="none"/>
          <w:u w:val="single"/>
        </w:rPr>
      </w:pPr>
    </w:p>
    <w:p w14:paraId="6AB9E98A">
      <w:pPr>
        <w:adjustRightInd w:val="0"/>
        <w:snapToGrid w:val="0"/>
        <w:spacing w:line="300" w:lineRule="auto"/>
        <w:rPr>
          <w:rFonts w:hint="eastAsia" w:ascii="宋体" w:hAnsi="宋体"/>
          <w:color w:val="auto"/>
          <w:szCs w:val="21"/>
          <w:highlight w:val="none"/>
          <w:u w:val="single"/>
        </w:rPr>
      </w:pPr>
    </w:p>
    <w:p w14:paraId="457EF278">
      <w:pPr>
        <w:adjustRightInd w:val="0"/>
        <w:snapToGrid w:val="0"/>
        <w:spacing w:line="300" w:lineRule="auto"/>
        <w:rPr>
          <w:rFonts w:hint="eastAsia" w:ascii="宋体" w:hAnsi="宋体"/>
          <w:color w:val="auto"/>
          <w:szCs w:val="21"/>
          <w:highlight w:val="none"/>
          <w:u w:val="single"/>
        </w:rPr>
      </w:pPr>
    </w:p>
    <w:p w14:paraId="15DA732C">
      <w:pPr>
        <w:adjustRightInd w:val="0"/>
        <w:snapToGrid w:val="0"/>
        <w:spacing w:line="300" w:lineRule="auto"/>
        <w:rPr>
          <w:rFonts w:hint="eastAsia" w:ascii="宋体" w:hAnsi="宋体"/>
          <w:color w:val="auto"/>
          <w:szCs w:val="21"/>
          <w:highlight w:val="none"/>
          <w:u w:val="single"/>
        </w:rPr>
      </w:pPr>
    </w:p>
    <w:p w14:paraId="47B2E5E0">
      <w:pPr>
        <w:adjustRightInd w:val="0"/>
        <w:snapToGrid w:val="0"/>
        <w:spacing w:line="300" w:lineRule="auto"/>
        <w:rPr>
          <w:rFonts w:hint="eastAsia" w:ascii="宋体" w:hAnsi="宋体"/>
          <w:color w:val="auto"/>
          <w:szCs w:val="21"/>
          <w:highlight w:val="none"/>
          <w:u w:val="single"/>
        </w:rPr>
      </w:pPr>
    </w:p>
    <w:p w14:paraId="27482D3D">
      <w:pPr>
        <w:adjustRightInd w:val="0"/>
        <w:snapToGrid w:val="0"/>
        <w:spacing w:line="300" w:lineRule="auto"/>
        <w:rPr>
          <w:rFonts w:hint="eastAsia" w:ascii="宋体" w:hAnsi="宋体"/>
          <w:color w:val="auto"/>
          <w:szCs w:val="21"/>
          <w:highlight w:val="none"/>
          <w:u w:val="single"/>
        </w:rPr>
      </w:pPr>
    </w:p>
    <w:p w14:paraId="11DB922A">
      <w:pPr>
        <w:adjustRightInd w:val="0"/>
        <w:snapToGrid w:val="0"/>
        <w:spacing w:line="300" w:lineRule="auto"/>
        <w:rPr>
          <w:rFonts w:hint="eastAsia" w:ascii="宋体" w:hAnsi="宋体"/>
          <w:color w:val="auto"/>
          <w:szCs w:val="21"/>
          <w:highlight w:val="none"/>
          <w:u w:val="single"/>
        </w:rPr>
      </w:pPr>
    </w:p>
    <w:p w14:paraId="7AA1B8F3">
      <w:pPr>
        <w:adjustRightInd w:val="0"/>
        <w:snapToGrid w:val="0"/>
        <w:spacing w:line="300" w:lineRule="auto"/>
        <w:rPr>
          <w:rFonts w:hint="eastAsia" w:ascii="宋体" w:hAnsi="宋体"/>
          <w:color w:val="auto"/>
          <w:szCs w:val="21"/>
          <w:highlight w:val="none"/>
          <w:u w:val="single"/>
        </w:rPr>
      </w:pPr>
    </w:p>
    <w:p w14:paraId="71F6B1B4">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技术要求偏离表</w:t>
      </w:r>
    </w:p>
    <w:p w14:paraId="6BB3554B">
      <w:pPr>
        <w:spacing w:line="520" w:lineRule="exact"/>
        <w:rPr>
          <w:rFonts w:hint="eastAsia" w:ascii="仿宋_GB2312" w:hAnsi="仿宋_GB2312" w:eastAsia="仿宋_GB2312" w:cs="仿宋_GB2312"/>
          <w:color w:val="auto"/>
          <w:sz w:val="32"/>
          <w:szCs w:val="32"/>
          <w:highlight w:val="none"/>
        </w:rPr>
      </w:pPr>
    </w:p>
    <w:p w14:paraId="215CADC0">
      <w:pPr>
        <w:spacing w:line="360" w:lineRule="auto"/>
        <w:rPr>
          <w:rFonts w:hint="eastAsia" w:ascii="宋体" w:hAnsi="宋体" w:cs="仿宋_GB2312"/>
          <w:color w:val="auto"/>
          <w:sz w:val="24"/>
          <w:highlight w:val="none"/>
          <w:u w:val="single"/>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u w:val="single"/>
        </w:rPr>
        <w:t xml:space="preserve">                 </w:t>
      </w:r>
    </w:p>
    <w:p w14:paraId="1B23AAC3">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u w:val="single"/>
        </w:rPr>
        <w:t xml:space="preserve">                 </w:t>
      </w:r>
    </w:p>
    <w:p w14:paraId="5CE55923">
      <w:pPr>
        <w:spacing w:line="360" w:lineRule="auto"/>
        <w:rPr>
          <w:rFonts w:hint="eastAsia" w:ascii="宋体" w:hAnsi="宋体" w:cs="仿宋_GB2312"/>
          <w:color w:val="auto"/>
          <w:sz w:val="24"/>
          <w:highlight w:val="none"/>
          <w:u w:val="single"/>
        </w:rPr>
      </w:pPr>
      <w:r>
        <w:rPr>
          <w:rFonts w:hint="eastAsia" w:ascii="宋体" w:hAnsi="宋体" w:cs="仿宋_GB2312"/>
          <w:color w:val="auto"/>
          <w:sz w:val="24"/>
          <w:highlight w:val="none"/>
        </w:rPr>
        <w:t>分标号：</w:t>
      </w:r>
      <w:r>
        <w:rPr>
          <w:rFonts w:hint="eastAsia" w:ascii="宋体" w:hAnsi="宋体" w:cs="仿宋_GB2312"/>
          <w:color w:val="auto"/>
          <w:sz w:val="24"/>
          <w:highlight w:val="none"/>
          <w:u w:val="single"/>
        </w:rPr>
        <w:t xml:space="preserve">                       </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00"/>
        <w:gridCol w:w="900"/>
        <w:gridCol w:w="2989"/>
        <w:gridCol w:w="2690"/>
        <w:gridCol w:w="1467"/>
      </w:tblGrid>
      <w:tr w14:paraId="7C9994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4B8A201F">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序号</w:t>
            </w:r>
          </w:p>
        </w:tc>
        <w:tc>
          <w:tcPr>
            <w:tcW w:w="503" w:type="pct"/>
            <w:tcBorders>
              <w:right w:val="single" w:color="auto" w:sz="4" w:space="0"/>
            </w:tcBorders>
            <w:noWrap w:val="0"/>
            <w:vAlign w:val="center"/>
          </w:tcPr>
          <w:p w14:paraId="605BE8C1">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名称</w:t>
            </w:r>
          </w:p>
        </w:tc>
        <w:tc>
          <w:tcPr>
            <w:tcW w:w="1670" w:type="pct"/>
            <w:tcBorders>
              <w:left w:val="single" w:color="auto" w:sz="4" w:space="0"/>
            </w:tcBorders>
            <w:noWrap w:val="0"/>
            <w:vAlign w:val="center"/>
          </w:tcPr>
          <w:p w14:paraId="0EF88AB8">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谈判文件要求</w:t>
            </w:r>
          </w:p>
        </w:tc>
        <w:tc>
          <w:tcPr>
            <w:tcW w:w="1503" w:type="pct"/>
            <w:noWrap w:val="0"/>
            <w:vAlign w:val="center"/>
          </w:tcPr>
          <w:p w14:paraId="6F14240F">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竞标响应</w:t>
            </w:r>
          </w:p>
        </w:tc>
        <w:tc>
          <w:tcPr>
            <w:tcW w:w="820" w:type="pct"/>
            <w:noWrap w:val="0"/>
            <w:vAlign w:val="center"/>
          </w:tcPr>
          <w:p w14:paraId="554699A4">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偏离说明</w:t>
            </w:r>
          </w:p>
        </w:tc>
      </w:tr>
      <w:tr w14:paraId="1AE15D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045D1089">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1</w:t>
            </w:r>
          </w:p>
        </w:tc>
        <w:tc>
          <w:tcPr>
            <w:tcW w:w="503" w:type="pct"/>
            <w:tcBorders>
              <w:right w:val="single" w:color="auto" w:sz="4" w:space="0"/>
            </w:tcBorders>
            <w:noWrap w:val="0"/>
            <w:vAlign w:val="center"/>
          </w:tcPr>
          <w:p w14:paraId="0DC63270">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670" w:type="pct"/>
            <w:tcBorders>
              <w:left w:val="single" w:color="auto" w:sz="4" w:space="0"/>
            </w:tcBorders>
            <w:noWrap w:val="0"/>
            <w:vAlign w:val="center"/>
          </w:tcPr>
          <w:p w14:paraId="102058A9">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503" w:type="pct"/>
            <w:noWrap w:val="0"/>
            <w:vAlign w:val="center"/>
          </w:tcPr>
          <w:p w14:paraId="0931A302">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820" w:type="pct"/>
            <w:noWrap w:val="0"/>
            <w:vAlign w:val="center"/>
          </w:tcPr>
          <w:p w14:paraId="3DC95E38">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r>
      <w:tr w14:paraId="07B3F5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4DC7EAE0">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2</w:t>
            </w:r>
          </w:p>
        </w:tc>
        <w:tc>
          <w:tcPr>
            <w:tcW w:w="503" w:type="pct"/>
            <w:tcBorders>
              <w:right w:val="single" w:color="auto" w:sz="4" w:space="0"/>
            </w:tcBorders>
            <w:noWrap w:val="0"/>
            <w:vAlign w:val="center"/>
          </w:tcPr>
          <w:p w14:paraId="74C0DBAF">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670" w:type="pct"/>
            <w:tcBorders>
              <w:left w:val="single" w:color="auto" w:sz="4" w:space="0"/>
            </w:tcBorders>
            <w:noWrap w:val="0"/>
            <w:vAlign w:val="center"/>
          </w:tcPr>
          <w:p w14:paraId="66160F0B">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503" w:type="pct"/>
            <w:noWrap w:val="0"/>
            <w:vAlign w:val="center"/>
          </w:tcPr>
          <w:p w14:paraId="3293CBE3">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820" w:type="pct"/>
            <w:noWrap w:val="0"/>
            <w:vAlign w:val="center"/>
          </w:tcPr>
          <w:p w14:paraId="7B8583DB">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r>
      <w:tr w14:paraId="25B440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4BEF0A37">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3</w:t>
            </w:r>
          </w:p>
        </w:tc>
        <w:tc>
          <w:tcPr>
            <w:tcW w:w="503" w:type="pct"/>
            <w:tcBorders>
              <w:right w:val="single" w:color="auto" w:sz="4" w:space="0"/>
            </w:tcBorders>
            <w:noWrap w:val="0"/>
            <w:vAlign w:val="center"/>
          </w:tcPr>
          <w:p w14:paraId="4EED4D19">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670" w:type="pct"/>
            <w:tcBorders>
              <w:left w:val="single" w:color="auto" w:sz="4" w:space="0"/>
            </w:tcBorders>
            <w:noWrap w:val="0"/>
            <w:vAlign w:val="center"/>
          </w:tcPr>
          <w:p w14:paraId="654126A1">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503" w:type="pct"/>
            <w:noWrap w:val="0"/>
            <w:vAlign w:val="center"/>
          </w:tcPr>
          <w:p w14:paraId="0BBFC29C">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820" w:type="pct"/>
            <w:noWrap w:val="0"/>
            <w:vAlign w:val="center"/>
          </w:tcPr>
          <w:p w14:paraId="70B29BDC">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r>
      <w:tr w14:paraId="1D858C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59C5CA2C">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4</w:t>
            </w:r>
          </w:p>
        </w:tc>
        <w:tc>
          <w:tcPr>
            <w:tcW w:w="503" w:type="pct"/>
            <w:tcBorders>
              <w:right w:val="single" w:color="auto" w:sz="4" w:space="0"/>
            </w:tcBorders>
            <w:noWrap w:val="0"/>
            <w:vAlign w:val="center"/>
          </w:tcPr>
          <w:p w14:paraId="6C2F7903">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670" w:type="pct"/>
            <w:tcBorders>
              <w:left w:val="single" w:color="auto" w:sz="4" w:space="0"/>
            </w:tcBorders>
            <w:noWrap w:val="0"/>
            <w:vAlign w:val="center"/>
          </w:tcPr>
          <w:p w14:paraId="363D793D">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503" w:type="pct"/>
            <w:noWrap w:val="0"/>
            <w:vAlign w:val="center"/>
          </w:tcPr>
          <w:p w14:paraId="3E3A5D34">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820" w:type="pct"/>
            <w:noWrap w:val="0"/>
            <w:vAlign w:val="center"/>
          </w:tcPr>
          <w:p w14:paraId="7B160803">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r>
      <w:tr w14:paraId="569A3D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2DB1AD18">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5</w:t>
            </w:r>
          </w:p>
        </w:tc>
        <w:tc>
          <w:tcPr>
            <w:tcW w:w="503" w:type="pct"/>
            <w:tcBorders>
              <w:right w:val="single" w:color="auto" w:sz="4" w:space="0"/>
            </w:tcBorders>
            <w:noWrap w:val="0"/>
            <w:vAlign w:val="center"/>
          </w:tcPr>
          <w:p w14:paraId="6EA608AC">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670" w:type="pct"/>
            <w:tcBorders>
              <w:left w:val="single" w:color="auto" w:sz="4" w:space="0"/>
            </w:tcBorders>
            <w:noWrap w:val="0"/>
            <w:vAlign w:val="center"/>
          </w:tcPr>
          <w:p w14:paraId="01655B0A">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503" w:type="pct"/>
            <w:noWrap w:val="0"/>
            <w:vAlign w:val="center"/>
          </w:tcPr>
          <w:p w14:paraId="3FE84BF1">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820" w:type="pct"/>
            <w:noWrap w:val="0"/>
            <w:vAlign w:val="center"/>
          </w:tcPr>
          <w:p w14:paraId="11F97478">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r>
      <w:tr w14:paraId="2DE104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noWrap w:val="0"/>
            <w:vAlign w:val="center"/>
          </w:tcPr>
          <w:p w14:paraId="5CA8453A">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w:t>
            </w:r>
          </w:p>
        </w:tc>
        <w:tc>
          <w:tcPr>
            <w:tcW w:w="503" w:type="pct"/>
            <w:tcBorders>
              <w:right w:val="single" w:color="auto" w:sz="4" w:space="0"/>
            </w:tcBorders>
            <w:noWrap w:val="0"/>
            <w:vAlign w:val="center"/>
          </w:tcPr>
          <w:p w14:paraId="69E9B937">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670" w:type="pct"/>
            <w:tcBorders>
              <w:left w:val="single" w:color="auto" w:sz="4" w:space="0"/>
            </w:tcBorders>
            <w:noWrap w:val="0"/>
            <w:vAlign w:val="center"/>
          </w:tcPr>
          <w:p w14:paraId="24398A6B">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503" w:type="pct"/>
            <w:noWrap w:val="0"/>
            <w:vAlign w:val="center"/>
          </w:tcPr>
          <w:p w14:paraId="5ABF39CE">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820" w:type="pct"/>
            <w:tcBorders>
              <w:right w:val="single" w:color="auto" w:sz="4" w:space="0"/>
            </w:tcBorders>
            <w:noWrap w:val="0"/>
            <w:vAlign w:val="center"/>
          </w:tcPr>
          <w:p w14:paraId="6FEE0E6F">
            <w:pPr>
              <w:pStyle w:val="10"/>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r>
    </w:tbl>
    <w:p w14:paraId="00B6A138">
      <w:pPr>
        <w:pStyle w:val="10"/>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26E62620">
      <w:pPr>
        <w:pStyle w:val="10"/>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说明：应对照谈判文件“第三章 采购需求”中的技术要求逐条实质性响应，并作出偏离说明。</w:t>
      </w:r>
    </w:p>
    <w:p w14:paraId="53CD84D9">
      <w:pPr>
        <w:pStyle w:val="10"/>
        <w:spacing w:line="360"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2.供应商应根据竞标设备的性能指标，对照谈判文件要求，在“偏离说明”中注明“正偏离”、“负偏离”或者“无偏离”。既不属于“正偏离”也不属于“负偏离”即为“无偏离”。</w:t>
      </w:r>
    </w:p>
    <w:p w14:paraId="09295579">
      <w:pPr>
        <w:pStyle w:val="10"/>
        <w:spacing w:line="360" w:lineRule="auto"/>
        <w:ind w:firstLine="0" w:firstLineChars="0"/>
        <w:contextualSpacing/>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3.如果</w:t>
      </w:r>
      <w:r>
        <w:rPr>
          <w:rFonts w:hint="eastAsia" w:ascii="宋体" w:hAnsi="宋体" w:eastAsia="宋体"/>
          <w:color w:val="auto"/>
          <w:sz w:val="24"/>
          <w:szCs w:val="24"/>
          <w:highlight w:val="none"/>
          <w:lang w:val="en-US" w:eastAsia="zh-CN"/>
        </w:rPr>
        <w:t>采购</w:t>
      </w:r>
      <w:r>
        <w:rPr>
          <w:rFonts w:hint="eastAsia" w:ascii="宋体" w:hAnsi="宋体" w:eastAsia="宋体"/>
          <w:color w:val="auto"/>
          <w:sz w:val="24"/>
          <w:szCs w:val="24"/>
          <w:highlight w:val="none"/>
        </w:rPr>
        <w:t>文件需求为大于、小于等不确定值时，投标</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文件承诺不得直接复制</w:t>
      </w:r>
      <w:r>
        <w:rPr>
          <w:rFonts w:hint="eastAsia" w:ascii="宋体" w:hAnsi="宋体" w:eastAsia="宋体"/>
          <w:color w:val="auto"/>
          <w:sz w:val="24"/>
          <w:szCs w:val="24"/>
          <w:highlight w:val="none"/>
          <w:lang w:val="en-US" w:eastAsia="zh-CN"/>
        </w:rPr>
        <w:t>采购</w:t>
      </w:r>
      <w:r>
        <w:rPr>
          <w:rFonts w:hint="eastAsia" w:ascii="宋体" w:hAnsi="宋体" w:eastAsia="宋体"/>
          <w:color w:val="auto"/>
          <w:sz w:val="24"/>
          <w:szCs w:val="24"/>
          <w:highlight w:val="none"/>
        </w:rPr>
        <w:t>文件需求，投标</w:t>
      </w:r>
      <w:r>
        <w:rPr>
          <w:rFonts w:hint="eastAsia" w:ascii="宋体" w:hAnsi="宋体" w:eastAsia="宋体"/>
          <w:color w:val="auto"/>
          <w:sz w:val="24"/>
          <w:szCs w:val="24"/>
          <w:highlight w:val="none"/>
          <w:lang w:val="en-US" w:eastAsia="zh-CN"/>
        </w:rPr>
        <w:t>响应</w:t>
      </w:r>
      <w:r>
        <w:rPr>
          <w:rFonts w:hint="eastAsia" w:ascii="宋体" w:hAnsi="宋体" w:eastAsia="宋体"/>
          <w:color w:val="auto"/>
          <w:sz w:val="24"/>
          <w:szCs w:val="24"/>
          <w:highlight w:val="none"/>
        </w:rPr>
        <w:t>文件中的响应参数应为具体数值，否则按投标无效处理。</w:t>
      </w:r>
    </w:p>
    <w:p w14:paraId="0316DFA6">
      <w:pPr>
        <w:pStyle w:val="10"/>
        <w:spacing w:line="360" w:lineRule="auto"/>
        <w:ind w:firstLine="0" w:firstLineChars="0"/>
        <w:contextualSpacing/>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.供应商认为其竞标响应有正偏离的，请在技术偏离表中列明，且在响应文件中提供证明</w:t>
      </w:r>
      <w:r>
        <w:rPr>
          <w:rFonts w:hint="eastAsia" w:ascii="宋体" w:hAnsi="宋体" w:eastAsia="宋体"/>
          <w:color w:val="auto"/>
          <w:sz w:val="24"/>
          <w:szCs w:val="24"/>
          <w:highlight w:val="none"/>
          <w:lang w:val="en-US" w:eastAsia="zh-CN"/>
        </w:rPr>
        <w:t>材料</w:t>
      </w:r>
      <w:r>
        <w:rPr>
          <w:rFonts w:hint="eastAsia" w:ascii="宋体" w:hAnsi="宋体" w:eastAsia="宋体"/>
          <w:color w:val="auto"/>
          <w:sz w:val="24"/>
          <w:szCs w:val="24"/>
          <w:highlight w:val="none"/>
        </w:rPr>
        <w:t>作为佐证，佐证材料均需加盖</w:t>
      </w:r>
      <w:r>
        <w:rPr>
          <w:rFonts w:hint="eastAsia" w:ascii="宋体" w:hAnsi="宋体" w:eastAsia="宋体"/>
          <w:color w:val="auto"/>
          <w:sz w:val="24"/>
          <w:szCs w:val="24"/>
          <w:highlight w:val="none"/>
          <w:lang w:val="en-US" w:eastAsia="zh-CN"/>
        </w:rPr>
        <w:t>供应商</w:t>
      </w:r>
      <w:r>
        <w:rPr>
          <w:rFonts w:hint="eastAsia" w:ascii="宋体" w:hAnsi="宋体" w:eastAsia="宋体"/>
          <w:color w:val="auto"/>
          <w:sz w:val="24"/>
          <w:szCs w:val="24"/>
          <w:highlight w:val="none"/>
        </w:rPr>
        <w:t>公章</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否则为无效响应</w:t>
      </w:r>
      <w:r>
        <w:rPr>
          <w:rFonts w:hint="eastAsia" w:ascii="宋体" w:hAnsi="宋体" w:eastAsia="宋体"/>
          <w:color w:val="auto"/>
          <w:sz w:val="24"/>
          <w:szCs w:val="24"/>
          <w:highlight w:val="none"/>
        </w:rPr>
        <w:t>。</w:t>
      </w:r>
    </w:p>
    <w:p w14:paraId="2A14FDD8">
      <w:pPr>
        <w:pStyle w:val="10"/>
        <w:spacing w:line="360" w:lineRule="auto"/>
        <w:ind w:firstLine="0" w:firstLineChars="0"/>
        <w:contextualSpacing/>
        <w:rPr>
          <w:rFonts w:hint="eastAsia" w:ascii="宋体" w:hAnsi="宋体" w:eastAsia="宋体" w:cs="仿宋_GB2312"/>
          <w:color w:val="auto"/>
          <w:sz w:val="24"/>
          <w:szCs w:val="24"/>
          <w:highlight w:val="none"/>
        </w:rPr>
      </w:pPr>
    </w:p>
    <w:p w14:paraId="4C64A160">
      <w:pPr>
        <w:spacing w:line="360" w:lineRule="auto"/>
        <w:ind w:right="-817" w:rightChars="-389"/>
        <w:contextualSpacing/>
        <w:rPr>
          <w:rFonts w:hint="eastAsia" w:ascii="宋体" w:hAnsi="宋体" w:cs="仿宋_GB2312"/>
          <w:color w:val="auto"/>
          <w:sz w:val="24"/>
          <w:highlight w:val="none"/>
        </w:rPr>
      </w:pPr>
    </w:p>
    <w:p w14:paraId="63A2E5CD">
      <w:pPr>
        <w:spacing w:line="360" w:lineRule="auto"/>
        <w:ind w:right="-817" w:rightChars="-389"/>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法定代表人或者委托代理人（签字）：</w:t>
      </w:r>
    </w:p>
    <w:p w14:paraId="0CD87D8E">
      <w:pPr>
        <w:spacing w:line="360" w:lineRule="auto"/>
        <w:ind w:right="-817" w:rightChars="-389" w:firstLine="2880" w:firstLineChars="1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供应商（盖公章）：      </w:t>
      </w:r>
    </w:p>
    <w:p w14:paraId="1D13036C">
      <w:pPr>
        <w:spacing w:line="360" w:lineRule="auto"/>
        <w:ind w:right="-817" w:rightChars="-389" w:firstLine="2880" w:firstLineChars="1200"/>
        <w:contextualSpacing/>
        <w:rPr>
          <w:rFonts w:ascii="仿宋_GB2312" w:hAnsi="仿宋_GB2312" w:eastAsia="仿宋_GB2312" w:cs="仿宋_GB2312"/>
          <w:color w:val="auto"/>
          <w:sz w:val="32"/>
          <w:szCs w:val="32"/>
          <w:highlight w:val="none"/>
        </w:rPr>
      </w:pPr>
      <w:r>
        <w:rPr>
          <w:rFonts w:hint="eastAsia" w:ascii="宋体" w:hAnsi="宋体" w:cs="仿宋_GB2312"/>
          <w:color w:val="auto"/>
          <w:sz w:val="24"/>
          <w:highlight w:val="none"/>
        </w:rPr>
        <w:t>日期：   年   月   日</w:t>
      </w:r>
    </w:p>
    <w:p w14:paraId="0C424BAD">
      <w:pPr>
        <w:spacing w:line="300" w:lineRule="auto"/>
        <w:rPr>
          <w:rFonts w:hint="eastAsia" w:ascii="宋体" w:hAnsi="宋体"/>
          <w:color w:val="auto"/>
          <w:szCs w:val="21"/>
          <w:highlight w:val="none"/>
        </w:rPr>
      </w:pPr>
      <w:r>
        <w:rPr>
          <w:rFonts w:ascii="宋体" w:hAnsi="宋体"/>
          <w:b/>
          <w:bCs/>
          <w:color w:val="auto"/>
          <w:sz w:val="24"/>
          <w:highlight w:val="none"/>
        </w:rPr>
        <w:br w:type="page"/>
      </w:r>
      <w:r>
        <w:rPr>
          <w:rFonts w:hint="eastAsia" w:ascii="宋体" w:hAnsi="宋体"/>
          <w:b/>
          <w:bCs/>
          <w:color w:val="auto"/>
          <w:sz w:val="24"/>
          <w:highlight w:val="none"/>
        </w:rPr>
        <w:t>其他文书、文件格式</w:t>
      </w:r>
    </w:p>
    <w:p w14:paraId="6B67C936">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bookmarkStart w:id="61" w:name="_Toc71365383"/>
      <w:bookmarkStart w:id="62" w:name="_Toc71366061"/>
      <w:r>
        <w:rPr>
          <w:rFonts w:hint="eastAsia" w:ascii="方正小标宋简体" w:hAnsi="方正小标宋简体" w:eastAsia="方正小标宋简体" w:cs="方正小标宋简体"/>
          <w:bCs/>
          <w:color w:val="auto"/>
          <w:sz w:val="44"/>
          <w:szCs w:val="44"/>
          <w:highlight w:val="none"/>
        </w:rPr>
        <w:t>中小企业声明函（货物）</w:t>
      </w:r>
      <w:bookmarkEnd w:id="61"/>
      <w:bookmarkEnd w:id="62"/>
    </w:p>
    <w:p w14:paraId="18F9839C">
      <w:pPr>
        <w:rPr>
          <w:rFonts w:hint="eastAsia"/>
          <w:color w:val="auto"/>
          <w:highlight w:val="none"/>
        </w:rPr>
      </w:pPr>
    </w:p>
    <w:p w14:paraId="741DD52C">
      <w:pPr>
        <w:pStyle w:val="9"/>
        <w:spacing w:after="0" w:line="360" w:lineRule="auto"/>
        <w:ind w:left="-426" w:right="142" w:firstLine="640"/>
        <w:contextualSpacing/>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采购活动，提供的货物全部由符合政策要求的中小企业制造。相关企业（含联合体中的中小企业、签订分包意向协议的中小企业）的具体情况如下：</w:t>
      </w:r>
    </w:p>
    <w:p w14:paraId="25E36741">
      <w:pPr>
        <w:tabs>
          <w:tab w:val="left" w:pos="1384"/>
          <w:tab w:val="left" w:pos="4562"/>
          <w:tab w:val="left" w:pos="6803"/>
        </w:tabs>
        <w:spacing w:line="360" w:lineRule="auto"/>
        <w:ind w:left="-426" w:right="-58" w:firstLine="655"/>
        <w:contextualSpacing/>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（采购文件中明确的所属行业）</w:t>
      </w:r>
      <w:r>
        <w:rPr>
          <w:rFonts w:ascii="宋体" w:hAnsi="宋体"/>
          <w:color w:val="auto"/>
          <w:sz w:val="24"/>
          <w:highlight w:val="none"/>
        </w:rPr>
        <w:t>行业；制造商为</w:t>
      </w:r>
      <w:r>
        <w:rPr>
          <w:rFonts w:ascii="宋体" w:hAnsi="宋体"/>
          <w:color w:val="auto"/>
          <w:sz w:val="24"/>
          <w:highlight w:val="none"/>
          <w:u w:val="single"/>
        </w:rPr>
        <w:t>（企业名称）</w:t>
      </w:r>
      <w:r>
        <w:rPr>
          <w:rFonts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万元，属于</w:t>
      </w:r>
      <w:r>
        <w:rPr>
          <w:rFonts w:ascii="宋体" w:hAnsi="宋体"/>
          <w:color w:val="auto"/>
          <w:sz w:val="24"/>
          <w:highlight w:val="none"/>
          <w:u w:val="single"/>
        </w:rPr>
        <w:t>（中型企业、小型企业、微型企业）</w:t>
      </w:r>
      <w:r>
        <w:rPr>
          <w:rFonts w:ascii="宋体" w:hAnsi="宋体"/>
          <w:color w:val="auto"/>
          <w:sz w:val="24"/>
          <w:highlight w:val="none"/>
        </w:rPr>
        <w:t>；</w:t>
      </w:r>
    </w:p>
    <w:p w14:paraId="6F3FAE2E">
      <w:pPr>
        <w:tabs>
          <w:tab w:val="left" w:pos="1065"/>
          <w:tab w:val="left" w:pos="6477"/>
        </w:tabs>
        <w:spacing w:line="360" w:lineRule="auto"/>
        <w:ind w:left="-426" w:right="-58" w:firstLine="655"/>
        <w:contextualSpacing/>
        <w:rPr>
          <w:rFonts w:ascii="宋体" w:hAnsi="宋体"/>
          <w:color w:val="auto"/>
          <w:sz w:val="24"/>
          <w:highlight w:val="non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（采购文件中明确的所属行业）</w:t>
      </w:r>
      <w:r>
        <w:rPr>
          <w:rFonts w:ascii="宋体" w:hAnsi="宋体"/>
          <w:color w:val="auto"/>
          <w:sz w:val="24"/>
          <w:highlight w:val="none"/>
        </w:rPr>
        <w:t>行业；制造商为</w:t>
      </w:r>
      <w:r>
        <w:rPr>
          <w:rFonts w:ascii="宋体" w:hAnsi="宋体"/>
          <w:color w:val="auto"/>
          <w:sz w:val="24"/>
          <w:highlight w:val="none"/>
          <w:u w:val="single"/>
        </w:rPr>
        <w:t>（企业名称）</w:t>
      </w:r>
      <w:r>
        <w:rPr>
          <w:rFonts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万元，属于</w:t>
      </w:r>
      <w:r>
        <w:rPr>
          <w:rFonts w:ascii="宋体" w:hAnsi="宋体"/>
          <w:color w:val="auto"/>
          <w:sz w:val="24"/>
          <w:highlight w:val="none"/>
          <w:u w:val="single"/>
        </w:rPr>
        <w:t>（中型企业、小型企业、微型企业）</w:t>
      </w:r>
      <w:r>
        <w:rPr>
          <w:rFonts w:ascii="宋体" w:hAnsi="宋体"/>
          <w:color w:val="auto"/>
          <w:sz w:val="24"/>
          <w:highlight w:val="none"/>
        </w:rPr>
        <w:t>；</w:t>
      </w:r>
    </w:p>
    <w:p w14:paraId="74148433">
      <w:pPr>
        <w:pStyle w:val="9"/>
        <w:spacing w:after="0" w:line="360" w:lineRule="auto"/>
        <w:ind w:left="142" w:right="142"/>
        <w:contextualSpacing/>
        <w:rPr>
          <w:rFonts w:ascii="宋体" w:hAnsi="宋体"/>
          <w:color w:val="auto"/>
          <w:sz w:val="24"/>
          <w:highlight w:val="none"/>
        </w:rPr>
      </w:pPr>
      <w:r>
        <w:rPr>
          <w:rFonts w:ascii="宋体" w:hAnsi="宋体"/>
          <w:color w:val="auto"/>
          <w:sz w:val="24"/>
          <w:highlight w:val="none"/>
        </w:rPr>
        <w:t xml:space="preserve">…… </w:t>
      </w:r>
    </w:p>
    <w:p w14:paraId="62DD4972">
      <w:pPr>
        <w:pStyle w:val="9"/>
        <w:spacing w:after="0" w:line="360" w:lineRule="auto"/>
        <w:ind w:left="-405" w:leftChars="-193" w:right="142" w:firstLine="453" w:firstLineChars="189"/>
        <w:contextualSpacing/>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739EA556">
      <w:pPr>
        <w:pStyle w:val="9"/>
        <w:spacing w:after="0" w:line="360" w:lineRule="auto"/>
        <w:ind w:left="-426" w:right="142" w:firstLine="567"/>
        <w:contextualSpacing/>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2A840555">
      <w:pPr>
        <w:pStyle w:val="9"/>
        <w:spacing w:after="0" w:line="360" w:lineRule="auto"/>
        <w:ind w:left="3960" w:right="1808"/>
        <w:contextualSpacing/>
        <w:rPr>
          <w:rFonts w:hint="eastAsia" w:ascii="宋体" w:hAnsi="宋体"/>
          <w:color w:val="auto"/>
          <w:sz w:val="24"/>
          <w:highlight w:val="none"/>
        </w:rPr>
      </w:pPr>
    </w:p>
    <w:p w14:paraId="30A39D07">
      <w:pPr>
        <w:pStyle w:val="9"/>
        <w:spacing w:after="0" w:line="360" w:lineRule="auto"/>
        <w:ind w:left="3960" w:right="1808"/>
        <w:contextualSpacing/>
        <w:rPr>
          <w:rFonts w:ascii="宋体" w:hAnsi="宋体"/>
          <w:color w:val="auto"/>
          <w:sz w:val="24"/>
          <w:highlight w:val="none"/>
        </w:rPr>
      </w:pPr>
      <w:r>
        <w:rPr>
          <w:rFonts w:ascii="宋体" w:hAnsi="宋体"/>
          <w:color w:val="auto"/>
          <w:sz w:val="24"/>
          <w:highlight w:val="none"/>
        </w:rPr>
        <w:t>企业名称（</w:t>
      </w:r>
      <w:r>
        <w:rPr>
          <w:rFonts w:hint="eastAsia" w:ascii="宋体" w:hAnsi="宋体"/>
          <w:color w:val="auto"/>
          <w:sz w:val="24"/>
          <w:highlight w:val="none"/>
          <w:lang w:val="en-US" w:eastAsia="zh-CN"/>
        </w:rPr>
        <w:t>盖公</w:t>
      </w:r>
      <w:r>
        <w:rPr>
          <w:rFonts w:ascii="宋体" w:hAnsi="宋体"/>
          <w:color w:val="auto"/>
          <w:sz w:val="24"/>
          <w:highlight w:val="none"/>
        </w:rPr>
        <w:t xml:space="preserve">章）： </w:t>
      </w:r>
    </w:p>
    <w:p w14:paraId="03B84976">
      <w:pPr>
        <w:pStyle w:val="9"/>
        <w:spacing w:after="0" w:line="360" w:lineRule="auto"/>
        <w:ind w:left="3960" w:right="1808"/>
        <w:contextualSpacing/>
        <w:rPr>
          <w:rFonts w:ascii="宋体" w:hAnsi="宋体"/>
          <w:color w:val="auto"/>
          <w:sz w:val="24"/>
          <w:highlight w:val="none"/>
        </w:rPr>
      </w:pPr>
      <w:r>
        <w:rPr>
          <w:rFonts w:ascii="宋体" w:hAnsi="宋体"/>
          <w:color w:val="auto"/>
          <w:sz w:val="24"/>
          <w:highlight w:val="none"/>
        </w:rPr>
        <w:t>日</w:t>
      </w:r>
      <w:r>
        <w:rPr>
          <w:rFonts w:hint="eastAsia" w:ascii="宋体" w:hAnsi="宋体"/>
          <w:color w:val="auto"/>
          <w:sz w:val="24"/>
          <w:highlight w:val="none"/>
        </w:rPr>
        <w:t xml:space="preserve"> </w:t>
      </w:r>
      <w:r>
        <w:rPr>
          <w:rFonts w:ascii="宋体" w:hAnsi="宋体"/>
          <w:color w:val="auto"/>
          <w:sz w:val="24"/>
          <w:highlight w:val="none"/>
        </w:rPr>
        <w:t>期：</w:t>
      </w:r>
    </w:p>
    <w:p w14:paraId="57D697A5">
      <w:pPr>
        <w:pStyle w:val="9"/>
        <w:spacing w:after="0" w:line="360" w:lineRule="auto"/>
        <w:ind w:left="3960" w:right="1808"/>
        <w:contextualSpacing/>
        <w:rPr>
          <w:color w:val="auto"/>
          <w:highlight w:val="none"/>
        </w:rPr>
      </w:pPr>
    </w:p>
    <w:p w14:paraId="432C8D37">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10F6469E">
      <w:pPr>
        <w:spacing w:line="360" w:lineRule="auto"/>
        <w:contextualSpacing/>
        <w:jc w:val="center"/>
        <w:rPr>
          <w:rFonts w:hint="eastAsia"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14:paraId="00634EC4">
      <w:pPr>
        <w:spacing w:line="520" w:lineRule="exact"/>
        <w:rPr>
          <w:rFonts w:hint="eastAsia" w:ascii="仿宋_GB2312" w:hAnsi="仿宋_GB2312" w:eastAsia="仿宋_GB2312" w:cs="仿宋_GB2312"/>
          <w:color w:val="auto"/>
          <w:sz w:val="32"/>
          <w:szCs w:val="32"/>
          <w:highlight w:val="none"/>
        </w:rPr>
      </w:pPr>
    </w:p>
    <w:p w14:paraId="64645F3D">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6A59D59">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674853D9">
      <w:pPr>
        <w:spacing w:line="360" w:lineRule="auto"/>
        <w:contextualSpacing/>
        <w:rPr>
          <w:rFonts w:hint="eastAsia" w:ascii="宋体" w:hAnsi="宋体" w:cs="仿宋_GB2312"/>
          <w:color w:val="auto"/>
          <w:sz w:val="24"/>
          <w:highlight w:val="none"/>
        </w:rPr>
      </w:pPr>
    </w:p>
    <w:p w14:paraId="694173DE">
      <w:pPr>
        <w:spacing w:line="360" w:lineRule="auto"/>
        <w:contextualSpacing/>
        <w:rPr>
          <w:rFonts w:hint="eastAsia" w:ascii="宋体" w:hAnsi="宋体" w:cs="仿宋_GB2312"/>
          <w:color w:val="auto"/>
          <w:sz w:val="24"/>
          <w:highlight w:val="none"/>
        </w:rPr>
      </w:pPr>
    </w:p>
    <w:p w14:paraId="3A7C2FB9">
      <w:pPr>
        <w:spacing w:line="360" w:lineRule="auto"/>
        <w:contextualSpacing/>
        <w:rPr>
          <w:rFonts w:hint="eastAsia" w:ascii="宋体" w:hAnsi="宋体" w:cs="仿宋_GB2312"/>
          <w:color w:val="auto"/>
          <w:sz w:val="24"/>
          <w:highlight w:val="none"/>
        </w:rPr>
      </w:pPr>
    </w:p>
    <w:p w14:paraId="3E5C115F">
      <w:pPr>
        <w:spacing w:line="360" w:lineRule="auto"/>
        <w:ind w:firstLine="2400" w:firstLineChars="1000"/>
        <w:contextualSpacing/>
        <w:rPr>
          <w:rFonts w:hint="eastAsia" w:ascii="宋体" w:hAnsi="宋体" w:cs="仿宋_GB2312"/>
          <w:color w:val="auto"/>
          <w:sz w:val="24"/>
          <w:highlight w:val="none"/>
        </w:rPr>
      </w:pPr>
      <w:r>
        <w:rPr>
          <w:rFonts w:hint="eastAsia" w:ascii="宋体" w:hAnsi="宋体" w:cs="仿宋_GB2312"/>
          <w:color w:val="auto"/>
          <w:sz w:val="24"/>
          <w:highlight w:val="none"/>
        </w:rPr>
        <w:t>单位名称（盖</w:t>
      </w:r>
      <w:r>
        <w:rPr>
          <w:rFonts w:hint="eastAsia" w:ascii="宋体" w:hAnsi="宋体" w:cs="仿宋_GB2312"/>
          <w:color w:val="auto"/>
          <w:sz w:val="24"/>
          <w:highlight w:val="none"/>
          <w:lang w:val="en-US" w:eastAsia="zh-CN"/>
        </w:rPr>
        <w:t>公</w:t>
      </w:r>
      <w:r>
        <w:rPr>
          <w:rFonts w:hint="eastAsia" w:ascii="宋体" w:hAnsi="宋体" w:cs="仿宋_GB2312"/>
          <w:color w:val="auto"/>
          <w:sz w:val="24"/>
          <w:highlight w:val="none"/>
        </w:rPr>
        <w:t>章）：</w:t>
      </w:r>
    </w:p>
    <w:p w14:paraId="794A2839">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日  期：</w:t>
      </w:r>
    </w:p>
    <w:p w14:paraId="5A60211A">
      <w:pPr>
        <w:spacing w:line="360" w:lineRule="auto"/>
        <w:contextualSpacing/>
        <w:rPr>
          <w:rFonts w:hint="eastAsia" w:ascii="宋体" w:hAnsi="宋体" w:cs="仿宋_GB2312"/>
          <w:color w:val="auto"/>
          <w:sz w:val="24"/>
          <w:highlight w:val="none"/>
        </w:rPr>
      </w:pPr>
    </w:p>
    <w:p w14:paraId="774FEFE2">
      <w:pPr>
        <w:spacing w:line="360" w:lineRule="auto"/>
        <w:contextualSpacing/>
        <w:rPr>
          <w:rFonts w:hint="eastAsia" w:ascii="宋体" w:hAnsi="宋体" w:cs="仿宋_GB2312"/>
          <w:color w:val="auto"/>
          <w:sz w:val="24"/>
          <w:highlight w:val="none"/>
        </w:rPr>
      </w:pPr>
    </w:p>
    <w:p w14:paraId="6C5F7AB5">
      <w:pPr>
        <w:spacing w:line="360" w:lineRule="auto"/>
        <w:contextualSpacing/>
        <w:rPr>
          <w:rFonts w:hint="eastAsia" w:ascii="宋体" w:hAnsi="宋体" w:cs="仿宋_GB2312"/>
          <w:color w:val="auto"/>
          <w:sz w:val="24"/>
          <w:highlight w:val="none"/>
        </w:rPr>
      </w:pPr>
    </w:p>
    <w:p w14:paraId="2D57939A">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w:t>
      </w:r>
      <w:r>
        <w:rPr>
          <w:rFonts w:hint="eastAsia" w:ascii="宋体" w:hAnsi="宋体" w:cs="仿宋_GB2312"/>
          <w:color w:val="auto"/>
          <w:sz w:val="24"/>
          <w:highlight w:val="none"/>
          <w:lang w:eastAsia="zh-CN"/>
        </w:rPr>
        <w:t>成交</w:t>
      </w:r>
      <w:r>
        <w:rPr>
          <w:rFonts w:hint="eastAsia" w:ascii="宋体" w:hAnsi="宋体" w:cs="仿宋_GB2312"/>
          <w:color w:val="auto"/>
          <w:sz w:val="24"/>
          <w:highlight w:val="none"/>
        </w:rPr>
        <w:t>结果时，同时公告其《残疾人福利性单位声明函》，接受社会监督。</w:t>
      </w:r>
    </w:p>
    <w:p w14:paraId="5703ECEC">
      <w:pPr>
        <w:spacing w:line="360" w:lineRule="auto"/>
        <w:jc w:val="center"/>
        <w:rPr>
          <w:rFonts w:hint="eastAsia" w:ascii="宋体" w:hAnsi="宋体"/>
          <w:b/>
          <w:bCs/>
          <w:color w:val="auto"/>
          <w:sz w:val="32"/>
          <w:szCs w:val="32"/>
          <w:highlight w:val="none"/>
        </w:rPr>
      </w:pPr>
      <w:r>
        <w:rPr>
          <w:rFonts w:ascii="宋体" w:hAnsi="宋体" w:cs="仿宋_GB2312"/>
          <w:color w:val="auto"/>
          <w:sz w:val="24"/>
          <w:highlight w:val="none"/>
        </w:rPr>
        <w:br w:type="page"/>
      </w:r>
      <w:r>
        <w:rPr>
          <w:rFonts w:hint="eastAsia" w:ascii="方正小标宋简体" w:hAnsi="方正小标宋简体" w:eastAsia="方正小标宋简体" w:cs="方正小标宋简体"/>
          <w:color w:val="auto"/>
          <w:sz w:val="44"/>
          <w:szCs w:val="44"/>
          <w:highlight w:val="none"/>
        </w:rPr>
        <w:t>质疑函（格式）</w:t>
      </w:r>
    </w:p>
    <w:p w14:paraId="29C85DCA">
      <w:pPr>
        <w:spacing w:line="360" w:lineRule="auto"/>
        <w:jc w:val="center"/>
        <w:rPr>
          <w:rFonts w:hint="eastAsia" w:ascii="宋体" w:hAnsi="宋体"/>
          <w:b/>
          <w:bCs/>
          <w:color w:val="auto"/>
          <w:sz w:val="32"/>
          <w:szCs w:val="32"/>
          <w:highlight w:val="none"/>
        </w:rPr>
      </w:pPr>
    </w:p>
    <w:p w14:paraId="2E613992">
      <w:pPr>
        <w:pStyle w:val="13"/>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14:paraId="4EAD8864">
      <w:pPr>
        <w:pStyle w:val="13"/>
        <w:spacing w:line="360" w:lineRule="auto"/>
        <w:ind w:firstLine="480" w:firstLineChars="200"/>
        <w:contextualSpacing/>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C11CDA6">
      <w:pPr>
        <w:pStyle w:val="13"/>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6BE6981">
      <w:pPr>
        <w:pStyle w:val="13"/>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04CD4ED0">
      <w:pPr>
        <w:pStyle w:val="13"/>
        <w:spacing w:line="360" w:lineRule="auto"/>
        <w:ind w:firstLine="480" w:firstLineChars="200"/>
        <w:contextualSpacing/>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619E1E3D">
      <w:pPr>
        <w:pStyle w:val="13"/>
        <w:spacing w:line="360" w:lineRule="auto"/>
        <w:ind w:firstLine="480" w:firstLineChars="200"/>
        <w:contextualSpacing/>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5708994C">
      <w:pPr>
        <w:pStyle w:val="13"/>
        <w:spacing w:line="36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71EA0685">
      <w:pPr>
        <w:pStyle w:val="13"/>
        <w:spacing w:line="360" w:lineRule="auto"/>
        <w:ind w:firstLine="482" w:firstLineChars="200"/>
        <w:contextualSpacing/>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5FEA8B3D">
      <w:pPr>
        <w:pStyle w:val="13"/>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53A747EC">
      <w:pPr>
        <w:pStyle w:val="13"/>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3B053801">
      <w:pPr>
        <w:pStyle w:val="13"/>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47A65435">
      <w:pPr>
        <w:pStyle w:val="13"/>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w:t>
      </w:r>
    </w:p>
    <w:p w14:paraId="3631A4BD">
      <w:pPr>
        <w:pStyle w:val="13"/>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00F34780">
      <w:pPr>
        <w:pStyle w:val="13"/>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 xml:space="preserve">□采购过程   </w:t>
      </w:r>
    </w:p>
    <w:p w14:paraId="777CAF44">
      <w:pPr>
        <w:pStyle w:val="13"/>
        <w:spacing w:line="360" w:lineRule="auto"/>
        <w:ind w:left="25" w:leftChars="12" w:firstLine="352" w:firstLineChars="147"/>
        <w:contextualSpacing/>
        <w:rPr>
          <w:rFonts w:hint="eastAsia" w:hAnsi="宋体"/>
          <w:bCs/>
          <w:color w:val="auto"/>
          <w:sz w:val="24"/>
          <w:szCs w:val="24"/>
          <w:highlight w:val="none"/>
          <w:u w:val="single"/>
        </w:rPr>
      </w:pPr>
      <w:r>
        <w:rPr>
          <w:rFonts w:hint="eastAsia" w:hAnsi="宋体"/>
          <w:color w:val="auto"/>
          <w:sz w:val="24"/>
          <w:szCs w:val="24"/>
          <w:highlight w:val="none"/>
        </w:rPr>
        <w:t xml:space="preserve">□成交结果   </w:t>
      </w:r>
    </w:p>
    <w:p w14:paraId="0448F4E8">
      <w:pPr>
        <w:pStyle w:val="13"/>
        <w:spacing w:line="360" w:lineRule="auto"/>
        <w:ind w:left="25" w:leftChars="12" w:firstLine="472" w:firstLineChars="196"/>
        <w:contextualSpacing/>
        <w:rPr>
          <w:rFonts w:hint="eastAsia" w:hAnsi="宋体"/>
          <w:b/>
          <w:color w:val="auto"/>
          <w:sz w:val="24"/>
          <w:szCs w:val="24"/>
          <w:highlight w:val="none"/>
        </w:rPr>
      </w:pPr>
      <w:r>
        <w:rPr>
          <w:rFonts w:hint="eastAsia" w:hAnsi="宋体"/>
          <w:b/>
          <w:color w:val="auto"/>
          <w:sz w:val="24"/>
          <w:szCs w:val="24"/>
          <w:highlight w:val="none"/>
        </w:rPr>
        <w:t>三、质疑事项具体内容</w:t>
      </w:r>
    </w:p>
    <w:p w14:paraId="59153244">
      <w:pPr>
        <w:pStyle w:val="13"/>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3E692C53">
      <w:pPr>
        <w:pStyle w:val="13"/>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2F8EBEBA">
      <w:pPr>
        <w:pStyle w:val="13"/>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1C8464E1">
      <w:pPr>
        <w:pStyle w:val="13"/>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质疑事项2</w:t>
      </w:r>
    </w:p>
    <w:p w14:paraId="4E3C6514">
      <w:pPr>
        <w:pStyle w:val="13"/>
        <w:spacing w:line="360" w:lineRule="auto"/>
        <w:ind w:left="25" w:leftChars="12" w:firstLine="472" w:firstLineChars="197"/>
        <w:contextualSpacing/>
        <w:rPr>
          <w:rFonts w:hint="eastAsia" w:hAnsi="宋体"/>
          <w:color w:val="auto"/>
          <w:sz w:val="24"/>
          <w:szCs w:val="24"/>
          <w:highlight w:val="none"/>
        </w:rPr>
      </w:pPr>
      <w:r>
        <w:rPr>
          <w:rFonts w:hAnsi="宋体"/>
          <w:color w:val="auto"/>
          <w:sz w:val="24"/>
          <w:szCs w:val="24"/>
          <w:highlight w:val="none"/>
        </w:rPr>
        <w:t>……</w:t>
      </w:r>
    </w:p>
    <w:p w14:paraId="36514081">
      <w:pPr>
        <w:pStyle w:val="13"/>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74D1C1C2">
      <w:pPr>
        <w:pStyle w:val="13"/>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68D5CDD1">
      <w:pPr>
        <w:pStyle w:val="13"/>
        <w:spacing w:line="360" w:lineRule="auto"/>
        <w:ind w:left="25" w:leftChars="12" w:firstLine="352" w:firstLineChars="147"/>
        <w:contextualSpacing/>
        <w:rPr>
          <w:rFonts w:hint="eastAsia" w:hAnsi="宋体"/>
          <w:color w:val="auto"/>
          <w:sz w:val="24"/>
          <w:szCs w:val="24"/>
          <w:highlight w:val="none"/>
        </w:rPr>
      </w:pPr>
    </w:p>
    <w:p w14:paraId="0A416DF2">
      <w:pPr>
        <w:pStyle w:val="13"/>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签字（签章）：                                       公章：</w:t>
      </w:r>
    </w:p>
    <w:p w14:paraId="30B90A87">
      <w:pPr>
        <w:pStyle w:val="13"/>
        <w:spacing w:line="360" w:lineRule="auto"/>
        <w:ind w:left="25" w:leftChars="12" w:firstLine="352" w:firstLineChars="147"/>
        <w:contextualSpacing/>
        <w:rPr>
          <w:rFonts w:hint="eastAsia" w:hAnsi="宋体"/>
          <w:color w:val="auto"/>
          <w:sz w:val="24"/>
          <w:szCs w:val="24"/>
          <w:highlight w:val="none"/>
        </w:rPr>
      </w:pPr>
    </w:p>
    <w:p w14:paraId="55D69A20">
      <w:pPr>
        <w:pStyle w:val="13"/>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日期：</w:t>
      </w:r>
    </w:p>
    <w:p w14:paraId="52FB4B5F">
      <w:pPr>
        <w:pStyle w:val="13"/>
        <w:spacing w:line="360" w:lineRule="auto"/>
        <w:contextualSpacing/>
        <w:rPr>
          <w:rFonts w:hint="eastAsia" w:hAnsi="宋体"/>
          <w:b/>
          <w:color w:val="auto"/>
          <w:sz w:val="24"/>
          <w:szCs w:val="24"/>
          <w:highlight w:val="none"/>
        </w:rPr>
      </w:pPr>
    </w:p>
    <w:p w14:paraId="63E24A5D">
      <w:pPr>
        <w:pStyle w:val="13"/>
        <w:spacing w:line="360" w:lineRule="auto"/>
        <w:contextualSpacing/>
        <w:rPr>
          <w:rFonts w:hint="eastAsia" w:hAnsi="宋体"/>
          <w:b/>
          <w:color w:val="auto"/>
          <w:sz w:val="24"/>
          <w:szCs w:val="24"/>
          <w:highlight w:val="none"/>
        </w:rPr>
      </w:pPr>
      <w:r>
        <w:rPr>
          <w:rFonts w:hint="eastAsia" w:hAnsi="宋体"/>
          <w:b/>
          <w:color w:val="auto"/>
          <w:sz w:val="24"/>
          <w:szCs w:val="24"/>
          <w:highlight w:val="none"/>
        </w:rPr>
        <w:t>说明：</w:t>
      </w:r>
    </w:p>
    <w:p w14:paraId="66465279">
      <w:pPr>
        <w:pStyle w:val="13"/>
        <w:spacing w:line="360" w:lineRule="auto"/>
        <w:ind w:left="25" w:leftChars="12" w:firstLine="354" w:firstLineChars="147"/>
        <w:contextualSpacing/>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7662336A">
      <w:pPr>
        <w:pStyle w:val="13"/>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E52F9FA">
      <w:pPr>
        <w:pStyle w:val="13"/>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7861DCF6">
      <w:pPr>
        <w:pStyle w:val="13"/>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5547B8D1">
      <w:pPr>
        <w:pStyle w:val="13"/>
        <w:spacing w:line="360" w:lineRule="auto"/>
        <w:ind w:left="25" w:leftChars="12" w:firstLine="354" w:firstLineChars="147"/>
        <w:contextualSpacing/>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72B06161">
      <w:pPr>
        <w:pStyle w:val="13"/>
        <w:snapToGrid w:val="0"/>
        <w:rPr>
          <w:rFonts w:hint="eastAsia"/>
          <w:b/>
          <w:color w:val="auto"/>
          <w:sz w:val="24"/>
          <w:szCs w:val="24"/>
          <w:highlight w:val="none"/>
        </w:rPr>
      </w:pPr>
    </w:p>
    <w:p w14:paraId="67D3A6EA">
      <w:pPr>
        <w:rPr>
          <w:rFonts w:hint="eastAsia"/>
          <w:color w:val="auto"/>
          <w:highlight w:val="none"/>
        </w:rPr>
      </w:pPr>
      <w:r>
        <w:rPr>
          <w:color w:val="auto"/>
          <w:highlight w:val="none"/>
        </w:rPr>
        <w:br w:type="page"/>
      </w:r>
    </w:p>
    <w:p w14:paraId="6CCAC7B1">
      <w:pPr>
        <w:spacing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111AE651">
      <w:pPr>
        <w:pStyle w:val="13"/>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1A062FFE">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0195D6F">
      <w:pPr>
        <w:pStyle w:val="13"/>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19E0600">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49704886">
      <w:pPr>
        <w:pStyle w:val="13"/>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47B3874F">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75504A9E">
      <w:pPr>
        <w:pStyle w:val="13"/>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4BCB299">
      <w:pPr>
        <w:pStyle w:val="13"/>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3522339">
      <w:pPr>
        <w:pStyle w:val="13"/>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被投诉人1：</w:t>
      </w:r>
    </w:p>
    <w:p w14:paraId="614B878C">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0EF4282A">
      <w:pPr>
        <w:pStyle w:val="13"/>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4C22E9C">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7EE66137">
      <w:pPr>
        <w:pStyle w:val="13"/>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被投诉人2：</w:t>
      </w:r>
    </w:p>
    <w:p w14:paraId="6560E7AA">
      <w:pPr>
        <w:pStyle w:val="13"/>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w:t>
      </w:r>
    </w:p>
    <w:p w14:paraId="1DE70DB9">
      <w:pPr>
        <w:pStyle w:val="13"/>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2D719EF7">
      <w:pPr>
        <w:pStyle w:val="13"/>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55332AE1">
      <w:pPr>
        <w:pStyle w:val="13"/>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5999ED9">
      <w:pPr>
        <w:pStyle w:val="13"/>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2B5C6CC0">
      <w:pPr>
        <w:pStyle w:val="13"/>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0D1518F0">
      <w:pPr>
        <w:pStyle w:val="13"/>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5EBAA2EF">
      <w:pPr>
        <w:pStyle w:val="13"/>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43D4D78C">
      <w:pPr>
        <w:pStyle w:val="13"/>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07E50E63">
      <w:pPr>
        <w:pStyle w:val="13"/>
        <w:spacing w:line="360" w:lineRule="auto"/>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397C46DE">
      <w:pPr>
        <w:pStyle w:val="13"/>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2498167A">
      <w:pPr>
        <w:pStyle w:val="13"/>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14:paraId="25813DB7">
      <w:pPr>
        <w:pStyle w:val="13"/>
        <w:spacing w:line="360" w:lineRule="auto"/>
        <w:ind w:left="23" w:leftChars="11" w:firstLine="540" w:firstLineChars="225"/>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59FE647D">
      <w:pPr>
        <w:pStyle w:val="13"/>
        <w:spacing w:line="360" w:lineRule="auto"/>
        <w:ind w:left="23" w:leftChars="11" w:firstLine="540" w:firstLineChars="225"/>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64BB4E4E">
      <w:pPr>
        <w:pStyle w:val="13"/>
        <w:spacing w:line="360" w:lineRule="auto"/>
        <w:ind w:left="23" w:leftChars="11" w:firstLine="540" w:firstLineChars="225"/>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2A5EEC55">
      <w:pPr>
        <w:pStyle w:val="13"/>
        <w:spacing w:line="360" w:lineRule="auto"/>
        <w:ind w:left="23" w:leftChars="11" w:firstLine="540" w:firstLineChars="225"/>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2341DB72">
      <w:pPr>
        <w:pStyle w:val="13"/>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14:paraId="4BC00F76">
      <w:pPr>
        <w:pStyle w:val="13"/>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70B68967">
      <w:pPr>
        <w:pStyle w:val="13"/>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1CE7FF4C">
      <w:pPr>
        <w:pStyle w:val="13"/>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14:paraId="120F1C2B">
      <w:pPr>
        <w:pStyle w:val="13"/>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77A739CB">
      <w:pPr>
        <w:pStyle w:val="13"/>
        <w:spacing w:line="360" w:lineRule="auto"/>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2E324C96">
      <w:pPr>
        <w:pStyle w:val="13"/>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568ABF3B">
      <w:pPr>
        <w:pStyle w:val="13"/>
        <w:spacing w:line="360"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14:paraId="2078025F">
      <w:pPr>
        <w:pStyle w:val="13"/>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624D22E0">
      <w:pPr>
        <w:pStyle w:val="13"/>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3828DB87">
      <w:pPr>
        <w:pStyle w:val="13"/>
        <w:spacing w:line="360" w:lineRule="auto"/>
        <w:ind w:left="25" w:leftChars="12" w:firstLine="352" w:firstLineChars="147"/>
        <w:rPr>
          <w:rFonts w:hint="eastAsia" w:hAnsi="宋体"/>
          <w:color w:val="auto"/>
          <w:sz w:val="24"/>
          <w:szCs w:val="24"/>
          <w:highlight w:val="none"/>
        </w:rPr>
      </w:pPr>
    </w:p>
    <w:p w14:paraId="102EEF06">
      <w:pPr>
        <w:pStyle w:val="13"/>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248BB4DC">
      <w:pPr>
        <w:pStyle w:val="13"/>
        <w:spacing w:line="360" w:lineRule="auto"/>
        <w:ind w:left="25" w:leftChars="12" w:firstLine="352" w:firstLineChars="147"/>
        <w:rPr>
          <w:rFonts w:hint="eastAsia" w:hAnsi="宋体"/>
          <w:color w:val="auto"/>
          <w:sz w:val="24"/>
          <w:szCs w:val="24"/>
          <w:highlight w:val="none"/>
        </w:rPr>
      </w:pPr>
    </w:p>
    <w:p w14:paraId="626644A0">
      <w:pPr>
        <w:pStyle w:val="13"/>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3E34D393">
      <w:pPr>
        <w:pStyle w:val="13"/>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 xml:space="preserve">                                                                                 </w:t>
      </w:r>
    </w:p>
    <w:p w14:paraId="00C12275">
      <w:pPr>
        <w:pStyle w:val="13"/>
        <w:snapToGrid w:val="0"/>
        <w:spacing w:line="360" w:lineRule="auto"/>
        <w:rPr>
          <w:rFonts w:hint="eastAsia" w:hAnsi="宋体"/>
          <w:b/>
          <w:color w:val="auto"/>
          <w:sz w:val="24"/>
          <w:szCs w:val="24"/>
          <w:highlight w:val="none"/>
        </w:rPr>
      </w:pPr>
    </w:p>
    <w:p w14:paraId="0D4B2320">
      <w:pPr>
        <w:pStyle w:val="13"/>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14:paraId="772677B3">
      <w:pPr>
        <w:pStyle w:val="13"/>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1D3DDEB5">
      <w:pPr>
        <w:pStyle w:val="13"/>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107EE69">
      <w:pPr>
        <w:pStyle w:val="13"/>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4B946E28">
      <w:pPr>
        <w:pStyle w:val="13"/>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0331B9CD">
      <w:pPr>
        <w:pStyle w:val="13"/>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183DA176">
      <w:pPr>
        <w:pStyle w:val="13"/>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7E7416A5">
      <w:pPr>
        <w:pStyle w:val="2"/>
        <w:jc w:val="center"/>
        <w:rPr>
          <w:rFonts w:hint="eastAsia"/>
          <w:color w:val="auto"/>
          <w:highlight w:val="none"/>
        </w:rPr>
      </w:pPr>
      <w:r>
        <w:rPr>
          <w:color w:val="auto"/>
          <w:highlight w:val="none"/>
        </w:rPr>
        <w:br w:type="page"/>
      </w:r>
      <w:bookmarkStart w:id="63" w:name="_Toc74322013"/>
      <w:r>
        <w:rPr>
          <w:rFonts w:hint="eastAsia"/>
          <w:color w:val="auto"/>
          <w:highlight w:val="none"/>
        </w:rPr>
        <w:t>第六章 合同文本</w:t>
      </w:r>
      <w:bookmarkEnd w:id="63"/>
    </w:p>
    <w:p w14:paraId="2FC6F40E">
      <w:pPr>
        <w:snapToGrid w:val="0"/>
        <w:spacing w:line="400" w:lineRule="exact"/>
        <w:jc w:val="center"/>
        <w:rPr>
          <w:rFonts w:hint="eastAsia" w:ascii="宋体" w:hAnsi="宋体"/>
          <w:b/>
          <w:bCs/>
          <w:color w:val="auto"/>
          <w:sz w:val="32"/>
          <w:szCs w:val="32"/>
          <w:highlight w:val="none"/>
        </w:rPr>
      </w:pPr>
    </w:p>
    <w:p w14:paraId="67FF0C63">
      <w:pPr>
        <w:snapToGrid w:val="0"/>
        <w:spacing w:line="400" w:lineRule="exact"/>
        <w:jc w:val="center"/>
        <w:rPr>
          <w:rFonts w:hint="eastAsia" w:ascii="宋体" w:hAnsi="宋体"/>
          <w:b/>
          <w:bCs/>
          <w:color w:val="auto"/>
          <w:sz w:val="32"/>
          <w:szCs w:val="32"/>
          <w:highlight w:val="none"/>
        </w:rPr>
      </w:pPr>
    </w:p>
    <w:p w14:paraId="0D9C8812">
      <w:pPr>
        <w:snapToGrid w:val="0"/>
        <w:spacing w:line="400" w:lineRule="exact"/>
        <w:jc w:val="center"/>
        <w:rPr>
          <w:rFonts w:hint="eastAsia" w:ascii="宋体" w:hAnsi="宋体"/>
          <w:b/>
          <w:bCs/>
          <w:color w:val="auto"/>
          <w:sz w:val="32"/>
          <w:szCs w:val="32"/>
          <w:highlight w:val="none"/>
        </w:rPr>
      </w:pPr>
    </w:p>
    <w:p w14:paraId="0B7A8A3F">
      <w:pPr>
        <w:snapToGrid w:val="0"/>
        <w:spacing w:line="400" w:lineRule="exact"/>
        <w:jc w:val="center"/>
        <w:rPr>
          <w:rFonts w:hint="eastAsia" w:ascii="宋体" w:hAnsi="宋体"/>
          <w:b/>
          <w:bCs/>
          <w:color w:val="auto"/>
          <w:sz w:val="32"/>
          <w:szCs w:val="32"/>
          <w:highlight w:val="none"/>
        </w:rPr>
      </w:pPr>
    </w:p>
    <w:p w14:paraId="42DA94C4">
      <w:pPr>
        <w:snapToGrid w:val="0"/>
        <w:spacing w:line="400" w:lineRule="exact"/>
        <w:jc w:val="center"/>
        <w:rPr>
          <w:rFonts w:hint="eastAsia" w:ascii="宋体" w:hAnsi="宋体"/>
          <w:b/>
          <w:bCs/>
          <w:color w:val="auto"/>
          <w:sz w:val="32"/>
          <w:szCs w:val="32"/>
          <w:highlight w:val="none"/>
        </w:rPr>
      </w:pPr>
    </w:p>
    <w:p w14:paraId="6423BFD5">
      <w:pPr>
        <w:snapToGrid w:val="0"/>
        <w:spacing w:line="400" w:lineRule="exact"/>
        <w:jc w:val="center"/>
        <w:rPr>
          <w:rFonts w:hint="eastAsia" w:ascii="宋体" w:hAnsi="宋体"/>
          <w:b/>
          <w:bCs/>
          <w:color w:val="auto"/>
          <w:sz w:val="32"/>
          <w:szCs w:val="32"/>
          <w:highlight w:val="none"/>
        </w:rPr>
      </w:pPr>
    </w:p>
    <w:p w14:paraId="3F1C3F29">
      <w:pPr>
        <w:snapToGrid w:val="0"/>
        <w:spacing w:line="400" w:lineRule="exact"/>
        <w:jc w:val="center"/>
        <w:rPr>
          <w:rFonts w:hint="eastAsia" w:ascii="宋体" w:hAnsi="宋体"/>
          <w:b/>
          <w:bCs/>
          <w:color w:val="auto"/>
          <w:sz w:val="32"/>
          <w:szCs w:val="32"/>
          <w:highlight w:val="none"/>
        </w:rPr>
      </w:pPr>
    </w:p>
    <w:p w14:paraId="213AB6CF">
      <w:pPr>
        <w:snapToGrid w:val="0"/>
        <w:spacing w:line="400" w:lineRule="exact"/>
        <w:jc w:val="center"/>
        <w:rPr>
          <w:rFonts w:hint="eastAsia" w:ascii="宋体" w:hAnsi="宋体"/>
          <w:b/>
          <w:bCs/>
          <w:color w:val="auto"/>
          <w:sz w:val="32"/>
          <w:szCs w:val="32"/>
          <w:highlight w:val="none"/>
        </w:rPr>
      </w:pPr>
    </w:p>
    <w:p w14:paraId="3AA4BC9F">
      <w:pPr>
        <w:snapToGrid w:val="0"/>
        <w:spacing w:line="400" w:lineRule="exact"/>
        <w:jc w:val="center"/>
        <w:rPr>
          <w:rFonts w:hint="eastAsia" w:ascii="宋体" w:hAnsi="宋体"/>
          <w:b/>
          <w:bCs/>
          <w:color w:val="auto"/>
          <w:sz w:val="32"/>
          <w:szCs w:val="32"/>
          <w:highlight w:val="none"/>
        </w:rPr>
      </w:pPr>
    </w:p>
    <w:p w14:paraId="40E31F3C">
      <w:pPr>
        <w:snapToGrid w:val="0"/>
        <w:spacing w:line="400" w:lineRule="exact"/>
        <w:jc w:val="center"/>
        <w:rPr>
          <w:rFonts w:hint="eastAsia" w:ascii="宋体" w:hAnsi="宋体"/>
          <w:b/>
          <w:bCs/>
          <w:color w:val="auto"/>
          <w:sz w:val="32"/>
          <w:szCs w:val="32"/>
          <w:highlight w:val="none"/>
        </w:rPr>
      </w:pPr>
    </w:p>
    <w:p w14:paraId="25B4669E">
      <w:pPr>
        <w:snapToGrid w:val="0"/>
        <w:spacing w:line="400" w:lineRule="exact"/>
        <w:jc w:val="center"/>
        <w:rPr>
          <w:rFonts w:hint="eastAsia" w:ascii="宋体" w:hAnsi="宋体"/>
          <w:b/>
          <w:bCs/>
          <w:color w:val="auto"/>
          <w:sz w:val="32"/>
          <w:szCs w:val="32"/>
          <w:highlight w:val="none"/>
        </w:rPr>
      </w:pPr>
    </w:p>
    <w:p w14:paraId="69229101">
      <w:pPr>
        <w:snapToGrid w:val="0"/>
        <w:spacing w:line="400" w:lineRule="exact"/>
        <w:jc w:val="center"/>
        <w:rPr>
          <w:rFonts w:hint="eastAsia" w:ascii="宋体" w:hAnsi="宋体"/>
          <w:b/>
          <w:bCs/>
          <w:color w:val="auto"/>
          <w:sz w:val="32"/>
          <w:szCs w:val="32"/>
          <w:highlight w:val="none"/>
        </w:rPr>
      </w:pPr>
    </w:p>
    <w:p w14:paraId="7C8F4A77">
      <w:pPr>
        <w:snapToGrid w:val="0"/>
        <w:spacing w:line="400" w:lineRule="exact"/>
        <w:jc w:val="center"/>
        <w:rPr>
          <w:rFonts w:hint="eastAsia" w:ascii="宋体" w:hAnsi="宋体"/>
          <w:b/>
          <w:bCs/>
          <w:color w:val="auto"/>
          <w:sz w:val="32"/>
          <w:szCs w:val="32"/>
          <w:highlight w:val="none"/>
        </w:rPr>
      </w:pPr>
    </w:p>
    <w:p w14:paraId="46201E92">
      <w:pPr>
        <w:snapToGrid w:val="0"/>
        <w:spacing w:line="400" w:lineRule="exact"/>
        <w:jc w:val="center"/>
        <w:rPr>
          <w:rFonts w:hint="eastAsia" w:ascii="宋体" w:hAnsi="宋体"/>
          <w:b/>
          <w:bCs/>
          <w:color w:val="auto"/>
          <w:sz w:val="32"/>
          <w:szCs w:val="32"/>
          <w:highlight w:val="none"/>
        </w:rPr>
      </w:pPr>
    </w:p>
    <w:p w14:paraId="10F0F4F4">
      <w:pPr>
        <w:snapToGrid w:val="0"/>
        <w:spacing w:line="400" w:lineRule="exact"/>
        <w:jc w:val="center"/>
        <w:rPr>
          <w:rFonts w:hint="eastAsia" w:ascii="宋体" w:hAnsi="宋体"/>
          <w:b/>
          <w:bCs/>
          <w:color w:val="auto"/>
          <w:sz w:val="32"/>
          <w:szCs w:val="32"/>
          <w:highlight w:val="none"/>
        </w:rPr>
      </w:pPr>
    </w:p>
    <w:p w14:paraId="0B109109">
      <w:pPr>
        <w:snapToGrid w:val="0"/>
        <w:spacing w:line="400" w:lineRule="exact"/>
        <w:jc w:val="center"/>
        <w:rPr>
          <w:rFonts w:hint="eastAsia" w:ascii="宋体" w:hAnsi="宋体"/>
          <w:b/>
          <w:bCs/>
          <w:color w:val="auto"/>
          <w:sz w:val="32"/>
          <w:szCs w:val="32"/>
          <w:highlight w:val="none"/>
        </w:rPr>
      </w:pPr>
    </w:p>
    <w:p w14:paraId="5433EC50">
      <w:pPr>
        <w:snapToGrid w:val="0"/>
        <w:spacing w:line="400" w:lineRule="exact"/>
        <w:jc w:val="center"/>
        <w:rPr>
          <w:rFonts w:hint="eastAsia" w:ascii="宋体" w:hAnsi="宋体"/>
          <w:b/>
          <w:bCs/>
          <w:color w:val="auto"/>
          <w:sz w:val="32"/>
          <w:szCs w:val="32"/>
          <w:highlight w:val="none"/>
        </w:rPr>
      </w:pPr>
    </w:p>
    <w:p w14:paraId="68CD54DB">
      <w:pPr>
        <w:snapToGrid w:val="0"/>
        <w:spacing w:line="400" w:lineRule="exact"/>
        <w:jc w:val="center"/>
        <w:rPr>
          <w:rFonts w:hint="eastAsia" w:ascii="宋体" w:hAnsi="宋体"/>
          <w:b/>
          <w:bCs/>
          <w:color w:val="auto"/>
          <w:sz w:val="32"/>
          <w:szCs w:val="32"/>
          <w:highlight w:val="none"/>
        </w:rPr>
      </w:pPr>
    </w:p>
    <w:p w14:paraId="3D072FA2">
      <w:pPr>
        <w:snapToGrid w:val="0"/>
        <w:spacing w:line="400" w:lineRule="exact"/>
        <w:jc w:val="center"/>
        <w:rPr>
          <w:rFonts w:hint="eastAsia" w:ascii="宋体" w:hAnsi="宋体"/>
          <w:b/>
          <w:bCs/>
          <w:color w:val="auto"/>
          <w:sz w:val="32"/>
          <w:szCs w:val="32"/>
          <w:highlight w:val="none"/>
        </w:rPr>
      </w:pPr>
    </w:p>
    <w:p w14:paraId="2000AF79">
      <w:pPr>
        <w:snapToGrid w:val="0"/>
        <w:spacing w:line="400" w:lineRule="exact"/>
        <w:jc w:val="center"/>
        <w:rPr>
          <w:rFonts w:hint="eastAsia" w:ascii="宋体" w:hAnsi="宋体"/>
          <w:b/>
          <w:bCs/>
          <w:color w:val="auto"/>
          <w:sz w:val="32"/>
          <w:szCs w:val="32"/>
          <w:highlight w:val="none"/>
        </w:rPr>
      </w:pPr>
    </w:p>
    <w:p w14:paraId="74663427">
      <w:pPr>
        <w:snapToGrid w:val="0"/>
        <w:spacing w:line="400" w:lineRule="exact"/>
        <w:jc w:val="center"/>
        <w:rPr>
          <w:rFonts w:hint="eastAsia" w:ascii="宋体" w:hAnsi="宋体"/>
          <w:b/>
          <w:bCs/>
          <w:color w:val="auto"/>
          <w:sz w:val="32"/>
          <w:szCs w:val="32"/>
          <w:highlight w:val="none"/>
        </w:rPr>
      </w:pPr>
    </w:p>
    <w:p w14:paraId="0BDFBDE9">
      <w:pPr>
        <w:snapToGrid w:val="0"/>
        <w:spacing w:line="400" w:lineRule="exact"/>
        <w:jc w:val="center"/>
        <w:rPr>
          <w:rFonts w:hint="eastAsia" w:ascii="宋体" w:hAnsi="宋体"/>
          <w:b/>
          <w:bCs/>
          <w:color w:val="auto"/>
          <w:sz w:val="32"/>
          <w:szCs w:val="32"/>
          <w:highlight w:val="none"/>
        </w:rPr>
      </w:pPr>
    </w:p>
    <w:p w14:paraId="17DDC57A">
      <w:pPr>
        <w:snapToGrid w:val="0"/>
        <w:spacing w:line="400" w:lineRule="exact"/>
        <w:jc w:val="center"/>
        <w:rPr>
          <w:rFonts w:hint="eastAsia" w:ascii="宋体" w:hAnsi="宋体"/>
          <w:b/>
          <w:bCs/>
          <w:color w:val="auto"/>
          <w:sz w:val="32"/>
          <w:szCs w:val="32"/>
          <w:highlight w:val="none"/>
        </w:rPr>
      </w:pPr>
    </w:p>
    <w:p w14:paraId="00BDFB34">
      <w:pPr>
        <w:snapToGrid w:val="0"/>
        <w:spacing w:line="400" w:lineRule="exact"/>
        <w:jc w:val="center"/>
        <w:rPr>
          <w:rFonts w:hint="eastAsia" w:ascii="宋体" w:hAnsi="宋体"/>
          <w:b/>
          <w:bCs/>
          <w:color w:val="auto"/>
          <w:sz w:val="32"/>
          <w:szCs w:val="32"/>
          <w:highlight w:val="none"/>
        </w:rPr>
      </w:pPr>
    </w:p>
    <w:p w14:paraId="16482E98">
      <w:pPr>
        <w:snapToGrid w:val="0"/>
        <w:spacing w:line="400" w:lineRule="exact"/>
        <w:jc w:val="center"/>
        <w:rPr>
          <w:rFonts w:hint="eastAsia" w:ascii="宋体" w:hAnsi="宋体"/>
          <w:b/>
          <w:bCs/>
          <w:color w:val="auto"/>
          <w:sz w:val="32"/>
          <w:szCs w:val="32"/>
          <w:highlight w:val="none"/>
        </w:rPr>
      </w:pPr>
    </w:p>
    <w:p w14:paraId="2760FD2E">
      <w:pPr>
        <w:snapToGrid w:val="0"/>
        <w:spacing w:line="400" w:lineRule="exact"/>
        <w:jc w:val="center"/>
        <w:rPr>
          <w:rFonts w:hint="eastAsia" w:ascii="宋体" w:hAnsi="宋体"/>
          <w:b/>
          <w:bCs/>
          <w:color w:val="auto"/>
          <w:sz w:val="32"/>
          <w:szCs w:val="32"/>
          <w:highlight w:val="none"/>
        </w:rPr>
      </w:pPr>
    </w:p>
    <w:p w14:paraId="00BD02CA">
      <w:pPr>
        <w:snapToGrid w:val="0"/>
        <w:spacing w:line="400" w:lineRule="exact"/>
        <w:jc w:val="center"/>
        <w:rPr>
          <w:rFonts w:hint="eastAsia" w:ascii="宋体" w:hAnsi="宋体"/>
          <w:b/>
          <w:bCs/>
          <w:color w:val="auto"/>
          <w:sz w:val="32"/>
          <w:szCs w:val="32"/>
          <w:highlight w:val="none"/>
        </w:rPr>
      </w:pPr>
    </w:p>
    <w:p w14:paraId="7D332EC7">
      <w:pPr>
        <w:snapToGrid w:val="0"/>
        <w:spacing w:line="400" w:lineRule="exact"/>
        <w:jc w:val="center"/>
        <w:rPr>
          <w:rFonts w:hint="eastAsia" w:ascii="宋体" w:hAnsi="宋体"/>
          <w:b/>
          <w:bCs/>
          <w:color w:val="auto"/>
          <w:sz w:val="32"/>
          <w:szCs w:val="32"/>
          <w:highlight w:val="none"/>
        </w:rPr>
      </w:pPr>
    </w:p>
    <w:p w14:paraId="33ADE10E">
      <w:pPr>
        <w:snapToGrid w:val="0"/>
        <w:spacing w:line="400" w:lineRule="exact"/>
        <w:jc w:val="center"/>
        <w:rPr>
          <w:rFonts w:hint="eastAsia" w:ascii="宋体" w:hAnsi="宋体"/>
          <w:b/>
          <w:bCs/>
          <w:color w:val="auto"/>
          <w:sz w:val="32"/>
          <w:szCs w:val="32"/>
          <w:highlight w:val="none"/>
        </w:rPr>
      </w:pPr>
    </w:p>
    <w:p w14:paraId="5084EF0F">
      <w:pPr>
        <w:snapToGrid w:val="0"/>
        <w:spacing w:line="400" w:lineRule="exact"/>
        <w:jc w:val="center"/>
        <w:rPr>
          <w:rFonts w:hint="eastAsia" w:ascii="宋体" w:hAnsi="宋体"/>
          <w:b/>
          <w:bCs/>
          <w:color w:val="auto"/>
          <w:sz w:val="32"/>
          <w:szCs w:val="32"/>
          <w:highlight w:val="none"/>
        </w:rPr>
      </w:pPr>
    </w:p>
    <w:p w14:paraId="28B7B81B">
      <w:pPr>
        <w:snapToGrid w:val="0"/>
        <w:spacing w:line="400" w:lineRule="exact"/>
        <w:jc w:val="both"/>
        <w:rPr>
          <w:rFonts w:hint="eastAsia" w:ascii="宋体" w:hAnsi="宋体"/>
          <w:b/>
          <w:bCs/>
          <w:color w:val="auto"/>
          <w:sz w:val="32"/>
          <w:szCs w:val="32"/>
          <w:highlight w:val="none"/>
        </w:rPr>
      </w:pPr>
    </w:p>
    <w:p w14:paraId="2BB545B8">
      <w:pPr>
        <w:snapToGrid w:val="0"/>
        <w:spacing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r>
        <w:rPr>
          <w:rFonts w:hint="eastAsia" w:ascii="宋体" w:hAnsi="宋体"/>
          <w:b/>
          <w:color w:val="auto"/>
          <w:sz w:val="32"/>
          <w:szCs w:val="32"/>
          <w:highlight w:val="none"/>
        </w:rPr>
        <w:t>文本</w:t>
      </w:r>
    </w:p>
    <w:p w14:paraId="11B4F3A3">
      <w:pPr>
        <w:snapToGrid w:val="0"/>
        <w:spacing w:line="400" w:lineRule="exact"/>
        <w:ind w:right="480" w:firstLine="5250" w:firstLineChars="2500"/>
        <w:rPr>
          <w:rFonts w:hint="eastAsia" w:ascii="宋体" w:hAnsi="宋体"/>
          <w:bCs/>
          <w:color w:val="auto"/>
          <w:szCs w:val="21"/>
          <w:highlight w:val="none"/>
        </w:rPr>
      </w:pPr>
    </w:p>
    <w:p w14:paraId="1D46F393">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800" w:firstLineChars="200"/>
        <w:jc w:val="center"/>
        <w:textAlignment w:val="baseline"/>
        <w:rPr>
          <w:rFonts w:hint="eastAsia" w:ascii="宋体" w:hAnsi="宋体" w:eastAsia="宋体" w:cs="宋体"/>
          <w:sz w:val="40"/>
          <w:szCs w:val="40"/>
        </w:rPr>
      </w:pPr>
      <w:r>
        <w:rPr>
          <w:rFonts w:hint="eastAsia" w:ascii="宋体" w:hAnsi="宋体" w:eastAsia="宋体" w:cs="宋体"/>
          <w:sz w:val="40"/>
          <w:szCs w:val="40"/>
        </w:rPr>
        <w:t>政府采购合同</w:t>
      </w:r>
    </w:p>
    <w:p w14:paraId="1457E067">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4958B681">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u w:val="single"/>
          <w:lang w:val="en-US" w:eastAsia="zh-CN"/>
        </w:rPr>
      </w:pPr>
      <w:r>
        <w:rPr>
          <w:rFonts w:hint="eastAsia" w:ascii="宋体" w:hAnsi="宋体" w:eastAsia="宋体" w:cs="宋体"/>
          <w:sz w:val="22"/>
          <w:szCs w:val="22"/>
        </w:rPr>
        <w:t>合同编号：</w:t>
      </w:r>
      <w:r>
        <w:rPr>
          <w:rFonts w:hint="eastAsia" w:ascii="宋体" w:hAnsi="宋体" w:eastAsia="宋体" w:cs="宋体"/>
          <w:sz w:val="22"/>
          <w:szCs w:val="22"/>
          <w:u w:val="single"/>
          <w:lang w:val="en-US" w:eastAsia="zh-CN"/>
        </w:rPr>
        <w:t xml:space="preserve">       </w:t>
      </w:r>
    </w:p>
    <w:p w14:paraId="3D27C45E">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u w:val="single"/>
          <w:lang w:val="en-US" w:eastAsia="zh-CN"/>
        </w:rPr>
      </w:pPr>
      <w:r>
        <w:rPr>
          <w:rFonts w:hint="eastAsia" w:ascii="宋体" w:hAnsi="宋体" w:eastAsia="宋体" w:cs="宋体"/>
          <w:sz w:val="22"/>
          <w:szCs w:val="22"/>
        </w:rPr>
        <w:t xml:space="preserve">（ 甲方） ： </w:t>
      </w:r>
      <w:r>
        <w:rPr>
          <w:rFonts w:hint="eastAsia" w:ascii="宋体" w:hAnsi="宋体" w:eastAsia="宋体" w:cs="宋体"/>
          <w:sz w:val="22"/>
          <w:szCs w:val="22"/>
          <w:u w:val="single"/>
          <w:lang w:val="en-US" w:eastAsia="zh-CN"/>
        </w:rPr>
        <w:t xml:space="preserve">      </w:t>
      </w:r>
    </w:p>
    <w:p w14:paraId="65F30346">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u w:val="single"/>
          <w:lang w:val="en-US" w:eastAsia="zh-CN"/>
        </w:rPr>
      </w:pPr>
      <w:r>
        <w:rPr>
          <w:rFonts w:hint="eastAsia" w:ascii="宋体" w:hAnsi="宋体" w:eastAsia="宋体" w:cs="宋体"/>
          <w:sz w:val="22"/>
          <w:szCs w:val="22"/>
        </w:rPr>
        <w:t>（ 乙方） ：</w:t>
      </w:r>
      <w:r>
        <w:rPr>
          <w:rFonts w:hint="eastAsia" w:ascii="宋体" w:hAnsi="宋体" w:eastAsia="宋体" w:cs="宋体"/>
          <w:sz w:val="22"/>
          <w:szCs w:val="22"/>
          <w:u w:val="single"/>
          <w:lang w:val="en-US" w:eastAsia="zh-CN"/>
        </w:rPr>
        <w:t xml:space="preserve">        </w:t>
      </w:r>
    </w:p>
    <w:p w14:paraId="55E2D75E">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采购计划表编号：  </w:t>
      </w:r>
    </w:p>
    <w:p w14:paraId="09AC421C">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项目名称及编号： </w:t>
      </w:r>
    </w:p>
    <w:p w14:paraId="27FDDE5E">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签  订  地  点 ：       </w:t>
      </w:r>
    </w:p>
    <w:p w14:paraId="3D030791">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签 订 时 间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年</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月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日</w:t>
      </w:r>
    </w:p>
    <w:p w14:paraId="1A7F70C0">
      <w:pPr>
        <w:keepNext w:val="0"/>
        <w:keepLines w:val="0"/>
        <w:pageBreakBefore w:val="0"/>
        <w:widowControl/>
        <w:tabs>
          <w:tab w:val="left" w:pos="9660"/>
        </w:tabs>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根据《中华人民共和国政府采购法》、《中华人民共和国民法典》等法律、法规规定，按照招投标文 件（采购文件）规定条款和中标（成交）供应商承诺， 甲乙双方签订本合同。</w:t>
      </w:r>
    </w:p>
    <w:p w14:paraId="2DDC01CB">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一、服务范围：</w:t>
      </w:r>
    </w:p>
    <w:p w14:paraId="5A267E2F">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2025年春秋两季“四害”消杀服务</w:t>
      </w:r>
      <w:r>
        <w:rPr>
          <w:rFonts w:hint="eastAsia" w:ascii="宋体" w:hAnsi="宋体" w:eastAsia="宋体" w:cs="宋体"/>
          <w:sz w:val="22"/>
          <w:szCs w:val="22"/>
          <w:lang w:val="en-US" w:eastAsia="zh-CN"/>
        </w:rPr>
        <w:t>范围</w:t>
      </w:r>
      <w:r>
        <w:rPr>
          <w:rFonts w:hint="eastAsia" w:ascii="宋体" w:hAnsi="宋体" w:eastAsia="宋体" w:cs="宋体"/>
          <w:sz w:val="22"/>
          <w:szCs w:val="22"/>
        </w:rPr>
        <w:t>：</w:t>
      </w:r>
    </w:p>
    <w:p w14:paraId="11499362">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消杀范围为西林县城建成区的城中、城北、城南、城西四个社区内机关单位、企事业单位、学校（含幼儿园）、医疗卫生机构、居民小区、公园(体育场)、城区公共区域绿化、城区公共区域下水道、垃圾中转站、建筑工地、“四小”行业、酒店宾馆、公厕、垃圾填埋场、农贸市场、城区内河道两岸和岛屿、江心岛、经贸酒店背后菜地、城中村（八洋屯、火亮山屯、宏达屯、中街、北街、东街）和城乡结合部（火亮山路法院路口一带、迎宾路公路养护中心一带、隆林三岔路口一带、城西新红一二组）等区域进行房前屋后灭鼠、灭蟑、灭蝇、灭蚊服务工作。</w:t>
      </w:r>
    </w:p>
    <w:p w14:paraId="4A707224">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二、工作要求：</w:t>
      </w:r>
    </w:p>
    <w:p w14:paraId="651BED4F">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220" w:firstLineChars="100"/>
        <w:textAlignment w:val="baseline"/>
        <w:rPr>
          <w:rFonts w:hint="eastAsia" w:ascii="宋体" w:hAnsi="宋体" w:eastAsia="宋体" w:cs="宋体"/>
          <w:sz w:val="22"/>
          <w:szCs w:val="22"/>
        </w:rPr>
      </w:pPr>
      <w:r>
        <w:rPr>
          <w:rFonts w:hint="eastAsia" w:ascii="宋体" w:hAnsi="宋体" w:eastAsia="宋体" w:cs="宋体"/>
          <w:sz w:val="22"/>
          <w:szCs w:val="22"/>
        </w:rPr>
        <w:t>（1）乙方负责服务范围内的灭鼠灭蟑灭蝇灭蚊服务</w:t>
      </w:r>
      <w:r>
        <w:rPr>
          <w:rFonts w:hint="eastAsia" w:ascii="宋体" w:hAnsi="宋体" w:eastAsia="宋体" w:cs="宋体"/>
          <w:sz w:val="22"/>
          <w:szCs w:val="22"/>
          <w:lang w:val="en-US" w:eastAsia="zh-CN"/>
        </w:rPr>
        <w:t>至少2</w:t>
      </w:r>
      <w:r>
        <w:rPr>
          <w:rFonts w:hint="eastAsia" w:ascii="宋体" w:hAnsi="宋体" w:eastAsia="宋体" w:cs="宋体"/>
          <w:sz w:val="22"/>
          <w:szCs w:val="22"/>
        </w:rPr>
        <w:t xml:space="preserve"> 次（</w:t>
      </w:r>
      <w:r>
        <w:rPr>
          <w:rFonts w:hint="eastAsia" w:ascii="Times New Roman" w:hAnsi="Times New Roman" w:eastAsia="宋体" w:cs="Times New Roman"/>
          <w:color w:val="FF0000"/>
          <w:kern w:val="2"/>
          <w:sz w:val="21"/>
          <w:szCs w:val="24"/>
          <w:lang w:val="en-US" w:eastAsia="zh-CN" w:bidi="ar-SA"/>
        </w:rPr>
        <w:t>上半年于7月31日前和下半年于11月30日前在消杀范围区域内各统一消杀一次，中标公司上半年和下半年统一消杀后需由县疾控中心监测密度达标后方可收工撤离</w:t>
      </w:r>
      <w:r>
        <w:rPr>
          <w:rFonts w:hint="eastAsia" w:ascii="Times New Roman" w:hAnsi="Times New Roman" w:eastAsia="宋体" w:cs="Times New Roman"/>
          <w:kern w:val="2"/>
          <w:sz w:val="21"/>
          <w:szCs w:val="24"/>
          <w:lang w:val="en-US" w:eastAsia="zh-CN" w:bidi="ar-SA"/>
        </w:rPr>
        <w:t>，其余时间段以县疾控中心日常监测为准</w:t>
      </w:r>
      <w:r>
        <w:rPr>
          <w:rFonts w:hint="eastAsia" w:ascii="宋体" w:hAnsi="宋体" w:eastAsia="宋体" w:cs="宋体"/>
          <w:sz w:val="22"/>
          <w:szCs w:val="22"/>
        </w:rPr>
        <w:t>），必须确保除“ 四害 ”达到国家爱委会创建卫生城市的要求和标准，（国家病媒生物 密度控制水平 C 级）确保通过</w:t>
      </w:r>
      <w:r>
        <w:rPr>
          <w:rFonts w:hint="eastAsia" w:ascii="宋体" w:hAnsi="宋体" w:eastAsia="宋体" w:cs="宋体"/>
          <w:sz w:val="22"/>
          <w:szCs w:val="22"/>
          <w:lang w:val="en-US" w:eastAsia="zh-CN"/>
        </w:rPr>
        <w:t>西林县</w:t>
      </w:r>
      <w:r>
        <w:rPr>
          <w:rFonts w:hint="eastAsia" w:ascii="宋体" w:hAnsi="宋体" w:eastAsia="宋体" w:cs="宋体"/>
          <w:sz w:val="22"/>
          <w:szCs w:val="22"/>
        </w:rPr>
        <w:t>疾控中心考核。且须提供经相关部门 验收除四害杀灭效</w:t>
      </w:r>
      <w:r>
        <w:rPr>
          <w:rFonts w:hint="eastAsia" w:ascii="宋体" w:hAnsi="宋体" w:eastAsia="宋体" w:cs="宋体"/>
          <w:sz w:val="22"/>
          <w:szCs w:val="22"/>
          <w:lang w:val="en-US" w:eastAsia="zh-CN"/>
        </w:rPr>
        <w:t>果</w:t>
      </w:r>
      <w:r>
        <w:rPr>
          <w:rFonts w:hint="eastAsia" w:ascii="宋体" w:hAnsi="宋体" w:eastAsia="宋体" w:cs="宋体"/>
          <w:sz w:val="22"/>
          <w:szCs w:val="22"/>
        </w:rPr>
        <w:t>评估报告以证明确实达到了杀灭要求。</w:t>
      </w:r>
    </w:p>
    <w:p w14:paraId="4014A2BB">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220" w:firstLineChars="100"/>
        <w:textAlignment w:val="baseline"/>
        <w:rPr>
          <w:rFonts w:hint="eastAsia" w:ascii="宋体" w:hAnsi="宋体" w:eastAsia="宋体" w:cs="宋体"/>
          <w:sz w:val="22"/>
          <w:szCs w:val="22"/>
        </w:rPr>
      </w:pPr>
      <w:r>
        <w:rPr>
          <w:rFonts w:hint="eastAsia" w:ascii="宋体" w:hAnsi="宋体" w:eastAsia="宋体" w:cs="宋体"/>
          <w:sz w:val="22"/>
          <w:szCs w:val="22"/>
        </w:rPr>
        <w:t>（2）乙方必须保证灭鼠灭蟑灭蚊蝇药械的安全使用。</w:t>
      </w:r>
    </w:p>
    <w:p w14:paraId="3B6224A6">
      <w:pPr>
        <w:keepNext w:val="0"/>
        <w:keepLines w:val="0"/>
        <w:pageBreakBefore w:val="0"/>
        <w:widowControl/>
        <w:kinsoku w:val="0"/>
        <w:wordWrap/>
        <w:overflowPunct/>
        <w:topLinePunct w:val="0"/>
        <w:autoSpaceDE w:val="0"/>
        <w:autoSpaceDN w:val="0"/>
        <w:bidi w:val="0"/>
        <w:adjustRightInd w:val="0"/>
        <w:snapToGrid w:val="0"/>
        <w:spacing w:line="360" w:lineRule="auto"/>
        <w:ind w:left="-199" w:leftChars="-95"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（3）乙方负责提供除“ 四害 ”技术培训。组织技术培训，对“ 四害 ”孳生地调查、“ 四害危 害调查、防制方法、药械使用配制及投药方法等，进行科学讲解指导。（培训对象：街道、社区、村</w:t>
      </w:r>
      <w:r>
        <w:rPr>
          <w:rFonts w:hint="eastAsia" w:ascii="宋体" w:hAnsi="宋体" w:eastAsia="宋体" w:cs="宋体"/>
          <w:sz w:val="22"/>
          <w:szCs w:val="22"/>
          <w:lang w:eastAsia="zh-CN"/>
        </w:rPr>
        <w:t>、</w:t>
      </w:r>
      <w:r>
        <w:rPr>
          <w:rFonts w:hint="eastAsia" w:ascii="宋体" w:hAnsi="宋体" w:eastAsia="宋体" w:cs="宋体"/>
          <w:sz w:val="22"/>
          <w:szCs w:val="22"/>
        </w:rPr>
        <w:t>中小学、托幼机构、重点行业重点单位等）</w:t>
      </w:r>
    </w:p>
    <w:p w14:paraId="67BA7B6F">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220" w:firstLineChars="100"/>
        <w:textAlignment w:val="baseline"/>
        <w:rPr>
          <w:rFonts w:hint="eastAsia" w:ascii="宋体" w:hAnsi="宋体" w:eastAsia="宋体" w:cs="宋体"/>
          <w:sz w:val="22"/>
          <w:szCs w:val="22"/>
        </w:rPr>
      </w:pPr>
      <w:r>
        <w:rPr>
          <w:rFonts w:hint="eastAsia" w:ascii="宋体" w:hAnsi="宋体" w:eastAsia="宋体" w:cs="宋体"/>
          <w:sz w:val="22"/>
          <w:szCs w:val="22"/>
        </w:rPr>
        <w:t>（4）乙方负责消杀前后“ 四害 ”孳生地调查。免费负责全区范围内开展病媒生物孳生地调查</w:t>
      </w:r>
      <w:r>
        <w:rPr>
          <w:rFonts w:hint="eastAsia" w:ascii="宋体" w:hAnsi="宋体" w:eastAsia="宋体" w:cs="宋体"/>
          <w:sz w:val="22"/>
          <w:szCs w:val="22"/>
          <w:lang w:eastAsia="zh-CN"/>
        </w:rPr>
        <w:t>，</w:t>
      </w:r>
      <w:r>
        <w:rPr>
          <w:rFonts w:hint="eastAsia" w:ascii="宋体" w:hAnsi="宋体" w:eastAsia="宋体" w:cs="宋体"/>
          <w:sz w:val="22"/>
          <w:szCs w:val="22"/>
        </w:rPr>
        <w:t>开展病媒生物危害调查,有调查方案、孳生地台账。调查方法及内容须按</w:t>
      </w:r>
      <w:r>
        <w:rPr>
          <w:rFonts w:hint="eastAsia" w:ascii="宋体" w:hAnsi="宋体" w:eastAsia="宋体" w:cs="宋体"/>
          <w:sz w:val="22"/>
          <w:szCs w:val="22"/>
          <w:lang w:val="en-US" w:eastAsia="zh-CN"/>
        </w:rPr>
        <w:t>甲方及甲方上级主管部门制定的实施方案</w:t>
      </w:r>
      <w:r>
        <w:rPr>
          <w:rFonts w:hint="eastAsia" w:ascii="宋体" w:hAnsi="宋体" w:eastAsia="宋体" w:cs="宋体"/>
          <w:sz w:val="22"/>
          <w:szCs w:val="22"/>
        </w:rPr>
        <w:t>进行。</w:t>
      </w:r>
    </w:p>
    <w:p w14:paraId="58980A91">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220" w:firstLineChars="100"/>
        <w:textAlignment w:val="baseline"/>
        <w:rPr>
          <w:rFonts w:hint="eastAsia" w:ascii="宋体" w:hAnsi="宋体" w:eastAsia="宋体" w:cs="宋体"/>
          <w:sz w:val="22"/>
          <w:szCs w:val="22"/>
        </w:rPr>
      </w:pPr>
      <w:r>
        <w:rPr>
          <w:rFonts w:hint="eastAsia" w:ascii="宋体" w:hAnsi="宋体" w:eastAsia="宋体" w:cs="宋体"/>
          <w:sz w:val="22"/>
          <w:szCs w:val="22"/>
        </w:rPr>
        <w:t>（5）乙方负责投药前后“ 四害 ”密度监测。免费负责灭前及灭后“ 四害 ”密度监测，并在合同 有效期内填报密度调查表。</w:t>
      </w:r>
    </w:p>
    <w:p w14:paraId="47A20E41">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220" w:firstLineChars="100"/>
        <w:textAlignment w:val="baseline"/>
        <w:rPr>
          <w:rFonts w:hint="eastAsia" w:ascii="宋体" w:hAnsi="宋体" w:eastAsia="宋体" w:cs="宋体"/>
          <w:sz w:val="22"/>
          <w:szCs w:val="22"/>
        </w:rPr>
      </w:pPr>
      <w:r>
        <w:rPr>
          <w:rFonts w:hint="eastAsia" w:ascii="宋体" w:hAnsi="宋体" w:eastAsia="宋体" w:cs="宋体"/>
          <w:sz w:val="22"/>
          <w:szCs w:val="22"/>
        </w:rPr>
        <w:t>（6）乙方负责灭鼠、灭蟑后鼠迹、蟑迹（死鼠、 鼠粪、死蟑等）清理和堵鼠洞工作。</w:t>
      </w:r>
    </w:p>
    <w:p w14:paraId="41FCAF46">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220" w:firstLineChars="100"/>
        <w:textAlignment w:val="baseline"/>
        <w:rPr>
          <w:rFonts w:hint="eastAsia" w:ascii="宋体" w:hAnsi="宋体" w:eastAsia="宋体" w:cs="宋体"/>
          <w:sz w:val="22"/>
          <w:szCs w:val="22"/>
        </w:rPr>
      </w:pPr>
      <w:r>
        <w:rPr>
          <w:rFonts w:hint="eastAsia" w:ascii="宋体" w:hAnsi="宋体" w:eastAsia="宋体" w:cs="宋体"/>
          <w:sz w:val="22"/>
          <w:szCs w:val="22"/>
        </w:rPr>
        <w:t>（7）乙方负责三无小区、背街小巷、城中村及城乡结合部等部位的毒饵站铺设。</w:t>
      </w:r>
    </w:p>
    <w:p w14:paraId="503BF63B">
      <w:pPr>
        <w:keepNext w:val="0"/>
        <w:keepLines w:val="0"/>
        <w:pageBreakBefore w:val="0"/>
        <w:widowControl/>
        <w:kinsoku w:val="0"/>
        <w:wordWrap/>
        <w:overflowPunct/>
        <w:topLinePunct w:val="0"/>
        <w:autoSpaceDE w:val="0"/>
        <w:autoSpaceDN w:val="0"/>
        <w:bidi w:val="0"/>
        <w:adjustRightInd w:val="0"/>
        <w:snapToGrid w:val="0"/>
        <w:spacing w:line="360" w:lineRule="auto"/>
        <w:ind w:right="1033" w:rightChars="492" w:firstLine="220" w:firstLineChars="100"/>
        <w:textAlignment w:val="baseline"/>
        <w:rPr>
          <w:rFonts w:hint="eastAsia" w:ascii="宋体" w:hAnsi="宋体" w:eastAsia="宋体" w:cs="宋体"/>
          <w:sz w:val="22"/>
          <w:szCs w:val="22"/>
        </w:rPr>
      </w:pPr>
      <w:r>
        <w:rPr>
          <w:rFonts w:hint="eastAsia" w:ascii="宋体" w:hAnsi="宋体" w:eastAsia="宋体" w:cs="宋体"/>
          <w:sz w:val="22"/>
          <w:szCs w:val="22"/>
        </w:rPr>
        <w:t>（8）辖区三无小区、背街小巷、城中村及城乡结合部、集贸市场、主次干道绿化带、“</w:t>
      </w:r>
      <w:r>
        <w:rPr>
          <w:rFonts w:hint="eastAsia" w:ascii="宋体" w:hAnsi="宋体" w:eastAsia="宋体" w:cs="宋体"/>
          <w:sz w:val="22"/>
          <w:szCs w:val="22"/>
          <w:lang w:val="en-US" w:eastAsia="zh-CN"/>
        </w:rPr>
        <w:t>四</w:t>
      </w:r>
      <w:r>
        <w:rPr>
          <w:rFonts w:hint="eastAsia" w:ascii="宋体" w:hAnsi="宋体" w:eastAsia="宋体" w:cs="宋体"/>
          <w:sz w:val="22"/>
          <w:szCs w:val="22"/>
        </w:rPr>
        <w:t>小 ” 行业除“ 四害 ”服务工程药物由市爱卫办提供；所需除“ 四害 ”药械中出现不足情况下，须由乙方免费提供，乙方不得使用国家、自治区禁止使用的灭鼠灭蟑灭蝇灭蚊的药物。</w:t>
      </w:r>
    </w:p>
    <w:p w14:paraId="56284D44">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220" w:firstLineChars="100"/>
        <w:textAlignment w:val="baseline"/>
        <w:rPr>
          <w:rFonts w:hint="eastAsia" w:ascii="宋体" w:hAnsi="宋体" w:eastAsia="宋体" w:cs="宋体"/>
          <w:sz w:val="22"/>
          <w:szCs w:val="22"/>
        </w:rPr>
      </w:pPr>
      <w:r>
        <w:rPr>
          <w:rFonts w:hint="eastAsia" w:ascii="宋体" w:hAnsi="宋体" w:eastAsia="宋体" w:cs="宋体"/>
          <w:sz w:val="22"/>
          <w:szCs w:val="22"/>
        </w:rPr>
        <w:t>（9）按要求做好工作档案记录。</w:t>
      </w:r>
    </w:p>
    <w:p w14:paraId="42FA322F">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220" w:firstLineChars="100"/>
        <w:textAlignment w:val="baseline"/>
        <w:rPr>
          <w:rFonts w:hint="eastAsia" w:ascii="宋体" w:hAnsi="宋体" w:eastAsia="宋体" w:cs="宋体"/>
          <w:sz w:val="22"/>
          <w:szCs w:val="22"/>
        </w:rPr>
      </w:pPr>
      <w:r>
        <w:rPr>
          <w:rFonts w:hint="eastAsia" w:ascii="宋体" w:hAnsi="宋体" w:eastAsia="宋体" w:cs="宋体"/>
          <w:sz w:val="22"/>
          <w:szCs w:val="22"/>
        </w:rPr>
        <w:t>（10）乙方免费负责迎检点的药物补充，消杀资料准备。</w:t>
      </w:r>
    </w:p>
    <w:p w14:paraId="1C5134A1">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220" w:firstLineChars="100"/>
        <w:textAlignment w:val="baseline"/>
        <w:rPr>
          <w:rFonts w:hint="eastAsia" w:ascii="宋体" w:hAnsi="宋体" w:eastAsia="宋体" w:cs="宋体"/>
          <w:sz w:val="22"/>
          <w:szCs w:val="22"/>
        </w:rPr>
      </w:pPr>
      <w:r>
        <w:rPr>
          <w:rFonts w:hint="eastAsia" w:ascii="宋体" w:hAnsi="宋体" w:eastAsia="宋体" w:cs="宋体"/>
          <w:sz w:val="22"/>
          <w:szCs w:val="22"/>
        </w:rPr>
        <w:t>（11）确定成交结果后，乙方领取中标通知书后十个工作日内应与甲方签订专业消杀服务合同。</w:t>
      </w:r>
    </w:p>
    <w:tbl>
      <w:tblPr>
        <w:tblStyle w:val="24"/>
        <w:tblW w:w="8402" w:type="dxa"/>
        <w:tblInd w:w="3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2712"/>
        <w:gridCol w:w="4958"/>
      </w:tblGrid>
      <w:tr w14:paraId="03798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32" w:type="dxa"/>
            <w:vAlign w:val="top"/>
          </w:tcPr>
          <w:p w14:paraId="5A8BDFFC">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textAlignment w:val="baseline"/>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序号</w:t>
            </w:r>
          </w:p>
        </w:tc>
        <w:tc>
          <w:tcPr>
            <w:tcW w:w="2712" w:type="dxa"/>
            <w:vAlign w:val="top"/>
          </w:tcPr>
          <w:p w14:paraId="15360FE9">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lang w:val="en-US" w:eastAsia="zh-CN"/>
              </w:rPr>
              <w:t>药品</w:t>
            </w:r>
            <w:r>
              <w:rPr>
                <w:rFonts w:hint="eastAsia" w:ascii="宋体" w:hAnsi="宋体" w:eastAsia="宋体" w:cs="宋体"/>
                <w:sz w:val="22"/>
                <w:szCs w:val="22"/>
              </w:rPr>
              <w:t>名称</w:t>
            </w:r>
          </w:p>
        </w:tc>
        <w:tc>
          <w:tcPr>
            <w:tcW w:w="4958" w:type="dxa"/>
            <w:vAlign w:val="top"/>
          </w:tcPr>
          <w:p w14:paraId="7C90AC83">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主要技术参数</w:t>
            </w:r>
          </w:p>
        </w:tc>
      </w:tr>
      <w:tr w14:paraId="6AC1F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3" w:hRule="atLeast"/>
        </w:trPr>
        <w:tc>
          <w:tcPr>
            <w:tcW w:w="732" w:type="dxa"/>
            <w:vAlign w:val="top"/>
          </w:tcPr>
          <w:p w14:paraId="0CB2AC1E">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0BA18BB3">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79314546">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1A5BADA7">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18F59E6A">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w:t>
            </w:r>
          </w:p>
        </w:tc>
        <w:tc>
          <w:tcPr>
            <w:tcW w:w="2712" w:type="dxa"/>
            <w:vAlign w:val="top"/>
          </w:tcPr>
          <w:p w14:paraId="7AA2D2F1">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78595411">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4D953661">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textAlignment w:val="baseline"/>
              <w:rPr>
                <w:rFonts w:hint="eastAsia" w:ascii="宋体" w:hAnsi="宋体" w:eastAsia="宋体" w:cs="宋体"/>
                <w:sz w:val="22"/>
                <w:szCs w:val="22"/>
              </w:rPr>
            </w:pPr>
            <w:r>
              <w:rPr>
                <w:rFonts w:hint="eastAsia" w:ascii="宋体" w:hAnsi="宋体" w:eastAsia="宋体" w:cs="宋体"/>
                <w:sz w:val="22"/>
                <w:szCs w:val="22"/>
              </w:rPr>
              <w:t>灭鼠药物（含溴鼠灵成份）</w:t>
            </w:r>
          </w:p>
        </w:tc>
        <w:tc>
          <w:tcPr>
            <w:tcW w:w="4958" w:type="dxa"/>
            <w:vAlign w:val="top"/>
          </w:tcPr>
          <w:p w14:paraId="48E027B9">
            <w:pPr>
              <w:keepNext w:val="0"/>
              <w:keepLines w:val="0"/>
              <w:pageBreakBefore w:val="0"/>
              <w:widowControl/>
              <w:kinsoku w:val="0"/>
              <w:wordWrap/>
              <w:overflowPunct/>
              <w:topLinePunct w:val="0"/>
              <w:autoSpaceDE w:val="0"/>
              <w:autoSpaceDN w:val="0"/>
              <w:bidi w:val="0"/>
              <w:adjustRightInd w:val="0"/>
              <w:snapToGrid w:val="0"/>
              <w:spacing w:line="24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1.有效成份含量：溴鼠灵含量≥0.005%</w:t>
            </w:r>
          </w:p>
          <w:p w14:paraId="12EAA532">
            <w:pPr>
              <w:keepNext w:val="0"/>
              <w:keepLines w:val="0"/>
              <w:pageBreakBefore w:val="0"/>
              <w:widowControl/>
              <w:kinsoku w:val="0"/>
              <w:wordWrap/>
              <w:overflowPunct/>
              <w:topLinePunct w:val="0"/>
              <w:autoSpaceDE w:val="0"/>
              <w:autoSpaceDN w:val="0"/>
              <w:bidi w:val="0"/>
              <w:adjustRightInd w:val="0"/>
              <w:snapToGrid w:val="0"/>
              <w:spacing w:line="24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2.包装规格要求：小包重量：1.0 公斤；大包重量 20 公斤 1 袋；包装材料：反光（或避光）塑料膜。</w:t>
            </w:r>
          </w:p>
          <w:p w14:paraId="6B19C7E1">
            <w:pPr>
              <w:keepNext w:val="0"/>
              <w:keepLines w:val="0"/>
              <w:pageBreakBefore w:val="0"/>
              <w:widowControl/>
              <w:kinsoku w:val="0"/>
              <w:wordWrap/>
              <w:overflowPunct/>
              <w:topLinePunct w:val="0"/>
              <w:autoSpaceDE w:val="0"/>
              <w:autoSpaceDN w:val="0"/>
              <w:bidi w:val="0"/>
              <w:adjustRightInd w:val="0"/>
              <w:snapToGrid w:val="0"/>
              <w:spacing w:line="24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3.剂型：饵粒</w:t>
            </w:r>
          </w:p>
          <w:p w14:paraId="61FE5FE4">
            <w:pPr>
              <w:keepNext w:val="0"/>
              <w:keepLines w:val="0"/>
              <w:pageBreakBefore w:val="0"/>
              <w:widowControl/>
              <w:kinsoku w:val="0"/>
              <w:wordWrap/>
              <w:overflowPunct/>
              <w:topLinePunct w:val="0"/>
              <w:autoSpaceDE w:val="0"/>
              <w:autoSpaceDN w:val="0"/>
              <w:bidi w:val="0"/>
              <w:adjustRightInd w:val="0"/>
              <w:snapToGrid w:val="0"/>
              <w:spacing w:line="24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4.外包装：印有产品性能、使用技术、中毒及急救措 施、生产日期、有效期等。</w:t>
            </w:r>
          </w:p>
          <w:p w14:paraId="2F118259">
            <w:pPr>
              <w:keepNext w:val="0"/>
              <w:keepLines w:val="0"/>
              <w:pageBreakBefore w:val="0"/>
              <w:widowControl/>
              <w:kinsoku w:val="0"/>
              <w:wordWrap/>
              <w:overflowPunct/>
              <w:topLinePunct w:val="0"/>
              <w:autoSpaceDE w:val="0"/>
              <w:autoSpaceDN w:val="0"/>
              <w:bidi w:val="0"/>
              <w:adjustRightInd w:val="0"/>
              <w:snapToGrid w:val="0"/>
              <w:spacing w:line="24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5.有效期≥18 个月</w:t>
            </w:r>
          </w:p>
        </w:tc>
      </w:tr>
      <w:tr w14:paraId="2F188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732" w:type="dxa"/>
            <w:vAlign w:val="top"/>
          </w:tcPr>
          <w:p w14:paraId="21E5ECF0">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5EC6B0CA">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5B84A5DC">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w:t>
            </w:r>
          </w:p>
        </w:tc>
        <w:tc>
          <w:tcPr>
            <w:tcW w:w="2712" w:type="dxa"/>
            <w:vAlign w:val="top"/>
          </w:tcPr>
          <w:p w14:paraId="13ABBDB3">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w:t>
            </w:r>
          </w:p>
        </w:tc>
        <w:tc>
          <w:tcPr>
            <w:tcW w:w="4958" w:type="dxa"/>
            <w:vAlign w:val="top"/>
          </w:tcPr>
          <w:p w14:paraId="2DB6645F">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w:t>
            </w:r>
          </w:p>
        </w:tc>
      </w:tr>
      <w:tr w14:paraId="3D05A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732" w:type="dxa"/>
            <w:vAlign w:val="top"/>
          </w:tcPr>
          <w:p w14:paraId="612457E6">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6F4A0E85">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w:t>
            </w:r>
          </w:p>
        </w:tc>
        <w:tc>
          <w:tcPr>
            <w:tcW w:w="2712" w:type="dxa"/>
            <w:vAlign w:val="top"/>
          </w:tcPr>
          <w:p w14:paraId="7E3E5917">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w:t>
            </w:r>
          </w:p>
        </w:tc>
        <w:tc>
          <w:tcPr>
            <w:tcW w:w="4958" w:type="dxa"/>
            <w:vAlign w:val="top"/>
          </w:tcPr>
          <w:p w14:paraId="54DB08C6">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w:t>
            </w:r>
          </w:p>
          <w:p w14:paraId="07F3E6ED">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lang w:val="en-US" w:eastAsia="zh-CN"/>
              </w:rPr>
            </w:pPr>
            <w:r>
              <w:rPr>
                <w:rFonts w:hint="eastAsia" w:ascii="宋体" w:hAnsi="宋体" w:eastAsia="宋体" w:cs="宋体"/>
                <w:sz w:val="22"/>
                <w:szCs w:val="22"/>
                <w:lang w:eastAsia="zh-CN"/>
              </w:rPr>
              <w:tab/>
            </w:r>
            <w:r>
              <w:rPr>
                <w:rFonts w:hint="eastAsia" w:ascii="宋体" w:hAnsi="宋体" w:eastAsia="宋体" w:cs="宋体"/>
                <w:sz w:val="22"/>
                <w:szCs w:val="22"/>
                <w:lang w:val="en-US" w:eastAsia="zh-CN"/>
              </w:rPr>
              <w:t>.</w:t>
            </w:r>
          </w:p>
        </w:tc>
      </w:tr>
      <w:tr w14:paraId="7FDDA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732" w:type="dxa"/>
            <w:vAlign w:val="top"/>
          </w:tcPr>
          <w:p w14:paraId="53C22AE4">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595EAF29">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w:t>
            </w:r>
          </w:p>
        </w:tc>
        <w:tc>
          <w:tcPr>
            <w:tcW w:w="2712" w:type="dxa"/>
            <w:vAlign w:val="top"/>
          </w:tcPr>
          <w:p w14:paraId="5B2835B5">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w:t>
            </w:r>
          </w:p>
        </w:tc>
        <w:tc>
          <w:tcPr>
            <w:tcW w:w="4958" w:type="dxa"/>
            <w:vAlign w:val="top"/>
          </w:tcPr>
          <w:p w14:paraId="5788659B">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w:t>
            </w:r>
          </w:p>
        </w:tc>
      </w:tr>
    </w:tbl>
    <w:p w14:paraId="326EBB0C">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三、 药品：</w:t>
      </w:r>
    </w:p>
    <w:p w14:paraId="0A18C149">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注：</w:t>
      </w:r>
      <w:r>
        <w:rPr>
          <w:rFonts w:hint="eastAsia" w:ascii="宋体" w:hAnsi="宋体" w:eastAsia="宋体" w:cs="宋体"/>
          <w:sz w:val="22"/>
          <w:szCs w:val="22"/>
          <w:lang w:val="en-US" w:eastAsia="zh-CN"/>
        </w:rPr>
        <w:t>乙方</w:t>
      </w:r>
      <w:r>
        <w:rPr>
          <w:rFonts w:hint="eastAsia" w:ascii="宋体" w:hAnsi="宋体" w:eastAsia="宋体" w:cs="宋体"/>
          <w:sz w:val="22"/>
          <w:szCs w:val="22"/>
        </w:rPr>
        <w:t>免费提供药品数量以实际缺口需求为准。</w:t>
      </w:r>
    </w:p>
    <w:p w14:paraId="67468DE3">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四、“ 四害 ”防制标准</w:t>
      </w:r>
    </w:p>
    <w:p w14:paraId="51EEFF95">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（一） 鼠类防制</w:t>
      </w:r>
    </w:p>
    <w:p w14:paraId="3D2E538C">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根据《病媒生物密度控制水平鼠类》GB/T 27770-2011 城镇鼠密度控制水平 C 级</w:t>
      </w:r>
    </w:p>
    <w:p w14:paraId="3500B6F3">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外环境鼠密度控制水平：外环境路径指数≤5（即在农贸市场、建筑工地、垃圾收集站、公园、 单位院内、住宅区内、 公路两侧、河湖两岸或公共绿地行走,累计检查每 1000 米 路径所发现鼠迹的处数，计算公式：路径指数=鼠迹数/检查距离，路径指数即鼠密度）。</w:t>
      </w:r>
    </w:p>
    <w:p w14:paraId="07D8DF93">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要求：开展全面的环境卫生整治，包括：彻底清除鼠尸、鼠粪、 鼠道，堵鼠洞。</w:t>
      </w:r>
    </w:p>
    <w:p w14:paraId="22D8617E">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(二)蟑螂防制</w:t>
      </w:r>
    </w:p>
    <w:p w14:paraId="372A775F">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根据《病媒生物密度控制水平 蜚蠊》GB/T 27773-2011 城镇蜚蠊密度控制水平 C 级</w:t>
      </w:r>
    </w:p>
    <w:p w14:paraId="34FF5468">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1、成若虫侵害率：成若虫侵害率小于或等于 5%，平均每阳性间（处）成若虫数小蠊小于或等  于 10 只，大蠊小于或等于 5 只。（蜚蠊即蟑螂；大蠊即美洲大蠊，俗称大蟑螂；小蠊即德国小蠊， 俗称小蟑螂、小强）</w:t>
      </w:r>
    </w:p>
    <w:p w14:paraId="36A1E788">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lang w:eastAsia="zh-CN"/>
        </w:rPr>
      </w:pPr>
      <w:r>
        <w:rPr>
          <w:rFonts w:hint="eastAsia" w:ascii="宋体" w:hAnsi="宋体" w:eastAsia="宋体" w:cs="宋体"/>
          <w:sz w:val="22"/>
          <w:szCs w:val="22"/>
        </w:rPr>
        <w:t>2、卵鞘查获率：蜚蠊卵鞘查获率小于或等于 3%，平均每阳性间（处）卵鞘数小于或等于 8 只</w:t>
      </w:r>
      <w:r>
        <w:rPr>
          <w:rFonts w:hint="eastAsia" w:ascii="宋体" w:hAnsi="宋体" w:eastAsia="宋体" w:cs="宋体"/>
          <w:sz w:val="22"/>
          <w:szCs w:val="22"/>
          <w:lang w:eastAsia="zh-CN"/>
        </w:rPr>
        <w:t>。</w:t>
      </w:r>
    </w:p>
    <w:p w14:paraId="4543D032">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3、蟑迹查获率：蟑迹查获率小于或等于 7%。</w:t>
      </w:r>
    </w:p>
    <w:p w14:paraId="303890DD">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被检查单位：餐饮店、食堂、宾馆饭店、医院、商城超市、机场和车站、学校、农贸市场、居 民住房等。</w:t>
      </w:r>
    </w:p>
    <w:p w14:paraId="7912D4C6">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要求：灭蟑螂要保持环境卫生、清洁，减少蟑螂躲藏场所，结合药物消杀，对外环境的下水道</w:t>
      </w:r>
      <w:r>
        <w:rPr>
          <w:rFonts w:hint="eastAsia" w:ascii="宋体" w:hAnsi="宋体" w:eastAsia="宋体" w:cs="宋体"/>
          <w:sz w:val="22"/>
          <w:szCs w:val="22"/>
          <w:lang w:eastAsia="zh-CN"/>
        </w:rPr>
        <w:t>、</w:t>
      </w:r>
      <w:r>
        <w:rPr>
          <w:rFonts w:hint="eastAsia" w:ascii="宋体" w:hAnsi="宋体" w:eastAsia="宋体" w:cs="宋体"/>
          <w:sz w:val="22"/>
          <w:szCs w:val="22"/>
        </w:rPr>
        <w:t>化粪池等密闭环境，要在蟑螂可能逃跑的地方先喷洒灭蟑螂药水，然后用烟剂进行熏杀，对室内有小蠊出现的场所必须放置灭蟑螂胶饵。彻底清除蟑螂的卵鞘、蟑尸、残尸、蟑粪，必须在确定杀灭蟑螂卵鞘内卵的情况下，才将卵鞘投放垃圾箱。</w:t>
      </w:r>
    </w:p>
    <w:p w14:paraId="5EF77576">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(三)苍蝇防制</w:t>
      </w:r>
    </w:p>
    <w:p w14:paraId="7B9DB7A0">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根据《病媒生物密度控制水平 蝇类》GB/T 27772-2011 城镇蝇类密度控制水平 C 级 室外蝇类孳生地密度控制水平：蝇类孳生地阳性率小于或等于 5%。</w:t>
      </w:r>
    </w:p>
    <w:p w14:paraId="546B94D7">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被检查单位：室外垃圾容器、垃圾中转站、外环境散在孳生地、公共厕所；外环境延长米包括 农贸市场、车站、公共绿地、居民区等，每处不超过 100 米。</w:t>
      </w:r>
    </w:p>
    <w:p w14:paraId="33A0F21F">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被检查单位及原则：生产销售直接入口食品的场所（如厨房、熟食间、无包装食品橱柜等）， 应安装防蝇设施的原则。</w:t>
      </w:r>
    </w:p>
    <w:p w14:paraId="75E06941">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要求：灭蝇要加强人畜粪便、腐败动物和植物质类、生活垃圾、下水道沉淤井的管理，重点孳 生地垃圾中转站等应采取（捕蝇笼、粘蝇板、防蝇灯、化学药物）方法有效降低蝇类密度</w:t>
      </w:r>
      <w:r>
        <w:rPr>
          <w:rFonts w:hint="eastAsia" w:ascii="宋体" w:hAnsi="宋体" w:eastAsia="宋体" w:cs="宋体"/>
          <w:sz w:val="22"/>
          <w:szCs w:val="22"/>
          <w:lang w:eastAsia="zh-CN"/>
        </w:rPr>
        <w:t>。</w:t>
      </w:r>
      <w:r>
        <w:rPr>
          <w:rFonts w:hint="eastAsia" w:ascii="宋体" w:hAnsi="宋体" w:eastAsia="宋体" w:cs="宋体"/>
          <w:sz w:val="22"/>
          <w:szCs w:val="22"/>
        </w:rPr>
        <w:t>通过环 境治理，达到消除、隔离孳生物，完善餐饮业、食品加工销售单位纱门纱窗、纱帘、纱网、风幕、 防蝇灯等防蝇设施，严格执行卫生制度。</w:t>
      </w:r>
    </w:p>
    <w:p w14:paraId="58A330A7">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(四)蚊虫防制</w:t>
      </w:r>
    </w:p>
    <w:p w14:paraId="22FEA9D8">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根据《病媒生物密度控制水平 蚊虫》GB/T 27771-2011 城镇蚊虫密度控制水平 C 级</w:t>
      </w:r>
    </w:p>
    <w:p w14:paraId="1020AD4E">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1、小型积水蚊虫密度控制水平：路径指数小于或等于 0.8。累计检查每 1000 米路径所发现蚊 幼虫阳性积水处数。</w:t>
      </w:r>
    </w:p>
    <w:p w14:paraId="371D3E0A">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被检查单位：居委会、单位（有独立院落）、建筑工地、道路（雨水井口）延长米。</w:t>
      </w:r>
    </w:p>
    <w:p w14:paraId="2BB7A53F">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2、大中型水体蚊虫密度控制水平：采样勺指数小于或等于 5%，平均每阳性勺少于 8 只蚊虫幼 虫和蛹。 从大中型水体，包括池塘、湖泊和河流，沿岸每隔 10 米用容积 500 毫升的长柄勺取水， 发现有蚊虫幼虫和蛹的为阳性勺。</w:t>
      </w:r>
    </w:p>
    <w:p w14:paraId="5E71C677">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3、外环境蚊虫密度控制水平：停留指数小于或等于 1.5。考核人员在公园、花房、汽修厂、轮 胎集放地，暴露右小腿，上午 8:00-10:00 或 16:00-18:00 观察在 0.5 小时内腿上蚊虫的停落数， 单位为停落蚊数/人次。</w:t>
      </w:r>
    </w:p>
    <w:p w14:paraId="68F53F88">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考核人员在居民区、单位、公共场所等外环境，暴露右小腿，日落后 0.5 小时，观察在 0.5 小 时内腿上蚊虫的停落数，单位为停落蚊数/人次。</w:t>
      </w:r>
    </w:p>
    <w:p w14:paraId="1E60ABF7">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要求：清除室内外环境容器积水，翻盆倒罐，疏通排水管网，填平洼地，清除杂草等蚊虫孳生 场所。 在公园、住宅小区、花木种养销售市场、学校、医院等易有积水、人群集中的场所和单位推 广安置灭蚊灯 具，各类道路下水道沉沙井口设置防蚊闸。对成蚊栖息场所用烟雾剂速杀和喷洒滞留 药水处理。</w:t>
      </w:r>
    </w:p>
    <w:p w14:paraId="20A15E17">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五、服务时间及保质期</w:t>
      </w:r>
    </w:p>
    <w:p w14:paraId="3EF2FBD8">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服务期限：</w:t>
      </w:r>
      <w:r>
        <w:rPr>
          <w:rFonts w:hint="eastAsia" w:ascii="Times New Roman" w:hAnsi="Times New Roman" w:eastAsia="宋体" w:cs="Times New Roman"/>
          <w:color w:val="FF0000"/>
          <w:kern w:val="2"/>
          <w:sz w:val="21"/>
          <w:szCs w:val="24"/>
          <w:lang w:val="en-US" w:eastAsia="zh-CN" w:bidi="ar-SA"/>
        </w:rPr>
        <w:t>上半年于7月31日前和下半年于11月30日前在消杀范围区域内各统一消杀一次，中标公司上半年和下半年统一消杀后需由县疾控中心监测密度达标后方可收工撤离</w:t>
      </w:r>
      <w:r>
        <w:rPr>
          <w:rFonts w:hint="eastAsia" w:ascii="Times New Roman" w:hAnsi="Times New Roman" w:eastAsia="宋体" w:cs="Times New Roman"/>
          <w:kern w:val="2"/>
          <w:sz w:val="21"/>
          <w:szCs w:val="24"/>
          <w:lang w:val="en-US" w:eastAsia="zh-CN" w:bidi="ar-SA"/>
        </w:rPr>
        <w:t>，其余时间段以县疾控中心日常监测为准</w:t>
      </w:r>
      <w:r>
        <w:rPr>
          <w:rFonts w:hint="eastAsia" w:ascii="宋体" w:hAnsi="宋体" w:cs="宋体"/>
          <w:i w:val="0"/>
          <w:iCs w:val="0"/>
          <w:caps w:val="0"/>
          <w:color w:val="auto"/>
          <w:spacing w:val="0"/>
          <w:sz w:val="21"/>
          <w:szCs w:val="21"/>
          <w:highlight w:val="none"/>
          <w:lang w:eastAsia="zh-CN"/>
        </w:rPr>
        <w:t>。</w:t>
      </w:r>
    </w:p>
    <w:p w14:paraId="0DF9F42A">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lang w:val="en-US" w:eastAsia="zh-CN"/>
        </w:rPr>
        <w:t>乙方</w:t>
      </w:r>
      <w:r>
        <w:rPr>
          <w:rFonts w:hint="eastAsia" w:ascii="宋体" w:hAnsi="宋体" w:eastAsia="宋体" w:cs="宋体"/>
          <w:sz w:val="22"/>
          <w:szCs w:val="22"/>
        </w:rPr>
        <w:t>应在</w:t>
      </w:r>
      <w:r>
        <w:rPr>
          <w:rFonts w:hint="eastAsia" w:ascii="宋体" w:hAnsi="宋体" w:eastAsia="宋体" w:cs="宋体"/>
          <w:sz w:val="22"/>
          <w:szCs w:val="22"/>
          <w:lang w:val="en-US" w:eastAsia="zh-CN"/>
        </w:rPr>
        <w:t>甲方</w:t>
      </w:r>
      <w:r>
        <w:rPr>
          <w:rFonts w:hint="eastAsia" w:ascii="宋体" w:hAnsi="宋体" w:eastAsia="宋体" w:cs="宋体"/>
          <w:sz w:val="22"/>
          <w:szCs w:val="22"/>
        </w:rPr>
        <w:t>规定的时间内完成消杀服务，具体消杀时间安排由</w:t>
      </w:r>
      <w:r>
        <w:rPr>
          <w:rFonts w:hint="eastAsia" w:ascii="宋体" w:hAnsi="宋体" w:eastAsia="宋体" w:cs="宋体"/>
          <w:sz w:val="22"/>
          <w:szCs w:val="22"/>
          <w:lang w:val="en-US" w:eastAsia="zh-CN"/>
        </w:rPr>
        <w:t>甲方</w:t>
      </w:r>
      <w:r>
        <w:rPr>
          <w:rFonts w:hint="eastAsia" w:ascii="宋体" w:hAnsi="宋体" w:eastAsia="宋体" w:cs="宋体"/>
          <w:sz w:val="22"/>
          <w:szCs w:val="22"/>
        </w:rPr>
        <w:t>另行通知，并通过考核</w:t>
      </w:r>
      <w:r>
        <w:rPr>
          <w:rFonts w:hint="eastAsia" w:ascii="宋体" w:hAnsi="宋体" w:eastAsia="宋体" w:cs="宋体"/>
          <w:sz w:val="22"/>
          <w:szCs w:val="22"/>
          <w:lang w:eastAsia="zh-CN"/>
        </w:rPr>
        <w:t>、</w:t>
      </w:r>
      <w:r>
        <w:rPr>
          <w:rFonts w:hint="eastAsia" w:ascii="宋体" w:hAnsi="宋体" w:eastAsia="宋体" w:cs="宋体"/>
          <w:sz w:val="22"/>
          <w:szCs w:val="22"/>
        </w:rPr>
        <w:t>验收。</w:t>
      </w:r>
      <w:r>
        <w:rPr>
          <w:rFonts w:hint="eastAsia" w:ascii="宋体" w:hAnsi="宋体" w:eastAsia="宋体" w:cs="宋体"/>
          <w:sz w:val="22"/>
          <w:szCs w:val="22"/>
          <w:lang w:val="en-US" w:eastAsia="zh-CN"/>
        </w:rPr>
        <w:t>乙方</w:t>
      </w:r>
      <w:r>
        <w:rPr>
          <w:rFonts w:hint="eastAsia" w:ascii="宋体" w:hAnsi="宋体" w:eastAsia="宋体" w:cs="宋体"/>
          <w:sz w:val="22"/>
          <w:szCs w:val="22"/>
        </w:rPr>
        <w:t>在服务过程中由</w:t>
      </w:r>
      <w:r>
        <w:rPr>
          <w:rFonts w:hint="eastAsia" w:ascii="宋体" w:hAnsi="宋体" w:eastAsia="宋体" w:cs="宋体"/>
          <w:sz w:val="22"/>
          <w:szCs w:val="22"/>
          <w:lang w:val="en-US" w:eastAsia="zh-CN"/>
        </w:rPr>
        <w:t>甲方派出的工作人员</w:t>
      </w:r>
      <w:r>
        <w:rPr>
          <w:rFonts w:hint="eastAsia" w:ascii="宋体" w:hAnsi="宋体" w:eastAsia="宋体" w:cs="宋体"/>
          <w:sz w:val="22"/>
          <w:szCs w:val="22"/>
        </w:rPr>
        <w:t>全程监督。</w:t>
      </w:r>
    </w:p>
    <w:p w14:paraId="518BC5A6">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六、合同金额</w:t>
      </w:r>
    </w:p>
    <w:p w14:paraId="1CD6E794">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本合同金额为（大写）：</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(¥0.00）</w:t>
      </w:r>
      <w:r>
        <w:rPr>
          <w:rFonts w:hint="eastAsia" w:ascii="宋体" w:hAnsi="宋体" w:eastAsia="宋体" w:cs="宋体"/>
          <w:sz w:val="22"/>
          <w:szCs w:val="22"/>
        </w:rPr>
        <w:t>。</w:t>
      </w:r>
    </w:p>
    <w:p w14:paraId="265FFF7F">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lang w:eastAsia="zh-CN"/>
        </w:rPr>
      </w:pPr>
      <w:r>
        <w:rPr>
          <w:rFonts w:hint="eastAsia" w:ascii="宋体" w:hAnsi="宋体" w:eastAsia="宋体" w:cs="宋体"/>
          <w:sz w:val="22"/>
          <w:szCs w:val="22"/>
          <w:lang w:val="en-US" w:eastAsia="zh-CN"/>
        </w:rPr>
        <w:t>七、</w:t>
      </w:r>
      <w:r>
        <w:rPr>
          <w:rFonts w:hint="eastAsia" w:ascii="宋体" w:hAnsi="宋体" w:eastAsia="宋体" w:cs="宋体"/>
          <w:sz w:val="22"/>
          <w:szCs w:val="22"/>
        </w:rPr>
        <w:t>付款方式</w:t>
      </w:r>
      <w:r>
        <w:rPr>
          <w:rFonts w:hint="eastAsia" w:ascii="宋体" w:hAnsi="宋体" w:eastAsia="宋体" w:cs="宋体"/>
          <w:sz w:val="22"/>
          <w:szCs w:val="22"/>
          <w:lang w:eastAsia="zh-CN"/>
        </w:rPr>
        <w:t>：</w:t>
      </w:r>
    </w:p>
    <w:p w14:paraId="521C2F50">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lang w:val="en-US" w:eastAsia="zh-CN"/>
        </w:rPr>
        <w:t>合同签订后7个工作日支付合同总价款的30</w:t>
      </w:r>
      <w:r>
        <w:rPr>
          <w:rFonts w:hint="eastAsia" w:ascii="宋体" w:hAnsi="宋体" w:eastAsia="宋体" w:cs="宋体"/>
          <w:sz w:val="22"/>
          <w:szCs w:val="22"/>
        </w:rPr>
        <w:t>%</w:t>
      </w:r>
      <w:r>
        <w:rPr>
          <w:rFonts w:hint="eastAsia" w:ascii="宋体" w:hAnsi="宋体" w:eastAsia="宋体" w:cs="宋体"/>
          <w:sz w:val="22"/>
          <w:szCs w:val="22"/>
          <w:lang w:val="en-US" w:eastAsia="zh-CN"/>
        </w:rPr>
        <w:t>，</w:t>
      </w:r>
      <w:r>
        <w:rPr>
          <w:rFonts w:hint="eastAsia" w:ascii="宋体" w:hAnsi="宋体" w:eastAsia="宋体" w:cs="宋体"/>
          <w:sz w:val="22"/>
          <w:szCs w:val="22"/>
        </w:rPr>
        <w:t>在</w:t>
      </w:r>
      <w:r>
        <w:rPr>
          <w:rFonts w:hint="eastAsia" w:ascii="宋体" w:hAnsi="宋体" w:eastAsia="宋体" w:cs="宋体"/>
          <w:sz w:val="22"/>
          <w:szCs w:val="22"/>
          <w:lang w:val="en-US" w:eastAsia="zh-CN"/>
        </w:rPr>
        <w:t>秋季</w:t>
      </w:r>
      <w:r>
        <w:rPr>
          <w:rFonts w:hint="eastAsia" w:ascii="宋体" w:hAnsi="宋体" w:eastAsia="宋体" w:cs="宋体"/>
          <w:sz w:val="22"/>
          <w:szCs w:val="22"/>
        </w:rPr>
        <w:t>消杀工作</w:t>
      </w:r>
      <w:r>
        <w:rPr>
          <w:rFonts w:hint="eastAsia" w:ascii="宋体" w:hAnsi="宋体" w:eastAsia="宋体" w:cs="宋体"/>
          <w:sz w:val="22"/>
          <w:szCs w:val="22"/>
          <w:lang w:val="en-US" w:eastAsia="zh-CN"/>
        </w:rPr>
        <w:t>结束后</w:t>
      </w:r>
      <w:r>
        <w:rPr>
          <w:rFonts w:hint="eastAsia" w:ascii="宋体" w:hAnsi="宋体" w:eastAsia="宋体" w:cs="宋体"/>
          <w:sz w:val="22"/>
          <w:szCs w:val="22"/>
        </w:rPr>
        <w:t>经相关部门验收并出具验收合格报告和保质期结束后</w:t>
      </w:r>
      <w:r>
        <w:rPr>
          <w:rFonts w:hint="eastAsia" w:ascii="宋体" w:hAnsi="宋体" w:eastAsia="宋体" w:cs="宋体"/>
          <w:sz w:val="22"/>
          <w:szCs w:val="22"/>
          <w:lang w:eastAsia="zh-CN"/>
        </w:rPr>
        <w:t>，</w:t>
      </w:r>
      <w:r>
        <w:rPr>
          <w:rFonts w:hint="eastAsia" w:ascii="宋体" w:hAnsi="宋体" w:eastAsia="宋体" w:cs="宋体"/>
          <w:sz w:val="22"/>
          <w:szCs w:val="22"/>
        </w:rPr>
        <w:t>支付合同总价的</w:t>
      </w:r>
      <w:r>
        <w:rPr>
          <w:rFonts w:hint="eastAsia" w:ascii="宋体" w:hAnsi="宋体" w:eastAsia="宋体" w:cs="宋体"/>
          <w:sz w:val="22"/>
          <w:szCs w:val="22"/>
          <w:lang w:val="en-US" w:eastAsia="zh-CN"/>
        </w:rPr>
        <w:t>90</w:t>
      </w:r>
      <w:r>
        <w:rPr>
          <w:rFonts w:hint="eastAsia" w:ascii="宋体" w:hAnsi="宋体" w:eastAsia="宋体" w:cs="宋体"/>
          <w:sz w:val="22"/>
          <w:szCs w:val="22"/>
        </w:rPr>
        <w:t>%</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消杀</w:t>
      </w:r>
      <w:r>
        <w:rPr>
          <w:rFonts w:hint="eastAsia" w:ascii="宋体" w:hAnsi="宋体" w:eastAsia="宋体" w:cs="宋体"/>
          <w:sz w:val="22"/>
          <w:szCs w:val="22"/>
        </w:rPr>
        <w:t>效果保持到消杀期满后三个月，</w:t>
      </w:r>
      <w:r>
        <w:rPr>
          <w:rFonts w:hint="eastAsia" w:ascii="宋体" w:hAnsi="宋体" w:eastAsia="宋体" w:cs="宋体"/>
          <w:sz w:val="22"/>
          <w:szCs w:val="22"/>
          <w:lang w:val="en-US" w:eastAsia="zh-CN"/>
        </w:rPr>
        <w:t>支付合</w:t>
      </w:r>
      <w:r>
        <w:rPr>
          <w:rFonts w:hint="eastAsia" w:ascii="宋体" w:hAnsi="宋体" w:eastAsia="宋体" w:cs="宋体"/>
          <w:sz w:val="22"/>
          <w:szCs w:val="22"/>
        </w:rPr>
        <w:t>同</w:t>
      </w:r>
      <w:r>
        <w:rPr>
          <w:rFonts w:hint="eastAsia" w:ascii="宋体" w:hAnsi="宋体" w:eastAsia="宋体" w:cs="宋体"/>
          <w:sz w:val="22"/>
          <w:szCs w:val="22"/>
          <w:lang w:val="en-US" w:eastAsia="zh-CN"/>
        </w:rPr>
        <w:t>剩余</w:t>
      </w:r>
      <w:r>
        <w:rPr>
          <w:rFonts w:hint="eastAsia" w:ascii="宋体" w:hAnsi="宋体" w:eastAsia="宋体" w:cs="宋体"/>
          <w:sz w:val="22"/>
          <w:szCs w:val="22"/>
        </w:rPr>
        <w:t>金额（不计利息）。</w:t>
      </w:r>
    </w:p>
    <w:p w14:paraId="775482DC">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八、质量保证及售后服务</w:t>
      </w:r>
    </w:p>
    <w:p w14:paraId="033F6645">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乙方应按采购文件规定的技术要求、质量标准向甲方提供合格的除四害服务。在质保期内，乙方应对服务出现的质量及安全问题负责处理解决并承担一切费用。 售后服务承诺书详见乙方的售后服务承诺书。</w:t>
      </w:r>
    </w:p>
    <w:p w14:paraId="2039350F">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九、双方权利义务</w:t>
      </w:r>
    </w:p>
    <w:p w14:paraId="55D09937">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1、甲方负责辖区</w:t>
      </w:r>
      <w:r>
        <w:rPr>
          <w:rFonts w:hint="eastAsia" w:ascii="宋体" w:hAnsi="宋体" w:eastAsia="宋体" w:cs="宋体"/>
          <w:sz w:val="22"/>
          <w:szCs w:val="22"/>
          <w:lang w:val="en-US" w:eastAsia="zh-CN"/>
        </w:rPr>
        <w:t>内</w:t>
      </w:r>
      <w:r>
        <w:rPr>
          <w:rFonts w:hint="eastAsia" w:ascii="宋体" w:hAnsi="宋体" w:eastAsia="宋体" w:cs="宋体"/>
          <w:sz w:val="22"/>
          <w:szCs w:val="22"/>
        </w:rPr>
        <w:t>主次干道绿化带、三无小区、背街小巷、城中村及城乡结合部、集贸市场、集 贸市场及周边“</w:t>
      </w:r>
      <w:r>
        <w:rPr>
          <w:rFonts w:hint="eastAsia" w:ascii="宋体" w:hAnsi="宋体" w:eastAsia="宋体" w:cs="宋体"/>
          <w:sz w:val="22"/>
          <w:szCs w:val="22"/>
          <w:lang w:val="en-US" w:eastAsia="zh-CN"/>
        </w:rPr>
        <w:t>四</w:t>
      </w:r>
      <w:r>
        <w:rPr>
          <w:rFonts w:hint="eastAsia" w:ascii="宋体" w:hAnsi="宋体" w:eastAsia="宋体" w:cs="宋体"/>
          <w:sz w:val="22"/>
          <w:szCs w:val="22"/>
        </w:rPr>
        <w:t>小 ”行业除四害服务</w:t>
      </w:r>
      <w:r>
        <w:rPr>
          <w:rFonts w:hint="eastAsia" w:ascii="宋体" w:hAnsi="宋体" w:eastAsia="宋体" w:cs="宋体"/>
          <w:sz w:val="22"/>
          <w:szCs w:val="22"/>
          <w:lang w:val="en-US" w:eastAsia="zh-CN"/>
        </w:rPr>
        <w:t>工作</w:t>
      </w:r>
      <w:r>
        <w:rPr>
          <w:rFonts w:hint="eastAsia" w:ascii="宋体" w:hAnsi="宋体" w:eastAsia="宋体" w:cs="宋体"/>
          <w:sz w:val="22"/>
          <w:szCs w:val="22"/>
        </w:rPr>
        <w:t>药物提供和相关协调工作，保证乙方按期开展各项消杀工作。</w:t>
      </w:r>
    </w:p>
    <w:p w14:paraId="04D45F4E">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2、甲方应要求背街小巷辖区街道、管辖主次干道绿化带的区绿化所、管辖居民小区（含三无小 区）的社区、管辖市场的、管辖城中村及城乡结合部的村委指派负责人陪同乙方消杀人员施工，并 做好指导、监督工作。</w:t>
      </w:r>
    </w:p>
    <w:p w14:paraId="47B4095A">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3、甲方负责及时向财政部门申请服务工程款项和其它工作。</w:t>
      </w:r>
    </w:p>
    <w:p w14:paraId="32FF2575">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4、乙方按照灭“ 四害 ”标准投入充足人力和药械，确保按质、按量、按期、完成消杀服 务工作，保证“ 四害 ”密度达到国家相关标准。</w:t>
      </w:r>
    </w:p>
    <w:p w14:paraId="393EC17F">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5、乙方保证使用的药剂符合国家规定的安全范围，杜绝污染环境，确保人畜安全，符合绿色环 保的有关要求。</w:t>
      </w:r>
    </w:p>
    <w:p w14:paraId="28424DB1">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6、乙方要求做到安全作业，作业人员要佩戴（穿）明显标志，工作期间放置作业标牌和警示标志，对作业人员采取有效防护措施。</w:t>
      </w:r>
    </w:p>
    <w:p w14:paraId="695D104B">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7、乙方作业期间不得损坏公私财产，对民居、鱼塘等重点场所等进行相应的保护，如因消杀造成对人畜的伤害，要承担相应的法律责任，赔偿所有的损失。</w:t>
      </w:r>
    </w:p>
    <w:p w14:paraId="3CC34A50">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8、乙方不得将本项目转包或分包。如发现乙方擅自分包或转包，甲方可单方面终止合同，并追究乙方违约责任， 甲方有权利向乙方索要以本合同总价款的 10%的违约金。</w:t>
      </w:r>
    </w:p>
    <w:p w14:paraId="396CAFDB">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9、乙方应主动联系服务范围内各街道、社区、村委、绿化所、市场相关负责人，并接受指导和监督；在完成各街道、社区、村委、绿化所所管辖区域消杀工作后必须经过街道、社区、村委、绿化所、市场指定负责人签字认可（背街小巷由所辖街道负责人签字，三无小区由所辖社区负责人签字，城中村及城乡结合部由村委负责人签字，主次干道绿化带由区绿化所负责人签字，集贸市场由 所辖市场负责人签字，“</w:t>
      </w:r>
      <w:r>
        <w:rPr>
          <w:rFonts w:hint="eastAsia" w:ascii="宋体" w:hAnsi="宋体" w:eastAsia="宋体" w:cs="宋体"/>
          <w:sz w:val="22"/>
          <w:szCs w:val="22"/>
          <w:lang w:val="en-US" w:eastAsia="zh-CN"/>
        </w:rPr>
        <w:t>四</w:t>
      </w:r>
      <w:r>
        <w:rPr>
          <w:rFonts w:hint="eastAsia" w:ascii="宋体" w:hAnsi="宋体" w:eastAsia="宋体" w:cs="宋体"/>
          <w:sz w:val="22"/>
          <w:szCs w:val="22"/>
        </w:rPr>
        <w:t>小 ”行业由店主和辖区街道负责人签字）。</w:t>
      </w:r>
    </w:p>
    <w:p w14:paraId="2311B7D9">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10、乙方必须按期完成消杀服务工作，如乙方未能按期完成指定服务范围内所有消杀工作， 甲方有权利终止合同，并追究乙方违约责任，甲方有权利向乙方索要以本合同总价款的 10%的违约金。</w:t>
      </w:r>
    </w:p>
    <w:p w14:paraId="02DCB6E3">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11、若甲方在保质期内无法通过上级部门的检查或验收不合格， 甲方有权利不将服务款项 支付给乙方，并追究乙方违约责任， 甲方有权利向乙方索要以本合同总价款的 10%的违约金。</w:t>
      </w:r>
    </w:p>
    <w:p w14:paraId="33465FF0">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12、乙方应自觉接受甲方的检查考核，按时完成甲方下达的整改任务。</w:t>
      </w:r>
    </w:p>
    <w:p w14:paraId="6F3B70B2">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13、乙方应按照甲方要求做好迎接各类检查工作。</w:t>
      </w:r>
    </w:p>
    <w:p w14:paraId="3F6A39B4">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14、乙方应按照甲方要求做好每个消杀服务点的相关材料整理工作，并在在开展“四害”消杀工作过程中，每日向县爱卫工作中心报送消杀区域消杀工作进度、消杀记录表、消杀工作图片，消杀工作结束后提供消杀工作报告。</w:t>
      </w:r>
    </w:p>
    <w:p w14:paraId="35B82B32">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十、仲裁与起诉</w:t>
      </w:r>
    </w:p>
    <w:p w14:paraId="6710C62C">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双方在执行合同中所发生的一切争议，应通过协商解决。如协商不成，任何一方均可向甲方所在地法院起诉。</w:t>
      </w:r>
    </w:p>
    <w:p w14:paraId="1A4F4F6D">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十一、合同生效及其它</w:t>
      </w:r>
    </w:p>
    <w:p w14:paraId="62ADE00E">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本合同一式六份，具有同等法律效力，财政部门（政府采购监管部门）一份， 甲方两份，乙方 两份，采购代理机构一份（可根据需要另增加）。</w:t>
      </w:r>
    </w:p>
    <w:p w14:paraId="14898C89">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本合同甲乙双方签字盖章后生效， 自签订之日起 7 个工作日内，采购人应当将合同副本报同级</w:t>
      </w:r>
    </w:p>
    <w:p w14:paraId="62FB2300">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财政部门备案。</w:t>
      </w:r>
    </w:p>
    <w:p w14:paraId="69301FF7">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第十二条  签订本合同依据</w:t>
      </w:r>
    </w:p>
    <w:p w14:paraId="189E4EB2">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1.政府采购招标文件；</w:t>
      </w:r>
    </w:p>
    <w:p w14:paraId="77CC2BF3">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2.乙方提供的采购投标（或应答）文件；</w:t>
      </w:r>
    </w:p>
    <w:p w14:paraId="7977BC5C">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3.投标承诺书；</w:t>
      </w:r>
    </w:p>
    <w:p w14:paraId="0637C8A6">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4.中标或成交通知书。</w:t>
      </w:r>
    </w:p>
    <w:p w14:paraId="5F1D86A4">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7A142B19">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tbl>
      <w:tblPr>
        <w:tblStyle w:val="24"/>
        <w:tblW w:w="95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0"/>
        <w:gridCol w:w="4822"/>
      </w:tblGrid>
      <w:tr w14:paraId="4743A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4680" w:type="dxa"/>
            <w:vAlign w:val="top"/>
          </w:tcPr>
          <w:p w14:paraId="436B8C0B">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甲方（章）</w:t>
            </w:r>
          </w:p>
          <w:p w14:paraId="01657972">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0B9C9A46">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202</w:t>
            </w:r>
            <w:r>
              <w:rPr>
                <w:rFonts w:hint="eastAsia" w:ascii="宋体" w:hAnsi="宋体" w:eastAsia="宋体" w:cs="宋体"/>
                <w:sz w:val="22"/>
                <w:szCs w:val="22"/>
                <w:lang w:val="en-US" w:eastAsia="zh-CN"/>
              </w:rPr>
              <w:t>5</w:t>
            </w:r>
            <w:r>
              <w:rPr>
                <w:rFonts w:hint="eastAsia" w:ascii="宋体" w:hAnsi="宋体" w:eastAsia="宋体" w:cs="宋体"/>
                <w:sz w:val="22"/>
                <w:szCs w:val="22"/>
              </w:rPr>
              <w:t xml:space="preserve">年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月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日</w:t>
            </w:r>
          </w:p>
        </w:tc>
        <w:tc>
          <w:tcPr>
            <w:tcW w:w="4822" w:type="dxa"/>
            <w:vAlign w:val="top"/>
          </w:tcPr>
          <w:p w14:paraId="46F5AF7F">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乙方（章） </w:t>
            </w:r>
          </w:p>
          <w:p w14:paraId="57A4D648">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25A7CCDB">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202</w:t>
            </w:r>
            <w:r>
              <w:rPr>
                <w:rFonts w:hint="eastAsia" w:ascii="宋体" w:hAnsi="宋体" w:eastAsia="宋体" w:cs="宋体"/>
                <w:sz w:val="22"/>
                <w:szCs w:val="22"/>
                <w:lang w:val="en-US" w:eastAsia="zh-CN"/>
              </w:rPr>
              <w:t>5</w:t>
            </w:r>
            <w:r>
              <w:rPr>
                <w:rFonts w:hint="eastAsia" w:ascii="宋体" w:hAnsi="宋体" w:eastAsia="宋体" w:cs="宋体"/>
                <w:sz w:val="22"/>
                <w:szCs w:val="22"/>
              </w:rPr>
              <w:t xml:space="preserve"> 年</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月</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日</w:t>
            </w:r>
          </w:p>
        </w:tc>
      </w:tr>
      <w:tr w14:paraId="61C15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4680" w:type="dxa"/>
            <w:vAlign w:val="top"/>
          </w:tcPr>
          <w:p w14:paraId="63228129">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单位地址：</w:t>
            </w:r>
          </w:p>
        </w:tc>
        <w:tc>
          <w:tcPr>
            <w:tcW w:w="4822" w:type="dxa"/>
            <w:vAlign w:val="top"/>
          </w:tcPr>
          <w:p w14:paraId="3525FD4A">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单位地址：</w:t>
            </w:r>
          </w:p>
        </w:tc>
      </w:tr>
      <w:tr w14:paraId="4538C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4680" w:type="dxa"/>
            <w:vAlign w:val="top"/>
          </w:tcPr>
          <w:p w14:paraId="36B3C9E7">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lang w:val="en-US" w:eastAsia="zh-CN"/>
              </w:rPr>
            </w:pPr>
            <w:r>
              <w:rPr>
                <w:rFonts w:hint="eastAsia" w:ascii="宋体" w:hAnsi="宋体" w:eastAsia="宋体" w:cs="宋体"/>
                <w:sz w:val="22"/>
                <w:szCs w:val="22"/>
              </w:rPr>
              <w:t>法定代表人：</w:t>
            </w:r>
            <w:r>
              <w:rPr>
                <w:rFonts w:hint="eastAsia" w:ascii="宋体" w:hAnsi="宋体" w:eastAsia="宋体" w:cs="宋体"/>
                <w:sz w:val="22"/>
                <w:szCs w:val="22"/>
                <w:lang w:val="en-US" w:eastAsia="zh-CN"/>
              </w:rPr>
              <w:t xml:space="preserve">               </w:t>
            </w:r>
          </w:p>
        </w:tc>
        <w:tc>
          <w:tcPr>
            <w:tcW w:w="4822" w:type="dxa"/>
            <w:vAlign w:val="top"/>
          </w:tcPr>
          <w:p w14:paraId="1EF56091">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法定代表人：</w:t>
            </w:r>
          </w:p>
        </w:tc>
      </w:tr>
      <w:tr w14:paraId="61D5F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4680" w:type="dxa"/>
            <w:vAlign w:val="top"/>
          </w:tcPr>
          <w:p w14:paraId="14168FCC">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委托代理人：</w:t>
            </w:r>
          </w:p>
        </w:tc>
        <w:tc>
          <w:tcPr>
            <w:tcW w:w="4822" w:type="dxa"/>
            <w:vAlign w:val="top"/>
          </w:tcPr>
          <w:p w14:paraId="2D69827D">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委托代理人：</w:t>
            </w:r>
          </w:p>
        </w:tc>
      </w:tr>
      <w:tr w14:paraId="7F6A7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680" w:type="dxa"/>
            <w:vAlign w:val="top"/>
          </w:tcPr>
          <w:p w14:paraId="6097610B">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电    话：</w:t>
            </w:r>
          </w:p>
        </w:tc>
        <w:tc>
          <w:tcPr>
            <w:tcW w:w="4822" w:type="dxa"/>
            <w:vAlign w:val="top"/>
          </w:tcPr>
          <w:p w14:paraId="5A539BA0">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电    话：</w:t>
            </w:r>
          </w:p>
        </w:tc>
      </w:tr>
      <w:tr w14:paraId="32E74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4680" w:type="dxa"/>
            <w:vAlign w:val="top"/>
          </w:tcPr>
          <w:p w14:paraId="044BCAE7">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电子邮箱：</w:t>
            </w:r>
          </w:p>
        </w:tc>
        <w:tc>
          <w:tcPr>
            <w:tcW w:w="4822" w:type="dxa"/>
            <w:vAlign w:val="top"/>
          </w:tcPr>
          <w:p w14:paraId="2DE1219D">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电子邮箱：</w:t>
            </w:r>
          </w:p>
        </w:tc>
      </w:tr>
      <w:tr w14:paraId="30BF1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4680" w:type="dxa"/>
            <w:vAlign w:val="top"/>
          </w:tcPr>
          <w:p w14:paraId="6C26FE86">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开户银行：</w:t>
            </w:r>
          </w:p>
        </w:tc>
        <w:tc>
          <w:tcPr>
            <w:tcW w:w="4822" w:type="dxa"/>
            <w:vAlign w:val="top"/>
          </w:tcPr>
          <w:p w14:paraId="11E2385D">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开户银行：</w:t>
            </w:r>
          </w:p>
        </w:tc>
      </w:tr>
      <w:tr w14:paraId="56A34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680" w:type="dxa"/>
            <w:vAlign w:val="top"/>
          </w:tcPr>
          <w:p w14:paraId="4FE595FA">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账    号：</w:t>
            </w:r>
          </w:p>
        </w:tc>
        <w:tc>
          <w:tcPr>
            <w:tcW w:w="4822" w:type="dxa"/>
            <w:vAlign w:val="top"/>
          </w:tcPr>
          <w:p w14:paraId="35872F80">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账    号：</w:t>
            </w:r>
          </w:p>
        </w:tc>
      </w:tr>
      <w:tr w14:paraId="31D85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4680" w:type="dxa"/>
            <w:vAlign w:val="top"/>
          </w:tcPr>
          <w:p w14:paraId="4AB0A09F">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邮政编码：</w:t>
            </w:r>
          </w:p>
        </w:tc>
        <w:tc>
          <w:tcPr>
            <w:tcW w:w="4822" w:type="dxa"/>
            <w:vAlign w:val="top"/>
          </w:tcPr>
          <w:p w14:paraId="15ED1AA6">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邮政编码：</w:t>
            </w:r>
          </w:p>
        </w:tc>
      </w:tr>
    </w:tbl>
    <w:p w14:paraId="1C95E3AD">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20CBEBF9">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651AF987">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446C0D6F">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115F989B">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62F8C1E8">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14A63F15">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23073412">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4D9A724C">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0F7807EB">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010E1DD8">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697C96B0">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45C87888">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7C557096">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182ED4A8">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416CBFA5">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751A07D3">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5D0ADAB0">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110A2996">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合 同 附 件</w:t>
      </w:r>
    </w:p>
    <w:p w14:paraId="3CA0DE8C">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（服务类）</w:t>
      </w:r>
    </w:p>
    <w:tbl>
      <w:tblPr>
        <w:tblStyle w:val="24"/>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68"/>
        <w:gridCol w:w="4478"/>
      </w:tblGrid>
      <w:tr w14:paraId="47784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1" w:hRule="atLeast"/>
        </w:trPr>
        <w:tc>
          <w:tcPr>
            <w:tcW w:w="9246" w:type="dxa"/>
            <w:gridSpan w:val="2"/>
            <w:vAlign w:val="top"/>
          </w:tcPr>
          <w:p w14:paraId="67C901A7">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1.供应商承诺具体事项： 按响应文件执行。</w:t>
            </w:r>
          </w:p>
        </w:tc>
      </w:tr>
      <w:tr w14:paraId="22643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7" w:hRule="atLeast"/>
        </w:trPr>
        <w:tc>
          <w:tcPr>
            <w:tcW w:w="9246" w:type="dxa"/>
            <w:gridSpan w:val="2"/>
            <w:vAlign w:val="top"/>
          </w:tcPr>
          <w:p w14:paraId="306118A1">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2.服务期责任：</w:t>
            </w:r>
          </w:p>
          <w:p w14:paraId="7A615B05">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按响应文件执行。</w:t>
            </w:r>
          </w:p>
        </w:tc>
      </w:tr>
      <w:tr w14:paraId="06F2C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5" w:hRule="atLeast"/>
        </w:trPr>
        <w:tc>
          <w:tcPr>
            <w:tcW w:w="9246" w:type="dxa"/>
            <w:gridSpan w:val="2"/>
            <w:vAlign w:val="top"/>
          </w:tcPr>
          <w:p w14:paraId="0FDEE0C5">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3.其他具体事项：</w:t>
            </w:r>
          </w:p>
          <w:p w14:paraId="4492EFA7">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按响应文件执行。</w:t>
            </w:r>
          </w:p>
        </w:tc>
      </w:tr>
      <w:tr w14:paraId="3571D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1" w:hRule="atLeast"/>
        </w:trPr>
        <w:tc>
          <w:tcPr>
            <w:tcW w:w="4768" w:type="dxa"/>
            <w:vAlign w:val="top"/>
          </w:tcPr>
          <w:p w14:paraId="619FF4B3">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甲方（章）</w:t>
            </w:r>
          </w:p>
          <w:p w14:paraId="05E8EC20">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4EEBD9CA">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6534CA7F">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5107D7FC">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4785A58B">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7C0DB386">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722E3F07">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5889C61C">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2006C423">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202</w:t>
            </w:r>
            <w:r>
              <w:rPr>
                <w:rFonts w:hint="eastAsia" w:ascii="宋体" w:hAnsi="宋体" w:eastAsia="宋体" w:cs="宋体"/>
                <w:sz w:val="22"/>
                <w:szCs w:val="22"/>
                <w:lang w:val="en-US" w:eastAsia="zh-CN"/>
              </w:rPr>
              <w:t>5</w:t>
            </w:r>
            <w:r>
              <w:rPr>
                <w:rFonts w:hint="eastAsia" w:ascii="宋体" w:hAnsi="宋体" w:eastAsia="宋体" w:cs="宋体"/>
                <w:sz w:val="22"/>
                <w:szCs w:val="22"/>
              </w:rPr>
              <w:t xml:space="preserve">年  月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日</w:t>
            </w:r>
          </w:p>
        </w:tc>
        <w:tc>
          <w:tcPr>
            <w:tcW w:w="4478" w:type="dxa"/>
            <w:vAlign w:val="top"/>
          </w:tcPr>
          <w:p w14:paraId="1BC99EDF">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乙方（章）</w:t>
            </w:r>
          </w:p>
          <w:p w14:paraId="6D5EA245">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2F75B235">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37AFF732">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4C77AD87">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1465441D">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2589094E">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5BACEF5E">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69E230EA">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3067FF14">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202</w:t>
            </w:r>
            <w:r>
              <w:rPr>
                <w:rFonts w:hint="eastAsia" w:ascii="宋体" w:hAnsi="宋体" w:eastAsia="宋体" w:cs="宋体"/>
                <w:sz w:val="22"/>
                <w:szCs w:val="22"/>
                <w:lang w:val="en-US" w:eastAsia="zh-CN"/>
              </w:rPr>
              <w:t>5</w:t>
            </w:r>
            <w:r>
              <w:rPr>
                <w:rFonts w:hint="eastAsia" w:ascii="宋体" w:hAnsi="宋体" w:eastAsia="宋体" w:cs="宋体"/>
                <w:sz w:val="22"/>
                <w:szCs w:val="22"/>
              </w:rPr>
              <w:t xml:space="preserve"> 年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月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日</w:t>
            </w:r>
          </w:p>
        </w:tc>
      </w:tr>
    </w:tbl>
    <w:p w14:paraId="282D111A">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rPr>
          <w:rFonts w:hint="eastAsia" w:ascii="宋体" w:hAnsi="宋体" w:eastAsia="宋体" w:cs="宋体"/>
          <w:sz w:val="22"/>
          <w:szCs w:val="22"/>
        </w:rPr>
      </w:pPr>
    </w:p>
    <w:p w14:paraId="3AAD5328">
      <w:pPr>
        <w:keepNext w:val="0"/>
        <w:keepLines w:val="0"/>
        <w:pageBreakBefore w:val="0"/>
        <w:widowControl/>
        <w:kinsoku w:val="0"/>
        <w:wordWrap/>
        <w:overflowPunct/>
        <w:topLinePunct w:val="0"/>
        <w:autoSpaceDE w:val="0"/>
        <w:autoSpaceDN w:val="0"/>
        <w:bidi w:val="0"/>
        <w:adjustRightInd w:val="0"/>
        <w:snapToGrid w:val="0"/>
        <w:spacing w:line="360" w:lineRule="auto"/>
        <w:ind w:right="840" w:rightChars="400" w:firstLine="440" w:firstLineChars="200"/>
        <w:textAlignment w:val="baseline"/>
      </w:pPr>
      <w:r>
        <w:rPr>
          <w:rFonts w:hint="eastAsia" w:ascii="宋体" w:hAnsi="宋体" w:eastAsia="宋体" w:cs="宋体"/>
          <w:sz w:val="22"/>
          <w:szCs w:val="22"/>
        </w:rPr>
        <w:t>注：填不下时可另加附页</w:t>
      </w:r>
    </w:p>
    <w:sectPr>
      <w:footerReference r:id="rId6" w:type="first"/>
      <w:headerReference r:id="rId4" w:type="default"/>
      <w:footerReference r:id="rId5" w:type="default"/>
      <w:pgSz w:w="11910" w:h="16840"/>
      <w:pgMar w:top="1340" w:right="1500" w:bottom="280" w:left="1680" w:header="720" w:footer="72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43E1F">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C06754">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9C06754">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CEACC">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3A05E8">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43A05E8">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FBFC2">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3696C">
    <w:pPr>
      <w:pStyle w:val="9"/>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614A67"/>
    <w:multiLevelType w:val="singleLevel"/>
    <w:tmpl w:val="A8614A67"/>
    <w:lvl w:ilvl="0" w:tentative="0">
      <w:start w:val="2"/>
      <w:numFmt w:val="decimal"/>
      <w:suff w:val="nothing"/>
      <w:lvlText w:val="（%1）"/>
      <w:lvlJc w:val="left"/>
    </w:lvl>
  </w:abstractNum>
  <w:abstractNum w:abstractNumId="1">
    <w:nsid w:val="EAF0583E"/>
    <w:multiLevelType w:val="singleLevel"/>
    <w:tmpl w:val="EAF0583E"/>
    <w:lvl w:ilvl="0" w:tentative="0">
      <w:start w:val="5"/>
      <w:numFmt w:val="decimal"/>
      <w:lvlText w:val="%1."/>
      <w:lvlJc w:val="left"/>
      <w:pPr>
        <w:tabs>
          <w:tab w:val="left" w:pos="312"/>
        </w:tabs>
      </w:pPr>
    </w:lvl>
  </w:abstractNum>
  <w:abstractNum w:abstractNumId="2">
    <w:nsid w:val="414D6320"/>
    <w:multiLevelType w:val="singleLevel"/>
    <w:tmpl w:val="414D6320"/>
    <w:lvl w:ilvl="0" w:tentative="0">
      <w:start w:val="1"/>
      <w:numFmt w:val="decimal"/>
      <w:pStyle w:val="6"/>
      <w:lvlText w:val="%1."/>
      <w:lvlJc w:val="left"/>
      <w:pPr>
        <w:tabs>
          <w:tab w:val="left" w:pos="360"/>
        </w:tabs>
        <w:ind w:left="360" w:hanging="360"/>
      </w:pPr>
    </w:lvl>
  </w:abstractNum>
  <w:abstractNum w:abstractNumId="3">
    <w:nsid w:val="471703F0"/>
    <w:multiLevelType w:val="multilevel"/>
    <w:tmpl w:val="471703F0"/>
    <w:lvl w:ilvl="0" w:tentative="0">
      <w:start w:val="1"/>
      <w:numFmt w:val="decimal"/>
      <w:lvlText w:val="第%1条"/>
      <w:lvlJc w:val="left"/>
      <w:pPr>
        <w:ind w:left="1559"/>
      </w:pPr>
      <w:rPr>
        <w:rFonts w:hint="eastAsia" w:eastAsia="微软雅黑"/>
        <w:b w:val="0"/>
        <w:i w:val="0"/>
        <w:sz w:val="24"/>
      </w:rPr>
    </w:lvl>
    <w:lvl w:ilvl="1" w:tentative="0">
      <w:start w:val="1"/>
      <w:numFmt w:val="none"/>
      <w:pStyle w:val="3"/>
      <w:suff w:val="nothing"/>
      <w:lvlText w:val=""/>
      <w:lvlJc w:val="left"/>
      <w:rPr>
        <w:rFonts w:cs="Times New Roman"/>
      </w:rPr>
    </w:lvl>
    <w:lvl w:ilvl="2" w:tentative="0">
      <w:start w:val="1"/>
      <w:numFmt w:val="none"/>
      <w:suff w:val="nothing"/>
      <w:lvlText w:val=""/>
      <w:lvlJc w:val="left"/>
      <w:rPr>
        <w:rFonts w:cs="Times New Roman"/>
      </w:rPr>
    </w:lvl>
    <w:lvl w:ilvl="3" w:tentative="0">
      <w:start w:val="1"/>
      <w:numFmt w:val="none"/>
      <w:suff w:val="nothing"/>
      <w:lvlText w:val=""/>
      <w:lvlJc w:val="left"/>
      <w:rPr>
        <w:rFonts w:cs="Times New Roman"/>
      </w:rPr>
    </w:lvl>
    <w:lvl w:ilvl="4" w:tentative="0">
      <w:start w:val="1"/>
      <w:numFmt w:val="none"/>
      <w:suff w:val="nothing"/>
      <w:lvlText w:val=""/>
      <w:lvlJc w:val="left"/>
      <w:rPr>
        <w:rFonts w:cs="Times New Roman"/>
      </w:rPr>
    </w:lvl>
    <w:lvl w:ilvl="5" w:tentative="0">
      <w:start w:val="1"/>
      <w:numFmt w:val="none"/>
      <w:suff w:val="nothing"/>
      <w:lvlText w:val=""/>
      <w:lvlJc w:val="left"/>
      <w:rPr>
        <w:rFonts w:cs="Times New Roman"/>
      </w:rPr>
    </w:lvl>
    <w:lvl w:ilvl="6" w:tentative="0">
      <w:start w:val="1"/>
      <w:numFmt w:val="none"/>
      <w:suff w:val="nothing"/>
      <w:lvlText w:val=""/>
      <w:lvlJc w:val="left"/>
      <w:rPr>
        <w:rFonts w:cs="Times New Roman"/>
      </w:rPr>
    </w:lvl>
    <w:lvl w:ilvl="7" w:tentative="0">
      <w:start w:val="1"/>
      <w:numFmt w:val="none"/>
      <w:suff w:val="nothing"/>
      <w:lvlText w:val=""/>
      <w:lvlJc w:val="left"/>
      <w:rPr>
        <w:rFonts w:cs="Times New Roman"/>
      </w:rPr>
    </w:lvl>
    <w:lvl w:ilvl="8" w:tentative="0">
      <w:start w:val="1"/>
      <w:numFmt w:val="none"/>
      <w:suff w:val="nothing"/>
      <w:lvlText w:val=""/>
      <w:lvlJc w:val="left"/>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kNmRkYjM3MTJkNTkyYzk4ZTdmZmY4YjBkMmZkZGEifQ=="/>
  </w:docVars>
  <w:rsids>
    <w:rsidRoot w:val="7DC04DE9"/>
    <w:rsid w:val="016D7C6A"/>
    <w:rsid w:val="06CE4D93"/>
    <w:rsid w:val="0A414CAD"/>
    <w:rsid w:val="18ED4732"/>
    <w:rsid w:val="229D2D15"/>
    <w:rsid w:val="29B10399"/>
    <w:rsid w:val="29C70BBB"/>
    <w:rsid w:val="34FB75B1"/>
    <w:rsid w:val="3B9F72A2"/>
    <w:rsid w:val="449851D6"/>
    <w:rsid w:val="56937355"/>
    <w:rsid w:val="5F1B2D58"/>
    <w:rsid w:val="693C4791"/>
    <w:rsid w:val="6F176B74"/>
    <w:rsid w:val="70A26911"/>
    <w:rsid w:val="70FC6A78"/>
    <w:rsid w:val="724E5187"/>
    <w:rsid w:val="7B8749B6"/>
    <w:rsid w:val="7DC04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Cambria" w:hAnsi="Cambria"/>
      <w:b/>
      <w:bCs/>
      <w:sz w:val="32"/>
      <w:szCs w:val="32"/>
    </w:rPr>
  </w:style>
  <w:style w:type="paragraph" w:styleId="4">
    <w:name w:val="heading 5"/>
    <w:basedOn w:val="1"/>
    <w:next w:val="5"/>
    <w:qFormat/>
    <w:uiPriority w:val="9"/>
    <w:pPr>
      <w:keepNext/>
      <w:keepLines/>
      <w:spacing w:before="280" w:after="290" w:line="376" w:lineRule="auto"/>
      <w:outlineLvl w:val="4"/>
    </w:pPr>
    <w:rPr>
      <w:b/>
      <w:bCs/>
      <w:sz w:val="28"/>
      <w:szCs w:val="28"/>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List Number"/>
    <w:basedOn w:val="1"/>
    <w:qFormat/>
    <w:uiPriority w:val="0"/>
    <w:pPr>
      <w:numPr>
        <w:ilvl w:val="0"/>
        <w:numId w:val="2"/>
      </w:numPr>
    </w:pPr>
  </w:style>
  <w:style w:type="paragraph" w:styleId="7">
    <w:name w:val="annotation text"/>
    <w:basedOn w:val="1"/>
    <w:qFormat/>
    <w:uiPriority w:val="0"/>
    <w:pPr>
      <w:jc w:val="left"/>
    </w:pPr>
  </w:style>
  <w:style w:type="paragraph" w:styleId="8">
    <w:name w:val="Body Text 3"/>
    <w:basedOn w:val="1"/>
    <w:unhideWhenUsed/>
    <w:qFormat/>
    <w:uiPriority w:val="99"/>
    <w:pPr>
      <w:spacing w:after="120"/>
    </w:pPr>
    <w:rPr>
      <w:sz w:val="16"/>
      <w:szCs w:val="16"/>
    </w:rPr>
  </w:style>
  <w:style w:type="paragraph" w:styleId="9">
    <w:name w:val="Body Text"/>
    <w:basedOn w:val="1"/>
    <w:unhideWhenUsed/>
    <w:qFormat/>
    <w:uiPriority w:val="0"/>
    <w:pPr>
      <w:spacing w:after="120"/>
    </w:pPr>
  </w:style>
  <w:style w:type="paragraph" w:styleId="10">
    <w:name w:val="Body Text Indent"/>
    <w:basedOn w:val="1"/>
    <w:next w:val="11"/>
    <w:qFormat/>
    <w:uiPriority w:val="0"/>
    <w:pPr>
      <w:ind w:firstLine="830" w:firstLineChars="352"/>
    </w:pPr>
    <w:rPr>
      <w:rFonts w:ascii="仿宋_GB2312" w:eastAsia="仿宋_GB2312"/>
      <w:kern w:val="0"/>
      <w:sz w:val="32"/>
      <w:szCs w:val="20"/>
    </w:rPr>
  </w:style>
  <w:style w:type="paragraph" w:customStyle="1" w:styleId="11">
    <w:name w:val="正文 A"/>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qFormat/>
    <w:uiPriority w:val="0"/>
    <w:rPr>
      <w:rFonts w:ascii="宋体" w:hAnsi="Courier New"/>
      <w:kern w:val="0"/>
      <w:sz w:val="20"/>
      <w:szCs w:val="21"/>
    </w:rPr>
  </w:style>
  <w:style w:type="paragraph" w:styleId="14">
    <w:name w:val="footer"/>
    <w:basedOn w:val="1"/>
    <w:unhideWhenUsed/>
    <w:qFormat/>
    <w:uiPriority w:val="99"/>
    <w:pPr>
      <w:tabs>
        <w:tab w:val="center" w:pos="4153"/>
        <w:tab w:val="right" w:pos="8306"/>
      </w:tabs>
      <w:snapToGrid w:val="0"/>
      <w:jc w:val="left"/>
    </w:pPr>
    <w:rPr>
      <w:kern w:val="0"/>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unhideWhenUsed/>
    <w:qFormat/>
    <w:uiPriority w:val="39"/>
  </w:style>
  <w:style w:type="paragraph" w:styleId="17">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character" w:styleId="20">
    <w:name w:val="Hyperlink"/>
    <w:unhideWhenUsed/>
    <w:qFormat/>
    <w:uiPriority w:val="99"/>
    <w:rPr>
      <w:color w:val="0000FF"/>
      <w:u w:val="single"/>
    </w:rPr>
  </w:style>
  <w:style w:type="character" w:styleId="21">
    <w:name w:val="HTML Sample"/>
    <w:basedOn w:val="19"/>
    <w:unhideWhenUsed/>
    <w:qFormat/>
    <w:uiPriority w:val="99"/>
    <w:rPr>
      <w:rFonts w:ascii="Courier New" w:hAnsi="Courier New"/>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3">
    <w:name w:val="font61"/>
    <w:basedOn w:val="19"/>
    <w:qFormat/>
    <w:uiPriority w:val="0"/>
    <w:rPr>
      <w:rFonts w:hint="default" w:ascii="Times New Roman" w:hAnsi="Times New Roman" w:cs="Times New Roman"/>
      <w:color w:val="000000"/>
      <w:sz w:val="22"/>
      <w:szCs w:val="22"/>
      <w:u w:val="none"/>
    </w:rPr>
  </w:style>
  <w:style w:type="table" w:customStyle="1" w:styleId="2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23528</Words>
  <Characters>25031</Characters>
  <Lines>0</Lines>
  <Paragraphs>0</Paragraphs>
  <TotalTime>274</TotalTime>
  <ScaleCrop>false</ScaleCrop>
  <LinksUpToDate>false</LinksUpToDate>
  <CharactersWithSpaces>26956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2025-05-21T00:46:00Z</dcterms:created>
  <dc:creator>黄海洋</dc:creator>
  <cp:lastModifiedBy>黄海洋</cp:lastModifiedBy>
  <dcterms:modified xsi:type="dcterms:W3CDTF">2025-06-19T02:07:22Z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1A24566426984877B82B52BCEAFFF136</vt:lpwstr>
  </property>
  <property fmtid="{D5CDD505-2E9C-101B-9397-08002B2CF9AE}" pid="4" name="KSOTemplateDocerSaveRecord">
    <vt:lpwstr>eyJoZGlkIjoiOWZlYzNkMjc1MjNlYjkzZmFkZTQ1YTczMmQ5ZjY4NjEiLCJ1c2VySWQiOiIxNDgwOTM2OTU4In0=</vt:lpwstr>
  </property>
</Properties>
</file>