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52"/>
          <w:szCs w:val="52"/>
          <w:highlight w:val="none"/>
          <w:lang w:eastAsia="zh-CN"/>
        </w:rPr>
      </w:pPr>
      <w:r>
        <w:rPr>
          <w:rFonts w:hint="eastAsia" w:ascii="宋体" w:hAnsi="宋体"/>
          <w:b/>
          <w:bCs/>
          <w:color w:val="auto"/>
          <w:sz w:val="52"/>
          <w:szCs w:val="52"/>
          <w:highlight w:val="none"/>
          <w:lang w:eastAsia="zh-CN"/>
        </w:rPr>
        <w:drawing>
          <wp:inline distT="0" distB="0" distL="114300" distR="114300">
            <wp:extent cx="5636895" cy="7964170"/>
            <wp:effectExtent l="0" t="0" r="1905" b="17780"/>
            <wp:docPr id="1" name="图片 1" descr="微信图片_2024052216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22161840"/>
                    <pic:cNvPicPr>
                      <a:picLocks noChangeAspect="1"/>
                    </pic:cNvPicPr>
                  </pic:nvPicPr>
                  <pic:blipFill>
                    <a:blip r:embed="rId13"/>
                    <a:stretch>
                      <a:fillRect/>
                    </a:stretch>
                  </pic:blipFill>
                  <pic:spPr>
                    <a:xfrm>
                      <a:off x="0" y="0"/>
                      <a:ext cx="5636895" cy="7964170"/>
                    </a:xfrm>
                    <a:prstGeom prst="rect">
                      <a:avLst/>
                    </a:prstGeom>
                  </pic:spPr>
                </pic:pic>
              </a:graphicData>
            </a:graphic>
          </wp:inline>
        </w:drawing>
      </w:r>
      <w:bookmarkStart w:id="1309" w:name="_GoBack"/>
      <w:bookmarkEnd w:id="1309"/>
    </w:p>
    <w:p>
      <w:pPr>
        <w:jc w:val="center"/>
        <w:rPr>
          <w:rFonts w:hint="eastAsia" w:ascii="宋体" w:hAnsi="宋体"/>
          <w:b/>
          <w:bCs/>
          <w:color w:val="auto"/>
          <w:sz w:val="52"/>
          <w:szCs w:val="52"/>
          <w:highlight w:val="none"/>
          <w:lang w:eastAsia="zh-CN"/>
        </w:rPr>
      </w:pPr>
    </w:p>
    <w:p>
      <w:pPr>
        <w:jc w:val="center"/>
        <w:rPr>
          <w:rFonts w:hint="eastAsia" w:ascii="宋体" w:hAnsi="宋体"/>
          <w:b/>
          <w:bCs/>
          <w:color w:val="auto"/>
          <w:sz w:val="52"/>
          <w:szCs w:val="52"/>
          <w:highlight w:val="none"/>
          <w:lang w:eastAsia="zh-CN"/>
        </w:rPr>
      </w:pPr>
      <w:r>
        <w:rPr>
          <w:rFonts w:hint="eastAsia" w:ascii="宋体" w:hAnsi="宋体"/>
          <w:b/>
          <w:bCs/>
          <w:color w:val="auto"/>
          <w:sz w:val="52"/>
          <w:szCs w:val="52"/>
          <w:highlight w:val="none"/>
          <w:lang w:eastAsia="zh-CN"/>
        </w:rPr>
        <w:t>（全流程电子化评标）</w:t>
      </w:r>
    </w:p>
    <w:p>
      <w:pPr>
        <w:spacing w:line="360" w:lineRule="auto"/>
        <w:jc w:val="center"/>
        <w:rPr>
          <w:rFonts w:ascii="方正小标宋简体" w:hAnsi="方正小标宋简体" w:eastAsia="方正小标宋简体" w:cs="方正小标宋简体"/>
          <w:b/>
          <w:color w:val="auto"/>
          <w:sz w:val="44"/>
          <w:szCs w:val="44"/>
          <w:highlight w:val="none"/>
        </w:rPr>
      </w:pPr>
    </w:p>
    <w:p>
      <w:pPr>
        <w:snapToGrid w:val="0"/>
        <w:spacing w:before="156" w:beforeLines="50" w:line="360" w:lineRule="auto"/>
        <w:jc w:val="center"/>
        <w:rPr>
          <w:rFonts w:ascii="华文新魏" w:hAnsi="宋体" w:eastAsia="华文新魏"/>
          <w:color w:val="auto"/>
          <w:sz w:val="120"/>
          <w:szCs w:val="120"/>
          <w:highlight w:val="none"/>
        </w:rPr>
      </w:pPr>
      <w:r>
        <w:rPr>
          <w:rFonts w:hint="eastAsia" w:ascii="华文新魏" w:hAnsi="宋体" w:eastAsia="华文新魏"/>
          <w:color w:val="auto"/>
          <w:sz w:val="120"/>
          <w:szCs w:val="120"/>
          <w:highlight w:val="none"/>
        </w:rPr>
        <w:t>竞争性磋商文件</w:t>
      </w:r>
    </w:p>
    <w:p>
      <w:pPr>
        <w:snapToGrid w:val="0"/>
        <w:spacing w:line="360" w:lineRule="auto"/>
        <w:rPr>
          <w:rFonts w:ascii="仿宋_GB2312" w:hAnsi="宋体" w:eastAsia="仿宋_GB2312"/>
          <w:color w:val="auto"/>
          <w:sz w:val="30"/>
          <w:szCs w:val="72"/>
          <w:highlight w:val="none"/>
        </w:rPr>
      </w:pPr>
    </w:p>
    <w:p>
      <w:pPr>
        <w:pStyle w:val="203"/>
        <w:rPr>
          <w:color w:val="auto"/>
          <w:highlight w:val="none"/>
        </w:rPr>
      </w:pPr>
    </w:p>
    <w:p>
      <w:pPr>
        <w:pStyle w:val="24"/>
        <w:snapToGrid w:val="0"/>
        <w:spacing w:line="480" w:lineRule="auto"/>
        <w:ind w:firstLine="964" w:firstLineChars="300"/>
        <w:rPr>
          <w:rFonts w:ascii="仿宋_GB2312" w:hAnsi="宋体" w:eastAsia="仿宋_GB2312"/>
          <w:b/>
          <w:bCs/>
          <w:color w:val="auto"/>
          <w:sz w:val="32"/>
          <w:szCs w:val="32"/>
          <w:highlight w:val="none"/>
        </w:rPr>
      </w:pPr>
      <w:r>
        <w:rPr>
          <w:rFonts w:hint="eastAsia" w:ascii="仿宋_GB2312" w:hAnsi="宋体" w:eastAsia="仿宋_GB2312"/>
          <w:b/>
          <w:bCs/>
          <w:color w:val="auto"/>
          <w:sz w:val="32"/>
          <w:szCs w:val="32"/>
          <w:highlight w:val="none"/>
        </w:rPr>
        <w:t>项目</w:t>
      </w:r>
      <w:r>
        <w:rPr>
          <w:rFonts w:hint="eastAsia" w:ascii="仿宋_GB2312" w:hAnsi="宋体" w:eastAsia="仿宋_GB2312" w:cs="Courier New"/>
          <w:b/>
          <w:bCs/>
          <w:color w:val="auto"/>
          <w:w w:val="95"/>
          <w:sz w:val="32"/>
          <w:szCs w:val="32"/>
          <w:highlight w:val="none"/>
        </w:rPr>
        <w:t>名称</w:t>
      </w:r>
      <w:r>
        <w:rPr>
          <w:rFonts w:hint="eastAsia" w:ascii="仿宋_GB2312" w:hAnsi="宋体" w:eastAsia="仿宋_GB2312"/>
          <w:b/>
          <w:bCs/>
          <w:color w:val="auto"/>
          <w:sz w:val="32"/>
          <w:szCs w:val="32"/>
          <w:highlight w:val="none"/>
        </w:rPr>
        <w:t>：深圳小镇（含东城景苑）路灯及线路系统检修更换维护项目</w:t>
      </w:r>
    </w:p>
    <w:p>
      <w:pPr>
        <w:snapToGrid w:val="0"/>
        <w:spacing w:line="480" w:lineRule="auto"/>
        <w:ind w:firstLine="916" w:firstLineChars="300"/>
        <w:rPr>
          <w:rFonts w:hint="default" w:ascii="仿宋_GB2312" w:hAnsi="宋体" w:eastAsia="仿宋_GB2312"/>
          <w:color w:val="auto"/>
          <w:sz w:val="32"/>
          <w:szCs w:val="32"/>
          <w:highlight w:val="none"/>
          <w:lang w:val="en-US" w:eastAsia="zh-CN"/>
        </w:rPr>
      </w:pPr>
      <w:r>
        <w:rPr>
          <w:rFonts w:hint="eastAsia" w:ascii="仿宋_GB2312" w:hAnsi="宋体" w:eastAsia="仿宋_GB2312" w:cs="Courier New"/>
          <w:b/>
          <w:bCs/>
          <w:color w:val="auto"/>
          <w:w w:val="95"/>
          <w:sz w:val="32"/>
          <w:szCs w:val="32"/>
          <w:highlight w:val="none"/>
        </w:rPr>
        <w:t>项目</w:t>
      </w:r>
      <w:r>
        <w:rPr>
          <w:rFonts w:hint="eastAsia" w:ascii="仿宋_GB2312" w:hAnsi="宋体" w:eastAsia="仿宋_GB2312"/>
          <w:b/>
          <w:bCs/>
          <w:color w:val="auto"/>
          <w:sz w:val="32"/>
          <w:szCs w:val="32"/>
          <w:highlight w:val="none"/>
        </w:rPr>
        <w:t>编号</w:t>
      </w:r>
      <w:r>
        <w:rPr>
          <w:rFonts w:hint="eastAsia" w:ascii="仿宋_GB2312" w:hAnsi="宋体" w:eastAsia="仿宋_GB2312" w:cs="Courier New"/>
          <w:b/>
          <w:bCs/>
          <w:color w:val="auto"/>
          <w:w w:val="95"/>
          <w:sz w:val="32"/>
          <w:szCs w:val="32"/>
          <w:highlight w:val="none"/>
        </w:rPr>
        <w:t>：</w:t>
      </w:r>
      <w:r>
        <w:rPr>
          <w:rFonts w:hint="eastAsia" w:ascii="仿宋_GB2312" w:hAnsi="宋体" w:eastAsia="仿宋_GB2312" w:cs="Courier New"/>
          <w:b/>
          <w:bCs/>
          <w:color w:val="auto"/>
          <w:w w:val="95"/>
          <w:sz w:val="32"/>
          <w:szCs w:val="32"/>
          <w:highlight w:val="none"/>
          <w:lang w:val="en-US" w:eastAsia="zh-CN"/>
        </w:rPr>
        <w:t>BSZC2024-C2-020058-BSSG</w:t>
      </w:r>
    </w:p>
    <w:p>
      <w:pPr>
        <w:pStyle w:val="24"/>
        <w:snapToGrid w:val="0"/>
        <w:spacing w:line="480" w:lineRule="auto"/>
        <w:ind w:firstLine="916" w:firstLineChars="300"/>
        <w:rPr>
          <w:rFonts w:hint="eastAsia" w:ascii="仿宋_GB2312" w:hAnsi="宋体" w:eastAsia="仿宋_GB2312"/>
          <w:b/>
          <w:bCs/>
          <w:color w:val="auto"/>
          <w:w w:val="95"/>
          <w:sz w:val="32"/>
          <w:szCs w:val="32"/>
          <w:highlight w:val="none"/>
          <w:lang w:eastAsia="zh-CN"/>
        </w:rPr>
      </w:pPr>
      <w:r>
        <w:rPr>
          <w:rFonts w:hint="eastAsia" w:ascii="仿宋_GB2312" w:hAnsi="宋体" w:eastAsia="仿宋_GB2312"/>
          <w:b/>
          <w:bCs/>
          <w:color w:val="auto"/>
          <w:w w:val="95"/>
          <w:sz w:val="32"/>
          <w:szCs w:val="32"/>
          <w:highlight w:val="none"/>
        </w:rPr>
        <w:t>采 购 人：</w:t>
      </w:r>
      <w:r>
        <w:rPr>
          <w:rFonts w:hint="eastAsia" w:ascii="仿宋_GB2312" w:hAnsi="宋体" w:eastAsia="仿宋_GB2312"/>
          <w:b/>
          <w:bCs/>
          <w:color w:val="auto"/>
          <w:w w:val="95"/>
          <w:sz w:val="32"/>
          <w:szCs w:val="32"/>
          <w:highlight w:val="none"/>
          <w:lang w:eastAsia="zh-CN"/>
        </w:rPr>
        <w:t>百色市右江区四塘镇人民政府</w:t>
      </w:r>
    </w:p>
    <w:p>
      <w:pPr>
        <w:pStyle w:val="24"/>
        <w:snapToGrid w:val="0"/>
        <w:spacing w:line="480" w:lineRule="auto"/>
        <w:ind w:firstLine="916" w:firstLineChars="300"/>
        <w:rPr>
          <w:rFonts w:hint="eastAsia" w:ascii="仿宋_GB2312" w:hAnsi="宋体" w:eastAsia="仿宋_GB2312"/>
          <w:b/>
          <w:bCs/>
          <w:color w:val="auto"/>
          <w:w w:val="95"/>
          <w:sz w:val="32"/>
          <w:szCs w:val="32"/>
          <w:highlight w:val="none"/>
          <w:lang w:eastAsia="zh-CN"/>
        </w:rPr>
      </w:pPr>
      <w:r>
        <w:rPr>
          <w:rFonts w:hint="eastAsia" w:ascii="仿宋_GB2312" w:hAnsi="宋体" w:eastAsia="仿宋_GB2312"/>
          <w:b/>
          <w:bCs/>
          <w:color w:val="auto"/>
          <w:w w:val="95"/>
          <w:sz w:val="32"/>
          <w:szCs w:val="32"/>
          <w:highlight w:val="none"/>
        </w:rPr>
        <w:t>采购代理机构：</w:t>
      </w:r>
      <w:r>
        <w:rPr>
          <w:rFonts w:hint="eastAsia" w:ascii="仿宋_GB2312" w:hAnsi="宋体" w:eastAsia="仿宋_GB2312"/>
          <w:b/>
          <w:bCs/>
          <w:color w:val="auto"/>
          <w:w w:val="95"/>
          <w:sz w:val="32"/>
          <w:szCs w:val="32"/>
          <w:highlight w:val="none"/>
          <w:lang w:eastAsia="zh-CN"/>
        </w:rPr>
        <w:t>百色市公共资源交易有限公司</w:t>
      </w:r>
    </w:p>
    <w:p>
      <w:pPr>
        <w:pStyle w:val="24"/>
        <w:snapToGrid w:val="0"/>
        <w:spacing w:line="360" w:lineRule="auto"/>
        <w:rPr>
          <w:rFonts w:ascii="仿宋_GB2312" w:hAnsi="宋体" w:eastAsia="仿宋_GB2312"/>
          <w:b/>
          <w:bCs/>
          <w:color w:val="auto"/>
          <w:w w:val="95"/>
          <w:sz w:val="30"/>
          <w:szCs w:val="30"/>
          <w:highlight w:val="none"/>
        </w:rPr>
      </w:pPr>
    </w:p>
    <w:p>
      <w:pPr>
        <w:pStyle w:val="24"/>
        <w:snapToGrid w:val="0"/>
        <w:spacing w:line="360" w:lineRule="auto"/>
        <w:jc w:val="center"/>
        <w:rPr>
          <w:rFonts w:ascii="仿宋_GB2312" w:eastAsia="仿宋_GB2312"/>
          <w:color w:val="auto"/>
          <w:szCs w:val="20"/>
          <w:highlight w:val="none"/>
        </w:rPr>
      </w:pPr>
      <w:r>
        <w:rPr>
          <w:rFonts w:ascii="仿宋_GB2312" w:hAnsi="宋体" w:eastAsia="仿宋_GB2312"/>
          <w:b/>
          <w:bCs/>
          <w:color w:val="auto"/>
          <w:w w:val="95"/>
          <w:sz w:val="30"/>
          <w:szCs w:val="30"/>
          <w:highlight w:val="none"/>
        </w:rPr>
        <w:t>202</w:t>
      </w:r>
      <w:r>
        <w:rPr>
          <w:rFonts w:hint="eastAsia" w:ascii="仿宋_GB2312" w:hAnsi="宋体" w:eastAsia="仿宋_GB2312"/>
          <w:b/>
          <w:bCs/>
          <w:color w:val="auto"/>
          <w:w w:val="95"/>
          <w:sz w:val="30"/>
          <w:szCs w:val="30"/>
          <w:highlight w:val="none"/>
        </w:rPr>
        <w:t>4年</w:t>
      </w:r>
      <w:r>
        <w:rPr>
          <w:rFonts w:hint="eastAsia" w:ascii="仿宋_GB2312" w:hAnsi="宋体" w:eastAsia="仿宋_GB2312"/>
          <w:b/>
          <w:bCs/>
          <w:color w:val="auto"/>
          <w:w w:val="95"/>
          <w:sz w:val="30"/>
          <w:szCs w:val="30"/>
          <w:highlight w:val="none"/>
          <w:lang w:val="en-US" w:eastAsia="zh-CN"/>
        </w:rPr>
        <w:t>5</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22</w:t>
      </w:r>
      <w:r>
        <w:rPr>
          <w:rFonts w:hint="eastAsia" w:ascii="仿宋_GB2312" w:hAnsi="宋体" w:eastAsia="仿宋_GB2312"/>
          <w:b/>
          <w:bCs/>
          <w:color w:val="auto"/>
          <w:w w:val="95"/>
          <w:sz w:val="30"/>
          <w:szCs w:val="30"/>
          <w:highlight w:val="none"/>
        </w:rPr>
        <w:t>日</w:t>
      </w:r>
    </w:p>
    <w:p>
      <w:pPr>
        <w:spacing w:line="360" w:lineRule="auto"/>
        <w:jc w:val="center"/>
        <w:rPr>
          <w:rFonts w:ascii="宋体" w:hAnsi="宋体"/>
          <w:b/>
          <w:color w:val="auto"/>
          <w:sz w:val="44"/>
          <w:szCs w:val="44"/>
          <w:highlight w:val="none"/>
        </w:rPr>
      </w:pPr>
      <w:r>
        <w:rPr>
          <w:rFonts w:hint="eastAsia" w:ascii="黑体" w:hAnsi="黑体" w:eastAsia="黑体" w:cs="宋体"/>
          <w:b/>
          <w:bCs/>
          <w:color w:val="auto"/>
          <w:kern w:val="0"/>
          <w:sz w:val="32"/>
          <w:szCs w:val="32"/>
          <w:highlight w:val="none"/>
        </w:rPr>
        <w:br w:type="page"/>
      </w:r>
    </w:p>
    <w:p>
      <w:pPr>
        <w:spacing w:line="360" w:lineRule="auto"/>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31"/>
        <w:tabs>
          <w:tab w:val="right" w:leader="dot" w:pos="8869"/>
        </w:tabs>
        <w:snapToGrid w:val="0"/>
        <w:spacing w:line="480" w:lineRule="auto"/>
        <w:rPr>
          <w:rFonts w:ascii="宋体" w:hAnsi="宋体"/>
          <w:b/>
          <w:color w:val="auto"/>
          <w:sz w:val="32"/>
          <w:szCs w:val="32"/>
          <w:highlight w:val="none"/>
        </w:rPr>
      </w:pPr>
      <w:r>
        <w:rPr>
          <w:rFonts w:ascii="宋体" w:hAnsi="宋体"/>
          <w:b/>
          <w:color w:val="auto"/>
          <w:sz w:val="32"/>
          <w:szCs w:val="32"/>
          <w:highlight w:val="none"/>
        </w:rPr>
        <w:fldChar w:fldCharType="begin"/>
      </w:r>
      <w:r>
        <w:rPr>
          <w:rFonts w:hint="eastAsia" w:ascii="宋体" w:hAnsi="宋体"/>
          <w:b/>
          <w:color w:val="auto"/>
          <w:sz w:val="32"/>
          <w:szCs w:val="32"/>
          <w:highlight w:val="none"/>
        </w:rPr>
        <w:instrText xml:space="preserve">TOC \o "1-3" \h \z \u</w:instrText>
      </w:r>
      <w:r>
        <w:rPr>
          <w:rFonts w:ascii="宋体" w:hAnsi="宋体"/>
          <w:b/>
          <w:color w:val="auto"/>
          <w:sz w:val="32"/>
          <w:szCs w:val="32"/>
          <w:highlight w:val="none"/>
        </w:rPr>
        <w:fldChar w:fldCharType="separate"/>
      </w:r>
      <w:r>
        <w:rPr>
          <w:color w:val="auto"/>
          <w:sz w:val="32"/>
          <w:szCs w:val="32"/>
          <w:highlight w:val="none"/>
        </w:rPr>
        <w:fldChar w:fldCharType="begin"/>
      </w:r>
      <w:r>
        <w:rPr>
          <w:color w:val="auto"/>
          <w:sz w:val="32"/>
          <w:szCs w:val="32"/>
          <w:highlight w:val="none"/>
        </w:rPr>
        <w:instrText xml:space="preserve"> HYPERLINK \l "_Toc74323456" </w:instrText>
      </w:r>
      <w:r>
        <w:rPr>
          <w:color w:val="auto"/>
          <w:sz w:val="32"/>
          <w:szCs w:val="32"/>
          <w:highlight w:val="none"/>
        </w:rPr>
        <w:fldChar w:fldCharType="separate"/>
      </w:r>
      <w:r>
        <w:rPr>
          <w:rStyle w:val="54"/>
          <w:rFonts w:hint="eastAsia" w:ascii="宋体" w:hAnsi="宋体"/>
          <w:b/>
          <w:color w:val="auto"/>
          <w:sz w:val="32"/>
          <w:szCs w:val="32"/>
          <w:highlight w:val="none"/>
        </w:rPr>
        <w:t>第一章竞争性磋商公告</w:t>
      </w:r>
      <w:r>
        <w:rPr>
          <w:rFonts w:ascii="宋体" w:hAnsi="宋体"/>
          <w:b/>
          <w:color w:val="auto"/>
          <w:sz w:val="32"/>
          <w:szCs w:val="32"/>
          <w:highlight w:val="none"/>
        </w:rPr>
        <w:tab/>
      </w:r>
      <w:r>
        <w:rPr>
          <w:rFonts w:ascii="宋体" w:hAnsi="宋体"/>
          <w:b/>
          <w:color w:val="auto"/>
          <w:sz w:val="32"/>
          <w:szCs w:val="32"/>
          <w:highlight w:val="none"/>
        </w:rPr>
        <w:fldChar w:fldCharType="begin"/>
      </w:r>
      <w:r>
        <w:rPr>
          <w:rFonts w:ascii="宋体" w:hAnsi="宋体"/>
          <w:b/>
          <w:color w:val="auto"/>
          <w:sz w:val="32"/>
          <w:szCs w:val="32"/>
          <w:highlight w:val="none"/>
        </w:rPr>
        <w:instrText xml:space="preserve"> PAGEREF _Toc74323456 \h </w:instrText>
      </w:r>
      <w:r>
        <w:rPr>
          <w:rFonts w:ascii="宋体" w:hAnsi="宋体"/>
          <w:b/>
          <w:color w:val="auto"/>
          <w:sz w:val="32"/>
          <w:szCs w:val="32"/>
          <w:highlight w:val="none"/>
        </w:rPr>
        <w:fldChar w:fldCharType="separate"/>
      </w:r>
      <w:r>
        <w:rPr>
          <w:rFonts w:ascii="宋体" w:hAnsi="宋体"/>
          <w:b/>
          <w:color w:val="auto"/>
          <w:sz w:val="32"/>
          <w:szCs w:val="32"/>
          <w:highlight w:val="none"/>
        </w:rPr>
        <w:t>1</w:t>
      </w:r>
      <w:r>
        <w:rPr>
          <w:rFonts w:ascii="宋体" w:hAnsi="宋体"/>
          <w:b/>
          <w:color w:val="auto"/>
          <w:sz w:val="32"/>
          <w:szCs w:val="32"/>
          <w:highlight w:val="none"/>
        </w:rPr>
        <w:fldChar w:fldCharType="end"/>
      </w:r>
      <w:r>
        <w:rPr>
          <w:rFonts w:ascii="宋体" w:hAnsi="宋体"/>
          <w:b/>
          <w:color w:val="auto"/>
          <w:sz w:val="32"/>
          <w:szCs w:val="32"/>
          <w:highlight w:val="none"/>
        </w:rPr>
        <w:fldChar w:fldCharType="end"/>
      </w:r>
    </w:p>
    <w:p>
      <w:pPr>
        <w:pStyle w:val="31"/>
        <w:tabs>
          <w:tab w:val="right" w:leader="dot" w:pos="8869"/>
        </w:tabs>
        <w:snapToGrid w:val="0"/>
        <w:spacing w:line="480" w:lineRule="auto"/>
        <w:rPr>
          <w:rFonts w:ascii="宋体" w:hAnsi="宋体"/>
          <w:b/>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"_Toc74323457" </w:instrText>
      </w:r>
      <w:r>
        <w:rPr>
          <w:color w:val="auto"/>
          <w:sz w:val="32"/>
          <w:szCs w:val="32"/>
          <w:highlight w:val="none"/>
        </w:rPr>
        <w:fldChar w:fldCharType="separate"/>
      </w:r>
      <w:r>
        <w:rPr>
          <w:rStyle w:val="54"/>
          <w:rFonts w:hint="eastAsia" w:ascii="宋体" w:hAnsi="宋体"/>
          <w:b/>
          <w:color w:val="auto"/>
          <w:sz w:val="32"/>
          <w:szCs w:val="32"/>
          <w:highlight w:val="none"/>
        </w:rPr>
        <w:t>第二章供应</w:t>
      </w:r>
      <w:bookmarkStart w:id="0" w:name="_Hlt82161237"/>
      <w:r>
        <w:rPr>
          <w:rStyle w:val="54"/>
          <w:rFonts w:hint="eastAsia" w:ascii="宋体" w:hAnsi="宋体"/>
          <w:b/>
          <w:color w:val="auto"/>
          <w:sz w:val="32"/>
          <w:szCs w:val="32"/>
          <w:highlight w:val="none"/>
        </w:rPr>
        <w:t>商</w:t>
      </w:r>
      <w:bookmarkEnd w:id="0"/>
      <w:r>
        <w:rPr>
          <w:rStyle w:val="54"/>
          <w:rFonts w:hint="eastAsia" w:ascii="宋体" w:hAnsi="宋体"/>
          <w:b/>
          <w:color w:val="auto"/>
          <w:sz w:val="32"/>
          <w:szCs w:val="32"/>
          <w:highlight w:val="none"/>
        </w:rPr>
        <w:t>须</w:t>
      </w:r>
      <w:bookmarkStart w:id="1" w:name="_Hlt123912042"/>
      <w:r>
        <w:rPr>
          <w:rStyle w:val="54"/>
          <w:rFonts w:hint="eastAsia" w:ascii="宋体" w:hAnsi="宋体"/>
          <w:b/>
          <w:color w:val="auto"/>
          <w:sz w:val="32"/>
          <w:szCs w:val="32"/>
          <w:highlight w:val="none"/>
        </w:rPr>
        <w:t>知</w:t>
      </w:r>
      <w:bookmarkEnd w:id="1"/>
      <w:r>
        <w:rPr>
          <w:rFonts w:ascii="宋体" w:hAnsi="宋体"/>
          <w:b/>
          <w:color w:val="auto"/>
          <w:sz w:val="32"/>
          <w:szCs w:val="32"/>
          <w:highlight w:val="none"/>
        </w:rPr>
        <w:tab/>
      </w:r>
      <w:r>
        <w:rPr>
          <w:rFonts w:ascii="宋体" w:hAnsi="宋体"/>
          <w:b/>
          <w:color w:val="auto"/>
          <w:sz w:val="32"/>
          <w:szCs w:val="32"/>
          <w:highlight w:val="none"/>
        </w:rPr>
        <w:fldChar w:fldCharType="begin"/>
      </w:r>
      <w:r>
        <w:rPr>
          <w:rFonts w:ascii="宋体" w:hAnsi="宋体"/>
          <w:b/>
          <w:color w:val="auto"/>
          <w:sz w:val="32"/>
          <w:szCs w:val="32"/>
          <w:highlight w:val="none"/>
        </w:rPr>
        <w:instrText xml:space="preserve"> PAGEREF _Toc74323457 \h </w:instrText>
      </w:r>
      <w:r>
        <w:rPr>
          <w:rFonts w:ascii="宋体" w:hAnsi="宋体"/>
          <w:b/>
          <w:color w:val="auto"/>
          <w:sz w:val="32"/>
          <w:szCs w:val="32"/>
          <w:highlight w:val="none"/>
        </w:rPr>
        <w:fldChar w:fldCharType="separate"/>
      </w:r>
      <w:r>
        <w:rPr>
          <w:rFonts w:ascii="宋体" w:hAnsi="宋体"/>
          <w:b/>
          <w:color w:val="auto"/>
          <w:sz w:val="32"/>
          <w:szCs w:val="32"/>
          <w:highlight w:val="none"/>
        </w:rPr>
        <w:t>5</w:t>
      </w:r>
      <w:r>
        <w:rPr>
          <w:rFonts w:ascii="宋体" w:hAnsi="宋体"/>
          <w:b/>
          <w:color w:val="auto"/>
          <w:sz w:val="32"/>
          <w:szCs w:val="32"/>
          <w:highlight w:val="none"/>
        </w:rPr>
        <w:fldChar w:fldCharType="end"/>
      </w:r>
      <w:r>
        <w:rPr>
          <w:rFonts w:ascii="宋体" w:hAnsi="宋体"/>
          <w:b/>
          <w:color w:val="auto"/>
          <w:sz w:val="32"/>
          <w:szCs w:val="32"/>
          <w:highlight w:val="none"/>
        </w:rPr>
        <w:fldChar w:fldCharType="end"/>
      </w:r>
    </w:p>
    <w:p>
      <w:pPr>
        <w:pStyle w:val="31"/>
        <w:tabs>
          <w:tab w:val="right" w:leader="dot" w:pos="8869"/>
        </w:tabs>
        <w:snapToGrid w:val="0"/>
        <w:spacing w:line="480" w:lineRule="auto"/>
        <w:rPr>
          <w:rFonts w:ascii="宋体" w:hAnsi="宋体"/>
          <w:b/>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"_Toc74323458" </w:instrText>
      </w:r>
      <w:r>
        <w:rPr>
          <w:color w:val="auto"/>
          <w:sz w:val="32"/>
          <w:szCs w:val="32"/>
          <w:highlight w:val="none"/>
        </w:rPr>
        <w:fldChar w:fldCharType="separate"/>
      </w:r>
      <w:r>
        <w:rPr>
          <w:rStyle w:val="54"/>
          <w:rFonts w:hint="eastAsia" w:ascii="宋体" w:hAnsi="宋体"/>
          <w:b/>
          <w:color w:val="auto"/>
          <w:sz w:val="32"/>
          <w:szCs w:val="32"/>
          <w:highlight w:val="none"/>
        </w:rPr>
        <w:t>第三章采</w:t>
      </w:r>
      <w:bookmarkStart w:id="2" w:name="_Hlt123913427"/>
      <w:bookmarkStart w:id="3" w:name="_Hlt123905034"/>
      <w:bookmarkStart w:id="4" w:name="_Hlt123903950"/>
      <w:r>
        <w:rPr>
          <w:rStyle w:val="54"/>
          <w:rFonts w:hint="eastAsia" w:ascii="宋体" w:hAnsi="宋体"/>
          <w:b/>
          <w:color w:val="auto"/>
          <w:sz w:val="32"/>
          <w:szCs w:val="32"/>
          <w:highlight w:val="none"/>
        </w:rPr>
        <w:t>购</w:t>
      </w:r>
      <w:bookmarkEnd w:id="2"/>
      <w:bookmarkEnd w:id="3"/>
      <w:bookmarkEnd w:id="4"/>
      <w:bookmarkStart w:id="5" w:name="_Hlt123913500"/>
      <w:r>
        <w:rPr>
          <w:rStyle w:val="54"/>
          <w:rFonts w:hint="eastAsia" w:ascii="宋体" w:hAnsi="宋体"/>
          <w:b/>
          <w:color w:val="auto"/>
          <w:sz w:val="32"/>
          <w:szCs w:val="32"/>
          <w:highlight w:val="none"/>
        </w:rPr>
        <w:t>需</w:t>
      </w:r>
      <w:bookmarkEnd w:id="5"/>
      <w:bookmarkStart w:id="6" w:name="_Hlt82166940"/>
      <w:r>
        <w:rPr>
          <w:rStyle w:val="54"/>
          <w:rFonts w:hint="eastAsia" w:ascii="宋体" w:hAnsi="宋体"/>
          <w:b/>
          <w:color w:val="auto"/>
          <w:sz w:val="32"/>
          <w:szCs w:val="32"/>
          <w:highlight w:val="none"/>
        </w:rPr>
        <w:t>求</w:t>
      </w:r>
      <w:bookmarkEnd w:id="6"/>
      <w:r>
        <w:rPr>
          <w:rFonts w:ascii="宋体" w:hAnsi="宋体"/>
          <w:b/>
          <w:color w:val="auto"/>
          <w:sz w:val="32"/>
          <w:szCs w:val="32"/>
          <w:highlight w:val="none"/>
        </w:rPr>
        <w:tab/>
      </w:r>
      <w:r>
        <w:rPr>
          <w:rFonts w:ascii="宋体" w:hAnsi="宋体"/>
          <w:b/>
          <w:color w:val="auto"/>
          <w:sz w:val="32"/>
          <w:szCs w:val="32"/>
          <w:highlight w:val="none"/>
        </w:rPr>
        <w:fldChar w:fldCharType="begin"/>
      </w:r>
      <w:r>
        <w:rPr>
          <w:rFonts w:ascii="宋体" w:hAnsi="宋体"/>
          <w:b/>
          <w:color w:val="auto"/>
          <w:sz w:val="32"/>
          <w:szCs w:val="32"/>
          <w:highlight w:val="none"/>
        </w:rPr>
        <w:instrText xml:space="preserve"> PAGEREF _Toc74323458 \h </w:instrText>
      </w:r>
      <w:r>
        <w:rPr>
          <w:rFonts w:ascii="宋体" w:hAnsi="宋体"/>
          <w:b/>
          <w:color w:val="auto"/>
          <w:sz w:val="32"/>
          <w:szCs w:val="32"/>
          <w:highlight w:val="none"/>
        </w:rPr>
        <w:fldChar w:fldCharType="separate"/>
      </w:r>
      <w:r>
        <w:rPr>
          <w:rFonts w:ascii="宋体" w:hAnsi="宋体"/>
          <w:b/>
          <w:color w:val="auto"/>
          <w:sz w:val="32"/>
          <w:szCs w:val="32"/>
          <w:highlight w:val="none"/>
        </w:rPr>
        <w:t>22</w:t>
      </w:r>
      <w:r>
        <w:rPr>
          <w:rFonts w:ascii="宋体" w:hAnsi="宋体"/>
          <w:b/>
          <w:color w:val="auto"/>
          <w:sz w:val="32"/>
          <w:szCs w:val="32"/>
          <w:highlight w:val="none"/>
        </w:rPr>
        <w:fldChar w:fldCharType="end"/>
      </w:r>
      <w:r>
        <w:rPr>
          <w:rFonts w:ascii="宋体" w:hAnsi="宋体"/>
          <w:b/>
          <w:color w:val="auto"/>
          <w:sz w:val="32"/>
          <w:szCs w:val="32"/>
          <w:highlight w:val="none"/>
        </w:rPr>
        <w:fldChar w:fldCharType="end"/>
      </w:r>
    </w:p>
    <w:p>
      <w:pPr>
        <w:pStyle w:val="31"/>
        <w:tabs>
          <w:tab w:val="right" w:leader="dot" w:pos="8869"/>
        </w:tabs>
        <w:snapToGrid w:val="0"/>
        <w:spacing w:line="480" w:lineRule="auto"/>
        <w:rPr>
          <w:rFonts w:ascii="宋体" w:hAnsi="宋体"/>
          <w:b/>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"_Toc74323459" </w:instrText>
      </w:r>
      <w:r>
        <w:rPr>
          <w:color w:val="auto"/>
          <w:sz w:val="32"/>
          <w:szCs w:val="32"/>
          <w:highlight w:val="none"/>
        </w:rPr>
        <w:fldChar w:fldCharType="separate"/>
      </w:r>
      <w:r>
        <w:rPr>
          <w:rStyle w:val="54"/>
          <w:rFonts w:hint="eastAsia" w:ascii="宋体" w:hAnsi="宋体"/>
          <w:b/>
          <w:color w:val="auto"/>
          <w:sz w:val="32"/>
          <w:szCs w:val="32"/>
          <w:highlight w:val="none"/>
        </w:rPr>
        <w:t>第四章评审</w:t>
      </w:r>
      <w:bookmarkStart w:id="7" w:name="_Hlt124354839"/>
      <w:r>
        <w:rPr>
          <w:rStyle w:val="54"/>
          <w:rFonts w:hint="eastAsia" w:ascii="宋体" w:hAnsi="宋体"/>
          <w:b/>
          <w:color w:val="auto"/>
          <w:sz w:val="32"/>
          <w:szCs w:val="32"/>
          <w:highlight w:val="none"/>
        </w:rPr>
        <w:t>程</w:t>
      </w:r>
      <w:bookmarkEnd w:id="7"/>
      <w:r>
        <w:rPr>
          <w:rStyle w:val="54"/>
          <w:rFonts w:hint="eastAsia" w:ascii="宋体" w:hAnsi="宋体"/>
          <w:b/>
          <w:color w:val="auto"/>
          <w:sz w:val="32"/>
          <w:szCs w:val="32"/>
          <w:highlight w:val="none"/>
        </w:rPr>
        <w:t>序、</w:t>
      </w:r>
      <w:bookmarkStart w:id="8" w:name="_Hlt82166000"/>
      <w:r>
        <w:rPr>
          <w:rStyle w:val="54"/>
          <w:rFonts w:hint="eastAsia" w:ascii="宋体" w:hAnsi="宋体"/>
          <w:b/>
          <w:color w:val="auto"/>
          <w:sz w:val="32"/>
          <w:szCs w:val="32"/>
          <w:highlight w:val="none"/>
        </w:rPr>
        <w:t>评</w:t>
      </w:r>
      <w:bookmarkEnd w:id="8"/>
      <w:r>
        <w:rPr>
          <w:rStyle w:val="54"/>
          <w:rFonts w:hint="eastAsia" w:ascii="宋体" w:hAnsi="宋体"/>
          <w:b/>
          <w:color w:val="auto"/>
          <w:sz w:val="32"/>
          <w:szCs w:val="32"/>
          <w:highlight w:val="none"/>
        </w:rPr>
        <w:t>审方法和评审标准</w:t>
      </w:r>
      <w:r>
        <w:rPr>
          <w:rFonts w:ascii="宋体" w:hAnsi="宋体"/>
          <w:b/>
          <w:color w:val="auto"/>
          <w:sz w:val="32"/>
          <w:szCs w:val="32"/>
          <w:highlight w:val="none"/>
        </w:rPr>
        <w:tab/>
      </w:r>
      <w:r>
        <w:rPr>
          <w:rFonts w:ascii="宋体" w:hAnsi="宋体"/>
          <w:b/>
          <w:color w:val="auto"/>
          <w:sz w:val="32"/>
          <w:szCs w:val="32"/>
          <w:highlight w:val="none"/>
        </w:rPr>
        <w:fldChar w:fldCharType="begin"/>
      </w:r>
      <w:r>
        <w:rPr>
          <w:rFonts w:ascii="宋体" w:hAnsi="宋体"/>
          <w:b/>
          <w:color w:val="auto"/>
          <w:sz w:val="32"/>
          <w:szCs w:val="32"/>
          <w:highlight w:val="none"/>
        </w:rPr>
        <w:instrText xml:space="preserve"> PAGEREF _Toc74323459 \h </w:instrText>
      </w:r>
      <w:r>
        <w:rPr>
          <w:rFonts w:ascii="宋体" w:hAnsi="宋体"/>
          <w:b/>
          <w:color w:val="auto"/>
          <w:sz w:val="32"/>
          <w:szCs w:val="32"/>
          <w:highlight w:val="none"/>
        </w:rPr>
        <w:fldChar w:fldCharType="separate"/>
      </w:r>
      <w:r>
        <w:rPr>
          <w:rFonts w:ascii="宋体" w:hAnsi="宋体"/>
          <w:b/>
          <w:color w:val="auto"/>
          <w:sz w:val="32"/>
          <w:szCs w:val="32"/>
          <w:highlight w:val="none"/>
        </w:rPr>
        <w:t>25</w:t>
      </w:r>
      <w:r>
        <w:rPr>
          <w:rFonts w:ascii="宋体" w:hAnsi="宋体"/>
          <w:b/>
          <w:color w:val="auto"/>
          <w:sz w:val="32"/>
          <w:szCs w:val="32"/>
          <w:highlight w:val="none"/>
        </w:rPr>
        <w:fldChar w:fldCharType="end"/>
      </w:r>
      <w:r>
        <w:rPr>
          <w:rFonts w:ascii="宋体" w:hAnsi="宋体"/>
          <w:b/>
          <w:color w:val="auto"/>
          <w:sz w:val="32"/>
          <w:szCs w:val="32"/>
          <w:highlight w:val="none"/>
        </w:rPr>
        <w:fldChar w:fldCharType="end"/>
      </w:r>
    </w:p>
    <w:p>
      <w:pPr>
        <w:pStyle w:val="31"/>
        <w:tabs>
          <w:tab w:val="right" w:leader="dot" w:pos="8869"/>
        </w:tabs>
        <w:snapToGrid w:val="0"/>
        <w:spacing w:line="480" w:lineRule="auto"/>
        <w:rPr>
          <w:rFonts w:ascii="宋体" w:hAnsi="宋体"/>
          <w:b/>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"_Toc74323460" </w:instrText>
      </w:r>
      <w:r>
        <w:rPr>
          <w:color w:val="auto"/>
          <w:sz w:val="32"/>
          <w:szCs w:val="32"/>
          <w:highlight w:val="none"/>
        </w:rPr>
        <w:fldChar w:fldCharType="separate"/>
      </w:r>
      <w:r>
        <w:rPr>
          <w:rStyle w:val="54"/>
          <w:rFonts w:hint="eastAsia" w:ascii="宋体" w:hAnsi="宋体"/>
          <w:b/>
          <w:color w:val="auto"/>
          <w:sz w:val="32"/>
          <w:szCs w:val="32"/>
          <w:highlight w:val="none"/>
        </w:rPr>
        <w:t>第五章响应</w:t>
      </w:r>
      <w:bookmarkStart w:id="9" w:name="_Hlt123912950"/>
      <w:r>
        <w:rPr>
          <w:rStyle w:val="54"/>
          <w:rFonts w:hint="eastAsia" w:ascii="宋体" w:hAnsi="宋体"/>
          <w:b/>
          <w:color w:val="auto"/>
          <w:sz w:val="32"/>
          <w:szCs w:val="32"/>
          <w:highlight w:val="none"/>
        </w:rPr>
        <w:t>文</w:t>
      </w:r>
      <w:bookmarkEnd w:id="9"/>
      <w:bookmarkStart w:id="10" w:name="_Hlt123911868"/>
      <w:r>
        <w:rPr>
          <w:rStyle w:val="54"/>
          <w:rFonts w:hint="eastAsia" w:ascii="宋体" w:hAnsi="宋体"/>
          <w:b/>
          <w:color w:val="auto"/>
          <w:sz w:val="32"/>
          <w:szCs w:val="32"/>
          <w:highlight w:val="none"/>
        </w:rPr>
        <w:t>件</w:t>
      </w:r>
      <w:bookmarkEnd w:id="10"/>
      <w:r>
        <w:rPr>
          <w:rStyle w:val="54"/>
          <w:rFonts w:hint="eastAsia" w:ascii="宋体" w:hAnsi="宋体"/>
          <w:b/>
          <w:color w:val="auto"/>
          <w:sz w:val="32"/>
          <w:szCs w:val="32"/>
          <w:highlight w:val="none"/>
        </w:rPr>
        <w:t>格式</w:t>
      </w:r>
      <w:r>
        <w:rPr>
          <w:rFonts w:ascii="宋体" w:hAnsi="宋体"/>
          <w:b/>
          <w:color w:val="auto"/>
          <w:sz w:val="32"/>
          <w:szCs w:val="32"/>
          <w:highlight w:val="none"/>
        </w:rPr>
        <w:tab/>
      </w:r>
      <w:r>
        <w:rPr>
          <w:rFonts w:ascii="宋体" w:hAnsi="宋体"/>
          <w:b/>
          <w:color w:val="auto"/>
          <w:sz w:val="32"/>
          <w:szCs w:val="32"/>
          <w:highlight w:val="none"/>
        </w:rPr>
        <w:fldChar w:fldCharType="begin"/>
      </w:r>
      <w:r>
        <w:rPr>
          <w:rFonts w:ascii="宋体" w:hAnsi="宋体"/>
          <w:b/>
          <w:color w:val="auto"/>
          <w:sz w:val="32"/>
          <w:szCs w:val="32"/>
          <w:highlight w:val="none"/>
        </w:rPr>
        <w:instrText xml:space="preserve"> PAGEREF _Toc74323460 \h </w:instrText>
      </w:r>
      <w:r>
        <w:rPr>
          <w:rFonts w:ascii="宋体" w:hAnsi="宋体"/>
          <w:b/>
          <w:color w:val="auto"/>
          <w:sz w:val="32"/>
          <w:szCs w:val="32"/>
          <w:highlight w:val="none"/>
        </w:rPr>
        <w:fldChar w:fldCharType="separate"/>
      </w:r>
      <w:r>
        <w:rPr>
          <w:rFonts w:ascii="宋体" w:hAnsi="宋体"/>
          <w:b/>
          <w:color w:val="auto"/>
          <w:sz w:val="32"/>
          <w:szCs w:val="32"/>
          <w:highlight w:val="none"/>
        </w:rPr>
        <w:t>36</w:t>
      </w:r>
      <w:r>
        <w:rPr>
          <w:rFonts w:ascii="宋体" w:hAnsi="宋体"/>
          <w:b/>
          <w:color w:val="auto"/>
          <w:sz w:val="32"/>
          <w:szCs w:val="32"/>
          <w:highlight w:val="none"/>
        </w:rPr>
        <w:fldChar w:fldCharType="end"/>
      </w:r>
      <w:r>
        <w:rPr>
          <w:rFonts w:ascii="宋体" w:hAnsi="宋体"/>
          <w:b/>
          <w:color w:val="auto"/>
          <w:sz w:val="32"/>
          <w:szCs w:val="32"/>
          <w:highlight w:val="none"/>
        </w:rPr>
        <w:fldChar w:fldCharType="end"/>
      </w:r>
    </w:p>
    <w:p>
      <w:pPr>
        <w:pStyle w:val="31"/>
        <w:tabs>
          <w:tab w:val="right" w:leader="dot" w:pos="8869"/>
        </w:tabs>
        <w:snapToGrid w:val="0"/>
        <w:spacing w:line="480" w:lineRule="auto"/>
        <w:rPr>
          <w:rFonts w:ascii="宋体" w:hAnsi="宋体"/>
          <w:color w:val="auto"/>
          <w:sz w:val="32"/>
          <w:szCs w:val="32"/>
          <w:highlight w:val="none"/>
        </w:rPr>
      </w:pPr>
      <w:r>
        <w:rPr>
          <w:color w:val="auto"/>
          <w:sz w:val="32"/>
          <w:szCs w:val="32"/>
          <w:highlight w:val="none"/>
        </w:rPr>
        <w:fldChar w:fldCharType="begin"/>
      </w:r>
      <w:r>
        <w:rPr>
          <w:color w:val="auto"/>
          <w:sz w:val="32"/>
          <w:szCs w:val="32"/>
          <w:highlight w:val="none"/>
        </w:rPr>
        <w:instrText xml:space="preserve"> HYPERLINK \l "_Toc74323461" </w:instrText>
      </w:r>
      <w:r>
        <w:rPr>
          <w:color w:val="auto"/>
          <w:sz w:val="32"/>
          <w:szCs w:val="32"/>
          <w:highlight w:val="none"/>
        </w:rPr>
        <w:fldChar w:fldCharType="separate"/>
      </w:r>
      <w:r>
        <w:rPr>
          <w:rStyle w:val="54"/>
          <w:rFonts w:hint="eastAsia" w:ascii="宋体" w:hAnsi="宋体"/>
          <w:b/>
          <w:color w:val="auto"/>
          <w:sz w:val="32"/>
          <w:szCs w:val="32"/>
          <w:highlight w:val="none"/>
        </w:rPr>
        <w:t>第六章合同文本</w:t>
      </w:r>
      <w:r>
        <w:rPr>
          <w:rFonts w:ascii="宋体" w:hAnsi="宋体"/>
          <w:b/>
          <w:color w:val="auto"/>
          <w:sz w:val="32"/>
          <w:szCs w:val="32"/>
          <w:highlight w:val="none"/>
        </w:rPr>
        <w:tab/>
      </w:r>
      <w:r>
        <w:rPr>
          <w:rFonts w:ascii="宋体" w:hAnsi="宋体"/>
          <w:b/>
          <w:color w:val="auto"/>
          <w:sz w:val="32"/>
          <w:szCs w:val="32"/>
          <w:highlight w:val="none"/>
        </w:rPr>
        <w:fldChar w:fldCharType="begin"/>
      </w:r>
      <w:r>
        <w:rPr>
          <w:rFonts w:ascii="宋体" w:hAnsi="宋体"/>
          <w:b/>
          <w:color w:val="auto"/>
          <w:sz w:val="32"/>
          <w:szCs w:val="32"/>
          <w:highlight w:val="none"/>
        </w:rPr>
        <w:instrText xml:space="preserve"> PAGEREF _Toc74323461 \h </w:instrText>
      </w:r>
      <w:r>
        <w:rPr>
          <w:rFonts w:ascii="宋体" w:hAnsi="宋体"/>
          <w:b/>
          <w:color w:val="auto"/>
          <w:sz w:val="32"/>
          <w:szCs w:val="32"/>
          <w:highlight w:val="none"/>
        </w:rPr>
        <w:fldChar w:fldCharType="separate"/>
      </w:r>
      <w:r>
        <w:rPr>
          <w:rFonts w:ascii="宋体" w:hAnsi="宋体"/>
          <w:b/>
          <w:color w:val="auto"/>
          <w:sz w:val="32"/>
          <w:szCs w:val="32"/>
          <w:highlight w:val="none"/>
        </w:rPr>
        <w:t>64</w:t>
      </w:r>
      <w:r>
        <w:rPr>
          <w:rFonts w:ascii="宋体" w:hAnsi="宋体"/>
          <w:b/>
          <w:color w:val="auto"/>
          <w:sz w:val="32"/>
          <w:szCs w:val="32"/>
          <w:highlight w:val="none"/>
        </w:rPr>
        <w:fldChar w:fldCharType="end"/>
      </w:r>
      <w:r>
        <w:rPr>
          <w:rFonts w:ascii="宋体" w:hAnsi="宋体"/>
          <w:b/>
          <w:color w:val="auto"/>
          <w:sz w:val="32"/>
          <w:szCs w:val="32"/>
          <w:highlight w:val="none"/>
        </w:rPr>
        <w:fldChar w:fldCharType="end"/>
      </w:r>
    </w:p>
    <w:p>
      <w:pPr>
        <w:pStyle w:val="36"/>
        <w:tabs>
          <w:tab w:val="right" w:leader="dot" w:pos="8931"/>
          <w:tab w:val="clear" w:pos="8296"/>
        </w:tabs>
        <w:snapToGrid w:val="0"/>
        <w:spacing w:line="480" w:lineRule="auto"/>
        <w:ind w:left="0" w:leftChars="0"/>
        <w:rPr>
          <w:rFonts w:ascii="宋体" w:hAnsi="宋体"/>
          <w:b/>
          <w:color w:val="auto"/>
          <w:sz w:val="24"/>
          <w:highlight w:val="none"/>
        </w:rPr>
      </w:pPr>
      <w:r>
        <w:rPr>
          <w:rFonts w:ascii="宋体" w:hAnsi="宋体"/>
          <w:b/>
          <w:color w:val="auto"/>
          <w:sz w:val="32"/>
          <w:szCs w:val="32"/>
          <w:highlight w:val="none"/>
        </w:rPr>
        <w:fldChar w:fldCharType="end"/>
      </w:r>
    </w:p>
    <w:p>
      <w:pPr>
        <w:spacing w:line="400" w:lineRule="exact"/>
        <w:jc w:val="left"/>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rPr>
          <w:rFonts w:ascii="宋体" w:hAnsi="宋体"/>
          <w:b/>
          <w:color w:val="auto"/>
          <w:sz w:val="32"/>
          <w:szCs w:val="32"/>
          <w:highlight w:val="none"/>
        </w:rPr>
        <w:sectPr>
          <w:headerReference r:id="rId4" w:type="first"/>
          <w:footerReference r:id="rId6" w:type="first"/>
          <w:headerReference r:id="rId3" w:type="default"/>
          <w:footerReference r:id="rId5" w:type="default"/>
          <w:pgSz w:w="11906" w:h="16838"/>
          <w:pgMar w:top="1440" w:right="1440" w:bottom="1440" w:left="1587" w:header="851" w:footer="992" w:gutter="0"/>
          <w:pgNumType w:start="0"/>
          <w:cols w:space="720" w:num="1"/>
          <w:titlePg/>
          <w:docGrid w:type="lines" w:linePitch="312" w:charSpace="0"/>
        </w:sectPr>
      </w:pPr>
    </w:p>
    <w:p>
      <w:pPr>
        <w:pStyle w:val="2"/>
        <w:spacing w:after="340" w:line="360" w:lineRule="auto"/>
        <w:jc w:val="center"/>
        <w:rPr>
          <w:color w:val="auto"/>
          <w:highlight w:val="none"/>
        </w:rPr>
      </w:pPr>
      <w:bookmarkStart w:id="11" w:name="_Toc74323456"/>
      <w:r>
        <w:rPr>
          <w:rFonts w:hint="eastAsia"/>
          <w:color w:val="auto"/>
          <w:highlight w:val="none"/>
        </w:rPr>
        <w:t>第一章竞争性磋商公告</w:t>
      </w:r>
      <w:bookmarkEnd w:id="11"/>
    </w:p>
    <w:p>
      <w:pPr>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竞争性磋商公告</w:t>
      </w:r>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bookmarkStart w:id="12" w:name="_Hlk37430271"/>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深圳小镇（含东城景苑）路灯及线路系统检修更换维护项目</w:t>
      </w:r>
      <w:r>
        <w:rPr>
          <w:rFonts w:hint="eastAsia" w:ascii="宋体" w:hAnsi="宋体"/>
          <w:color w:val="auto"/>
          <w:szCs w:val="21"/>
          <w:highlight w:val="none"/>
        </w:rPr>
        <w:t>采购项目的潜在供应商应在广西政府采购云平台（https://www.gcy.zfcg.gxzf.gov.cn）获取（下载）竞争性磋商文件，并于</w:t>
      </w:r>
      <w:r>
        <w:rPr>
          <w:rFonts w:ascii="宋体" w:hAnsi="宋体"/>
          <w:bCs/>
          <w:color w:val="auto"/>
          <w:szCs w:val="21"/>
          <w:highlight w:val="none"/>
          <w:u w:val="single"/>
        </w:rPr>
        <w:t>202</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rPr>
        <w:t>时</w:t>
      </w:r>
      <w:r>
        <w:rPr>
          <w:rFonts w:hint="eastAsia" w:ascii="宋体" w:hAnsi="宋体"/>
          <w:bCs/>
          <w:color w:val="auto"/>
          <w:szCs w:val="21"/>
          <w:highlight w:val="none"/>
          <w:u w:val="single"/>
          <w:lang w:val="en-US" w:eastAsia="zh-CN"/>
        </w:rPr>
        <w:t>0</w:t>
      </w:r>
      <w:r>
        <w:rPr>
          <w:rFonts w:ascii="宋体" w:hAnsi="宋体"/>
          <w:bCs/>
          <w:color w:val="auto"/>
          <w:szCs w:val="21"/>
          <w:highlight w:val="none"/>
          <w:u w:val="single"/>
        </w:rPr>
        <w:t>0</w:t>
      </w:r>
      <w:r>
        <w:rPr>
          <w:rFonts w:hint="eastAsia" w:ascii="宋体" w:hAnsi="宋体"/>
          <w:bCs/>
          <w:color w:val="auto"/>
          <w:szCs w:val="21"/>
          <w:highlight w:val="none"/>
        </w:rPr>
        <w:t>分（北京时间）前提交（上传）</w:t>
      </w:r>
      <w:r>
        <w:rPr>
          <w:rFonts w:hint="eastAsia" w:ascii="宋体" w:hAnsi="宋体"/>
          <w:color w:val="auto"/>
          <w:szCs w:val="21"/>
          <w:highlight w:val="none"/>
        </w:rPr>
        <w:t>响应</w:t>
      </w:r>
      <w:r>
        <w:rPr>
          <w:rFonts w:hint="eastAsia"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ind w:firstLine="354" w:firstLineChars="147"/>
        <w:rPr>
          <w:rFonts w:ascii="黑体" w:hAnsi="黑体" w:eastAsia="黑体"/>
          <w:b/>
          <w:color w:val="auto"/>
          <w:sz w:val="24"/>
          <w:highlight w:val="none"/>
        </w:rPr>
      </w:pPr>
      <w:bookmarkStart w:id="13" w:name="_Toc44229878"/>
      <w:bookmarkStart w:id="14" w:name="_Toc35393629"/>
      <w:bookmarkStart w:id="15" w:name="_Toc35393798"/>
      <w:bookmarkStart w:id="16" w:name="_Toc28359089"/>
      <w:bookmarkStart w:id="17" w:name="_Toc71365905"/>
      <w:bookmarkStart w:id="18" w:name="_Toc28359012"/>
      <w:r>
        <w:rPr>
          <w:rFonts w:hint="eastAsia" w:ascii="黑体" w:hAnsi="黑体" w:eastAsia="黑体"/>
          <w:b/>
          <w:color w:val="auto"/>
          <w:sz w:val="24"/>
          <w:highlight w:val="none"/>
        </w:rPr>
        <w:t>一、项目基本情况</w:t>
      </w:r>
      <w:bookmarkEnd w:id="13"/>
      <w:bookmarkEnd w:id="14"/>
      <w:bookmarkEnd w:id="15"/>
      <w:bookmarkEnd w:id="16"/>
      <w:bookmarkEnd w:id="17"/>
      <w:bookmarkEnd w:id="1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项目编号：BSZC2024-C2-020058-BSSG</w:t>
      </w:r>
    </w:p>
    <w:p>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项目名称：深圳小镇（含东城景苑）路灯及线路系统检修更换维护项目</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采购方式：竞争性</w:t>
      </w:r>
      <w:r>
        <w:rPr>
          <w:rFonts w:hint="eastAsia" w:ascii="宋体" w:hAnsi="宋体"/>
          <w:color w:val="auto"/>
          <w:szCs w:val="21"/>
          <w:highlight w:val="none"/>
          <w:lang w:val="en-US" w:eastAsia="zh-CN"/>
        </w:rPr>
        <w:t>磋商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预算总金额（元）：1163839.72</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olor w:val="auto"/>
          <w:szCs w:val="21"/>
          <w:highlight w:val="none"/>
          <w:u w:val="single"/>
        </w:rPr>
        <w:t>深圳小镇（含东城景苑）路灯及线路系统检修更换维护项目</w:t>
      </w:r>
    </w:p>
    <w:p>
      <w:pPr>
        <w:pStyle w:val="39"/>
        <w:widowControl/>
        <w:spacing w:before="75" w:after="75"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数量:1</w:t>
      </w:r>
    </w:p>
    <w:p>
      <w:pPr>
        <w:pStyle w:val="39"/>
        <w:widowControl/>
        <w:spacing w:before="75" w:after="75" w:line="360" w:lineRule="auto"/>
        <w:ind w:firstLine="420" w:firstLineChars="200"/>
        <w:rPr>
          <w:rFonts w:hint="eastAsia"/>
          <w:color w:val="auto"/>
          <w:highlight w:val="none"/>
        </w:rPr>
      </w:pPr>
      <w:r>
        <w:rPr>
          <w:rFonts w:hint="eastAsia" w:ascii="宋体" w:hAnsi="宋体" w:cs="宋体"/>
          <w:color w:val="auto"/>
          <w:sz w:val="21"/>
          <w:szCs w:val="21"/>
          <w:highlight w:val="none"/>
        </w:rPr>
        <w:t>预算金额（元）:</w:t>
      </w:r>
      <w:r>
        <w:rPr>
          <w:rFonts w:hint="eastAsia" w:ascii="宋体" w:hAnsi="宋体"/>
          <w:color w:val="auto"/>
          <w:kern w:val="2"/>
          <w:sz w:val="21"/>
          <w:szCs w:val="21"/>
          <w:highlight w:val="none"/>
        </w:rPr>
        <w:t xml:space="preserve"> 1163839.72</w:t>
      </w:r>
    </w:p>
    <w:p>
      <w:pPr>
        <w:spacing w:line="360" w:lineRule="auto"/>
        <w:ind w:firstLine="420" w:firstLineChars="200"/>
        <w:rPr>
          <w:rStyle w:val="60"/>
          <w:rFonts w:ascii="宋体" w:hAnsi="宋体" w:cs="宋体"/>
          <w:color w:val="auto"/>
          <w:kern w:val="0"/>
          <w:szCs w:val="21"/>
          <w:highlight w:val="none"/>
          <w:lang w:bidi="ar"/>
        </w:rPr>
      </w:pPr>
      <w:r>
        <w:rPr>
          <w:rStyle w:val="60"/>
          <w:rFonts w:hint="eastAsia" w:ascii="宋体" w:hAnsi="宋体" w:cs="宋体"/>
          <w:color w:val="auto"/>
          <w:kern w:val="0"/>
          <w:szCs w:val="21"/>
          <w:highlight w:val="none"/>
          <w:lang w:bidi="ar"/>
        </w:rPr>
        <w:t>简要规格描述或项目基本概况介绍、用途：</w:t>
      </w:r>
      <w:r>
        <w:rPr>
          <w:rFonts w:hint="eastAsia" w:ascii="宋体" w:hAnsi="宋体" w:eastAsia="宋体" w:cs="Times New Roman"/>
          <w:color w:val="auto"/>
          <w:szCs w:val="21"/>
          <w:highlight w:val="none"/>
          <w:u w:val="single"/>
        </w:rPr>
        <w:t>对深圳小镇(含东城景苑)共2、3、5，8地块及东城景苑等5个住宅生活区及社区学校所在地检修约870盏路灯控制开关、线路、灯具、灯杆等设施系统故障问题进行全面检修、更换和维护和迁移</w:t>
      </w:r>
      <w:r>
        <w:rPr>
          <w:rFonts w:hint="eastAsia" w:ascii="Times New Roman" w:hAnsi="Times New Roman" w:cs="Times New Roman"/>
          <w:color w:val="auto"/>
          <w:highlight w:val="none"/>
          <w:u w:val="single"/>
          <w:lang w:val="en-US" w:eastAsia="zh-CN"/>
        </w:rPr>
        <w:t>（</w:t>
      </w:r>
      <w:r>
        <w:rPr>
          <w:rFonts w:hint="eastAsia" w:cs="Times New Roman"/>
          <w:color w:val="auto"/>
          <w:highlight w:val="none"/>
          <w:u w:val="single"/>
          <w:lang w:val="en-US" w:eastAsia="zh-CN"/>
        </w:rPr>
        <w:t>具体内容以</w:t>
      </w:r>
      <w:r>
        <w:rPr>
          <w:rFonts w:hint="eastAsia" w:ascii="Times New Roman" w:hAnsi="Times New Roman" w:cs="Times New Roman"/>
          <w:color w:val="auto"/>
          <w:highlight w:val="none"/>
          <w:u w:val="single"/>
          <w:lang w:val="en-US" w:eastAsia="zh-CN"/>
        </w:rPr>
        <w:t>施工图纸及工程量清单为准）</w:t>
      </w:r>
      <w:r>
        <w:rPr>
          <w:rStyle w:val="60"/>
          <w:rFonts w:hint="eastAsia" w:ascii="宋体" w:hAnsi="宋体" w:cs="宋体"/>
          <w:color w:val="auto"/>
          <w:kern w:val="0"/>
          <w:szCs w:val="21"/>
          <w:highlight w:val="none"/>
          <w:lang w:bidi="ar"/>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w:t>
      </w:r>
      <w:r>
        <w:rPr>
          <w:rFonts w:hint="eastAsia" w:ascii="宋体" w:hAnsi="宋体"/>
          <w:color w:val="auto"/>
          <w:kern w:val="2"/>
          <w:sz w:val="21"/>
          <w:szCs w:val="21"/>
          <w:highlight w:val="none"/>
        </w:rPr>
        <w:t>1163839.72</w:t>
      </w:r>
      <w:r>
        <w:rPr>
          <w:rFonts w:hint="eastAsia" w:ascii="宋体" w:hAnsi="宋体"/>
          <w:color w:val="auto"/>
          <w:szCs w:val="21"/>
          <w:highlight w:val="none"/>
        </w:rPr>
        <w:t>元</w:t>
      </w:r>
    </w:p>
    <w:p>
      <w:pPr>
        <w:pStyle w:val="39"/>
        <w:widowControl/>
        <w:spacing w:before="75" w:after="75"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合同履约期限：施工工期60日历天</w:t>
      </w:r>
      <w:r>
        <w:rPr>
          <w:rStyle w:val="60"/>
          <w:rFonts w:hint="eastAsia" w:ascii="宋体" w:hAnsi="宋体" w:cs="宋体"/>
          <w:color w:val="auto"/>
          <w:sz w:val="21"/>
          <w:szCs w:val="21"/>
          <w:highlight w:val="none"/>
        </w:rPr>
        <w:t>。</w:t>
      </w:r>
    </w:p>
    <w:p>
      <w:pPr>
        <w:pStyle w:val="39"/>
        <w:widowControl/>
        <w:spacing w:before="75" w:after="75"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本项目（</w:t>
      </w:r>
      <w:r>
        <w:rPr>
          <w:rStyle w:val="60"/>
          <w:rFonts w:hint="eastAsia" w:ascii="宋体" w:hAnsi="宋体" w:cs="宋体"/>
          <w:color w:val="auto"/>
          <w:sz w:val="21"/>
          <w:szCs w:val="21"/>
          <w:highlight w:val="none"/>
        </w:rPr>
        <w:t>否</w:t>
      </w:r>
      <w:r>
        <w:rPr>
          <w:rFonts w:hint="eastAsia" w:ascii="宋体" w:hAnsi="宋体" w:cs="宋体"/>
          <w:color w:val="auto"/>
          <w:sz w:val="21"/>
          <w:szCs w:val="21"/>
          <w:highlight w:val="none"/>
        </w:rPr>
        <w:t>）接受联合体投标</w:t>
      </w:r>
    </w:p>
    <w:p>
      <w:pPr>
        <w:pStyle w:val="39"/>
        <w:widowControl/>
        <w:spacing w:before="75" w:after="75" w:line="360" w:lineRule="auto"/>
        <w:ind w:firstLine="420" w:firstLineChars="200"/>
        <w:rPr>
          <w:color w:val="auto"/>
          <w:highlight w:val="none"/>
        </w:rPr>
      </w:pPr>
      <w:r>
        <w:rPr>
          <w:rFonts w:hint="eastAsia" w:ascii="宋体" w:hAnsi="宋体" w:cs="宋体"/>
          <w:color w:val="auto"/>
          <w:sz w:val="21"/>
          <w:szCs w:val="21"/>
          <w:highlight w:val="none"/>
        </w:rPr>
        <w:t>备注：/</w:t>
      </w:r>
    </w:p>
    <w:p>
      <w:pPr>
        <w:spacing w:line="360" w:lineRule="auto"/>
        <w:ind w:firstLine="354" w:firstLineChars="147"/>
        <w:rPr>
          <w:rFonts w:ascii="黑体" w:hAnsi="黑体" w:eastAsia="黑体"/>
          <w:b/>
          <w:color w:val="auto"/>
          <w:sz w:val="24"/>
          <w:highlight w:val="none"/>
        </w:rPr>
      </w:pPr>
      <w:bookmarkStart w:id="19" w:name="_Toc35393799"/>
      <w:bookmarkStart w:id="20" w:name="_Toc44229879"/>
      <w:bookmarkStart w:id="21" w:name="_Toc28359090"/>
      <w:bookmarkStart w:id="22" w:name="_Toc35393630"/>
      <w:bookmarkStart w:id="23" w:name="_Toc28359013"/>
      <w:bookmarkStart w:id="24" w:name="_Toc71365906"/>
      <w:r>
        <w:rPr>
          <w:rFonts w:hint="eastAsia" w:ascii="黑体" w:hAnsi="黑体" w:eastAsia="黑体"/>
          <w:b/>
          <w:color w:val="auto"/>
          <w:sz w:val="24"/>
          <w:highlight w:val="none"/>
        </w:rPr>
        <w:t>二、申请人的资格条件：</w:t>
      </w:r>
      <w:bookmarkEnd w:id="19"/>
      <w:bookmarkEnd w:id="20"/>
      <w:bookmarkEnd w:id="21"/>
      <w:bookmarkEnd w:id="22"/>
      <w:bookmarkEnd w:id="23"/>
      <w:bookmarkEnd w:id="24"/>
    </w:p>
    <w:p>
      <w:pPr>
        <w:spacing w:line="360" w:lineRule="auto"/>
        <w:ind w:firstLine="420" w:firstLineChars="200"/>
        <w:rPr>
          <w:rFonts w:ascii="宋体" w:hAnsi="宋体"/>
          <w:color w:val="auto"/>
          <w:szCs w:val="21"/>
          <w:highlight w:val="none"/>
        </w:rPr>
      </w:pPr>
      <w:bookmarkStart w:id="25" w:name="_Toc28359014"/>
      <w:bookmarkStart w:id="26" w:name="_Toc35393631"/>
      <w:bookmarkStart w:id="27" w:name="_Toc28359091"/>
      <w:bookmarkStart w:id="28" w:name="_Toc44229880"/>
      <w:bookmarkStart w:id="29" w:name="_Toc35393800"/>
      <w:r>
        <w:rPr>
          <w:rFonts w:hint="eastAsia" w:ascii="宋体" w:hAnsi="宋体"/>
          <w:color w:val="auto"/>
          <w:szCs w:val="21"/>
          <w:highlight w:val="none"/>
        </w:rPr>
        <w:t>1.满足《中华人民共和国政府采购法》第二十二条规定；</w:t>
      </w:r>
    </w:p>
    <w:p>
      <w:pPr>
        <w:spacing w:line="360" w:lineRule="auto"/>
        <w:ind w:firstLine="420" w:firstLineChars="200"/>
        <w:rPr>
          <w:rStyle w:val="56"/>
          <w:color w:val="auto"/>
          <w:highlight w:val="none"/>
        </w:rPr>
      </w:pPr>
      <w:r>
        <w:rPr>
          <w:rFonts w:ascii="宋体" w:hAnsi="宋体"/>
          <w:color w:val="auto"/>
          <w:szCs w:val="21"/>
          <w:highlight w:val="none"/>
        </w:rPr>
        <w:t>2</w:t>
      </w:r>
      <w:r>
        <w:rPr>
          <w:rFonts w:hint="eastAsia" w:ascii="宋体" w:hAnsi="宋体"/>
          <w:color w:val="auto"/>
          <w:szCs w:val="21"/>
          <w:highlight w:val="none"/>
        </w:rPr>
        <w:t>.落实政府采购政策需满足的资格要求：</w:t>
      </w:r>
      <w:r>
        <w:rPr>
          <w:rFonts w:hint="eastAsia" w:ascii="宋体" w:hAnsi="宋体"/>
          <w:color w:val="auto"/>
          <w:szCs w:val="21"/>
          <w:highlight w:val="none"/>
          <w:u w:val="single"/>
        </w:rPr>
        <w:t>本项目为专门面向中小企业采购的项目</w:t>
      </w:r>
      <w:r>
        <w:rPr>
          <w:rStyle w:val="56"/>
          <w:rFonts w:hint="eastAsia"/>
          <w:color w:val="auto"/>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（1）磋商供应商须具备</w:t>
      </w:r>
      <w:r>
        <w:rPr>
          <w:rFonts w:hint="eastAsia" w:ascii="宋体" w:hAnsi="宋体" w:eastAsia="宋体" w:cs="Times New Roman"/>
          <w:color w:val="auto"/>
          <w:szCs w:val="21"/>
          <w:highlight w:val="none"/>
        </w:rPr>
        <w:t>建设行政主管部门核发的市政公用工程施工总承包三级及以上资质或城市及道路照明工程专业承包三级及以上资质，并在人员、设备、资金等方面具有相应的施工能力。</w:t>
      </w:r>
    </w:p>
    <w:p>
      <w:pPr>
        <w:spacing w:line="360" w:lineRule="auto"/>
        <w:ind w:firstLine="420" w:firstLineChars="200"/>
        <w:rPr>
          <w:rFonts w:cs="宋体"/>
          <w:color w:val="auto"/>
          <w:highlight w:val="none"/>
        </w:rPr>
      </w:pPr>
      <w:r>
        <w:rPr>
          <w:rFonts w:hint="eastAsia" w:ascii="宋体" w:hAnsi="宋体"/>
          <w:color w:val="auto"/>
          <w:szCs w:val="21"/>
          <w:highlight w:val="none"/>
        </w:rPr>
        <w:t>（2）供应商拟派的项目经理须</w:t>
      </w:r>
      <w:r>
        <w:rPr>
          <w:color w:val="auto"/>
          <w:highlight w:val="none"/>
        </w:rPr>
        <w:t>具备</w:t>
      </w:r>
      <w:r>
        <w:rPr>
          <w:rFonts w:hint="eastAsia" w:ascii="宋体" w:hAnsi="宋体" w:eastAsia="宋体" w:cs="Times New Roman"/>
          <w:color w:val="auto"/>
          <w:szCs w:val="21"/>
          <w:highlight w:val="none"/>
        </w:rPr>
        <w:t>建设行政主管部门核发的市政公用工程专业或机电工程专业二级及以上注册建造师执业资格，具备有效的安全生产考核合格证书（B类），且未担任其他在施建设工程项目的项目经理。</w:t>
      </w:r>
    </w:p>
    <w:p>
      <w:pPr>
        <w:widowControl/>
        <w:spacing w:line="440" w:lineRule="exact"/>
        <w:ind w:firstLine="420" w:firstLineChars="200"/>
        <w:rPr>
          <w:color w:val="auto"/>
          <w:highlight w:val="none"/>
        </w:rPr>
      </w:pPr>
      <w:r>
        <w:rPr>
          <w:rFonts w:hint="eastAsia" w:ascii="宋体" w:hAnsi="宋体" w:cs="宋体"/>
          <w:color w:val="auto"/>
          <w:szCs w:val="21"/>
          <w:highlight w:val="none"/>
        </w:rPr>
        <w:t>（3）拟投入本项目的专职安全生产管理人员须具备有效的安全生产考核合格证书（C类），人数符合住房和城乡建设部《建筑施工企业安全生产管理机构设置及专职安全生产管理人员配备办法》（建质〔2008〕91号）的规定不少于1人。</w:t>
      </w:r>
    </w:p>
    <w:p>
      <w:pPr>
        <w:spacing w:line="360" w:lineRule="auto"/>
        <w:ind w:firstLine="354" w:firstLineChars="147"/>
        <w:rPr>
          <w:rFonts w:ascii="黑体" w:hAnsi="黑体" w:eastAsia="黑体"/>
          <w:b/>
          <w:color w:val="auto"/>
          <w:sz w:val="24"/>
          <w:highlight w:val="none"/>
        </w:rPr>
      </w:pPr>
      <w:bookmarkStart w:id="30" w:name="_Toc71365907"/>
      <w:r>
        <w:rPr>
          <w:rFonts w:hint="eastAsia" w:ascii="黑体" w:hAnsi="黑体" w:eastAsia="黑体"/>
          <w:b/>
          <w:color w:val="auto"/>
          <w:sz w:val="24"/>
          <w:highlight w:val="none"/>
        </w:rPr>
        <w:t>三、获取竞争性磋商文件</w:t>
      </w:r>
      <w:bookmarkEnd w:id="25"/>
      <w:bookmarkEnd w:id="26"/>
      <w:bookmarkEnd w:id="27"/>
      <w:bookmarkEnd w:id="28"/>
      <w:bookmarkEnd w:id="29"/>
      <w:bookmarkEnd w:id="30"/>
    </w:p>
    <w:p>
      <w:pPr>
        <w:spacing w:line="360" w:lineRule="auto"/>
        <w:ind w:firstLine="420" w:firstLineChars="200"/>
        <w:rPr>
          <w:rFonts w:ascii="宋体" w:hAnsi="宋体" w:cs="宋体"/>
          <w:bCs/>
          <w:color w:val="auto"/>
          <w:kern w:val="0"/>
          <w:szCs w:val="21"/>
          <w:highlight w:val="none"/>
        </w:rPr>
      </w:pPr>
      <w:bookmarkStart w:id="31" w:name="_Toc44229881"/>
      <w:bookmarkStart w:id="32" w:name="_Toc35393801"/>
      <w:bookmarkStart w:id="33" w:name="_Toc28359015"/>
      <w:bookmarkStart w:id="34" w:name="_Toc35393632"/>
      <w:bookmarkStart w:id="35" w:name="_Toc28359092"/>
      <w:r>
        <w:rPr>
          <w:rFonts w:hint="eastAsia" w:ascii="宋体" w:hAnsi="宋体" w:cs="宋体"/>
          <w:bCs/>
          <w:color w:val="auto"/>
          <w:kern w:val="0"/>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rPr>
        <w:t>日</w:t>
      </w:r>
      <w:r>
        <w:rPr>
          <w:rFonts w:hint="eastAsia" w:ascii="宋体" w:hAnsi="宋体" w:cs="宋体"/>
          <w:bCs/>
          <w:color w:val="auto"/>
          <w:kern w:val="0"/>
          <w:szCs w:val="21"/>
          <w:highlight w:val="none"/>
        </w:rPr>
        <w:t>至</w:t>
      </w:r>
      <w:r>
        <w:rPr>
          <w:rFonts w:ascii="宋体" w:hAnsi="宋体"/>
          <w:bCs/>
          <w:color w:val="auto"/>
          <w:szCs w:val="21"/>
          <w:highlight w:val="none"/>
          <w:u w:val="single"/>
        </w:rPr>
        <w:t>202</w:t>
      </w:r>
      <w:r>
        <w:rPr>
          <w:rFonts w:hint="eastAsia" w:ascii="宋体" w:hAnsi="宋体"/>
          <w:bCs/>
          <w:color w:val="auto"/>
          <w:szCs w:val="21"/>
          <w:highlight w:val="none"/>
          <w:u w:val="single"/>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29</w:t>
      </w:r>
      <w:r>
        <w:rPr>
          <w:rFonts w:hint="eastAsia" w:ascii="宋体" w:hAnsi="宋体"/>
          <w:bCs/>
          <w:color w:val="auto"/>
          <w:szCs w:val="21"/>
          <w:highlight w:val="none"/>
        </w:rPr>
        <w:t>日</w:t>
      </w:r>
      <w:r>
        <w:rPr>
          <w:rFonts w:hint="eastAsia" w:ascii="宋体" w:hAnsi="宋体" w:cs="宋体"/>
          <w:bCs/>
          <w:color w:val="auto"/>
          <w:kern w:val="0"/>
          <w:szCs w:val="21"/>
          <w:highlight w:val="none"/>
        </w:rPr>
        <w:t>，每天上午</w:t>
      </w:r>
      <w:r>
        <w:rPr>
          <w:rFonts w:ascii="宋体" w:hAnsi="宋体" w:cs="宋体"/>
          <w:bCs/>
          <w:color w:val="auto"/>
          <w:kern w:val="0"/>
          <w:szCs w:val="21"/>
          <w:highlight w:val="none"/>
          <w:u w:val="single"/>
        </w:rPr>
        <w:t>0</w:t>
      </w:r>
      <w:r>
        <w:rPr>
          <w:rFonts w:hint="eastAsia" w:ascii="宋体" w:hAnsi="宋体" w:cs="宋体"/>
          <w:bCs/>
          <w:color w:val="auto"/>
          <w:kern w:val="0"/>
          <w:szCs w:val="21"/>
          <w:highlight w:val="none"/>
          <w:u w:val="single"/>
        </w:rPr>
        <w:t>时00分</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1</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时00分</w:t>
      </w:r>
      <w:r>
        <w:rPr>
          <w:rFonts w:hint="eastAsia" w:ascii="宋体" w:hAnsi="宋体" w:cs="宋体"/>
          <w:bCs/>
          <w:color w:val="auto"/>
          <w:kern w:val="0"/>
          <w:szCs w:val="21"/>
          <w:highlight w:val="none"/>
        </w:rPr>
        <w:t>，下午</w:t>
      </w:r>
      <w:r>
        <w:rPr>
          <w:rFonts w:ascii="宋体" w:hAnsi="宋体" w:cs="宋体"/>
          <w:bCs/>
          <w:color w:val="auto"/>
          <w:kern w:val="0"/>
          <w:szCs w:val="21"/>
          <w:highlight w:val="none"/>
          <w:u w:val="single"/>
        </w:rPr>
        <w:t>12</w:t>
      </w:r>
      <w:r>
        <w:rPr>
          <w:rFonts w:hint="eastAsia" w:ascii="宋体" w:hAnsi="宋体" w:cs="宋体"/>
          <w:bCs/>
          <w:color w:val="auto"/>
          <w:kern w:val="0"/>
          <w:szCs w:val="21"/>
          <w:highlight w:val="none"/>
          <w:u w:val="single"/>
        </w:rPr>
        <w:t>时00分</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w:t>
      </w:r>
      <w:r>
        <w:rPr>
          <w:rFonts w:ascii="宋体" w:hAnsi="宋体" w:cs="宋体"/>
          <w:bCs/>
          <w:color w:val="auto"/>
          <w:kern w:val="0"/>
          <w:szCs w:val="21"/>
          <w:highlight w:val="none"/>
          <w:u w:val="single"/>
        </w:rPr>
        <w:t>3</w:t>
      </w:r>
      <w:r>
        <w:rPr>
          <w:rFonts w:hint="eastAsia" w:ascii="宋体" w:hAnsi="宋体" w:cs="宋体"/>
          <w:bCs/>
          <w:color w:val="auto"/>
          <w:kern w:val="0"/>
          <w:szCs w:val="21"/>
          <w:highlight w:val="none"/>
          <w:u w:val="single"/>
        </w:rPr>
        <w:t>时59分</w:t>
      </w:r>
      <w:r>
        <w:rPr>
          <w:rFonts w:hint="eastAsia" w:ascii="宋体" w:hAnsi="宋体" w:cs="宋体"/>
          <w:bCs/>
          <w:color w:val="auto"/>
          <w:kern w:val="0"/>
          <w:szCs w:val="21"/>
          <w:highlight w:val="none"/>
        </w:rPr>
        <w:t>（北京时间，</w:t>
      </w:r>
      <w:r>
        <w:rPr>
          <w:rFonts w:ascii="宋体" w:hAnsi="宋体" w:cs="宋体"/>
          <w:bCs/>
          <w:color w:val="auto"/>
          <w:kern w:val="0"/>
          <w:szCs w:val="21"/>
          <w:highlight w:val="none"/>
        </w:rPr>
        <w:t>法定节假日</w:t>
      </w:r>
      <w:r>
        <w:rPr>
          <w:rFonts w:hint="eastAsia" w:ascii="宋体" w:hAnsi="宋体" w:cs="宋体"/>
          <w:bCs/>
          <w:color w:val="auto"/>
          <w:kern w:val="0"/>
          <w:szCs w:val="21"/>
          <w:highlight w:val="none"/>
        </w:rPr>
        <w:t>除外）</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olor w:val="auto"/>
          <w:szCs w:val="21"/>
          <w:highlight w:val="none"/>
        </w:rPr>
        <w:t>电子</w:t>
      </w:r>
      <w:r>
        <w:rPr>
          <w:rFonts w:hint="eastAsia"/>
          <w:color w:val="auto"/>
          <w:highlight w:val="none"/>
        </w:rPr>
        <w:t>响应文件</w:t>
      </w:r>
      <w:r>
        <w:rPr>
          <w:rFonts w:hint="eastAsia" w:ascii="宋体" w:hAnsi="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color w:val="auto"/>
          <w:szCs w:val="21"/>
          <w:highlight w:val="none"/>
          <w:u w:val="single"/>
        </w:rPr>
        <w:t>0</w:t>
      </w:r>
      <w:r>
        <w:rPr>
          <w:rFonts w:hint="eastAsia" w:ascii="宋体" w:hAnsi="宋体" w:cs="宋体"/>
          <w:color w:val="auto"/>
          <w:szCs w:val="21"/>
          <w:highlight w:val="none"/>
        </w:rPr>
        <w:t>元</w:t>
      </w:r>
    </w:p>
    <w:p>
      <w:pPr>
        <w:spacing w:line="360" w:lineRule="auto"/>
        <w:ind w:firstLine="354" w:firstLineChars="147"/>
        <w:rPr>
          <w:rFonts w:ascii="黑体" w:hAnsi="黑体" w:eastAsia="黑体"/>
          <w:b/>
          <w:color w:val="auto"/>
          <w:sz w:val="24"/>
          <w:highlight w:val="none"/>
        </w:rPr>
      </w:pPr>
      <w:bookmarkStart w:id="36" w:name="_Toc71365908"/>
      <w:r>
        <w:rPr>
          <w:rFonts w:hint="eastAsia" w:ascii="黑体" w:hAnsi="黑体" w:eastAsia="黑体"/>
          <w:b/>
          <w:color w:val="auto"/>
          <w:sz w:val="24"/>
          <w:highlight w:val="none"/>
        </w:rPr>
        <w:t>四、响应文件提交</w:t>
      </w:r>
      <w:bookmarkEnd w:id="31"/>
      <w:bookmarkEnd w:id="32"/>
      <w:bookmarkEnd w:id="33"/>
      <w:bookmarkEnd w:id="34"/>
      <w:bookmarkEnd w:id="35"/>
      <w:bookmarkEnd w:id="36"/>
    </w:p>
    <w:p>
      <w:pPr>
        <w:spacing w:line="360" w:lineRule="auto"/>
        <w:ind w:firstLine="420" w:firstLineChars="200"/>
        <w:rPr>
          <w:rFonts w:ascii="宋体" w:hAnsi="宋体"/>
          <w:bCs/>
          <w:color w:val="auto"/>
          <w:szCs w:val="21"/>
          <w:highlight w:val="none"/>
        </w:rPr>
      </w:pPr>
      <w:bookmarkStart w:id="37" w:name="_Toc44229882"/>
      <w:bookmarkStart w:id="38" w:name="_Toc35393802"/>
      <w:bookmarkStart w:id="39" w:name="_Toc35393633"/>
      <w:bookmarkStart w:id="40" w:name="_Toc28359093"/>
      <w:bookmarkStart w:id="41" w:name="_Toc28359016"/>
      <w:r>
        <w:rPr>
          <w:rFonts w:hint="eastAsia" w:ascii="宋体" w:hAnsi="宋体"/>
          <w:color w:val="auto"/>
          <w:szCs w:val="21"/>
          <w:highlight w:val="none"/>
        </w:rPr>
        <w:t>截止时间：</w:t>
      </w:r>
      <w:r>
        <w:rPr>
          <w:rFonts w:ascii="宋体" w:hAnsi="宋体"/>
          <w:bCs/>
          <w:color w:val="auto"/>
          <w:szCs w:val="21"/>
          <w:highlight w:val="none"/>
          <w:u w:val="single"/>
        </w:rPr>
        <w:t>202</w:t>
      </w:r>
      <w:r>
        <w:rPr>
          <w:rFonts w:hint="eastAsia" w:ascii="宋体" w:hAnsi="宋体"/>
          <w:bCs/>
          <w:color w:val="auto"/>
          <w:szCs w:val="21"/>
          <w:highlight w:val="none"/>
          <w:u w:val="single"/>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rPr>
        <w:t>时</w:t>
      </w:r>
      <w:r>
        <w:rPr>
          <w:rFonts w:hint="eastAsia" w:ascii="宋体" w:hAnsi="宋体"/>
          <w:bCs/>
          <w:color w:val="auto"/>
          <w:szCs w:val="21"/>
          <w:highlight w:val="none"/>
          <w:u w:val="single"/>
          <w:lang w:val="en-US" w:eastAsia="zh-CN"/>
        </w:rPr>
        <w:t>0</w:t>
      </w:r>
      <w:r>
        <w:rPr>
          <w:rFonts w:ascii="宋体" w:hAnsi="宋体"/>
          <w:bCs/>
          <w:color w:val="auto"/>
          <w:szCs w:val="21"/>
          <w:highlight w:val="none"/>
          <w:u w:val="single"/>
        </w:rPr>
        <w:t>0</w:t>
      </w:r>
      <w:r>
        <w:rPr>
          <w:rFonts w:hint="eastAsia" w:ascii="宋体" w:hAnsi="宋体"/>
          <w:bCs/>
          <w:color w:val="auto"/>
          <w:szCs w:val="21"/>
          <w:highlight w:val="none"/>
        </w:rPr>
        <w:t>分（北京时间）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pPr>
        <w:spacing w:line="360" w:lineRule="auto"/>
        <w:ind w:firstLine="354" w:firstLineChars="147"/>
        <w:rPr>
          <w:rFonts w:ascii="黑体" w:hAnsi="黑体" w:eastAsia="黑体"/>
          <w:b/>
          <w:color w:val="auto"/>
          <w:sz w:val="24"/>
          <w:highlight w:val="none"/>
        </w:rPr>
      </w:pPr>
      <w:bookmarkStart w:id="42" w:name="_Toc71365909"/>
      <w:r>
        <w:rPr>
          <w:rFonts w:hint="eastAsia" w:ascii="黑体" w:hAnsi="黑体" w:eastAsia="黑体"/>
          <w:b/>
          <w:color w:val="auto"/>
          <w:sz w:val="24"/>
          <w:highlight w:val="none"/>
        </w:rPr>
        <w:t>五、开启</w:t>
      </w:r>
      <w:bookmarkEnd w:id="37"/>
      <w:bookmarkEnd w:id="38"/>
      <w:bookmarkEnd w:id="39"/>
      <w:bookmarkEnd w:id="40"/>
      <w:bookmarkEnd w:id="41"/>
      <w:bookmarkEnd w:id="42"/>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时间：</w:t>
      </w:r>
      <w:r>
        <w:rPr>
          <w:rFonts w:ascii="宋体" w:hAnsi="宋体"/>
          <w:bCs/>
          <w:color w:val="auto"/>
          <w:szCs w:val="21"/>
          <w:highlight w:val="none"/>
          <w:u w:val="single"/>
        </w:rPr>
        <w:t>202</w:t>
      </w:r>
      <w:r>
        <w:rPr>
          <w:rFonts w:hint="eastAsia" w:ascii="宋体" w:hAnsi="宋体"/>
          <w:bCs/>
          <w:color w:val="auto"/>
          <w:szCs w:val="21"/>
          <w:highlight w:val="none"/>
          <w:u w:val="single"/>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6</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rPr>
        <w:t>日</w:t>
      </w:r>
      <w:r>
        <w:rPr>
          <w:rFonts w:hint="eastAsia" w:ascii="宋体" w:hAnsi="宋体"/>
          <w:bCs/>
          <w:color w:val="auto"/>
          <w:szCs w:val="21"/>
          <w:highlight w:val="none"/>
          <w:u w:val="single"/>
          <w:lang w:val="en-US" w:eastAsia="zh-CN"/>
        </w:rPr>
        <w:t>15</w:t>
      </w:r>
      <w:r>
        <w:rPr>
          <w:rFonts w:hint="eastAsia" w:ascii="宋体" w:hAnsi="宋体"/>
          <w:bCs/>
          <w:color w:val="auto"/>
          <w:szCs w:val="21"/>
          <w:highlight w:val="none"/>
        </w:rPr>
        <w:t>时</w:t>
      </w:r>
      <w:r>
        <w:rPr>
          <w:rFonts w:hint="eastAsia" w:ascii="宋体" w:hAnsi="宋体"/>
          <w:bCs/>
          <w:color w:val="auto"/>
          <w:szCs w:val="21"/>
          <w:highlight w:val="none"/>
          <w:u w:val="single"/>
          <w:lang w:val="en-US" w:eastAsia="zh-CN"/>
        </w:rPr>
        <w:t>0</w:t>
      </w:r>
      <w:r>
        <w:rPr>
          <w:rFonts w:ascii="宋体" w:hAnsi="宋体"/>
          <w:bCs/>
          <w:color w:val="auto"/>
          <w:szCs w:val="21"/>
          <w:highlight w:val="none"/>
          <w:u w:val="single"/>
        </w:rPr>
        <w:t>0</w:t>
      </w:r>
      <w:r>
        <w:rPr>
          <w:rFonts w:hint="eastAsia" w:ascii="宋体" w:hAnsi="宋体"/>
          <w:bCs/>
          <w:color w:val="auto"/>
          <w:szCs w:val="21"/>
          <w:highlight w:val="none"/>
        </w:rPr>
        <w:t>分（北京时间）</w:t>
      </w:r>
    </w:p>
    <w:p>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地点：广西政府采购云平台</w:t>
      </w:r>
      <w:r>
        <w:rPr>
          <w:rFonts w:hint="eastAsia" w:ascii="宋体" w:hAnsi="宋体" w:cs="宋体"/>
          <w:bCs/>
          <w:color w:val="auto"/>
          <w:kern w:val="0"/>
          <w:szCs w:val="21"/>
          <w:highlight w:val="none"/>
        </w:rPr>
        <w:t>（https://www.gcy.zfcg.gxzf.gov.cn）</w:t>
      </w:r>
    </w:p>
    <w:p>
      <w:pPr>
        <w:spacing w:line="360" w:lineRule="auto"/>
        <w:ind w:firstLine="354" w:firstLineChars="147"/>
        <w:rPr>
          <w:rFonts w:ascii="黑体" w:hAnsi="黑体" w:eastAsia="黑体"/>
          <w:b/>
          <w:color w:val="auto"/>
          <w:sz w:val="24"/>
          <w:highlight w:val="none"/>
        </w:rPr>
      </w:pPr>
      <w:bookmarkStart w:id="43" w:name="_Toc28359017"/>
      <w:bookmarkStart w:id="44" w:name="_Toc71365910"/>
      <w:bookmarkStart w:id="45" w:name="_Toc44229883"/>
      <w:bookmarkStart w:id="46" w:name="_Toc35393634"/>
      <w:bookmarkStart w:id="47" w:name="_Toc28359094"/>
      <w:bookmarkStart w:id="48" w:name="_Toc35393803"/>
      <w:r>
        <w:rPr>
          <w:rFonts w:hint="eastAsia" w:ascii="黑体" w:hAnsi="黑体" w:eastAsia="黑体"/>
          <w:b/>
          <w:color w:val="auto"/>
          <w:sz w:val="24"/>
          <w:highlight w:val="none"/>
        </w:rPr>
        <w:t>六、公告期限</w:t>
      </w:r>
      <w:bookmarkEnd w:id="43"/>
      <w:bookmarkEnd w:id="44"/>
      <w:bookmarkEnd w:id="45"/>
      <w:bookmarkEnd w:id="46"/>
      <w:bookmarkEnd w:id="47"/>
      <w:bookmarkEnd w:id="48"/>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auto"/>
        <w:ind w:firstLine="354" w:firstLineChars="147"/>
        <w:rPr>
          <w:rFonts w:ascii="黑体" w:hAnsi="黑体" w:eastAsia="黑体"/>
          <w:b/>
          <w:color w:val="auto"/>
          <w:sz w:val="24"/>
          <w:highlight w:val="none"/>
        </w:rPr>
      </w:pPr>
      <w:bookmarkStart w:id="49" w:name="_Toc44229884"/>
      <w:bookmarkStart w:id="50" w:name="_Toc71365911"/>
      <w:bookmarkStart w:id="51" w:name="_Toc35393635"/>
      <w:bookmarkStart w:id="52" w:name="_Toc35393804"/>
      <w:r>
        <w:rPr>
          <w:rFonts w:hint="eastAsia" w:ascii="黑体" w:hAnsi="黑体" w:eastAsia="黑体"/>
          <w:b/>
          <w:color w:val="auto"/>
          <w:sz w:val="24"/>
          <w:highlight w:val="none"/>
        </w:rPr>
        <w:t>七、其他补充事宜</w:t>
      </w:r>
      <w:bookmarkEnd w:id="49"/>
      <w:bookmarkEnd w:id="50"/>
      <w:bookmarkEnd w:id="51"/>
      <w:bookmarkEnd w:id="52"/>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rPr>
        <w:t>网上查询地址</w:t>
      </w:r>
    </w:p>
    <w:p>
      <w:pPr>
        <w:spacing w:line="360" w:lineRule="auto"/>
        <w:ind w:firstLine="420" w:firstLineChars="200"/>
        <w:rPr>
          <w:rFonts w:ascii="宋体" w:hAnsi="宋体" w:cs="宋体"/>
          <w:bCs/>
          <w:color w:val="auto"/>
          <w:kern w:val="0"/>
          <w:szCs w:val="21"/>
          <w:highlight w:val="none"/>
        </w:rPr>
      </w:pPr>
      <w:r>
        <w:rPr>
          <w:rFonts w:ascii="宋体" w:hAnsi="宋体" w:cs="宋体"/>
          <w:bCs/>
          <w:color w:val="auto"/>
          <w:kern w:val="0"/>
          <w:szCs w:val="21"/>
          <w:highlight w:val="none"/>
        </w:rPr>
        <w:t>https://</w:t>
      </w:r>
      <w:r>
        <w:rPr>
          <w:rFonts w:hint="eastAsia" w:ascii="宋体" w:hAnsi="宋体" w:cs="宋体"/>
          <w:bCs/>
          <w:color w:val="auto"/>
          <w:kern w:val="0"/>
          <w:szCs w:val="21"/>
          <w:highlight w:val="none"/>
        </w:rPr>
        <w:t>www.ccgp.gov.cn（中国政府采购网）、</w:t>
      </w:r>
      <w:r>
        <w:rPr>
          <w:rFonts w:ascii="宋体" w:hAnsi="宋体" w:cs="宋体"/>
          <w:bCs/>
          <w:color w:val="auto"/>
          <w:kern w:val="0"/>
          <w:szCs w:val="21"/>
          <w:highlight w:val="none"/>
        </w:rPr>
        <w:t>https://</w:t>
      </w:r>
      <w:r>
        <w:rPr>
          <w:rFonts w:hint="eastAsia" w:ascii="宋体" w:hAnsi="宋体" w:cs="宋体"/>
          <w:bCs/>
          <w:color w:val="auto"/>
          <w:kern w:val="0"/>
          <w:szCs w:val="21"/>
          <w:highlight w:val="none"/>
        </w:rPr>
        <w:t>zfcg.gxzf.gov.cn（广西壮族自治区政府采购网）。</w:t>
      </w:r>
    </w:p>
    <w:p>
      <w:pPr>
        <w:spacing w:line="360" w:lineRule="auto"/>
        <w:ind w:firstLine="424" w:firstLineChars="202"/>
        <w:rPr>
          <w:rFonts w:ascii="宋体" w:hAnsi="宋体" w:cs="宋体"/>
          <w:color w:val="auto"/>
          <w:kern w:val="0"/>
          <w:szCs w:val="21"/>
          <w:highlight w:val="none"/>
        </w:rPr>
      </w:pPr>
      <w:bookmarkStart w:id="53" w:name="_Hlk37429674"/>
      <w:bookmarkStart w:id="54" w:name="_Toc35393636"/>
      <w:bookmarkStart w:id="55" w:name="_Toc28359095"/>
      <w:bookmarkStart w:id="56" w:name="_Toc28359018"/>
      <w:bookmarkStart w:id="57" w:name="_Toc44229885"/>
      <w:bookmarkStart w:id="58" w:name="_Toc35393805"/>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（1）政府采购促进中小企业发展。</w:t>
      </w:r>
    </w:p>
    <w:p>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（2）政府采购支持采用本国产品的政策。</w:t>
      </w:r>
    </w:p>
    <w:p>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（3）强制采购节能产品；优先采购节能产品、环境标志产品。</w:t>
      </w:r>
    </w:p>
    <w:p>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（4）政府采购促进残疾人就业政策。</w:t>
      </w:r>
    </w:p>
    <w:p>
      <w:pPr>
        <w:spacing w:line="360" w:lineRule="auto"/>
        <w:ind w:firstLine="424" w:firstLineChars="202"/>
        <w:rPr>
          <w:rFonts w:ascii="宋体" w:hAnsi="宋体" w:cs="宋体"/>
          <w:color w:val="auto"/>
          <w:kern w:val="0"/>
          <w:szCs w:val="21"/>
          <w:highlight w:val="none"/>
        </w:rPr>
      </w:pPr>
      <w:r>
        <w:rPr>
          <w:rFonts w:ascii="宋体" w:hAnsi="宋体" w:cs="宋体"/>
          <w:color w:val="auto"/>
          <w:kern w:val="0"/>
          <w:szCs w:val="21"/>
          <w:highlight w:val="none"/>
        </w:rPr>
        <w:t>（5）政府采购支持监狱企业发展。</w:t>
      </w:r>
    </w:p>
    <w:bookmarkEnd w:id="53"/>
    <w:p>
      <w:pPr>
        <w:widowControl/>
        <w:spacing w:line="360" w:lineRule="auto"/>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3.供应商</w:t>
      </w:r>
      <w:r>
        <w:rPr>
          <w:rFonts w:hint="eastAsia" w:ascii="宋体" w:hAnsi="宋体"/>
          <w:color w:val="auto"/>
          <w:szCs w:val="21"/>
          <w:highlight w:val="none"/>
        </w:rPr>
        <w:t>竞标注意事项</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https://www.gcy.zfcg.gxzf.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），供应商在广西政府采购云平台提交电子响应文件时，请填写参加远程采购活动经办人联系方式。供应商登录广西政府采购云平台，依次进入“服务中心-项目采购-操作流程-电子招投标-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cs="宋体"/>
          <w:color w:val="auto"/>
          <w:kern w:val="0"/>
          <w:szCs w:val="21"/>
          <w:highlight w:val="none"/>
        </w:rPr>
        <w:t>广西政府采购云平台，</w:t>
      </w:r>
      <w:r>
        <w:rPr>
          <w:rFonts w:hint="eastAsia" w:ascii="宋体" w:hAnsi="宋体"/>
          <w:color w:val="auto"/>
          <w:szCs w:val="21"/>
          <w:highlight w:val="none"/>
        </w:rPr>
        <w:t>依次进入“服务中心-入驻与配置”中查看CA数字证书办理操作流程。如在操作过程中遇到问题或者需要技术支持，请致电广西政府采购云客服热线：</w:t>
      </w:r>
      <w:r>
        <w:rPr>
          <w:rFonts w:ascii="宋体" w:hAnsi="宋体"/>
          <w:color w:val="auto"/>
          <w:szCs w:val="21"/>
          <w:highlight w:val="none"/>
        </w:rPr>
        <w:t>95763</w:t>
      </w:r>
      <w:r>
        <w:rPr>
          <w:rFonts w:hint="eastAsia" w:ascii="宋体" w:hAnsi="宋体"/>
          <w:color w:val="auto"/>
          <w:szCs w:val="21"/>
          <w:highlight w:val="none"/>
        </w:rPr>
        <w:t>）。</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olor w:val="auto"/>
          <w:szCs w:val="21"/>
          <w:highlight w:val="none"/>
        </w:rPr>
        <w:t>（3）CA证书在线解密：首次响应文件开启时，需携带制作响应文件时用来加密的有效数字证书（CA认证）登录广西政府采购云平台</w:t>
      </w:r>
      <w:r>
        <w:rPr>
          <w:rFonts w:hint="eastAsia" w:ascii="宋体" w:hAnsi="宋体" w:cs="宋体"/>
          <w:color w:val="auto"/>
          <w:kern w:val="0"/>
          <w:szCs w:val="21"/>
          <w:highlight w:val="none"/>
        </w:rPr>
        <w:t>电子开标大厅现场按规定时间对加密的响应文件进行解密，否则后果自负。</w:t>
      </w:r>
    </w:p>
    <w:p>
      <w:pPr>
        <w:widowControl/>
        <w:spacing w:line="360" w:lineRule="auto"/>
        <w:ind w:firstLine="420" w:firstLineChars="200"/>
        <w:jc w:val="left"/>
        <w:rPr>
          <w:rFonts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pPr>
        <w:spacing w:line="360" w:lineRule="auto"/>
        <w:ind w:firstLine="354" w:firstLineChars="147"/>
        <w:rPr>
          <w:rFonts w:ascii="黑体" w:hAnsi="黑体" w:eastAsia="黑体"/>
          <w:b/>
          <w:color w:val="auto"/>
          <w:sz w:val="24"/>
          <w:highlight w:val="none"/>
        </w:rPr>
      </w:pPr>
      <w:r>
        <w:rPr>
          <w:rFonts w:hint="eastAsia" w:ascii="黑体" w:hAnsi="黑体" w:eastAsia="黑体"/>
          <w:b/>
          <w:color w:val="auto"/>
          <w:sz w:val="24"/>
          <w:highlight w:val="none"/>
        </w:rPr>
        <w:t>八、凡对本次采购提出询问，请按</w:t>
      </w:r>
      <w:r>
        <w:rPr>
          <w:rFonts w:ascii="黑体" w:hAnsi="黑体" w:eastAsia="黑体"/>
          <w:b/>
          <w:color w:val="auto"/>
          <w:sz w:val="24"/>
          <w:highlight w:val="none"/>
        </w:rPr>
        <w:t>以下方式</w:t>
      </w:r>
      <w:r>
        <w:rPr>
          <w:rFonts w:hint="eastAsia" w:ascii="黑体" w:hAnsi="黑体" w:eastAsia="黑体"/>
          <w:b/>
          <w:color w:val="auto"/>
          <w:sz w:val="24"/>
          <w:highlight w:val="none"/>
        </w:rPr>
        <w:t>联系。</w:t>
      </w:r>
      <w:bookmarkEnd w:id="54"/>
      <w:bookmarkEnd w:id="55"/>
      <w:bookmarkEnd w:id="56"/>
      <w:bookmarkEnd w:id="57"/>
      <w:bookmarkEnd w:id="58"/>
    </w:p>
    <w:p>
      <w:pPr>
        <w:spacing w:line="360" w:lineRule="auto"/>
        <w:ind w:firstLine="420" w:firstLineChars="200"/>
        <w:rPr>
          <w:rFonts w:ascii="宋体" w:hAnsi="宋体" w:cs="宋体"/>
          <w:color w:val="auto"/>
          <w:kern w:val="0"/>
          <w:szCs w:val="21"/>
          <w:highlight w:val="none"/>
        </w:rPr>
      </w:pPr>
      <w:bookmarkStart w:id="59" w:name="_Toc28359096"/>
      <w:bookmarkStart w:id="60" w:name="_Toc28359019"/>
      <w:bookmarkStart w:id="61" w:name="_Toc35393806"/>
      <w:bookmarkStart w:id="62" w:name="_Toc35393637"/>
      <w:r>
        <w:rPr>
          <w:rFonts w:hint="eastAsia" w:ascii="宋体" w:hAnsi="宋体" w:cs="宋体"/>
          <w:color w:val="auto"/>
          <w:kern w:val="0"/>
          <w:szCs w:val="21"/>
          <w:highlight w:val="none"/>
        </w:rPr>
        <w:t>1.采购人信息</w:t>
      </w:r>
      <w:bookmarkEnd w:id="59"/>
      <w:bookmarkEnd w:id="60"/>
      <w:bookmarkEnd w:id="61"/>
      <w:bookmarkEnd w:id="62"/>
    </w:p>
    <w:p>
      <w:pPr>
        <w:spacing w:line="360" w:lineRule="auto"/>
        <w:ind w:firstLine="420" w:firstLineChars="200"/>
        <w:jc w:val="left"/>
        <w:rPr>
          <w:rFonts w:hint="eastAsia" w:ascii="宋体" w:hAnsi="宋体" w:eastAsia="宋体" w:cs="Arial"/>
          <w:color w:val="auto"/>
          <w:szCs w:val="21"/>
          <w:highlight w:val="none"/>
          <w:lang w:eastAsia="zh-CN"/>
        </w:rPr>
      </w:pPr>
      <w:r>
        <w:rPr>
          <w:rFonts w:hint="eastAsia" w:ascii="宋体" w:hAnsi="宋体"/>
          <w:color w:val="auto"/>
          <w:szCs w:val="21"/>
          <w:highlight w:val="none"/>
        </w:rPr>
        <w:t>名    称：</w:t>
      </w:r>
      <w:r>
        <w:rPr>
          <w:rFonts w:hint="eastAsia" w:ascii="宋体" w:hAnsi="宋体" w:cs="Arial"/>
          <w:color w:val="auto"/>
          <w:szCs w:val="21"/>
          <w:highlight w:val="none"/>
          <w:lang w:eastAsia="zh-CN"/>
        </w:rPr>
        <w:t>百色市右江区四塘镇人民政府</w:t>
      </w:r>
    </w:p>
    <w:p>
      <w:pPr>
        <w:spacing w:line="360" w:lineRule="auto"/>
        <w:ind w:firstLine="420" w:firstLineChars="200"/>
        <w:jc w:val="left"/>
        <w:rPr>
          <w:rFonts w:hint="eastAsia" w:eastAsia="宋体"/>
          <w:color w:val="auto"/>
          <w:highlight w:val="none"/>
          <w:lang w:eastAsia="zh-CN"/>
        </w:rPr>
      </w:pPr>
      <w:r>
        <w:rPr>
          <w:rFonts w:hint="eastAsia" w:ascii="宋体" w:hAnsi="宋体"/>
          <w:color w:val="auto"/>
          <w:szCs w:val="21"/>
          <w:highlight w:val="none"/>
        </w:rPr>
        <w:t>地    址：</w:t>
      </w:r>
      <w:r>
        <w:rPr>
          <w:rFonts w:hint="eastAsia" w:ascii="宋体" w:hAnsi="宋体" w:cs="Arial"/>
          <w:color w:val="auto"/>
          <w:szCs w:val="21"/>
          <w:highlight w:val="none"/>
        </w:rPr>
        <w:t>右江区四塘镇社马村那甘屯</w:t>
      </w:r>
      <w:r>
        <w:rPr>
          <w:rFonts w:hint="eastAsia" w:ascii="宋体" w:hAnsi="宋体" w:cs="Arial"/>
          <w:color w:val="auto"/>
          <w:szCs w:val="21"/>
          <w:highlight w:val="none"/>
          <w:lang w:eastAsia="zh-CN"/>
        </w:rPr>
        <w:t>百色市右江区四塘镇人民政府</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联系</w:t>
      </w:r>
      <w:r>
        <w:rPr>
          <w:rFonts w:hint="eastAsia" w:ascii="宋体" w:hAnsi="宋体"/>
          <w:color w:val="auto"/>
          <w:szCs w:val="21"/>
          <w:highlight w:val="none"/>
          <w:lang w:val="en-US" w:eastAsia="zh-CN"/>
        </w:rPr>
        <w:t>人</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吴文涛   </w:t>
      </w:r>
    </w:p>
    <w:p>
      <w:pPr>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strike w:val="0"/>
          <w:dstrike w:val="0"/>
          <w:color w:val="auto"/>
          <w:szCs w:val="21"/>
          <w:highlight w:val="none"/>
          <w:u w:val="none"/>
        </w:rPr>
        <w:t>0776</w:t>
      </w:r>
      <w:r>
        <w:rPr>
          <w:rFonts w:hint="eastAsia" w:ascii="宋体" w:hAnsi="宋体"/>
          <w:strike w:val="0"/>
          <w:dstrike w:val="0"/>
          <w:color w:val="auto"/>
          <w:szCs w:val="21"/>
          <w:highlight w:val="none"/>
          <w:u w:val="none"/>
          <w:lang w:val="en-US" w:eastAsia="zh-CN"/>
        </w:rPr>
        <w:t>-</w:t>
      </w:r>
      <w:r>
        <w:rPr>
          <w:rFonts w:hint="eastAsia" w:ascii="宋体" w:hAnsi="宋体"/>
          <w:strike w:val="0"/>
          <w:dstrike w:val="0"/>
          <w:color w:val="auto"/>
          <w:szCs w:val="21"/>
          <w:highlight w:val="none"/>
          <w:u w:val="none"/>
        </w:rPr>
        <w:t>2411009</w:t>
      </w:r>
    </w:p>
    <w:p>
      <w:pPr>
        <w:spacing w:line="360" w:lineRule="auto"/>
        <w:ind w:firstLine="420" w:firstLineChars="200"/>
        <w:rPr>
          <w:rFonts w:ascii="宋体" w:hAnsi="宋体" w:cs="宋体"/>
          <w:color w:val="auto"/>
          <w:kern w:val="0"/>
          <w:szCs w:val="21"/>
          <w:highlight w:val="none"/>
        </w:rPr>
      </w:pPr>
      <w:bookmarkStart w:id="63" w:name="_Toc28359020"/>
      <w:bookmarkStart w:id="64" w:name="_Toc28359097"/>
      <w:bookmarkStart w:id="65" w:name="_Toc35393807"/>
      <w:bookmarkStart w:id="66" w:name="_Toc35393638"/>
      <w:r>
        <w:rPr>
          <w:rFonts w:hint="eastAsia" w:ascii="宋体" w:hAnsi="宋体" w:cs="宋体"/>
          <w:color w:val="auto"/>
          <w:kern w:val="0"/>
          <w:szCs w:val="21"/>
          <w:highlight w:val="none"/>
        </w:rPr>
        <w:t>2.采购代理机构信息</w:t>
      </w:r>
      <w:bookmarkEnd w:id="63"/>
      <w:bookmarkEnd w:id="64"/>
      <w:bookmarkEnd w:id="65"/>
      <w:bookmarkEnd w:id="66"/>
    </w:p>
    <w:p>
      <w:pPr>
        <w:snapToGrid w:val="0"/>
        <w:spacing w:line="360" w:lineRule="auto"/>
        <w:ind w:firstLine="420" w:firstLineChars="200"/>
        <w:rPr>
          <w:rFonts w:hint="eastAsia" w:ascii="宋体" w:hAnsi="宋体" w:eastAsia="宋体" w:cs="Arial"/>
          <w:color w:val="auto"/>
          <w:szCs w:val="21"/>
          <w:highlight w:val="none"/>
          <w:lang w:eastAsia="zh-CN"/>
        </w:rPr>
      </w:pPr>
      <w:r>
        <w:rPr>
          <w:rFonts w:hint="eastAsia" w:ascii="宋体" w:hAnsi="宋体"/>
          <w:color w:val="auto"/>
          <w:szCs w:val="21"/>
          <w:highlight w:val="none"/>
        </w:rPr>
        <w:t>名    称：</w:t>
      </w:r>
      <w:r>
        <w:rPr>
          <w:rFonts w:hint="eastAsia" w:ascii="宋体" w:hAnsi="宋体" w:cs="Arial"/>
          <w:color w:val="auto"/>
          <w:szCs w:val="21"/>
          <w:highlight w:val="none"/>
          <w:lang w:eastAsia="zh-CN"/>
        </w:rPr>
        <w:t>百色市公共资源交易有限公司</w:t>
      </w:r>
    </w:p>
    <w:p>
      <w:pPr>
        <w:spacing w:line="360" w:lineRule="auto"/>
        <w:ind w:firstLine="420" w:firstLineChars="200"/>
        <w:rPr>
          <w:rFonts w:hint="eastAsia" w:ascii="宋体" w:hAnsi="宋体"/>
          <w:bCs/>
          <w:color w:val="auto"/>
          <w:szCs w:val="21"/>
          <w:highlight w:val="none"/>
          <w:lang w:val="en-US" w:eastAsia="zh-CN"/>
        </w:rPr>
      </w:pPr>
      <w:r>
        <w:rPr>
          <w:rFonts w:hint="eastAsia" w:ascii="宋体" w:hAnsi="宋体"/>
          <w:color w:val="auto"/>
          <w:szCs w:val="21"/>
          <w:highlight w:val="none"/>
        </w:rPr>
        <w:t>地　　址：</w:t>
      </w:r>
      <w:r>
        <w:rPr>
          <w:rFonts w:hint="eastAsia" w:ascii="宋体" w:hAnsi="宋体"/>
          <w:bCs/>
          <w:color w:val="auto"/>
          <w:szCs w:val="21"/>
          <w:highlight w:val="none"/>
        </w:rPr>
        <w:t>百色市右江区四塘百东企业服务站</w:t>
      </w:r>
      <w:r>
        <w:rPr>
          <w:rFonts w:hint="eastAsia" w:ascii="宋体" w:hAnsi="宋体"/>
          <w:bCs/>
          <w:color w:val="auto"/>
          <w:szCs w:val="21"/>
          <w:highlight w:val="none"/>
          <w:lang w:val="en-US" w:eastAsia="zh-CN"/>
        </w:rPr>
        <w:t>三楼</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联系人：黄浩嵩</w:t>
      </w:r>
    </w:p>
    <w:p>
      <w:pPr>
        <w:spacing w:line="360" w:lineRule="auto"/>
        <w:ind w:firstLine="420" w:firstLineChars="200"/>
        <w:rPr>
          <w:rFonts w:hint="eastAsia" w:ascii="宋体" w:hAnsi="宋体" w:cs="Arial"/>
          <w:color w:val="auto"/>
          <w:szCs w:val="21"/>
          <w:highlight w:val="none"/>
          <w:lang w:val="en-US" w:eastAsia="zh-CN"/>
        </w:rPr>
      </w:pPr>
      <w:r>
        <w:rPr>
          <w:rFonts w:hint="eastAsia" w:ascii="宋体" w:hAnsi="宋体"/>
          <w:color w:val="auto"/>
          <w:szCs w:val="21"/>
          <w:highlight w:val="none"/>
        </w:rPr>
        <w:t>联系方式：</w:t>
      </w:r>
      <w:bookmarkStart w:id="67" w:name="_Toc28359098"/>
      <w:bookmarkStart w:id="68" w:name="_Toc35393639"/>
      <w:bookmarkStart w:id="69" w:name="_Toc35393808"/>
      <w:bookmarkStart w:id="70" w:name="_Toc28359021"/>
      <w:r>
        <w:rPr>
          <w:rFonts w:hint="eastAsia" w:ascii="宋体" w:hAnsi="宋体" w:cs="Arial"/>
          <w:color w:val="auto"/>
          <w:szCs w:val="21"/>
          <w:highlight w:val="none"/>
        </w:rPr>
        <w:t>0776-29</w:t>
      </w:r>
      <w:bookmarkEnd w:id="12"/>
      <w:bookmarkEnd w:id="67"/>
      <w:bookmarkEnd w:id="68"/>
      <w:bookmarkEnd w:id="69"/>
      <w:bookmarkEnd w:id="70"/>
      <w:r>
        <w:rPr>
          <w:rFonts w:hint="eastAsia" w:ascii="宋体" w:hAnsi="宋体" w:cs="Arial"/>
          <w:color w:val="auto"/>
          <w:szCs w:val="21"/>
          <w:highlight w:val="none"/>
          <w:lang w:val="en-US" w:eastAsia="zh-CN"/>
        </w:rPr>
        <w:t>81360</w:t>
      </w:r>
    </w:p>
    <w:p>
      <w:pPr>
        <w:spacing w:line="360" w:lineRule="auto"/>
        <w:ind w:firstLine="5250" w:firstLineChars="2500"/>
        <w:rPr>
          <w:rFonts w:ascii="方正小标宋简体" w:eastAsia="方正小标宋简体"/>
          <w:color w:val="auto"/>
          <w:sz w:val="32"/>
          <w:szCs w:val="32"/>
          <w:highlight w:val="none"/>
        </w:rPr>
      </w:pPr>
      <w:r>
        <w:rPr>
          <w:rFonts w:ascii="宋体" w:hAnsi="宋体"/>
          <w:bCs/>
          <w:color w:val="auto"/>
          <w:szCs w:val="21"/>
          <w:highlight w:val="none"/>
          <w:u w:val="single"/>
        </w:rPr>
        <w:t>202</w:t>
      </w:r>
      <w:r>
        <w:rPr>
          <w:rFonts w:hint="eastAsia" w:ascii="宋体" w:hAnsi="宋体"/>
          <w:bCs/>
          <w:color w:val="auto"/>
          <w:szCs w:val="21"/>
          <w:highlight w:val="none"/>
          <w:u w:val="single"/>
        </w:rPr>
        <w:t>4</w:t>
      </w:r>
      <w:r>
        <w:rPr>
          <w:rFonts w:hint="eastAsia" w:ascii="宋体" w:hAnsi="宋体"/>
          <w:bCs/>
          <w:color w:val="auto"/>
          <w:szCs w:val="21"/>
          <w:highlight w:val="none"/>
        </w:rPr>
        <w:t>年</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rPr>
        <w:t>月</w:t>
      </w:r>
      <w:r>
        <w:rPr>
          <w:rFonts w:hint="eastAsia" w:ascii="宋体" w:hAnsi="宋体"/>
          <w:bCs/>
          <w:color w:val="auto"/>
          <w:szCs w:val="21"/>
          <w:highlight w:val="none"/>
          <w:u w:val="single"/>
          <w:lang w:val="en-US" w:eastAsia="zh-CN"/>
        </w:rPr>
        <w:t>22</w:t>
      </w:r>
      <w:r>
        <w:rPr>
          <w:rFonts w:hint="eastAsia" w:ascii="宋体" w:hAnsi="宋体"/>
          <w:bCs/>
          <w:color w:val="auto"/>
          <w:szCs w:val="21"/>
          <w:highlight w:val="none"/>
        </w:rPr>
        <w:t>日</w:t>
      </w:r>
      <w:r>
        <w:rPr>
          <w:rFonts w:ascii="宋体" w:hAnsi="宋体" w:cs="Arial"/>
          <w:color w:val="auto"/>
          <w:szCs w:val="21"/>
          <w:highlight w:val="none"/>
        </w:rPr>
        <w:br w:type="page"/>
      </w:r>
    </w:p>
    <w:p>
      <w:pPr>
        <w:pStyle w:val="2"/>
        <w:spacing w:before="300" w:after="300" w:line="360" w:lineRule="auto"/>
        <w:jc w:val="center"/>
        <w:rPr>
          <w:color w:val="auto"/>
          <w:highlight w:val="none"/>
        </w:rPr>
      </w:pPr>
      <w:bookmarkStart w:id="71" w:name="_Toc74323457"/>
      <w:r>
        <w:rPr>
          <w:rFonts w:hint="eastAsia"/>
          <w:color w:val="auto"/>
          <w:highlight w:val="none"/>
        </w:rPr>
        <w:t>第二章供应商须知</w:t>
      </w:r>
      <w:bookmarkEnd w:id="71"/>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供应商须知前附表</w:t>
      </w:r>
    </w:p>
    <w:p>
      <w:pPr>
        <w:spacing w:line="400" w:lineRule="exact"/>
        <w:jc w:val="center"/>
        <w:rPr>
          <w:rFonts w:ascii="宋体" w:hAnsi="宋体"/>
          <w:b/>
          <w:color w:val="auto"/>
          <w:sz w:val="32"/>
          <w:szCs w:val="32"/>
          <w:highlight w:val="none"/>
        </w:rPr>
      </w:pPr>
    </w:p>
    <w:tbl>
      <w:tblPr>
        <w:tblStyle w:val="43"/>
        <w:tblW w:w="89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pPr>
              <w:spacing w:line="360" w:lineRule="auto"/>
              <w:rPr>
                <w:rFonts w:hint="eastAsia" w:ascii="宋体" w:hAnsi="宋体" w:eastAsia="宋体"/>
                <w:color w:val="auto"/>
                <w:szCs w:val="21"/>
                <w:highlight w:val="none"/>
                <w:lang w:eastAsia="zh-CN"/>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r>
              <w:rPr>
                <w:rFonts w:hint="eastAsia" w:ascii="宋体" w:hAnsi="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供应商</w:t>
            </w:r>
            <w:r>
              <w:rPr>
                <w:rFonts w:hint="eastAsia" w:ascii="宋体" w:hAnsi="宋体" w:cs="宋体"/>
                <w:color w:val="auto"/>
                <w:szCs w:val="21"/>
                <w:highlight w:val="none"/>
              </w:rPr>
              <w:t>出现下列情形之一的，不得参加政府采购活动：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pPr>
              <w:pStyle w:val="16"/>
              <w:spacing w:line="360" w:lineRule="auto"/>
              <w:rPr>
                <w:rFonts w:ascii="宋体" w:hAnsi="宋体"/>
                <w:color w:val="auto"/>
                <w:szCs w:val="21"/>
                <w:highlight w:val="none"/>
              </w:rPr>
            </w:pPr>
            <w:r>
              <w:rPr>
                <w:rFonts w:ascii="仿宋_GB2312" w:hAnsi="仿宋" w:eastAsia="仿宋_GB2312"/>
                <w:color w:val="auto"/>
                <w:szCs w:val="21"/>
                <w:highlight w:val="none"/>
              </w:rPr>
              <w:sym w:font="Wingdings 2" w:char="F052"/>
            </w:r>
            <w:r>
              <w:rPr>
                <w:rFonts w:hint="eastAsia" w:ascii="宋体" w:hAnsi="宋体"/>
                <w:color w:val="auto"/>
                <w:szCs w:val="21"/>
                <w:highlight w:val="none"/>
              </w:rPr>
              <w:t>不允许分包</w:t>
            </w:r>
          </w:p>
          <w:p>
            <w:pPr>
              <w:pStyle w:val="16"/>
              <w:spacing w:line="360" w:lineRule="auto"/>
              <w:rPr>
                <w:rFonts w:ascii="宋体" w:hAnsi="宋体"/>
                <w:color w:val="auto"/>
                <w:szCs w:val="21"/>
                <w:highlight w:val="none"/>
              </w:rPr>
            </w:pPr>
            <w:r>
              <w:rPr>
                <w:rFonts w:hint="eastAsia" w:ascii="宋体" w:hAnsi="宋体"/>
                <w:color w:val="auto"/>
                <w:szCs w:val="21"/>
                <w:highlight w:val="none"/>
              </w:rPr>
              <w:t>□允许分包</w:t>
            </w:r>
          </w:p>
          <w:p>
            <w:pPr>
              <w:pStyle w:val="16"/>
              <w:spacing w:line="360" w:lineRule="auto"/>
              <w:rPr>
                <w:rFonts w:ascii="宋体" w:hAnsi="宋体"/>
                <w:color w:val="auto"/>
                <w:szCs w:val="21"/>
                <w:highlight w:val="none"/>
                <w:u w:val="single"/>
              </w:rPr>
            </w:pPr>
            <w:r>
              <w:rPr>
                <w:rFonts w:hint="eastAsia" w:ascii="宋体" w:hAnsi="宋体"/>
                <w:color w:val="auto"/>
                <w:szCs w:val="21"/>
                <w:highlight w:val="none"/>
              </w:rPr>
              <w:t>分包内容：/。</w:t>
            </w:r>
          </w:p>
          <w:p>
            <w:pPr>
              <w:pStyle w:val="16"/>
              <w:spacing w:line="360" w:lineRule="auto"/>
              <w:rPr>
                <w:rFonts w:ascii="宋体" w:hAnsi="宋体"/>
                <w:color w:val="auto"/>
                <w:szCs w:val="21"/>
                <w:highlight w:val="none"/>
                <w:u w:val="single"/>
              </w:rPr>
            </w:pPr>
            <w:r>
              <w:rPr>
                <w:rFonts w:hint="eastAsia" w:ascii="宋体" w:hAnsi="宋体"/>
                <w:color w:val="auto"/>
                <w:szCs w:val="21"/>
                <w:highlight w:val="none"/>
              </w:rPr>
              <w:t>分包金额或者比例：/。</w:t>
            </w:r>
          </w:p>
          <w:p>
            <w:pPr>
              <w:pStyle w:val="16"/>
              <w:spacing w:line="360" w:lineRule="auto"/>
              <w:rPr>
                <w:rFonts w:ascii="宋体" w:hAnsi="宋体" w:cs="宋体"/>
                <w:color w:val="auto"/>
                <w:szCs w:val="21"/>
                <w:highlight w:val="none"/>
              </w:rPr>
            </w:pPr>
            <w:r>
              <w:rPr>
                <w:rFonts w:hint="eastAsia" w:ascii="宋体" w:hAnsi="宋体"/>
                <w:color w:val="auto"/>
                <w:szCs w:val="21"/>
                <w:highlight w:val="none"/>
              </w:rPr>
              <w:t>分包供应商必须具备的资质：/。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vAlign w:val="center"/>
          </w:tcPr>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pPr>
              <w:pStyle w:val="16"/>
              <w:spacing w:line="360" w:lineRule="auto"/>
              <w:rPr>
                <w:rFonts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1.供应商为法人或者其他组织的提供其营业执照等证明文件扫描件（如营业执照或者事业单位法人证书或者执业许可证或者登记证书等）；</w:t>
            </w:r>
            <w:r>
              <w:rPr>
                <w:rFonts w:ascii="宋体" w:hAnsi="宋体" w:cs="宋体"/>
                <w:b/>
                <w:bCs/>
                <w:color w:val="auto"/>
                <w:szCs w:val="21"/>
                <w:highlight w:val="none"/>
                <w:lang w:val="en-US" w:eastAsia="zh-CN"/>
              </w:rPr>
              <w:t>（未提供《百色市政府采购供应商信用承诺函》时必须提供，否则响应文件作无效处理）</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w:t>
            </w:r>
            <w:r>
              <w:rPr>
                <w:rFonts w:ascii="宋体" w:hAnsi="宋体" w:cs="宋体"/>
                <w:b/>
                <w:color w:val="auto"/>
                <w:szCs w:val="21"/>
                <w:highlight w:val="none"/>
                <w:u w:val="single"/>
              </w:rPr>
              <w:t>202</w:t>
            </w:r>
            <w:r>
              <w:rPr>
                <w:rFonts w:hint="eastAsia" w:ascii="宋体" w:hAnsi="宋体" w:cs="宋体"/>
                <w:b/>
                <w:color w:val="auto"/>
                <w:szCs w:val="21"/>
                <w:highlight w:val="none"/>
                <w:u w:val="single"/>
              </w:rPr>
              <w:t>3</w:t>
            </w:r>
            <w:r>
              <w:rPr>
                <w:rFonts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10</w:t>
            </w:r>
            <w:r>
              <w:rPr>
                <w:rFonts w:ascii="宋体" w:hAnsi="宋体" w:cs="宋体"/>
                <w:b/>
                <w:color w:val="auto"/>
                <w:szCs w:val="21"/>
                <w:highlight w:val="none"/>
                <w:u w:val="single"/>
              </w:rPr>
              <w:t>月至202</w:t>
            </w:r>
            <w:r>
              <w:rPr>
                <w:rFonts w:hint="eastAsia" w:ascii="宋体" w:hAnsi="宋体" w:cs="宋体"/>
                <w:b/>
                <w:color w:val="auto"/>
                <w:szCs w:val="21"/>
                <w:highlight w:val="none"/>
                <w:u w:val="single"/>
              </w:rPr>
              <w:t>4</w:t>
            </w:r>
            <w:r>
              <w:rPr>
                <w:rFonts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4</w:t>
            </w:r>
            <w:r>
              <w:rPr>
                <w:rFonts w:ascii="宋体" w:hAnsi="宋体" w:cs="宋体"/>
                <w:b/>
                <w:color w:val="auto"/>
                <w:szCs w:val="21"/>
                <w:highlight w:val="none"/>
                <w:u w:val="single"/>
              </w:rPr>
              <w:t>月</w:t>
            </w:r>
            <w:r>
              <w:rPr>
                <w:rFonts w:hint="eastAsia" w:ascii="宋体" w:hAnsi="宋体" w:cs="宋体"/>
                <w:color w:val="auto"/>
                <w:szCs w:val="21"/>
                <w:highlight w:val="none"/>
              </w:rPr>
              <w:t>内连续</w:t>
            </w:r>
            <w:r>
              <w:rPr>
                <w:rFonts w:hint="eastAsia" w:ascii="宋体" w:hAnsi="宋体" w:cs="宋体"/>
                <w:color w:val="auto"/>
                <w:szCs w:val="21"/>
                <w:highlight w:val="none"/>
                <w:u w:val="single"/>
              </w:rPr>
              <w:t>三</w:t>
            </w:r>
            <w:r>
              <w:rPr>
                <w:rFonts w:hint="eastAsia" w:ascii="宋体" w:hAnsi="宋体" w:cs="宋体"/>
                <w:color w:val="auto"/>
                <w:szCs w:val="21"/>
                <w:highlight w:val="none"/>
              </w:rPr>
              <w:t>个月的依法缴纳税收的凭据复印件；</w:t>
            </w:r>
            <w:r>
              <w:rPr>
                <w:rFonts w:hint="eastAsia"/>
                <w:color w:val="auto"/>
                <w:highlight w:val="none"/>
              </w:rPr>
              <w:t>依法免税的，必须提供相应文件证明其依法免税。</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的依法缴纳税收</w:t>
            </w:r>
            <w:r>
              <w:rPr>
                <w:rFonts w:hint="eastAsia"/>
                <w:color w:val="auto"/>
                <w:highlight w:val="none"/>
              </w:rPr>
              <w:t>相应证明文件</w:t>
            </w:r>
            <w:r>
              <w:rPr>
                <w:rFonts w:hint="eastAsia" w:ascii="宋体" w:hAnsi="宋体" w:cs="宋体"/>
                <w:color w:val="auto"/>
                <w:szCs w:val="21"/>
                <w:highlight w:val="none"/>
              </w:rPr>
              <w:t>）；</w:t>
            </w:r>
            <w:r>
              <w:rPr>
                <w:rFonts w:ascii="宋体" w:hAnsi="宋体" w:cs="宋体"/>
                <w:b/>
                <w:bCs/>
                <w:color w:val="auto"/>
                <w:szCs w:val="21"/>
                <w:highlight w:val="none"/>
                <w:lang w:val="en-US" w:eastAsia="zh-CN"/>
              </w:rPr>
              <w:t>（未提供《百色市政府采购供应商信用承诺函》时必须提供，否则响应文件作无效处理）</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w:t>
            </w:r>
            <w:r>
              <w:rPr>
                <w:rFonts w:ascii="宋体" w:hAnsi="宋体" w:cs="宋体"/>
                <w:b/>
                <w:color w:val="auto"/>
                <w:szCs w:val="21"/>
                <w:highlight w:val="none"/>
                <w:u w:val="single"/>
              </w:rPr>
              <w:t>202</w:t>
            </w:r>
            <w:r>
              <w:rPr>
                <w:rFonts w:hint="eastAsia" w:ascii="宋体" w:hAnsi="宋体" w:cs="宋体"/>
                <w:b/>
                <w:color w:val="auto"/>
                <w:szCs w:val="21"/>
                <w:highlight w:val="none"/>
                <w:u w:val="single"/>
              </w:rPr>
              <w:t>3</w:t>
            </w:r>
            <w:r>
              <w:rPr>
                <w:rFonts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10</w:t>
            </w:r>
            <w:r>
              <w:rPr>
                <w:rFonts w:ascii="宋体" w:hAnsi="宋体" w:cs="宋体"/>
                <w:b/>
                <w:color w:val="auto"/>
                <w:szCs w:val="21"/>
                <w:highlight w:val="none"/>
                <w:u w:val="single"/>
              </w:rPr>
              <w:t>月至202</w:t>
            </w:r>
            <w:r>
              <w:rPr>
                <w:rFonts w:hint="eastAsia" w:ascii="宋体" w:hAnsi="宋体" w:cs="宋体"/>
                <w:b/>
                <w:color w:val="auto"/>
                <w:szCs w:val="21"/>
                <w:highlight w:val="none"/>
                <w:u w:val="single"/>
              </w:rPr>
              <w:t>4</w:t>
            </w:r>
            <w:r>
              <w:rPr>
                <w:rFonts w:ascii="宋体" w:hAnsi="宋体" w:cs="宋体"/>
                <w:b/>
                <w:color w:val="auto"/>
                <w:szCs w:val="21"/>
                <w:highlight w:val="none"/>
                <w:u w:val="single"/>
              </w:rPr>
              <w:t>年</w:t>
            </w:r>
            <w:r>
              <w:rPr>
                <w:rFonts w:hint="eastAsia" w:ascii="宋体" w:hAnsi="宋体" w:cs="宋体"/>
                <w:b/>
                <w:color w:val="auto"/>
                <w:szCs w:val="21"/>
                <w:highlight w:val="none"/>
                <w:u w:val="single"/>
                <w:lang w:val="en-US" w:eastAsia="zh-CN"/>
              </w:rPr>
              <w:t>4</w:t>
            </w:r>
            <w:r>
              <w:rPr>
                <w:rFonts w:ascii="宋体" w:hAnsi="宋体" w:cs="宋体"/>
                <w:b/>
                <w:color w:val="auto"/>
                <w:szCs w:val="21"/>
                <w:highlight w:val="none"/>
                <w:u w:val="single"/>
              </w:rPr>
              <w:t>月</w:t>
            </w:r>
            <w:r>
              <w:rPr>
                <w:rFonts w:hint="eastAsia" w:ascii="宋体" w:hAnsi="宋体" w:cs="宋体"/>
                <w:b/>
                <w:color w:val="auto"/>
                <w:szCs w:val="21"/>
                <w:highlight w:val="none"/>
                <w:u w:val="single"/>
              </w:rPr>
              <w:t>内</w:t>
            </w:r>
            <w:r>
              <w:rPr>
                <w:rFonts w:hint="eastAsia" w:ascii="宋体" w:hAnsi="宋体" w:cs="宋体"/>
                <w:color w:val="auto"/>
                <w:szCs w:val="21"/>
                <w:highlight w:val="none"/>
              </w:rPr>
              <w:t>连续</w:t>
            </w:r>
            <w:r>
              <w:rPr>
                <w:rFonts w:hint="eastAsia" w:ascii="宋体" w:hAnsi="宋体" w:cs="宋体"/>
                <w:color w:val="auto"/>
                <w:szCs w:val="21"/>
                <w:highlight w:val="none"/>
                <w:u w:val="single"/>
              </w:rPr>
              <w:t>三</w:t>
            </w:r>
            <w:r>
              <w:rPr>
                <w:rFonts w:hint="eastAsia" w:ascii="宋体" w:hAnsi="宋体" w:cs="宋体"/>
                <w:color w:val="auto"/>
                <w:szCs w:val="21"/>
                <w:highlight w:val="none"/>
              </w:rPr>
              <w:t>个月的依法缴纳社会保障资金的缴费凭证（专用收据或者社会保险缴纳清单）复印件；</w:t>
            </w:r>
            <w:r>
              <w:rPr>
                <w:rFonts w:hint="eastAsia"/>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到响应文件提交截止时间止不足要求月数的只需提供从</w:t>
            </w:r>
            <w:r>
              <w:rPr>
                <w:color w:val="auto"/>
                <w:szCs w:val="21"/>
                <w:highlight w:val="none"/>
              </w:rPr>
              <w:t>成立</w:t>
            </w:r>
            <w:r>
              <w:rPr>
                <w:rFonts w:hint="eastAsia"/>
                <w:color w:val="auto"/>
                <w:szCs w:val="21"/>
                <w:highlight w:val="none"/>
              </w:rPr>
              <w:t>之日起</w:t>
            </w:r>
            <w:r>
              <w:rPr>
                <w:rFonts w:hint="eastAsia" w:ascii="宋体" w:hAnsi="宋体" w:cs="宋体"/>
                <w:color w:val="auto"/>
                <w:szCs w:val="21"/>
                <w:highlight w:val="none"/>
              </w:rPr>
              <w:t>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ascii="宋体" w:hAnsi="宋体" w:cs="宋体"/>
                <w:b/>
                <w:bCs/>
                <w:color w:val="auto"/>
                <w:szCs w:val="21"/>
                <w:highlight w:val="none"/>
                <w:lang w:val="en-US" w:eastAsia="zh-CN"/>
              </w:rPr>
              <w:t>（未提供《百色市政府采购供应商信用承诺函》时必须提供，否则响应文件作无效处理）</w:t>
            </w:r>
          </w:p>
          <w:p>
            <w:pPr>
              <w:spacing w:line="360" w:lineRule="auto"/>
              <w:contextualSpacing/>
              <w:jc w:val="left"/>
              <w:rPr>
                <w:rFonts w:ascii="宋体" w:hAnsi="宋体" w:cs="宋体"/>
                <w:b/>
                <w:color w:val="auto"/>
                <w:szCs w:val="21"/>
                <w:highlight w:val="none"/>
              </w:rPr>
            </w:pPr>
            <w:r>
              <w:rPr>
                <w:rFonts w:hint="eastAsia" w:ascii="宋体" w:hAnsi="宋体" w:cs="宋体"/>
                <w:color w:val="auto"/>
                <w:szCs w:val="21"/>
                <w:highlight w:val="none"/>
              </w:rPr>
              <w:t>4.供应商</w:t>
            </w:r>
            <w:r>
              <w:rPr>
                <w:rFonts w:hint="eastAsia"/>
                <w:color w:val="auto"/>
                <w:szCs w:val="21"/>
                <w:highlight w:val="none"/>
              </w:rPr>
              <w:t>财务状况报告（2023年度财务报表复印件，或者银行出具的资信证明，或者中国人民银行征信中心出具的信用报告；供应商属于</w:t>
            </w:r>
            <w:r>
              <w:rPr>
                <w:rFonts w:hint="eastAsia"/>
                <w:color w:val="auto"/>
                <w:highlight w:val="none"/>
              </w:rPr>
              <w:t>成立时间</w:t>
            </w:r>
            <w:r>
              <w:rPr>
                <w:rFonts w:hint="eastAsia"/>
                <w:color w:val="auto"/>
                <w:kern w:val="0"/>
                <w:highlight w:val="none"/>
              </w:rPr>
              <w:t>在规定年度之后</w:t>
            </w:r>
            <w:r>
              <w:rPr>
                <w:rFonts w:hint="eastAsia"/>
                <w:color w:val="auto"/>
                <w:highlight w:val="none"/>
              </w:rPr>
              <w:t>的</w:t>
            </w:r>
            <w:r>
              <w:rPr>
                <w:rFonts w:hint="eastAsia"/>
                <w:color w:val="auto"/>
                <w:szCs w:val="21"/>
                <w:highlight w:val="none"/>
              </w:rPr>
              <w:t>法人或其他组织</w:t>
            </w:r>
            <w:r>
              <w:rPr>
                <w:rFonts w:hint="eastAsia"/>
                <w:color w:val="auto"/>
                <w:highlight w:val="none"/>
              </w:rPr>
              <w:t>，需提供成立之日起至响应文件提交截止时间前的月报表</w:t>
            </w:r>
            <w:r>
              <w:rPr>
                <w:rFonts w:hint="eastAsia"/>
                <w:color w:val="auto"/>
                <w:szCs w:val="21"/>
                <w:highlight w:val="none"/>
              </w:rPr>
              <w:t>或银行出具的资信证明或者中国人民银行征信中心出具的企业信用报告；资信证明应在有效期内，未注明有效期的，银行出具时间至响应文件提交截止时间不得超过一年）</w:t>
            </w:r>
            <w:r>
              <w:rPr>
                <w:rFonts w:hint="eastAsia" w:ascii="宋体" w:hAnsi="宋体" w:cs="宋体"/>
                <w:color w:val="auto"/>
                <w:szCs w:val="21"/>
                <w:highlight w:val="none"/>
              </w:rPr>
              <w:t>；</w:t>
            </w:r>
            <w:r>
              <w:rPr>
                <w:rFonts w:ascii="宋体" w:hAnsi="宋体" w:cs="宋体"/>
                <w:b/>
                <w:bCs/>
                <w:color w:val="auto"/>
                <w:szCs w:val="21"/>
                <w:highlight w:val="none"/>
                <w:lang w:val="en-US" w:eastAsia="zh-CN"/>
              </w:rPr>
              <w:t>（未提供《百色市政府采购供应商信用承诺函》时必须提供，否则响应文件作无效处理）</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6.竞标声明（格式后附）；（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napToGrid w:val="0"/>
              <w:spacing w:line="360" w:lineRule="auto"/>
              <w:jc w:val="left"/>
              <w:rPr>
                <w:rFonts w:ascii="宋体" w:hAnsi="宋体" w:cs="宋体"/>
                <w:b/>
                <w:color w:val="auto"/>
                <w:szCs w:val="21"/>
                <w:highlight w:val="none"/>
              </w:rPr>
            </w:pPr>
            <w:r>
              <w:rPr>
                <w:rFonts w:ascii="宋体" w:hAnsi="宋体"/>
                <w:color w:val="auto"/>
                <w:szCs w:val="21"/>
                <w:highlight w:val="none"/>
              </w:rPr>
              <w:t>7</w:t>
            </w:r>
            <w:r>
              <w:rPr>
                <w:rFonts w:hint="eastAsia" w:ascii="宋体" w:hAnsi="宋体"/>
                <w:color w:val="auto"/>
                <w:szCs w:val="21"/>
                <w:highlight w:val="none"/>
              </w:rPr>
              <w:t>. 供应商《中小企业声明函》或《残疾人福利性单位声明函》或监狱企业证明（由省级以上监狱管理局、戒毒管理局（含新疆生产建设兵团）出具的属于监狱企业的证明文件）；</w:t>
            </w:r>
            <w:r>
              <w:rPr>
                <w:rFonts w:hint="eastAsia" w:ascii="宋体" w:hAnsi="宋体" w:cs="宋体"/>
                <w:b/>
                <w:color w:val="auto"/>
                <w:szCs w:val="21"/>
                <w:highlight w:val="none"/>
              </w:rPr>
              <w:t>（必须提供，否则响应文件按无效响应处理）</w:t>
            </w:r>
          </w:p>
          <w:p>
            <w:pPr>
              <w:spacing w:line="360" w:lineRule="auto"/>
              <w:rPr>
                <w:rFonts w:ascii="宋体" w:hAnsi="宋体" w:cs="宋体"/>
                <w:b/>
                <w:color w:val="auto"/>
                <w:szCs w:val="21"/>
                <w:highlight w:val="none"/>
              </w:rPr>
            </w:pPr>
            <w:r>
              <w:rPr>
                <w:rFonts w:ascii="宋体" w:hAnsi="宋体" w:cs="宋体"/>
                <w:b/>
                <w:color w:val="auto"/>
                <w:szCs w:val="21"/>
                <w:highlight w:val="none"/>
              </w:rPr>
              <w:t>8</w:t>
            </w:r>
            <w:r>
              <w:rPr>
                <w:rFonts w:hint="eastAsia" w:ascii="宋体" w:hAnsi="宋体" w:cs="宋体"/>
                <w:b/>
                <w:color w:val="auto"/>
                <w:szCs w:val="21"/>
                <w:highlight w:val="none"/>
              </w:rPr>
              <w:t>.特定</w:t>
            </w:r>
            <w:r>
              <w:rPr>
                <w:rFonts w:ascii="宋体" w:hAnsi="宋体" w:cs="宋体"/>
                <w:b/>
                <w:color w:val="auto"/>
                <w:szCs w:val="21"/>
                <w:highlight w:val="none"/>
              </w:rPr>
              <w:t>资格</w:t>
            </w:r>
            <w:r>
              <w:rPr>
                <w:rFonts w:hint="eastAsia" w:ascii="宋体" w:hAnsi="宋体" w:cs="宋体"/>
                <w:b/>
                <w:color w:val="auto"/>
                <w:szCs w:val="21"/>
                <w:highlight w:val="none"/>
              </w:rPr>
              <w:t>要求</w:t>
            </w:r>
            <w:r>
              <w:rPr>
                <w:rFonts w:ascii="宋体" w:hAnsi="宋体" w:cs="宋体"/>
                <w:b/>
                <w:color w:val="auto"/>
                <w:szCs w:val="21"/>
                <w:highlight w:val="none"/>
              </w:rPr>
              <w:t>：</w:t>
            </w:r>
            <w:r>
              <w:rPr>
                <w:rFonts w:hint="eastAsia" w:ascii="宋体" w:hAnsi="宋体"/>
                <w:b/>
                <w:color w:val="auto"/>
                <w:szCs w:val="21"/>
                <w:highlight w:val="none"/>
              </w:rPr>
              <w:t>【必须提供，否则响应文件按无效处理】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hint="eastAsia" w:ascii="宋体" w:hAnsi="宋体" w:eastAsia="宋体" w:cs="Times New Roman"/>
                <w:color w:val="auto"/>
                <w:szCs w:val="21"/>
                <w:highlight w:val="none"/>
              </w:rPr>
              <w:t>施工总承包三级及以上资质或城市及道路照明工程专业承包三级及以上资质</w:t>
            </w:r>
            <w:r>
              <w:rPr>
                <w:rFonts w:hint="eastAsia" w:ascii="宋体" w:hAnsi="宋体"/>
                <w:color w:val="auto"/>
                <w:szCs w:val="21"/>
                <w:highlight w:val="none"/>
              </w:rPr>
              <w:t>、安全生产许可证扫描</w:t>
            </w:r>
            <w:r>
              <w:rPr>
                <w:rFonts w:ascii="宋体" w:hAnsi="宋体"/>
                <w:color w:val="auto"/>
                <w:szCs w:val="21"/>
                <w:highlight w:val="none"/>
              </w:rPr>
              <w:t>件</w:t>
            </w:r>
            <w:r>
              <w:rPr>
                <w:rFonts w:hint="eastAsia" w:ascii="宋体" w:hAnsi="宋体"/>
                <w:color w:val="auto"/>
                <w:szCs w:val="21"/>
                <w:highlight w:val="none"/>
              </w:rPr>
              <w:t>；</w:t>
            </w:r>
          </w:p>
          <w:p>
            <w:pPr>
              <w:widowControl/>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（2）供应商拟派的项目经理须具备</w:t>
            </w:r>
            <w:r>
              <w:rPr>
                <w:rFonts w:hint="eastAsia" w:ascii="宋体" w:hAnsi="宋体" w:eastAsia="宋体" w:cs="Times New Roman"/>
                <w:color w:val="auto"/>
                <w:szCs w:val="21"/>
                <w:highlight w:val="none"/>
              </w:rPr>
              <w:t>建设行政主管部门核发的市政公用工程专业或机电工程专业二级及以上注册建造师执业资格证书复印件</w:t>
            </w:r>
            <w:r>
              <w:rPr>
                <w:rFonts w:hint="eastAsia" w:ascii="宋体" w:hAnsi="宋体"/>
                <w:color w:val="auto"/>
                <w:szCs w:val="21"/>
                <w:highlight w:val="none"/>
              </w:rPr>
              <w:t>及有效的安全生产考核合格证书（B类）扫描件；</w:t>
            </w:r>
          </w:p>
          <w:p>
            <w:pPr>
              <w:widowControl/>
              <w:spacing w:line="440" w:lineRule="exact"/>
              <w:ind w:firstLine="420" w:firstLineChars="200"/>
              <w:rPr>
                <w:rFonts w:ascii="宋体" w:hAnsi="宋体"/>
                <w:color w:val="auto"/>
                <w:szCs w:val="21"/>
                <w:highlight w:val="none"/>
              </w:rPr>
            </w:pPr>
            <w:r>
              <w:rPr>
                <w:rFonts w:hint="eastAsia" w:ascii="宋体" w:hAnsi="宋体" w:cs="宋体"/>
                <w:color w:val="auto"/>
                <w:szCs w:val="21"/>
                <w:highlight w:val="none"/>
              </w:rPr>
              <w:t>（3）拟投入本项目的专职安全生产管理人员须具备有效的安全生产考核合格证书（C类）证书扫描件。</w:t>
            </w:r>
          </w:p>
          <w:p>
            <w:pPr>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9.</w:t>
            </w:r>
            <w:r>
              <w:rPr>
                <w:rFonts w:hint="eastAsia" w:ascii="宋体" w:hAnsi="宋体" w:cs="宋体"/>
                <w:color w:val="auto"/>
                <w:szCs w:val="21"/>
                <w:highlight w:val="none"/>
              </w:rPr>
              <w:t>除磋商文件规定必须提供以外，供应商认为需要提供的其他证明材料；</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ascii="宋体" w:hAnsi="宋体" w:cs="宋体"/>
                <w:color w:val="auto"/>
                <w:szCs w:val="21"/>
                <w:highlight w:val="none"/>
              </w:rPr>
              <w:t>百色市政府采购供应商信用承诺函；（格式后附，由供应商自行选择是否提供。如提供此供应商信用承诺函，则资格证明文件</w:t>
            </w:r>
            <w:r>
              <w:rPr>
                <w:rFonts w:hint="eastAsia" w:ascii="宋体" w:hAnsi="宋体" w:cs="宋体"/>
                <w:color w:val="auto"/>
                <w:szCs w:val="21"/>
                <w:highlight w:val="none"/>
              </w:rPr>
              <w:t>1、2、3、4</w:t>
            </w:r>
            <w:r>
              <w:rPr>
                <w:rFonts w:ascii="宋体" w:hAnsi="宋体" w:cs="宋体"/>
                <w:color w:val="auto"/>
                <w:szCs w:val="21"/>
                <w:highlight w:val="none"/>
              </w:rPr>
              <w:t>项无须再提供）</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注：1.以上标明“必须提供”的材料属于扫描件的，必须加盖供应商</w:t>
            </w:r>
            <w:r>
              <w:rPr>
                <w:rFonts w:hint="eastAsia"/>
                <w:b/>
                <w:color w:val="auto"/>
                <w:highlight w:val="none"/>
              </w:rPr>
              <w:t>电子签章</w:t>
            </w:r>
            <w:r>
              <w:rPr>
                <w:rFonts w:hint="eastAsia" w:ascii="宋体" w:hAnsi="宋体" w:cs="宋体"/>
                <w:b/>
                <w:color w:val="auto"/>
                <w:szCs w:val="21"/>
                <w:highlight w:val="none"/>
              </w:rPr>
              <w:t>，否则响应文件按无效处理。</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2.竞标声明必须由法定代表人在规定签章处逐一签字并加盖供应商公章，否则响应文件按无效处理。</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3.供应商直接控股、管理关系信息表必须由法定代表人或者委托代理人在规定签章处逐一签字并加盖供应商公章，否则响应文件按无效处理。</w:t>
            </w:r>
          </w:p>
          <w:p>
            <w:pPr>
              <w:snapToGrid w:val="0"/>
              <w:spacing w:line="360" w:lineRule="auto"/>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4.分公司参加竞标的，应当取得总公司授权</w:t>
            </w:r>
            <w:r>
              <w:rPr>
                <w:rFonts w:hint="eastAsia" w:ascii="宋体" w:hAnsi="宋体" w:cs="宋体"/>
                <w:b/>
                <w:color w:val="auto"/>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报价文件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1.竞标函及竞标函附录（格式后附）；（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.3</w:t>
            </w:r>
          </w:p>
        </w:tc>
        <w:tc>
          <w:tcPr>
            <w:tcW w:w="7912"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商务技术文件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2.法定代表人身份证明书及法定代表人有效身份证正反面扫描件（格式后附）；（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3.授权委托书及委托代理人有效身份证正反面扫描件（格式后附）；（</w:t>
            </w:r>
            <w:r>
              <w:rPr>
                <w:rFonts w:hint="eastAsia" w:ascii="宋体" w:hAnsi="宋体" w:cs="宋体"/>
                <w:b/>
                <w:color w:val="auto"/>
                <w:szCs w:val="21"/>
                <w:highlight w:val="none"/>
              </w:rPr>
              <w:t>委托时必须提供，否则响应文件按无效处理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4.施工组织设计（格式自拟）；（</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.项目管理机构配备情况表及主要人员简历表（格式后附）；（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.拟分包项目情况表（格式自拟）；（如有）</w:t>
            </w:r>
          </w:p>
          <w:p>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.供应商认为需要提供的其他有关资料。</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注：以上标明“必须提供”的材料属于扫描件的，必须加盖供应商电子签章，否则响应文件按无效处理。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15.1</w:t>
            </w:r>
          </w:p>
        </w:tc>
        <w:tc>
          <w:tcPr>
            <w:tcW w:w="7912" w:type="dxa"/>
            <w:vAlign w:val="center"/>
          </w:tcPr>
          <w:p>
            <w:pPr>
              <w:spacing w:line="360" w:lineRule="auto"/>
              <w:contextualSpacing/>
              <w:jc w:val="left"/>
              <w:rPr>
                <w:rFonts w:ascii="宋体" w:hAnsi="宋体"/>
                <w:color w:val="auto"/>
                <w:szCs w:val="21"/>
                <w:highlight w:val="none"/>
              </w:rPr>
            </w:pPr>
            <w:r>
              <w:rPr>
                <w:rFonts w:hint="eastAsia" w:ascii="宋体" w:hAnsi="宋体"/>
                <w:color w:val="auto"/>
                <w:szCs w:val="21"/>
                <w:highlight w:val="none"/>
              </w:rPr>
              <w:t>竞标报价应按磋商文件中“竞标报价表”格式填写。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pPr>
              <w:spacing w:line="360" w:lineRule="auto"/>
              <w:contextualSpacing/>
              <w:jc w:val="left"/>
              <w:rPr>
                <w:rFonts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15.3</w:t>
            </w:r>
          </w:p>
        </w:tc>
        <w:tc>
          <w:tcPr>
            <w:tcW w:w="7912" w:type="dxa"/>
            <w:vAlign w:val="center"/>
          </w:tcPr>
          <w:p>
            <w:pPr>
              <w:spacing w:line="360" w:lineRule="auto"/>
              <w:contextualSpacing/>
              <w:jc w:val="left"/>
              <w:rPr>
                <w:rFonts w:ascii="宋体" w:hAnsi="宋体"/>
                <w:color w:val="auto"/>
                <w:szCs w:val="21"/>
                <w:highlight w:val="none"/>
              </w:rPr>
            </w:pPr>
            <w:r>
              <w:rPr>
                <w:rFonts w:hint="eastAsia" w:cs="宋体"/>
                <w:color w:val="auto"/>
                <w:highlight w:val="none"/>
              </w:rPr>
              <w:t>本工程增值税计税方法：</w:t>
            </w:r>
            <w:r>
              <w:rPr>
                <w:rFonts w:ascii="仿宋_GB2312" w:hAnsi="仿宋" w:eastAsia="仿宋_GB2312"/>
                <w:color w:val="auto"/>
                <w:szCs w:val="21"/>
                <w:highlight w:val="none"/>
              </w:rPr>
              <w:sym w:font="Wingdings 2" w:char="F052"/>
            </w:r>
            <w:r>
              <w:rPr>
                <w:rFonts w:hint="eastAsia" w:cs="宋体"/>
                <w:color w:val="auto"/>
                <w:highlight w:val="none"/>
              </w:rPr>
              <w:t>一般计税法；□简易计税法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vAlign w:val="center"/>
          </w:tcPr>
          <w:p>
            <w:pPr>
              <w:pStyle w:val="13"/>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19</w:t>
            </w:r>
          </w:p>
        </w:tc>
        <w:tc>
          <w:tcPr>
            <w:tcW w:w="7912" w:type="dxa"/>
            <w:vAlign w:val="center"/>
          </w:tcPr>
          <w:p>
            <w:pPr>
              <w:spacing w:line="360" w:lineRule="auto"/>
              <w:rPr>
                <w:rFonts w:ascii="宋体" w:hAnsi="宋体" w:cs="宋体"/>
                <w:color w:val="auto"/>
                <w:szCs w:val="21"/>
                <w:highlight w:val="none"/>
              </w:rPr>
            </w:pPr>
            <w:r>
              <w:rPr>
                <w:rFonts w:hint="eastAsia" w:ascii="宋体" w:hAnsi="宋体"/>
                <w:color w:val="auto"/>
                <w:szCs w:val="21"/>
                <w:highlight w:val="none"/>
              </w:rPr>
              <w:t>本项目不接受</w:t>
            </w:r>
            <w:r>
              <w:rPr>
                <w:rFonts w:hint="eastAsia"/>
                <w:color w:val="auto"/>
                <w:highlight w:val="none"/>
              </w:rPr>
              <w:t>电子</w:t>
            </w:r>
            <w:r>
              <w:rPr>
                <w:rFonts w:hint="eastAsia" w:ascii="宋体" w:hAnsi="宋体"/>
                <w:color w:val="auto"/>
                <w:szCs w:val="21"/>
                <w:highlight w:val="none"/>
              </w:rPr>
              <w:t>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pPr>
              <w:spacing w:line="360" w:lineRule="auto"/>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ascii="宋体" w:hAnsi="宋体" w:cs="宋体"/>
                <w:color w:val="auto"/>
                <w:szCs w:val="21"/>
                <w:highlight w:val="none"/>
                <w:u w:val="single"/>
              </w:rPr>
              <w:t>3</w:t>
            </w:r>
            <w:r>
              <w:rPr>
                <w:rFonts w:hint="eastAsia" w:ascii="宋体" w:hAnsi="宋体" w:cs="宋体"/>
                <w:color w:val="auto"/>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p>
        </w:tc>
        <w:tc>
          <w:tcPr>
            <w:tcW w:w="7912"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6.3</w:t>
            </w:r>
          </w:p>
        </w:tc>
        <w:tc>
          <w:tcPr>
            <w:tcW w:w="7912"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28.1</w:t>
            </w:r>
          </w:p>
        </w:tc>
        <w:tc>
          <w:tcPr>
            <w:tcW w:w="7912"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29.1</w:t>
            </w:r>
          </w:p>
        </w:tc>
        <w:tc>
          <w:tcPr>
            <w:tcW w:w="7912" w:type="dxa"/>
            <w:vAlign w:val="center"/>
          </w:tcPr>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 xml:space="preserve">签订合同携带的证明材料： </w:t>
            </w:r>
          </w:p>
          <w:p>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pPr>
              <w:snapToGrid w:val="0"/>
              <w:spacing w:line="360" w:lineRule="auto"/>
              <w:rPr>
                <w:rFonts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接收质疑函方式：以书面形式。</w:t>
            </w:r>
          </w:p>
          <w:p>
            <w:pPr>
              <w:autoSpaceDE w:val="0"/>
              <w:autoSpaceDN w:val="0"/>
              <w:snapToGrid w:val="0"/>
              <w:spacing w:line="360" w:lineRule="auto"/>
              <w:textAlignment w:val="bottom"/>
              <w:rPr>
                <w:rFonts w:ascii="宋体" w:hAnsi="宋体"/>
                <w:color w:val="auto"/>
                <w:szCs w:val="21"/>
                <w:highlight w:val="none"/>
              </w:rPr>
            </w:pPr>
            <w:r>
              <w:rPr>
                <w:rFonts w:hint="eastAsia" w:hAnsi="宋体" w:cs="宋体"/>
                <w:color w:val="auto"/>
                <w:kern w:val="2"/>
                <w:sz w:val="21"/>
                <w:highlight w:val="none"/>
                <w:lang w:val="en-US" w:eastAsia="zh-CN"/>
              </w:rPr>
              <w:t>质疑联系部门及联系方式：百色市公共资源交易有限公司，联系电话：0776-2981360，通讯地址：广西百色市右江区四塘百东企业服务站三楼301室。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32.1</w:t>
            </w:r>
          </w:p>
        </w:tc>
        <w:tc>
          <w:tcPr>
            <w:tcW w:w="7912" w:type="dxa"/>
            <w:vAlign w:val="center"/>
          </w:tcPr>
          <w:p>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1.采购代理费支付方式：</w:t>
            </w:r>
          </w:p>
          <w:p>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☑本项目代理服务费由</w:t>
            </w:r>
            <w:r>
              <w:rPr>
                <w:rFonts w:hint="eastAsia" w:hAnsi="宋体" w:cs="宋体"/>
                <w:color w:val="auto"/>
                <w:sz w:val="21"/>
                <w:highlight w:val="none"/>
                <w:u w:val="single"/>
                <w:lang w:val="en-US" w:eastAsia="zh-CN"/>
              </w:rPr>
              <w:t>成交竞标人</w:t>
            </w:r>
            <w:r>
              <w:rPr>
                <w:rFonts w:hint="eastAsia" w:hAnsi="宋体" w:cs="宋体"/>
                <w:color w:val="auto"/>
                <w:sz w:val="21"/>
                <w:highlight w:val="none"/>
                <w:lang w:val="en-US" w:eastAsia="zh-CN"/>
              </w:rPr>
              <w:t>领取成交通知书前，一次性向采购代理机构支付。</w:t>
            </w:r>
          </w:p>
          <w:p>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2.采购代理费收取标准：</w:t>
            </w:r>
          </w:p>
          <w:p>
            <w:pPr>
              <w:pStyle w:val="24"/>
              <w:snapToGrid w:val="0"/>
              <w:spacing w:line="360" w:lineRule="auto"/>
              <w:rPr>
                <w:rFonts w:hAnsi="宋体" w:cs="宋体"/>
                <w:color w:val="auto"/>
                <w:sz w:val="21"/>
                <w:highlight w:val="none"/>
                <w:u w:val="single"/>
                <w:lang w:val="en-US" w:eastAsia="zh-CN"/>
              </w:rPr>
            </w:pPr>
            <w:r>
              <w:rPr>
                <w:rFonts w:hint="eastAsia" w:hAnsi="宋体" w:cs="宋体"/>
                <w:color w:val="auto"/>
                <w:sz w:val="21"/>
                <w:highlight w:val="none"/>
                <w:lang w:val="en-US" w:eastAsia="zh-CN"/>
              </w:rPr>
              <w:t>☑固定采购代理收费：</w:t>
            </w:r>
            <w:r>
              <w:rPr>
                <w:rFonts w:hint="eastAsia" w:hAnsi="宋体" w:cs="宋体"/>
                <w:color w:val="auto"/>
                <w:sz w:val="21"/>
                <w:highlight w:val="none"/>
                <w:u w:val="single"/>
                <w:lang w:val="en-US" w:eastAsia="zh-CN"/>
              </w:rPr>
              <w:t xml:space="preserve">  本项目代理服务费为人民币壹万贰仟元整（</w:t>
            </w:r>
            <w:r>
              <w:rPr>
                <w:rFonts w:hint="eastAsia" w:ascii="宋体" w:hAnsi="宋体" w:eastAsia="宋体" w:cs="宋体"/>
                <w:color w:val="auto"/>
                <w:sz w:val="21"/>
                <w:highlight w:val="none"/>
                <w:u w:val="single"/>
                <w:lang w:val="en-US" w:eastAsia="zh-CN"/>
              </w:rPr>
              <w:t>¥</w:t>
            </w:r>
            <w:r>
              <w:rPr>
                <w:rFonts w:hint="eastAsia" w:hAnsi="宋体" w:eastAsia="宋体" w:cs="宋体"/>
                <w:color w:val="auto"/>
                <w:sz w:val="21"/>
                <w:highlight w:val="none"/>
                <w:u w:val="single"/>
                <w:lang w:val="en-US" w:eastAsia="zh-CN"/>
              </w:rPr>
              <w:t>12000.</w:t>
            </w:r>
            <w:r>
              <w:rPr>
                <w:rFonts w:hint="eastAsia" w:hAnsi="宋体" w:cs="宋体"/>
                <w:color w:val="auto"/>
                <w:sz w:val="21"/>
                <w:highlight w:val="none"/>
                <w:u w:val="single"/>
                <w:lang w:val="en-US" w:eastAsia="zh-CN"/>
              </w:rPr>
              <w:t>00元）。</w:t>
            </w:r>
          </w:p>
          <w:p>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3. 采购代理费收取银行账户</w:t>
            </w:r>
          </w:p>
          <w:p>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 xml:space="preserve">开户名称：百色市公共资源交易有限公司  </w:t>
            </w:r>
          </w:p>
          <w:p>
            <w:pPr>
              <w:pStyle w:val="2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开户银行：中国工商银行股份有限公司百色市龙景支行</w:t>
            </w:r>
          </w:p>
          <w:p>
            <w:pPr>
              <w:pStyle w:val="24"/>
              <w:snapToGrid w:val="0"/>
              <w:spacing w:line="360" w:lineRule="auto"/>
              <w:rPr>
                <w:rFonts w:hAnsi="宋体" w:cs="宋体"/>
                <w:color w:val="auto"/>
                <w:sz w:val="21"/>
                <w:highlight w:val="none"/>
              </w:rPr>
            </w:pPr>
            <w:r>
              <w:rPr>
                <w:rFonts w:hint="eastAsia" w:hAnsi="宋体" w:cs="宋体"/>
                <w:color w:val="auto"/>
                <w:sz w:val="21"/>
                <w:highlight w:val="none"/>
                <w:lang w:val="en-US" w:eastAsia="zh-CN"/>
              </w:rPr>
              <w:t xml:space="preserve">银行账号：2110 6111 0930 0074 232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vAlign w:val="center"/>
          </w:tcPr>
          <w:p>
            <w:pPr>
              <w:pStyle w:val="24"/>
              <w:snapToGrid w:val="0"/>
              <w:spacing w:line="360" w:lineRule="auto"/>
              <w:rPr>
                <w:rFonts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pPr>
              <w:pStyle w:val="24"/>
              <w:snapToGrid w:val="0"/>
              <w:spacing w:line="360" w:lineRule="auto"/>
              <w:rPr>
                <w:rFonts w:hAnsi="宋体"/>
                <w:color w:val="auto"/>
                <w:sz w:val="21"/>
                <w:highlight w:val="none"/>
              </w:rPr>
            </w:pPr>
            <w:r>
              <w:rPr>
                <w:rFonts w:hint="eastAsia" w:hAnsi="宋体"/>
                <w:color w:val="auto"/>
                <w:sz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帐户，也可以使用银行保函。工程竣工验收结算经审定后，按照规定程序，将农民工工资保证金没有使用或剩余的金额退还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9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w:t>
            </w:r>
            <w:r>
              <w:rPr>
                <w:rFonts w:hint="eastAsia" w:ascii="宋体" w:hAnsi="宋体" w:cs="宋体"/>
                <w:color w:val="auto"/>
                <w:szCs w:val="21"/>
                <w:highlight w:val="none"/>
              </w:rPr>
              <w:t>3</w:t>
            </w:r>
          </w:p>
        </w:tc>
        <w:tc>
          <w:tcPr>
            <w:tcW w:w="7912" w:type="dxa"/>
            <w:vAlign w:val="center"/>
          </w:tcPr>
          <w:p>
            <w:pPr>
              <w:pStyle w:val="24"/>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24"/>
              <w:snapToGrid w:val="0"/>
              <w:spacing w:line="360" w:lineRule="auto"/>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olor w:val="auto"/>
                <w:sz w:val="21"/>
                <w:highlight w:val="none"/>
              </w:rPr>
              <w:t>电子签章</w:t>
            </w:r>
            <w:r>
              <w:rPr>
                <w:rFonts w:hint="eastAsia" w:hAnsi="宋体" w:cs="宋体"/>
                <w:bCs/>
                <w:color w:val="auto"/>
                <w:sz w:val="21"/>
                <w:highlight w:val="none"/>
              </w:rPr>
              <w:t>”、“电子签名”</w:t>
            </w:r>
            <w:r>
              <w:rPr>
                <w:rFonts w:hint="eastAsia" w:hAnsi="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pPr>
              <w:pStyle w:val="24"/>
              <w:snapToGrid w:val="0"/>
              <w:spacing w:line="360" w:lineRule="auto"/>
              <w:rPr>
                <w:rFonts w:hAnsi="宋体" w:cs="宋体"/>
                <w:bCs/>
                <w:color w:val="auto"/>
                <w:sz w:val="21"/>
                <w:highlight w:val="none"/>
              </w:rPr>
            </w:pPr>
            <w:r>
              <w:rPr>
                <w:rFonts w:hAnsi="宋体" w:cs="宋体"/>
                <w:color w:val="auto"/>
                <w:sz w:val="21"/>
                <w:highlight w:val="none"/>
              </w:rPr>
              <w:t>3</w:t>
            </w:r>
            <w:r>
              <w:rPr>
                <w:rFonts w:hint="eastAsia" w:hAnsi="宋体" w:cs="宋体"/>
                <w:color w:val="auto"/>
                <w:sz w:val="21"/>
                <w:highlight w:val="none"/>
              </w:rPr>
              <w:t>.供应商为其他组织时，本磋商文件规定的法定代表人指负责人。本磋商文件所称负责人是指参加竞标的其他组织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w:t>
            </w:r>
            <w:r>
              <w:rPr>
                <w:rFonts w:hint="eastAsia" w:hAnsi="宋体" w:cs="宋体"/>
                <w:bCs/>
                <w:color w:val="auto"/>
                <w:sz w:val="21"/>
                <w:highlight w:val="none"/>
              </w:rPr>
              <w:t>。</w:t>
            </w:r>
          </w:p>
          <w:p>
            <w:pPr>
              <w:pStyle w:val="24"/>
              <w:snapToGrid w:val="0"/>
              <w:spacing w:line="360" w:lineRule="auto"/>
              <w:rPr>
                <w:rFonts w:hAnsi="宋体" w:cs="宋体"/>
                <w:color w:val="auto"/>
                <w:sz w:val="21"/>
                <w:highlight w:val="none"/>
              </w:rPr>
            </w:pPr>
            <w:r>
              <w:rPr>
                <w:rFonts w:hAnsi="宋体" w:cs="宋体"/>
                <w:color w:val="auto"/>
                <w:sz w:val="21"/>
                <w:highlight w:val="none"/>
              </w:rPr>
              <w:t>4.</w:t>
            </w:r>
            <w:r>
              <w:rPr>
                <w:rFonts w:hint="eastAsia" w:hAnsi="宋体" w:cs="宋体"/>
                <w:color w:val="auto"/>
                <w:sz w:val="21"/>
                <w:highlight w:val="none"/>
              </w:rPr>
              <w:t>本磋商文件中描述供应商的“签字”是指供应商的法定代表人或者委托代理人亲自在文件规定签署处亲笔写上个人的名字的行为，私章、签字章、印鉴、影印等其他形式均不能代替亲笔签字。</w:t>
            </w:r>
          </w:p>
          <w:p>
            <w:pPr>
              <w:pStyle w:val="24"/>
              <w:snapToGrid w:val="0"/>
              <w:spacing w:line="360" w:lineRule="auto"/>
              <w:rPr>
                <w:rFonts w:hAnsi="宋体" w:cs="宋体"/>
                <w:color w:val="auto"/>
                <w:sz w:val="21"/>
                <w:highlight w:val="none"/>
              </w:rPr>
            </w:pPr>
            <w:r>
              <w:rPr>
                <w:rFonts w:hint="eastAsia" w:hAnsi="宋体" w:cs="宋体"/>
                <w:color w:val="auto"/>
                <w:sz w:val="21"/>
                <w:highlight w:val="none"/>
              </w:rPr>
              <w:t>5</w:t>
            </w:r>
            <w:r>
              <w:rPr>
                <w:rFonts w:hAnsi="宋体" w:cs="宋体"/>
                <w:color w:val="auto"/>
                <w:sz w:val="21"/>
                <w:highlight w:val="none"/>
              </w:rPr>
              <w:t>.</w:t>
            </w:r>
            <w:r>
              <w:rPr>
                <w:rFonts w:hint="eastAsia" w:hAnsi="宋体" w:cs="宋体"/>
                <w:color w:val="auto"/>
                <w:sz w:val="21"/>
                <w:highlight w:val="none"/>
              </w:rPr>
              <w:t>本磋商文件所称的“以上”“以下”“以内”“届满”，包括本数；所称的“不满”“超过”“以外”，不包括本数。</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一、总则</w:t>
      </w:r>
    </w:p>
    <w:p>
      <w:pPr>
        <w:spacing w:line="400" w:lineRule="exact"/>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1.2本竞争性磋商文件（以下简称磋商文件）适用于本项目的所有采购程序和环节（法律、法规另有规定的，从其规定）</w:t>
      </w:r>
      <w:r>
        <w:rPr>
          <w:rFonts w:hint="eastAsia" w:ascii="宋体" w:hAnsi="宋体" w:cs="宋体"/>
          <w:color w:val="auto"/>
          <w:spacing w:val="-6"/>
          <w:szCs w:val="21"/>
          <w:highlight w:val="none"/>
        </w:rPr>
        <w:t>。</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2.4“工程”是指建设工程，包括建筑物和构筑物的新建、改建、扩建、装修、拆除、修缮等。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2.7“响应文件”是指：供应商根据本磋商文件要求，编制包含资格证明、报价、商务技术等所有内容的文件</w:t>
      </w:r>
      <w:r>
        <w:rPr>
          <w:rFonts w:hint="eastAsia" w:ascii="宋体" w:hAnsi="宋体" w:cs="宋体"/>
          <w:color w:val="auto"/>
          <w:spacing w:val="-6"/>
          <w:szCs w:val="21"/>
          <w:highlight w:val="none"/>
        </w:rPr>
        <w:t>。</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2.8“实质性要求”是指磋商文件中已经指明不满足则响应文件按无效处理的条款，或者不能负偏离的条款，或者采购需求中带“▲”的条款。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pPr>
        <w:spacing w:line="360" w:lineRule="auto"/>
        <w:ind w:firstLine="420" w:firstLineChars="200"/>
        <w:contextualSpacing/>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10“负偏离”，是指响应文件对磋商文件“采购需求”中有关条款作出的响应不满足条款要求，导致采购人要求不能得到满足的情形。</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w:t>
      </w:r>
      <w:r>
        <w:rPr>
          <w:rFonts w:hint="eastAsia" w:ascii="宋体" w:hAnsi="宋体" w:cs="宋体"/>
          <w:color w:val="auto"/>
          <w:szCs w:val="21"/>
          <w:highlight w:val="none"/>
        </w:rPr>
        <w:t>2“首次报价”是指供应商提交的首次响应文件中的报价。</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4.竞标费用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w:t>
      </w:r>
      <w:bookmarkStart w:id="72" w:name="_Hlk66782192"/>
      <w:r>
        <w:rPr>
          <w:rFonts w:hint="eastAsia" w:ascii="宋体" w:hAnsi="宋体"/>
          <w:color w:val="auto"/>
          <w:szCs w:val="21"/>
          <w:highlight w:val="none"/>
        </w:rPr>
        <w:t>根据《政府采购促进中小企业发展管理办法》（财库〔2020〕46号）第九条第二款及《广西壮族自治区财政厅关于贯彻落实政府采购支持中小企业发展政策的通知》（桂财采〔2022〕31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1%-2%的扣除，用扣除后的价格参加评审。</w:t>
      </w:r>
      <w:bookmarkEnd w:id="72"/>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pStyle w:val="6"/>
        <w:keepNext w:val="0"/>
        <w:keepLines w:val="0"/>
        <w:spacing w:before="0" w:after="0" w:line="360" w:lineRule="auto"/>
        <w:ind w:left="420" w:leftChars="200"/>
        <w:rPr>
          <w:rFonts w:ascii="宋体" w:hAnsi="宋体"/>
          <w:b w:val="0"/>
          <w:color w:val="auto"/>
          <w:sz w:val="21"/>
          <w:szCs w:val="21"/>
          <w:highlight w:val="none"/>
        </w:rPr>
      </w:pPr>
      <w:bookmarkStart w:id="73" w:name="_Toc254970532"/>
      <w:bookmarkStart w:id="74" w:name="_Toc254970673"/>
      <w:r>
        <w:rPr>
          <w:rFonts w:hint="eastAsia" w:ascii="宋体" w:hAnsi="宋体"/>
          <w:b w:val="0"/>
          <w:color w:val="auto"/>
          <w:sz w:val="21"/>
          <w:szCs w:val="21"/>
          <w:highlight w:val="none"/>
        </w:rPr>
        <w:t>6.1本项目不允许转包。</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pPr>
        <w:pStyle w:val="6"/>
        <w:keepNext w:val="0"/>
        <w:keepLines w:val="0"/>
        <w:spacing w:before="0" w:after="0" w:line="360" w:lineRule="auto"/>
        <w:ind w:firstLine="315" w:firstLineChars="150"/>
        <w:rPr>
          <w:rFonts w:ascii="宋体" w:hAnsi="宋体"/>
          <w:b w:val="0"/>
          <w:color w:val="auto"/>
          <w:sz w:val="21"/>
          <w:szCs w:val="21"/>
          <w:highlight w:val="none"/>
        </w:rPr>
      </w:pPr>
      <w:r>
        <w:rPr>
          <w:rFonts w:hint="eastAsia" w:ascii="宋体" w:hAnsi="宋体"/>
          <w:b w:val="0"/>
          <w:color w:val="auto"/>
          <w:sz w:val="21"/>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bookmarkEnd w:id="73"/>
      <w:bookmarkEnd w:id="74"/>
    </w:p>
    <w:p>
      <w:pPr>
        <w:spacing w:line="360" w:lineRule="auto"/>
        <w:ind w:firstLine="420" w:firstLineChars="200"/>
        <w:rPr>
          <w:rFonts w:ascii="宋体" w:hAnsi="宋体" w:cs="宋体"/>
          <w:color w:val="auto"/>
          <w:szCs w:val="21"/>
          <w:highlight w:val="none"/>
        </w:rPr>
      </w:pPr>
      <w:bookmarkStart w:id="75" w:name="_8.1提供相同品牌产品且通过资格审查、符合性审查的不同投标人参加同一合"/>
      <w:bookmarkEnd w:id="75"/>
      <w:r>
        <w:rPr>
          <w:rFonts w:hint="eastAsia" w:ascii="宋体" w:hAnsi="宋体" w:cs="宋体"/>
          <w:color w:val="auto"/>
          <w:szCs w:val="21"/>
          <w:highlight w:val="none"/>
        </w:rPr>
        <w:t>7.</w:t>
      </w:r>
      <w:r>
        <w:rPr>
          <w:rFonts w:ascii="宋体" w:hAnsi="宋体" w:cs="宋体"/>
          <w:color w:val="auto"/>
          <w:szCs w:val="21"/>
          <w:highlight w:val="none"/>
        </w:rPr>
        <w:t>1</w:t>
      </w:r>
      <w:bookmarkStart w:id="76" w:name="_Hlk65832145"/>
      <w:r>
        <w:rPr>
          <w:rFonts w:hint="eastAsia" w:ascii="宋体" w:hAnsi="宋体"/>
          <w:color w:val="auto"/>
          <w:szCs w:val="21"/>
          <w:highlight w:val="none"/>
        </w:rPr>
        <w:t xml:space="preserve">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auto"/>
          <w:szCs w:val="21"/>
          <w:highlight w:val="none"/>
        </w:rPr>
        <w:t>。</w:t>
      </w:r>
    </w:p>
    <w:bookmarkEnd w:id="7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虚假材料谋取成交的，将报财政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highlight w:val="none"/>
        </w:rPr>
      </w:pPr>
    </w:p>
    <w:p>
      <w:pPr>
        <w:spacing w:line="360" w:lineRule="auto"/>
        <w:ind w:left="1" w:firstLine="417" w:firstLineChars="199"/>
        <w:jc w:val="center"/>
        <w:rPr>
          <w:rFonts w:ascii="宋体" w:hAnsi="宋体"/>
          <w:color w:val="auto"/>
          <w:highlight w:val="none"/>
        </w:rPr>
      </w:pPr>
      <w:bookmarkStart w:id="77" w:name="_Toc254970534"/>
      <w:bookmarkStart w:id="78" w:name="_Toc254970675"/>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二、磋商文件</w:t>
      </w:r>
      <w:bookmarkEnd w:id="77"/>
      <w:bookmarkEnd w:id="78"/>
    </w:p>
    <w:p>
      <w:pPr>
        <w:spacing w:line="360" w:lineRule="auto"/>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第一章  竞争性磋商公告；</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 xml:space="preserve">第二章  供应商须知； </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第三章  采购需求；</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第四章  评审程序、评审方法和评审标准；</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第五章  工程量清单及图纸；</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第六章  响应文件格式；</w:t>
      </w: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第七章  合同文本。</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提交首次响应文件截止之日前，采购人或者采购代理机构可以对已发出的磋商文件进行必要的澄清或者修改，澄清或者修改的内容作为磋商文件的组成部分。澄清或者修改的内容可能影响响应文件编制的，</w:t>
      </w:r>
      <w:r>
        <w:rPr>
          <w:rFonts w:hint="eastAsia" w:ascii="宋体" w:hAnsi="宋体"/>
          <w:color w:val="auto"/>
          <w:szCs w:val="21"/>
          <w:highlight w:val="none"/>
        </w:rPr>
        <w:t>采购人或者采购代理机构应当</w:t>
      </w:r>
      <w:r>
        <w:rPr>
          <w:rFonts w:ascii="宋体" w:hAnsi="宋体"/>
          <w:color w:val="auto"/>
          <w:szCs w:val="21"/>
          <w:highlight w:val="none"/>
        </w:rPr>
        <w:t>在提交首次响应文件截止之日3个工作日前，以书面形式通知所有</w:t>
      </w:r>
      <w:r>
        <w:rPr>
          <w:rFonts w:hint="eastAsia" w:ascii="宋体" w:hAnsi="宋体"/>
          <w:color w:val="auto"/>
          <w:szCs w:val="21"/>
          <w:highlight w:val="none"/>
        </w:rPr>
        <w:t>获取</w:t>
      </w:r>
      <w:r>
        <w:rPr>
          <w:rFonts w:ascii="宋体" w:hAnsi="宋体"/>
          <w:color w:val="auto"/>
          <w:szCs w:val="21"/>
          <w:highlight w:val="none"/>
        </w:rPr>
        <w:t>磋商文件的供应商，不足3个工作日的，应当顺延提交首次响应文件截止之日。</w:t>
      </w:r>
    </w:p>
    <w:p>
      <w:pPr>
        <w:spacing w:line="360" w:lineRule="auto"/>
        <w:rPr>
          <w:rFonts w:ascii="宋体" w:hAnsi="宋体"/>
          <w:color w:val="auto"/>
          <w:szCs w:val="21"/>
          <w:highlight w:val="none"/>
        </w:rPr>
      </w:pPr>
    </w:p>
    <w:p>
      <w:pPr>
        <w:spacing w:line="360" w:lineRule="auto"/>
        <w:jc w:val="center"/>
        <w:rPr>
          <w:rFonts w:ascii="宋体" w:hAnsi="宋体"/>
          <w:b/>
          <w:bCs/>
          <w:color w:val="auto"/>
          <w:szCs w:val="21"/>
          <w:highlight w:val="none"/>
        </w:rPr>
      </w:pPr>
      <w:r>
        <w:rPr>
          <w:rFonts w:hint="eastAsia" w:ascii="宋体" w:hAnsi="宋体"/>
          <w:b/>
          <w:bCs/>
          <w:color w:val="auto"/>
          <w:sz w:val="32"/>
          <w:szCs w:val="32"/>
          <w:highlight w:val="none"/>
        </w:rPr>
        <w:t>三、响应文件的编制</w:t>
      </w:r>
    </w:p>
    <w:p>
      <w:pPr>
        <w:spacing w:line="360" w:lineRule="auto"/>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12.1响应文件由资格证明文件、报价文件、商务技术文件三部分组成。</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12.1.2报价文件：详见“供应商须知前附表”</w:t>
      </w:r>
    </w:p>
    <w:p>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12.1.3商务技术文件：详见“供应商须知前附表”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15.竞标报价</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15.1竞标报价应按磋商文件中“竞标报价表”及</w:t>
      </w:r>
      <w:r>
        <w:rPr>
          <w:rFonts w:ascii="宋体" w:hAnsi="宋体" w:cs="宋体"/>
          <w:color w:val="auto"/>
          <w:szCs w:val="21"/>
          <w:highlight w:val="none"/>
        </w:rPr>
        <w:t>“</w:t>
      </w:r>
      <w:r>
        <w:rPr>
          <w:rFonts w:hint="eastAsia" w:ascii="宋体" w:hAnsi="宋体" w:cs="宋体"/>
          <w:color w:val="auto"/>
          <w:szCs w:val="21"/>
          <w:highlight w:val="none"/>
        </w:rPr>
        <w:t>已标价工程量清单</w:t>
      </w:r>
      <w:r>
        <w:rPr>
          <w:rFonts w:ascii="宋体" w:hAnsi="宋体" w:cs="宋体"/>
          <w:color w:val="auto"/>
          <w:szCs w:val="21"/>
          <w:highlight w:val="none"/>
        </w:rPr>
        <w:t>”</w:t>
      </w:r>
      <w:r>
        <w:rPr>
          <w:rFonts w:hint="eastAsia" w:ascii="宋体" w:hAnsi="宋体" w:cs="宋体"/>
          <w:color w:val="auto"/>
          <w:szCs w:val="21"/>
          <w:highlight w:val="none"/>
        </w:rPr>
        <w:t>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15.3本项目的增值税计税方法见“供应商须知前附表”。</w:t>
      </w:r>
    </w:p>
    <w:p>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15.4竞标报价要求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供应商的竞标报价应符合以下要求，否则响应文件按无效处理：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numPr>
          <w:ilvl w:val="0"/>
          <w:numId w:val="1"/>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供应商必须就所竞标的分标的单项内容作唯一报价。</w:t>
      </w:r>
    </w:p>
    <w:p>
      <w:pPr>
        <w:numPr>
          <w:ilvl w:val="0"/>
          <w:numId w:val="1"/>
        </w:num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供应商竞标报价（含总报价和单项报价）如明显低于其他通过符合性审查供应商的报价，有可能不能诚信履约的，磋商</w:t>
      </w:r>
      <w:r>
        <w:rPr>
          <w:rFonts w:ascii="宋体" w:hAnsi="宋体" w:cs="宋体"/>
          <w:color w:val="auto"/>
          <w:szCs w:val="21"/>
          <w:highlight w:val="none"/>
        </w:rPr>
        <w:t>小组可</w:t>
      </w:r>
      <w:r>
        <w:rPr>
          <w:rFonts w:ascii="ˎ̥" w:hAnsi="ˎ̥"/>
          <w:color w:val="auto"/>
          <w:sz w:val="22"/>
          <w:szCs w:val="22"/>
          <w:highlight w:val="none"/>
        </w:rPr>
        <w:t>要求其在评标现场合理的时间内提供书面说明</w:t>
      </w:r>
      <w:r>
        <w:rPr>
          <w:rFonts w:hint="eastAsia" w:ascii="宋体" w:hAnsi="宋体" w:cs="宋体"/>
          <w:color w:val="auto"/>
          <w:szCs w:val="21"/>
          <w:highlight w:val="none"/>
        </w:rPr>
        <w:t>。如无法提供说明，或者说明不足以证明合理性的，经磋商小组评定，响应文件按无效处理。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w:t>
      </w:r>
      <w:r>
        <w:rPr>
          <w:rFonts w:ascii="宋体" w:hAnsi="宋体" w:cs="宋体"/>
          <w:color w:val="auto"/>
          <w:szCs w:val="21"/>
          <w:highlight w:val="none"/>
        </w:rPr>
        <w:t>3</w:t>
      </w:r>
      <w:bookmarkStart w:id="79" w:name="_Hlk42592874"/>
      <w:r>
        <w:rPr>
          <w:rFonts w:hint="eastAsia" w:ascii="宋体" w:hAnsi="宋体" w:cs="宋体"/>
          <w:color w:val="auto"/>
          <w:szCs w:val="21"/>
          <w:highlight w:val="none"/>
        </w:rPr>
        <w:t>竞标报价（包含首次报价、最后报价）超过分项采购预算金额或者最高限价的（如有要求），其响应文件将按无效处理。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15.4.4供应商在提交响应文件截止时间前修改竞标函中的竞标总报价，应同时修改响应文件“已标价工程量清单”(如有)中的相应报价。此修改须符合本须知正文第20条、第21条的有关要求。</w:t>
      </w:r>
    </w:p>
    <w:bookmarkEnd w:id="79"/>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bookmarkStart w:id="80" w:name="_Hlk66782243"/>
      <w:r>
        <w:rPr>
          <w:rFonts w:hint="eastAsia" w:ascii="宋体" w:hAnsi="宋体" w:cs="宋体"/>
          <w:color w:val="auto"/>
          <w:szCs w:val="21"/>
          <w:highlight w:val="none"/>
        </w:rPr>
        <w:t>未成交供应商的磋商保证金自成交通知书发出之日起5个工作日内退还；成交供应商的磋商保证金自签订合同之日起5个工作日内退还或者转为成交供应商的履约保证金。</w:t>
      </w:r>
      <w:bookmarkEnd w:id="80"/>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olor w:val="auto"/>
          <w:szCs w:val="21"/>
          <w:highlight w:val="none"/>
        </w:rPr>
        <w:t>（2）未按规定提交履约保证金的；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电子交易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18.3响应文件须由供应商在规定位置签字、盖章（具体以供应商须知前附表或响应文件格式规定为准），否则按无效响应处理。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spacing w:line="360" w:lineRule="auto"/>
        <w:ind w:firstLine="482" w:firstLineChars="200"/>
        <w:rPr>
          <w:rFonts w:ascii="黑体" w:hAnsi="黑体" w:eastAsia="黑体"/>
          <w:color w:val="auto"/>
          <w:sz w:val="24"/>
          <w:highlight w:val="none"/>
        </w:rPr>
      </w:pPr>
      <w:r>
        <w:rPr>
          <w:rFonts w:hint="eastAsia" w:ascii="黑体" w:hAnsi="黑体" w:eastAsia="黑体" w:cs="宋体"/>
          <w:b/>
          <w:bCs/>
          <w:color w:val="auto"/>
          <w:sz w:val="24"/>
          <w:highlight w:val="none"/>
        </w:rPr>
        <w:t>19.电子</w:t>
      </w:r>
      <w:r>
        <w:rPr>
          <w:rFonts w:hint="eastAsia" w:ascii="黑体" w:hAnsi="黑体" w:eastAsia="黑体"/>
          <w:b/>
          <w:color w:val="auto"/>
          <w:sz w:val="24"/>
          <w:highlight w:val="none"/>
        </w:rPr>
        <w:t>备份响应文件</w:t>
      </w:r>
    </w:p>
    <w:p>
      <w:pPr>
        <w:spacing w:line="360" w:lineRule="auto"/>
        <w:ind w:firstLine="420" w:firstLineChars="200"/>
        <w:rPr>
          <w:rFonts w:ascii="宋体" w:hAnsi="宋体" w:cs="宋体"/>
          <w:color w:val="auto"/>
          <w:szCs w:val="21"/>
          <w:highlight w:val="none"/>
        </w:rPr>
      </w:pPr>
      <w:r>
        <w:rPr>
          <w:rFonts w:hint="eastAsia"/>
          <w:color w:val="auto"/>
          <w:highlight w:val="none"/>
        </w:rPr>
        <w:t>电子备份响应文件是指通过“广西政府采购云电子投标客户端”在线编制生成且后缀名为“</w:t>
      </w:r>
      <w:r>
        <w:rPr>
          <w:color w:val="auto"/>
          <w:highlight w:val="none"/>
        </w:rPr>
        <w:t>bfbs</w:t>
      </w:r>
      <w:r>
        <w:rPr>
          <w:rFonts w:hint="eastAsia"/>
          <w:color w:val="auto"/>
          <w:highlight w:val="none"/>
        </w:rPr>
        <w:t>”的文件，是否接受电子备份响应文件</w:t>
      </w:r>
      <w:r>
        <w:rPr>
          <w:rFonts w:hint="eastAsia" w:hAnsi="宋体"/>
          <w:bCs/>
          <w:color w:val="auto"/>
          <w:szCs w:val="21"/>
          <w:highlight w:val="none"/>
        </w:rPr>
        <w:t>详见在“供应商须知前附表”。</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hAnsi="宋体"/>
          <w:b/>
          <w:color w:val="auto"/>
          <w:highlight w:val="none"/>
        </w:rPr>
      </w:pPr>
      <w:r>
        <w:rPr>
          <w:rFonts w:hint="eastAsia" w:hAnsi="宋体"/>
          <w:bCs/>
          <w:color w:val="auto"/>
          <w:szCs w:val="21"/>
          <w:highlight w:val="none"/>
        </w:rPr>
        <w:t>20.1供应商必须按“供应商须知前附表”规定的</w:t>
      </w:r>
      <w:r>
        <w:rPr>
          <w:rFonts w:hint="eastAsia" w:ascii="宋体" w:hAnsi="宋体" w:cs="宋体"/>
          <w:color w:val="auto"/>
          <w:szCs w:val="21"/>
          <w:highlight w:val="none"/>
        </w:rPr>
        <w:t>时间</w:t>
      </w:r>
      <w:r>
        <w:rPr>
          <w:rFonts w:hint="eastAsia" w:ascii="宋体" w:hAnsi="宋体"/>
          <w:color w:val="auto"/>
          <w:szCs w:val="21"/>
          <w:highlight w:val="none"/>
        </w:rPr>
        <w:t>及</w:t>
      </w:r>
      <w:r>
        <w:rPr>
          <w:rFonts w:hint="eastAsia" w:hAnsi="宋体"/>
          <w:bCs/>
          <w:color w:val="auto"/>
          <w:szCs w:val="21"/>
          <w:highlight w:val="none"/>
        </w:rPr>
        <w:t>地点提交响应文件。电子响应文件应在制作完成后，</w:t>
      </w:r>
      <w:r>
        <w:rPr>
          <w:rFonts w:hAnsi="宋体"/>
          <w:bCs/>
          <w:color w:val="auto"/>
          <w:szCs w:val="21"/>
          <w:highlight w:val="none"/>
        </w:rPr>
        <w:t>在</w:t>
      </w:r>
      <w:r>
        <w:rPr>
          <w:rFonts w:hint="eastAsia" w:hAnsi="宋体"/>
          <w:bCs/>
          <w:color w:val="auto"/>
          <w:szCs w:val="21"/>
          <w:highlight w:val="none"/>
        </w:rPr>
        <w:t>提交响应文件截止</w:t>
      </w:r>
      <w:r>
        <w:rPr>
          <w:rFonts w:hAnsi="宋体"/>
          <w:bCs/>
          <w:color w:val="auto"/>
          <w:szCs w:val="21"/>
          <w:highlight w:val="none"/>
        </w:rPr>
        <w:t>时间前</w:t>
      </w:r>
      <w:r>
        <w:rPr>
          <w:rFonts w:hint="eastAsia" w:hAnsi="宋体"/>
          <w:bCs/>
          <w:color w:val="auto"/>
          <w:szCs w:val="21"/>
          <w:highlight w:val="none"/>
        </w:rPr>
        <w:t>通过有效数字证书（CA认证锁）进行电子签章、加密，然后通过网络将加密的电子响应文件提交至</w:t>
      </w:r>
      <w:r>
        <w:rPr>
          <w:rFonts w:hint="eastAsia" w:ascii="宋体" w:hAnsi="宋体"/>
          <w:color w:val="auto"/>
          <w:szCs w:val="21"/>
          <w:highlight w:val="none"/>
        </w:rPr>
        <w:t>广西政府采购云平台</w:t>
      </w:r>
      <w:r>
        <w:rPr>
          <w:rFonts w:hint="eastAsia" w:hAnsi="宋体"/>
          <w:bCs/>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2</w:t>
      </w:r>
      <w:r>
        <w:rPr>
          <w:rFonts w:hint="eastAsia" w:ascii="宋体" w:hAnsi="宋体"/>
          <w:color w:val="auto"/>
          <w:szCs w:val="21"/>
          <w:highlight w:val="none"/>
        </w:rPr>
        <w:t>未在规定时间内提交或者未按照磋商文件要求加密的电子响应文件，广西政府采购云平台将拒收。</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0" w:firstLineChars="200"/>
        <w:rPr>
          <w:rFonts w:hAnsi="宋体"/>
          <w:bCs/>
          <w:color w:val="auto"/>
          <w:szCs w:val="21"/>
          <w:highlight w:val="none"/>
        </w:rPr>
      </w:pPr>
      <w:bookmarkStart w:id="81" w:name="_Toc254970684"/>
      <w:bookmarkStart w:id="82" w:name="_Toc254970543"/>
      <w:r>
        <w:rPr>
          <w:rFonts w:hAnsi="宋体"/>
          <w:bCs/>
          <w:color w:val="auto"/>
          <w:szCs w:val="21"/>
          <w:highlight w:val="none"/>
        </w:rPr>
        <w:t>2</w:t>
      </w:r>
      <w:r>
        <w:rPr>
          <w:rFonts w:hint="eastAsia" w:hAnsi="宋体"/>
          <w:bCs/>
          <w:color w:val="auto"/>
          <w:szCs w:val="21"/>
          <w:highlight w:val="none"/>
        </w:rPr>
        <w:t>1.1供应商应当在提交响应文件截止</w:t>
      </w:r>
      <w:r>
        <w:rPr>
          <w:rFonts w:hAnsi="宋体"/>
          <w:bCs/>
          <w:color w:val="auto"/>
          <w:szCs w:val="21"/>
          <w:highlight w:val="none"/>
        </w:rPr>
        <w:t>时间</w:t>
      </w:r>
      <w:r>
        <w:rPr>
          <w:rFonts w:hint="eastAsia" w:hAnsi="宋体"/>
          <w:bCs/>
          <w:color w:val="auto"/>
          <w:szCs w:val="21"/>
          <w:highlight w:val="none"/>
        </w:rPr>
        <w:t>前完成电子响应文件的提交（上传），提交响应文件截止</w:t>
      </w:r>
      <w:r>
        <w:rPr>
          <w:rFonts w:hAnsi="宋体"/>
          <w:bCs/>
          <w:color w:val="auto"/>
          <w:szCs w:val="21"/>
          <w:highlight w:val="none"/>
        </w:rPr>
        <w:t>时间</w:t>
      </w:r>
      <w:r>
        <w:rPr>
          <w:rFonts w:hint="eastAsia" w:hAnsi="宋体"/>
          <w:bCs/>
          <w:color w:val="auto"/>
          <w:szCs w:val="21"/>
          <w:highlight w:val="none"/>
        </w:rPr>
        <w:t>前可以补充、修改或者撤回响应文件。补充或者修改响应文件的，应当先行撤回原响应文件，补充、修改后重新提交（上传），提交响应文件截止</w:t>
      </w:r>
      <w:r>
        <w:rPr>
          <w:rFonts w:hAnsi="宋体"/>
          <w:bCs/>
          <w:color w:val="auto"/>
          <w:szCs w:val="21"/>
          <w:highlight w:val="none"/>
        </w:rPr>
        <w:t>时间</w:t>
      </w:r>
      <w:r>
        <w:rPr>
          <w:rFonts w:hint="eastAsia" w:hAnsi="宋体"/>
          <w:bCs/>
          <w:color w:val="auto"/>
          <w:szCs w:val="21"/>
          <w:highlight w:val="none"/>
        </w:rPr>
        <w:t>前未完成提交（上传）的，视为撤回响应文件。提交响应文件截止</w:t>
      </w:r>
      <w:r>
        <w:rPr>
          <w:rFonts w:hAnsi="宋体"/>
          <w:bCs/>
          <w:color w:val="auto"/>
          <w:szCs w:val="21"/>
          <w:highlight w:val="none"/>
        </w:rPr>
        <w:t>时间</w:t>
      </w:r>
      <w:r>
        <w:rPr>
          <w:rFonts w:hint="eastAsia" w:hAnsi="宋体"/>
          <w:bCs/>
          <w:color w:val="auto"/>
          <w:szCs w:val="21"/>
          <w:highlight w:val="none"/>
        </w:rPr>
        <w:t>以后提交（上传）的响应文件，广西政府采购云平台将予以拒收。（注：补充、修改或者撤回方式可登陆广西政府采购云平台，进入“服务中心”中查看“电子投标文件制作与投送教程”）</w:t>
      </w:r>
    </w:p>
    <w:bookmarkEnd w:id="81"/>
    <w:bookmarkEnd w:id="82"/>
    <w:p>
      <w:pPr>
        <w:pStyle w:val="156"/>
        <w:spacing w:before="0"/>
        <w:ind w:firstLine="420"/>
        <w:rPr>
          <w:rFonts w:ascii="宋体" w:hAnsi="宋体" w:cs="宋体"/>
          <w:color w:val="auto"/>
          <w:sz w:val="21"/>
          <w:szCs w:val="21"/>
          <w:highlight w:val="none"/>
        </w:rPr>
      </w:pPr>
      <w:r>
        <w:rPr>
          <w:rFonts w:ascii="宋体" w:hAnsi="宋体" w:cs="宋体"/>
          <w:color w:val="auto"/>
          <w:sz w:val="21"/>
          <w:szCs w:val="21"/>
          <w:highlight w:val="none"/>
        </w:rPr>
        <w:t>2</w:t>
      </w:r>
      <w:r>
        <w:rPr>
          <w:rFonts w:hint="eastAsia" w:ascii="宋体" w:hAnsi="宋体" w:cs="宋体"/>
          <w:color w:val="auto"/>
          <w:sz w:val="21"/>
          <w:szCs w:val="21"/>
          <w:highlight w:val="none"/>
        </w:rPr>
        <w:t>1</w:t>
      </w:r>
      <w:r>
        <w:rPr>
          <w:rFonts w:ascii="宋体" w:hAnsi="宋体" w:cs="宋体"/>
          <w:color w:val="auto"/>
          <w:sz w:val="21"/>
          <w:szCs w:val="21"/>
          <w:highlight w:val="none"/>
        </w:rPr>
        <w:t>.</w:t>
      </w:r>
      <w:r>
        <w:rPr>
          <w:rFonts w:hint="eastAsia" w:ascii="宋体" w:hAnsi="宋体" w:cs="宋体"/>
          <w:color w:val="auto"/>
          <w:sz w:val="21"/>
          <w:szCs w:val="21"/>
          <w:highlight w:val="none"/>
        </w:rPr>
        <w:t>2在提交响应文件截止时间前，除供应商补充、修改或者撤回响应文件外，任何单位和个人不得解密或提取响应文件。</w:t>
      </w:r>
    </w:p>
    <w:p>
      <w:pPr>
        <w:spacing w:line="360" w:lineRule="auto"/>
        <w:ind w:firstLine="482" w:firstLineChars="200"/>
        <w:rPr>
          <w:rFonts w:ascii="黑体" w:hAnsi="黑体" w:eastAsia="黑体" w:cs="宋体"/>
          <w:b/>
          <w:bCs/>
          <w:color w:val="auto"/>
          <w:sz w:val="24"/>
          <w:highlight w:val="none"/>
        </w:rPr>
      </w:pPr>
      <w:bookmarkStart w:id="83" w:name="_Hlk45702405"/>
      <w:r>
        <w:rPr>
          <w:rFonts w:hint="eastAsia" w:ascii="黑体" w:hAnsi="黑体" w:eastAsia="黑体" w:cs="宋体"/>
          <w:b/>
          <w:bCs/>
          <w:color w:val="auto"/>
          <w:sz w:val="24"/>
          <w:highlight w:val="none"/>
        </w:rPr>
        <w:t>22.响应文件的退回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采购人和采购代理机构对已提交的响应文件概不退回。</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供应商在响应文件提交截止时间后向采购人、采购代理机构书面申请撤回响应文件的，将根据本须知正文第17.4条的规定不予退还其磋商保证金。</w:t>
      </w:r>
    </w:p>
    <w:bookmarkEnd w:id="83"/>
    <w:p>
      <w:pPr>
        <w:spacing w:line="360" w:lineRule="auto"/>
        <w:rPr>
          <w:rFonts w:ascii="宋体" w:hAnsi="宋体"/>
          <w:color w:val="auto"/>
          <w:szCs w:val="21"/>
          <w:highlight w:val="none"/>
        </w:rPr>
      </w:pPr>
    </w:p>
    <w:p>
      <w:pPr>
        <w:spacing w:line="360" w:lineRule="auto"/>
        <w:ind w:left="420" w:firstLine="420"/>
        <w:jc w:val="center"/>
        <w:rPr>
          <w:rFonts w:ascii="宋体" w:hAnsi="宋体"/>
          <w:b/>
          <w:bCs/>
          <w:color w:val="auto"/>
          <w:sz w:val="32"/>
          <w:szCs w:val="32"/>
          <w:highlight w:val="none"/>
        </w:rPr>
      </w:pPr>
      <w:r>
        <w:rPr>
          <w:rFonts w:hint="eastAsia" w:ascii="宋体" w:hAnsi="宋体"/>
          <w:b/>
          <w:bCs/>
          <w:color w:val="auto"/>
          <w:sz w:val="32"/>
          <w:szCs w:val="32"/>
          <w:highlight w:val="none"/>
        </w:rPr>
        <w:t>四、评审及磋商</w:t>
      </w:r>
    </w:p>
    <w:p>
      <w:pPr>
        <w:spacing w:line="360" w:lineRule="auto"/>
        <w:ind w:left="420" w:firstLine="420"/>
        <w:rPr>
          <w:rFonts w:ascii="宋体" w:hAnsi="宋体"/>
          <w:color w:val="auto"/>
          <w:szCs w:val="21"/>
          <w:highlight w:val="none"/>
        </w:rPr>
      </w:pP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hAnsi="宋体"/>
          <w:bCs/>
          <w:color w:val="auto"/>
          <w:szCs w:val="21"/>
          <w:highlight w:val="none"/>
        </w:rPr>
        <w:t>采购代理机构</w:t>
      </w:r>
      <w:r>
        <w:rPr>
          <w:rFonts w:hint="eastAsia" w:hAnsi="宋体"/>
          <w:bCs/>
          <w:color w:val="auto"/>
          <w:highlight w:val="none"/>
        </w:rPr>
        <w:t>应当</w:t>
      </w:r>
      <w:r>
        <w:rPr>
          <w:rFonts w:hint="eastAsia" w:hAnsi="宋体"/>
          <w:bCs/>
          <w:color w:val="auto"/>
          <w:szCs w:val="21"/>
          <w:highlight w:val="none"/>
        </w:rPr>
        <w:t>基于广西政府采购云平台</w:t>
      </w:r>
      <w:r>
        <w:rPr>
          <w:rFonts w:hint="eastAsia" w:hAnsi="宋体"/>
          <w:bCs/>
          <w:color w:val="auto"/>
          <w:highlight w:val="none"/>
        </w:rPr>
        <w:t>抽（选）取</w:t>
      </w:r>
      <w:r>
        <w:rPr>
          <w:rFonts w:hint="eastAsia" w:hAnsi="宋体"/>
          <w:bCs/>
          <w:color w:val="auto"/>
          <w:szCs w:val="21"/>
          <w:highlight w:val="none"/>
        </w:rPr>
        <w:t>评审专家。</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首次响应文件的开启和解密</w:t>
      </w:r>
    </w:p>
    <w:p>
      <w:pPr>
        <w:spacing w:line="360" w:lineRule="auto"/>
        <w:ind w:firstLine="420" w:firstLineChars="200"/>
        <w:rPr>
          <w:rFonts w:ascii="宋体" w:hAnsi="宋体" w:cs="宋体"/>
          <w:color w:val="auto"/>
          <w:szCs w:val="21"/>
          <w:highlight w:val="none"/>
        </w:rPr>
      </w:pPr>
      <w:r>
        <w:rPr>
          <w:rFonts w:hint="eastAsia" w:hAnsi="宋体"/>
          <w:bCs/>
          <w:color w:val="auto"/>
          <w:highlight w:val="none"/>
        </w:rPr>
        <w:t>采购代理机构将在“供应商须知前附表”规定的时</w:t>
      </w:r>
      <w:r>
        <w:rPr>
          <w:rFonts w:hint="eastAsia" w:hAnsi="宋体"/>
          <w:color w:val="auto"/>
          <w:highlight w:val="none"/>
        </w:rPr>
        <w:t>间通过电子交易平台组织响应文件开启，供应商的法定代表人或其委托代理人须携带加密时所用的CA锁，按平台提示和磋商文件的规定登录到广西政府采购云平台电子开标大厅签到，</w:t>
      </w:r>
      <w:r>
        <w:rPr>
          <w:rFonts w:hint="eastAsia"/>
          <w:color w:val="auto"/>
          <w:highlight w:val="none"/>
        </w:rPr>
        <w:t>采购代理机构依托广西政府采购云平台向各供应商发出电子加密响应文件【开始解密】通知，由供应商按</w:t>
      </w:r>
      <w:r>
        <w:rPr>
          <w:rFonts w:hint="eastAsia" w:hAnsi="宋体"/>
          <w:bCs/>
          <w:color w:val="auto"/>
          <w:szCs w:val="21"/>
          <w:highlight w:val="none"/>
        </w:rPr>
        <w:t>“供应商须知前附表”</w:t>
      </w:r>
      <w:r>
        <w:rPr>
          <w:rFonts w:hint="eastAsia"/>
          <w:color w:val="auto"/>
          <w:highlight w:val="none"/>
        </w:rPr>
        <w:t>规定的时间内自行进行响应文件解密</w:t>
      </w:r>
      <w:r>
        <w:rPr>
          <w:rFonts w:hint="eastAsia" w:hAnsi="宋体"/>
          <w:color w:val="auto"/>
          <w:highlight w:val="none"/>
        </w:rPr>
        <w:t>。</w:t>
      </w:r>
      <w:r>
        <w:rPr>
          <w:rFonts w:hint="eastAsia"/>
          <w:b/>
          <w:color w:val="auto"/>
          <w:highlight w:val="none"/>
        </w:rPr>
        <w:t>供应商未在</w:t>
      </w:r>
      <w:r>
        <w:rPr>
          <w:b/>
          <w:color w:val="auto"/>
          <w:highlight w:val="none"/>
        </w:rPr>
        <w:t>规定的时间内解密</w:t>
      </w:r>
      <w:r>
        <w:rPr>
          <w:rFonts w:hint="eastAsia"/>
          <w:b/>
          <w:color w:val="auto"/>
          <w:highlight w:val="none"/>
        </w:rPr>
        <w:t>响应文件</w:t>
      </w:r>
      <w:r>
        <w:rPr>
          <w:b/>
          <w:color w:val="auto"/>
          <w:highlight w:val="none"/>
        </w:rPr>
        <w:t>或</w:t>
      </w:r>
      <w:r>
        <w:rPr>
          <w:rFonts w:hint="eastAsia"/>
          <w:b/>
          <w:color w:val="auto"/>
          <w:highlight w:val="none"/>
        </w:rPr>
        <w:t>者</w:t>
      </w:r>
      <w:r>
        <w:rPr>
          <w:b/>
          <w:color w:val="auto"/>
          <w:highlight w:val="none"/>
        </w:rPr>
        <w:t>解密失败的</w:t>
      </w:r>
      <w:r>
        <w:rPr>
          <w:rFonts w:hint="eastAsia"/>
          <w:b/>
          <w:color w:val="auto"/>
          <w:highlight w:val="none"/>
        </w:rPr>
        <w:t>，供应商</w:t>
      </w:r>
      <w:r>
        <w:rPr>
          <w:rFonts w:hint="eastAsia" w:ascii="宋体" w:hAnsi="宋体"/>
          <w:b/>
          <w:color w:val="auto"/>
          <w:szCs w:val="21"/>
          <w:highlight w:val="none"/>
        </w:rPr>
        <w:t>的响应文件按无效处理</w:t>
      </w:r>
      <w:r>
        <w:rPr>
          <w:b/>
          <w:color w:val="auto"/>
          <w:highlight w:val="none"/>
        </w:rPr>
        <w:t>。</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 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r>
        <w:rPr>
          <w:rFonts w:hint="eastAsia" w:ascii="宋体" w:hAnsi="宋体" w:cs="宋体"/>
          <w:color w:val="auto"/>
          <w:szCs w:val="21"/>
          <w:highlight w:val="none"/>
        </w:rPr>
        <w:t>并推荐成交候选供应商</w:t>
      </w:r>
      <w:r>
        <w:rPr>
          <w:rFonts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6.3 </w:t>
      </w:r>
      <w:r>
        <w:rPr>
          <w:rFonts w:hint="eastAsia" w:ascii="宋体" w:hAnsi="宋体"/>
          <w:color w:val="auto"/>
          <w:szCs w:val="21"/>
          <w:highlight w:val="none"/>
        </w:rPr>
        <w:t>商务/技术要求允许负偏离的条款数详见“供应商须知前附表”。</w:t>
      </w:r>
    </w:p>
    <w:p>
      <w:pPr>
        <w:spacing w:line="360" w:lineRule="auto"/>
        <w:ind w:firstLine="420" w:firstLineChars="200"/>
        <w:rPr>
          <w:rFonts w:ascii="宋体" w:hAnsi="宋体"/>
          <w:color w:val="auto"/>
          <w:szCs w:val="21"/>
          <w:highlight w:val="none"/>
        </w:rPr>
      </w:pPr>
      <w:r>
        <w:rPr>
          <w:rFonts w:hint="eastAsia" w:ascii="宋体" w:hAnsi="宋体" w:cs="宋体"/>
          <w:color w:val="auto"/>
          <w:highlight w:val="none"/>
        </w:rPr>
        <w:t>26.</w:t>
      </w:r>
      <w:r>
        <w:rPr>
          <w:rFonts w:ascii="宋体" w:hAnsi="宋体" w:cs="宋体"/>
          <w:color w:val="auto"/>
          <w:highlight w:val="none"/>
        </w:rPr>
        <w:t>4</w:t>
      </w:r>
      <w:r>
        <w:rPr>
          <w:rFonts w:hint="eastAsia" w:ascii="宋体" w:hAnsi="宋体" w:cs="宋体"/>
          <w:color w:val="auto"/>
          <w:highlight w:val="none"/>
        </w:rPr>
        <w:t>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spacing w:line="360" w:lineRule="auto"/>
        <w:ind w:firstLine="420" w:firstLineChars="200"/>
        <w:rPr>
          <w:rFonts w:hAnsi="宋体"/>
          <w:color w:val="auto"/>
          <w:highlight w:val="none"/>
        </w:rPr>
      </w:pPr>
      <w:r>
        <w:rPr>
          <w:rFonts w:hint="eastAsia" w:ascii="宋体" w:hAnsi="宋体" w:cs="宋体"/>
          <w:color w:val="auto"/>
          <w:highlight w:val="none"/>
        </w:rPr>
        <w:t>2</w:t>
      </w:r>
      <w:r>
        <w:rPr>
          <w:rFonts w:ascii="宋体" w:hAnsi="宋体" w:cs="宋体"/>
          <w:color w:val="auto"/>
          <w:highlight w:val="none"/>
        </w:rPr>
        <w:t>6.5</w:t>
      </w:r>
      <w:r>
        <w:rPr>
          <w:rFonts w:hint="eastAsia" w:hAnsi="宋体"/>
          <w:color w:val="auto"/>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auto"/>
          <w:highlight w:val="none"/>
        </w:rPr>
      </w:pPr>
      <w:r>
        <w:rPr>
          <w:rFonts w:hint="eastAsia" w:hAnsi="宋体"/>
          <w:color w:val="auto"/>
          <w:highlight w:val="none"/>
        </w:rPr>
        <w:t>（1）电子交易平台发生故障而无法登录访问的；</w:t>
      </w:r>
    </w:p>
    <w:p>
      <w:pPr>
        <w:spacing w:line="360" w:lineRule="auto"/>
        <w:ind w:firstLine="420" w:firstLineChars="200"/>
        <w:rPr>
          <w:rFonts w:hAnsi="宋体"/>
          <w:color w:val="auto"/>
          <w:highlight w:val="none"/>
        </w:rPr>
      </w:pPr>
      <w:r>
        <w:rPr>
          <w:rFonts w:hint="eastAsia" w:hAnsi="宋体"/>
          <w:color w:val="auto"/>
          <w:highlight w:val="none"/>
        </w:rPr>
        <w:t>（2）电子交易平台应用或数据库出现错误，不能进行正常操作的；</w:t>
      </w:r>
    </w:p>
    <w:p>
      <w:pPr>
        <w:spacing w:line="360" w:lineRule="auto"/>
        <w:ind w:firstLine="420" w:firstLineChars="200"/>
        <w:rPr>
          <w:rFonts w:hAnsi="宋体"/>
          <w:color w:val="auto"/>
          <w:highlight w:val="none"/>
        </w:rPr>
      </w:pPr>
      <w:r>
        <w:rPr>
          <w:rFonts w:hint="eastAsia" w:hAnsi="宋体"/>
          <w:color w:val="auto"/>
          <w:highlight w:val="none"/>
        </w:rPr>
        <w:t>（3）电子交易平台发现严重安全漏洞，有潜在泄密危险的；</w:t>
      </w:r>
    </w:p>
    <w:p>
      <w:pPr>
        <w:spacing w:line="360" w:lineRule="auto"/>
        <w:ind w:firstLine="420" w:firstLineChars="200"/>
        <w:rPr>
          <w:rFonts w:hAnsi="宋体"/>
          <w:color w:val="auto"/>
          <w:highlight w:val="none"/>
        </w:rPr>
      </w:pPr>
      <w:r>
        <w:rPr>
          <w:rFonts w:hint="eastAsia" w:hAnsi="宋体"/>
          <w:color w:val="auto"/>
          <w:highlight w:val="none"/>
        </w:rPr>
        <w:t>（4）病毒发作导致不能进行正常操作的；</w:t>
      </w:r>
    </w:p>
    <w:p>
      <w:pPr>
        <w:spacing w:line="360" w:lineRule="auto"/>
        <w:ind w:firstLine="420" w:firstLineChars="200"/>
        <w:rPr>
          <w:rFonts w:hAnsi="宋体"/>
          <w:color w:val="auto"/>
          <w:highlight w:val="none"/>
        </w:rPr>
      </w:pPr>
      <w:r>
        <w:rPr>
          <w:rFonts w:hint="eastAsia" w:hAnsi="宋体"/>
          <w:color w:val="auto"/>
          <w:highlight w:val="none"/>
        </w:rPr>
        <w:t>（5）其他无法保证电子交易的公平、公正和安全的情况。</w:t>
      </w:r>
    </w:p>
    <w:p>
      <w:pPr>
        <w:spacing w:line="360" w:lineRule="auto"/>
        <w:ind w:firstLine="420" w:firstLineChars="200"/>
        <w:rPr>
          <w:rFonts w:ascii="宋体" w:hAnsi="宋体" w:cs="宋体"/>
          <w:color w:val="auto"/>
          <w:szCs w:val="21"/>
          <w:highlight w:val="none"/>
        </w:rPr>
      </w:pPr>
      <w:r>
        <w:rPr>
          <w:rFonts w:hint="eastAsia" w:ascii="宋体" w:hAnsi="宋体"/>
          <w:color w:val="auto"/>
          <w:highlight w:val="none"/>
        </w:rPr>
        <w:t>26.</w:t>
      </w:r>
      <w:r>
        <w:rPr>
          <w:rFonts w:ascii="宋体" w:hAnsi="宋体"/>
          <w:color w:val="auto"/>
          <w:highlight w:val="none"/>
        </w:rPr>
        <w:t>6</w:t>
      </w:r>
      <w:r>
        <w:rPr>
          <w:rFonts w:hint="eastAsia" w:hAnsi="宋体"/>
          <w:color w:val="auto"/>
          <w:highlight w:val="none"/>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Courier New"/>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84" w:name="_Hlk66782294"/>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bookmarkEnd w:id="84"/>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27.3出现下列情形之一的，采购人或者采购代理机构应当终止竞争性磋商采购活动，发布项目终止公告并说明原因，重新开展采购活动：</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（1）因情况变化，不再符合规定的竞争性磋商采购方式适用情形的；</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（2）出现影响采购公正的违法、违规行为的；</w:t>
      </w:r>
    </w:p>
    <w:p>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（3）除“第四章 评审程序、评审方法和评审标准”第4.3条规定的情形外，在采购过程中符合要求的供应商或者报价未超过采购预算的供应商不足3家的。</w:t>
      </w:r>
    </w:p>
    <w:p>
      <w:pPr>
        <w:spacing w:line="360" w:lineRule="auto"/>
        <w:ind w:firstLine="420" w:firstLineChars="200"/>
        <w:rPr>
          <w:rFonts w:ascii="宋体" w:hAnsi="宋体" w:cs="宋体"/>
          <w:color w:val="auto"/>
          <w:szCs w:val="21"/>
          <w:highlight w:val="none"/>
        </w:rPr>
      </w:pPr>
      <w:r>
        <w:rPr>
          <w:rFonts w:hint="eastAsia" w:ascii="宋体" w:hAnsi="宋体" w:cs="Courier New"/>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.2在履约保证金退还日期前，若成交供应商的开户名称、开户银行、帐号有变动的，请以书面形式通知履约保证金收取单位，否则由此产生的后果由成交供应商自行承担。</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w:t>
      </w:r>
      <w:r>
        <w:rPr>
          <w:rFonts w:ascii="宋体" w:hAnsi="宋体" w:cs="宋体"/>
          <w:color w:val="auto"/>
          <w:szCs w:val="21"/>
          <w:highlight w:val="none"/>
        </w:rPr>
        <w:t>3</w:t>
      </w:r>
      <w:r>
        <w:rPr>
          <w:rFonts w:hint="eastAsia" w:ascii="宋体" w:hAnsi="宋体" w:cs="宋体"/>
          <w:color w:val="auto"/>
          <w:szCs w:val="21"/>
          <w:highlight w:val="none"/>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pStyle w:val="7"/>
        <w:spacing w:line="360" w:lineRule="auto"/>
        <w:rPr>
          <w:rFonts w:ascii="宋体" w:hAnsi="宋体"/>
          <w:color w:val="auto"/>
          <w:szCs w:val="21"/>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olor w:val="auto"/>
          <w:szCs w:val="21"/>
          <w:highlight w:val="none"/>
        </w:rPr>
        <w:t>但答复的内容不得涉及商业秘密</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（1）对可以质疑的磋商文件提出质疑的，为获取磋商文件之日或者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 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32</w:t>
      </w:r>
      <w:r>
        <w:rPr>
          <w:rFonts w:hint="eastAsia" w:ascii="黑体" w:hAnsi="黑体" w:eastAsia="黑体" w:cs="宋体"/>
          <w:b/>
          <w:bCs/>
          <w:color w:val="auto"/>
          <w:sz w:val="24"/>
          <w:highlight w:val="none"/>
        </w:rPr>
        <w:t>.其他内容</w:t>
      </w:r>
    </w:p>
    <w:p>
      <w:pPr>
        <w:tabs>
          <w:tab w:val="left" w:pos="2835"/>
        </w:tabs>
        <w:spacing w:line="360" w:lineRule="auto"/>
        <w:ind w:firstLine="420" w:firstLineChars="200"/>
        <w:rPr>
          <w:rFonts w:hint="eastAsia" w:ascii="宋体" w:hAnsi="宋体" w:eastAsia="宋体" w:cs="宋体"/>
          <w:color w:val="auto"/>
          <w:szCs w:val="21"/>
          <w:highlight w:val="none"/>
          <w:lang w:eastAsia="zh-CN"/>
        </w:rPr>
      </w:pPr>
      <w:r>
        <w:rPr>
          <w:rFonts w:ascii="宋体" w:hAnsi="宋体" w:cs="宋体"/>
          <w:color w:val="auto"/>
          <w:szCs w:val="21"/>
          <w:highlight w:val="none"/>
        </w:rPr>
        <w:t>32</w:t>
      </w:r>
      <w:r>
        <w:rPr>
          <w:rFonts w:hint="eastAsia" w:ascii="宋体" w:hAnsi="宋体" w:cs="宋体"/>
          <w:color w:val="auto"/>
          <w:szCs w:val="21"/>
          <w:highlight w:val="none"/>
        </w:rPr>
        <w:t>.1代理服务收取标准及缴费账户详见“供应商须知前附表”</w:t>
      </w:r>
      <w:r>
        <w:rPr>
          <w:rFonts w:hint="eastAsia" w:ascii="宋体" w:hAnsi="宋体" w:cs="宋体"/>
          <w:color w:val="auto"/>
          <w:szCs w:val="21"/>
          <w:highlight w:val="none"/>
          <w:lang w:eastAsia="zh-CN"/>
        </w:rPr>
        <w:t>。</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w:t>
      </w:r>
      <w:r>
        <w:rPr>
          <w:rFonts w:ascii="黑体" w:hAnsi="黑体" w:eastAsia="黑体" w:cs="宋体"/>
          <w:b/>
          <w:bCs/>
          <w:color w:val="auto"/>
          <w:sz w:val="24"/>
          <w:highlight w:val="none"/>
        </w:rPr>
        <w:t>3.需要补充的其他内容</w:t>
      </w:r>
    </w:p>
    <w:p>
      <w:pPr>
        <w:pStyle w:val="2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3.1</w:t>
      </w:r>
      <w:r>
        <w:rPr>
          <w:rFonts w:hint="eastAsia" w:hAnsi="宋体" w:cs="宋体"/>
          <w:color w:val="auto"/>
          <w:kern w:val="2"/>
          <w:sz w:val="21"/>
          <w:highlight w:val="none"/>
        </w:rPr>
        <w:t>本磋商文件解释规则详见“供应商须知前附表”。</w:t>
      </w:r>
    </w:p>
    <w:p>
      <w:pPr>
        <w:pStyle w:val="2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33.2农民工工资保证金见“供应商须知前附表”。</w:t>
      </w:r>
    </w:p>
    <w:p>
      <w:pPr>
        <w:pStyle w:val="24"/>
        <w:spacing w:line="360" w:lineRule="auto"/>
        <w:ind w:firstLine="420" w:firstLineChars="200"/>
        <w:textAlignment w:val="center"/>
        <w:rPr>
          <w:rFonts w:hAnsi="宋体" w:cs="宋体"/>
          <w:color w:val="auto"/>
          <w:kern w:val="2"/>
          <w:sz w:val="21"/>
          <w:highlight w:val="none"/>
        </w:rPr>
      </w:pPr>
      <w:r>
        <w:rPr>
          <w:rFonts w:hAnsi="宋体" w:cs="宋体"/>
          <w:color w:val="auto"/>
          <w:kern w:val="2"/>
          <w:sz w:val="21"/>
          <w:highlight w:val="none"/>
        </w:rPr>
        <w:t>33.</w:t>
      </w:r>
      <w:r>
        <w:rPr>
          <w:rFonts w:hint="eastAsia" w:hAnsi="宋体" w:cs="宋体"/>
          <w:color w:val="auto"/>
          <w:kern w:val="2"/>
          <w:sz w:val="21"/>
          <w:highlight w:val="none"/>
        </w:rPr>
        <w:t>3 其他事项详见“供应商须知前附表”。</w:t>
      </w:r>
    </w:p>
    <w:p>
      <w:pPr>
        <w:pStyle w:val="24"/>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w:t>
      </w:r>
      <w:r>
        <w:rPr>
          <w:rFonts w:hAnsi="宋体" w:cs="宋体"/>
          <w:color w:val="auto"/>
          <w:kern w:val="2"/>
          <w:sz w:val="21"/>
          <w:highlight w:val="none"/>
        </w:rPr>
        <w:t>3.</w:t>
      </w:r>
      <w:r>
        <w:rPr>
          <w:rFonts w:hint="eastAsia" w:hAnsi="宋体" w:cs="宋体"/>
          <w:color w:val="auto"/>
          <w:kern w:val="2"/>
          <w:sz w:val="21"/>
          <w:highlight w:val="none"/>
        </w:rPr>
        <w:t>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（1）在货物采购项目中，货物由中小企业制造，即货物由中小企业生产且使用该中小企业商号或者注册商标，不对其中涉及的工程承建商和服务的承接商作出要求；</w:t>
      </w:r>
    </w:p>
    <w:p>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（2）在工程采购项目中，工程由中小企业承建，即工程施工单位为中小企业，不对其中涉及的货物的制造商和服务的承接商作出要求；</w:t>
      </w:r>
    </w:p>
    <w:p>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pStyle w:val="24"/>
        <w:spacing w:line="360" w:lineRule="auto"/>
        <w:ind w:firstLine="420" w:firstLineChars="200"/>
        <w:contextualSpacing/>
        <w:rPr>
          <w:rFonts w:hAnsi="宋体"/>
          <w:color w:val="auto"/>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w:t>
      </w:r>
      <w:r>
        <w:rPr>
          <w:rFonts w:hint="eastAsia" w:hAnsi="宋体"/>
          <w:color w:val="auto"/>
          <w:sz w:val="21"/>
          <w:highlight w:val="none"/>
        </w:rPr>
        <w:t>中小企业的，联合体视同中小企业。其中，联合体各方均为小微企业的，联合体视同小微企业。</w:t>
      </w:r>
    </w:p>
    <w:p>
      <w:pPr>
        <w:pStyle w:val="24"/>
        <w:spacing w:line="360" w:lineRule="auto"/>
        <w:ind w:firstLine="420" w:firstLineChars="200"/>
        <w:contextualSpacing/>
        <w:rPr>
          <w:rFonts w:hAnsi="宋体"/>
          <w:color w:val="auto"/>
          <w:sz w:val="21"/>
          <w:highlight w:val="none"/>
        </w:rPr>
      </w:pPr>
      <w:r>
        <w:rPr>
          <w:rFonts w:hint="eastAsia" w:hAnsi="宋体"/>
          <w:color w:val="auto"/>
          <w:sz w:val="21"/>
          <w:highlight w:val="none"/>
        </w:rPr>
        <w:t>依据本磋商文件规定享受扶持政策获得政府采购合同的，小微企业不得将合同分包给大中型企业，中型企业不得将合同分包给大型企业。</w:t>
      </w:r>
    </w:p>
    <w:p>
      <w:pPr>
        <w:rPr>
          <w:rFonts w:hAnsi="宋体"/>
          <w:b/>
          <w:color w:val="auto"/>
          <w:highlight w:val="none"/>
        </w:rPr>
      </w:pPr>
      <w:r>
        <w:rPr>
          <w:rFonts w:hAnsi="宋体"/>
          <w:b/>
          <w:color w:val="auto"/>
          <w:highlight w:val="none"/>
        </w:rPr>
        <w:br w:type="page"/>
      </w:r>
    </w:p>
    <w:p>
      <w:pPr>
        <w:pStyle w:val="24"/>
        <w:jc w:val="left"/>
        <w:rPr>
          <w:rFonts w:ascii="Arial Unicode MS" w:hAnsi="Arial Unicode MS" w:eastAsia="Arial Unicode MS" w:cs="Arial Unicode MS"/>
          <w:color w:val="auto"/>
          <w:sz w:val="32"/>
          <w:szCs w:val="32"/>
          <w:highlight w:val="none"/>
        </w:rPr>
      </w:pPr>
      <w:r>
        <w:rPr>
          <w:rFonts w:hint="eastAsia" w:ascii="微软雅黑" w:hAnsi="微软雅黑" w:eastAsia="微软雅黑" w:cs="微软雅黑"/>
          <w:color w:val="auto"/>
          <w:sz w:val="32"/>
          <w:szCs w:val="32"/>
          <w:highlight w:val="none"/>
        </w:rPr>
        <w:t>附件：</w:t>
      </w:r>
    </w:p>
    <w:p>
      <w:pPr>
        <w:spacing w:line="528" w:lineRule="exact"/>
        <w:ind w:left="1871"/>
        <w:rPr>
          <w:rFonts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43"/>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Layout w:type="fixed"/>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38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6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43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tblPrEx>
          <w:tblLayout w:type="fixed"/>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tblPrEx>
          <w:tblLayout w:type="fixed"/>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auto"/>
                <w:kern w:val="0"/>
                <w:sz w:val="18"/>
                <w:szCs w:val="18"/>
                <w:highlight w:val="none"/>
              </w:rPr>
            </w:pP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tblPrEx>
          <w:tblLayout w:type="fixed"/>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38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61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439"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pPr>
        <w:spacing w:line="360" w:lineRule="auto"/>
        <w:ind w:firstLine="525" w:firstLineChars="250"/>
        <w:rPr>
          <w:rFonts w:hint="eastAsia" w:ascii="仿宋_GB2312" w:hAnsi="仿宋" w:eastAsia="仿宋_GB2312"/>
          <w:color w:val="auto"/>
          <w:szCs w:val="21"/>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4"/>
        <w:spacing w:before="340" w:after="340" w:line="360" w:lineRule="auto"/>
        <w:ind w:firstLine="402" w:firstLineChars="200"/>
        <w:jc w:val="center"/>
        <w:textAlignment w:val="center"/>
        <w:rPr>
          <w:b/>
          <w:color w:val="auto"/>
          <w:sz w:val="44"/>
          <w:szCs w:val="44"/>
          <w:highlight w:val="none"/>
        </w:rPr>
      </w:pPr>
      <w:r>
        <w:rPr>
          <w:rFonts w:hAnsi="宋体"/>
          <w:b/>
          <w:color w:val="auto"/>
          <w:highlight w:val="none"/>
        </w:rPr>
        <w:br w:type="page"/>
      </w:r>
      <w:bookmarkStart w:id="85" w:name="_Toc74323458"/>
      <w:r>
        <w:rPr>
          <w:rFonts w:hint="eastAsia"/>
          <w:b/>
          <w:color w:val="auto"/>
          <w:sz w:val="44"/>
          <w:szCs w:val="44"/>
          <w:highlight w:val="none"/>
        </w:rPr>
        <w:t>第三章 采购需求</w:t>
      </w:r>
      <w:bookmarkEnd w:id="85"/>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360" w:lineRule="auto"/>
        <w:ind w:firstLine="420" w:firstLineChars="200"/>
        <w:jc w:val="left"/>
        <w:rPr>
          <w:rFonts w:ascii="宋体" w:hAnsi="宋体" w:cs="宋体"/>
          <w:color w:val="auto"/>
          <w:szCs w:val="21"/>
          <w:highlight w:val="none"/>
        </w:rPr>
      </w:pPr>
      <w:r>
        <w:rPr>
          <w:rFonts w:hint="eastAsia" w:ascii="宋体" w:hAnsi="宋体"/>
          <w:color w:val="auto"/>
          <w:highlight w:val="none"/>
        </w:rPr>
        <w:t>1</w:t>
      </w:r>
      <w:r>
        <w:rPr>
          <w:rFonts w:hint="eastAsia"/>
          <w:color w:val="auto"/>
          <w:highlight w:val="none"/>
        </w:rPr>
        <w:t>. 为落实政府采购政策需满足的要求</w:t>
      </w:r>
      <w:r>
        <w:rPr>
          <w:rFonts w:hint="eastAsia" w:ascii="宋体" w:hAnsi="宋体" w:cs="宋体"/>
          <w:color w:val="auto"/>
          <w:szCs w:val="21"/>
          <w:highlight w:val="none"/>
        </w:rPr>
        <w:t>：</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4" w:firstLineChars="202"/>
        <w:rPr>
          <w:rFonts w:ascii="宋体" w:hAnsi="宋体" w:cs="宋体"/>
          <w:color w:val="auto"/>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 “实质性要求”是指采购需求中带“▲”的条款或者不能负偏离的条款或者已经指明不满足按响应文件按无效处理的条款。</w:t>
      </w:r>
    </w:p>
    <w:p>
      <w:pPr>
        <w:spacing w:line="360" w:lineRule="auto"/>
        <w:ind w:firstLine="424" w:firstLineChars="202"/>
        <w:jc w:val="left"/>
        <w:rPr>
          <w:rFonts w:ascii="宋体" w:hAnsi="宋体" w:cs="Arial"/>
          <w:bCs/>
          <w:color w:val="auto"/>
          <w:szCs w:val="21"/>
          <w:highlight w:val="none"/>
          <w:u w:val="single"/>
        </w:rPr>
      </w:pPr>
      <w:r>
        <w:rPr>
          <w:rFonts w:hint="eastAsia" w:ascii="宋体" w:hAnsi="宋体" w:cs="宋体"/>
          <w:color w:val="auto"/>
          <w:szCs w:val="21"/>
          <w:highlight w:val="none"/>
        </w:rPr>
        <w:t>3.</w:t>
      </w:r>
      <w:r>
        <w:rPr>
          <w:rFonts w:hint="eastAsia"/>
          <w:color w:val="auto"/>
          <w:highlight w:val="none"/>
        </w:rPr>
        <w:t>供应商必须自行为其竞标产品侵犯他人的知识产权或者专利成果的行为承担相应法律责任。</w:t>
      </w:r>
    </w:p>
    <w:p>
      <w:pPr>
        <w:spacing w:line="360" w:lineRule="auto"/>
        <w:ind w:firstLine="310" w:firstLineChars="147"/>
        <w:jc w:val="left"/>
        <w:rPr>
          <w:rFonts w:ascii="宋体" w:hAnsi="宋体" w:cs="Arial"/>
          <w:bCs/>
          <w:color w:val="auto"/>
          <w:szCs w:val="21"/>
          <w:highlight w:val="none"/>
          <w:u w:val="single"/>
        </w:rPr>
      </w:pPr>
      <w:r>
        <w:rPr>
          <w:rFonts w:hint="eastAsia" w:ascii="宋体" w:hAnsi="宋体"/>
          <w:b/>
          <w:color w:val="auto"/>
          <w:szCs w:val="21"/>
          <w:highlight w:val="none"/>
        </w:rPr>
        <w:t xml:space="preserve">  采购预算：</w:t>
      </w:r>
      <w:r>
        <w:rPr>
          <w:rFonts w:hint="eastAsia" w:ascii="宋体" w:hAnsi="宋体" w:cs="Arial"/>
          <w:bCs/>
          <w:color w:val="auto"/>
          <w:szCs w:val="21"/>
          <w:highlight w:val="none"/>
          <w:u w:val="single"/>
        </w:rPr>
        <w:t>1163839.72元</w:t>
      </w:r>
      <w:r>
        <w:rPr>
          <w:rFonts w:ascii="宋体" w:hAnsi="宋体" w:cs="Arial"/>
          <w:bCs/>
          <w:color w:val="auto"/>
          <w:szCs w:val="21"/>
          <w:highlight w:val="none"/>
          <w:u w:val="single"/>
        </w:rPr>
        <w:t>。</w:t>
      </w:r>
    </w:p>
    <w:p>
      <w:pPr>
        <w:spacing w:line="360" w:lineRule="auto"/>
        <w:ind w:firstLine="521" w:firstLineChars="247"/>
        <w:jc w:val="left"/>
        <w:rPr>
          <w:rFonts w:ascii="宋体" w:hAnsi="宋体" w:cs="Arial"/>
          <w:bCs/>
          <w:color w:val="auto"/>
          <w:szCs w:val="21"/>
          <w:highlight w:val="none"/>
          <w:u w:val="single"/>
        </w:rPr>
      </w:pPr>
      <w:r>
        <w:rPr>
          <w:rFonts w:hint="eastAsia" w:ascii="宋体" w:hAnsi="宋体" w:cs="Arial"/>
          <w:b/>
          <w:bCs/>
          <w:color w:val="auto"/>
          <w:szCs w:val="21"/>
          <w:highlight w:val="none"/>
          <w:u w:val="none"/>
        </w:rPr>
        <w:t>最高限价</w:t>
      </w:r>
      <w:r>
        <w:rPr>
          <w:rFonts w:hint="eastAsia" w:ascii="宋体" w:hAnsi="宋体" w:cs="Arial"/>
          <w:bCs/>
          <w:color w:val="auto"/>
          <w:szCs w:val="21"/>
          <w:highlight w:val="none"/>
          <w:u w:val="none"/>
        </w:rPr>
        <w:t>：</w:t>
      </w:r>
      <w:r>
        <w:rPr>
          <w:rFonts w:hint="eastAsia" w:ascii="宋体" w:hAnsi="宋体" w:cs="Arial"/>
          <w:bCs/>
          <w:color w:val="auto"/>
          <w:szCs w:val="21"/>
          <w:highlight w:val="none"/>
          <w:u w:val="single"/>
        </w:rPr>
        <w:t>1163839.72元。</w:t>
      </w:r>
    </w:p>
    <w:tbl>
      <w:tblPr>
        <w:tblStyle w:val="43"/>
        <w:tblW w:w="88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5"/>
        <w:gridCol w:w="1445"/>
        <w:gridCol w:w="283"/>
        <w:gridCol w:w="946"/>
        <w:gridCol w:w="755"/>
        <w:gridCol w:w="4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4" w:hRule="atLeast"/>
          <w:jc w:val="center"/>
        </w:trPr>
        <w:tc>
          <w:tcPr>
            <w:tcW w:w="6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8" w:type="dxa"/>
            <w:gridSpan w:val="2"/>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946"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7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4721"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85" w:hRule="atLeast"/>
          <w:jc w:val="center"/>
        </w:trPr>
        <w:tc>
          <w:tcPr>
            <w:tcW w:w="6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8" w:type="dxa"/>
            <w:gridSpan w:val="2"/>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深圳小镇（含东城景苑）路灯及线路系统检修更换维护项目</w:t>
            </w:r>
          </w:p>
        </w:tc>
        <w:tc>
          <w:tcPr>
            <w:tcW w:w="946"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755" w:type="dxa"/>
            <w:vAlign w:val="center"/>
          </w:tcPr>
          <w:p>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建筑业</w:t>
            </w:r>
          </w:p>
        </w:tc>
        <w:tc>
          <w:tcPr>
            <w:tcW w:w="4721" w:type="dxa"/>
            <w:vAlign w:val="center"/>
          </w:tcPr>
          <w:p>
            <w:pPr>
              <w:numPr>
                <w:ilvl w:val="0"/>
                <w:numId w:val="2"/>
              </w:numPr>
              <w:spacing w:line="440" w:lineRule="exact"/>
              <w:rPr>
                <w:rFonts w:ascii="宋体" w:hAnsi="宋体" w:cs="宋体"/>
                <w:b/>
                <w:color w:val="auto"/>
                <w:szCs w:val="21"/>
                <w:highlight w:val="none"/>
              </w:rPr>
            </w:pPr>
            <w:r>
              <w:rPr>
                <w:rFonts w:hint="eastAsia" w:ascii="宋体" w:hAnsi="宋体" w:cs="宋体"/>
                <w:b/>
                <w:color w:val="auto"/>
                <w:szCs w:val="21"/>
                <w:highlight w:val="none"/>
              </w:rPr>
              <w:t>项目概况</w:t>
            </w:r>
          </w:p>
          <w:p>
            <w:pPr>
              <w:pStyle w:val="18"/>
              <w:spacing w:after="0" w:line="440" w:lineRule="exact"/>
              <w:ind w:firstLine="211" w:firstLineChars="1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建设单位：</w:t>
            </w:r>
            <w:r>
              <w:rPr>
                <w:rFonts w:hint="eastAsia" w:ascii="宋体" w:hAnsi="宋体"/>
                <w:color w:val="auto"/>
                <w:highlight w:val="none"/>
                <w:lang w:eastAsia="zh-CN"/>
              </w:rPr>
              <w:t>百色市右江区四塘镇人民政府</w:t>
            </w:r>
          </w:p>
          <w:p>
            <w:pPr>
              <w:pStyle w:val="18"/>
              <w:spacing w:after="0"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维修内容：</w:t>
            </w:r>
            <w:r>
              <w:rPr>
                <w:rFonts w:hint="eastAsia" w:ascii="宋体" w:hAnsi="宋体" w:eastAsia="宋体" w:cs="Times New Roman"/>
                <w:color w:val="auto"/>
                <w:szCs w:val="21"/>
                <w:highlight w:val="none"/>
              </w:rPr>
              <w:t>对深圳小镇(含东城景苑)共2、3、5，8地块及东城景苑等5个住宅生活区及社区学校所在地检修约870盏路灯控制开关、线路、灯具、灯杆等设施系统故障问题进行全面检修、更换和维护和迁移</w:t>
            </w:r>
            <w:r>
              <w:rPr>
                <w:rFonts w:hint="eastAsia" w:ascii="宋体" w:hAnsi="宋体" w:eastAsia="宋体" w:cs="Times New Roman"/>
                <w:color w:val="auto"/>
                <w:szCs w:val="21"/>
                <w:highlight w:val="none"/>
                <w:lang w:eastAsia="zh-CN"/>
              </w:rPr>
              <w:t>。</w:t>
            </w:r>
          </w:p>
          <w:p>
            <w:pPr>
              <w:pStyle w:val="18"/>
              <w:spacing w:after="0" w:line="440" w:lineRule="exact"/>
              <w:ind w:firstLine="211" w:firstLineChars="100"/>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建设地点：</w:t>
            </w:r>
            <w:r>
              <w:rPr>
                <w:rFonts w:hint="eastAsia" w:ascii="宋体" w:hAnsi="宋体" w:cs="宋体"/>
                <w:color w:val="auto"/>
                <w:szCs w:val="21"/>
                <w:highlight w:val="none"/>
              </w:rPr>
              <w:t>广西</w:t>
            </w:r>
            <w:r>
              <w:rPr>
                <w:rFonts w:hint="eastAsia" w:ascii="宋体" w:hAnsi="宋体" w:cs="宋体"/>
                <w:color w:val="auto"/>
                <w:szCs w:val="21"/>
                <w:highlight w:val="none"/>
                <w:lang w:val="en-US" w:eastAsia="zh-CN"/>
              </w:rPr>
              <w:t>百色市右江区</w:t>
            </w:r>
          </w:p>
          <w:p>
            <w:pPr>
              <w:pStyle w:val="18"/>
              <w:spacing w:after="0" w:line="44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t>合同履行期限</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施工工期60日历天</w:t>
            </w:r>
            <w:r>
              <w:rPr>
                <w:rFonts w:hint="eastAsia" w:ascii="宋体" w:hAnsi="宋体" w:cs="宋体"/>
                <w:b w:val="0"/>
                <w:bCs/>
                <w:color w:val="auto"/>
                <w:szCs w:val="21"/>
                <w:highlight w:val="none"/>
              </w:rPr>
              <w:t>。</w:t>
            </w:r>
          </w:p>
          <w:p>
            <w:pPr>
              <w:pStyle w:val="18"/>
              <w:spacing w:after="0" w:line="44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t>报价形式：</w:t>
            </w:r>
            <w:r>
              <w:rPr>
                <w:rFonts w:hint="eastAsia" w:ascii="宋体" w:hAnsi="宋体" w:cs="宋体"/>
                <w:b w:val="0"/>
                <w:bCs/>
                <w:color w:val="auto"/>
                <w:szCs w:val="21"/>
                <w:highlight w:val="none"/>
                <w:lang w:val="en-US" w:eastAsia="zh-CN"/>
              </w:rPr>
              <w:t>工程量清单报价</w:t>
            </w:r>
            <w:r>
              <w:rPr>
                <w:rFonts w:hint="eastAsia" w:ascii="宋体" w:hAnsi="宋体" w:cs="宋体"/>
                <w:b w:val="0"/>
                <w:bCs/>
                <w:color w:val="auto"/>
                <w:szCs w:val="21"/>
                <w:highlight w:val="none"/>
              </w:rPr>
              <w:t>。</w:t>
            </w:r>
          </w:p>
          <w:p>
            <w:pPr>
              <w:pStyle w:val="18"/>
              <w:spacing w:after="0" w:line="44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t xml:space="preserve">质量要求: </w:t>
            </w:r>
            <w:r>
              <w:rPr>
                <w:rFonts w:hint="eastAsia" w:ascii="宋体" w:hAnsi="宋体" w:cs="宋体"/>
                <w:color w:val="auto"/>
                <w:szCs w:val="21"/>
                <w:highlight w:val="none"/>
              </w:rPr>
              <w:t>合格。</w:t>
            </w:r>
          </w:p>
          <w:p>
            <w:pPr>
              <w:numPr>
                <w:ilvl w:val="0"/>
                <w:numId w:val="2"/>
              </w:numPr>
              <w:spacing w:line="440" w:lineRule="exact"/>
              <w:rPr>
                <w:rFonts w:ascii="宋体" w:hAnsi="宋体" w:cs="宋体"/>
                <w:b/>
                <w:color w:val="auto"/>
                <w:szCs w:val="21"/>
                <w:highlight w:val="none"/>
              </w:rPr>
            </w:pPr>
            <w:r>
              <w:rPr>
                <w:rFonts w:hint="eastAsia" w:ascii="宋体" w:hAnsi="宋体" w:cs="宋体"/>
                <w:b/>
                <w:color w:val="auto"/>
                <w:szCs w:val="21"/>
                <w:highlight w:val="none"/>
              </w:rPr>
              <w:t>拟投入人员配备</w:t>
            </w:r>
            <w:r>
              <w:rPr>
                <w:rFonts w:ascii="宋体" w:hAnsi="宋体" w:cs="宋体"/>
                <w:b/>
                <w:color w:val="auto"/>
                <w:szCs w:val="21"/>
                <w:highlight w:val="none"/>
              </w:rPr>
              <w:t>最低</w:t>
            </w:r>
            <w:r>
              <w:rPr>
                <w:rFonts w:hint="eastAsia" w:ascii="宋体" w:hAnsi="宋体" w:cs="宋体"/>
                <w:b/>
                <w:color w:val="auto"/>
                <w:szCs w:val="21"/>
                <w:highlight w:val="none"/>
              </w:rPr>
              <w:t>要求</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项目经理、施工员、质检员、安全员、材料员、预算员各1名，须在竞标文件中提供拟投入项目负责人资格证书、安全考核合格证复印件及管理人员（安全员、施工员、质量员、材料员）相应岗位资格证书复印件、预算员具备造价相关工作经验，熟悉相关政策，熟练使用各类造价软件。</w:t>
            </w:r>
          </w:p>
          <w:p>
            <w:pPr>
              <w:numPr>
                <w:ilvl w:val="0"/>
                <w:numId w:val="2"/>
              </w:numPr>
              <w:spacing w:line="440" w:lineRule="exact"/>
              <w:rPr>
                <w:rFonts w:ascii="宋体" w:hAnsi="宋体" w:cs="宋体"/>
                <w:b/>
                <w:color w:val="auto"/>
                <w:szCs w:val="21"/>
                <w:highlight w:val="none"/>
              </w:rPr>
            </w:pPr>
            <w:r>
              <w:rPr>
                <w:rFonts w:hint="eastAsia" w:ascii="宋体" w:hAnsi="宋体" w:cs="宋体"/>
                <w:b/>
                <w:color w:val="auto"/>
                <w:szCs w:val="21"/>
                <w:highlight w:val="none"/>
              </w:rPr>
              <w:t>质量保证、安全及其他要求</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（1）竞标供应商的施工质量须符合国家有关规范及政策规定的强制性要求。</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（2）竞标供应商须如实报出2023年1月1日以来企业发生过质量安全事故情况。</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（3）竞标供应商应提供针对本项目的质量、安全施工保证措施。</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（4）竞标供应商在履行施工合同前，应配备满足施工要求的管理人员、施工机械，保证工程进度、质量，并按国家有关规定进行施工。</w:t>
            </w:r>
          </w:p>
          <w:p>
            <w:pPr>
              <w:pStyle w:val="16"/>
              <w:spacing w:line="360" w:lineRule="auto"/>
              <w:rPr>
                <w:rFonts w:ascii="宋体" w:hAnsi="宋体" w:cs="宋体"/>
                <w:color w:val="auto"/>
                <w:szCs w:val="21"/>
                <w:highlight w:val="none"/>
              </w:rPr>
            </w:pPr>
            <w:r>
              <w:rPr>
                <w:rFonts w:hint="eastAsia" w:ascii="宋体" w:hAnsi="宋体" w:cs="宋体"/>
                <w:color w:val="auto"/>
                <w:szCs w:val="21"/>
                <w:highlight w:val="none"/>
              </w:rPr>
              <w:t>（5）竞标供应商不得将工程项目（整体项目或将整体项目肢解）向他人（个人或者企业）进行分包或转包。</w:t>
            </w:r>
          </w:p>
          <w:p>
            <w:pPr>
              <w:pStyle w:val="16"/>
              <w:spacing w:line="360" w:lineRule="auto"/>
              <w:rPr>
                <w:color w:val="auto"/>
                <w:highlight w:val="none"/>
              </w:rPr>
            </w:pPr>
            <w:r>
              <w:rPr>
                <w:rFonts w:hint="eastAsia" w:ascii="宋体" w:hAnsi="宋体" w:cs="宋体"/>
                <w:color w:val="auto"/>
                <w:szCs w:val="21"/>
                <w:highlight w:val="none"/>
              </w:rPr>
              <w:t>（6）施工单位签订施工合同时需提供拟投入项目负责人及管理人员名单（附上人员相关资格证书）。如施工拟投入人员与竞标时候提供的不一致，暂停施工单位承接项目业务，整改并经采购人检查合格后才可继续承接项目（如本协议有效期内施工单位需要更换项目负责人及管理人员，需要征得采购单位同意后方可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rPr>
              <w:t>合同履行期限：</w:t>
            </w:r>
          </w:p>
        </w:tc>
        <w:tc>
          <w:tcPr>
            <w:tcW w:w="670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s="宋体"/>
                <w:color w:val="auto"/>
                <w:szCs w:val="21"/>
                <w:highlight w:val="none"/>
                <w:lang w:eastAsia="zh-CN"/>
              </w:rPr>
              <w:t>施工工期60日历天</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建设地点</w:t>
            </w:r>
          </w:p>
        </w:tc>
        <w:tc>
          <w:tcPr>
            <w:tcW w:w="670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广西百色市右江区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highlight w:val="none"/>
              </w:rPr>
            </w:pPr>
            <w:r>
              <w:rPr>
                <w:rFonts w:hint="eastAsia" w:ascii="宋体" w:hAnsi="宋体"/>
                <w:color w:val="auto"/>
                <w:szCs w:val="21"/>
                <w:highlight w:val="none"/>
              </w:rPr>
              <w:t>合同签订时间</w:t>
            </w:r>
          </w:p>
        </w:tc>
        <w:tc>
          <w:tcPr>
            <w:tcW w:w="670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highlight w:val="none"/>
              </w:rPr>
            </w:pPr>
            <w:r>
              <w:rPr>
                <w:rFonts w:hint="eastAsia" w:ascii="宋体" w:hAnsi="宋体"/>
                <w:color w:val="auto"/>
                <w:szCs w:val="21"/>
                <w:highlight w:val="none"/>
              </w:rPr>
              <w:t xml:space="preserve">自成交通知书发出之日起 </w:t>
            </w:r>
            <w:r>
              <w:rPr>
                <w:rFonts w:ascii="宋体" w:hAnsi="宋体"/>
                <w:color w:val="auto"/>
                <w:szCs w:val="21"/>
                <w:highlight w:val="none"/>
                <w:u w:val="single"/>
              </w:rPr>
              <w:t>25</w:t>
            </w:r>
            <w:r>
              <w:rPr>
                <w:rFonts w:hint="eastAsia" w:ascii="宋体" w:hAnsi="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Cs w:val="21"/>
                <w:highlight w:val="none"/>
              </w:rPr>
            </w:pPr>
            <w:r>
              <w:rPr>
                <w:rFonts w:hint="eastAsia" w:ascii="宋体" w:hAnsi="宋体"/>
                <w:color w:val="auto"/>
                <w:szCs w:val="21"/>
                <w:highlight w:val="none"/>
              </w:rPr>
              <w:t>付款条件（进度和方式）</w:t>
            </w:r>
          </w:p>
        </w:tc>
        <w:tc>
          <w:tcPr>
            <w:tcW w:w="6705"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olor w:val="auto"/>
                <w:szCs w:val="21"/>
                <w:highlight w:val="none"/>
              </w:rPr>
            </w:pPr>
            <w:r>
              <w:rPr>
                <w:rFonts w:hint="eastAsia" w:ascii="宋体" w:hAnsi="宋体" w:cs="宋体"/>
                <w:color w:val="auto"/>
                <w:szCs w:val="21"/>
                <w:highlight w:val="none"/>
              </w:rPr>
              <w:t>施工合同签订经见证后，工程款原则上按进度支付，具体以施工合同为准。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竞标报价</w:t>
            </w:r>
          </w:p>
        </w:tc>
        <w:tc>
          <w:tcPr>
            <w:tcW w:w="6705"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宋体" w:hAnsi="宋体" w:cs="宋体"/>
                <w:color w:val="auto"/>
                <w:szCs w:val="21"/>
                <w:highlight w:val="none"/>
              </w:rPr>
            </w:pPr>
            <w:r>
              <w:rPr>
                <w:rFonts w:hint="eastAsia" w:ascii="宋体" w:hAnsi="宋体"/>
                <w:color w:val="auto"/>
                <w:szCs w:val="21"/>
                <w:highlight w:val="none"/>
              </w:rPr>
              <w:t>竞标报价是履行合同的最终价格，包括了</w:t>
            </w:r>
            <w:r>
              <w:rPr>
                <w:rFonts w:hint="eastAsia" w:ascii="宋体" w:hAnsi="宋体" w:cs="宋体"/>
                <w:color w:val="auto"/>
                <w:szCs w:val="21"/>
                <w:highlight w:val="none"/>
              </w:rPr>
              <w:t>为实施和完成合同工程所需的劳务、材料、机械、质检（自检）、安装、缺陷修复、管理、保险、税费、利润等费用，以及合同明示或暗示的所有责任、义务和一般风险。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color w:val="auto"/>
                <w:highlight w:val="none"/>
              </w:rPr>
            </w:pPr>
            <w:r>
              <w:rPr>
                <w:rFonts w:hint="eastAsia" w:ascii="宋体" w:hAnsi="宋体"/>
                <w:b/>
                <w:color w:val="auto"/>
                <w:szCs w:val="21"/>
                <w:highlight w:val="none"/>
              </w:rPr>
              <w:t>验收管理：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r>
              <w:rPr>
                <w:rFonts w:hint="eastAsia" w:ascii="宋体" w:hAnsi="宋体"/>
                <w:color w:val="auto"/>
                <w:szCs w:val="21"/>
                <w:highlight w:val="none"/>
              </w:rPr>
              <w:t>（1）合同签订、备案后，施工企业按合同要求完成工程建设后，由采购单位应组织相关人员进行验收，验收时应当按照采购合同的约定对每一项技术、服务、安全标准的履约情况进行确认。验收结束后，应当出具验收书，列明各项标准的验收情况及项目总体评价，由验收双方共同签署。验收结果应当与采购合同约定的资金支付及履约保证金返还条件挂钩。履约验收的各项资料应当存档备查。</w:t>
            </w:r>
          </w:p>
          <w:p>
            <w:pPr>
              <w:spacing w:line="360" w:lineRule="auto"/>
              <w:rPr>
                <w:rFonts w:ascii="宋体" w:hAnsi="宋体"/>
                <w:color w:val="auto"/>
                <w:szCs w:val="21"/>
                <w:highlight w:val="none"/>
              </w:rPr>
            </w:pPr>
            <w:r>
              <w:rPr>
                <w:rFonts w:hint="eastAsia" w:ascii="宋体" w:hAnsi="宋体"/>
                <w:color w:val="auto"/>
                <w:szCs w:val="21"/>
                <w:highlight w:val="none"/>
              </w:rPr>
              <w:t>（2）加强对施工企业的监督管理。对协议期内的工程建设施工企业出现违规情况及时进行处理，出现重大违规的报相关行政监督管理部依法处理，终止采购协议。</w:t>
            </w:r>
          </w:p>
          <w:p>
            <w:pPr>
              <w:spacing w:line="360" w:lineRule="auto"/>
              <w:rPr>
                <w:color w:val="auto"/>
                <w:highlight w:val="none"/>
              </w:rPr>
            </w:pPr>
            <w:r>
              <w:rPr>
                <w:rFonts w:hint="eastAsia" w:ascii="宋体" w:hAnsi="宋体"/>
                <w:color w:val="auto"/>
                <w:szCs w:val="21"/>
                <w:highlight w:val="none"/>
              </w:rPr>
              <w:t>（3）验收标准：符合现行国家</w:t>
            </w:r>
            <w:r>
              <w:rPr>
                <w:rFonts w:hint="eastAsia" w:ascii="宋体" w:hAnsi="宋体"/>
                <w:color w:val="auto"/>
                <w:szCs w:val="21"/>
                <w:highlight w:val="none"/>
                <w:lang w:val="en-US" w:eastAsia="zh-CN"/>
              </w:rPr>
              <w:t>验收</w:t>
            </w:r>
            <w:r>
              <w:rPr>
                <w:rFonts w:hint="eastAsia" w:ascii="宋体" w:hAnsi="宋体"/>
                <w:color w:val="auto"/>
                <w:szCs w:val="21"/>
                <w:highlight w:val="none"/>
              </w:rPr>
              <w:t>规范合格标准。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cs="宋体"/>
                <w:color w:val="auto"/>
                <w:szCs w:val="22"/>
                <w:highlight w:val="none"/>
              </w:rPr>
            </w:pPr>
            <w:r>
              <w:rPr>
                <w:rFonts w:hint="eastAsia" w:ascii="宋体" w:hAnsi="宋体"/>
                <w:b/>
                <w:color w:val="auto"/>
                <w:szCs w:val="21"/>
                <w:highlight w:val="none"/>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80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color w:val="auto"/>
                <w:szCs w:val="21"/>
                <w:highlight w:val="none"/>
              </w:rPr>
            </w:pPr>
            <w:r>
              <w:rPr>
                <w:rFonts w:hint="eastAsia" w:ascii="宋体" w:hAnsi="宋体"/>
                <w:color w:val="auto"/>
                <w:szCs w:val="21"/>
                <w:highlight w:val="none"/>
              </w:rPr>
              <w:t>供应商可以根据实际情况在响应文件中提供</w:t>
            </w:r>
            <w:r>
              <w:rPr>
                <w:rFonts w:hint="eastAsia" w:ascii="宋体" w:hAnsi="宋体" w:cs="宋体"/>
                <w:color w:val="auto"/>
                <w:highlight w:val="none"/>
              </w:rPr>
              <w:t>质量、安全文明施工保证措施方案</w:t>
            </w:r>
            <w:r>
              <w:rPr>
                <w:rFonts w:hint="eastAsia" w:ascii="宋体" w:hAnsi="宋体"/>
                <w:color w:val="auto"/>
                <w:szCs w:val="21"/>
                <w:highlight w:val="none"/>
              </w:rPr>
              <w:t>、</w:t>
            </w:r>
            <w:r>
              <w:rPr>
                <w:rFonts w:hint="eastAsia" w:ascii="宋体" w:hAnsi="宋体" w:cs="宋体"/>
                <w:color w:val="auto"/>
                <w:highlight w:val="none"/>
              </w:rPr>
              <w:t>内部管理制度与人员配置</w:t>
            </w:r>
            <w:r>
              <w:rPr>
                <w:rFonts w:hint="eastAsia" w:ascii="宋体" w:hAnsi="宋体"/>
                <w:color w:val="auto"/>
                <w:szCs w:val="21"/>
                <w:highlight w:val="none"/>
              </w:rPr>
              <w:t>、</w:t>
            </w:r>
            <w:r>
              <w:rPr>
                <w:rFonts w:hint="eastAsia" w:ascii="宋体" w:hAnsi="宋体" w:cs="宋体"/>
                <w:color w:val="auto"/>
                <w:szCs w:val="21"/>
                <w:highlight w:val="none"/>
              </w:rPr>
              <w:t>服务方案、</w:t>
            </w:r>
            <w:r>
              <w:rPr>
                <w:rFonts w:hint="eastAsia" w:ascii="宋体" w:hAnsi="宋体"/>
                <w:color w:val="auto"/>
                <w:szCs w:val="21"/>
                <w:highlight w:val="none"/>
              </w:rPr>
              <w:t>业绩等内容。</w:t>
            </w:r>
          </w:p>
        </w:tc>
      </w:tr>
    </w:tbl>
    <w:p>
      <w:pPr>
        <w:tabs>
          <w:tab w:val="left" w:pos="180"/>
          <w:tab w:val="left" w:pos="1620"/>
        </w:tabs>
        <w:spacing w:line="360" w:lineRule="auto"/>
        <w:ind w:firstLine="422" w:firstLineChars="200"/>
        <w:rPr>
          <w:rFonts w:ascii="宋体" w:hAnsi="宋体" w:cs="宋体"/>
          <w:b/>
          <w:bCs/>
          <w:color w:val="auto"/>
          <w:szCs w:val="21"/>
          <w:highlight w:val="none"/>
        </w:rPr>
      </w:pPr>
    </w:p>
    <w:p>
      <w:pPr>
        <w:tabs>
          <w:tab w:val="left" w:pos="180"/>
          <w:tab w:val="left" w:pos="1620"/>
        </w:tabs>
        <w:spacing w:line="360" w:lineRule="auto"/>
        <w:ind w:firstLine="422" w:firstLineChars="200"/>
        <w:rPr>
          <w:rFonts w:ascii="宋体" w:hAnsi="宋体" w:cs="宋体"/>
          <w:b/>
          <w:bCs/>
          <w:color w:val="auto"/>
          <w:szCs w:val="21"/>
          <w:highlight w:val="none"/>
        </w:rPr>
      </w:pPr>
    </w:p>
    <w:p>
      <w:pPr>
        <w:tabs>
          <w:tab w:val="left" w:pos="180"/>
          <w:tab w:val="left" w:pos="1620"/>
        </w:tabs>
        <w:spacing w:line="360" w:lineRule="auto"/>
        <w:ind w:firstLine="422" w:firstLineChars="200"/>
        <w:rPr>
          <w:rFonts w:ascii="宋体" w:hAnsi="宋体" w:cs="宋体"/>
          <w:b/>
          <w:bCs/>
          <w:color w:val="auto"/>
          <w:szCs w:val="21"/>
          <w:highlight w:val="none"/>
        </w:rPr>
      </w:pPr>
    </w:p>
    <w:p>
      <w:pPr>
        <w:pStyle w:val="24"/>
        <w:spacing w:before="340" w:after="340" w:line="360" w:lineRule="auto"/>
        <w:ind w:firstLine="402" w:firstLineChars="200"/>
        <w:jc w:val="center"/>
        <w:textAlignment w:val="center"/>
        <w:rPr>
          <w:color w:val="auto"/>
          <w:highlight w:val="none"/>
        </w:rPr>
      </w:pPr>
      <w:r>
        <w:rPr>
          <w:rFonts w:hAnsi="宋体" w:cs="宋体"/>
          <w:b/>
          <w:bCs/>
          <w:color w:val="auto"/>
          <w:highlight w:val="none"/>
        </w:rPr>
        <w:br w:type="page"/>
      </w:r>
      <w:bookmarkStart w:id="86" w:name="_Toc74323459"/>
      <w:r>
        <w:rPr>
          <w:rFonts w:hint="eastAsia"/>
          <w:b/>
          <w:color w:val="auto"/>
          <w:sz w:val="44"/>
          <w:szCs w:val="44"/>
          <w:highlight w:val="none"/>
        </w:rPr>
        <w:t>第四章  评审程序、评审方法和评审标准</w:t>
      </w:r>
      <w:bookmarkEnd w:id="86"/>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354" w:firstLineChars="147"/>
        <w:jc w:val="left"/>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.资格审查</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color w:val="auto"/>
          <w:highlight w:val="none"/>
        </w:rPr>
        <w:t>磋商小组</w:t>
      </w:r>
      <w:r>
        <w:rPr>
          <w:rFonts w:hint="eastAsia" w:ascii="宋体" w:hAnsi="宋体" w:cs="宋体"/>
          <w:color w:val="auto"/>
          <w:szCs w:val="21"/>
          <w:highlight w:val="none"/>
        </w:rPr>
        <w:t>在资格审查结束前，对供应商进行信用查询。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.3供应商有下列情形之一的，资格审查不通过，其响应文件按无效处理：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）响应文件的资格证明文件缺少任一项“供应商须知前附表”资格证明文件规定的“必须提供”的文件资料的；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）响应文件中的资格证明文件出现任一项不符合“供应商须知前附表”资格证明文件规定的“必须提供”的文件资料要求或者无效的；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）同一合同项下的不同供应商，单位负责人为同一人或者存在直接控股、管理关系的；为本项目提供过整体设计、规范编制或者项目管理、监理、检测等服务的供应商，再参加该采购项目的其他采购活动的。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.4通过资格审查的合格供应商不足3家的，不得进入符合性审查环节，</w:t>
      </w:r>
      <w:r>
        <w:rPr>
          <w:rFonts w:hint="eastAsia" w:ascii="宋体" w:hAnsi="宋体"/>
          <w:color w:val="auto"/>
          <w:szCs w:val="21"/>
          <w:highlight w:val="none"/>
        </w:rPr>
        <w:t>应当重新开展采购活动。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w:t>
      </w:r>
      <w:r>
        <w:rPr>
          <w:rFonts w:hint="eastAsia" w:ascii="黑体" w:hAnsi="黑体" w:eastAsia="黑体" w:cs="宋体"/>
          <w:b/>
          <w:bCs/>
          <w:color w:val="auto"/>
          <w:sz w:val="24"/>
          <w:highlight w:val="none"/>
        </w:rPr>
        <w:t>.符合性审查</w:t>
      </w:r>
    </w:p>
    <w:p>
      <w:pPr>
        <w:spacing w:line="360" w:lineRule="auto"/>
        <w:ind w:firstLine="420" w:firstLineChars="200"/>
        <w:rPr>
          <w:rFonts w:ascii="宋体" w:hAnsi="宋体" w:cs="宋体"/>
          <w:color w:val="auto"/>
          <w:szCs w:val="21"/>
          <w:highlight w:val="none"/>
        </w:rPr>
      </w:pPr>
      <w:bookmarkStart w:id="87" w:name="_Hlk42528882"/>
      <w:r>
        <w:rPr>
          <w:rFonts w:ascii="宋体" w:hAnsi="宋体" w:cs="宋体"/>
          <w:color w:val="auto"/>
          <w:szCs w:val="21"/>
          <w:highlight w:val="none"/>
        </w:rPr>
        <w:t>2.1</w:t>
      </w:r>
      <w:r>
        <w:rPr>
          <w:rFonts w:hint="eastAsia" w:ascii="宋体" w:hAnsi="宋体" w:cs="宋体"/>
          <w:color w:val="auto"/>
          <w:szCs w:val="21"/>
          <w:highlight w:val="none"/>
        </w:rPr>
        <w:t>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87"/>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hAnsi="宋体"/>
          <w:color w:val="auto"/>
          <w:highlight w:val="none"/>
        </w:rPr>
        <w:t>签章</w:t>
      </w:r>
      <w:r>
        <w:rPr>
          <w:rFonts w:hint="eastAsia" w:ascii="宋体" w:hAnsi="宋体" w:cs="宋体"/>
          <w:color w:val="auto"/>
          <w:spacing w:val="-6"/>
          <w:szCs w:val="21"/>
          <w:highlight w:val="none"/>
        </w:rPr>
        <w:t>。</w:t>
      </w:r>
    </w:p>
    <w:p>
      <w:pPr>
        <w:spacing w:line="360" w:lineRule="auto"/>
        <w:ind w:firstLine="420" w:firstLineChars="200"/>
        <w:rPr>
          <w:rFonts w:ascii="宋体" w:hAnsi="宋体" w:cs="宋体"/>
          <w:color w:val="auto"/>
          <w:spacing w:val="-6"/>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spacing w:line="360" w:lineRule="auto"/>
        <w:ind w:firstLine="396" w:firstLineChars="200"/>
        <w:rPr>
          <w:rFonts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在评审时，如发现下列情形之一的，将被视为响应文件无效处理：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（1）商务技术评审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1）响应文件未按磋商文件要求签署、盖章的；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2）委托代理人未能出具有效身份证或者出具的身份证与授权委托书中的信息不符的；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3）提交的磋商保证金无效的或者未按照磋商文件的规定提交磋商保证金的；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5）商务要求允许负偏离的条款数超过“供应商须知前附表”规定项数的；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6）未对竞标有效期作出响应或者响应文件承诺的竞标有效期不满足磋商文件要求的；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7）响应文件的实质性内容未使用中文表述、使用计量单位不符合磋商文件要求的；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8）响应文件中的文件资料因填写不齐全或者内容虚假或者出现其他情形而导致被磋商小组认定无效的；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9）响应文件含有采购人不能接受的附加条件的；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10）属于“供应商须知正文”第7.</w:t>
      </w:r>
      <w:r>
        <w:rPr>
          <w:rFonts w:ascii="宋体" w:hAnsi="宋体" w:cs="宋体"/>
          <w:b/>
          <w:color w:val="auto"/>
          <w:szCs w:val="21"/>
          <w:highlight w:val="none"/>
        </w:rPr>
        <w:t>5</w:t>
      </w:r>
      <w:r>
        <w:rPr>
          <w:rFonts w:hint="eastAsia" w:ascii="宋体" w:hAnsi="宋体" w:cs="宋体"/>
          <w:b/>
          <w:color w:val="auto"/>
          <w:szCs w:val="21"/>
          <w:highlight w:val="none"/>
        </w:rPr>
        <w:t>条供应商相互串通竞标情形的；</w:t>
      </w:r>
    </w:p>
    <w:p>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1）技术要求允许负偏离的条款数超过“供应商须知前附表”规定项数的；</w:t>
      </w:r>
    </w:p>
    <w:p>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2）虚假竞标，或者出现其他情形而导致被磋商小组认定无效的；</w:t>
      </w:r>
    </w:p>
    <w:p>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3）</w:t>
      </w:r>
      <w:bookmarkStart w:id="88" w:name="_Hlk71704147"/>
      <w:r>
        <w:rPr>
          <w:rFonts w:hint="eastAsia" w:ascii="宋体" w:hAnsi="宋体" w:cs="宋体"/>
          <w:b/>
          <w:color w:val="auto"/>
          <w:szCs w:val="21"/>
          <w:highlight w:val="none"/>
        </w:rPr>
        <w:t>磋商文件未载明允许提供备选（替代）竞标方案或明确不允许提供备选（替代）竞标方案时，供应商提供了备选（替代）竞标方案的；</w:t>
      </w:r>
      <w:bookmarkEnd w:id="88"/>
    </w:p>
    <w:p>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4）响应文件标注的项目名称或者项目编号与磋商文件标注的项目名称或者项目编号不一致的；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w:t>
      </w:r>
      <w:r>
        <w:rPr>
          <w:rFonts w:hint="eastAsia" w:ascii="宋体" w:hAnsi="宋体"/>
          <w:b/>
          <w:color w:val="auto"/>
          <w:szCs w:val="21"/>
          <w:highlight w:val="none"/>
        </w:rPr>
        <w:t>竞争性磋商文件明确不允许分包，响应文件拟分包的；</w:t>
      </w:r>
    </w:p>
    <w:p>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6）未响应磋商文件实质性要求的；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17）法律、法规和磋商文件规定的其他无效情形。</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2</w:t>
      </w:r>
      <w:r>
        <w:rPr>
          <w:rFonts w:hint="eastAsia" w:ascii="宋体" w:hAnsi="宋体" w:cs="宋体"/>
          <w:b/>
          <w:color w:val="auto"/>
          <w:szCs w:val="21"/>
          <w:highlight w:val="none"/>
        </w:rPr>
        <w:t>）报价评审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1）响应文件未提供“供应商须知前附表” 报价文件中规定的“竞标报价表”的；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2）未采用人民币报价或者未按照磋商文件标明的币种报价的；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4）竞标报价（包含首次报价、最后报价）超过所竞标分标规定的采购预算金额或者最高限价的（如本项目公布了最高限价）；</w:t>
      </w:r>
      <w:bookmarkStart w:id="89" w:name="_Hlk42596405"/>
      <w:r>
        <w:rPr>
          <w:rFonts w:hint="eastAsia" w:ascii="宋体" w:hAnsi="宋体" w:cs="宋体"/>
          <w:b/>
          <w:color w:val="auto"/>
          <w:szCs w:val="21"/>
          <w:highlight w:val="none"/>
        </w:rPr>
        <w:t>竞标报价（包含首次报价、最后报价）</w:t>
      </w:r>
      <w:bookmarkEnd w:id="89"/>
      <w:bookmarkStart w:id="90" w:name="_Hlk42596276"/>
      <w:r>
        <w:rPr>
          <w:rFonts w:hint="eastAsia" w:ascii="宋体" w:hAnsi="宋体" w:cs="宋体"/>
          <w:b/>
          <w:color w:val="auto"/>
          <w:szCs w:val="21"/>
          <w:highlight w:val="none"/>
        </w:rPr>
        <w:t>超过磋商文件分项采购预算金额或者最高限价的</w:t>
      </w:r>
      <w:bookmarkEnd w:id="90"/>
      <w:r>
        <w:rPr>
          <w:rFonts w:hint="eastAsia" w:ascii="宋体" w:hAnsi="宋体" w:cs="宋体"/>
          <w:b/>
          <w:color w:val="auto"/>
          <w:szCs w:val="21"/>
          <w:highlight w:val="none"/>
        </w:rPr>
        <w:t>（如本项目有要求并公布了分项采购预算金额或者最高限价）；</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6）在单价合同工程中供应商采用总价优惠或以总价百分比优惠的方式进行竞标报价的；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7）竞标总报价与已标价工程量清单汇总表不一致的；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8）安全文明施工费和规费、增值税不按广西区费用定额及造价管理相关文件规定报价的（园林绿化及仿古建筑工程除外）；（适用于房屋建筑和市政工程项目）</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9）供应商已标价工程量清单的项目编码（12位）、计量单位、工程量任何一处与工程量清单不一致的； </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10）供应商已标价工程量清单的项目名称或项目特征与工程量清单不一致，评标委员会要求澄清、说明或补正，但供应商拒绝澄清、说明或补正的；（适用于房屋建筑和市政工程项目）</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11）设有暂估价、暂列金额的，竞标时未按工程量清单给出的暂估价总价、暂列金额总价计入竞标总报价中的；</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12）供应商对工程量清单内容进行增减或对竞标范围进行调整的；</w:t>
      </w:r>
    </w:p>
    <w:p>
      <w:pPr>
        <w:spacing w:line="360" w:lineRule="auto"/>
        <w:ind w:firstLine="422" w:firstLineChars="200"/>
        <w:rPr>
          <w:rFonts w:ascii="宋体" w:hAnsi="宋体"/>
          <w:b/>
          <w:color w:val="auto"/>
          <w:szCs w:val="21"/>
          <w:highlight w:val="none"/>
        </w:rPr>
      </w:pPr>
      <w:r>
        <w:rPr>
          <w:rFonts w:hint="eastAsia" w:ascii="宋体" w:hAnsi="宋体" w:cs="宋体"/>
          <w:b/>
          <w:color w:val="auto"/>
          <w:szCs w:val="21"/>
          <w:highlight w:val="none"/>
        </w:rPr>
        <w:t>13）</w:t>
      </w:r>
      <w:r>
        <w:rPr>
          <w:rFonts w:hint="eastAsia" w:ascii="宋体" w:hAnsi="宋体"/>
          <w:b/>
          <w:color w:val="auto"/>
          <w:szCs w:val="21"/>
          <w:highlight w:val="none"/>
        </w:rPr>
        <w:t>响应文件响应的标的数量及单位与竞争性磋商采购文件要求实质性不一致的；</w:t>
      </w:r>
    </w:p>
    <w:p>
      <w:pPr>
        <w:spacing w:line="360" w:lineRule="auto"/>
        <w:ind w:firstLine="422" w:firstLineChars="200"/>
        <w:rPr>
          <w:rFonts w:ascii="宋体" w:hAnsi="宋体" w:cs="宋体"/>
          <w:b/>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4）未响应磋商文件实质性要求的。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磋商小组对响应文件进行评审，未实质性响应磋商文件的响应文件按无效处理，磋商小组应当将资格和符合性不通过的情况告知有关供应商。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通过符合性审查的合格供应商不足3家的，不得进入磋商环节，应当重新开展采购活动。</w:t>
      </w:r>
    </w:p>
    <w:p>
      <w:pPr>
        <w:spacing w:line="360" w:lineRule="auto"/>
        <w:ind w:firstLine="482"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供应商必须按照磋商文件的变动情况和磋商小组的要求以回函的形式重新提交响应文件，并加盖电子签章。参加磋商的供应商未在规定时间内重新提交响应文件的，视同退出磋商，其响应文件按无效处理。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磋商中，磋商的任何一方不得透露与磋商有关的其他供应商的技术资料、价格和其他信息</w:t>
      </w:r>
      <w:r>
        <w:rPr>
          <w:rFonts w:hint="eastAsia" w:ascii="宋体" w:hAnsi="宋体" w:cs="宋体"/>
          <w:color w:val="auto"/>
          <w:spacing w:val="-6"/>
          <w:szCs w:val="21"/>
          <w:highlight w:val="none"/>
        </w:rPr>
        <w:t>。</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采购代理机构对磋商过程和磋商内容进行记录。</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.7</w:t>
      </w:r>
      <w:r>
        <w:rPr>
          <w:color w:val="auto"/>
          <w:highlight w:val="none"/>
        </w:rPr>
        <w:t>根据《</w:t>
      </w:r>
      <w:r>
        <w:rPr>
          <w:rFonts w:ascii="宋体" w:hAnsi="宋体"/>
          <w:color w:val="auto"/>
          <w:highlight w:val="none"/>
        </w:rPr>
        <w:t>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3.8除</w:t>
      </w:r>
      <w:r>
        <w:rPr>
          <w:rFonts w:ascii="宋体" w:hAnsi="宋体"/>
          <w:color w:val="auto"/>
          <w:highlight w:val="none"/>
        </w:rPr>
        <w:t>本章第3.7条</w:t>
      </w:r>
      <w:r>
        <w:rPr>
          <w:rFonts w:hint="eastAsia" w:ascii="宋体" w:hAnsi="宋体"/>
          <w:color w:val="auto"/>
          <w:highlight w:val="none"/>
        </w:rPr>
        <w:t>规定的</w:t>
      </w:r>
      <w:r>
        <w:rPr>
          <w:rFonts w:ascii="宋体" w:hAnsi="宋体"/>
          <w:color w:val="auto"/>
          <w:highlight w:val="none"/>
        </w:rPr>
        <w:t>情形</w:t>
      </w:r>
      <w:r>
        <w:rPr>
          <w:rFonts w:hint="eastAsia" w:ascii="宋体" w:hAnsi="宋体"/>
          <w:color w:val="auto"/>
          <w:highlight w:val="none"/>
        </w:rPr>
        <w:t>外，</w:t>
      </w:r>
      <w:r>
        <w:rPr>
          <w:rFonts w:hint="eastAsia" w:ascii="宋体" w:hAnsi="宋体"/>
          <w:color w:val="auto"/>
          <w:szCs w:val="21"/>
          <w:highlight w:val="none"/>
        </w:rPr>
        <w:t>对磋商过程提交的响应文件进行有效性、完整性和响应程度审查，通过审查的合格供应商不足3家的，应当重新开展采购活动。</w:t>
      </w:r>
    </w:p>
    <w:p>
      <w:pPr>
        <w:spacing w:line="360" w:lineRule="auto"/>
        <w:ind w:firstLine="482" w:firstLineChars="200"/>
        <w:rPr>
          <w:rFonts w:ascii="宋体" w:hAnsi="宋体" w:cs="宋体"/>
          <w:color w:val="auto"/>
          <w:szCs w:val="21"/>
          <w:highlight w:val="none"/>
        </w:rPr>
      </w:pPr>
      <w:r>
        <w:rPr>
          <w:rFonts w:ascii="黑体" w:hAnsi="黑体" w:eastAsia="黑体" w:cs="宋体"/>
          <w:b/>
          <w:bCs/>
          <w:color w:val="auto"/>
          <w:sz w:val="24"/>
          <w:highlight w:val="none"/>
        </w:rPr>
        <w:t>4.</w:t>
      </w:r>
      <w:r>
        <w:rPr>
          <w:rFonts w:hint="eastAsia" w:ascii="黑体" w:hAnsi="黑体" w:eastAsia="黑体" w:cs="宋体"/>
          <w:b/>
          <w:bCs/>
          <w:color w:val="auto"/>
          <w:sz w:val="24"/>
          <w:highlight w:val="none"/>
        </w:rPr>
        <w:t xml:space="preserve">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磋商文件能够详细列明采购标的的技术、服务要求的，磋商结束后，磋商小组应当要求所有继续参加磋商的供应商在规定时间内在广西政府采购云平台开标大厅提交加盖供应商电子签章的最后报价，除本章第</w:t>
      </w:r>
      <w:r>
        <w:rPr>
          <w:rFonts w:ascii="宋体" w:hAnsi="宋体" w:cs="宋体"/>
          <w:color w:val="auto"/>
          <w:szCs w:val="21"/>
          <w:highlight w:val="none"/>
        </w:rPr>
        <w:t>4.3</w:t>
      </w:r>
      <w:r>
        <w:rPr>
          <w:rFonts w:hint="eastAsia" w:ascii="宋体" w:hAnsi="宋体" w:cs="宋体"/>
          <w:color w:val="auto"/>
          <w:szCs w:val="21"/>
          <w:highlight w:val="none"/>
        </w:rPr>
        <w:t>条规定的情形外，提交最后报价的供应商不得少于3家，否则应当重新</w:t>
      </w:r>
      <w:r>
        <w:rPr>
          <w:rFonts w:hint="eastAsia" w:ascii="宋体" w:hAnsi="宋体"/>
          <w:color w:val="auto"/>
          <w:szCs w:val="21"/>
          <w:highlight w:val="none"/>
        </w:rPr>
        <w:t>开展采购活动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r>
        <w:rPr>
          <w:rFonts w:hint="eastAsia" w:ascii="宋体" w:hAnsi="宋体" w:cs="宋体"/>
          <w:b/>
          <w:color w:val="auto"/>
          <w:szCs w:val="21"/>
          <w:highlight w:val="none"/>
        </w:rPr>
        <w:t>如果供应商的最后报价与首次报价不一致的，不能只报竞标总报价，必须同时提供“已标价工程量清单”，否则做无效响应处理。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 xml:space="preserve"> 最后报价是供应商响应文件的有效组成部分。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符合《政府采购竞争性磋商采购方式管理暂行办法》（财库〔2014〕214号）第三条第四项“市场竞争不充分的科研项目，以及需要扶持的科技成果转化项目”和</w:t>
      </w:r>
      <w:r>
        <w:rPr>
          <w:color w:val="auto"/>
          <w:highlight w:val="none"/>
        </w:rPr>
        <w:t>本章</w:t>
      </w:r>
      <w:r>
        <w:rPr>
          <w:rFonts w:ascii="宋体" w:hAnsi="宋体"/>
          <w:color w:val="auto"/>
          <w:highlight w:val="none"/>
        </w:rPr>
        <w:t>第3.7条</w:t>
      </w:r>
      <w:r>
        <w:rPr>
          <w:rFonts w:hint="eastAsia" w:ascii="宋体" w:hAnsi="宋体" w:cs="宋体"/>
          <w:color w:val="auto"/>
          <w:szCs w:val="21"/>
          <w:highlight w:val="none"/>
        </w:rPr>
        <w:t>规定</w:t>
      </w:r>
      <w:r>
        <w:rPr>
          <w:color w:val="auto"/>
          <w:highlight w:val="none"/>
        </w:rPr>
        <w:t>情形的，</w:t>
      </w:r>
      <w:r>
        <w:rPr>
          <w:rFonts w:hint="eastAsia" w:ascii="宋体" w:hAnsi="宋体" w:cs="宋体"/>
          <w:color w:val="auto"/>
          <w:szCs w:val="21"/>
          <w:highlight w:val="none"/>
        </w:rPr>
        <w:t>提交最后报价的供应商可以为2家。</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供应商未在规定时间内提交最后报价的，视同退出磋商，其响应文件按无效处理。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最后报价统一开启后，磋商小组对最后报价进行有效性、完整性和响应程度的审查。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 xml:space="preserve">条的规定修正。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1最后报价结束后，磋商小组不得再与供应商进行任何形式的商谈。</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82"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6. 成交供应商荐原则</w:t>
      </w:r>
    </w:p>
    <w:p>
      <w:pPr>
        <w:spacing w:line="360" w:lineRule="auto"/>
        <w:ind w:firstLine="420" w:firstLineChars="200"/>
        <w:rPr>
          <w:rFonts w:ascii="宋体" w:hAnsi="宋体"/>
          <w:color w:val="auto"/>
          <w:kern w:val="0"/>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w:t>
      </w:r>
      <w:r>
        <w:rPr>
          <w:rFonts w:hint="eastAsia" w:ascii="宋体" w:hAnsi="宋体" w:cs="宋体"/>
          <w:color w:val="auto"/>
          <w:szCs w:val="21"/>
          <w:highlight w:val="none"/>
        </w:rPr>
        <w:t>1</w:t>
      </w:r>
      <w:r>
        <w:rPr>
          <w:rFonts w:hint="eastAsia" w:ascii="宋体" w:hAnsi="宋体"/>
          <w:bCs/>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color w:val="auto"/>
          <w:szCs w:val="21"/>
          <w:highlight w:val="none"/>
        </w:rPr>
        <w:t>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下浮率报价(即:1-下浮系数,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r>
        <w:rPr>
          <w:rFonts w:hint="eastAsia" w:ascii="宋体" w:hAnsi="宋体"/>
          <w:color w:val="auto"/>
          <w:kern w:val="0"/>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w:t>
      </w:r>
      <w:r>
        <w:rPr>
          <w:rFonts w:hint="eastAsia" w:ascii="宋体" w:hAnsi="宋体"/>
          <w:color w:val="auto"/>
          <w:kern w:val="0"/>
          <w:szCs w:val="21"/>
          <w:highlight w:val="none"/>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二、评审标准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7</w:t>
      </w:r>
      <w:r>
        <w:rPr>
          <w:rFonts w:ascii="宋体" w:hAnsi="宋体"/>
          <w:bCs/>
          <w:color w:val="auto"/>
          <w:szCs w:val="21"/>
          <w:highlight w:val="none"/>
        </w:rPr>
        <w:t>.</w:t>
      </w:r>
      <w:r>
        <w:rPr>
          <w:rFonts w:hint="eastAsia" w:ascii="宋体" w:hAnsi="宋体"/>
          <w:bCs/>
          <w:color w:val="auto"/>
          <w:szCs w:val="21"/>
          <w:highlight w:val="none"/>
        </w:rPr>
        <w:t>评审依据：磋商小组以磋商文件为评审依据，对供应商的报价、技术、商务等方面内容按百分制打分。（计分方法按四舍五入取至百分位）</w:t>
      </w:r>
    </w:p>
    <w:tbl>
      <w:tblPr>
        <w:tblStyle w:val="44"/>
        <w:tblW w:w="890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7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75"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评分类型</w:t>
            </w:r>
          </w:p>
        </w:tc>
        <w:tc>
          <w:tcPr>
            <w:tcW w:w="6751"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475" w:type="dxa"/>
            <w:vAlign w:val="center"/>
          </w:tcPr>
          <w:p>
            <w:pPr>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报价分（满分</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0分）</w:t>
            </w:r>
          </w:p>
        </w:tc>
        <w:tc>
          <w:tcPr>
            <w:tcW w:w="6751" w:type="dxa"/>
          </w:tcPr>
          <w:p>
            <w:pPr>
              <w:spacing w:line="360" w:lineRule="auto"/>
              <w:ind w:firstLine="420" w:firstLineChars="200"/>
              <w:rPr>
                <w:rFonts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评审价为供应商的最后报价，最终成交供应商的成交金额等于最后报价（如有修正，以确认修正后的最后报价为准）。</w:t>
            </w:r>
          </w:p>
          <w:p>
            <w:pPr>
              <w:spacing w:line="360" w:lineRule="auto"/>
              <w:ind w:firstLine="420" w:firstLineChars="200"/>
              <w:rPr>
                <w:rFonts w:ascii="宋体" w:hAnsi="宋体"/>
                <w:bCs/>
                <w:color w:val="auto"/>
                <w:szCs w:val="21"/>
                <w:highlight w:val="none"/>
              </w:rPr>
            </w:pPr>
            <w:r>
              <w:rPr>
                <w:rFonts w:hint="eastAsia" w:hAnsi="宋体" w:cs="Courier New"/>
                <w:bCs/>
                <w:color w:val="auto"/>
                <w:highlight w:val="none"/>
              </w:rPr>
              <w:t>（2）</w:t>
            </w:r>
            <w:r>
              <w:rPr>
                <w:color w:val="auto"/>
                <w:highlight w:val="none"/>
              </w:rPr>
              <w:t>本项目为</w:t>
            </w:r>
            <w:r>
              <w:rPr>
                <w:rFonts w:hint="eastAsia" w:hAnsi="宋体" w:cs="Tahoma"/>
                <w:color w:val="auto"/>
                <w:highlight w:val="none"/>
              </w:rPr>
              <w:t>专门面向中小企业采购的项目</w:t>
            </w:r>
            <w:r>
              <w:rPr>
                <w:color w:val="auto"/>
                <w:highlight w:val="none"/>
              </w:rPr>
              <w:t>，参加本项目磋商的供应商必须为中小微企业，或监狱企业，或残疾人福利性单位，否则竞标无效。价格评审时，参加本次项目竞标的供应商不重复享受政策，其</w:t>
            </w:r>
            <w:r>
              <w:rPr>
                <w:rFonts w:hint="eastAsia"/>
                <w:color w:val="auto"/>
                <w:highlight w:val="none"/>
              </w:rPr>
              <w:t>评审价</w:t>
            </w:r>
            <w:r>
              <w:rPr>
                <w:color w:val="auto"/>
                <w:highlight w:val="none"/>
              </w:rPr>
              <w:t>=竞标报价。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bCs/>
                <w:color w:val="auto"/>
                <w:szCs w:val="21"/>
                <w:highlight w:val="none"/>
              </w:rPr>
              <w:t>监狱企业属于小型、微型企业的，</w:t>
            </w:r>
            <w:r>
              <w:rPr>
                <w:rFonts w:hint="eastAsia" w:ascii="宋体" w:hAnsi="宋体"/>
                <w:color w:val="auto"/>
                <w:szCs w:val="21"/>
                <w:highlight w:val="none"/>
              </w:rPr>
              <w:t>不重复享受政策。</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pStyle w:val="24"/>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rPr>
              <w:t>（</w:t>
            </w:r>
            <w:r>
              <w:rPr>
                <w:rFonts w:hAnsi="宋体" w:cs="Courier New"/>
                <w:bCs/>
                <w:color w:val="auto"/>
                <w:kern w:val="2"/>
                <w:sz w:val="21"/>
                <w:highlight w:val="none"/>
              </w:rPr>
              <w:t>5</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2</w:t>
            </w:r>
            <w:r>
              <w:rPr>
                <w:rFonts w:hAnsi="宋体" w:cs="Courier New"/>
                <w:bCs/>
                <w:color w:val="auto"/>
                <w:kern w:val="2"/>
                <w:sz w:val="21"/>
                <w:highlight w:val="none"/>
                <w:u w:val="single"/>
              </w:rPr>
              <w:t>0</w:t>
            </w:r>
            <w:r>
              <w:rPr>
                <w:rFonts w:hint="eastAsia" w:hAnsi="宋体" w:cs="Courier New"/>
                <w:bCs/>
                <w:color w:val="auto"/>
                <w:kern w:val="2"/>
                <w:sz w:val="21"/>
                <w:highlight w:val="none"/>
              </w:rPr>
              <w:t>分。</w:t>
            </w:r>
          </w:p>
          <w:p>
            <w:pPr>
              <w:pStyle w:val="24"/>
              <w:spacing w:line="380" w:lineRule="exact"/>
              <w:ind w:firstLine="420" w:firstLineChars="200"/>
              <w:rPr>
                <w:rFonts w:hAnsi="宋体" w:cs="宋体"/>
                <w:bCs/>
                <w:color w:val="auto"/>
                <w:kern w:val="2"/>
                <w:sz w:val="21"/>
                <w:highlight w:val="none"/>
              </w:rPr>
            </w:pPr>
            <w:r>
              <w:rPr>
                <w:rFonts w:hint="eastAsia" w:hAnsi="宋体" w:cs="宋体"/>
                <w:bCs/>
                <w:color w:val="auto"/>
                <w:kern w:val="2"/>
                <w:sz w:val="21"/>
                <w:highlight w:val="none"/>
              </w:rPr>
              <w:t>（6）价格分计算公式：</w:t>
            </w:r>
          </w:p>
          <w:p>
            <w:pPr>
              <w:autoSpaceDE w:val="0"/>
              <w:autoSpaceDN w:val="0"/>
              <w:adjustRightInd w:val="0"/>
              <w:spacing w:line="360" w:lineRule="auto"/>
              <w:ind w:firstLine="420" w:firstLineChars="200"/>
              <w:rPr>
                <w:rFonts w:ascii="宋体" w:hAnsi="宋体" w:cs="宋体"/>
                <w:bCs/>
                <w:color w:val="auto"/>
                <w:szCs w:val="21"/>
                <w:highlight w:val="none"/>
              </w:rPr>
            </w:pPr>
            <w:r>
              <w:rPr>
                <w:rFonts w:hint="eastAsia" w:ascii="宋体" w:hAnsi="宋体" w:cs="Courier New"/>
                <w:bCs/>
                <w:color w:val="auto"/>
                <w:sz w:val="21"/>
                <w:szCs w:val="21"/>
                <w:highlight w:val="none"/>
              </w:rPr>
              <w:t>价格分=（评标基准价／评标报价）×</w:t>
            </w:r>
            <w:r>
              <w:rPr>
                <w:rFonts w:hint="eastAsia" w:ascii="宋体" w:hAnsi="宋体" w:cs="Courier New"/>
                <w:bCs/>
                <w:color w:val="auto"/>
                <w:sz w:val="21"/>
                <w:szCs w:val="21"/>
                <w:highlight w:val="none"/>
                <w:lang w:val="en-US" w:eastAsia="zh-CN"/>
              </w:rPr>
              <w:t>2</w:t>
            </w:r>
            <w:r>
              <w:rPr>
                <w:rFonts w:hint="eastAsia" w:ascii="宋体" w:hAnsi="宋体" w:cs="Courier New"/>
                <w:bCs/>
                <w:color w:val="auto"/>
                <w:sz w:val="21"/>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Cs w:val="21"/>
                <w:highlight w:val="none"/>
              </w:rPr>
            </w:pPr>
            <w:r>
              <w:rPr>
                <w:rFonts w:hint="eastAsia" w:ascii="宋体" w:hAnsi="宋体" w:eastAsia="宋体" w:cs="宋体"/>
                <w:b/>
                <w:bCs w:val="0"/>
                <w:color w:val="auto"/>
                <w:sz w:val="21"/>
                <w:szCs w:val="21"/>
                <w:highlight w:val="none"/>
                <w:vertAlign w:val="baseline"/>
                <w:lang w:val="en-US" w:eastAsia="zh-CN"/>
              </w:rPr>
              <w:t>2</w:t>
            </w:r>
          </w:p>
        </w:tc>
        <w:tc>
          <w:tcPr>
            <w:tcW w:w="14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
                <w:color w:val="auto"/>
                <w:szCs w:val="21"/>
                <w:highlight w:val="none"/>
              </w:rPr>
            </w:pPr>
            <w:r>
              <w:rPr>
                <w:rFonts w:hint="eastAsia" w:ascii="宋体" w:hAnsi="宋体" w:eastAsia="宋体" w:cs="宋体"/>
                <w:b/>
                <w:bCs w:val="0"/>
                <w:color w:val="auto"/>
                <w:sz w:val="21"/>
                <w:szCs w:val="21"/>
                <w:highlight w:val="none"/>
                <w:vertAlign w:val="baseline"/>
                <w:lang w:eastAsia="zh-CN"/>
              </w:rPr>
              <w:t>项目管理机构分（</w:t>
            </w:r>
            <w:r>
              <w:rPr>
                <w:rFonts w:hint="eastAsia" w:ascii="宋体" w:hAnsi="宋体" w:eastAsia="宋体" w:cs="宋体"/>
                <w:b/>
                <w:bCs w:val="0"/>
                <w:color w:val="auto"/>
                <w:sz w:val="21"/>
                <w:szCs w:val="21"/>
                <w:highlight w:val="none"/>
                <w:vertAlign w:val="baseline"/>
                <w:lang w:val="en-US" w:eastAsia="zh-CN"/>
              </w:rPr>
              <w:t>满分</w:t>
            </w:r>
            <w:r>
              <w:rPr>
                <w:rFonts w:hint="eastAsia" w:ascii="宋体" w:hAnsi="宋体" w:cs="宋体"/>
                <w:b/>
                <w:bCs w:val="0"/>
                <w:color w:val="auto"/>
                <w:sz w:val="21"/>
                <w:szCs w:val="21"/>
                <w:highlight w:val="none"/>
                <w:vertAlign w:val="baseline"/>
                <w:lang w:val="en-US" w:eastAsia="zh-CN"/>
              </w:rPr>
              <w:t>20</w:t>
            </w:r>
            <w:r>
              <w:rPr>
                <w:rFonts w:hint="eastAsia" w:ascii="宋体" w:hAnsi="宋体" w:eastAsia="宋体" w:cs="宋体"/>
                <w:b/>
                <w:bCs w:val="0"/>
                <w:color w:val="auto"/>
                <w:sz w:val="21"/>
                <w:szCs w:val="21"/>
                <w:highlight w:val="none"/>
                <w:vertAlign w:val="baseline"/>
                <w:lang w:val="en-US" w:eastAsia="zh-CN"/>
              </w:rPr>
              <w:t>分</w:t>
            </w:r>
            <w:r>
              <w:rPr>
                <w:rFonts w:hint="eastAsia" w:ascii="宋体" w:hAnsi="宋体" w:eastAsia="宋体" w:cs="宋体"/>
                <w:b/>
                <w:bCs w:val="0"/>
                <w:color w:val="auto"/>
                <w:sz w:val="21"/>
                <w:szCs w:val="21"/>
                <w:highlight w:val="none"/>
                <w:vertAlign w:val="baseline"/>
                <w:lang w:eastAsia="zh-CN"/>
              </w:rPr>
              <w:t>）</w:t>
            </w: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（1）项目经理任职资格（满分</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项目经理资格：</w:t>
            </w:r>
            <w:r>
              <w:rPr>
                <w:rFonts w:hint="eastAsia" w:ascii="宋体" w:hAnsi="宋体" w:eastAsia="宋体" w:cs="Times New Roman"/>
                <w:color w:val="auto"/>
                <w:szCs w:val="21"/>
                <w:highlight w:val="none"/>
              </w:rPr>
              <w:t>市政公用工程专业或机电工程专业二级及以上注册建造师执业资格，具备有效的安全生产考核合格证书（B类），且未担任其他在施建设工程项目的项目经理</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pPr>
              <w:pStyle w:val="4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注：须提供其执业资格证书以及供应商为其缴纳2023年10月至2024年04月内 连续3 个月的社保凭证。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p>
        </w:tc>
        <w:tc>
          <w:tcPr>
            <w:tcW w:w="147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（2）其他主要人员（满分</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人员齐备、专业配套，拟派驻本项目的技术负责人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安全员、施工员、质检员、材料员</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造价员</w:t>
            </w:r>
            <w:r>
              <w:rPr>
                <w:rFonts w:hint="eastAsia" w:ascii="宋体" w:hAnsi="宋体" w:eastAsia="宋体" w:cs="宋体"/>
                <w:color w:val="auto"/>
                <w:sz w:val="21"/>
                <w:szCs w:val="21"/>
                <w:highlight w:val="none"/>
                <w:lang w:eastAsia="zh-CN"/>
              </w:rPr>
              <w:t>应具有相应岗位资格证书。</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差（0分）</w:t>
            </w:r>
            <w:r>
              <w:rPr>
                <w:rFonts w:hint="eastAsia" w:ascii="宋体" w:hAnsi="宋体" w:eastAsia="宋体" w:cs="宋体"/>
                <w:color w:val="auto"/>
                <w:sz w:val="21"/>
                <w:szCs w:val="21"/>
                <w:highlight w:val="none"/>
                <w:lang w:eastAsia="zh-CN"/>
              </w:rPr>
              <w:t>：不满足施工需要，管理人员配备不齐全。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中（</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：基本满足施工需要，管理人员配备齐全。</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良（</w:t>
            </w:r>
            <w:r>
              <w:rPr>
                <w:rFonts w:hint="eastAsia" w:ascii="宋体" w:hAnsi="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lang w:eastAsia="zh-CN"/>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完全</w:t>
            </w:r>
            <w:r>
              <w:rPr>
                <w:rFonts w:hint="eastAsia" w:ascii="宋体" w:hAnsi="宋体" w:eastAsia="宋体" w:cs="宋体"/>
                <w:color w:val="auto"/>
                <w:sz w:val="21"/>
                <w:szCs w:val="21"/>
                <w:highlight w:val="none"/>
                <w:lang w:eastAsia="zh-CN"/>
              </w:rPr>
              <w:t>满足施工需要，管理人员配备齐全，有一定的人员储备。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优（</w:t>
            </w:r>
            <w:r>
              <w:rPr>
                <w:rFonts w:hint="eastAsia" w:ascii="宋体" w:hAnsi="宋体" w:cs="宋体"/>
                <w:b/>
                <w:bCs/>
                <w:color w:val="auto"/>
                <w:sz w:val="21"/>
                <w:szCs w:val="21"/>
                <w:highlight w:val="none"/>
                <w:lang w:val="en-US" w:eastAsia="zh-CN"/>
              </w:rPr>
              <w:t>15</w:t>
            </w:r>
            <w:r>
              <w:rPr>
                <w:rFonts w:hint="eastAsia" w:ascii="宋体" w:hAnsi="宋体" w:eastAsia="宋体" w:cs="宋体"/>
                <w:b/>
                <w:bCs/>
                <w:color w:val="auto"/>
                <w:sz w:val="21"/>
                <w:szCs w:val="21"/>
                <w:highlight w:val="none"/>
                <w:lang w:val="en-US" w:eastAsia="zh-CN"/>
              </w:rPr>
              <w:t>分）</w:t>
            </w:r>
            <w:r>
              <w:rPr>
                <w:rFonts w:hint="eastAsia" w:ascii="宋体" w:hAnsi="宋体" w:eastAsia="宋体" w:cs="宋体"/>
                <w:color w:val="auto"/>
                <w:sz w:val="21"/>
                <w:szCs w:val="21"/>
                <w:highlight w:val="none"/>
                <w:lang w:eastAsia="zh-CN"/>
              </w:rPr>
              <w:t>：完全满足施工需要，有一定的人员储备，管理人员配备齐全且经验及综合素质优秀。</w:t>
            </w:r>
          </w:p>
          <w:p>
            <w:pPr>
              <w:pStyle w:val="42"/>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SA"/>
              </w:rPr>
              <w:t>注：须提供相关人员职称或资格证书以及供应商为其缴纳2023年10月至2024年04月内连续 3 个月的社保凭证。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3</w:t>
            </w:r>
          </w:p>
        </w:tc>
        <w:tc>
          <w:tcPr>
            <w:tcW w:w="1475"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val="en-US" w:eastAsia="zh-CN"/>
              </w:rPr>
              <w:t>施工组织技术</w:t>
            </w:r>
            <w:r>
              <w:rPr>
                <w:rFonts w:hint="eastAsia" w:ascii="宋体" w:hAnsi="宋体" w:eastAsia="宋体" w:cs="宋体"/>
                <w:b/>
                <w:bCs w:val="0"/>
                <w:color w:val="auto"/>
                <w:sz w:val="21"/>
                <w:szCs w:val="21"/>
                <w:highlight w:val="none"/>
                <w:vertAlign w:val="baseline"/>
                <w:lang w:eastAsia="zh-CN"/>
              </w:rPr>
              <w:t>（</w:t>
            </w:r>
            <w:r>
              <w:rPr>
                <w:rFonts w:hint="eastAsia" w:ascii="宋体" w:hAnsi="宋体" w:eastAsia="宋体" w:cs="宋体"/>
                <w:b/>
                <w:bCs w:val="0"/>
                <w:color w:val="auto"/>
                <w:sz w:val="21"/>
                <w:szCs w:val="21"/>
                <w:highlight w:val="none"/>
                <w:vertAlign w:val="baseline"/>
                <w:lang w:val="en-US" w:eastAsia="zh-CN"/>
              </w:rPr>
              <w:t>满分50分</w:t>
            </w:r>
            <w:r>
              <w:rPr>
                <w:rFonts w:hint="eastAsia" w:ascii="宋体" w:hAnsi="宋体" w:eastAsia="宋体" w:cs="宋体"/>
                <w:b/>
                <w:bCs w:val="0"/>
                <w:color w:val="auto"/>
                <w:sz w:val="21"/>
                <w:szCs w:val="21"/>
                <w:highlight w:val="none"/>
                <w:vertAlign w:val="baseline"/>
                <w:lang w:eastAsia="zh-CN"/>
              </w:rPr>
              <w:t>）</w:t>
            </w: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（1）施工机械设备情况（满分</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由评标委员会在打分前根据供应商提供的拟投入施工机械设备情况，在相应档次内独立打分。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投入的施工机械、设备、机具组织计划差，投入计划与进度计划不呼应，不能满足施工需要。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投入的施工机械、设备、机具有组织计划，设备数量、选型配置、进场投入计划与进度计划呼应，基本满足施工需要。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投入的施工机械、设备、机具有详细的组织计划，设备数量、选型配置、进场投入计划与进度计划呼应，满足施工需要。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eastAsia="宋体" w:cs="宋体"/>
                <w:color w:val="auto"/>
                <w:sz w:val="21"/>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投入的施工机械、设备、机具有详细的组织计划且计划周密，设备数量、选型配置、进场时间安排合理，满足施工需要。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（2）劳动力安排计划（满分</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评标委员会在打分前根据供应商提供的劳动力安排计划，在相应档次内独立打分。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各主要施工工序劳动力安排计划不全，无各工种劳动力安排计划或计划不全，劳动力投入不合理，不能满足施工需要。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各主要施工工序应有劳动力安排计划，有各工种劳动力安排计划，劳动力投入基本合理，基本满足施工需要。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各主要施工工序有详细的劳动力安排计划，有各工种劳动力安排计划，劳动力投入合理，满足施工需要。</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各主要施工工序有详细周密的劳动力安排计划，各工种劳动力安排计划齐全，劳动力投入与进度计划呼应合理，满足施工需要。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（3）确保工程质量的技术组织措施（满分</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评标委员会在打分前根据供应商提供的工程质量技术组织措施，在相应档次内独立打分。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质量技术管理班子人员配备不合理，制度不健全。质量技术保证措施和手段不可行，没有质量违约责任承诺。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质量技术管理班子人员配备基本合理，制度基本健全。主要工序有质量技术保证措施和手段，能有效保证技术质量，满足招标文件的质量要求。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（4）确保安全生产的技术组织措施（满分</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评标委员会在打分前根据供应商提供的安全生产技术组织措施，在相应档次内独立打分。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（5）确保工期的技术组织措施（满分</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评标委员会在打分前根据供应商提供的工期技术组织措施，在相应档次内独立打分。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有保证工期的具体措施。各项计划图表编制不完善，安排不合理，不能满足本项目施工实际要求。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有保证工期的具体措施，措施基本得当。各项计划图表编制基本齐全，安排基本合理，基本符合本项目施工实际要求。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有保证工期的具体措施且措施得当。各项计划图表编制完善，安排较合理，符合本项目施工实际要求。</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有保证工期的具体措施且措施得力。各项计划图表编制详尽周密，安排科学合理，符合本项目施工实际要求。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（6）确保文明施工的技术组织措施（满分</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评标委员会在打分前根据供应商提供的文明施工技术组织措施，在相应档次内独立打分。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eastAsia="宋体" w:cs="宋体"/>
                <w:b/>
                <w:bCs w:val="0"/>
                <w:color w:val="auto"/>
                <w:sz w:val="21"/>
                <w:szCs w:val="21"/>
                <w:highlight w:val="none"/>
                <w:vertAlign w:val="baseline"/>
                <w:lang w:val="en-US" w:eastAsia="zh-CN"/>
              </w:rPr>
              <w:t>1</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现场文明施工、环境保护措施和内容与《建筑施工安全生产检查标准》、《广西壮族自治区市政工程文明施工导则》的要求偏差大，无现场文明施工目标的承诺。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eastAsia="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现场文明施工、环境保护措施和内容基本达到《建筑施工安全生产检查标准》、《广西壮族自治区市政工程文明施工导则》；有具体实现现场文明施工目标的承诺，而且各项措施基本周全、具体、有效的。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4</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现场文明施工、环境保护措施和内容达到《建筑施工安全生产检查标准》、《广西壮族自治区市政工程文明施工导则》；承诺创建市级文明工地和标准化工地，而且各项措施周全、具体、有效的。</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现场文明施工、环境保护措施和内容达到《建筑施工安全生产检查标准》、《广西壮族自治区市政工程文明施工导则》要求；承诺创建自治区级及以上文明工地和标准化工地，而且各项措施周全、具体、有效的。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（7）工程施工的重点和难点及保证措施（满分</w:t>
            </w:r>
            <w:r>
              <w:rPr>
                <w:rFonts w:hint="eastAsia" w:ascii="宋体" w:hAnsi="宋体" w:cs="宋体"/>
                <w:b/>
                <w:bCs w:val="0"/>
                <w:color w:val="auto"/>
                <w:sz w:val="21"/>
                <w:szCs w:val="21"/>
                <w:highlight w:val="none"/>
                <w:vertAlign w:val="baseline"/>
                <w:lang w:val="en-US" w:eastAsia="zh-CN"/>
              </w:rPr>
              <w:t>12</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评标委员会在打分前根据供应商提供的工程施工重点和难点及保证措施，在相应档次内独立打分。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未针对该项目的难点、重点进行分析，未考虑各部分施工如何相互交叉和衔接，施工质量效果和设计效果的无法统一。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6</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针对该项目的难点、重点分析不具体，各部分施工如何相互交叉和衔接不合理，施工质量效果和设计效果有较大差距。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良（</w:t>
            </w:r>
            <w:r>
              <w:rPr>
                <w:rFonts w:hint="eastAsia" w:ascii="宋体" w:hAnsi="宋体" w:cs="宋体"/>
                <w:b/>
                <w:bCs w:val="0"/>
                <w:color w:val="auto"/>
                <w:sz w:val="21"/>
                <w:szCs w:val="21"/>
                <w:highlight w:val="none"/>
                <w:vertAlign w:val="baseline"/>
                <w:lang w:val="en-US" w:eastAsia="zh-CN"/>
              </w:rPr>
              <w:t>8</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针对该项目的难点、重点分析简单，未重点考虑各部分施工如何相互交叉和衔接，施工质量效果基本达到设计效果。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cs="宋体"/>
                <w:b/>
                <w:bCs w:val="0"/>
                <w:color w:val="auto"/>
                <w:sz w:val="21"/>
                <w:szCs w:val="21"/>
                <w:highlight w:val="none"/>
                <w:vertAlign w:val="baseline"/>
                <w:lang w:val="en-US" w:eastAsia="zh-CN"/>
              </w:rPr>
              <w:t>12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针对该项目的难点、重点详细分析，重点考虑各部分施工如何相互交叉和衔接，以保证施工质量效果和设计效果的完美统一。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8" w:hRule="atLeast"/>
        </w:trPr>
        <w:tc>
          <w:tcPr>
            <w:tcW w:w="6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1475"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p>
        </w:tc>
        <w:tc>
          <w:tcPr>
            <w:tcW w:w="6751"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（8）施工总平面布置图（满分</w:t>
            </w:r>
            <w:r>
              <w:rPr>
                <w:rFonts w:hint="eastAsia" w:ascii="宋体" w:hAnsi="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Cs/>
                <w:color w:val="auto"/>
                <w:sz w:val="21"/>
                <w:szCs w:val="21"/>
                <w:highlight w:val="none"/>
                <w:vertAlign w:val="baseline"/>
                <w:lang w:eastAsia="zh-CN"/>
              </w:rPr>
              <w:t>评标委员会在打分前根据供应商提供的本工程施工总平面布置图，在相应档次内独立打分。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差（0分）：</w:t>
            </w:r>
            <w:r>
              <w:rPr>
                <w:rFonts w:hint="eastAsia" w:ascii="宋体" w:hAnsi="宋体" w:eastAsia="宋体" w:cs="宋体"/>
                <w:bCs/>
                <w:color w:val="auto"/>
                <w:sz w:val="21"/>
                <w:szCs w:val="21"/>
                <w:highlight w:val="none"/>
                <w:vertAlign w:val="baseline"/>
                <w:lang w:eastAsia="zh-CN"/>
              </w:rPr>
              <w:t>总体布置不合理，不符合安全、文明生产要求。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 w:val="21"/>
                <w:szCs w:val="21"/>
                <w:highlight w:val="none"/>
                <w:vertAlign w:val="baseline"/>
                <w:lang w:eastAsia="zh-CN"/>
              </w:rPr>
            </w:pPr>
            <w:r>
              <w:rPr>
                <w:rFonts w:hint="eastAsia" w:ascii="宋体" w:hAnsi="宋体" w:eastAsia="宋体" w:cs="宋体"/>
                <w:b/>
                <w:bCs w:val="0"/>
                <w:color w:val="auto"/>
                <w:sz w:val="21"/>
                <w:szCs w:val="21"/>
                <w:highlight w:val="none"/>
                <w:vertAlign w:val="baseline"/>
                <w:lang w:eastAsia="zh-CN"/>
              </w:rPr>
              <w:t>中（</w:t>
            </w:r>
            <w:r>
              <w:rPr>
                <w:rFonts w:hint="eastAsia" w:ascii="宋体" w:hAnsi="宋体" w:cs="宋体"/>
                <w:b/>
                <w:bCs w:val="0"/>
                <w:color w:val="auto"/>
                <w:sz w:val="21"/>
                <w:szCs w:val="21"/>
                <w:highlight w:val="none"/>
                <w:vertAlign w:val="baseline"/>
                <w:lang w:val="en-US" w:eastAsia="zh-CN"/>
              </w:rPr>
              <w:t>0.5</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总体布置</w:t>
            </w:r>
            <w:r>
              <w:rPr>
                <w:rFonts w:hint="eastAsia" w:ascii="宋体" w:hAnsi="宋体" w:cs="宋体"/>
                <w:bCs/>
                <w:color w:val="auto"/>
                <w:sz w:val="21"/>
                <w:szCs w:val="21"/>
                <w:highlight w:val="none"/>
                <w:vertAlign w:val="baseline"/>
                <w:lang w:val="en-US" w:eastAsia="zh-CN"/>
              </w:rPr>
              <w:t>较为</w:t>
            </w:r>
            <w:r>
              <w:rPr>
                <w:rFonts w:hint="eastAsia" w:ascii="宋体" w:hAnsi="宋体" w:eastAsia="宋体" w:cs="宋体"/>
                <w:bCs/>
                <w:color w:val="auto"/>
                <w:sz w:val="21"/>
                <w:szCs w:val="21"/>
                <w:highlight w:val="none"/>
                <w:vertAlign w:val="baseline"/>
                <w:lang w:eastAsia="zh-CN"/>
              </w:rPr>
              <w:t>合理，</w:t>
            </w:r>
            <w:r>
              <w:rPr>
                <w:rFonts w:hint="eastAsia" w:ascii="宋体" w:hAnsi="宋体" w:cs="宋体"/>
                <w:bCs/>
                <w:color w:val="auto"/>
                <w:sz w:val="21"/>
                <w:szCs w:val="21"/>
                <w:highlight w:val="none"/>
                <w:vertAlign w:val="baseline"/>
                <w:lang w:val="en-US" w:eastAsia="zh-CN"/>
              </w:rPr>
              <w:t>能够达到</w:t>
            </w:r>
            <w:r>
              <w:rPr>
                <w:rFonts w:hint="eastAsia" w:ascii="宋体" w:hAnsi="宋体" w:eastAsia="宋体" w:cs="宋体"/>
                <w:bCs/>
                <w:color w:val="auto"/>
                <w:sz w:val="21"/>
                <w:szCs w:val="21"/>
                <w:highlight w:val="none"/>
                <w:vertAlign w:val="baseline"/>
                <w:lang w:eastAsia="zh-CN"/>
              </w:rPr>
              <w:t>施工需要</w:t>
            </w:r>
            <w:r>
              <w:rPr>
                <w:rFonts w:hint="eastAsia" w:ascii="宋体" w:hAnsi="宋体" w:cs="宋体"/>
                <w:bCs/>
                <w:color w:val="auto"/>
                <w:sz w:val="21"/>
                <w:szCs w:val="21"/>
                <w:highlight w:val="none"/>
                <w:vertAlign w:val="baseline"/>
                <w:lang w:val="en-US" w:eastAsia="zh-CN"/>
              </w:rPr>
              <w:t>的基本要求</w:t>
            </w:r>
            <w:r>
              <w:rPr>
                <w:rFonts w:hint="eastAsia" w:ascii="宋体" w:hAnsi="宋体" w:eastAsia="宋体" w:cs="宋体"/>
                <w:bCs/>
                <w:color w:val="auto"/>
                <w:sz w:val="21"/>
                <w:szCs w:val="21"/>
                <w:highlight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eastAsia="zh-CN"/>
              </w:rPr>
            </w:pPr>
            <w:r>
              <w:rPr>
                <w:rFonts w:hint="eastAsia" w:ascii="宋体" w:hAnsi="宋体" w:eastAsia="宋体" w:cs="宋体"/>
                <w:b/>
                <w:bCs w:val="0"/>
                <w:color w:val="auto"/>
                <w:sz w:val="21"/>
                <w:szCs w:val="21"/>
                <w:highlight w:val="none"/>
                <w:vertAlign w:val="baseline"/>
                <w:lang w:val="en-US" w:eastAsia="zh-CN"/>
              </w:rPr>
              <w:t>良</w:t>
            </w:r>
            <w:r>
              <w:rPr>
                <w:rFonts w:hint="eastAsia" w:ascii="宋体" w:hAnsi="宋体" w:eastAsia="宋体" w:cs="宋体"/>
                <w:b/>
                <w:bCs w:val="0"/>
                <w:color w:val="auto"/>
                <w:sz w:val="21"/>
                <w:szCs w:val="21"/>
                <w:highlight w:val="none"/>
                <w:vertAlign w:val="baseline"/>
                <w:lang w:eastAsia="zh-CN"/>
              </w:rPr>
              <w:t>（1分）：</w:t>
            </w:r>
            <w:r>
              <w:rPr>
                <w:rFonts w:hint="eastAsia" w:ascii="宋体" w:hAnsi="宋体" w:eastAsia="宋体" w:cs="宋体"/>
                <w:bCs/>
                <w:color w:val="auto"/>
                <w:sz w:val="21"/>
                <w:szCs w:val="21"/>
                <w:highlight w:val="none"/>
                <w:vertAlign w:val="baseline"/>
                <w:lang w:eastAsia="zh-CN"/>
              </w:rPr>
              <w:t>总体布置基本合理，满足施工需要。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bCs/>
                <w:color w:val="auto"/>
                <w:szCs w:val="21"/>
                <w:highlight w:val="none"/>
              </w:rPr>
            </w:pPr>
            <w:r>
              <w:rPr>
                <w:rFonts w:hint="eastAsia" w:ascii="宋体" w:hAnsi="宋体" w:eastAsia="宋体" w:cs="宋体"/>
                <w:b/>
                <w:bCs w:val="0"/>
                <w:color w:val="auto"/>
                <w:sz w:val="21"/>
                <w:szCs w:val="21"/>
                <w:highlight w:val="none"/>
                <w:vertAlign w:val="baseline"/>
                <w:lang w:eastAsia="zh-CN"/>
              </w:rPr>
              <w:t>优（</w:t>
            </w:r>
            <w:r>
              <w:rPr>
                <w:rFonts w:hint="eastAsia" w:ascii="宋体" w:hAnsi="宋体" w:eastAsia="宋体" w:cs="宋体"/>
                <w:b/>
                <w:bCs w:val="0"/>
                <w:color w:val="auto"/>
                <w:sz w:val="21"/>
                <w:szCs w:val="21"/>
                <w:highlight w:val="none"/>
                <w:vertAlign w:val="baseline"/>
                <w:lang w:val="en-US" w:eastAsia="zh-CN"/>
              </w:rPr>
              <w:t>2</w:t>
            </w:r>
            <w:r>
              <w:rPr>
                <w:rFonts w:hint="eastAsia" w:ascii="宋体" w:hAnsi="宋体" w:eastAsia="宋体" w:cs="宋体"/>
                <w:b/>
                <w:bCs w:val="0"/>
                <w:color w:val="auto"/>
                <w:sz w:val="21"/>
                <w:szCs w:val="21"/>
                <w:highlight w:val="none"/>
                <w:vertAlign w:val="baseline"/>
                <w:lang w:eastAsia="zh-CN"/>
              </w:rPr>
              <w:t>分）：</w:t>
            </w:r>
            <w:r>
              <w:rPr>
                <w:rFonts w:hint="eastAsia" w:ascii="宋体" w:hAnsi="宋体" w:eastAsia="宋体" w:cs="宋体"/>
                <w:bCs/>
                <w:color w:val="auto"/>
                <w:sz w:val="21"/>
                <w:szCs w:val="21"/>
                <w:highlight w:val="none"/>
                <w:vertAlign w:val="baseline"/>
                <w:lang w:eastAsia="zh-CN"/>
              </w:rPr>
              <w:t>总体布置有针对性、合理，较好满足施工需要，符合安全、文明生产要求。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4</w:t>
            </w:r>
          </w:p>
        </w:tc>
        <w:tc>
          <w:tcPr>
            <w:tcW w:w="1475" w:type="dxa"/>
            <w:vAlign w:val="center"/>
          </w:tcPr>
          <w:p>
            <w:pPr>
              <w:pStyle w:val="24"/>
              <w:spacing w:line="380" w:lineRule="exact"/>
              <w:jc w:val="center"/>
              <w:rPr>
                <w:rFonts w:hint="default" w:ascii="宋体" w:hAnsi="宋体" w:eastAsia="宋体" w:cs="宋体"/>
                <w:b/>
                <w:bCs w:val="0"/>
                <w:color w:val="auto"/>
                <w:szCs w:val="21"/>
                <w:highlight w:val="none"/>
                <w:lang w:val="en-US" w:eastAsia="zh-CN"/>
              </w:rPr>
            </w:pPr>
            <w:r>
              <w:rPr>
                <w:rFonts w:hint="eastAsia" w:hAnsi="宋体" w:cs="宋体"/>
                <w:b/>
                <w:bCs w:val="0"/>
                <w:color w:val="auto"/>
                <w:sz w:val="21"/>
                <w:highlight w:val="none"/>
              </w:rPr>
              <w:t>类似业绩</w:t>
            </w:r>
            <w:r>
              <w:rPr>
                <w:rFonts w:hint="eastAsia" w:hAnsi="宋体" w:cs="宋体"/>
                <w:b/>
                <w:bCs w:val="0"/>
                <w:color w:val="auto"/>
                <w:sz w:val="21"/>
                <w:highlight w:val="none"/>
                <w:lang w:eastAsia="zh-CN"/>
              </w:rPr>
              <w:t>（</w:t>
            </w:r>
            <w:r>
              <w:rPr>
                <w:rFonts w:hint="eastAsia" w:hAnsi="宋体" w:cs="宋体"/>
                <w:b/>
                <w:bCs w:val="0"/>
                <w:color w:val="auto"/>
                <w:sz w:val="21"/>
                <w:highlight w:val="none"/>
                <w:lang w:val="en-US" w:eastAsia="zh-CN"/>
              </w:rPr>
              <w:t>满分10分</w:t>
            </w:r>
          </w:p>
        </w:tc>
        <w:tc>
          <w:tcPr>
            <w:tcW w:w="6751" w:type="dxa"/>
            <w:vAlign w:val="top"/>
          </w:tcPr>
          <w:p>
            <w:pPr>
              <w:pStyle w:val="24"/>
              <w:spacing w:line="380" w:lineRule="exact"/>
              <w:rPr>
                <w:rFonts w:hint="eastAsia" w:ascii="宋体" w:hAnsi="宋体" w:eastAsia="宋体" w:cs="宋体"/>
                <w:b/>
                <w:bCs w:val="0"/>
                <w:color w:val="auto"/>
                <w:sz w:val="21"/>
                <w:szCs w:val="21"/>
                <w:highlight w:val="none"/>
                <w:vertAlign w:val="baseline"/>
                <w:lang w:eastAsia="zh-CN"/>
              </w:rPr>
            </w:pPr>
            <w:r>
              <w:rPr>
                <w:rFonts w:hint="eastAsia" w:hAnsi="宋体" w:cs="宋体"/>
                <w:color w:val="auto"/>
                <w:sz w:val="21"/>
                <w:highlight w:val="none"/>
              </w:rPr>
              <w:t>竞标人近三年以来（指项目签订日期至竞标截止时间止不超过三年）承接过类似项目</w:t>
            </w:r>
            <w:r>
              <w:rPr>
                <w:rFonts w:hint="eastAsia" w:hAnsi="宋体" w:cs="宋体"/>
                <w:color w:val="auto"/>
                <w:sz w:val="21"/>
                <w:highlight w:val="none"/>
                <w:lang w:eastAsia="zh-CN"/>
              </w:rPr>
              <w:t>，</w:t>
            </w:r>
            <w:r>
              <w:rPr>
                <w:rFonts w:hint="eastAsia" w:hAnsi="宋体" w:cs="宋体"/>
                <w:color w:val="auto"/>
                <w:sz w:val="21"/>
                <w:highlight w:val="none"/>
              </w:rPr>
              <w:t>每个得</w:t>
            </w:r>
            <w:r>
              <w:rPr>
                <w:rFonts w:hAnsi="宋体" w:cs="宋体"/>
                <w:color w:val="auto"/>
                <w:sz w:val="21"/>
                <w:highlight w:val="none"/>
              </w:rPr>
              <w:t xml:space="preserve"> 2 </w:t>
            </w:r>
            <w:r>
              <w:rPr>
                <w:rFonts w:hint="eastAsia" w:hAnsi="宋体" w:cs="宋体"/>
                <w:color w:val="auto"/>
                <w:sz w:val="21"/>
                <w:highlight w:val="none"/>
              </w:rPr>
              <w:t>分，满分</w:t>
            </w:r>
            <w:r>
              <w:rPr>
                <w:rFonts w:hAnsi="宋体" w:cs="宋体"/>
                <w:color w:val="auto"/>
                <w:sz w:val="21"/>
                <w:highlight w:val="none"/>
              </w:rPr>
              <w:t xml:space="preserve"> 10 </w:t>
            </w:r>
            <w:r>
              <w:rPr>
                <w:rFonts w:hint="eastAsia" w:hAnsi="宋体" w:cs="宋体"/>
                <w:color w:val="auto"/>
                <w:sz w:val="21"/>
                <w:highlight w:val="none"/>
              </w:rPr>
              <w:t>分。（</w:t>
            </w:r>
            <w:r>
              <w:rPr>
                <w:rFonts w:hint="eastAsia" w:hAnsi="宋体" w:cs="宋体"/>
                <w:color w:val="auto"/>
                <w:sz w:val="21"/>
                <w:highlight w:val="none"/>
                <w:lang w:val="en-US" w:eastAsia="zh-CN"/>
              </w:rPr>
              <w:t>须</w:t>
            </w:r>
            <w:r>
              <w:rPr>
                <w:rFonts w:hint="eastAsia" w:hAnsi="宋体" w:cs="宋体"/>
                <w:color w:val="auto"/>
                <w:sz w:val="21"/>
                <w:highlight w:val="none"/>
              </w:rPr>
              <w:t>提供合同或成交通知书复印件</w:t>
            </w:r>
            <w:r>
              <w:rPr>
                <w:rFonts w:hint="eastAsia" w:hAnsi="宋体" w:cs="宋体"/>
                <w:color w:val="auto"/>
                <w:sz w:val="21"/>
                <w:highlight w:val="none"/>
                <w:lang w:eastAsia="zh-CN"/>
              </w:rPr>
              <w:t>，</w:t>
            </w:r>
            <w:r>
              <w:rPr>
                <w:rFonts w:hint="eastAsia" w:hAnsi="宋体" w:cs="宋体"/>
                <w:color w:val="auto"/>
                <w:sz w:val="21"/>
                <w:highlight w:val="none"/>
                <w:lang w:val="en-US" w:eastAsia="zh-CN"/>
              </w:rPr>
              <w:t>否则不计分</w:t>
            </w:r>
            <w:r>
              <w:rPr>
                <w:rFonts w:hint="eastAsia" w:hAnsi="宋体" w:cs="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1" w:type="dxa"/>
            <w:gridSpan w:val="3"/>
          </w:tcPr>
          <w:p>
            <w:pPr>
              <w:spacing w:line="400" w:lineRule="exact"/>
              <w:rPr>
                <w:rFonts w:hint="default" w:ascii="宋体" w:hAnsi="宋体" w:eastAsia="宋体" w:cs="宋体"/>
                <w:bCs/>
                <w:color w:val="auto"/>
                <w:szCs w:val="21"/>
                <w:highlight w:val="none"/>
                <w:lang w:val="en-US" w:eastAsia="zh-CN"/>
              </w:rPr>
            </w:pPr>
            <w:r>
              <w:rPr>
                <w:rFonts w:hint="eastAsia" w:ascii="宋体" w:hAnsi="宋体" w:cs="宋体"/>
                <w:b/>
                <w:color w:val="auto"/>
                <w:szCs w:val="21"/>
                <w:highlight w:val="none"/>
              </w:rPr>
              <w:t>总得分＝1+2+3</w:t>
            </w:r>
            <w:r>
              <w:rPr>
                <w:rFonts w:hint="eastAsia" w:ascii="宋体" w:hAnsi="宋体" w:cs="宋体"/>
                <w:b/>
                <w:color w:val="auto"/>
                <w:szCs w:val="21"/>
                <w:highlight w:val="none"/>
                <w:lang w:val="en-US" w:eastAsia="zh-CN"/>
              </w:rPr>
              <w:t>+4</w:t>
            </w:r>
          </w:p>
        </w:tc>
      </w:tr>
    </w:tbl>
    <w:p>
      <w:pPr>
        <w:pStyle w:val="36"/>
        <w:rPr>
          <w:color w:val="auto"/>
          <w:highlight w:val="none"/>
        </w:rPr>
      </w:pPr>
    </w:p>
    <w:p>
      <w:pPr>
        <w:pStyle w:val="2"/>
        <w:jc w:val="center"/>
        <w:rPr>
          <w:color w:val="auto"/>
          <w:highlight w:val="none"/>
        </w:rPr>
      </w:pPr>
      <w:r>
        <w:rPr>
          <w:rFonts w:ascii="宋体" w:hAnsi="宋体" w:cs="宋体"/>
          <w:color w:val="auto"/>
          <w:highlight w:val="none"/>
        </w:rPr>
        <w:br w:type="page"/>
      </w:r>
      <w:r>
        <w:rPr>
          <w:rFonts w:hint="eastAsia"/>
          <w:color w:val="auto"/>
          <w:highlight w:val="none"/>
        </w:rPr>
        <w:t>第五章工程量清单及图纸</w:t>
      </w:r>
    </w:p>
    <w:p>
      <w:pPr>
        <w:pStyle w:val="2"/>
        <w:jc w:val="center"/>
        <w:rPr>
          <w:color w:val="auto"/>
          <w:highlight w:val="none"/>
        </w:rPr>
      </w:pPr>
      <w:r>
        <w:rPr>
          <w:rFonts w:hint="eastAsia"/>
          <w:color w:val="auto"/>
          <w:highlight w:val="none"/>
        </w:rPr>
        <w:t>（</w:t>
      </w:r>
      <w:r>
        <w:rPr>
          <w:rFonts w:hint="eastAsia"/>
          <w:color w:val="auto"/>
          <w:highlight w:val="none"/>
          <w:lang w:val="en-US" w:eastAsia="zh-CN"/>
        </w:rPr>
        <w:t>另册</w:t>
      </w:r>
      <w:r>
        <w:rPr>
          <w:rFonts w:hint="eastAsia"/>
          <w:color w:val="auto"/>
          <w:highlight w:val="none"/>
        </w:rPr>
        <w:t>）</w:t>
      </w:r>
    </w:p>
    <w:p>
      <w:pPr>
        <w:pStyle w:val="2"/>
        <w:spacing w:before="0" w:after="0" w:line="360" w:lineRule="auto"/>
        <w:jc w:val="center"/>
        <w:rPr>
          <w:rFonts w:ascii="宋体" w:hAnsi="宋体" w:cs="宋体"/>
          <w:color w:val="auto"/>
          <w:sz w:val="32"/>
          <w:szCs w:val="32"/>
          <w:highlight w:val="none"/>
        </w:rPr>
      </w:pPr>
      <w:r>
        <w:rPr>
          <w:color w:val="auto"/>
          <w:highlight w:val="none"/>
        </w:rPr>
        <w:br w:type="page"/>
      </w:r>
    </w:p>
    <w:p>
      <w:pPr>
        <w:pStyle w:val="4"/>
        <w:spacing w:before="0" w:after="0" w:line="360" w:lineRule="auto"/>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2"/>
        <w:jc w:val="center"/>
        <w:rPr>
          <w:color w:val="auto"/>
          <w:highlight w:val="none"/>
        </w:rPr>
      </w:pPr>
      <w:bookmarkStart w:id="91" w:name="_Toc74323460"/>
      <w:r>
        <w:rPr>
          <w:rFonts w:hint="eastAsia"/>
          <w:color w:val="auto"/>
          <w:highlight w:val="none"/>
        </w:rPr>
        <w:t>第六章响应文件格式</w:t>
      </w:r>
      <w:bookmarkEnd w:id="91"/>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pacing w:line="240" w:lineRule="atLeast"/>
        <w:rPr>
          <w:rFonts w:ascii="宋体" w:hAnsi="宋体"/>
          <w:b/>
          <w:color w:val="auto"/>
          <w:sz w:val="32"/>
          <w:szCs w:val="32"/>
          <w:highlight w:val="none"/>
        </w:rPr>
      </w:pPr>
    </w:p>
    <w:p>
      <w:pPr>
        <w:snapToGrid w:val="0"/>
        <w:spacing w:before="50" w:after="50"/>
        <w:outlineLvl w:val="1"/>
        <w:rPr>
          <w:rFonts w:ascii="宋体" w:hAnsi="宋体"/>
          <w:b/>
          <w:bCs/>
          <w:color w:val="auto"/>
          <w:sz w:val="24"/>
          <w:highlight w:val="none"/>
        </w:rPr>
      </w:pPr>
    </w:p>
    <w:p>
      <w:pPr>
        <w:snapToGrid w:val="0"/>
        <w:spacing w:before="120" w:beforeLines="50" w:after="50"/>
        <w:jc w:val="center"/>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br w:type="page"/>
      </w:r>
    </w:p>
    <w:p>
      <w:pPr>
        <w:rPr>
          <w:b/>
          <w:color w:val="auto"/>
          <w:sz w:val="32"/>
          <w:szCs w:val="32"/>
          <w:highlight w:val="none"/>
        </w:rPr>
      </w:pPr>
      <w:bookmarkStart w:id="92" w:name="_Toc71366186"/>
      <w:bookmarkStart w:id="93" w:name="_Toc31728084"/>
      <w:bookmarkStart w:id="94" w:name="_Toc44229899"/>
      <w:bookmarkStart w:id="95" w:name="_Toc35611516"/>
      <w:bookmarkStart w:id="96" w:name="_Toc35611438"/>
      <w:bookmarkStart w:id="97" w:name="_Toc31723070"/>
      <w:r>
        <w:rPr>
          <w:rFonts w:hint="eastAsia"/>
          <w:b/>
          <w:color w:val="auto"/>
          <w:sz w:val="32"/>
          <w:szCs w:val="32"/>
          <w:highlight w:val="none"/>
        </w:rPr>
        <w:t>一、资格证明文件格式</w:t>
      </w:r>
      <w:bookmarkEnd w:id="92"/>
      <w:bookmarkEnd w:id="93"/>
      <w:bookmarkEnd w:id="94"/>
      <w:bookmarkEnd w:id="95"/>
      <w:bookmarkEnd w:id="96"/>
      <w:bookmarkEnd w:id="97"/>
    </w:p>
    <w:p>
      <w:pPr>
        <w:snapToGrid w:val="0"/>
        <w:spacing w:before="120" w:beforeLines="50" w:after="50" w:line="360" w:lineRule="auto"/>
        <w:jc w:val="left"/>
        <w:rPr>
          <w:rFonts w:ascii="宋体" w:hAnsi="宋体"/>
          <w:b/>
          <w:color w:val="auto"/>
          <w:sz w:val="24"/>
          <w:highlight w:val="none"/>
        </w:rPr>
      </w:pPr>
      <w:r>
        <w:rPr>
          <w:rFonts w:hint="eastAsia" w:ascii="宋体" w:hAnsi="宋体"/>
          <w:b/>
          <w:color w:val="auto"/>
          <w:sz w:val="32"/>
          <w:szCs w:val="32"/>
          <w:highlight w:val="none"/>
        </w:rPr>
        <w:t>1.资格证明文件封面格式：</w:t>
      </w:r>
    </w:p>
    <w:p>
      <w:pPr>
        <w:snapToGrid w:val="0"/>
        <w:spacing w:before="120" w:beforeLines="50" w:after="50"/>
        <w:jc w:val="center"/>
        <w:rPr>
          <w:rFonts w:ascii="宋体" w:hAnsi="宋体"/>
          <w:color w:val="auto"/>
          <w:sz w:val="44"/>
          <w:szCs w:val="44"/>
          <w:highlight w:val="none"/>
        </w:rPr>
      </w:pPr>
    </w:p>
    <w:p>
      <w:pPr>
        <w:snapToGrid w:val="0"/>
        <w:spacing w:before="120" w:beforeLines="50" w:after="50"/>
        <w:jc w:val="center"/>
        <w:rPr>
          <w:rFonts w:ascii="宋体" w:hAnsi="宋体"/>
          <w:color w:val="auto"/>
          <w:sz w:val="44"/>
          <w:szCs w:val="44"/>
          <w:highlight w:val="none"/>
        </w:rPr>
      </w:pPr>
      <w:r>
        <w:rPr>
          <w:rFonts w:hint="eastAsia" w:ascii="宋体" w:hAnsi="宋体"/>
          <w:color w:val="auto"/>
          <w:sz w:val="44"/>
          <w:szCs w:val="44"/>
          <w:highlight w:val="none"/>
        </w:rPr>
        <w:t>电 子 响 应 文 件</w:t>
      </w: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highlight w:val="none"/>
        </w:rPr>
      </w:pPr>
    </w:p>
    <w:p>
      <w:pPr>
        <w:pStyle w:val="7"/>
        <w:snapToGrid w:val="0"/>
        <w:spacing w:before="50" w:after="50"/>
        <w:ind w:firstLine="720" w:firstLineChars="225"/>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120" w:beforeLines="50" w:after="50"/>
        <w:ind w:firstLine="640" w:firstLineChars="200"/>
        <w:rPr>
          <w:rFonts w:ascii="宋体" w:hAnsi="宋体" w:cs="仿宋_GB2312"/>
          <w:bCs/>
          <w:color w:val="auto"/>
          <w:sz w:val="32"/>
          <w:szCs w:val="32"/>
          <w:highlight w:val="none"/>
        </w:rPr>
      </w:pPr>
    </w:p>
    <w:p>
      <w:pPr>
        <w:pStyle w:val="7"/>
        <w:snapToGrid w:val="0"/>
        <w:spacing w:before="50" w:after="50"/>
        <w:ind w:firstLine="720" w:firstLineChars="225"/>
        <w:rPr>
          <w:rFonts w:ascii="宋体" w:hAnsi="宋体" w:cs="仿宋_GB2312"/>
          <w:bCs/>
          <w:color w:val="auto"/>
          <w:sz w:val="32"/>
          <w:szCs w:val="32"/>
          <w:highlight w:val="none"/>
        </w:rPr>
      </w:pPr>
    </w:p>
    <w:p>
      <w:pPr>
        <w:pStyle w:val="7"/>
        <w:snapToGrid w:val="0"/>
        <w:spacing w:before="50" w:after="50"/>
        <w:ind w:firstLine="720" w:firstLineChars="225"/>
        <w:rPr>
          <w:rFonts w:ascii="宋体" w:hAnsi="宋体" w:cs="仿宋_GB2312"/>
          <w:bCs/>
          <w:color w:val="auto"/>
          <w:sz w:val="32"/>
          <w:szCs w:val="32"/>
          <w:highlight w:val="none"/>
        </w:rPr>
      </w:pPr>
    </w:p>
    <w:p>
      <w:pPr>
        <w:pStyle w:val="7"/>
        <w:snapToGrid w:val="0"/>
        <w:spacing w:before="50" w:after="50"/>
        <w:ind w:firstLine="1280" w:firstLineChars="400"/>
        <w:rPr>
          <w:rFonts w:ascii="宋体" w:hAnsi="宋体" w:cs="仿宋_GB2312"/>
          <w:bCs/>
          <w:color w:val="auto"/>
          <w:sz w:val="32"/>
          <w:szCs w:val="32"/>
          <w:highlight w:val="none"/>
        </w:rPr>
      </w:pPr>
    </w:p>
    <w:p>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20" w:beforeLines="50" w:after="50" w:line="360" w:lineRule="auto"/>
        <w:ind w:left="142"/>
        <w:jc w:val="left"/>
        <w:rPr>
          <w:rFonts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20" w:beforeLines="50" w:after="50" w:line="360" w:lineRule="auto"/>
        <w:ind w:firstLine="645"/>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napToGrid w:val="0"/>
        <w:spacing w:before="120" w:beforeLines="50" w:after="50"/>
        <w:rPr>
          <w:rFonts w:ascii="宋体" w:hAnsi="宋体"/>
          <w:color w:val="auto"/>
          <w:sz w:val="24"/>
          <w:szCs w:val="20"/>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20" w:lineRule="exact"/>
        <w:jc w:val="left"/>
        <w:rPr>
          <w:rFonts w:ascii="宋体" w:hAnsi="宋体"/>
          <w:color w:val="auto"/>
          <w:szCs w:val="21"/>
          <w:highlight w:val="none"/>
        </w:rPr>
      </w:pPr>
      <w:r>
        <w:rPr>
          <w:rFonts w:ascii="宋体" w:hAnsi="宋体"/>
          <w:color w:val="auto"/>
          <w:szCs w:val="21"/>
          <w:highlight w:val="none"/>
        </w:rPr>
        <w:br w:type="page"/>
      </w:r>
    </w:p>
    <w:p>
      <w:pPr>
        <w:wordWrap w:val="0"/>
        <w:spacing w:before="120" w:beforeLines="50" w:after="50" w:line="320" w:lineRule="exact"/>
        <w:ind w:right="482" w:firstLine="210" w:firstLineChars="100"/>
        <w:contextualSpacing/>
        <w:jc w:val="center"/>
        <w:rPr>
          <w:rFonts w:ascii="宋体" w:hAnsi="宋体"/>
          <w:color w:val="auto"/>
          <w:szCs w:val="21"/>
          <w:highlight w:val="none"/>
        </w:rPr>
      </w:pP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供应商直接控股、管理关系信息表</w:t>
      </w:r>
    </w:p>
    <w:p>
      <w:pPr>
        <w:snapToGrid w:val="0"/>
        <w:spacing w:before="120" w:beforeLines="50" w:after="50" w:line="360" w:lineRule="auto"/>
        <w:jc w:val="center"/>
        <w:rPr>
          <w:rFonts w:ascii="宋体" w:hAnsi="宋体"/>
          <w:b/>
          <w:color w:val="auto"/>
          <w:sz w:val="24"/>
          <w:highlight w:val="none"/>
        </w:rPr>
      </w:pPr>
    </w:p>
    <w:p>
      <w:pPr>
        <w:spacing w:line="360" w:lineRule="auto"/>
        <w:contextualSpacing/>
        <w:jc w:val="center"/>
        <w:rPr>
          <w:rFonts w:ascii="宋体" w:hAnsi="宋体"/>
          <w:b/>
          <w:color w:val="auto"/>
          <w:sz w:val="32"/>
          <w:szCs w:val="32"/>
          <w:highlight w:val="none"/>
        </w:rPr>
      </w:pPr>
      <w:r>
        <w:rPr>
          <w:rFonts w:hint="eastAsia" w:ascii="宋体" w:hAnsi="宋体"/>
          <w:b/>
          <w:color w:val="auto"/>
          <w:sz w:val="32"/>
          <w:szCs w:val="32"/>
          <w:highlight w:val="none"/>
        </w:rPr>
        <w:t>供应商直接控股股东信息表</w:t>
      </w:r>
    </w:p>
    <w:p>
      <w:pPr>
        <w:spacing w:line="360" w:lineRule="auto"/>
        <w:contextualSpacing/>
        <w:jc w:val="center"/>
        <w:rPr>
          <w:rFonts w:ascii="宋体" w:hAnsi="宋体"/>
          <w:b/>
          <w:color w:val="auto"/>
          <w:sz w:val="24"/>
          <w:highlight w:val="none"/>
        </w:rPr>
      </w:pPr>
    </w:p>
    <w:tbl>
      <w:tblPr>
        <w:tblStyle w:val="43"/>
        <w:tblW w:w="10147" w:type="dxa"/>
        <w:jc w:val="center"/>
        <w:tblInd w:w="0" w:type="dxa"/>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Layout w:type="fixed"/>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tblLayout w:type="fixed"/>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pPr>
        <w:spacing w:line="360" w:lineRule="auto"/>
        <w:ind w:firstLine="420" w:firstLineChars="200"/>
        <w:contextualSpacing/>
        <w:jc w:val="left"/>
        <w:rPr>
          <w:rFonts w:ascii="宋体" w:hAnsi="宋体" w:cs="宋体"/>
          <w:color w:val="auto"/>
          <w:szCs w:val="21"/>
          <w:highlight w:val="none"/>
        </w:rPr>
      </w:pPr>
    </w:p>
    <w:p>
      <w:pPr>
        <w:spacing w:line="360" w:lineRule="auto"/>
        <w:ind w:firstLine="560" w:firstLineChars="200"/>
        <w:contextualSpacing/>
        <w:jc w:val="left"/>
        <w:rPr>
          <w:rFonts w:ascii="宋体" w:hAnsi="宋体" w:cs="宋体"/>
          <w:color w:val="auto"/>
          <w:sz w:val="28"/>
          <w:szCs w:val="28"/>
          <w:highlight w:val="none"/>
        </w:rPr>
      </w:pPr>
    </w:p>
    <w:p>
      <w:pPr>
        <w:spacing w:line="36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p>
    <w:p>
      <w:pPr>
        <w:spacing w:line="360" w:lineRule="auto"/>
        <w:ind w:right="480" w:firstLine="3000" w:firstLineChars="1250"/>
        <w:contextualSpacing/>
        <w:rPr>
          <w:rFonts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p>
    <w:p>
      <w:pPr>
        <w:spacing w:line="360" w:lineRule="auto"/>
        <w:ind w:firstLine="480" w:firstLineChars="200"/>
        <w:contextualSpacing/>
        <w:jc w:val="right"/>
        <w:rPr>
          <w:rFonts w:ascii="宋体" w:hAnsi="宋体" w:cs="宋体"/>
          <w:color w:val="auto"/>
          <w:sz w:val="28"/>
          <w:szCs w:val="28"/>
          <w:highlight w:val="none"/>
        </w:rPr>
      </w:pPr>
      <w:r>
        <w:rPr>
          <w:rFonts w:hint="eastAsia" w:ascii="宋体" w:hAnsi="宋体" w:cs="宋体"/>
          <w:color w:val="auto"/>
          <w:sz w:val="24"/>
          <w:highlight w:val="none"/>
        </w:rPr>
        <w:t>年    月    日</w:t>
      </w:r>
    </w:p>
    <w:p>
      <w:pPr>
        <w:snapToGrid w:val="0"/>
        <w:jc w:val="center"/>
        <w:rPr>
          <w:rFonts w:ascii="宋体" w:hAnsi="宋体"/>
          <w:b/>
          <w:color w:val="auto"/>
          <w:sz w:val="28"/>
          <w:szCs w:val="28"/>
          <w:highlight w:val="none"/>
        </w:rPr>
      </w:pPr>
      <w:r>
        <w:rPr>
          <w:rFonts w:ascii="宋体" w:hAnsi="宋体"/>
          <w:b/>
          <w:color w:val="auto"/>
          <w:sz w:val="28"/>
          <w:szCs w:val="28"/>
          <w:highlight w:val="none"/>
        </w:rPr>
        <w:br w:type="page"/>
      </w:r>
    </w:p>
    <w:p>
      <w:pPr>
        <w:spacing w:line="320" w:lineRule="exact"/>
        <w:jc w:val="center"/>
        <w:rPr>
          <w:rFonts w:ascii="宋体" w:hAnsi="宋体"/>
          <w:b/>
          <w:color w:val="auto"/>
          <w:sz w:val="32"/>
          <w:szCs w:val="32"/>
          <w:highlight w:val="none"/>
        </w:rPr>
      </w:pPr>
      <w:r>
        <w:rPr>
          <w:rFonts w:hint="eastAsia" w:ascii="宋体" w:hAnsi="宋体"/>
          <w:b/>
          <w:color w:val="auto"/>
          <w:sz w:val="32"/>
          <w:szCs w:val="32"/>
          <w:highlight w:val="none"/>
        </w:rPr>
        <w:t>供应商直接管理关系信息表</w:t>
      </w:r>
    </w:p>
    <w:p>
      <w:pPr>
        <w:snapToGrid w:val="0"/>
        <w:spacing w:line="360" w:lineRule="auto"/>
        <w:jc w:val="center"/>
        <w:rPr>
          <w:rFonts w:ascii="宋体" w:hAnsi="宋体"/>
          <w:b/>
          <w:color w:val="auto"/>
          <w:sz w:val="24"/>
          <w:highlight w:val="none"/>
        </w:rPr>
      </w:pPr>
    </w:p>
    <w:tbl>
      <w:tblPr>
        <w:tblStyle w:val="43"/>
        <w:tblW w:w="9652" w:type="dxa"/>
        <w:jc w:val="center"/>
        <w:tblInd w:w="0" w:type="dxa"/>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Layout w:type="fixed"/>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r>
        <w:tblPrEx>
          <w:shd w:val="clear" w:color="auto" w:fill="FBFBFB"/>
          <w:tblLayout w:type="fixed"/>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widowControl/>
              <w:spacing w:line="360" w:lineRule="auto"/>
              <w:contextualSpacing/>
              <w:jc w:val="center"/>
              <w:rPr>
                <w:rFonts w:ascii="宋体" w:hAnsi="宋体" w:cs="宋体"/>
                <w:color w:val="auto"/>
                <w:kern w:val="0"/>
                <w:sz w:val="24"/>
                <w:highlight w:val="none"/>
              </w:rPr>
            </w:pPr>
          </w:p>
        </w:tc>
      </w:tr>
    </w:tbl>
    <w:p>
      <w:pPr>
        <w:spacing w:line="360" w:lineRule="auto"/>
        <w:contextualSpacing/>
        <w:jc w:val="left"/>
        <w:rPr>
          <w:rFonts w:ascii="宋体" w:hAnsi="宋体"/>
          <w:color w:val="auto"/>
          <w:sz w:val="24"/>
          <w:highlight w:val="none"/>
        </w:rPr>
      </w:pPr>
      <w:r>
        <w:rPr>
          <w:rFonts w:hint="eastAsia" w:ascii="宋体" w:hAnsi="宋体"/>
          <w:color w:val="auto"/>
          <w:sz w:val="24"/>
          <w:highlight w:val="none"/>
        </w:rPr>
        <w:t>注：</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pacing w:line="360" w:lineRule="auto"/>
        <w:ind w:firstLine="480" w:firstLineChars="200"/>
        <w:contextualSpacing/>
        <w:jc w:val="left"/>
        <w:rPr>
          <w:rFonts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pPr>
        <w:spacing w:line="360" w:lineRule="auto"/>
        <w:contextualSpacing/>
        <w:jc w:val="left"/>
        <w:rPr>
          <w:rFonts w:ascii="宋体" w:hAnsi="宋体"/>
          <w:color w:val="auto"/>
          <w:sz w:val="28"/>
          <w:szCs w:val="28"/>
          <w:highlight w:val="none"/>
        </w:rPr>
      </w:pPr>
    </w:p>
    <w:p>
      <w:pPr>
        <w:spacing w:line="360" w:lineRule="auto"/>
        <w:contextualSpacing/>
        <w:jc w:val="left"/>
        <w:rPr>
          <w:rFonts w:ascii="宋体" w:hAnsi="宋体"/>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color w:val="auto"/>
          <w:sz w:val="28"/>
          <w:szCs w:val="28"/>
          <w:highlight w:val="none"/>
        </w:rPr>
      </w:pPr>
    </w:p>
    <w:p>
      <w:pPr>
        <w:spacing w:line="360" w:lineRule="auto"/>
        <w:contextualSpacing/>
        <w:jc w:val="left"/>
        <w:rPr>
          <w:rFonts w:ascii="宋体" w:hAnsi="宋体"/>
          <w:color w:val="auto"/>
          <w:sz w:val="28"/>
          <w:szCs w:val="28"/>
          <w:highlight w:val="none"/>
        </w:rPr>
      </w:pPr>
    </w:p>
    <w:p>
      <w:pPr>
        <w:spacing w:line="360" w:lineRule="auto"/>
        <w:ind w:right="480"/>
        <w:contextualSpacing/>
        <w:jc w:val="center"/>
        <w:rPr>
          <w:rFonts w:ascii="宋体" w:hAnsi="宋体"/>
          <w:color w:val="auto"/>
          <w:sz w:val="24"/>
          <w:highlight w:val="none"/>
          <w:u w:val="single"/>
        </w:rPr>
      </w:pPr>
      <w:r>
        <w:rPr>
          <w:rFonts w:hint="eastAsia" w:ascii="宋体" w:hAnsi="宋体"/>
          <w:color w:val="auto"/>
          <w:sz w:val="24"/>
          <w:highlight w:val="none"/>
        </w:rPr>
        <w:t>法定代表人或者委托代理人（签字或者电子签名）：</w:t>
      </w:r>
    </w:p>
    <w:p>
      <w:pPr>
        <w:spacing w:line="360" w:lineRule="auto"/>
        <w:ind w:right="480" w:firstLine="3360" w:firstLineChars="1400"/>
        <w:contextualSpacing/>
        <w:rPr>
          <w:rFonts w:ascii="宋体" w:hAnsi="宋体"/>
          <w:color w:val="auto"/>
          <w:sz w:val="24"/>
          <w:highlight w:val="none"/>
        </w:rPr>
      </w:pPr>
      <w:r>
        <w:rPr>
          <w:rFonts w:hint="eastAsia" w:ascii="宋体" w:hAnsi="宋体"/>
          <w:color w:val="auto"/>
          <w:sz w:val="24"/>
          <w:highlight w:val="none"/>
        </w:rPr>
        <w:t>供应商（电子签章）：</w:t>
      </w:r>
    </w:p>
    <w:p>
      <w:pPr>
        <w:spacing w:line="360" w:lineRule="auto"/>
        <w:ind w:firstLine="480" w:firstLineChars="200"/>
        <w:contextualSpacing/>
        <w:jc w:val="left"/>
        <w:rPr>
          <w:rFonts w:ascii="宋体" w:hAnsi="宋体"/>
          <w:color w:val="auto"/>
          <w:sz w:val="28"/>
          <w:szCs w:val="28"/>
          <w:highlight w:val="none"/>
        </w:rPr>
      </w:pPr>
      <w:r>
        <w:rPr>
          <w:rFonts w:hint="eastAsia" w:ascii="宋体" w:hAnsi="宋体"/>
          <w:color w:val="auto"/>
          <w:sz w:val="24"/>
          <w:highlight w:val="none"/>
        </w:rPr>
        <w:t xml:space="preserve">                                        年    月    日</w:t>
      </w:r>
    </w:p>
    <w:p>
      <w:pPr>
        <w:spacing w:line="320" w:lineRule="exact"/>
        <w:jc w:val="center"/>
        <w:rPr>
          <w:rFonts w:ascii="宋体" w:hAnsi="宋体"/>
          <w:b/>
          <w:color w:val="auto"/>
          <w:sz w:val="32"/>
          <w:szCs w:val="32"/>
          <w:highlight w:val="none"/>
        </w:rPr>
      </w:pPr>
      <w:r>
        <w:rPr>
          <w:rFonts w:ascii="宋体" w:hAnsi="宋体"/>
          <w:color w:val="auto"/>
          <w:sz w:val="28"/>
          <w:szCs w:val="28"/>
          <w:highlight w:val="none"/>
        </w:rPr>
        <w:br w:type="page"/>
      </w:r>
      <w:r>
        <w:rPr>
          <w:rFonts w:hint="eastAsia" w:ascii="宋体" w:hAnsi="宋体"/>
          <w:b/>
          <w:color w:val="auto"/>
          <w:sz w:val="32"/>
          <w:szCs w:val="32"/>
          <w:highlight w:val="none"/>
        </w:rPr>
        <w:t>竞标声明</w:t>
      </w:r>
    </w:p>
    <w:p>
      <w:pPr>
        <w:spacing w:line="320" w:lineRule="exact"/>
        <w:jc w:val="center"/>
        <w:rPr>
          <w:rFonts w:ascii="宋体" w:hAnsi="宋体"/>
          <w:color w:val="auto"/>
          <w:sz w:val="24"/>
          <w:szCs w:val="20"/>
          <w:highlight w:val="none"/>
        </w:rPr>
      </w:pP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p>
    <w:p>
      <w:pPr>
        <w:pStyle w:val="24"/>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7.与本磋商有关的一切正式往来信函请寄：邮政编号：</w:t>
      </w:r>
    </w:p>
    <w:p>
      <w:pPr>
        <w:pStyle w:val="24"/>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 电子邮箱：</w:t>
      </w:r>
    </w:p>
    <w:p>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  帐号：</w:t>
      </w:r>
    </w:p>
    <w:p>
      <w:pPr>
        <w:pStyle w:val="20"/>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20"/>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ind w:firstLine="482" w:firstLineChars="200"/>
        <w:contextualSpacing/>
        <w:jc w:val="left"/>
        <w:rPr>
          <w:rFonts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pPr>
        <w:spacing w:line="360" w:lineRule="auto"/>
        <w:contextualSpacing/>
        <w:jc w:val="left"/>
        <w:rPr>
          <w:rFonts w:ascii="宋体" w:hAnsi="宋体" w:cs="宋体"/>
          <w:color w:val="auto"/>
          <w:szCs w:val="21"/>
          <w:highlight w:val="none"/>
        </w:rPr>
      </w:pPr>
    </w:p>
    <w:p>
      <w:pPr>
        <w:spacing w:line="360" w:lineRule="auto"/>
        <w:ind w:firstLine="1575" w:firstLineChars="750"/>
        <w:contextualSpacing/>
        <w:rPr>
          <w:color w:val="auto"/>
          <w:highlight w:val="none"/>
        </w:rPr>
      </w:pPr>
      <w:r>
        <w:rPr>
          <w:rFonts w:hint="eastAsia"/>
          <w:color w:val="auto"/>
          <w:highlight w:val="none"/>
        </w:rPr>
        <w:t>法定代表人（</w:t>
      </w:r>
      <w:r>
        <w:rPr>
          <w:rFonts w:hint="eastAsia" w:ascii="宋体" w:hAnsi="宋体"/>
          <w:color w:val="auto"/>
          <w:sz w:val="24"/>
          <w:highlight w:val="none"/>
        </w:rPr>
        <w:t>签字或者盖章或者电子签名</w:t>
      </w:r>
      <w:r>
        <w:rPr>
          <w:rFonts w:hint="eastAsia"/>
          <w:color w:val="auto"/>
          <w:highlight w:val="none"/>
        </w:rPr>
        <w:t>）：</w:t>
      </w:r>
    </w:p>
    <w:p>
      <w:pPr>
        <w:spacing w:line="360" w:lineRule="auto"/>
        <w:ind w:firstLine="3780" w:firstLineChars="1800"/>
        <w:contextualSpacing/>
        <w:rPr>
          <w:rFonts w:ascii="宋体" w:hAnsi="宋体" w:cs="宋体"/>
          <w:color w:val="auto"/>
          <w:szCs w:val="21"/>
          <w:highlight w:val="none"/>
          <w:u w:val="single"/>
        </w:rPr>
      </w:pPr>
      <w:r>
        <w:rPr>
          <w:rFonts w:hint="eastAsia"/>
          <w:color w:val="auto"/>
          <w:highlight w:val="none"/>
        </w:rPr>
        <w:t>供应商（电子签章）：</w:t>
      </w:r>
    </w:p>
    <w:p>
      <w:pPr>
        <w:pStyle w:val="20"/>
        <w:tabs>
          <w:tab w:val="left" w:pos="939"/>
        </w:tabs>
        <w:spacing w:line="360" w:lineRule="auto"/>
        <w:ind w:left="0" w:leftChars="0" w:firstLine="420" w:firstLineChars="200"/>
        <w:jc w:val="center"/>
        <w:rPr>
          <w:rFonts w:hint="eastAsia"/>
          <w:color w:val="auto"/>
          <w:highlight w:val="none"/>
        </w:rPr>
      </w:pPr>
      <w:r>
        <w:rPr>
          <w:rFonts w:hint="eastAsia"/>
          <w:color w:val="auto"/>
          <w:highlight w:val="none"/>
        </w:rPr>
        <w:t>年月日</w:t>
      </w:r>
    </w:p>
    <w:p>
      <w:pPr>
        <w:pStyle w:val="20"/>
        <w:tabs>
          <w:tab w:val="left" w:pos="939"/>
        </w:tabs>
        <w:spacing w:line="360" w:lineRule="auto"/>
        <w:ind w:left="0" w:leftChars="0" w:firstLine="420" w:firstLineChars="200"/>
        <w:jc w:val="center"/>
        <w:rPr>
          <w:rFonts w:hint="eastAsia"/>
          <w:color w:val="auto"/>
          <w:highlight w:val="none"/>
        </w:rPr>
      </w:pPr>
    </w:p>
    <w:p>
      <w:pPr>
        <w:pStyle w:val="20"/>
        <w:tabs>
          <w:tab w:val="left" w:pos="939"/>
        </w:tabs>
        <w:spacing w:line="360" w:lineRule="auto"/>
        <w:ind w:left="0" w:leftChars="0" w:firstLine="420" w:firstLineChars="200"/>
        <w:jc w:val="center"/>
        <w:rPr>
          <w:rFonts w:hint="eastAsia"/>
          <w:color w:val="auto"/>
          <w:highlight w:val="none"/>
        </w:rPr>
      </w:pPr>
    </w:p>
    <w:p>
      <w:pPr>
        <w:rPr>
          <w:rFonts w:hint="eastAsia"/>
          <w:color w:val="auto"/>
          <w:highlight w:val="none"/>
        </w:rPr>
      </w:pPr>
      <w:r>
        <w:rPr>
          <w:rFonts w:hint="eastAsia"/>
          <w:color w:val="auto"/>
          <w:highlight w:val="none"/>
        </w:rPr>
        <w:br w:type="page"/>
      </w:r>
    </w:p>
    <w:p>
      <w:pPr>
        <w:spacing w:before="143" w:line="219" w:lineRule="auto"/>
        <w:ind w:left="271"/>
        <w:rPr>
          <w:rFonts w:ascii="宋体" w:hAnsi="宋体" w:cs="宋体"/>
          <w:color w:val="auto"/>
          <w:sz w:val="44"/>
          <w:szCs w:val="44"/>
          <w:highlight w:val="none"/>
        </w:rPr>
      </w:pPr>
      <w:r>
        <w:rPr>
          <w:rFonts w:ascii="宋体" w:hAnsi="宋体" w:cs="宋体"/>
          <w:b/>
          <w:bCs/>
          <w:color w:val="auto"/>
          <w:spacing w:val="7"/>
          <w:sz w:val="44"/>
          <w:szCs w:val="44"/>
          <w:highlight w:val="none"/>
        </w:rPr>
        <w:t>百色市政府采购供应商信用承诺函(格式)</w:t>
      </w:r>
    </w:p>
    <w:p>
      <w:pPr>
        <w:spacing w:line="298" w:lineRule="auto"/>
        <w:rPr>
          <w:rFonts w:ascii="Arial"/>
          <w:color w:val="auto"/>
          <w:highlight w:val="none"/>
        </w:rPr>
      </w:pPr>
    </w:p>
    <w:p>
      <w:pPr>
        <w:spacing w:line="298" w:lineRule="auto"/>
        <w:rPr>
          <w:rFonts w:ascii="Arial"/>
          <w:color w:val="auto"/>
          <w:highlight w:val="none"/>
        </w:rPr>
      </w:pPr>
    </w:p>
    <w:p>
      <w:pPr>
        <w:pStyle w:val="18"/>
        <w:spacing w:before="104" w:line="316" w:lineRule="auto"/>
        <w:rPr>
          <w:color w:val="auto"/>
          <w:sz w:val="31"/>
          <w:szCs w:val="31"/>
          <w:highlight w:val="none"/>
        </w:rPr>
      </w:pPr>
      <w:r>
        <w:rPr>
          <w:rFonts w:ascii="宋体" w:hAnsi="宋体" w:cs="宋体"/>
          <w:b/>
          <w:bCs/>
          <w:i/>
          <w:iCs/>
          <w:color w:val="auto"/>
          <w:spacing w:val="-10"/>
          <w:sz w:val="32"/>
          <w:szCs w:val="32"/>
          <w:highlight w:val="none"/>
        </w:rPr>
        <w:t>致.</w:t>
      </w:r>
      <w:r>
        <w:rPr>
          <w:rFonts w:ascii="宋体" w:hAnsi="宋体" w:cs="宋体"/>
          <w:color w:val="auto"/>
          <w:spacing w:val="-10"/>
          <w:sz w:val="32"/>
          <w:szCs w:val="32"/>
          <w:highlight w:val="none"/>
        </w:rPr>
        <w:t xml:space="preserve"> </w:t>
      </w:r>
      <w:r>
        <w:rPr>
          <w:color w:val="auto"/>
          <w:spacing w:val="-76"/>
          <w:sz w:val="31"/>
          <w:szCs w:val="31"/>
          <w:highlight w:val="none"/>
          <w:u w:val="single"/>
        </w:rPr>
        <w:t xml:space="preserve"> </w:t>
      </w:r>
      <w:r>
        <w:rPr>
          <w:b/>
          <w:bCs/>
          <w:color w:val="auto"/>
          <w:spacing w:val="-10"/>
          <w:sz w:val="31"/>
          <w:szCs w:val="31"/>
          <w:highlight w:val="none"/>
          <w:u w:val="single"/>
        </w:rPr>
        <w:t>(采购人或采购代理机构)</w:t>
      </w:r>
      <w:r>
        <w:rPr>
          <w:color w:val="auto"/>
          <w:spacing w:val="-10"/>
          <w:sz w:val="31"/>
          <w:szCs w:val="31"/>
          <w:highlight w:val="none"/>
          <w:u w:val="single"/>
        </w:rPr>
        <w:t xml:space="preserve"> </w:t>
      </w:r>
      <w:r>
        <w:rPr>
          <w:color w:val="auto"/>
          <w:spacing w:val="-10"/>
          <w:sz w:val="31"/>
          <w:szCs w:val="31"/>
          <w:highlight w:val="none"/>
        </w:rPr>
        <w:t xml:space="preserve"> </w:t>
      </w:r>
      <w:r>
        <w:rPr>
          <w:b/>
          <w:bCs/>
          <w:color w:val="auto"/>
          <w:spacing w:val="-10"/>
          <w:sz w:val="31"/>
          <w:szCs w:val="31"/>
          <w:highlight w:val="none"/>
        </w:rPr>
        <w:t>:</w:t>
      </w:r>
    </w:p>
    <w:p>
      <w:pPr>
        <w:pStyle w:val="18"/>
        <w:spacing w:before="1" w:line="220" w:lineRule="auto"/>
        <w:ind w:left="639"/>
        <w:rPr>
          <w:color w:val="auto"/>
          <w:sz w:val="31"/>
          <w:szCs w:val="31"/>
          <w:highlight w:val="none"/>
        </w:rPr>
      </w:pPr>
      <w:r>
        <w:rPr>
          <w:b/>
          <w:bCs/>
          <w:color w:val="auto"/>
          <w:spacing w:val="-11"/>
          <w:sz w:val="31"/>
          <w:szCs w:val="31"/>
          <w:highlight w:val="none"/>
        </w:rPr>
        <w:t>供应商名称：</w:t>
      </w:r>
    </w:p>
    <w:p>
      <w:pPr>
        <w:pStyle w:val="18"/>
        <w:spacing w:before="180" w:line="562" w:lineRule="exact"/>
        <w:ind w:left="639"/>
        <w:rPr>
          <w:color w:val="auto"/>
          <w:sz w:val="31"/>
          <w:szCs w:val="31"/>
          <w:highlight w:val="none"/>
        </w:rPr>
      </w:pPr>
      <w:r>
        <w:rPr>
          <w:b/>
          <w:bCs/>
          <w:color w:val="auto"/>
          <w:spacing w:val="-10"/>
          <w:position w:val="18"/>
          <w:sz w:val="31"/>
          <w:szCs w:val="31"/>
          <w:highlight w:val="none"/>
        </w:rPr>
        <w:t>统一社会信用代码：</w:t>
      </w:r>
    </w:p>
    <w:p>
      <w:pPr>
        <w:pStyle w:val="18"/>
        <w:spacing w:line="223" w:lineRule="auto"/>
        <w:ind w:left="639"/>
        <w:rPr>
          <w:color w:val="auto"/>
          <w:sz w:val="31"/>
          <w:szCs w:val="31"/>
          <w:highlight w:val="none"/>
        </w:rPr>
      </w:pPr>
      <w:r>
        <w:rPr>
          <w:b/>
          <w:bCs/>
          <w:color w:val="auto"/>
          <w:spacing w:val="-11"/>
          <w:sz w:val="31"/>
          <w:szCs w:val="31"/>
          <w:highlight w:val="none"/>
        </w:rPr>
        <w:t>供应商地址：</w:t>
      </w:r>
    </w:p>
    <w:p>
      <w:pPr>
        <w:pStyle w:val="18"/>
        <w:spacing w:before="151" w:line="328" w:lineRule="auto"/>
        <w:ind w:left="9" w:firstLine="629"/>
        <w:rPr>
          <w:color w:val="auto"/>
          <w:sz w:val="31"/>
          <w:szCs w:val="31"/>
          <w:highlight w:val="none"/>
        </w:rPr>
      </w:pPr>
      <w:r>
        <w:rPr>
          <w:b/>
          <w:bCs/>
          <w:color w:val="auto"/>
          <w:spacing w:val="8"/>
          <w:sz w:val="31"/>
          <w:szCs w:val="31"/>
          <w:highlight w:val="none"/>
        </w:rPr>
        <w:t>我方自愿参加</w:t>
      </w:r>
      <w:r>
        <w:rPr>
          <w:color w:val="auto"/>
          <w:spacing w:val="-132"/>
          <w:sz w:val="31"/>
          <w:szCs w:val="31"/>
          <w:highlight w:val="none"/>
        </w:rPr>
        <w:t xml:space="preserve"> </w:t>
      </w:r>
      <w:r>
        <w:rPr>
          <w:color w:val="auto"/>
          <w:spacing w:val="134"/>
          <w:sz w:val="31"/>
          <w:szCs w:val="31"/>
          <w:highlight w:val="none"/>
          <w:u w:val="single"/>
        </w:rPr>
        <w:t xml:space="preserve"> </w:t>
      </w:r>
      <w:r>
        <w:rPr>
          <w:b/>
          <w:bCs/>
          <w:color w:val="auto"/>
          <w:spacing w:val="8"/>
          <w:sz w:val="31"/>
          <w:szCs w:val="31"/>
          <w:highlight w:val="none"/>
          <w:u w:val="single"/>
        </w:rPr>
        <w:t>(项目名称)</w:t>
      </w:r>
      <w:r>
        <w:rPr>
          <w:color w:val="auto"/>
          <w:spacing w:val="85"/>
          <w:sz w:val="31"/>
          <w:szCs w:val="31"/>
          <w:highlight w:val="none"/>
        </w:rPr>
        <w:t xml:space="preserve"> </w:t>
      </w:r>
      <w:r>
        <w:rPr>
          <w:b/>
          <w:bCs/>
          <w:color w:val="auto"/>
          <w:spacing w:val="8"/>
          <w:sz w:val="31"/>
          <w:szCs w:val="31"/>
          <w:highlight w:val="none"/>
        </w:rPr>
        <w:t>项目</w:t>
      </w:r>
      <w:r>
        <w:rPr>
          <w:color w:val="auto"/>
          <w:spacing w:val="-93"/>
          <w:sz w:val="31"/>
          <w:szCs w:val="31"/>
          <w:highlight w:val="none"/>
          <w:u w:val="single"/>
        </w:rPr>
        <w:t xml:space="preserve"> </w:t>
      </w:r>
      <w:r>
        <w:rPr>
          <w:b/>
          <w:bCs/>
          <w:color w:val="auto"/>
          <w:spacing w:val="8"/>
          <w:sz w:val="31"/>
          <w:szCs w:val="31"/>
          <w:highlight w:val="none"/>
          <w:u w:val="single"/>
        </w:rPr>
        <w:t>(项目：编</w:t>
      </w:r>
      <w:r>
        <w:rPr>
          <w:b/>
          <w:bCs/>
          <w:color w:val="auto"/>
          <w:spacing w:val="7"/>
          <w:sz w:val="31"/>
          <w:szCs w:val="31"/>
          <w:highlight w:val="none"/>
          <w:u w:val="single"/>
        </w:rPr>
        <w:t>号</w:t>
      </w:r>
      <w:r>
        <w:rPr>
          <w:color w:val="auto"/>
          <w:spacing w:val="35"/>
          <w:sz w:val="31"/>
          <w:szCs w:val="31"/>
          <w:highlight w:val="none"/>
          <w:u w:val="single"/>
        </w:rPr>
        <w:t xml:space="preserve">   </w:t>
      </w:r>
      <w:r>
        <w:rPr>
          <w:b/>
          <w:bCs/>
          <w:color w:val="auto"/>
          <w:spacing w:val="7"/>
          <w:sz w:val="31"/>
          <w:szCs w:val="31"/>
          <w:highlight w:val="none"/>
          <w:u w:val="single"/>
        </w:rPr>
        <w:t>)</w:t>
      </w:r>
      <w:r>
        <w:rPr>
          <w:b/>
          <w:bCs/>
          <w:color w:val="auto"/>
          <w:spacing w:val="7"/>
          <w:sz w:val="31"/>
          <w:szCs w:val="31"/>
          <w:highlight w:val="none"/>
        </w:rPr>
        <w:t>的政</w:t>
      </w:r>
      <w:r>
        <w:rPr>
          <w:color w:val="auto"/>
          <w:spacing w:val="1"/>
          <w:sz w:val="31"/>
          <w:szCs w:val="31"/>
          <w:highlight w:val="none"/>
        </w:rPr>
        <w:t xml:space="preserve"> </w:t>
      </w:r>
      <w:r>
        <w:rPr>
          <w:b/>
          <w:bCs/>
          <w:color w:val="auto"/>
          <w:spacing w:val="-1"/>
          <w:sz w:val="31"/>
          <w:szCs w:val="31"/>
          <w:highlight w:val="none"/>
        </w:rPr>
        <w:t>府采购活动，严格遵守《中华人民共和国政府采购法》及</w:t>
      </w:r>
      <w:r>
        <w:rPr>
          <w:b/>
          <w:bCs/>
          <w:color w:val="auto"/>
          <w:spacing w:val="-2"/>
          <w:sz w:val="31"/>
          <w:szCs w:val="31"/>
          <w:highlight w:val="none"/>
        </w:rPr>
        <w:t>相关法</w:t>
      </w:r>
      <w:r>
        <w:rPr>
          <w:b/>
          <w:bCs/>
          <w:color w:val="auto"/>
          <w:spacing w:val="-1"/>
          <w:sz w:val="31"/>
          <w:szCs w:val="31"/>
          <w:highlight w:val="none"/>
        </w:rPr>
        <w:t>律法规，依法诚信经营，无条件遵守本次政府采购活动的各项规</w:t>
      </w:r>
      <w:r>
        <w:rPr>
          <w:b/>
          <w:bCs/>
          <w:color w:val="auto"/>
          <w:sz w:val="31"/>
          <w:szCs w:val="31"/>
          <w:highlight w:val="none"/>
        </w:rPr>
        <w:t>定。并郑重承诺，我方符合《中华人民共和国政府采购法</w:t>
      </w:r>
      <w:r>
        <w:rPr>
          <w:b/>
          <w:bCs/>
          <w:color w:val="auto"/>
          <w:spacing w:val="-1"/>
          <w:sz w:val="31"/>
          <w:szCs w:val="31"/>
          <w:highlight w:val="none"/>
        </w:rPr>
        <w:t>》第二</w:t>
      </w:r>
    </w:p>
    <w:p>
      <w:pPr>
        <w:pStyle w:val="18"/>
        <w:spacing w:before="1" w:line="222" w:lineRule="auto"/>
        <w:ind w:left="9"/>
        <w:rPr>
          <w:color w:val="auto"/>
          <w:sz w:val="31"/>
          <w:szCs w:val="31"/>
          <w:highlight w:val="none"/>
        </w:rPr>
      </w:pPr>
      <w:r>
        <w:rPr>
          <w:b/>
          <w:bCs/>
          <w:color w:val="auto"/>
          <w:spacing w:val="-10"/>
          <w:sz w:val="31"/>
          <w:szCs w:val="31"/>
          <w:highlight w:val="none"/>
        </w:rPr>
        <w:t>十二条规定的条件：</w:t>
      </w:r>
    </w:p>
    <w:p>
      <w:pPr>
        <w:pStyle w:val="18"/>
        <w:spacing w:before="205" w:line="222" w:lineRule="auto"/>
        <w:ind w:left="639"/>
        <w:rPr>
          <w:color w:val="auto"/>
          <w:sz w:val="31"/>
          <w:szCs w:val="31"/>
          <w:highlight w:val="none"/>
        </w:rPr>
      </w:pPr>
      <w:r>
        <w:rPr>
          <w:b/>
          <w:bCs/>
          <w:color w:val="auto"/>
          <w:spacing w:val="-9"/>
          <w:sz w:val="31"/>
          <w:szCs w:val="31"/>
          <w:highlight w:val="none"/>
        </w:rPr>
        <w:t>1.具有独立承担民事责任的能力。</w:t>
      </w:r>
    </w:p>
    <w:p>
      <w:pPr>
        <w:pStyle w:val="18"/>
        <w:spacing w:before="176" w:line="221" w:lineRule="auto"/>
        <w:ind w:left="639"/>
        <w:rPr>
          <w:color w:val="auto"/>
          <w:sz w:val="31"/>
          <w:szCs w:val="31"/>
          <w:highlight w:val="none"/>
        </w:rPr>
      </w:pPr>
      <w:r>
        <w:rPr>
          <w:b/>
          <w:bCs/>
          <w:color w:val="auto"/>
          <w:spacing w:val="-4"/>
          <w:sz w:val="31"/>
          <w:szCs w:val="31"/>
          <w:highlight w:val="none"/>
        </w:rPr>
        <w:t>2.具有符合采购文件资格要求的财务状况报告。</w:t>
      </w:r>
    </w:p>
    <w:p>
      <w:pPr>
        <w:pStyle w:val="18"/>
        <w:spacing w:before="169" w:line="574" w:lineRule="exact"/>
        <w:ind w:right="26"/>
        <w:jc w:val="right"/>
        <w:rPr>
          <w:color w:val="auto"/>
          <w:sz w:val="31"/>
          <w:szCs w:val="31"/>
          <w:highlight w:val="none"/>
        </w:rPr>
      </w:pPr>
      <w:r>
        <w:rPr>
          <w:b/>
          <w:bCs/>
          <w:color w:val="auto"/>
          <w:spacing w:val="10"/>
          <w:position w:val="19"/>
          <w:sz w:val="31"/>
          <w:szCs w:val="31"/>
          <w:highlight w:val="none"/>
        </w:rPr>
        <w:t>3.具有符合采购文件资格要求的依法缴纳税收和社会保障</w:t>
      </w:r>
    </w:p>
    <w:p>
      <w:pPr>
        <w:pStyle w:val="18"/>
        <w:spacing w:line="223" w:lineRule="auto"/>
        <w:ind w:left="9"/>
        <w:rPr>
          <w:color w:val="auto"/>
          <w:sz w:val="31"/>
          <w:szCs w:val="31"/>
          <w:highlight w:val="none"/>
        </w:rPr>
      </w:pPr>
      <w:r>
        <w:rPr>
          <w:b/>
          <w:bCs/>
          <w:color w:val="auto"/>
          <w:spacing w:val="-10"/>
          <w:sz w:val="31"/>
          <w:szCs w:val="31"/>
          <w:highlight w:val="none"/>
        </w:rPr>
        <w:t>记录的良好记录。</w:t>
      </w:r>
    </w:p>
    <w:p>
      <w:pPr>
        <w:pStyle w:val="18"/>
        <w:spacing w:before="172" w:line="551" w:lineRule="exact"/>
        <w:ind w:right="24"/>
        <w:jc w:val="right"/>
        <w:rPr>
          <w:color w:val="auto"/>
          <w:sz w:val="31"/>
          <w:szCs w:val="31"/>
          <w:highlight w:val="none"/>
        </w:rPr>
      </w:pPr>
      <w:r>
        <w:rPr>
          <w:b/>
          <w:bCs/>
          <w:color w:val="auto"/>
          <w:spacing w:val="11"/>
          <w:position w:val="17"/>
          <w:sz w:val="31"/>
          <w:szCs w:val="31"/>
          <w:highlight w:val="none"/>
        </w:rPr>
        <w:t>4.具有符合采购文件资格要求履行合同所</w:t>
      </w:r>
      <w:r>
        <w:rPr>
          <w:b/>
          <w:bCs/>
          <w:color w:val="auto"/>
          <w:spacing w:val="10"/>
          <w:position w:val="17"/>
          <w:sz w:val="31"/>
          <w:szCs w:val="31"/>
          <w:highlight w:val="none"/>
        </w:rPr>
        <w:t>必需的设备和专</w:t>
      </w:r>
    </w:p>
    <w:p>
      <w:pPr>
        <w:pStyle w:val="18"/>
        <w:spacing w:before="1" w:line="221" w:lineRule="auto"/>
        <w:ind w:left="9"/>
        <w:rPr>
          <w:color w:val="auto"/>
          <w:sz w:val="31"/>
          <w:szCs w:val="31"/>
          <w:highlight w:val="none"/>
        </w:rPr>
      </w:pPr>
      <w:r>
        <w:rPr>
          <w:b/>
          <w:bCs/>
          <w:color w:val="auto"/>
          <w:spacing w:val="-12"/>
          <w:sz w:val="31"/>
          <w:szCs w:val="31"/>
          <w:highlight w:val="none"/>
        </w:rPr>
        <w:t>业技术能力。</w:t>
      </w:r>
    </w:p>
    <w:p>
      <w:pPr>
        <w:pStyle w:val="18"/>
        <w:spacing w:before="164" w:line="566" w:lineRule="exact"/>
        <w:ind w:right="28"/>
        <w:jc w:val="right"/>
        <w:rPr>
          <w:color w:val="auto"/>
          <w:sz w:val="31"/>
          <w:szCs w:val="31"/>
          <w:highlight w:val="none"/>
        </w:rPr>
      </w:pPr>
      <w:r>
        <w:rPr>
          <w:b/>
          <w:bCs/>
          <w:color w:val="auto"/>
          <w:spacing w:val="-2"/>
          <w:position w:val="19"/>
          <w:sz w:val="31"/>
          <w:szCs w:val="31"/>
          <w:highlight w:val="none"/>
        </w:rPr>
        <w:t>5.参加政府采购活动前三年内，在经营活动中没有重大违法</w:t>
      </w:r>
    </w:p>
    <w:p>
      <w:pPr>
        <w:pStyle w:val="18"/>
        <w:spacing w:line="223" w:lineRule="auto"/>
        <w:ind w:left="9"/>
        <w:rPr>
          <w:color w:val="auto"/>
          <w:sz w:val="31"/>
          <w:szCs w:val="31"/>
          <w:highlight w:val="none"/>
        </w:rPr>
      </w:pPr>
      <w:r>
        <w:rPr>
          <w:b/>
          <w:bCs/>
          <w:color w:val="auto"/>
          <w:spacing w:val="-17"/>
          <w:sz w:val="31"/>
          <w:szCs w:val="31"/>
          <w:highlight w:val="none"/>
        </w:rPr>
        <w:t>记录。</w:t>
      </w:r>
    </w:p>
    <w:p>
      <w:pPr>
        <w:pStyle w:val="18"/>
        <w:spacing w:before="182" w:line="221" w:lineRule="auto"/>
        <w:ind w:left="639"/>
        <w:rPr>
          <w:color w:val="auto"/>
          <w:sz w:val="31"/>
          <w:szCs w:val="31"/>
          <w:highlight w:val="none"/>
        </w:rPr>
      </w:pPr>
      <w:r>
        <w:rPr>
          <w:b/>
          <w:bCs/>
          <w:color w:val="auto"/>
          <w:spacing w:val="3"/>
          <w:sz w:val="31"/>
          <w:szCs w:val="31"/>
          <w:highlight w:val="none"/>
        </w:rPr>
        <w:t>6.法律、行政法规规定的其他条件。</w:t>
      </w:r>
    </w:p>
    <w:p>
      <w:pPr>
        <w:spacing w:line="221" w:lineRule="auto"/>
        <w:rPr>
          <w:color w:val="auto"/>
          <w:sz w:val="31"/>
          <w:szCs w:val="31"/>
          <w:highlight w:val="none"/>
        </w:rPr>
        <w:sectPr>
          <w:footerReference r:id="rId7" w:type="default"/>
          <w:pgSz w:w="11830" w:h="16590"/>
          <w:pgMar w:top="1410" w:right="1515" w:bottom="1237" w:left="1534" w:header="0" w:footer="929" w:gutter="0"/>
          <w:pgNumType w:fmt="decimal" w:start="1"/>
          <w:cols w:space="720" w:num="1"/>
        </w:sectPr>
      </w:pPr>
    </w:p>
    <w:p>
      <w:pPr>
        <w:spacing w:line="307" w:lineRule="auto"/>
        <w:rPr>
          <w:rFonts w:ascii="Arial"/>
          <w:color w:val="auto"/>
          <w:highlight w:val="none"/>
        </w:rPr>
      </w:pPr>
    </w:p>
    <w:p>
      <w:pPr>
        <w:spacing w:line="307" w:lineRule="auto"/>
        <w:rPr>
          <w:rFonts w:ascii="Arial"/>
          <w:color w:val="auto"/>
          <w:highlight w:val="none"/>
        </w:rPr>
      </w:pPr>
    </w:p>
    <w:p>
      <w:pPr>
        <w:pStyle w:val="18"/>
        <w:spacing w:before="101" w:line="553" w:lineRule="exact"/>
        <w:ind w:right="23"/>
        <w:jc w:val="right"/>
        <w:rPr>
          <w:color w:val="auto"/>
          <w:sz w:val="31"/>
          <w:szCs w:val="31"/>
          <w:highlight w:val="none"/>
        </w:rPr>
      </w:pPr>
      <w:r>
        <w:rPr>
          <w:b/>
          <w:bCs/>
          <w:color w:val="auto"/>
          <w:spacing w:val="13"/>
          <w:position w:val="17"/>
          <w:sz w:val="31"/>
          <w:szCs w:val="31"/>
          <w:highlight w:val="none"/>
        </w:rPr>
        <w:t>若我方保证上述承诺事项的真实性。如有虚假</w:t>
      </w:r>
      <w:r>
        <w:rPr>
          <w:b/>
          <w:bCs/>
          <w:color w:val="auto"/>
          <w:spacing w:val="12"/>
          <w:position w:val="17"/>
          <w:sz w:val="31"/>
          <w:szCs w:val="31"/>
          <w:highlight w:val="none"/>
        </w:rPr>
        <w:t>，将依法承</w:t>
      </w:r>
    </w:p>
    <w:p>
      <w:pPr>
        <w:pStyle w:val="18"/>
        <w:spacing w:before="1" w:line="221" w:lineRule="auto"/>
        <w:rPr>
          <w:color w:val="auto"/>
          <w:sz w:val="31"/>
          <w:szCs w:val="31"/>
          <w:highlight w:val="none"/>
        </w:rPr>
      </w:pPr>
      <w:r>
        <w:rPr>
          <w:b/>
          <w:bCs/>
          <w:color w:val="auto"/>
          <w:spacing w:val="-6"/>
          <w:sz w:val="31"/>
          <w:szCs w:val="31"/>
          <w:highlight w:val="none"/>
        </w:rPr>
        <w:t>担相应的法律责任。</w:t>
      </w:r>
    </w:p>
    <w:p>
      <w:pPr>
        <w:spacing w:line="320" w:lineRule="auto"/>
        <w:rPr>
          <w:rFonts w:ascii="Arial"/>
          <w:color w:val="auto"/>
          <w:highlight w:val="none"/>
        </w:rPr>
      </w:pPr>
    </w:p>
    <w:p>
      <w:pPr>
        <w:spacing w:line="321" w:lineRule="auto"/>
        <w:rPr>
          <w:rFonts w:ascii="Arial"/>
          <w:color w:val="auto"/>
          <w:highlight w:val="none"/>
        </w:rPr>
      </w:pPr>
    </w:p>
    <w:p>
      <w:pPr>
        <w:pStyle w:val="18"/>
        <w:spacing w:before="101" w:line="563" w:lineRule="exact"/>
        <w:ind w:left="3680"/>
        <w:rPr>
          <w:color w:val="auto"/>
          <w:sz w:val="31"/>
          <w:szCs w:val="31"/>
          <w:highlight w:val="none"/>
        </w:rPr>
      </w:pPr>
      <w:r>
        <w:rPr>
          <w:b/>
          <w:bCs/>
          <w:color w:val="auto"/>
          <w:spacing w:val="18"/>
          <w:position w:val="18"/>
          <w:sz w:val="31"/>
          <w:szCs w:val="31"/>
          <w:highlight w:val="none"/>
        </w:rPr>
        <w:t>供应商名称(公章):</w:t>
      </w:r>
    </w:p>
    <w:p>
      <w:pPr>
        <w:pStyle w:val="18"/>
        <w:spacing w:line="222" w:lineRule="auto"/>
        <w:ind w:left="2250"/>
        <w:rPr>
          <w:color w:val="auto"/>
          <w:sz w:val="31"/>
          <w:szCs w:val="31"/>
          <w:highlight w:val="none"/>
        </w:rPr>
      </w:pPr>
      <w:r>
        <w:rPr>
          <w:b/>
          <w:bCs/>
          <w:color w:val="auto"/>
          <w:spacing w:val="-6"/>
          <w:sz w:val="31"/>
          <w:szCs w:val="31"/>
          <w:highlight w:val="none"/>
        </w:rPr>
        <w:t>法定代表人或授权代表(签名):</w:t>
      </w:r>
    </w:p>
    <w:p>
      <w:pPr>
        <w:spacing w:line="343" w:lineRule="auto"/>
        <w:rPr>
          <w:rFonts w:ascii="Arial"/>
          <w:color w:val="auto"/>
          <w:highlight w:val="none"/>
        </w:rPr>
      </w:pPr>
    </w:p>
    <w:p>
      <w:pPr>
        <w:spacing w:line="344" w:lineRule="auto"/>
        <w:rPr>
          <w:rFonts w:ascii="Arial"/>
          <w:color w:val="auto"/>
          <w:highlight w:val="none"/>
        </w:rPr>
      </w:pPr>
    </w:p>
    <w:p>
      <w:pPr>
        <w:pStyle w:val="18"/>
        <w:spacing w:before="85" w:line="222" w:lineRule="auto"/>
        <w:ind w:left="4219"/>
        <w:rPr>
          <w:color w:val="auto"/>
          <w:sz w:val="32"/>
          <w:szCs w:val="32"/>
          <w:highlight w:val="none"/>
        </w:rPr>
      </w:pPr>
      <w:r>
        <w:rPr>
          <w:b/>
          <w:bCs/>
          <w:color w:val="auto"/>
          <w:spacing w:val="-28"/>
          <w:sz w:val="32"/>
          <w:szCs w:val="32"/>
          <w:highlight w:val="none"/>
        </w:rPr>
        <w:t>日</w:t>
      </w:r>
      <w:r>
        <w:rPr>
          <w:color w:val="auto"/>
          <w:spacing w:val="-28"/>
          <w:sz w:val="32"/>
          <w:szCs w:val="32"/>
          <w:highlight w:val="none"/>
        </w:rPr>
        <w:t xml:space="preserve"> </w:t>
      </w:r>
      <w:r>
        <w:rPr>
          <w:b/>
          <w:bCs/>
          <w:color w:val="auto"/>
          <w:spacing w:val="-28"/>
          <w:sz w:val="32"/>
          <w:szCs w:val="32"/>
          <w:highlight w:val="none"/>
        </w:rPr>
        <w:t>期</w:t>
      </w:r>
      <w:r>
        <w:rPr>
          <w:color w:val="auto"/>
          <w:spacing w:val="14"/>
          <w:sz w:val="32"/>
          <w:szCs w:val="32"/>
          <w:highlight w:val="none"/>
        </w:rPr>
        <w:t xml:space="preserve"> </w:t>
      </w:r>
      <w:r>
        <w:rPr>
          <w:b/>
          <w:bCs/>
          <w:color w:val="auto"/>
          <w:spacing w:val="-28"/>
          <w:sz w:val="32"/>
          <w:szCs w:val="32"/>
          <w:highlight w:val="none"/>
        </w:rPr>
        <w:t>：</w:t>
      </w:r>
      <w:r>
        <w:rPr>
          <w:color w:val="auto"/>
          <w:spacing w:val="-28"/>
          <w:sz w:val="32"/>
          <w:szCs w:val="32"/>
          <w:highlight w:val="none"/>
        </w:rPr>
        <w:t xml:space="preserve"> </w:t>
      </w:r>
      <w:r>
        <w:rPr>
          <w:b/>
          <w:bCs/>
          <w:color w:val="auto"/>
          <w:spacing w:val="-28"/>
          <w:sz w:val="32"/>
          <w:szCs w:val="32"/>
          <w:highlight w:val="none"/>
        </w:rPr>
        <w:t>年</w:t>
      </w:r>
      <w:r>
        <w:rPr>
          <w:color w:val="auto"/>
          <w:spacing w:val="36"/>
          <w:sz w:val="32"/>
          <w:szCs w:val="32"/>
          <w:highlight w:val="none"/>
        </w:rPr>
        <w:t xml:space="preserve">  </w:t>
      </w:r>
      <w:r>
        <w:rPr>
          <w:b/>
          <w:bCs/>
          <w:color w:val="auto"/>
          <w:spacing w:val="-28"/>
          <w:sz w:val="32"/>
          <w:szCs w:val="32"/>
          <w:highlight w:val="none"/>
        </w:rPr>
        <w:t>月</w:t>
      </w:r>
      <w:r>
        <w:rPr>
          <w:color w:val="auto"/>
          <w:spacing w:val="90"/>
          <w:sz w:val="32"/>
          <w:szCs w:val="32"/>
          <w:highlight w:val="none"/>
        </w:rPr>
        <w:t xml:space="preserve"> </w:t>
      </w:r>
      <w:r>
        <w:rPr>
          <w:b/>
          <w:bCs/>
          <w:color w:val="auto"/>
          <w:spacing w:val="-28"/>
          <w:sz w:val="32"/>
          <w:szCs w:val="32"/>
          <w:highlight w:val="none"/>
        </w:rPr>
        <w:t>日</w:t>
      </w:r>
    </w:p>
    <w:p>
      <w:pPr>
        <w:spacing w:line="315" w:lineRule="auto"/>
        <w:rPr>
          <w:rFonts w:ascii="Arial"/>
          <w:color w:val="auto"/>
          <w:highlight w:val="none"/>
        </w:rPr>
      </w:pPr>
    </w:p>
    <w:p>
      <w:pPr>
        <w:spacing w:line="316" w:lineRule="auto"/>
        <w:rPr>
          <w:rFonts w:ascii="Arial"/>
          <w:color w:val="auto"/>
          <w:highlight w:val="none"/>
        </w:rPr>
      </w:pPr>
    </w:p>
    <w:p>
      <w:pPr>
        <w:pStyle w:val="18"/>
        <w:spacing w:before="101" w:line="328" w:lineRule="auto"/>
        <w:ind w:firstLine="650"/>
        <w:rPr>
          <w:color w:val="auto"/>
          <w:sz w:val="31"/>
          <w:szCs w:val="31"/>
          <w:highlight w:val="none"/>
        </w:rPr>
      </w:pPr>
      <w:r>
        <w:rPr>
          <w:b/>
          <w:bCs/>
          <w:color w:val="auto"/>
          <w:spacing w:val="12"/>
          <w:sz w:val="31"/>
          <w:szCs w:val="31"/>
          <w:highlight w:val="none"/>
        </w:rPr>
        <w:t>注：供应商的法定代表人(其他组织的为负责人)或者授权</w:t>
      </w:r>
      <w:r>
        <w:rPr>
          <w:b/>
          <w:bCs/>
          <w:color w:val="auto"/>
          <w:spacing w:val="2"/>
          <w:sz w:val="31"/>
          <w:szCs w:val="31"/>
          <w:highlight w:val="none"/>
        </w:rPr>
        <w:t>代表的签名或盖章应真实、有效，如由授权代表签名或盖章的，</w:t>
      </w:r>
      <w:r>
        <w:rPr>
          <w:b/>
          <w:bCs/>
          <w:color w:val="auto"/>
          <w:spacing w:val="-26"/>
          <w:sz w:val="31"/>
          <w:szCs w:val="31"/>
          <w:highlight w:val="none"/>
        </w:rPr>
        <w:t>应提供“法定代表人授权书”。</w:t>
      </w:r>
    </w:p>
    <w:p>
      <w:pPr>
        <w:pStyle w:val="20"/>
        <w:tabs>
          <w:tab w:val="left" w:pos="939"/>
        </w:tabs>
        <w:spacing w:line="360" w:lineRule="auto"/>
        <w:ind w:left="0" w:leftChars="0" w:firstLine="420" w:firstLineChars="200"/>
        <w:jc w:val="center"/>
        <w:rPr>
          <w:rFonts w:hint="eastAsia"/>
          <w:color w:val="auto"/>
          <w:highlight w:val="none"/>
        </w:rPr>
      </w:pPr>
    </w:p>
    <w:p>
      <w:pPr>
        <w:spacing w:line="360" w:lineRule="auto"/>
        <w:contextualSpacing/>
        <w:jc w:val="both"/>
        <w:rPr>
          <w:rFonts w:ascii="宋体" w:hAnsi="宋体"/>
          <w:b/>
          <w:color w:val="auto"/>
          <w:sz w:val="32"/>
          <w:szCs w:val="32"/>
          <w:highlight w:val="none"/>
        </w:rPr>
      </w:pPr>
      <w:r>
        <w:rPr>
          <w:rFonts w:ascii="宋体" w:hAnsi="宋体"/>
          <w:b/>
          <w:bCs/>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1.报价文件封面格式</w:t>
      </w:r>
    </w:p>
    <w:p>
      <w:pPr>
        <w:snapToGrid w:val="0"/>
        <w:spacing w:before="120" w:beforeLines="50" w:after="50"/>
        <w:rPr>
          <w:rFonts w:ascii="宋体" w:hAnsi="宋体"/>
          <w:bCs/>
          <w:color w:val="auto"/>
          <w:sz w:val="32"/>
          <w:szCs w:val="20"/>
          <w:highlight w:val="none"/>
        </w:rPr>
      </w:pPr>
    </w:p>
    <w:p>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highlight w:val="none"/>
        </w:rPr>
      </w:pPr>
    </w:p>
    <w:p>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7"/>
        <w:snapToGrid w:val="0"/>
        <w:spacing w:before="50" w:after="50"/>
        <w:ind w:firstLine="640" w:firstLineChars="200"/>
        <w:rPr>
          <w:rFonts w:ascii="宋体" w:hAnsi="宋体" w:cs="仿宋_GB2312"/>
          <w:bCs/>
          <w:color w:val="auto"/>
          <w:sz w:val="32"/>
          <w:szCs w:val="32"/>
          <w:highlight w:val="none"/>
        </w:rPr>
      </w:pPr>
    </w:p>
    <w:p>
      <w:pPr>
        <w:pStyle w:val="7"/>
        <w:snapToGrid w:val="0"/>
        <w:spacing w:before="50" w:after="50"/>
        <w:ind w:firstLine="720" w:firstLineChars="225"/>
        <w:rPr>
          <w:rFonts w:ascii="宋体" w:hAnsi="宋体" w:cs="仿宋_GB2312"/>
          <w:bCs/>
          <w:color w:val="auto"/>
          <w:sz w:val="32"/>
          <w:szCs w:val="32"/>
          <w:highlight w:val="none"/>
        </w:rPr>
      </w:pPr>
    </w:p>
    <w:p>
      <w:pPr>
        <w:pStyle w:val="7"/>
        <w:snapToGrid w:val="0"/>
        <w:spacing w:before="50" w:after="50"/>
        <w:ind w:firstLine="0"/>
        <w:rPr>
          <w:rFonts w:ascii="宋体" w:hAnsi="宋体" w:cs="仿宋_GB2312"/>
          <w:bCs/>
          <w:color w:val="auto"/>
          <w:sz w:val="32"/>
          <w:szCs w:val="32"/>
          <w:highlight w:val="none"/>
        </w:rPr>
      </w:pPr>
    </w:p>
    <w:p>
      <w:pPr>
        <w:pStyle w:val="7"/>
        <w:snapToGrid w:val="0"/>
        <w:spacing w:before="50" w:after="50"/>
        <w:ind w:firstLine="1280" w:firstLineChars="400"/>
        <w:rPr>
          <w:rFonts w:ascii="宋体" w:hAnsi="宋体" w:cs="仿宋_GB2312"/>
          <w:bCs/>
          <w:color w:val="auto"/>
          <w:sz w:val="32"/>
          <w:szCs w:val="32"/>
          <w:highlight w:val="none"/>
        </w:rPr>
      </w:pPr>
    </w:p>
    <w:p>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20" w:beforeLines="50" w:after="50" w:line="360" w:lineRule="auto"/>
        <w:ind w:left="142"/>
        <w:jc w:val="left"/>
        <w:rPr>
          <w:rFonts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pPr>
        <w:spacing w:line="520" w:lineRule="exact"/>
        <w:jc w:val="center"/>
        <w:rPr>
          <w:rFonts w:ascii="宋体" w:hAnsi="宋体" w:cs="方正小标宋简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r>
        <w:rPr>
          <w:rFonts w:hint="eastAsia" w:ascii="宋体" w:hAnsi="宋体" w:cs="方正小标宋简体"/>
          <w:b/>
          <w:bCs/>
          <w:color w:val="auto"/>
          <w:sz w:val="32"/>
          <w:szCs w:val="32"/>
          <w:highlight w:val="none"/>
        </w:rPr>
        <w:t>竞标函及竞标函附录</w:t>
      </w:r>
    </w:p>
    <w:p>
      <w:pPr>
        <w:spacing w:line="520" w:lineRule="exact"/>
        <w:jc w:val="center"/>
        <w:rPr>
          <w:rFonts w:ascii="宋体" w:hAnsi="宋体" w:cs="方正小标宋简体"/>
          <w:b/>
          <w:bCs/>
          <w:color w:val="auto"/>
          <w:sz w:val="32"/>
          <w:szCs w:val="32"/>
          <w:highlight w:val="none"/>
        </w:rPr>
      </w:pPr>
    </w:p>
    <w:p>
      <w:pPr>
        <w:spacing w:line="520" w:lineRule="exact"/>
        <w:jc w:val="center"/>
        <w:rPr>
          <w:rFonts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（一）竞标函</w:t>
      </w:r>
    </w:p>
    <w:p>
      <w:pPr>
        <w:spacing w:line="520" w:lineRule="exact"/>
        <w:jc w:val="center"/>
        <w:rPr>
          <w:rFonts w:ascii="宋体" w:hAnsi="宋体" w:cs="方正小标宋简体"/>
          <w:b/>
          <w:bCs/>
          <w:color w:val="auto"/>
          <w:sz w:val="32"/>
          <w:szCs w:val="32"/>
          <w:highlight w:val="none"/>
        </w:rPr>
      </w:pPr>
    </w:p>
    <w:p>
      <w:pPr>
        <w:spacing w:line="360" w:lineRule="auto"/>
        <w:rPr>
          <w:color w:val="auto"/>
          <w:szCs w:val="21"/>
          <w:highlight w:val="none"/>
        </w:rPr>
      </w:pPr>
      <w:r>
        <w:rPr>
          <w:color w:val="auto"/>
          <w:szCs w:val="21"/>
          <w:highlight w:val="none"/>
        </w:rPr>
        <w:t>（</w:t>
      </w:r>
      <w:r>
        <w:rPr>
          <w:rFonts w:hint="eastAsia"/>
          <w:color w:val="auto"/>
          <w:szCs w:val="21"/>
          <w:highlight w:val="none"/>
          <w:lang w:val="zh-CN" w:bidi="zh-CN"/>
        </w:rPr>
        <w:t>采购人</w:t>
      </w:r>
      <w:r>
        <w:rPr>
          <w:color w:val="auto"/>
          <w:szCs w:val="21"/>
          <w:highlight w:val="none"/>
          <w:lang w:val="zh-CN" w:bidi="zh-CN"/>
        </w:rPr>
        <w:t>名称</w:t>
      </w:r>
      <w:r>
        <w:rPr>
          <w:color w:val="auto"/>
          <w:szCs w:val="21"/>
          <w:highlight w:val="none"/>
        </w:rPr>
        <w:t>）：</w:t>
      </w:r>
    </w:p>
    <w:p>
      <w:pPr>
        <w:pStyle w:val="93"/>
        <w:numPr>
          <w:ilvl w:val="0"/>
          <w:numId w:val="3"/>
        </w:numPr>
        <w:tabs>
          <w:tab w:val="left" w:pos="762"/>
          <w:tab w:val="left" w:pos="2074"/>
          <w:tab w:val="left" w:pos="3430"/>
          <w:tab w:val="left" w:pos="4687"/>
          <w:tab w:val="left" w:pos="7898"/>
        </w:tabs>
        <w:ind w:firstLine="440"/>
        <w:rPr>
          <w:rFonts w:ascii="Times New Roman" w:hAnsi="Times New Roman" w:cs="Times New Roman"/>
          <w:color w:val="auto"/>
          <w:szCs w:val="21"/>
          <w:highlight w:val="none"/>
        </w:rPr>
      </w:pPr>
      <w:bookmarkStart w:id="98" w:name="bookmark2065"/>
      <w:bookmarkEnd w:id="98"/>
      <w:r>
        <w:rPr>
          <w:rFonts w:ascii="Times New Roman" w:hAnsi="Times New Roman" w:cs="Times New Roman"/>
          <w:color w:val="auto"/>
          <w:szCs w:val="21"/>
          <w:highlight w:val="none"/>
          <w:u w:val="single"/>
        </w:rPr>
        <w:t>我方已仔细研究了</w:t>
      </w:r>
      <w:r>
        <w:rPr>
          <w:rFonts w:hint="eastAsia" w:ascii="Times New Roman" w:hAnsi="Times New Roman" w:cs="Times New Roman"/>
          <w:color w:val="auto"/>
          <w:szCs w:val="21"/>
          <w:highlight w:val="none"/>
          <w:u w:val="single"/>
        </w:rPr>
        <w:t xml:space="preserve">            </w:t>
      </w:r>
      <w:r>
        <w:rPr>
          <w:rFonts w:ascii="Times New Roman" w:hAnsi="Times New Roman" w:cs="Times New Roman"/>
          <w:color w:val="auto"/>
          <w:szCs w:val="21"/>
          <w:highlight w:val="none"/>
          <w:u w:val="single"/>
        </w:rPr>
        <w:t>（项目名称</w:t>
      </w:r>
      <w:r>
        <w:rPr>
          <w:rFonts w:hint="eastAsia" w:ascii="Times New Roman" w:hAnsi="Times New Roman" w:cs="Times New Roman"/>
          <w:color w:val="auto"/>
          <w:szCs w:val="21"/>
          <w:highlight w:val="none"/>
          <w:u w:val="single"/>
        </w:rPr>
        <w:t>、项目编号</w:t>
      </w:r>
      <w:r>
        <w:rPr>
          <w:rFonts w:ascii="Times New Roman" w:hAnsi="Times New Roman" w:cs="Times New Roman"/>
          <w:color w:val="auto"/>
          <w:szCs w:val="21"/>
          <w:highlight w:val="none"/>
          <w:u w:val="single"/>
        </w:rPr>
        <w:t>）</w:t>
      </w:r>
      <w:r>
        <w:rPr>
          <w:rFonts w:hint="eastAsia" w:ascii="Times New Roman" w:hAnsi="Times New Roman" w:cs="Times New Roman"/>
          <w:color w:val="auto"/>
          <w:szCs w:val="21"/>
          <w:highlight w:val="none"/>
          <w:u w:val="single"/>
        </w:rPr>
        <w:t>磋商</w:t>
      </w:r>
      <w:r>
        <w:rPr>
          <w:rFonts w:ascii="Times New Roman" w:hAnsi="Times New Roman" w:cs="Times New Roman"/>
          <w:color w:val="auto"/>
          <w:szCs w:val="21"/>
          <w:highlight w:val="none"/>
          <w:u w:val="single"/>
        </w:rPr>
        <w:t>文件的全部内容，愿意以</w:t>
      </w:r>
      <w:r>
        <w:rPr>
          <w:rFonts w:hint="eastAsia"/>
          <w:color w:val="auto"/>
          <w:highlight w:val="none"/>
          <w:u w:val="single"/>
          <w:lang w:val="en-US" w:eastAsia="zh-CN"/>
        </w:rPr>
        <w:t xml:space="preserve">人民币                         </w:t>
      </w:r>
      <w:r>
        <w:rPr>
          <w:rFonts w:hint="eastAsia"/>
          <w:color w:val="auto"/>
          <w:highlight w:val="none"/>
        </w:rPr>
        <w:t>的</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标报价，</w:t>
      </w:r>
      <w:r>
        <w:rPr>
          <w:rFonts w:hint="eastAsia"/>
          <w:color w:val="auto"/>
          <w:highlight w:val="none"/>
        </w:rPr>
        <w:t>提供</w:t>
      </w:r>
      <w:r>
        <w:rPr>
          <w:rFonts w:hint="eastAsia"/>
          <w:color w:val="auto"/>
          <w:highlight w:val="none"/>
          <w:lang w:val="en-US" w:eastAsia="zh-CN"/>
        </w:rPr>
        <w:t>施工服务</w:t>
      </w:r>
      <w:r>
        <w:rPr>
          <w:rFonts w:hint="eastAsia"/>
          <w:color w:val="auto"/>
          <w:highlight w:val="none"/>
        </w:rPr>
        <w:t>，</w:t>
      </w:r>
      <w:r>
        <w:rPr>
          <w:rFonts w:ascii="Times New Roman" w:hAnsi="Times New Roman" w:cs="Times New Roman"/>
          <w:color w:val="auto"/>
          <w:szCs w:val="21"/>
          <w:highlight w:val="none"/>
        </w:rPr>
        <w:t>按合同约定实施和完成承包工程，修补工程中的任何缺陷，工程质量达到</w:t>
      </w:r>
      <w:r>
        <w:rPr>
          <w:rFonts w:hint="eastAsia"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标准</w:t>
      </w:r>
      <w:r>
        <w:rPr>
          <w:rFonts w:ascii="Times New Roman" w:hAnsi="Times New Roman" w:cs="Times New Roman"/>
          <w:color w:val="auto"/>
          <w:szCs w:val="21"/>
          <w:highlight w:val="none"/>
          <w:lang w:val="en-US" w:bidi="en-US"/>
        </w:rPr>
        <w:t>。</w:t>
      </w:r>
    </w:p>
    <w:p>
      <w:pPr>
        <w:pStyle w:val="93"/>
        <w:numPr>
          <w:ilvl w:val="0"/>
          <w:numId w:val="3"/>
        </w:numPr>
        <w:tabs>
          <w:tab w:val="left" w:pos="762"/>
        </w:tabs>
        <w:ind w:firstLine="420"/>
        <w:rPr>
          <w:rFonts w:ascii="Times New Roman" w:hAnsi="Times New Roman" w:cs="Times New Roman"/>
          <w:color w:val="auto"/>
          <w:szCs w:val="21"/>
          <w:highlight w:val="none"/>
        </w:rPr>
      </w:pPr>
      <w:bookmarkStart w:id="99" w:name="bookmark2068"/>
      <w:bookmarkEnd w:id="99"/>
      <w:bookmarkStart w:id="100" w:name="bookmark2067"/>
      <w:bookmarkEnd w:id="100"/>
      <w:bookmarkStart w:id="101" w:name="bookmark2066"/>
      <w:bookmarkEnd w:id="101"/>
      <w:r>
        <w:rPr>
          <w:rFonts w:hint="eastAsia"/>
          <w:color w:val="auto"/>
          <w:highlight w:val="none"/>
        </w:rPr>
        <w:t>我方承认竞标函附录是我方竞标函的组成部分。</w:t>
      </w:r>
    </w:p>
    <w:p>
      <w:pPr>
        <w:pStyle w:val="93"/>
        <w:numPr>
          <w:ilvl w:val="0"/>
          <w:numId w:val="3"/>
        </w:numPr>
        <w:tabs>
          <w:tab w:val="left" w:pos="762"/>
        </w:tabs>
        <w:ind w:firstLine="420"/>
        <w:rPr>
          <w:rFonts w:ascii="Times New Roman" w:hAnsi="Times New Roman" w:cs="Times New Roman"/>
          <w:color w:val="auto"/>
          <w:szCs w:val="21"/>
          <w:highlight w:val="none"/>
        </w:rPr>
      </w:pPr>
      <w:r>
        <w:rPr>
          <w:rFonts w:ascii="Times New Roman" w:hAnsi="Times New Roman" w:cs="Times New Roman"/>
          <w:color w:val="auto"/>
          <w:szCs w:val="21"/>
          <w:highlight w:val="none"/>
        </w:rPr>
        <w:t>如我方</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w:t>
      </w:r>
    </w:p>
    <w:p>
      <w:pPr>
        <w:pStyle w:val="93"/>
        <w:tabs>
          <w:tab w:val="left" w:pos="903"/>
        </w:tabs>
        <w:ind w:firstLine="420"/>
        <w:rPr>
          <w:rFonts w:ascii="Times New Roman" w:hAnsi="Times New Roman" w:cs="Times New Roman"/>
          <w:color w:val="auto"/>
          <w:szCs w:val="21"/>
          <w:highlight w:val="none"/>
        </w:rPr>
      </w:pPr>
      <w:bookmarkStart w:id="102" w:name="bookmark2069"/>
      <w:r>
        <w:rPr>
          <w:rFonts w:ascii="Times New Roman" w:hAnsi="Times New Roman" w:cs="Times New Roman"/>
          <w:color w:val="auto"/>
          <w:szCs w:val="21"/>
          <w:highlight w:val="none"/>
        </w:rPr>
        <w:t>（</w:t>
      </w:r>
      <w:bookmarkEnd w:id="102"/>
      <w:r>
        <w:rPr>
          <w:rFonts w:ascii="Times New Roman" w:hAnsi="Times New Roman" w:cs="Times New Roman"/>
          <w:color w:val="auto"/>
          <w:szCs w:val="21"/>
          <w:highlight w:val="none"/>
        </w:rPr>
        <w:t>1）我方承诺在收到</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通知书后，在</w:t>
      </w:r>
      <w:r>
        <w:rPr>
          <w:rFonts w:hint="eastAsia" w:ascii="Times New Roman" w:hAnsi="Times New Roman" w:cs="Times New Roman"/>
          <w:color w:val="auto"/>
          <w:szCs w:val="21"/>
          <w:highlight w:val="none"/>
        </w:rPr>
        <w:t>成交</w:t>
      </w:r>
      <w:r>
        <w:rPr>
          <w:rFonts w:ascii="Times New Roman" w:hAnsi="Times New Roman" w:cs="Times New Roman"/>
          <w:color w:val="auto"/>
          <w:szCs w:val="21"/>
          <w:highlight w:val="none"/>
        </w:rPr>
        <w:t>通知书规定的期限内与你方签订合同。</w:t>
      </w:r>
    </w:p>
    <w:p>
      <w:pPr>
        <w:pStyle w:val="93"/>
        <w:tabs>
          <w:tab w:val="left" w:pos="903"/>
        </w:tabs>
        <w:ind w:firstLine="420"/>
        <w:rPr>
          <w:rFonts w:ascii="Times New Roman" w:hAnsi="Times New Roman" w:cs="Times New Roman"/>
          <w:color w:val="auto"/>
          <w:szCs w:val="21"/>
          <w:highlight w:val="none"/>
        </w:rPr>
      </w:pPr>
      <w:bookmarkStart w:id="103" w:name="bookmark2070"/>
      <w:r>
        <w:rPr>
          <w:rFonts w:ascii="Times New Roman" w:hAnsi="Times New Roman" w:cs="Times New Roman"/>
          <w:color w:val="auto"/>
          <w:szCs w:val="21"/>
          <w:highlight w:val="none"/>
        </w:rPr>
        <w:t>（</w:t>
      </w:r>
      <w:bookmarkEnd w:id="103"/>
      <w:r>
        <w:rPr>
          <w:rFonts w:ascii="Times New Roman" w:hAnsi="Times New Roman" w:cs="Times New Roman"/>
          <w:color w:val="auto"/>
          <w:szCs w:val="21"/>
          <w:highlight w:val="none"/>
        </w:rPr>
        <w:t>2）</w:t>
      </w:r>
      <w:r>
        <w:rPr>
          <w:color w:val="auto"/>
          <w:highlight w:val="none"/>
        </w:rPr>
        <w:t>在签订合同时不向你方提出附加条件</w:t>
      </w:r>
      <w:r>
        <w:rPr>
          <w:rFonts w:ascii="Times New Roman" w:hAnsi="Times New Roman" w:cs="Times New Roman"/>
          <w:color w:val="auto"/>
          <w:szCs w:val="21"/>
          <w:highlight w:val="none"/>
        </w:rPr>
        <w:t>。</w:t>
      </w:r>
    </w:p>
    <w:p>
      <w:pPr>
        <w:pStyle w:val="93"/>
        <w:tabs>
          <w:tab w:val="left" w:pos="903"/>
        </w:tabs>
        <w:ind w:firstLine="420"/>
        <w:rPr>
          <w:rFonts w:ascii="Times New Roman" w:hAnsi="Times New Roman" w:cs="Times New Roman"/>
          <w:color w:val="auto"/>
          <w:szCs w:val="21"/>
          <w:highlight w:val="none"/>
        </w:rPr>
      </w:pPr>
      <w:bookmarkStart w:id="104" w:name="bookmark2071"/>
      <w:r>
        <w:rPr>
          <w:rFonts w:ascii="Times New Roman" w:hAnsi="Times New Roman" w:cs="Times New Roman"/>
          <w:color w:val="auto"/>
          <w:szCs w:val="21"/>
          <w:highlight w:val="none"/>
        </w:rPr>
        <w:t>（</w:t>
      </w:r>
      <w:bookmarkEnd w:id="104"/>
      <w:r>
        <w:rPr>
          <w:rFonts w:ascii="Times New Roman" w:hAnsi="Times New Roman" w:cs="Times New Roman"/>
          <w:color w:val="auto"/>
          <w:szCs w:val="21"/>
          <w:highlight w:val="none"/>
        </w:rPr>
        <w:t>3）我方承诺按照</w:t>
      </w:r>
      <w:r>
        <w:rPr>
          <w:rFonts w:hint="eastAsia" w:ascii="Times New Roman" w:hAnsi="Times New Roman" w:cs="Times New Roman"/>
          <w:color w:val="auto"/>
          <w:szCs w:val="21"/>
          <w:highlight w:val="none"/>
        </w:rPr>
        <w:t>磋商</w:t>
      </w:r>
      <w:r>
        <w:rPr>
          <w:rFonts w:ascii="Times New Roman" w:hAnsi="Times New Roman" w:cs="Times New Roman"/>
          <w:color w:val="auto"/>
          <w:szCs w:val="21"/>
          <w:highlight w:val="none"/>
        </w:rPr>
        <w:t>文件规定向你方递交履约担保。</w:t>
      </w:r>
    </w:p>
    <w:p>
      <w:pPr>
        <w:pStyle w:val="93"/>
        <w:tabs>
          <w:tab w:val="left" w:pos="903"/>
        </w:tabs>
        <w:ind w:firstLine="420"/>
        <w:rPr>
          <w:rFonts w:ascii="Times New Roman" w:hAnsi="Times New Roman" w:cs="Times New Roman"/>
          <w:color w:val="auto"/>
          <w:szCs w:val="21"/>
          <w:highlight w:val="none"/>
        </w:rPr>
      </w:pPr>
      <w:bookmarkStart w:id="105" w:name="bookmark2072"/>
      <w:r>
        <w:rPr>
          <w:rFonts w:ascii="Times New Roman" w:hAnsi="Times New Roman" w:cs="Times New Roman"/>
          <w:color w:val="auto"/>
          <w:szCs w:val="21"/>
          <w:highlight w:val="none"/>
        </w:rPr>
        <w:t>（</w:t>
      </w:r>
      <w:bookmarkEnd w:id="105"/>
      <w:r>
        <w:rPr>
          <w:rFonts w:ascii="Times New Roman" w:hAnsi="Times New Roman" w:cs="Times New Roman"/>
          <w:color w:val="auto"/>
          <w:szCs w:val="21"/>
          <w:highlight w:val="none"/>
        </w:rPr>
        <w:t>4）我方承诺在合同约定的期限内完成并移交全部合同工程。</w:t>
      </w:r>
    </w:p>
    <w:p>
      <w:pPr>
        <w:pStyle w:val="93"/>
        <w:numPr>
          <w:ilvl w:val="0"/>
          <w:numId w:val="3"/>
        </w:numPr>
        <w:tabs>
          <w:tab w:val="left" w:pos="762"/>
        </w:tabs>
        <w:ind w:firstLine="440"/>
        <w:rPr>
          <w:rFonts w:ascii="Times New Roman" w:hAnsi="Times New Roman" w:cs="Times New Roman"/>
          <w:color w:val="auto"/>
          <w:szCs w:val="21"/>
          <w:highlight w:val="none"/>
        </w:rPr>
      </w:pPr>
      <w:bookmarkStart w:id="106" w:name="bookmark2073"/>
      <w:bookmarkEnd w:id="106"/>
      <w:r>
        <w:rPr>
          <w:color w:val="auto"/>
          <w:highlight w:val="none"/>
        </w:rPr>
        <w:t>在合同协议书正式签署生效之前，本</w:t>
      </w:r>
      <w:r>
        <w:rPr>
          <w:rFonts w:hint="eastAsia" w:ascii="Times New Roman" w:hAnsi="Times New Roman" w:cs="Times New Roman"/>
          <w:color w:val="auto"/>
          <w:szCs w:val="21"/>
          <w:highlight w:val="none"/>
        </w:rPr>
        <w:t>竞</w:t>
      </w:r>
      <w:r>
        <w:rPr>
          <w:rFonts w:ascii="Times New Roman" w:hAnsi="Times New Roman" w:cs="Times New Roman"/>
          <w:color w:val="auto"/>
          <w:szCs w:val="21"/>
          <w:highlight w:val="none"/>
        </w:rPr>
        <w:t>标</w:t>
      </w:r>
      <w:r>
        <w:rPr>
          <w:color w:val="auto"/>
          <w:highlight w:val="none"/>
        </w:rPr>
        <w:t>函连同你方的</w:t>
      </w:r>
      <w:r>
        <w:rPr>
          <w:rFonts w:hint="eastAsia"/>
          <w:color w:val="auto"/>
          <w:highlight w:val="none"/>
        </w:rPr>
        <w:t>成交</w:t>
      </w:r>
      <w:r>
        <w:rPr>
          <w:color w:val="auto"/>
          <w:highlight w:val="none"/>
        </w:rPr>
        <w:t>通知书将构成我们双方之间共同遵守的文件，对双方具有约束力</w:t>
      </w:r>
      <w:r>
        <w:rPr>
          <w:rFonts w:ascii="Times New Roman" w:hAnsi="Times New Roman" w:cs="Times New Roman"/>
          <w:color w:val="auto"/>
          <w:szCs w:val="21"/>
          <w:highlight w:val="none"/>
        </w:rPr>
        <w:t>。</w:t>
      </w:r>
    </w:p>
    <w:p>
      <w:pPr>
        <w:spacing w:line="360" w:lineRule="auto"/>
        <w:ind w:firstLine="420" w:firstLineChars="200"/>
        <w:rPr>
          <w:color w:val="auto"/>
          <w:szCs w:val="21"/>
          <w:highlight w:val="none"/>
        </w:rPr>
      </w:pPr>
      <w:bookmarkStart w:id="107" w:name="bookmark2074"/>
      <w:bookmarkEnd w:id="107"/>
      <w:r>
        <w:rPr>
          <w:rFonts w:hint="eastAsia"/>
          <w:color w:val="auto"/>
          <w:szCs w:val="21"/>
          <w:highlight w:val="none"/>
        </w:rPr>
        <w:t>5.</w:t>
      </w:r>
      <w:r>
        <w:rPr>
          <w:color w:val="auto"/>
          <w:szCs w:val="21"/>
          <w:highlight w:val="none"/>
        </w:rPr>
        <w:t>（其他补充说明）。</w:t>
      </w:r>
    </w:p>
    <w:p>
      <w:pPr>
        <w:spacing w:line="360" w:lineRule="auto"/>
        <w:jc w:val="center"/>
        <w:rPr>
          <w:rFonts w:ascii="宋体" w:hAnsi="宋体" w:cs="方正小标宋简体"/>
          <w:b/>
          <w:bCs/>
          <w:color w:val="auto"/>
          <w:sz w:val="32"/>
          <w:szCs w:val="32"/>
          <w:highlight w:val="none"/>
        </w:rPr>
      </w:pPr>
    </w:p>
    <w:p>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jc w:val="center"/>
        <w:rPr>
          <w:rFonts w:ascii="宋体" w:hAnsi="宋体" w:cs="方正小标宋简体"/>
          <w:b/>
          <w:bCs/>
          <w:color w:val="auto"/>
          <w:sz w:val="32"/>
          <w:szCs w:val="32"/>
          <w:highlight w:val="none"/>
        </w:rPr>
      </w:pPr>
      <w:r>
        <w:rPr>
          <w:rFonts w:hint="eastAsia" w:ascii="宋体" w:hAnsi="宋体" w:cs="仿宋_GB2312"/>
          <w:color w:val="auto"/>
          <w:sz w:val="24"/>
          <w:highlight w:val="none"/>
        </w:rPr>
        <w:t>日期：   年   月   日</w:t>
      </w:r>
      <w:r>
        <w:rPr>
          <w:rFonts w:ascii="宋体" w:hAnsi="宋体" w:cs="方正小标宋简体"/>
          <w:b/>
          <w:bCs/>
          <w:color w:val="auto"/>
          <w:sz w:val="32"/>
          <w:szCs w:val="32"/>
          <w:highlight w:val="none"/>
        </w:rPr>
        <w:br w:type="page"/>
      </w:r>
    </w:p>
    <w:p>
      <w:pPr>
        <w:spacing w:line="360" w:lineRule="auto"/>
        <w:jc w:val="center"/>
        <w:rPr>
          <w:rFonts w:ascii="方正小标宋简体" w:hAnsi="方正小标宋简体" w:eastAsia="方正小标宋简体" w:cs="方正小标宋简体"/>
          <w:bCs/>
          <w:color w:val="auto"/>
          <w:sz w:val="32"/>
          <w:szCs w:val="32"/>
          <w:highlight w:val="none"/>
        </w:rPr>
      </w:pPr>
      <w:r>
        <w:rPr>
          <w:rFonts w:hint="eastAsia" w:ascii="宋体" w:hAnsi="宋体" w:cs="方正小标宋简体"/>
          <w:b/>
          <w:bCs/>
          <w:color w:val="auto"/>
          <w:sz w:val="32"/>
          <w:szCs w:val="32"/>
          <w:highlight w:val="none"/>
        </w:rPr>
        <w:t>竞标报价表</w:t>
      </w:r>
    </w:p>
    <w:p>
      <w:pPr>
        <w:spacing w:line="440" w:lineRule="exact"/>
        <w:jc w:val="center"/>
        <w:rPr>
          <w:rFonts w:ascii="方正小标宋简体" w:hAnsi="方正小标宋简体" w:eastAsia="方正小标宋简体" w:cs="方正小标宋简体"/>
          <w:bCs/>
          <w:color w:val="auto"/>
          <w:sz w:val="32"/>
          <w:szCs w:val="32"/>
          <w:highlight w:val="none"/>
        </w:rPr>
      </w:pPr>
    </w:p>
    <w:p>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项目名称：</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项目编号：</w:t>
      </w:r>
    </w:p>
    <w:p>
      <w:pPr>
        <w:spacing w:line="360" w:lineRule="auto"/>
        <w:contextualSpacing/>
        <w:rPr>
          <w:rFonts w:ascii="宋体" w:hAnsi="宋体" w:cs="仿宋_GB2312"/>
          <w:color w:val="auto"/>
          <w:sz w:val="24"/>
          <w:highlight w:val="none"/>
          <w:u w:val="single"/>
        </w:rPr>
      </w:pPr>
      <w:r>
        <w:rPr>
          <w:rFonts w:hint="eastAsia" w:ascii="宋体" w:hAnsi="宋体" w:cs="仿宋_GB2312"/>
          <w:color w:val="auto"/>
          <w:sz w:val="24"/>
          <w:highlight w:val="none"/>
        </w:rPr>
        <w:t>分标（如有）：</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pPr>
        <w:spacing w:line="360" w:lineRule="auto"/>
        <w:contextualSpacing/>
        <w:rPr>
          <w:rFonts w:hint="eastAsia" w:ascii="宋体" w:hAnsi="宋体" w:eastAsia="宋体" w:cs="仿宋_GB2312"/>
          <w:color w:val="auto"/>
          <w:sz w:val="24"/>
          <w:highlight w:val="none"/>
          <w:lang w:val="en-US" w:eastAsia="zh-CN"/>
        </w:rPr>
      </w:pPr>
      <w:r>
        <w:rPr>
          <w:rFonts w:hint="eastAsia" w:ascii="宋体" w:hAnsi="宋体" w:cs="仿宋_GB2312"/>
          <w:color w:val="auto"/>
          <w:sz w:val="24"/>
          <w:highlight w:val="none"/>
        </w:rPr>
        <w:t xml:space="preserve">                                                单位：</w:t>
      </w:r>
      <w:r>
        <w:rPr>
          <w:rFonts w:hint="eastAsia" w:ascii="宋体" w:hAnsi="宋体" w:cs="仿宋_GB2312"/>
          <w:color w:val="auto"/>
          <w:sz w:val="24"/>
          <w:highlight w:val="none"/>
          <w:lang w:val="en-US" w:eastAsia="zh-CN"/>
        </w:rPr>
        <w:t>元</w:t>
      </w:r>
    </w:p>
    <w:tbl>
      <w:tblPr>
        <w:tblStyle w:val="43"/>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986"/>
        <w:gridCol w:w="416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1"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highlight w:val="none"/>
              </w:rPr>
            </w:pPr>
            <w:r>
              <w:rPr>
                <w:rFonts w:hint="eastAsia" w:ascii="宋体" w:hAnsi="宋体"/>
                <w:color w:val="auto"/>
                <w:sz w:val="24"/>
                <w:szCs w:val="24"/>
                <w:highlight w:val="none"/>
              </w:rPr>
              <w:t>序号</w:t>
            </w:r>
          </w:p>
        </w:tc>
        <w:tc>
          <w:tcPr>
            <w:tcW w:w="39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lang w:val="en-US" w:eastAsia="zh-CN"/>
              </w:rPr>
              <w:t>竞标</w:t>
            </w:r>
            <w:r>
              <w:rPr>
                <w:rFonts w:hint="eastAsia" w:ascii="宋体" w:hAnsi="宋体"/>
                <w:color w:val="auto"/>
                <w:sz w:val="24"/>
                <w:szCs w:val="24"/>
                <w:highlight w:val="none"/>
              </w:rPr>
              <w:t>标总报价</w:t>
            </w:r>
          </w:p>
        </w:tc>
        <w:tc>
          <w:tcPr>
            <w:tcW w:w="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szCs w:val="24"/>
                <w:highlight w:val="none"/>
              </w:rPr>
            </w:pPr>
            <w:r>
              <w:rPr>
                <w:rFonts w:ascii="宋体" w:hAnsi="宋体"/>
                <w:color w:val="auto"/>
                <w:sz w:val="24"/>
                <w:szCs w:val="24"/>
                <w:highlight w:val="none"/>
              </w:rPr>
              <w:t>1</w:t>
            </w:r>
          </w:p>
        </w:tc>
        <w:tc>
          <w:tcPr>
            <w:tcW w:w="3986"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highlight w:val="none"/>
              </w:rPr>
            </w:pP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 w:val="24"/>
                <w:szCs w:val="24"/>
                <w:highlight w:val="none"/>
              </w:rPr>
            </w:pPr>
          </w:p>
        </w:tc>
        <w:tc>
          <w:tcPr>
            <w:tcW w:w="944" w:type="dxa"/>
            <w:tcBorders>
              <w:top w:val="single" w:color="auto" w:sz="4" w:space="0"/>
              <w:left w:val="single" w:color="auto" w:sz="4" w:space="0"/>
              <w:bottom w:val="single" w:color="auto" w:sz="4" w:space="0"/>
              <w:right w:val="single" w:color="auto" w:sz="4" w:space="0"/>
            </w:tcBorders>
          </w:tcPr>
          <w:p>
            <w:pP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813" w:type="dxa"/>
            <w:gridSpan w:val="4"/>
            <w:tcBorders>
              <w:top w:val="single" w:color="auto" w:sz="4" w:space="0"/>
              <w:left w:val="single" w:color="auto" w:sz="4" w:space="0"/>
              <w:bottom w:val="single" w:color="auto" w:sz="4" w:space="0"/>
              <w:right w:val="single" w:color="auto" w:sz="4" w:space="0"/>
            </w:tcBorders>
            <w:vAlign w:val="center"/>
          </w:tcPr>
          <w:p>
            <w:pPr>
              <w:pStyle w:val="24"/>
              <w:spacing w:line="360" w:lineRule="exact"/>
              <w:rPr>
                <w:rFonts w:hAnsi="宋体"/>
                <w:color w:val="auto"/>
                <w:kern w:val="2"/>
                <w:sz w:val="24"/>
                <w:szCs w:val="24"/>
                <w:highlight w:val="none"/>
              </w:rPr>
            </w:pPr>
            <w:r>
              <w:rPr>
                <w:rFonts w:hint="eastAsia" w:hAnsi="宋体"/>
                <w:color w:val="auto"/>
                <w:kern w:val="2"/>
                <w:sz w:val="24"/>
                <w:szCs w:val="24"/>
                <w:highlight w:val="none"/>
              </w:rPr>
              <w:t>质量等级：</w:t>
            </w:r>
          </w:p>
        </w:tc>
      </w:tr>
    </w:tbl>
    <w:p>
      <w:pPr>
        <w:spacing w:line="360" w:lineRule="auto"/>
        <w:contextualSpacing/>
        <w:jc w:val="left"/>
        <w:rPr>
          <w:rFonts w:ascii="宋体" w:hAnsi="宋体" w:cs="仿宋_GB2312"/>
          <w:color w:val="auto"/>
          <w:sz w:val="24"/>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 xml:space="preserve">注: </w:t>
      </w:r>
    </w:p>
    <w:p>
      <w:pPr>
        <w:spacing w:line="360" w:lineRule="auto"/>
        <w:ind w:firstLine="480" w:firstLineChars="200"/>
        <w:contextualSpacing/>
        <w:jc w:val="left"/>
        <w:rPr>
          <w:rFonts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pPr>
        <w:spacing w:line="360" w:lineRule="auto"/>
        <w:ind w:firstLine="480" w:firstLineChars="200"/>
        <w:contextualSpacing/>
        <w:jc w:val="left"/>
        <w:rPr>
          <w:rFonts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pPr>
        <w:spacing w:line="360" w:lineRule="auto"/>
        <w:ind w:firstLine="480" w:firstLineChars="200"/>
        <w:contextualSpacing/>
        <w:jc w:val="left"/>
        <w:rPr>
          <w:rFonts w:ascii="宋体" w:hAnsi="宋体" w:cs="仿宋_GB2312"/>
          <w:b/>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.如为联合体竞标，“供应商名称”处必须列明联合体各方名称，标注联合体牵头人名称，</w:t>
      </w:r>
      <w:r>
        <w:rPr>
          <w:rFonts w:hint="eastAsia" w:ascii="宋体" w:hAnsi="宋体" w:cs="仿宋_GB2312"/>
          <w:b/>
          <w:color w:val="auto"/>
          <w:sz w:val="24"/>
          <w:highlight w:val="none"/>
        </w:rPr>
        <w:t>否则其响应文件按无效处理。</w:t>
      </w:r>
    </w:p>
    <w:p>
      <w:pPr>
        <w:spacing w:line="360" w:lineRule="auto"/>
        <w:ind w:firstLine="480" w:firstLineChars="200"/>
        <w:contextualSpacing/>
        <w:jc w:val="left"/>
        <w:rPr>
          <w:rFonts w:ascii="宋体" w:hAnsi="宋体" w:cs="仿宋_GB2312"/>
          <w:color w:val="auto"/>
          <w:sz w:val="24"/>
          <w:highlight w:val="none"/>
        </w:rPr>
      </w:pPr>
      <w:r>
        <w:rPr>
          <w:rFonts w:ascii="宋体" w:hAnsi="宋体" w:cs="仿宋_GB2312"/>
          <w:color w:val="auto"/>
          <w:sz w:val="24"/>
          <w:highlight w:val="none"/>
        </w:rPr>
        <w:t>4</w:t>
      </w:r>
      <w:r>
        <w:rPr>
          <w:rFonts w:hint="eastAsia" w:ascii="宋体" w:hAnsi="宋体" w:cs="仿宋_GB2312"/>
          <w:color w:val="auto"/>
          <w:sz w:val="24"/>
          <w:highlight w:val="none"/>
        </w:rPr>
        <w:t>. 如为联合体竞标，</w:t>
      </w:r>
      <w:r>
        <w:rPr>
          <w:rFonts w:hint="eastAsia" w:ascii="宋体" w:hAnsi="宋体"/>
          <w:color w:val="auto"/>
          <w:spacing w:val="-6"/>
          <w:sz w:val="24"/>
          <w:highlight w:val="none"/>
        </w:rPr>
        <w:t xml:space="preserve"> 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pPr>
        <w:spacing w:line="360" w:lineRule="auto"/>
        <w:ind w:firstLine="480" w:firstLineChars="200"/>
        <w:contextualSpacing/>
        <w:rPr>
          <w:rFonts w:ascii="宋体" w:hAnsi="宋体" w:cs="仿宋_GB2312"/>
          <w:color w:val="auto"/>
          <w:sz w:val="24"/>
          <w:highlight w:val="none"/>
        </w:rPr>
      </w:pPr>
      <w:r>
        <w:rPr>
          <w:rFonts w:ascii="宋体" w:hAnsi="宋体" w:cs="仿宋_GB2312"/>
          <w:color w:val="auto"/>
          <w:sz w:val="24"/>
          <w:highlight w:val="none"/>
        </w:rPr>
        <w:t>5</w:t>
      </w:r>
      <w:r>
        <w:rPr>
          <w:rFonts w:hint="eastAsia" w:ascii="宋体" w:hAnsi="宋体" w:cs="仿宋_GB2312"/>
          <w:color w:val="auto"/>
          <w:sz w:val="24"/>
          <w:highlight w:val="none"/>
        </w:rPr>
        <w:t>.</w:t>
      </w:r>
      <w:r>
        <w:rPr>
          <w:rFonts w:hint="eastAsia" w:ascii="宋体" w:hAnsi="宋体" w:cs="仿宋_GB2312"/>
          <w:color w:val="auto"/>
          <w:spacing w:val="-6"/>
          <w:sz w:val="24"/>
          <w:highlight w:val="none"/>
        </w:rPr>
        <w:t>如有多分标，分别列明各分标的报价表，</w:t>
      </w:r>
      <w:r>
        <w:rPr>
          <w:rFonts w:hint="eastAsia" w:ascii="宋体" w:hAnsi="宋体" w:cs="仿宋_GB2312"/>
          <w:b/>
          <w:color w:val="auto"/>
          <w:spacing w:val="-6"/>
          <w:sz w:val="24"/>
          <w:highlight w:val="none"/>
        </w:rPr>
        <w:t>否则其响应文件按无效处理。</w:t>
      </w:r>
    </w:p>
    <w:p>
      <w:pPr>
        <w:spacing w:line="360" w:lineRule="auto"/>
        <w:ind w:right="-817" w:rightChars="-389"/>
        <w:contextualSpacing/>
        <w:rPr>
          <w:rFonts w:ascii="宋体" w:hAnsi="宋体" w:cs="仿宋_GB2312"/>
          <w:color w:val="auto"/>
          <w:sz w:val="24"/>
          <w:highlight w:val="none"/>
        </w:rPr>
      </w:pPr>
    </w:p>
    <w:p>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pPr>
        <w:spacing w:line="360" w:lineRule="auto"/>
        <w:ind w:right="-817" w:rightChars="-389" w:firstLine="2640" w:firstLineChars="1100"/>
        <w:contextualSpacing/>
        <w:rPr>
          <w:rFonts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pPr>
        <w:spacing w:line="360" w:lineRule="auto"/>
        <w:ind w:right="-817" w:rightChars="-389"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日期：   年   月   日</w:t>
      </w:r>
    </w:p>
    <w:p>
      <w:pPr>
        <w:spacing w:line="360" w:lineRule="auto"/>
        <w:contextualSpacing/>
        <w:jc w:val="center"/>
        <w:rPr>
          <w:rFonts w:ascii="宋体" w:hAnsi="宋体"/>
          <w:b/>
          <w:bCs/>
          <w:color w:val="auto"/>
          <w:sz w:val="32"/>
          <w:szCs w:val="32"/>
          <w:highlight w:val="none"/>
        </w:rPr>
      </w:pPr>
      <w:r>
        <w:rPr>
          <w:rFonts w:ascii="宋体" w:hAnsi="宋体" w:cs="仿宋_GB2312"/>
          <w:color w:val="auto"/>
          <w:sz w:val="24"/>
          <w:highlight w:val="none"/>
        </w:rPr>
        <w:br w:type="page"/>
      </w:r>
    </w:p>
    <w:p>
      <w:pPr>
        <w:spacing w:line="360" w:lineRule="auto"/>
        <w:ind w:firstLine="643" w:firstLineChars="200"/>
        <w:contextualSpacing/>
        <w:jc w:val="center"/>
        <w:rPr>
          <w:rFonts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1.商务技术文件封面格式</w:t>
      </w:r>
    </w:p>
    <w:p>
      <w:pPr>
        <w:snapToGrid w:val="0"/>
        <w:spacing w:before="120" w:beforeLines="50" w:after="50"/>
        <w:rPr>
          <w:rFonts w:ascii="宋体" w:hAnsi="宋体"/>
          <w:bCs/>
          <w:color w:val="auto"/>
          <w:sz w:val="32"/>
          <w:szCs w:val="20"/>
          <w:highlight w:val="none"/>
        </w:rPr>
      </w:pPr>
    </w:p>
    <w:p>
      <w:pPr>
        <w:snapToGrid w:val="0"/>
        <w:spacing w:before="120" w:beforeLines="50" w:after="50"/>
        <w:jc w:val="center"/>
        <w:rPr>
          <w:rFonts w:ascii="宋体" w:hAnsi="宋体"/>
          <w:color w:val="auto"/>
          <w:sz w:val="24"/>
          <w:szCs w:val="20"/>
          <w:highlight w:val="none"/>
        </w:rPr>
      </w:pPr>
      <w:r>
        <w:rPr>
          <w:rFonts w:hint="eastAsia" w:ascii="宋体" w:hAnsi="宋体"/>
          <w:color w:val="auto"/>
          <w:sz w:val="44"/>
          <w:szCs w:val="44"/>
          <w:highlight w:val="none"/>
        </w:rPr>
        <w:t>电 子 响 应 文 件</w:t>
      </w:r>
    </w:p>
    <w:p>
      <w:pPr>
        <w:snapToGrid w:val="0"/>
        <w:spacing w:before="120" w:beforeLines="50" w:after="50"/>
        <w:rPr>
          <w:rFonts w:ascii="宋体" w:hAnsi="宋体"/>
          <w:color w:val="auto"/>
          <w:sz w:val="24"/>
          <w:szCs w:val="20"/>
          <w:highlight w:val="none"/>
        </w:rPr>
      </w:pPr>
    </w:p>
    <w:p>
      <w:pPr>
        <w:snapToGrid w:val="0"/>
        <w:spacing w:before="120" w:beforeLines="50" w:after="50"/>
        <w:rPr>
          <w:rFonts w:ascii="宋体" w:hAnsi="宋体"/>
          <w:color w:val="auto"/>
          <w:sz w:val="24"/>
          <w:szCs w:val="20"/>
          <w:highlight w:val="none"/>
        </w:rPr>
      </w:pPr>
    </w:p>
    <w:p>
      <w:pPr>
        <w:snapToGrid w:val="0"/>
        <w:spacing w:before="120" w:beforeLines="50" w:after="50"/>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rPr>
          <w:rFonts w:ascii="宋体" w:hAnsi="宋体"/>
          <w:bCs/>
          <w:color w:val="auto"/>
          <w:sz w:val="24"/>
          <w:szCs w:val="20"/>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pPr>
        <w:snapToGrid w:val="0"/>
        <w:spacing w:before="120" w:beforeLines="50" w:after="50"/>
        <w:ind w:firstLine="720" w:firstLineChars="225"/>
        <w:rPr>
          <w:rFonts w:ascii="宋体" w:hAnsi="宋体" w:cs="仿宋_GB2312"/>
          <w:bCs/>
          <w:color w:val="auto"/>
          <w:sz w:val="32"/>
          <w:szCs w:val="32"/>
          <w:highlight w:val="none"/>
        </w:rPr>
      </w:pPr>
    </w:p>
    <w:p>
      <w:pPr>
        <w:snapToGrid w:val="0"/>
        <w:spacing w:before="120" w:beforeLines="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仿宋_GB2312"/>
          <w:bCs/>
          <w:color w:val="auto"/>
          <w:sz w:val="32"/>
          <w:szCs w:val="32"/>
          <w:highlight w:val="none"/>
        </w:rPr>
      </w:pPr>
    </w:p>
    <w:p>
      <w:pPr>
        <w:pStyle w:val="7"/>
        <w:snapToGrid w:val="0"/>
        <w:spacing w:before="50" w:after="50"/>
        <w:ind w:firstLine="640" w:firstLineChars="200"/>
        <w:rPr>
          <w:rFonts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pStyle w:val="7"/>
        <w:snapToGrid w:val="0"/>
        <w:spacing w:before="50" w:after="50"/>
        <w:ind w:firstLine="640" w:firstLineChars="200"/>
        <w:rPr>
          <w:rFonts w:ascii="宋体" w:hAnsi="宋体" w:cs="仿宋_GB2312"/>
          <w:bCs/>
          <w:color w:val="auto"/>
          <w:sz w:val="32"/>
          <w:szCs w:val="32"/>
          <w:highlight w:val="none"/>
        </w:rPr>
      </w:pPr>
    </w:p>
    <w:p>
      <w:pPr>
        <w:pStyle w:val="7"/>
        <w:snapToGrid w:val="0"/>
        <w:spacing w:before="50" w:after="50"/>
        <w:ind w:firstLine="720" w:firstLineChars="225"/>
        <w:rPr>
          <w:rFonts w:ascii="宋体" w:hAnsi="宋体" w:cs="仿宋_GB2312"/>
          <w:bCs/>
          <w:color w:val="auto"/>
          <w:sz w:val="32"/>
          <w:szCs w:val="32"/>
          <w:highlight w:val="none"/>
        </w:rPr>
      </w:pPr>
    </w:p>
    <w:p>
      <w:pPr>
        <w:pStyle w:val="7"/>
        <w:snapToGrid w:val="0"/>
        <w:spacing w:before="50" w:after="50"/>
        <w:ind w:firstLine="0"/>
        <w:rPr>
          <w:rFonts w:ascii="宋体" w:hAnsi="宋体" w:cs="仿宋_GB2312"/>
          <w:bCs/>
          <w:color w:val="auto"/>
          <w:sz w:val="32"/>
          <w:szCs w:val="32"/>
          <w:highlight w:val="none"/>
        </w:rPr>
      </w:pPr>
    </w:p>
    <w:p>
      <w:pPr>
        <w:pStyle w:val="7"/>
        <w:snapToGrid w:val="0"/>
        <w:spacing w:before="50" w:after="50"/>
        <w:ind w:firstLine="1280" w:firstLineChars="400"/>
        <w:rPr>
          <w:rFonts w:ascii="宋体" w:hAnsi="宋体" w:cs="仿宋_GB2312"/>
          <w:bCs/>
          <w:color w:val="auto"/>
          <w:sz w:val="32"/>
          <w:szCs w:val="32"/>
          <w:highlight w:val="none"/>
        </w:rPr>
      </w:pPr>
    </w:p>
    <w:p>
      <w:pPr>
        <w:snapToGrid w:val="0"/>
        <w:spacing w:before="120" w:beforeLines="50" w:after="50"/>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年    月    日</w:t>
      </w:r>
    </w:p>
    <w:p>
      <w:pPr>
        <w:snapToGrid w:val="0"/>
        <w:spacing w:before="120" w:beforeLines="50" w:after="50" w:line="360" w:lineRule="auto"/>
        <w:ind w:right="480" w:firstLine="240" w:firstLineChars="100"/>
        <w:jc w:val="left"/>
        <w:rPr>
          <w:rFonts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pPr>
        <w:snapToGrid w:val="0"/>
        <w:spacing w:before="120" w:beforeLines="50" w:after="50" w:line="360" w:lineRule="auto"/>
        <w:ind w:firstLine="640" w:firstLineChars="200"/>
        <w:rPr>
          <w:rFonts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pPr>
        <w:spacing w:line="400" w:lineRule="exact"/>
        <w:rPr>
          <w:rFonts w:ascii="仿宋_GB2312" w:hAnsi="仿宋_GB2312" w:eastAsia="仿宋_GB2312" w:cs="仿宋_GB2312"/>
          <w:color w:val="auto"/>
          <w:sz w:val="32"/>
          <w:szCs w:val="32"/>
          <w:highlight w:val="none"/>
        </w:rPr>
      </w:pPr>
    </w:p>
    <w:p>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44"/>
          <w:szCs w:val="44"/>
          <w:highlight w:val="none"/>
        </w:rPr>
        <w:t>无串通竞标行为的承诺函</w:t>
      </w:r>
    </w:p>
    <w:p>
      <w:pPr>
        <w:spacing w:line="360" w:lineRule="auto"/>
        <w:ind w:firstLine="640" w:firstLineChars="200"/>
        <w:contextualSpacing/>
        <w:rPr>
          <w:rFonts w:ascii="仿宋_GB2312" w:hAnsi="仿宋_GB2312" w:eastAsia="仿宋_GB2312" w:cs="仿宋_GB2312"/>
          <w:color w:val="auto"/>
          <w:sz w:val="32"/>
          <w:szCs w:val="32"/>
          <w:highlight w:val="none"/>
        </w:rPr>
      </w:pP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仿宋_GB2312"/>
          <w:color w:val="auto"/>
          <w:sz w:val="24"/>
          <w:highlight w:val="none"/>
        </w:rPr>
      </w:pPr>
    </w:p>
    <w:p>
      <w:pPr>
        <w:spacing w:line="360" w:lineRule="auto"/>
        <w:ind w:firstLine="482" w:firstLineChars="200"/>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spacing w:line="360" w:lineRule="auto"/>
        <w:contextualSpacing/>
        <w:rPr>
          <w:rFonts w:ascii="宋体" w:hAnsi="宋体" w:cs="仿宋_GB2312"/>
          <w:color w:val="auto"/>
          <w:sz w:val="24"/>
          <w:highlight w:val="none"/>
        </w:rPr>
      </w:pPr>
    </w:p>
    <w:p>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pacing w:line="360" w:lineRule="auto"/>
        <w:ind w:firstLine="480" w:firstLineChars="200"/>
        <w:contextualSpacing/>
        <w:jc w:val="center"/>
        <w:rPr>
          <w:rFonts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pPr>
        <w:spacing w:line="520" w:lineRule="exact"/>
        <w:jc w:val="center"/>
        <w:rPr>
          <w:rFonts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供应商名称：</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地    址：</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姓    名：         性     别：</w:t>
      </w:r>
    </w:p>
    <w:p>
      <w:pPr>
        <w:spacing w:line="360" w:lineRule="auto"/>
        <w:ind w:left="540"/>
        <w:contextualSpacing/>
        <w:rPr>
          <w:rFonts w:ascii="宋体" w:hAnsi="宋体" w:cs="仿宋_GB2312"/>
          <w:color w:val="auto"/>
          <w:sz w:val="24"/>
          <w:highlight w:val="none"/>
          <w:u w:val="single"/>
        </w:rPr>
      </w:pPr>
      <w:r>
        <w:rPr>
          <w:rFonts w:hint="eastAsia" w:ascii="宋体" w:hAnsi="宋体" w:cs="仿宋_GB2312"/>
          <w:color w:val="auto"/>
          <w:sz w:val="24"/>
          <w:highlight w:val="none"/>
        </w:rPr>
        <w:t>年    龄：         职     务：</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身份证号码：</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特此证明。</w:t>
      </w: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p>
    <w:p>
      <w:pPr>
        <w:spacing w:line="360" w:lineRule="auto"/>
        <w:ind w:left="540"/>
        <w:contextualSpacing/>
        <w:rPr>
          <w:rFonts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pPr>
        <w:spacing w:line="360" w:lineRule="auto"/>
        <w:ind w:left="540"/>
        <w:contextualSpacing/>
        <w:rPr>
          <w:rFonts w:ascii="宋体" w:hAnsi="宋体" w:cs="仿宋_GB2312"/>
          <w:color w:val="auto"/>
          <w:sz w:val="24"/>
          <w:highlight w:val="none"/>
        </w:rPr>
      </w:pPr>
    </w:p>
    <w:p>
      <w:pPr>
        <w:spacing w:line="360" w:lineRule="auto"/>
        <w:ind w:left="540" w:firstLine="3000" w:firstLineChars="1250"/>
        <w:contextualSpacing/>
        <w:jc w:val="left"/>
        <w:rPr>
          <w:rFonts w:ascii="宋体" w:hAnsi="宋体" w:cs="仿宋_GB2312"/>
          <w:color w:val="auto"/>
          <w:sz w:val="24"/>
          <w:highlight w:val="none"/>
        </w:rPr>
      </w:pPr>
      <w:r>
        <w:rPr>
          <w:rFonts w:hint="eastAsia" w:ascii="宋体" w:hAnsi="宋体" w:cs="仿宋_GB2312"/>
          <w:color w:val="auto"/>
          <w:sz w:val="24"/>
          <w:highlight w:val="none"/>
        </w:rPr>
        <w:t>供应商（电子签章）：</w:t>
      </w:r>
    </w:p>
    <w:p>
      <w:pPr>
        <w:spacing w:line="360" w:lineRule="auto"/>
        <w:ind w:firstLine="4080" w:firstLineChars="1700"/>
        <w:contextualSpacing/>
        <w:rPr>
          <w:rFonts w:ascii="宋体" w:hAnsi="宋体" w:cs="仿宋_GB2312"/>
          <w:color w:val="auto"/>
          <w:sz w:val="24"/>
          <w:highlight w:val="none"/>
        </w:rPr>
      </w:pPr>
      <w:r>
        <w:rPr>
          <w:rFonts w:hint="eastAsia" w:ascii="宋体" w:hAnsi="宋体" w:cs="仿宋_GB2312"/>
          <w:color w:val="auto"/>
          <w:sz w:val="24"/>
          <w:highlight w:val="none"/>
        </w:rPr>
        <w:t>年  月  日</w:t>
      </w:r>
    </w:p>
    <w:p>
      <w:pPr>
        <w:spacing w:line="360" w:lineRule="auto"/>
        <w:contextualSpacing/>
        <w:jc w:val="center"/>
        <w:rPr>
          <w:rFonts w:ascii="宋体" w:hAnsi="宋体" w:cs="仿宋_GB2312"/>
          <w:b/>
          <w:color w:val="auto"/>
          <w:sz w:val="24"/>
          <w:highlight w:val="none"/>
        </w:rPr>
      </w:pPr>
    </w:p>
    <w:p>
      <w:pPr>
        <w:spacing w:line="360" w:lineRule="auto"/>
        <w:contextualSpacing/>
        <w:jc w:val="left"/>
        <w:rPr>
          <w:rFonts w:ascii="宋体" w:hAnsi="宋体" w:cs="仿宋_GB2312"/>
          <w:color w:val="auto"/>
          <w:sz w:val="24"/>
          <w:highlight w:val="none"/>
        </w:rPr>
      </w:pPr>
    </w:p>
    <w:p>
      <w:pPr>
        <w:spacing w:line="360" w:lineRule="auto"/>
        <w:contextualSpacing/>
        <w:jc w:val="left"/>
        <w:rPr>
          <w:rFonts w:ascii="宋体" w:hAnsi="宋体" w:cs="仿宋_GB2312"/>
          <w:color w:val="auto"/>
          <w:sz w:val="24"/>
          <w:highlight w:val="none"/>
        </w:rPr>
      </w:pPr>
      <w:r>
        <w:rPr>
          <w:rFonts w:hint="eastAsia" w:ascii="宋体" w:hAnsi="宋体" w:cs="仿宋_GB2312"/>
          <w:color w:val="auto"/>
          <w:sz w:val="24"/>
          <w:highlight w:val="none"/>
        </w:rPr>
        <w:t>注：联合体竞标的只需牵头人出具。</w:t>
      </w:r>
    </w:p>
    <w:p>
      <w:pPr>
        <w:adjustRightInd w:val="0"/>
        <w:snapToGrid w:val="0"/>
        <w:spacing w:line="300" w:lineRule="auto"/>
        <w:jc w:val="left"/>
        <w:rPr>
          <w:rFonts w:ascii="宋体" w:hAnsi="宋体"/>
          <w:b/>
          <w:color w:val="auto"/>
          <w:szCs w:val="21"/>
          <w:highlight w:val="none"/>
        </w:rPr>
      </w:pPr>
    </w:p>
    <w:p>
      <w:pPr>
        <w:spacing w:line="50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pPr>
        <w:spacing w:line="520" w:lineRule="exact"/>
        <w:jc w:val="center"/>
        <w:rPr>
          <w:rFonts w:ascii="方正小标宋简体" w:hAnsi="方正小标宋简体" w:eastAsia="方正小标宋简体" w:cs="方正小标宋简体"/>
          <w:color w:val="auto"/>
          <w:sz w:val="44"/>
          <w:szCs w:val="44"/>
          <w:highlight w:val="none"/>
        </w:rPr>
      </w:pPr>
      <w:bookmarkStart w:id="108" w:name="_Hlk65853643"/>
      <w:r>
        <w:rPr>
          <w:rFonts w:hint="eastAsia" w:ascii="方正小标宋简体" w:hAnsi="方正小标宋简体" w:eastAsia="方正小标宋简体" w:cs="方正小标宋简体"/>
          <w:color w:val="auto"/>
          <w:sz w:val="44"/>
          <w:szCs w:val="44"/>
          <w:highlight w:val="none"/>
        </w:rPr>
        <w:t>授权委托书</w:t>
      </w:r>
    </w:p>
    <w:p>
      <w:pPr>
        <w:spacing w:line="52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（非联合体竞标格式）</w:t>
      </w:r>
    </w:p>
    <w:p>
      <w:pPr>
        <w:spacing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以我方的名义参加项目的竞标活动，并代表我方全权办理针对上述项目的所有采购程序和环节的具体事务和签署相关文件。</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pPr>
        <w:spacing w:line="360" w:lineRule="auto"/>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pPr>
        <w:spacing w:line="360" w:lineRule="auto"/>
        <w:contextualSpacing/>
        <w:rPr>
          <w:rFonts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 xml:space="preserve">                                         年    月    日</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pPr>
        <w:spacing w:line="360" w:lineRule="auto"/>
        <w:ind w:firstLine="420" w:firstLineChars="200"/>
        <w:jc w:val="left"/>
        <w:rPr>
          <w:rFonts w:ascii="仿宋_GB2312" w:hAnsi="仿宋_GB2312" w:eastAsia="仿宋_GB2312" w:cs="仿宋_GB2312"/>
          <w:color w:val="auto"/>
          <w:szCs w:val="21"/>
          <w:highlight w:val="none"/>
        </w:rPr>
      </w:pPr>
    </w:p>
    <w:bookmarkEnd w:id="108"/>
    <w:p>
      <w:pPr>
        <w:spacing w:line="360" w:lineRule="auto"/>
        <w:contextualSpacing/>
        <w:rPr>
          <w:rFonts w:ascii="方正小标宋简体" w:hAnsi="方正小标宋简体" w:eastAsia="方正小标宋简体" w:cs="方正小标宋简体"/>
          <w:bCs/>
          <w:color w:val="auto"/>
          <w:sz w:val="44"/>
          <w:szCs w:val="44"/>
          <w:highlight w:val="none"/>
        </w:rPr>
      </w:pPr>
      <w:r>
        <w:rPr>
          <w:rFonts w:hint="eastAsia" w:ascii="仿宋_GB2312" w:hAnsi="仿宋_GB2312" w:eastAsia="仿宋_GB2312" w:cs="仿宋_GB2312"/>
          <w:color w:val="auto"/>
          <w:sz w:val="32"/>
          <w:szCs w:val="32"/>
          <w:highlight w:val="none"/>
        </w:rPr>
        <w:br w:type="page"/>
      </w:r>
      <w:r>
        <w:rPr>
          <w:rFonts w:ascii="方正小标宋简体" w:hAnsi="方正小标宋简体" w:eastAsia="方正小标宋简体" w:cs="方正小标宋简体"/>
          <w:bCs/>
          <w:color w:val="auto"/>
          <w:sz w:val="44"/>
          <w:szCs w:val="44"/>
          <w:highlight w:val="none"/>
        </w:rPr>
        <w:t xml:space="preserve"> </w:t>
      </w:r>
    </w:p>
    <w:p>
      <w:pPr>
        <w:adjustRightInd w:val="0"/>
        <w:snapToGrid w:val="0"/>
        <w:spacing w:line="300" w:lineRule="auto"/>
        <w:jc w:val="center"/>
        <w:rPr>
          <w:rFonts w:ascii="宋体" w:hAnsi="宋体"/>
          <w:b/>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项目管理机构配备情况表及主要人员简历表</w:t>
      </w:r>
    </w:p>
    <w:p>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（一）项目管理机构配备情况表</w:t>
      </w:r>
    </w:p>
    <w:p>
      <w:pPr>
        <w:pStyle w:val="24"/>
        <w:spacing w:line="360" w:lineRule="auto"/>
        <w:contextualSpacing/>
        <w:rPr>
          <w:color w:val="auto"/>
          <w:sz w:val="24"/>
          <w:szCs w:val="24"/>
          <w:highlight w:val="none"/>
        </w:rPr>
      </w:pPr>
      <w:r>
        <w:rPr>
          <w:rFonts w:hint="eastAsia" w:hAnsi="宋体" w:cs="仿宋_GB2312"/>
          <w:color w:val="auto"/>
          <w:sz w:val="24"/>
          <w:highlight w:val="none"/>
        </w:rPr>
        <w:t>分标（如有）</w:t>
      </w:r>
      <w:r>
        <w:rPr>
          <w:rFonts w:hint="eastAsia"/>
          <w:color w:val="auto"/>
          <w:sz w:val="24"/>
          <w:szCs w:val="24"/>
          <w:highlight w:val="none"/>
        </w:rPr>
        <w:t>：</w:t>
      </w:r>
    </w:p>
    <w:tbl>
      <w:tblPr>
        <w:tblStyle w:val="43"/>
        <w:tblW w:w="9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20" w:type="dxa"/>
            <w:vMerge w:val="restart"/>
            <w:vAlign w:val="center"/>
          </w:tcPr>
          <w:p>
            <w:pPr>
              <w:ind w:left="223" w:hanging="222" w:hangingChars="106"/>
              <w:jc w:val="center"/>
              <w:rPr>
                <w:color w:val="auto"/>
                <w:highlight w:val="none"/>
              </w:rPr>
            </w:pPr>
            <w:r>
              <w:rPr>
                <w:color w:val="auto"/>
                <w:highlight w:val="none"/>
              </w:rPr>
              <w:t>岗位</w:t>
            </w:r>
          </w:p>
        </w:tc>
        <w:tc>
          <w:tcPr>
            <w:tcW w:w="670" w:type="dxa"/>
            <w:vMerge w:val="restart"/>
            <w:vAlign w:val="center"/>
          </w:tcPr>
          <w:p>
            <w:pPr>
              <w:ind w:left="223" w:hanging="222" w:hangingChars="106"/>
              <w:jc w:val="center"/>
              <w:rPr>
                <w:color w:val="auto"/>
                <w:highlight w:val="none"/>
              </w:rPr>
            </w:pPr>
            <w:r>
              <w:rPr>
                <w:color w:val="auto"/>
                <w:highlight w:val="none"/>
              </w:rPr>
              <w:t>姓名</w:t>
            </w:r>
          </w:p>
        </w:tc>
        <w:tc>
          <w:tcPr>
            <w:tcW w:w="829" w:type="dxa"/>
            <w:vMerge w:val="restart"/>
            <w:vAlign w:val="center"/>
          </w:tcPr>
          <w:p>
            <w:pPr>
              <w:jc w:val="center"/>
              <w:rPr>
                <w:color w:val="auto"/>
                <w:highlight w:val="none"/>
              </w:rPr>
            </w:pPr>
            <w:r>
              <w:rPr>
                <w:color w:val="auto"/>
                <w:highlight w:val="none"/>
              </w:rPr>
              <w:t>身份证号</w:t>
            </w:r>
          </w:p>
        </w:tc>
        <w:tc>
          <w:tcPr>
            <w:tcW w:w="816" w:type="dxa"/>
            <w:vMerge w:val="restart"/>
            <w:vAlign w:val="center"/>
          </w:tcPr>
          <w:p>
            <w:pPr>
              <w:ind w:left="223" w:hanging="222" w:hangingChars="106"/>
              <w:jc w:val="center"/>
              <w:rPr>
                <w:color w:val="auto"/>
                <w:highlight w:val="none"/>
              </w:rPr>
            </w:pPr>
            <w:r>
              <w:rPr>
                <w:color w:val="auto"/>
                <w:highlight w:val="none"/>
              </w:rPr>
              <w:t>职称</w:t>
            </w:r>
          </w:p>
        </w:tc>
        <w:tc>
          <w:tcPr>
            <w:tcW w:w="4188" w:type="dxa"/>
            <w:gridSpan w:val="4"/>
            <w:vAlign w:val="center"/>
          </w:tcPr>
          <w:p>
            <w:pPr>
              <w:ind w:left="223" w:hanging="222" w:hangingChars="106"/>
              <w:jc w:val="center"/>
              <w:rPr>
                <w:color w:val="auto"/>
                <w:highlight w:val="none"/>
              </w:rPr>
            </w:pPr>
            <w:r>
              <w:rPr>
                <w:color w:val="auto"/>
                <w:highlight w:val="none"/>
              </w:rPr>
              <w:t>执业或职业资格</w:t>
            </w:r>
          </w:p>
        </w:tc>
        <w:tc>
          <w:tcPr>
            <w:tcW w:w="2443" w:type="dxa"/>
            <w:gridSpan w:val="2"/>
            <w:vAlign w:val="center"/>
          </w:tcPr>
          <w:p>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920" w:type="dxa"/>
            <w:vMerge w:val="continue"/>
            <w:vAlign w:val="center"/>
          </w:tcPr>
          <w:p>
            <w:pPr>
              <w:ind w:left="223" w:hanging="222" w:hangingChars="106"/>
              <w:jc w:val="center"/>
              <w:rPr>
                <w:color w:val="auto"/>
                <w:highlight w:val="none"/>
              </w:rPr>
            </w:pPr>
          </w:p>
        </w:tc>
        <w:tc>
          <w:tcPr>
            <w:tcW w:w="670" w:type="dxa"/>
            <w:vMerge w:val="continue"/>
            <w:vAlign w:val="center"/>
          </w:tcPr>
          <w:p>
            <w:pPr>
              <w:ind w:left="223" w:hanging="222" w:hangingChars="106"/>
              <w:jc w:val="center"/>
              <w:rPr>
                <w:color w:val="auto"/>
                <w:highlight w:val="none"/>
              </w:rPr>
            </w:pPr>
          </w:p>
        </w:tc>
        <w:tc>
          <w:tcPr>
            <w:tcW w:w="829" w:type="dxa"/>
            <w:vMerge w:val="continue"/>
            <w:vAlign w:val="center"/>
          </w:tcPr>
          <w:p>
            <w:pPr>
              <w:ind w:left="223" w:hanging="222" w:hangingChars="106"/>
              <w:jc w:val="center"/>
              <w:rPr>
                <w:color w:val="auto"/>
                <w:highlight w:val="none"/>
              </w:rPr>
            </w:pPr>
          </w:p>
        </w:tc>
        <w:tc>
          <w:tcPr>
            <w:tcW w:w="816" w:type="dxa"/>
            <w:vMerge w:val="continue"/>
            <w:vAlign w:val="center"/>
          </w:tcPr>
          <w:p>
            <w:pPr>
              <w:ind w:left="223" w:hanging="222" w:hangingChars="106"/>
              <w:jc w:val="center"/>
              <w:rPr>
                <w:color w:val="auto"/>
                <w:highlight w:val="none"/>
              </w:rPr>
            </w:pPr>
          </w:p>
        </w:tc>
        <w:tc>
          <w:tcPr>
            <w:tcW w:w="1148" w:type="dxa"/>
            <w:vAlign w:val="center"/>
          </w:tcPr>
          <w:p>
            <w:pPr>
              <w:ind w:left="223" w:hanging="222" w:hangingChars="106"/>
              <w:jc w:val="center"/>
              <w:rPr>
                <w:color w:val="auto"/>
                <w:highlight w:val="none"/>
              </w:rPr>
            </w:pPr>
            <w:r>
              <w:rPr>
                <w:color w:val="auto"/>
                <w:highlight w:val="none"/>
              </w:rPr>
              <w:t>证书名称</w:t>
            </w:r>
          </w:p>
        </w:tc>
        <w:tc>
          <w:tcPr>
            <w:tcW w:w="1148" w:type="dxa"/>
            <w:vAlign w:val="center"/>
          </w:tcPr>
          <w:p>
            <w:pPr>
              <w:ind w:left="223" w:hanging="222" w:hangingChars="106"/>
              <w:jc w:val="center"/>
              <w:rPr>
                <w:color w:val="auto"/>
                <w:highlight w:val="none"/>
              </w:rPr>
            </w:pPr>
            <w:r>
              <w:rPr>
                <w:color w:val="auto"/>
                <w:highlight w:val="none"/>
              </w:rPr>
              <w:t>级别</w:t>
            </w:r>
          </w:p>
        </w:tc>
        <w:tc>
          <w:tcPr>
            <w:tcW w:w="1148" w:type="dxa"/>
            <w:vAlign w:val="center"/>
          </w:tcPr>
          <w:p>
            <w:pPr>
              <w:ind w:left="223" w:hanging="222" w:hangingChars="106"/>
              <w:jc w:val="center"/>
              <w:rPr>
                <w:color w:val="auto"/>
                <w:highlight w:val="none"/>
              </w:rPr>
            </w:pPr>
            <w:r>
              <w:rPr>
                <w:color w:val="auto"/>
                <w:highlight w:val="none"/>
              </w:rPr>
              <w:t>证号</w:t>
            </w:r>
          </w:p>
        </w:tc>
        <w:tc>
          <w:tcPr>
            <w:tcW w:w="744" w:type="dxa"/>
            <w:vAlign w:val="center"/>
          </w:tcPr>
          <w:p>
            <w:pPr>
              <w:ind w:left="223" w:hanging="222" w:hangingChars="106"/>
              <w:jc w:val="center"/>
              <w:rPr>
                <w:color w:val="auto"/>
                <w:highlight w:val="none"/>
              </w:rPr>
            </w:pPr>
            <w:r>
              <w:rPr>
                <w:color w:val="auto"/>
                <w:highlight w:val="none"/>
              </w:rPr>
              <w:t>专业</w:t>
            </w:r>
          </w:p>
        </w:tc>
        <w:tc>
          <w:tcPr>
            <w:tcW w:w="1167" w:type="dxa"/>
            <w:vAlign w:val="center"/>
          </w:tcPr>
          <w:p>
            <w:pPr>
              <w:jc w:val="center"/>
              <w:rPr>
                <w:color w:val="auto"/>
                <w:highlight w:val="none"/>
              </w:rPr>
            </w:pPr>
            <w:r>
              <w:rPr>
                <w:rFonts w:hint="eastAsia"/>
                <w:color w:val="auto"/>
                <w:highlight w:val="none"/>
              </w:rPr>
              <w:t>完工/在建</w:t>
            </w:r>
          </w:p>
        </w:tc>
        <w:tc>
          <w:tcPr>
            <w:tcW w:w="1276" w:type="dxa"/>
            <w:vAlign w:val="center"/>
          </w:tcPr>
          <w:p>
            <w:pPr>
              <w:jc w:val="center"/>
              <w:rPr>
                <w:color w:val="auto"/>
                <w:highlight w:val="none"/>
              </w:rPr>
            </w:pPr>
            <w:r>
              <w:rPr>
                <w:color w:val="auto"/>
                <w:highlight w:val="none"/>
              </w:rPr>
              <w:t>主要项目</w:t>
            </w:r>
          </w:p>
          <w:p>
            <w:pPr>
              <w:jc w:val="center"/>
              <w:rPr>
                <w:color w:val="auto"/>
                <w:highlight w:val="none"/>
              </w:rPr>
            </w:pPr>
            <w:r>
              <w:rPr>
                <w:color w:val="auto"/>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pStyle w:val="168"/>
              <w:spacing w:line="240" w:lineRule="auto"/>
              <w:ind w:firstLine="0"/>
              <w:rPr>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jc w:val="left"/>
              <w:rPr>
                <w:color w:val="auto"/>
                <w:szCs w:val="21"/>
                <w:highlight w:val="none"/>
              </w:rPr>
            </w:pPr>
            <w:r>
              <w:rPr>
                <w:rFonts w:hint="eastAsia"/>
                <w:color w:val="auto"/>
                <w:szCs w:val="21"/>
                <w:highlight w:val="none"/>
              </w:rPr>
              <w:t>5.</w:t>
            </w:r>
            <w:r>
              <w:rPr>
                <w:color w:val="auto"/>
                <w:szCs w:val="21"/>
                <w:highlight w:val="none"/>
              </w:rPr>
              <w:t>质量员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jc w:val="left"/>
              <w:rPr>
                <w:color w:val="auto"/>
                <w:szCs w:val="21"/>
                <w:highlight w:val="none"/>
              </w:rPr>
            </w:pPr>
            <w:r>
              <w:rPr>
                <w:rFonts w:hint="eastAsia"/>
                <w:color w:val="auto"/>
                <w:szCs w:val="21"/>
                <w:highlight w:val="none"/>
              </w:rPr>
              <w:t>6.材料员</w:t>
            </w: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20" w:type="dxa"/>
            <w:vAlign w:val="center"/>
          </w:tcPr>
          <w:p>
            <w:pPr>
              <w:ind w:left="223" w:hanging="222" w:hangingChars="106"/>
              <w:jc w:val="center"/>
              <w:rPr>
                <w:color w:val="auto"/>
                <w:szCs w:val="21"/>
                <w:highlight w:val="none"/>
              </w:rPr>
            </w:pPr>
          </w:p>
        </w:tc>
        <w:tc>
          <w:tcPr>
            <w:tcW w:w="670" w:type="dxa"/>
            <w:vAlign w:val="center"/>
          </w:tcPr>
          <w:p>
            <w:pPr>
              <w:ind w:left="223" w:hanging="222" w:hangingChars="106"/>
              <w:jc w:val="center"/>
              <w:rPr>
                <w:color w:val="auto"/>
                <w:szCs w:val="21"/>
                <w:highlight w:val="none"/>
              </w:rPr>
            </w:pPr>
          </w:p>
        </w:tc>
        <w:tc>
          <w:tcPr>
            <w:tcW w:w="829" w:type="dxa"/>
            <w:vAlign w:val="center"/>
          </w:tcPr>
          <w:p>
            <w:pPr>
              <w:ind w:left="223" w:hanging="222" w:hangingChars="106"/>
              <w:jc w:val="center"/>
              <w:rPr>
                <w:color w:val="auto"/>
                <w:szCs w:val="21"/>
                <w:highlight w:val="none"/>
              </w:rPr>
            </w:pPr>
          </w:p>
        </w:tc>
        <w:tc>
          <w:tcPr>
            <w:tcW w:w="816"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1148" w:type="dxa"/>
            <w:vAlign w:val="center"/>
          </w:tcPr>
          <w:p>
            <w:pPr>
              <w:ind w:left="223" w:hanging="222" w:hangingChars="106"/>
              <w:jc w:val="center"/>
              <w:rPr>
                <w:color w:val="auto"/>
                <w:szCs w:val="21"/>
                <w:highlight w:val="none"/>
              </w:rPr>
            </w:pPr>
          </w:p>
        </w:tc>
        <w:tc>
          <w:tcPr>
            <w:tcW w:w="744" w:type="dxa"/>
            <w:vAlign w:val="center"/>
          </w:tcPr>
          <w:p>
            <w:pPr>
              <w:ind w:left="223" w:hanging="222" w:hangingChars="106"/>
              <w:jc w:val="center"/>
              <w:rPr>
                <w:color w:val="auto"/>
                <w:szCs w:val="21"/>
                <w:highlight w:val="none"/>
              </w:rPr>
            </w:pPr>
          </w:p>
        </w:tc>
        <w:tc>
          <w:tcPr>
            <w:tcW w:w="1167" w:type="dxa"/>
            <w:vAlign w:val="center"/>
          </w:tcPr>
          <w:p>
            <w:pPr>
              <w:ind w:left="223" w:hanging="222" w:hangingChars="106"/>
              <w:jc w:val="center"/>
              <w:rPr>
                <w:color w:val="auto"/>
                <w:szCs w:val="21"/>
                <w:highlight w:val="none"/>
              </w:rPr>
            </w:pPr>
          </w:p>
        </w:tc>
        <w:tc>
          <w:tcPr>
            <w:tcW w:w="1276" w:type="dxa"/>
            <w:vAlign w:val="center"/>
          </w:tcPr>
          <w:p>
            <w:pPr>
              <w:ind w:left="223" w:hanging="222" w:hangingChars="106"/>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9866" w:type="dxa"/>
            <w:gridSpan w:val="10"/>
            <w:vAlign w:val="center"/>
          </w:tcPr>
          <w:p>
            <w:pPr>
              <w:ind w:left="223" w:hanging="222" w:hangingChars="106"/>
              <w:jc w:val="center"/>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pPr>
        <w:spacing w:line="360" w:lineRule="auto"/>
        <w:contextualSpacing/>
        <w:jc w:val="left"/>
        <w:rPr>
          <w:rFonts w:ascii="宋体" w:hAnsi="宋体"/>
          <w:color w:val="auto"/>
          <w:sz w:val="24"/>
          <w:szCs w:val="20"/>
          <w:highlight w:val="none"/>
        </w:rPr>
      </w:pPr>
      <w:r>
        <w:rPr>
          <w:rFonts w:hint="eastAsia" w:ascii="宋体" w:hAnsi="宋体"/>
          <w:color w:val="auto"/>
          <w:sz w:val="24"/>
          <w:szCs w:val="20"/>
          <w:highlight w:val="none"/>
        </w:rPr>
        <w:t>备注：</w:t>
      </w:r>
    </w:p>
    <w:p>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pPr>
        <w:spacing w:line="360" w:lineRule="auto"/>
        <w:ind w:firstLine="480" w:firstLineChars="200"/>
        <w:contextualSpacing/>
        <w:jc w:val="left"/>
        <w:rPr>
          <w:rFonts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供应商应当在本表后附所有管理人员的身份证、职称证、执业或职业资格证书、近1个月在现任职单位依法缴纳社会保险的证明材料的复印件并加盖供应商电子签章。</w:t>
      </w:r>
    </w:p>
    <w:p>
      <w:pPr>
        <w:spacing w:line="360" w:lineRule="auto"/>
        <w:ind w:firstLine="480" w:firstLineChars="200"/>
        <w:contextualSpacing/>
        <w:rPr>
          <w:rFonts w:ascii="宋体" w:hAnsi="宋体"/>
          <w:color w:val="auto"/>
          <w:spacing w:val="20"/>
          <w:sz w:val="24"/>
          <w:szCs w:val="20"/>
          <w:highlight w:val="none"/>
          <w:u w:val="single"/>
        </w:rPr>
      </w:pPr>
      <w:r>
        <w:rPr>
          <w:rFonts w:hint="eastAsia" w:ascii="宋体" w:hAnsi="宋体"/>
          <w:color w:val="auto"/>
          <w:sz w:val="24"/>
          <w:highlight w:val="none"/>
        </w:rPr>
        <w:t>法定代表人或者委托代理人</w:t>
      </w:r>
      <w:r>
        <w:rPr>
          <w:rFonts w:hint="eastAsia" w:ascii="宋体" w:hAnsi="宋体"/>
          <w:color w:val="auto"/>
          <w:spacing w:val="20"/>
          <w:sz w:val="24"/>
          <w:highlight w:val="none"/>
        </w:rPr>
        <w:t>签字：</w:t>
      </w:r>
    </w:p>
    <w:p>
      <w:pPr>
        <w:spacing w:line="360" w:lineRule="auto"/>
        <w:ind w:firstLine="560" w:firstLineChars="200"/>
        <w:contextualSpacing/>
        <w:jc w:val="left"/>
        <w:rPr>
          <w:rFonts w:ascii="宋体" w:hAnsi="宋体"/>
          <w:color w:val="auto"/>
          <w:sz w:val="24"/>
          <w:szCs w:val="20"/>
          <w:highlight w:val="none"/>
        </w:rPr>
      </w:pPr>
      <w:r>
        <w:rPr>
          <w:rFonts w:hint="eastAsia" w:ascii="宋体" w:hAnsi="宋体"/>
          <w:color w:val="auto"/>
          <w:spacing w:val="20"/>
          <w:sz w:val="24"/>
          <w:highlight w:val="none"/>
        </w:rPr>
        <w:t>供应商（电子签章）：       日 期：</w:t>
      </w:r>
    </w:p>
    <w:p>
      <w:pPr>
        <w:spacing w:line="36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（二）拟投入的主要人员简历表</w:t>
      </w:r>
    </w:p>
    <w:p>
      <w:pPr>
        <w:spacing w:line="360" w:lineRule="auto"/>
        <w:ind w:firstLine="643" w:firstLineChars="200"/>
        <w:jc w:val="center"/>
        <w:rPr>
          <w:color w:val="auto"/>
          <w:highlight w:val="none"/>
          <w:u w:val="single"/>
        </w:rPr>
      </w:pPr>
      <w:r>
        <w:rPr>
          <w:rFonts w:hint="eastAsia" w:cs="宋体"/>
          <w:b/>
          <w:color w:val="auto"/>
          <w:sz w:val="32"/>
          <w:szCs w:val="32"/>
          <w:highlight w:val="none"/>
        </w:rPr>
        <w:t>项目经理简历表</w:t>
      </w:r>
    </w:p>
    <w:tbl>
      <w:tblPr>
        <w:tblStyle w:val="43"/>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76"/>
        <w:gridCol w:w="55"/>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176" w:type="dxa"/>
            <w:vAlign w:val="center"/>
          </w:tcPr>
          <w:p>
            <w:pPr>
              <w:jc w:val="center"/>
              <w:rPr>
                <w:color w:val="auto"/>
                <w:highlight w:val="none"/>
              </w:rPr>
            </w:pPr>
            <w:r>
              <w:rPr>
                <w:rFonts w:hint="eastAsia" w:cs="宋体"/>
                <w:color w:val="auto"/>
                <w:highlight w:val="none"/>
              </w:rPr>
              <w:t>姓名</w:t>
            </w:r>
          </w:p>
        </w:tc>
        <w:tc>
          <w:tcPr>
            <w:tcW w:w="2318" w:type="dxa"/>
            <w:gridSpan w:val="5"/>
            <w:vAlign w:val="center"/>
          </w:tcPr>
          <w:p>
            <w:pPr>
              <w:jc w:val="center"/>
              <w:rPr>
                <w:color w:val="auto"/>
                <w:highlight w:val="none"/>
              </w:rPr>
            </w:pPr>
          </w:p>
        </w:tc>
        <w:tc>
          <w:tcPr>
            <w:tcW w:w="1893" w:type="dxa"/>
            <w:gridSpan w:val="5"/>
            <w:vAlign w:val="center"/>
          </w:tcPr>
          <w:p>
            <w:pPr>
              <w:jc w:val="center"/>
              <w:rPr>
                <w:color w:val="auto"/>
                <w:highlight w:val="none"/>
              </w:rPr>
            </w:pPr>
            <w:r>
              <w:rPr>
                <w:rFonts w:hint="eastAsia" w:cs="宋体"/>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eastAsia" w:cs="宋体"/>
                <w:color w:val="auto"/>
                <w:highlight w:val="none"/>
              </w:rPr>
              <w:t>年龄</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3" w:hRule="atLeast"/>
          <w:jc w:val="center"/>
        </w:trPr>
        <w:tc>
          <w:tcPr>
            <w:tcW w:w="1176" w:type="dxa"/>
            <w:vAlign w:val="center"/>
          </w:tcPr>
          <w:p>
            <w:pPr>
              <w:jc w:val="center"/>
              <w:rPr>
                <w:color w:val="auto"/>
                <w:highlight w:val="none"/>
              </w:rPr>
            </w:pPr>
            <w:r>
              <w:rPr>
                <w:rFonts w:hint="eastAsia" w:cs="宋体"/>
                <w:color w:val="auto"/>
                <w:highlight w:val="none"/>
              </w:rPr>
              <w:t>岗位</w:t>
            </w:r>
          </w:p>
        </w:tc>
        <w:tc>
          <w:tcPr>
            <w:tcW w:w="2318" w:type="dxa"/>
            <w:gridSpan w:val="5"/>
            <w:vAlign w:val="center"/>
          </w:tcPr>
          <w:p>
            <w:pPr>
              <w:jc w:val="center"/>
              <w:rPr>
                <w:color w:val="auto"/>
                <w:highlight w:val="none"/>
              </w:rPr>
            </w:pPr>
            <w:r>
              <w:rPr>
                <w:rFonts w:hint="eastAsia"/>
                <w:color w:val="auto"/>
                <w:highlight w:val="none"/>
              </w:rPr>
              <w:t>项目经理</w:t>
            </w:r>
          </w:p>
        </w:tc>
        <w:tc>
          <w:tcPr>
            <w:tcW w:w="1893" w:type="dxa"/>
            <w:gridSpan w:val="5"/>
            <w:vAlign w:val="center"/>
          </w:tcPr>
          <w:p>
            <w:pPr>
              <w:jc w:val="center"/>
              <w:rPr>
                <w:color w:val="auto"/>
                <w:highlight w:val="none"/>
              </w:rPr>
            </w:pPr>
            <w:r>
              <w:rPr>
                <w:rFonts w:hint="eastAsia" w:cs="宋体"/>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eastAsia" w:cs="宋体"/>
                <w:color w:val="auto"/>
                <w:highlight w:val="none"/>
              </w:rPr>
              <w:t>学历</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3" w:hRule="atLeast"/>
          <w:jc w:val="center"/>
        </w:trPr>
        <w:tc>
          <w:tcPr>
            <w:tcW w:w="1176" w:type="dxa"/>
            <w:vAlign w:val="center"/>
          </w:tcPr>
          <w:p>
            <w:pPr>
              <w:jc w:val="center"/>
              <w:rPr>
                <w:rFonts w:cs="宋体"/>
                <w:color w:val="auto"/>
                <w:highlight w:val="none"/>
              </w:rPr>
            </w:pPr>
            <w:r>
              <w:rPr>
                <w:rFonts w:hint="eastAsia" w:cs="宋体"/>
                <w:color w:val="auto"/>
                <w:highlight w:val="none"/>
              </w:rPr>
              <w:t>从业开始时间</w:t>
            </w:r>
          </w:p>
        </w:tc>
        <w:tc>
          <w:tcPr>
            <w:tcW w:w="2318" w:type="dxa"/>
            <w:gridSpan w:val="5"/>
            <w:vAlign w:val="center"/>
          </w:tcPr>
          <w:p>
            <w:pPr>
              <w:jc w:val="center"/>
              <w:rPr>
                <w:color w:val="auto"/>
                <w:highlight w:val="none"/>
              </w:rPr>
            </w:pPr>
          </w:p>
        </w:tc>
        <w:tc>
          <w:tcPr>
            <w:tcW w:w="1893" w:type="dxa"/>
            <w:gridSpan w:val="5"/>
            <w:vAlign w:val="center"/>
          </w:tcPr>
          <w:p>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宋体"/>
                <w:color w:val="auto"/>
                <w:highlight w:val="none"/>
              </w:rPr>
            </w:pPr>
            <w:r>
              <w:rPr>
                <w:rFonts w:hint="eastAsia" w:cs="宋体"/>
                <w:color w:val="auto"/>
                <w:highlight w:val="none"/>
              </w:rPr>
              <w:t>毕业时间</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r>
              <w:rPr>
                <w:rFonts w:hint="eastAsia" w:cs="宋体"/>
                <w:color w:val="auto"/>
                <w:highlight w:val="none"/>
              </w:rPr>
              <w:t>担任项目经理年限</w:t>
            </w:r>
          </w:p>
        </w:tc>
        <w:tc>
          <w:tcPr>
            <w:tcW w:w="2563" w:type="dxa"/>
            <w:gridSpan w:val="6"/>
            <w:vAlign w:val="center"/>
          </w:tcPr>
          <w:p>
            <w:pPr>
              <w:jc w:val="center"/>
              <w:rPr>
                <w:color w:val="auto"/>
                <w:highlight w:val="none"/>
              </w:rPr>
            </w:pPr>
          </w:p>
        </w:tc>
        <w:tc>
          <w:tcPr>
            <w:tcW w:w="1209" w:type="dxa"/>
            <w:vAlign w:val="center"/>
          </w:tcPr>
          <w:p>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r>
              <w:rPr>
                <w:rFonts w:hint="eastAsia"/>
                <w:color w:val="auto"/>
                <w:highlight w:val="none"/>
              </w:rPr>
              <w:t>证书名称</w:t>
            </w:r>
          </w:p>
        </w:tc>
        <w:tc>
          <w:tcPr>
            <w:tcW w:w="1275" w:type="dxa"/>
            <w:gridSpan w:val="2"/>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eastAsia" w:cs="宋体"/>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2"/>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p>
        </w:tc>
        <w:tc>
          <w:tcPr>
            <w:tcW w:w="1275" w:type="dxa"/>
            <w:gridSpan w:val="2"/>
            <w:vAlign w:val="center"/>
          </w:tcPr>
          <w:p>
            <w:pPr>
              <w:jc w:val="center"/>
              <w:rPr>
                <w:color w:val="auto"/>
                <w:highlight w:val="none"/>
              </w:rPr>
            </w:pPr>
          </w:p>
        </w:tc>
        <w:tc>
          <w:tcPr>
            <w:tcW w:w="1222" w:type="dxa"/>
            <w:gridSpan w:val="3"/>
            <w:vAlign w:val="center"/>
          </w:tcPr>
          <w:p>
            <w:pPr>
              <w:jc w:val="center"/>
              <w:rPr>
                <w:rFonts w:cs="宋体"/>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r>
              <w:rPr>
                <w:rFonts w:hint="eastAsia"/>
                <w:color w:val="auto"/>
                <w:highlight w:val="none"/>
              </w:rPr>
              <w:t>安全生产考核合格证书</w:t>
            </w:r>
          </w:p>
        </w:tc>
        <w:tc>
          <w:tcPr>
            <w:tcW w:w="1275" w:type="dxa"/>
            <w:gridSpan w:val="2"/>
            <w:vAlign w:val="center"/>
          </w:tcPr>
          <w:p>
            <w:pPr>
              <w:jc w:val="center"/>
              <w:rPr>
                <w:color w:val="auto"/>
                <w:highlight w:val="none"/>
              </w:rPr>
            </w:pPr>
          </w:p>
        </w:tc>
        <w:tc>
          <w:tcPr>
            <w:tcW w:w="1222" w:type="dxa"/>
            <w:gridSpan w:val="3"/>
            <w:vAlign w:val="center"/>
          </w:tcPr>
          <w:p>
            <w:pPr>
              <w:jc w:val="center"/>
              <w:rPr>
                <w:rFonts w:cs="宋体"/>
                <w:color w:val="auto"/>
                <w:highlight w:val="none"/>
              </w:rPr>
            </w:pPr>
            <w:r>
              <w:rPr>
                <w:rFonts w:hint="eastAsia"/>
                <w:color w:val="auto"/>
                <w:highlight w:val="none"/>
              </w:rPr>
              <w:t>B类</w:t>
            </w: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pPr>
              <w:jc w:val="center"/>
              <w:rPr>
                <w:color w:val="auto"/>
                <w:highlight w:val="none"/>
              </w:rPr>
            </w:pPr>
            <w:r>
              <w:rPr>
                <w:rFonts w:hint="eastAsia" w:cs="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2"/>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2"/>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建设单位</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建设规模</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eastAsia" w:cs="宋体"/>
                <w:color w:val="auto"/>
                <w:highlight w:val="none"/>
              </w:rPr>
              <w:t>竣工日期</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人员角色</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在建或已完</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工程质量</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受奖情况</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bl>
    <w:p>
      <w:pPr>
        <w:rPr>
          <w:rFonts w:ascii="宋体" w:hAnsi="宋体"/>
          <w:color w:val="auto"/>
          <w:szCs w:val="21"/>
          <w:highlight w:val="none"/>
        </w:rPr>
      </w:pPr>
      <w:r>
        <w:rPr>
          <w:rFonts w:hint="eastAsia" w:ascii="宋体" w:hAnsi="宋体" w:cs="楷体_GB2312"/>
          <w:color w:val="auto"/>
          <w:szCs w:val="21"/>
          <w:highlight w:val="none"/>
        </w:rPr>
        <w:t>备注：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2.本表后附项目经理的学历证、安全生产考核合格证（B类）、本表所列证书复印件并加盖供应商电子签章。</w:t>
      </w:r>
    </w:p>
    <w:p>
      <w:pPr>
        <w:spacing w:before="120" w:beforeLines="50"/>
        <w:ind w:firstLine="643" w:firstLineChars="200"/>
        <w:jc w:val="center"/>
        <w:rPr>
          <w:color w:val="auto"/>
          <w:highlight w:val="none"/>
          <w:u w:val="single"/>
        </w:rPr>
      </w:pPr>
      <w:r>
        <w:rPr>
          <w:rFonts w:cs="宋体"/>
          <w:b/>
          <w:color w:val="auto"/>
          <w:sz w:val="32"/>
          <w:szCs w:val="32"/>
          <w:highlight w:val="none"/>
        </w:rPr>
        <w:br w:type="page"/>
      </w:r>
      <w:r>
        <w:rPr>
          <w:rFonts w:hint="eastAsia" w:cs="宋体"/>
          <w:b/>
          <w:color w:val="auto"/>
          <w:sz w:val="32"/>
          <w:szCs w:val="32"/>
          <w:highlight w:val="none"/>
        </w:rPr>
        <w:t>项目技术负责人（项目总工）简历表</w:t>
      </w:r>
    </w:p>
    <w:tbl>
      <w:tblPr>
        <w:tblStyle w:val="43"/>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eastAsia" w:cs="宋体"/>
                <w:color w:val="auto"/>
                <w:highlight w:val="none"/>
              </w:rPr>
              <w:t>姓名</w:t>
            </w:r>
          </w:p>
        </w:tc>
        <w:tc>
          <w:tcPr>
            <w:tcW w:w="2340" w:type="dxa"/>
            <w:gridSpan w:val="5"/>
            <w:vAlign w:val="center"/>
          </w:tcPr>
          <w:p>
            <w:pPr>
              <w:jc w:val="center"/>
              <w:rPr>
                <w:color w:val="auto"/>
                <w:highlight w:val="none"/>
              </w:rPr>
            </w:pPr>
          </w:p>
        </w:tc>
        <w:tc>
          <w:tcPr>
            <w:tcW w:w="1893" w:type="dxa"/>
            <w:gridSpan w:val="5"/>
            <w:vAlign w:val="center"/>
          </w:tcPr>
          <w:p>
            <w:pPr>
              <w:jc w:val="center"/>
              <w:rPr>
                <w:color w:val="auto"/>
                <w:highlight w:val="none"/>
              </w:rPr>
            </w:pPr>
            <w:r>
              <w:rPr>
                <w:rFonts w:hint="eastAsia" w:cs="宋体"/>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eastAsia" w:cs="宋体"/>
                <w:color w:val="auto"/>
                <w:highlight w:val="none"/>
              </w:rPr>
              <w:t>年龄</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eastAsia" w:cs="宋体"/>
                <w:color w:val="auto"/>
                <w:highlight w:val="none"/>
              </w:rPr>
              <w:t>岗位</w:t>
            </w:r>
          </w:p>
        </w:tc>
        <w:tc>
          <w:tcPr>
            <w:tcW w:w="2340" w:type="dxa"/>
            <w:gridSpan w:val="5"/>
            <w:vAlign w:val="center"/>
          </w:tcPr>
          <w:p>
            <w:pPr>
              <w:jc w:val="center"/>
              <w:rPr>
                <w:color w:val="auto"/>
                <w:highlight w:val="none"/>
              </w:rPr>
            </w:pPr>
            <w:r>
              <w:rPr>
                <w:rFonts w:hint="eastAsia"/>
                <w:color w:val="auto"/>
                <w:highlight w:val="none"/>
              </w:rPr>
              <w:t>项目技术负责人（项目总工）</w:t>
            </w:r>
          </w:p>
        </w:tc>
        <w:tc>
          <w:tcPr>
            <w:tcW w:w="1893" w:type="dxa"/>
            <w:gridSpan w:val="5"/>
            <w:vAlign w:val="center"/>
          </w:tcPr>
          <w:p>
            <w:pPr>
              <w:jc w:val="center"/>
              <w:rPr>
                <w:color w:val="auto"/>
                <w:highlight w:val="none"/>
              </w:rPr>
            </w:pPr>
            <w:r>
              <w:rPr>
                <w:rFonts w:hint="eastAsia" w:cs="宋体"/>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eastAsia" w:cs="宋体"/>
                <w:color w:val="auto"/>
                <w:highlight w:val="none"/>
              </w:rPr>
              <w:t>学历</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pPr>
              <w:jc w:val="center"/>
              <w:rPr>
                <w:color w:val="auto"/>
                <w:highlight w:val="none"/>
              </w:rPr>
            </w:pPr>
          </w:p>
        </w:tc>
        <w:tc>
          <w:tcPr>
            <w:tcW w:w="1893" w:type="dxa"/>
            <w:gridSpan w:val="5"/>
            <w:vAlign w:val="center"/>
          </w:tcPr>
          <w:p>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宋体"/>
                <w:color w:val="auto"/>
                <w:highlight w:val="none"/>
              </w:rPr>
            </w:pPr>
            <w:r>
              <w:rPr>
                <w:rFonts w:hint="eastAsia" w:cs="宋体"/>
                <w:color w:val="auto"/>
                <w:highlight w:val="none"/>
              </w:rPr>
              <w:t>毕业时间</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s="宋体"/>
                <w:color w:val="auto"/>
                <w:highlight w:val="none"/>
              </w:rPr>
              <w:t>担任</w:t>
            </w:r>
            <w:r>
              <w:rPr>
                <w:rFonts w:hint="eastAsia"/>
                <w:color w:val="auto"/>
                <w:highlight w:val="none"/>
              </w:rPr>
              <w:t>……</w:t>
            </w:r>
            <w:r>
              <w:rPr>
                <w:rFonts w:hint="eastAsia" w:cs="宋体"/>
                <w:color w:val="auto"/>
                <w:highlight w:val="none"/>
              </w:rPr>
              <w:t>年限</w:t>
            </w:r>
          </w:p>
        </w:tc>
        <w:tc>
          <w:tcPr>
            <w:tcW w:w="2476" w:type="dxa"/>
            <w:gridSpan w:val="6"/>
            <w:vAlign w:val="center"/>
          </w:tcPr>
          <w:p>
            <w:pPr>
              <w:jc w:val="center"/>
              <w:rPr>
                <w:color w:val="auto"/>
                <w:highlight w:val="none"/>
              </w:rPr>
            </w:pPr>
          </w:p>
        </w:tc>
        <w:tc>
          <w:tcPr>
            <w:tcW w:w="1209" w:type="dxa"/>
            <w:vAlign w:val="center"/>
          </w:tcPr>
          <w:p>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olor w:val="auto"/>
                <w:highlight w:val="none"/>
              </w:rPr>
              <w:t>证书名称</w:t>
            </w:r>
          </w:p>
        </w:tc>
        <w:tc>
          <w:tcPr>
            <w:tcW w:w="1188" w:type="dxa"/>
            <w:gridSpan w:val="2"/>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eastAsia" w:cs="宋体"/>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2"/>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2"/>
            <w:vAlign w:val="center"/>
          </w:tcPr>
          <w:p>
            <w:pPr>
              <w:jc w:val="center"/>
              <w:rPr>
                <w:color w:val="auto"/>
                <w:highlight w:val="none"/>
              </w:rPr>
            </w:pPr>
          </w:p>
        </w:tc>
        <w:tc>
          <w:tcPr>
            <w:tcW w:w="1222" w:type="dxa"/>
            <w:gridSpan w:val="3"/>
            <w:vAlign w:val="center"/>
          </w:tcPr>
          <w:p>
            <w:pPr>
              <w:jc w:val="center"/>
              <w:rPr>
                <w:rFonts w:cs="宋体"/>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2"/>
            <w:vAlign w:val="center"/>
          </w:tcPr>
          <w:p>
            <w:pPr>
              <w:jc w:val="center"/>
              <w:rPr>
                <w:color w:val="auto"/>
                <w:highlight w:val="none"/>
              </w:rPr>
            </w:pPr>
          </w:p>
        </w:tc>
        <w:tc>
          <w:tcPr>
            <w:tcW w:w="1222" w:type="dxa"/>
            <w:gridSpan w:val="3"/>
            <w:vAlign w:val="center"/>
          </w:tcPr>
          <w:p>
            <w:pPr>
              <w:jc w:val="center"/>
              <w:rPr>
                <w:rFonts w:cs="宋体"/>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pPr>
              <w:jc w:val="center"/>
              <w:rPr>
                <w:color w:val="auto"/>
                <w:highlight w:val="none"/>
              </w:rPr>
            </w:pPr>
            <w:r>
              <w:rPr>
                <w:rFonts w:hint="eastAsia" w:cs="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2"/>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2"/>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建设单位</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建设规模</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竣工日期</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人员角色</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在建或已完</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工程质量</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受奖情况</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bl>
    <w:p>
      <w:pPr>
        <w:spacing w:line="360" w:lineRule="auto"/>
        <w:rPr>
          <w:rFonts w:ascii="宋体" w:hAnsi="宋体"/>
          <w:color w:val="auto"/>
          <w:szCs w:val="21"/>
          <w:highlight w:val="none"/>
        </w:rPr>
      </w:pPr>
      <w:r>
        <w:rPr>
          <w:rFonts w:hint="eastAsia" w:ascii="宋体" w:hAnsi="宋体" w:cs="楷体_GB2312"/>
          <w:color w:val="auto"/>
          <w:szCs w:val="21"/>
          <w:highlight w:val="none"/>
        </w:rPr>
        <w:t>备注：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.项目</w:t>
      </w:r>
      <w:r>
        <w:rPr>
          <w:rFonts w:ascii="宋体" w:hAnsi="宋体"/>
          <w:color w:val="auto"/>
          <w:szCs w:val="21"/>
          <w:highlight w:val="none"/>
        </w:rPr>
        <w:t>数</w:t>
      </w:r>
      <w:r>
        <w:rPr>
          <w:rFonts w:hint="eastAsia" w:ascii="宋体" w:hAnsi="宋体"/>
          <w:color w:val="auto"/>
          <w:szCs w:val="21"/>
          <w:highlight w:val="none"/>
        </w:rPr>
        <w:t>可</w:t>
      </w:r>
      <w:r>
        <w:rPr>
          <w:rFonts w:ascii="宋体" w:hAnsi="宋体"/>
          <w:color w:val="auto"/>
          <w:szCs w:val="21"/>
          <w:highlight w:val="none"/>
        </w:rPr>
        <w:t>以根据需要增加。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2.本表后附项目技术负责人（项目总工）的学历证、本表所列证书复印件并加盖供应商电子签章。</w:t>
      </w:r>
    </w:p>
    <w:p>
      <w:pPr>
        <w:spacing w:line="360" w:lineRule="auto"/>
        <w:rPr>
          <w:rFonts w:eastAsia="楷体_GB2312"/>
          <w:color w:val="auto"/>
          <w:highlight w:val="none"/>
        </w:rPr>
      </w:pPr>
    </w:p>
    <w:p>
      <w:pPr>
        <w:pStyle w:val="195"/>
        <w:spacing w:line="360" w:lineRule="auto"/>
        <w:jc w:val="center"/>
        <w:outlineLvl w:val="0"/>
        <w:rPr>
          <w:color w:val="auto"/>
          <w:highlight w:val="none"/>
          <w:u w:val="single"/>
        </w:rPr>
      </w:pPr>
      <w:r>
        <w:rPr>
          <w:rFonts w:cs="宋体"/>
          <w:b/>
          <w:bCs/>
          <w:color w:val="auto"/>
          <w:sz w:val="28"/>
          <w:szCs w:val="28"/>
          <w:highlight w:val="none"/>
        </w:rPr>
        <w:br w:type="page"/>
      </w:r>
      <w:r>
        <w:rPr>
          <w:rFonts w:hint="eastAsia" w:cs="宋体"/>
          <w:b/>
          <w:color w:val="auto"/>
          <w:sz w:val="32"/>
          <w:szCs w:val="32"/>
          <w:highlight w:val="none"/>
        </w:rPr>
        <w:t>专职安全生产管理人员</w:t>
      </w:r>
    </w:p>
    <w:tbl>
      <w:tblPr>
        <w:tblStyle w:val="43"/>
        <w:tblW w:w="9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888"/>
        <w:gridCol w:w="660"/>
        <w:gridCol w:w="328"/>
        <w:gridCol w:w="234"/>
        <w:gridCol w:w="66"/>
        <w:gridCol w:w="1209"/>
        <w:gridCol w:w="142"/>
        <w:gridCol w:w="242"/>
        <w:gridCol w:w="1088"/>
        <w:gridCol w:w="88"/>
        <w:gridCol w:w="409"/>
        <w:gridCol w:w="1108"/>
        <w:gridCol w:w="36"/>
        <w:gridCol w:w="79"/>
        <w:gridCol w:w="140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eastAsia" w:cs="宋体"/>
                <w:color w:val="auto"/>
                <w:highlight w:val="none"/>
              </w:rPr>
              <w:t>姓名</w:t>
            </w:r>
          </w:p>
        </w:tc>
        <w:tc>
          <w:tcPr>
            <w:tcW w:w="2340" w:type="dxa"/>
            <w:gridSpan w:val="5"/>
            <w:vAlign w:val="center"/>
          </w:tcPr>
          <w:p>
            <w:pPr>
              <w:jc w:val="center"/>
              <w:rPr>
                <w:color w:val="auto"/>
                <w:highlight w:val="none"/>
              </w:rPr>
            </w:pPr>
          </w:p>
        </w:tc>
        <w:tc>
          <w:tcPr>
            <w:tcW w:w="1893" w:type="dxa"/>
            <w:gridSpan w:val="5"/>
            <w:vAlign w:val="center"/>
          </w:tcPr>
          <w:p>
            <w:pPr>
              <w:jc w:val="center"/>
              <w:rPr>
                <w:color w:val="auto"/>
                <w:highlight w:val="none"/>
              </w:rPr>
            </w:pPr>
            <w:r>
              <w:rPr>
                <w:rFonts w:hint="eastAsia" w:cs="宋体"/>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eastAsia" w:cs="宋体"/>
                <w:color w:val="auto"/>
                <w:highlight w:val="none"/>
              </w:rPr>
              <w:t>年龄</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eastAsia" w:cs="宋体"/>
                <w:color w:val="auto"/>
                <w:highlight w:val="none"/>
              </w:rPr>
              <w:t>岗位</w:t>
            </w:r>
          </w:p>
        </w:tc>
        <w:tc>
          <w:tcPr>
            <w:tcW w:w="2340" w:type="dxa"/>
            <w:gridSpan w:val="5"/>
            <w:vAlign w:val="center"/>
          </w:tcPr>
          <w:p>
            <w:pPr>
              <w:jc w:val="center"/>
              <w:rPr>
                <w:color w:val="auto"/>
                <w:highlight w:val="none"/>
              </w:rPr>
            </w:pPr>
            <w:r>
              <w:rPr>
                <w:rFonts w:hint="eastAsia"/>
                <w:color w:val="auto"/>
                <w:highlight w:val="none"/>
              </w:rPr>
              <w:t>专职安全生产管理人员</w:t>
            </w:r>
          </w:p>
        </w:tc>
        <w:tc>
          <w:tcPr>
            <w:tcW w:w="1893" w:type="dxa"/>
            <w:gridSpan w:val="5"/>
            <w:vAlign w:val="center"/>
          </w:tcPr>
          <w:p>
            <w:pPr>
              <w:jc w:val="center"/>
              <w:rPr>
                <w:color w:val="auto"/>
                <w:highlight w:val="none"/>
              </w:rPr>
            </w:pPr>
            <w:r>
              <w:rPr>
                <w:rFonts w:hint="eastAsia" w:cs="宋体"/>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eastAsia" w:cs="宋体"/>
                <w:color w:val="auto"/>
                <w:highlight w:val="none"/>
              </w:rPr>
              <w:t>学历</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宋体"/>
                <w:color w:val="auto"/>
                <w:highlight w:val="none"/>
              </w:rPr>
            </w:pPr>
            <w:r>
              <w:rPr>
                <w:rFonts w:hint="eastAsia" w:cs="宋体"/>
                <w:color w:val="auto"/>
                <w:highlight w:val="none"/>
              </w:rPr>
              <w:t>从业开始时间</w:t>
            </w:r>
          </w:p>
        </w:tc>
        <w:tc>
          <w:tcPr>
            <w:tcW w:w="2340" w:type="dxa"/>
            <w:gridSpan w:val="5"/>
            <w:vAlign w:val="center"/>
          </w:tcPr>
          <w:p>
            <w:pPr>
              <w:jc w:val="center"/>
              <w:rPr>
                <w:color w:val="auto"/>
                <w:highlight w:val="none"/>
              </w:rPr>
            </w:pPr>
          </w:p>
        </w:tc>
        <w:tc>
          <w:tcPr>
            <w:tcW w:w="1893" w:type="dxa"/>
            <w:gridSpan w:val="5"/>
            <w:vAlign w:val="center"/>
          </w:tcPr>
          <w:p>
            <w:pPr>
              <w:jc w:val="center"/>
              <w:rPr>
                <w:rFonts w:cs="宋体"/>
                <w:color w:val="auto"/>
                <w:highlight w:val="none"/>
              </w:rPr>
            </w:pPr>
            <w:r>
              <w:rPr>
                <w:rFonts w:hint="eastAsia" w:cs="宋体"/>
                <w:color w:val="auto"/>
                <w:highlight w:val="none"/>
              </w:rPr>
              <w:t>职称</w:t>
            </w:r>
            <w:r>
              <w:rPr>
                <w:rFonts w:cs="宋体"/>
                <w:color w:val="auto"/>
                <w:highlight w:val="none"/>
              </w:rPr>
              <w:t>获</w:t>
            </w:r>
            <w:r>
              <w:rPr>
                <w:rFonts w:hint="eastAsia" w:cs="宋体"/>
                <w:color w:val="auto"/>
                <w:highlight w:val="none"/>
              </w:rPr>
              <w:t>得</w:t>
            </w:r>
            <w:r>
              <w:rPr>
                <w:rFonts w:cs="宋体"/>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宋体"/>
                <w:color w:val="auto"/>
                <w:highlight w:val="none"/>
              </w:rPr>
            </w:pPr>
            <w:r>
              <w:rPr>
                <w:rFonts w:hint="eastAsia" w:cs="宋体"/>
                <w:color w:val="auto"/>
                <w:highlight w:val="none"/>
              </w:rPr>
              <w:t>毕业时间</w:t>
            </w:r>
          </w:p>
        </w:tc>
        <w:tc>
          <w:tcPr>
            <w:tcW w:w="1531" w:type="dxa"/>
            <w:gridSpan w:val="4"/>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r>
              <w:rPr>
                <w:rFonts w:hint="eastAsia" w:cs="宋体"/>
                <w:color w:val="auto"/>
                <w:highlight w:val="none"/>
              </w:rPr>
              <w:t>担任……年限</w:t>
            </w:r>
          </w:p>
        </w:tc>
        <w:tc>
          <w:tcPr>
            <w:tcW w:w="2563" w:type="dxa"/>
            <w:gridSpan w:val="6"/>
            <w:vAlign w:val="center"/>
          </w:tcPr>
          <w:p>
            <w:pPr>
              <w:jc w:val="center"/>
              <w:rPr>
                <w:color w:val="auto"/>
                <w:highlight w:val="none"/>
              </w:rPr>
            </w:pPr>
          </w:p>
        </w:tc>
        <w:tc>
          <w:tcPr>
            <w:tcW w:w="1209" w:type="dxa"/>
            <w:vAlign w:val="center"/>
          </w:tcPr>
          <w:p>
            <w:pPr>
              <w:jc w:val="center"/>
              <w:rPr>
                <w:color w:val="auto"/>
                <w:highlight w:val="none"/>
              </w:rPr>
            </w:pPr>
            <w:r>
              <w:rPr>
                <w:rFonts w:hint="eastAsia"/>
                <w:color w:val="auto"/>
                <w:highlight w:val="none"/>
              </w:rPr>
              <w:t>身份</w:t>
            </w:r>
            <w:r>
              <w:rPr>
                <w:color w:val="auto"/>
                <w:highlight w:val="none"/>
              </w:rPr>
              <w:t>证号码</w:t>
            </w:r>
          </w:p>
        </w:tc>
        <w:tc>
          <w:tcPr>
            <w:tcW w:w="4608" w:type="dxa"/>
            <w:gridSpan w:val="10"/>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r>
              <w:rPr>
                <w:rFonts w:hint="eastAsia"/>
                <w:color w:val="auto"/>
                <w:highlight w:val="none"/>
              </w:rPr>
              <w:t>证书名称</w:t>
            </w:r>
          </w:p>
        </w:tc>
        <w:tc>
          <w:tcPr>
            <w:tcW w:w="1275" w:type="dxa"/>
            <w:gridSpan w:val="2"/>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eastAsia" w:cs="宋体"/>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2"/>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r>
              <w:rPr>
                <w:rFonts w:hint="eastAsia"/>
                <w:color w:val="auto"/>
                <w:highlight w:val="none"/>
              </w:rPr>
              <w:t>安全生产考核合格证书</w:t>
            </w:r>
          </w:p>
        </w:tc>
        <w:tc>
          <w:tcPr>
            <w:tcW w:w="1275" w:type="dxa"/>
            <w:gridSpan w:val="2"/>
            <w:vAlign w:val="center"/>
          </w:tcPr>
          <w:p>
            <w:pPr>
              <w:jc w:val="center"/>
              <w:rPr>
                <w:color w:val="auto"/>
                <w:highlight w:val="none"/>
              </w:rPr>
            </w:pPr>
          </w:p>
        </w:tc>
        <w:tc>
          <w:tcPr>
            <w:tcW w:w="1222" w:type="dxa"/>
            <w:gridSpan w:val="3"/>
            <w:vAlign w:val="center"/>
          </w:tcPr>
          <w:p>
            <w:pPr>
              <w:jc w:val="center"/>
              <w:rPr>
                <w:rFonts w:cs="宋体"/>
                <w:color w:val="auto"/>
                <w:highlight w:val="none"/>
              </w:rPr>
            </w:pPr>
            <w:r>
              <w:rPr>
                <w:rFonts w:hint="eastAsia" w:cs="宋体"/>
                <w:color w:val="auto"/>
                <w:highlight w:val="none"/>
              </w:rPr>
              <w:t>C类</w:t>
            </w: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color w:val="auto"/>
                <w:highlight w:val="none"/>
              </w:rPr>
            </w:pPr>
          </w:p>
        </w:tc>
        <w:tc>
          <w:tcPr>
            <w:tcW w:w="1275" w:type="dxa"/>
            <w:gridSpan w:val="2"/>
            <w:vAlign w:val="center"/>
          </w:tcPr>
          <w:p>
            <w:pPr>
              <w:jc w:val="center"/>
              <w:rPr>
                <w:color w:val="auto"/>
                <w:highlight w:val="none"/>
              </w:rPr>
            </w:pPr>
          </w:p>
        </w:tc>
        <w:tc>
          <w:tcPr>
            <w:tcW w:w="1222" w:type="dxa"/>
            <w:gridSpan w:val="3"/>
            <w:vAlign w:val="center"/>
          </w:tcPr>
          <w:p>
            <w:pPr>
              <w:jc w:val="center"/>
              <w:rPr>
                <w:rFonts w:cs="宋体"/>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 w:type="dxa"/>
          <w:trHeight w:val="620" w:hRule="atLeast"/>
          <w:jc w:val="center"/>
        </w:trPr>
        <w:tc>
          <w:tcPr>
            <w:tcW w:w="9611" w:type="dxa"/>
            <w:gridSpan w:val="19"/>
            <w:vAlign w:val="center"/>
          </w:tcPr>
          <w:p>
            <w:pPr>
              <w:jc w:val="center"/>
              <w:rPr>
                <w:color w:val="auto"/>
                <w:highlight w:val="none"/>
              </w:rPr>
            </w:pPr>
            <w:r>
              <w:rPr>
                <w:rFonts w:hint="eastAsia" w:cs="宋体"/>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2"/>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2"/>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建设单位</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eastAsia" w:cs="宋体"/>
                <w:color w:val="auto"/>
                <w:highlight w:val="none"/>
              </w:rPr>
              <w:t>建设规模</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宋体" w:hAnsi="宋体" w:cs="宋体"/>
                <w:color w:val="auto"/>
                <w:sz w:val="27"/>
                <w:szCs w:val="27"/>
                <w:highlight w:val="none"/>
              </w:rPr>
            </w:pPr>
            <w:r>
              <w:rPr>
                <w:rFonts w:hint="eastAsia" w:cs="宋体"/>
                <w:color w:val="auto"/>
                <w:highlight w:val="none"/>
              </w:rPr>
              <w:t>开工日期</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eastAsia" w:cs="宋体"/>
                <w:color w:val="auto"/>
                <w:highlight w:val="none"/>
              </w:rPr>
              <w:t>竣工日期</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人员角色</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在建或已完</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工程质量</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宋体"/>
                <w:color w:val="auto"/>
                <w:highlight w:val="none"/>
              </w:rPr>
            </w:pPr>
            <w:r>
              <w:rPr>
                <w:rFonts w:hint="eastAsia" w:cs="宋体"/>
                <w:color w:val="auto"/>
                <w:highlight w:val="none"/>
              </w:rPr>
              <w:t>受奖情况</w:t>
            </w:r>
          </w:p>
        </w:tc>
        <w:tc>
          <w:tcPr>
            <w:tcW w:w="1548" w:type="dxa"/>
            <w:gridSpan w:val="2"/>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2"/>
            <w:vAlign w:val="center"/>
          </w:tcPr>
          <w:p>
            <w:pPr>
              <w:jc w:val="center"/>
              <w:rPr>
                <w:color w:val="auto"/>
                <w:highlight w:val="none"/>
              </w:rPr>
            </w:pPr>
          </w:p>
        </w:tc>
      </w:tr>
    </w:tbl>
    <w:p>
      <w:pPr>
        <w:spacing w:line="360" w:lineRule="auto"/>
        <w:rPr>
          <w:rFonts w:ascii="宋体" w:hAnsi="宋体"/>
          <w:color w:val="auto"/>
          <w:highlight w:val="none"/>
        </w:rPr>
      </w:pPr>
      <w:r>
        <w:rPr>
          <w:rFonts w:hint="eastAsia" w:ascii="宋体" w:hAnsi="宋体" w:cs="楷体_GB2312"/>
          <w:color w:val="auto"/>
          <w:highlight w:val="none"/>
        </w:rPr>
        <w:t>备注：</w:t>
      </w:r>
    </w:p>
    <w:p>
      <w:pPr>
        <w:spacing w:line="360" w:lineRule="auto"/>
        <w:ind w:firstLine="420" w:firstLineChars="200"/>
        <w:rPr>
          <w:rFonts w:ascii="宋体" w:hAnsi="宋体"/>
          <w:color w:val="auto"/>
          <w:highlight w:val="none"/>
        </w:rPr>
      </w:pPr>
      <w:r>
        <w:rPr>
          <w:rFonts w:hint="eastAsia" w:ascii="宋体" w:hAnsi="宋体"/>
          <w:color w:val="auto"/>
          <w:highlight w:val="none"/>
        </w:rPr>
        <w:t>1.供应商可以根据项目情况增减表格内容，项目数可以根据需要增加。</w:t>
      </w:r>
    </w:p>
    <w:p>
      <w:pPr>
        <w:spacing w:line="360" w:lineRule="auto"/>
        <w:ind w:firstLine="420" w:firstLineChars="200"/>
        <w:rPr>
          <w:rFonts w:ascii="宋体" w:hAnsi="宋体"/>
          <w:color w:val="auto"/>
          <w:szCs w:val="21"/>
          <w:highlight w:val="none"/>
        </w:rPr>
      </w:pPr>
      <w:r>
        <w:rPr>
          <w:rFonts w:hint="eastAsia" w:ascii="宋体" w:hAnsi="宋体"/>
          <w:color w:val="auto"/>
          <w:highlight w:val="none"/>
        </w:rPr>
        <w:t>2.</w:t>
      </w:r>
      <w:r>
        <w:rPr>
          <w:rFonts w:hint="eastAsia" w:ascii="宋体" w:hAnsi="宋体"/>
          <w:color w:val="auto"/>
          <w:szCs w:val="21"/>
          <w:highlight w:val="none"/>
        </w:rPr>
        <w:t>本表后附专职安全生产管理人员的学历证、安全生产考核合格证（C类）、本表所列证书复印件并加盖供应商电子签章。</w:t>
      </w:r>
    </w:p>
    <w:p>
      <w:pPr>
        <w:spacing w:line="360" w:lineRule="auto"/>
        <w:rPr>
          <w:rFonts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pPr>
        <w:jc w:val="center"/>
        <w:rPr>
          <w:rFonts w:ascii="方正小标宋简体" w:hAnsi="方正小标宋简体" w:eastAsia="方正小标宋简体" w:cs="方正小标宋简体"/>
          <w:color w:val="auto"/>
          <w:sz w:val="44"/>
          <w:szCs w:val="44"/>
          <w:highlight w:val="none"/>
        </w:rPr>
      </w:pPr>
      <w:bookmarkStart w:id="109" w:name="_Toc71365926"/>
      <w:r>
        <w:rPr>
          <w:rFonts w:hint="eastAsia" w:ascii="方正小标宋简体" w:hAnsi="方正小标宋简体" w:eastAsia="方正小标宋简体" w:cs="方正小标宋简体"/>
          <w:color w:val="auto"/>
          <w:sz w:val="44"/>
          <w:szCs w:val="44"/>
          <w:highlight w:val="none"/>
        </w:rPr>
        <w:t>中小企业声明函（工程）</w:t>
      </w:r>
      <w:bookmarkEnd w:id="109"/>
    </w:p>
    <w:p>
      <w:pPr>
        <w:spacing w:before="2" w:line="500" w:lineRule="exact"/>
        <w:ind w:firstLine="708" w:firstLineChars="294"/>
        <w:rPr>
          <w:rFonts w:ascii="宋体" w:hAnsi="宋体" w:cs="宋体"/>
          <w:b/>
          <w:bCs/>
          <w:color w:val="auto"/>
          <w:sz w:val="24"/>
          <w:highlight w:val="none"/>
        </w:rPr>
      </w:pPr>
    </w:p>
    <w:p>
      <w:pPr>
        <w:pStyle w:val="18"/>
        <w:spacing w:line="500" w:lineRule="exact"/>
        <w:ind w:right="142" w:firstLine="705" w:firstLineChars="294"/>
        <w:rPr>
          <w:rFonts w:ascii="宋体" w:hAnsi="宋体"/>
          <w:color w:val="auto"/>
          <w:sz w:val="24"/>
          <w:highlight w:val="none"/>
        </w:rPr>
      </w:pPr>
      <w:r>
        <w:rPr>
          <w:rFonts w:ascii="宋体" w:hAnsi="宋体"/>
          <w:color w:val="auto"/>
          <w:sz w:val="24"/>
          <w:highlight w:val="none"/>
        </w:rPr>
        <w:t>本公司（联合体）郑重声明，根据《政府采购促进中小企业发展管理办法》（财库﹝2020﹞46号）的规定，本公司（联合体）参加</w:t>
      </w:r>
      <w:r>
        <w:rPr>
          <w:rFonts w:ascii="宋体" w:hAnsi="宋体"/>
          <w:color w:val="auto"/>
          <w:sz w:val="24"/>
          <w:highlight w:val="none"/>
          <w:u w:val="single"/>
        </w:rPr>
        <w:t>（单位名称）</w:t>
      </w:r>
      <w:r>
        <w:rPr>
          <w:rFonts w:ascii="宋体" w:hAnsi="宋体"/>
          <w:color w:val="auto"/>
          <w:sz w:val="24"/>
          <w:highlight w:val="none"/>
        </w:rPr>
        <w:t>的</w:t>
      </w:r>
      <w:r>
        <w:rPr>
          <w:rFonts w:ascii="宋体" w:hAnsi="宋体"/>
          <w:color w:val="auto"/>
          <w:sz w:val="24"/>
          <w:highlight w:val="none"/>
          <w:u w:val="single"/>
        </w:rPr>
        <w:t>（项目名称）</w:t>
      </w:r>
      <w:r>
        <w:rPr>
          <w:rFonts w:ascii="宋体" w:hAnsi="宋体"/>
          <w:color w:val="auto"/>
          <w:sz w:val="24"/>
          <w:highlight w:val="none"/>
        </w:rPr>
        <w:t>采购活动，</w:t>
      </w:r>
      <w:r>
        <w:rPr>
          <w:rFonts w:hint="eastAsia" w:ascii="宋体" w:hAnsi="宋体"/>
          <w:color w:val="auto"/>
          <w:sz w:val="24"/>
          <w:highlight w:val="none"/>
        </w:rPr>
        <w:t>工程的施工单位全部为符合政策要求的中小企业。相关企业（含联合体中的中小企业、签订分包意向协议的中小企业）的具体情况如下：</w:t>
      </w:r>
    </w:p>
    <w:p>
      <w:pPr>
        <w:tabs>
          <w:tab w:val="left" w:pos="1384"/>
          <w:tab w:val="left" w:pos="4562"/>
          <w:tab w:val="left" w:pos="6803"/>
        </w:tabs>
        <w:spacing w:before="13" w:line="500" w:lineRule="exact"/>
        <w:ind w:right="142" w:firstLine="772" w:firstLineChars="322"/>
        <w:rPr>
          <w:rFonts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tabs>
          <w:tab w:val="left" w:pos="1065"/>
          <w:tab w:val="left" w:pos="4262"/>
          <w:tab w:val="left" w:pos="6477"/>
        </w:tabs>
        <w:spacing w:before="20" w:line="500" w:lineRule="exact"/>
        <w:ind w:right="84" w:firstLine="772" w:firstLineChars="322"/>
        <w:rPr>
          <w:rFonts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，从业人员人，营业收入为万元，资产总额为万元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pPr>
        <w:pStyle w:val="18"/>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 xml:space="preserve">…… </w:t>
      </w:r>
    </w:p>
    <w:p>
      <w:pPr>
        <w:pStyle w:val="18"/>
        <w:spacing w:before="34" w:line="500" w:lineRule="exact"/>
        <w:ind w:right="142" w:firstLine="705" w:firstLineChars="294"/>
        <w:rPr>
          <w:rFonts w:ascii="宋体" w:hAnsi="宋体"/>
          <w:color w:val="auto"/>
          <w:sz w:val="24"/>
          <w:highlight w:val="none"/>
        </w:rPr>
      </w:pPr>
      <w:r>
        <w:rPr>
          <w:rFonts w:ascii="宋体" w:hAnsi="宋体"/>
          <w:color w:val="auto"/>
          <w:sz w:val="24"/>
          <w:highlight w:val="none"/>
        </w:rPr>
        <w:t>以上企业，不属于大企业的分支机构，不存在控股股东为大企业的情形，也不存在与大企业的负责人为同一人的情形。</w:t>
      </w:r>
    </w:p>
    <w:p>
      <w:pPr>
        <w:pStyle w:val="18"/>
        <w:spacing w:before="25" w:line="500" w:lineRule="exact"/>
        <w:ind w:right="142" w:firstLine="705" w:firstLineChars="294"/>
        <w:rPr>
          <w:rFonts w:ascii="宋体" w:hAnsi="宋体"/>
          <w:color w:val="auto"/>
          <w:sz w:val="24"/>
          <w:highlight w:val="none"/>
        </w:rPr>
      </w:pPr>
      <w:r>
        <w:rPr>
          <w:rFonts w:ascii="宋体" w:hAnsi="宋体"/>
          <w:color w:val="auto"/>
          <w:sz w:val="24"/>
          <w:highlight w:val="none"/>
        </w:rPr>
        <w:t>本企业对上述声明内容的真实性负责。如有虚假，将依法承担相应责任。</w:t>
      </w:r>
    </w:p>
    <w:p>
      <w:pPr>
        <w:pStyle w:val="18"/>
        <w:spacing w:before="56" w:line="500" w:lineRule="exact"/>
        <w:ind w:right="1808" w:firstLine="705" w:firstLineChars="294"/>
        <w:rPr>
          <w:rFonts w:ascii="宋体" w:hAnsi="宋体"/>
          <w:color w:val="auto"/>
          <w:sz w:val="24"/>
          <w:highlight w:val="none"/>
        </w:rPr>
      </w:pPr>
    </w:p>
    <w:p>
      <w:pPr>
        <w:pStyle w:val="18"/>
        <w:spacing w:before="56" w:line="500" w:lineRule="exact"/>
        <w:ind w:right="650" w:firstLine="5625" w:firstLineChars="2344"/>
        <w:rPr>
          <w:rFonts w:ascii="宋体" w:hAnsi="宋体"/>
          <w:color w:val="auto"/>
          <w:sz w:val="24"/>
          <w:highlight w:val="none"/>
        </w:rPr>
      </w:pPr>
      <w:r>
        <w:rPr>
          <w:rFonts w:ascii="宋体" w:hAnsi="宋体"/>
          <w:color w:val="auto"/>
          <w:sz w:val="24"/>
          <w:highlight w:val="none"/>
        </w:rPr>
        <w:t xml:space="preserve">企业名称（章）： </w:t>
      </w:r>
    </w:p>
    <w:p>
      <w:pPr>
        <w:pStyle w:val="18"/>
        <w:spacing w:before="56" w:line="500" w:lineRule="exact"/>
        <w:ind w:right="1808" w:firstLine="5625" w:firstLineChars="2344"/>
        <w:rPr>
          <w:rFonts w:ascii="宋体" w:hAnsi="宋体"/>
          <w:color w:val="auto"/>
          <w:sz w:val="24"/>
          <w:highlight w:val="none"/>
        </w:rPr>
      </w:pPr>
      <w:r>
        <w:rPr>
          <w:rFonts w:ascii="宋体" w:hAnsi="宋体"/>
          <w:color w:val="auto"/>
          <w:sz w:val="24"/>
          <w:highlight w:val="none"/>
        </w:rPr>
        <w:t>日 期：</w:t>
      </w:r>
    </w:p>
    <w:p>
      <w:pPr>
        <w:spacing w:line="520" w:lineRule="exact"/>
        <w:jc w:val="left"/>
        <w:rPr>
          <w:rFonts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4"/>
          <w:szCs w:val="44"/>
          <w:highlight w:val="none"/>
        </w:rPr>
        <w:t>残疾人福利性单位声明函</w:t>
      </w:r>
    </w:p>
    <w:p>
      <w:pPr>
        <w:spacing w:line="360" w:lineRule="auto"/>
        <w:contextualSpacing/>
        <w:rPr>
          <w:rFonts w:ascii="仿宋_GB2312" w:hAnsi="仿宋_GB2312" w:eastAsia="仿宋_GB2312" w:cs="仿宋_GB2312"/>
          <w:color w:val="auto"/>
          <w:sz w:val="32"/>
          <w:szCs w:val="32"/>
          <w:highlight w:val="none"/>
        </w:rPr>
      </w:pP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ind w:firstLine="2400" w:firstLineChars="1000"/>
        <w:contextualSpacing/>
        <w:rPr>
          <w:rFonts w:ascii="宋体" w:hAnsi="宋体" w:cs="仿宋_GB2312"/>
          <w:color w:val="auto"/>
          <w:sz w:val="24"/>
          <w:highlight w:val="none"/>
        </w:rPr>
      </w:pPr>
      <w:r>
        <w:rPr>
          <w:rFonts w:hint="eastAsia" w:ascii="宋体" w:hAnsi="宋体" w:cs="仿宋_GB2312"/>
          <w:color w:val="auto"/>
          <w:sz w:val="24"/>
          <w:highlight w:val="none"/>
        </w:rPr>
        <w:t>单位名称（盖章）：</w:t>
      </w:r>
    </w:p>
    <w:p>
      <w:pPr>
        <w:spacing w:line="360" w:lineRule="auto"/>
        <w:ind w:firstLine="3600" w:firstLineChars="1500"/>
        <w:contextualSpacing/>
        <w:rPr>
          <w:rFonts w:ascii="宋体" w:hAnsi="宋体" w:cs="仿宋_GB2312"/>
          <w:color w:val="auto"/>
          <w:sz w:val="24"/>
          <w:highlight w:val="none"/>
        </w:rPr>
      </w:pPr>
      <w:r>
        <w:rPr>
          <w:rFonts w:hint="eastAsia" w:ascii="宋体" w:hAnsi="宋体" w:cs="仿宋_GB2312"/>
          <w:color w:val="auto"/>
          <w:sz w:val="24"/>
          <w:highlight w:val="none"/>
        </w:rPr>
        <w:t>日  期：</w:t>
      </w: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p>
    <w:p>
      <w:pPr>
        <w:spacing w:line="360" w:lineRule="auto"/>
        <w:contextualSpacing/>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br w:type="page"/>
      </w:r>
    </w:p>
    <w:p>
      <w:pPr>
        <w:spacing w:line="360" w:lineRule="auto"/>
        <w:jc w:val="center"/>
        <w:rPr>
          <w:rFonts w:ascii="宋体" w:hAnsi="宋体"/>
          <w:b/>
          <w:bCs/>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质疑函（格式）</w:t>
      </w:r>
    </w:p>
    <w:p>
      <w:pPr>
        <w:pStyle w:val="2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一、质疑供应商基本信息：</w:t>
      </w:r>
    </w:p>
    <w:p>
      <w:pPr>
        <w:pStyle w:val="24"/>
        <w:spacing w:line="360" w:lineRule="auto"/>
        <w:ind w:firstLine="480" w:firstLineChars="200"/>
        <w:contextualSpacing/>
        <w:rPr>
          <w:rFonts w:hAnsi="宋体"/>
          <w:bCs/>
          <w:color w:val="auto"/>
          <w:sz w:val="24"/>
          <w:szCs w:val="24"/>
          <w:highlight w:val="none"/>
          <w:u w:val="single"/>
        </w:rPr>
      </w:pPr>
      <w:r>
        <w:rPr>
          <w:rFonts w:hint="eastAsia" w:hAnsi="宋体"/>
          <w:bCs/>
          <w:color w:val="auto"/>
          <w:sz w:val="24"/>
          <w:szCs w:val="24"/>
          <w:highlight w:val="none"/>
        </w:rPr>
        <w:t>质疑供应商：</w:t>
      </w:r>
    </w:p>
    <w:p>
      <w:pPr>
        <w:pStyle w:val="2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联系人</w:t>
      </w:r>
      <w:r>
        <w:rPr>
          <w:rFonts w:hint="eastAsia" w:hAnsi="宋体"/>
          <w:bCs/>
          <w:color w:val="auto"/>
          <w:sz w:val="24"/>
          <w:szCs w:val="24"/>
          <w:highlight w:val="none"/>
        </w:rPr>
        <w:t>：</w:t>
      </w:r>
      <w:r>
        <w:rPr>
          <w:rFonts w:hAnsi="宋体"/>
          <w:bCs/>
          <w:color w:val="auto"/>
          <w:sz w:val="24"/>
          <w:szCs w:val="24"/>
          <w:highlight w:val="none"/>
        </w:rPr>
        <w:t>联系电话</w:t>
      </w:r>
      <w:r>
        <w:rPr>
          <w:rFonts w:hint="eastAsia" w:hAnsi="宋体"/>
          <w:bCs/>
          <w:color w:val="auto"/>
          <w:sz w:val="24"/>
          <w:szCs w:val="24"/>
          <w:highlight w:val="none"/>
        </w:rPr>
        <w:t>：</w:t>
      </w:r>
    </w:p>
    <w:p>
      <w:pPr>
        <w:pStyle w:val="24"/>
        <w:spacing w:line="360" w:lineRule="auto"/>
        <w:ind w:firstLine="480" w:firstLineChars="200"/>
        <w:contextualSpacing/>
        <w:rPr>
          <w:rFonts w:hAnsi="宋体"/>
          <w:bCs/>
          <w:color w:val="auto"/>
          <w:sz w:val="24"/>
          <w:szCs w:val="24"/>
          <w:highlight w:val="none"/>
        </w:rPr>
      </w:pPr>
      <w:r>
        <w:rPr>
          <w:rFonts w:hint="eastAsia" w:hAnsi="宋体"/>
          <w:bCs/>
          <w:color w:val="auto"/>
          <w:sz w:val="24"/>
          <w:szCs w:val="24"/>
          <w:highlight w:val="none"/>
        </w:rPr>
        <w:t>授权代表：</w:t>
      </w:r>
    </w:p>
    <w:p>
      <w:pPr>
        <w:pStyle w:val="24"/>
        <w:spacing w:line="360" w:lineRule="auto"/>
        <w:ind w:firstLine="480" w:firstLineChars="200"/>
        <w:contextualSpacing/>
        <w:rPr>
          <w:rFonts w:hAnsi="宋体"/>
          <w:bCs/>
          <w:color w:val="auto"/>
          <w:sz w:val="24"/>
          <w:szCs w:val="24"/>
          <w:highlight w:val="none"/>
          <w:u w:val="single"/>
        </w:rPr>
      </w:pPr>
      <w:r>
        <w:rPr>
          <w:rFonts w:hAnsi="宋体"/>
          <w:bCs/>
          <w:color w:val="auto"/>
          <w:sz w:val="24"/>
          <w:szCs w:val="24"/>
          <w:highlight w:val="none"/>
        </w:rPr>
        <w:t>联系</w:t>
      </w:r>
      <w:r>
        <w:rPr>
          <w:rFonts w:hint="eastAsia" w:hAnsi="宋体"/>
          <w:bCs/>
          <w:color w:val="auto"/>
          <w:sz w:val="24"/>
          <w:szCs w:val="24"/>
          <w:highlight w:val="none"/>
        </w:rPr>
        <w:t>电话：</w:t>
      </w:r>
    </w:p>
    <w:p>
      <w:pPr>
        <w:pStyle w:val="24"/>
        <w:spacing w:line="360" w:lineRule="auto"/>
        <w:ind w:firstLine="480" w:firstLineChars="200"/>
        <w:contextualSpacing/>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pacing w:line="360" w:lineRule="auto"/>
        <w:ind w:firstLine="482" w:firstLineChars="200"/>
        <w:contextualSpacing/>
        <w:rPr>
          <w:rFonts w:hAnsi="宋体"/>
          <w:b/>
          <w:bCs/>
          <w:color w:val="auto"/>
          <w:sz w:val="24"/>
          <w:szCs w:val="24"/>
          <w:highlight w:val="none"/>
        </w:rPr>
      </w:pPr>
      <w:r>
        <w:rPr>
          <w:rFonts w:hint="eastAsia" w:hAnsi="宋体"/>
          <w:b/>
          <w:bCs/>
          <w:color w:val="auto"/>
          <w:sz w:val="24"/>
          <w:szCs w:val="24"/>
          <w:highlight w:val="none"/>
        </w:rPr>
        <w:t>二、质疑项目基本情况：</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项目的名称：</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bCs/>
          <w:color w:val="auto"/>
          <w:sz w:val="24"/>
          <w:szCs w:val="24"/>
          <w:highlight w:val="none"/>
        </w:rPr>
        <w:t>质疑</w:t>
      </w:r>
      <w:r>
        <w:rPr>
          <w:rFonts w:hint="eastAsia" w:hAnsi="宋体"/>
          <w:color w:val="auto"/>
          <w:sz w:val="24"/>
          <w:szCs w:val="24"/>
          <w:highlight w:val="none"/>
        </w:rPr>
        <w:t>项目的编号：</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采购人名称：</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w:t>
      </w:r>
    </w:p>
    <w:p>
      <w:pPr>
        <w:pStyle w:val="2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□采购文件   采购文件获取日期：</w:t>
      </w:r>
    </w:p>
    <w:p>
      <w:pPr>
        <w:pStyle w:val="24"/>
        <w:spacing w:line="360" w:lineRule="auto"/>
        <w:ind w:left="25" w:leftChars="12" w:firstLine="352" w:firstLineChars="147"/>
        <w:contextualSpacing/>
        <w:rPr>
          <w:rFonts w:hAnsi="宋体"/>
          <w:color w:val="auto"/>
          <w:sz w:val="24"/>
          <w:szCs w:val="24"/>
          <w:highlight w:val="none"/>
        </w:rPr>
      </w:pPr>
      <w:r>
        <w:rPr>
          <w:rFonts w:hint="eastAsia" w:hAnsi="宋体"/>
          <w:color w:val="auto"/>
          <w:sz w:val="24"/>
          <w:szCs w:val="24"/>
          <w:highlight w:val="none"/>
        </w:rPr>
        <w:t xml:space="preserve">□采购过程   </w:t>
      </w:r>
    </w:p>
    <w:p>
      <w:pPr>
        <w:pStyle w:val="24"/>
        <w:spacing w:line="360" w:lineRule="auto"/>
        <w:ind w:left="25" w:leftChars="12" w:firstLine="352" w:firstLineChars="147"/>
        <w:contextualSpacing/>
        <w:rPr>
          <w:rFonts w:hAnsi="宋体"/>
          <w:bCs/>
          <w:color w:val="auto"/>
          <w:sz w:val="24"/>
          <w:szCs w:val="24"/>
          <w:highlight w:val="none"/>
          <w:u w:val="single"/>
        </w:rPr>
      </w:pPr>
      <w:r>
        <w:rPr>
          <w:rFonts w:hint="eastAsia" w:hAnsi="宋体"/>
          <w:color w:val="auto"/>
          <w:sz w:val="24"/>
          <w:szCs w:val="24"/>
          <w:highlight w:val="none"/>
        </w:rPr>
        <w:t xml:space="preserve">□成交结果   </w:t>
      </w:r>
    </w:p>
    <w:p>
      <w:pPr>
        <w:pStyle w:val="24"/>
        <w:spacing w:line="360" w:lineRule="auto"/>
        <w:ind w:left="25" w:leftChars="12" w:firstLine="472" w:firstLineChars="196"/>
        <w:contextualSpacing/>
        <w:rPr>
          <w:rFonts w:hAnsi="宋体"/>
          <w:b/>
          <w:color w:val="auto"/>
          <w:sz w:val="24"/>
          <w:szCs w:val="24"/>
          <w:highlight w:val="none"/>
        </w:rPr>
      </w:pPr>
      <w:r>
        <w:rPr>
          <w:rFonts w:hint="eastAsia" w:hAnsi="宋体"/>
          <w:b/>
          <w:color w:val="auto"/>
          <w:sz w:val="24"/>
          <w:szCs w:val="24"/>
          <w:highlight w:val="none"/>
        </w:rPr>
        <w:t>三、质疑事项具体内容</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质疑事项1：</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事实依据：</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法律依据：</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质疑事项2</w:t>
      </w:r>
    </w:p>
    <w:p>
      <w:pPr>
        <w:pStyle w:val="24"/>
        <w:spacing w:line="360" w:lineRule="auto"/>
        <w:ind w:left="25" w:leftChars="12" w:firstLine="472" w:firstLineChars="197"/>
        <w:contextualSpacing/>
        <w:rPr>
          <w:rFonts w:hAnsi="宋体"/>
          <w:color w:val="auto"/>
          <w:sz w:val="24"/>
          <w:szCs w:val="24"/>
          <w:highlight w:val="none"/>
        </w:rPr>
      </w:pPr>
      <w:r>
        <w:rPr>
          <w:rFonts w:hAnsi="宋体"/>
          <w:color w:val="auto"/>
          <w:sz w:val="24"/>
          <w:szCs w:val="24"/>
          <w:highlight w:val="none"/>
        </w:rPr>
        <w:t>……</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四、与质疑事项相关的质疑请求：</w:t>
      </w: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请求：</w:t>
      </w:r>
    </w:p>
    <w:p>
      <w:pPr>
        <w:pStyle w:val="24"/>
        <w:spacing w:line="360" w:lineRule="auto"/>
        <w:ind w:left="25" w:leftChars="12" w:firstLine="352" w:firstLineChars="147"/>
        <w:contextualSpacing/>
        <w:rPr>
          <w:rFonts w:hAnsi="宋体"/>
          <w:color w:val="auto"/>
          <w:sz w:val="24"/>
          <w:szCs w:val="24"/>
          <w:highlight w:val="none"/>
        </w:rPr>
      </w:pPr>
    </w:p>
    <w:p>
      <w:pPr>
        <w:pStyle w:val="24"/>
        <w:spacing w:line="360" w:lineRule="auto"/>
        <w:ind w:left="25" w:leftChars="12" w:firstLine="472" w:firstLineChars="197"/>
        <w:contextualSpacing/>
        <w:rPr>
          <w:rFonts w:hAnsi="宋体"/>
          <w:color w:val="auto"/>
          <w:sz w:val="24"/>
          <w:szCs w:val="24"/>
          <w:highlight w:val="none"/>
        </w:rPr>
      </w:pPr>
      <w:r>
        <w:rPr>
          <w:rFonts w:hint="eastAsia" w:hAnsi="宋体"/>
          <w:color w:val="auto"/>
          <w:sz w:val="24"/>
          <w:szCs w:val="24"/>
          <w:highlight w:val="none"/>
        </w:rPr>
        <w:t>签字（签章）：                                       公章：</w:t>
      </w:r>
    </w:p>
    <w:p>
      <w:pPr>
        <w:pStyle w:val="24"/>
        <w:spacing w:line="360" w:lineRule="auto"/>
        <w:ind w:firstLine="480" w:firstLineChars="200"/>
        <w:contextualSpacing/>
        <w:rPr>
          <w:rFonts w:hAnsi="宋体"/>
          <w:b/>
          <w:color w:val="auto"/>
          <w:sz w:val="24"/>
          <w:szCs w:val="24"/>
          <w:highlight w:val="none"/>
        </w:rPr>
      </w:pPr>
      <w:r>
        <w:rPr>
          <w:rFonts w:hint="eastAsia" w:hAnsi="宋体"/>
          <w:color w:val="auto"/>
          <w:sz w:val="24"/>
          <w:szCs w:val="24"/>
          <w:highlight w:val="none"/>
        </w:rPr>
        <w:t>日期：</w:t>
      </w:r>
    </w:p>
    <w:p>
      <w:pPr>
        <w:pStyle w:val="24"/>
        <w:spacing w:line="360" w:lineRule="auto"/>
        <w:contextualSpacing/>
        <w:rPr>
          <w:rFonts w:hAnsi="宋体"/>
          <w:b/>
          <w:color w:val="auto"/>
          <w:sz w:val="24"/>
          <w:szCs w:val="24"/>
          <w:highlight w:val="none"/>
        </w:rPr>
      </w:pPr>
      <w:r>
        <w:rPr>
          <w:rFonts w:hint="eastAsia" w:hAnsi="宋体"/>
          <w:b/>
          <w:color w:val="auto"/>
          <w:sz w:val="24"/>
          <w:szCs w:val="24"/>
          <w:highlight w:val="none"/>
        </w:rPr>
        <w:t>说明：</w:t>
      </w:r>
    </w:p>
    <w:p>
      <w:pPr>
        <w:pStyle w:val="24"/>
        <w:spacing w:line="360" w:lineRule="auto"/>
        <w:ind w:left="25" w:leftChars="12" w:firstLine="354" w:firstLineChars="147"/>
        <w:contextualSpacing/>
        <w:rPr>
          <w:rFonts w:hAnsi="宋体"/>
          <w:b/>
          <w:bCs/>
          <w:color w:val="auto"/>
          <w:sz w:val="24"/>
          <w:szCs w:val="24"/>
          <w:highlight w:val="none"/>
        </w:rPr>
      </w:pPr>
      <w:r>
        <w:rPr>
          <w:rFonts w:hint="eastAsia" w:hAnsi="宋体"/>
          <w:b/>
          <w:color w:val="auto"/>
          <w:sz w:val="24"/>
          <w:szCs w:val="24"/>
          <w:highlight w:val="none"/>
        </w:rPr>
        <w:t>1.供应商提出质疑时，应提交质疑函和必要的证明材料</w:t>
      </w:r>
      <w:r>
        <w:rPr>
          <w:rFonts w:hint="eastAsia" w:hAnsi="宋体"/>
          <w:b/>
          <w:bCs/>
          <w:color w:val="auto"/>
          <w:sz w:val="24"/>
          <w:szCs w:val="24"/>
          <w:highlight w:val="none"/>
        </w:rPr>
        <w:t>。</w:t>
      </w:r>
    </w:p>
    <w:p>
      <w:pPr>
        <w:pStyle w:val="2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3.质疑函的质疑事项应具体、明确，并有必要的事实依据和法律依据。</w:t>
      </w:r>
    </w:p>
    <w:p>
      <w:pPr>
        <w:pStyle w:val="24"/>
        <w:spacing w:line="360" w:lineRule="auto"/>
        <w:ind w:left="25" w:leftChars="12" w:firstLine="354" w:firstLineChars="147"/>
        <w:contextualSpacing/>
        <w:rPr>
          <w:rFonts w:hAnsi="宋体"/>
          <w:b/>
          <w:color w:val="auto"/>
          <w:sz w:val="24"/>
          <w:szCs w:val="24"/>
          <w:highlight w:val="none"/>
        </w:rPr>
      </w:pPr>
      <w:r>
        <w:rPr>
          <w:rFonts w:hint="eastAsia" w:hAnsi="宋体"/>
          <w:b/>
          <w:color w:val="auto"/>
          <w:sz w:val="24"/>
          <w:szCs w:val="24"/>
          <w:highlight w:val="none"/>
        </w:rPr>
        <w:t>4.质疑函的质疑请求应与质疑事项相关。</w:t>
      </w:r>
    </w:p>
    <w:p>
      <w:pPr>
        <w:pStyle w:val="24"/>
        <w:spacing w:line="360" w:lineRule="auto"/>
        <w:ind w:left="25" w:leftChars="12" w:firstLine="354" w:firstLineChars="147"/>
        <w:contextualSpacing/>
        <w:rPr>
          <w:rFonts w:hAnsi="宋体"/>
          <w:b/>
          <w:color w:val="auto"/>
          <w:highlight w:val="none"/>
        </w:rPr>
      </w:pPr>
      <w:r>
        <w:rPr>
          <w:rFonts w:hint="eastAsia" w:hAnsi="宋体"/>
          <w:b/>
          <w:color w:val="auto"/>
          <w:sz w:val="24"/>
          <w:szCs w:val="24"/>
          <w:highlight w:val="none"/>
        </w:rPr>
        <w:t>5.质疑供应商为法人或者其他组织的，质疑函应由法定代表人、主要负责人，或者其授权代表签字或者盖章，并加盖公章。</w:t>
      </w:r>
    </w:p>
    <w:p>
      <w:pPr>
        <w:pStyle w:val="24"/>
        <w:snapToGrid w:val="0"/>
        <w:rPr>
          <w:b/>
          <w:color w:val="auto"/>
          <w:sz w:val="24"/>
          <w:szCs w:val="24"/>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color w:val="auto"/>
          <w:sz w:val="32"/>
          <w:szCs w:val="40"/>
          <w:highlight w:val="none"/>
        </w:rPr>
      </w:pPr>
    </w:p>
    <w:p>
      <w:pP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p>
    <w:p>
      <w:pPr>
        <w:spacing w:line="360" w:lineRule="auto"/>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投诉书（格式）</w:t>
      </w:r>
    </w:p>
    <w:p>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一、投诉相关主体基本情况：</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供应商：</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法定代表人/主要负责人：</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联系电话</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授权代表：</w:t>
      </w: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被投诉人1：</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地址：</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被投诉人2：</w:t>
      </w:r>
    </w:p>
    <w:p>
      <w:pPr>
        <w:pStyle w:val="24"/>
        <w:snapToGrid w:val="0"/>
        <w:spacing w:line="360" w:lineRule="auto"/>
        <w:ind w:firstLine="480" w:firstLineChars="200"/>
        <w:rPr>
          <w:rFonts w:hAnsi="宋体"/>
          <w:bCs/>
          <w:color w:val="auto"/>
          <w:sz w:val="24"/>
          <w:szCs w:val="24"/>
          <w:highlight w:val="none"/>
        </w:rPr>
      </w:pPr>
      <w:r>
        <w:rPr>
          <w:rFonts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相关供应商：</w:t>
      </w:r>
    </w:p>
    <w:p>
      <w:pPr>
        <w:pStyle w:val="24"/>
        <w:snapToGrid w:val="0"/>
        <w:spacing w:line="360" w:lineRule="auto"/>
        <w:ind w:firstLine="480" w:firstLineChars="200"/>
        <w:rPr>
          <w:rFonts w:hAnsi="宋体"/>
          <w:bCs/>
          <w:color w:val="auto"/>
          <w:sz w:val="24"/>
          <w:szCs w:val="24"/>
          <w:highlight w:val="none"/>
          <w:u w:val="single"/>
        </w:rPr>
      </w:pPr>
      <w:r>
        <w:rPr>
          <w:rFonts w:hAnsi="宋体"/>
          <w:bCs/>
          <w:color w:val="auto"/>
          <w:sz w:val="24"/>
          <w:szCs w:val="24"/>
          <w:highlight w:val="none"/>
        </w:rPr>
        <w:t>地址</w:t>
      </w:r>
      <w:r>
        <w:rPr>
          <w:rFonts w:hint="eastAsia" w:hAnsi="宋体"/>
          <w:bCs/>
          <w:color w:val="auto"/>
          <w:sz w:val="24"/>
          <w:szCs w:val="24"/>
          <w:highlight w:val="none"/>
        </w:rPr>
        <w:t>：</w:t>
      </w:r>
      <w:r>
        <w:rPr>
          <w:rFonts w:hAnsi="宋体"/>
          <w:bCs/>
          <w:color w:val="auto"/>
          <w:sz w:val="24"/>
          <w:szCs w:val="24"/>
          <w:highlight w:val="none"/>
        </w:rPr>
        <w:t>邮编</w:t>
      </w:r>
      <w:r>
        <w:rPr>
          <w:rFonts w:hint="eastAsia" w:hAnsi="宋体"/>
          <w:bCs/>
          <w:color w:val="auto"/>
          <w:sz w:val="24"/>
          <w:szCs w:val="24"/>
          <w:highlight w:val="none"/>
        </w:rPr>
        <w:t>：</w:t>
      </w:r>
    </w:p>
    <w:p>
      <w:pPr>
        <w:pStyle w:val="2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联系人：</w:t>
      </w:r>
      <w:r>
        <w:rPr>
          <w:rFonts w:hAnsi="宋体"/>
          <w:bCs/>
          <w:color w:val="auto"/>
          <w:sz w:val="24"/>
          <w:szCs w:val="24"/>
          <w:highlight w:val="none"/>
        </w:rPr>
        <w:t>联系</w:t>
      </w:r>
      <w:r>
        <w:rPr>
          <w:rFonts w:hint="eastAsia" w:hAnsi="宋体"/>
          <w:bCs/>
          <w:color w:val="auto"/>
          <w:sz w:val="24"/>
          <w:szCs w:val="24"/>
          <w:highlight w:val="none"/>
        </w:rPr>
        <w:t>电话：</w:t>
      </w:r>
    </w:p>
    <w:p>
      <w:pPr>
        <w:pStyle w:val="2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二、投诉项目基本情况：</w:t>
      </w:r>
    </w:p>
    <w:p>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项目的名称：</w:t>
      </w:r>
    </w:p>
    <w:p>
      <w:pPr>
        <w:pStyle w:val="24"/>
        <w:spacing w:line="360" w:lineRule="auto"/>
        <w:ind w:left="25" w:leftChars="12" w:firstLine="472" w:firstLineChars="197"/>
        <w:rPr>
          <w:rFonts w:hAnsi="宋体"/>
          <w:color w:val="auto"/>
          <w:sz w:val="24"/>
          <w:szCs w:val="24"/>
          <w:highlight w:val="none"/>
        </w:rPr>
      </w:pPr>
      <w:r>
        <w:rPr>
          <w:rFonts w:hint="eastAsia" w:hAnsi="宋体"/>
          <w:bCs/>
          <w:color w:val="auto"/>
          <w:sz w:val="24"/>
          <w:szCs w:val="24"/>
          <w:highlight w:val="none"/>
        </w:rPr>
        <w:t>采购</w:t>
      </w:r>
      <w:r>
        <w:rPr>
          <w:rFonts w:hint="eastAsia" w:hAnsi="宋体"/>
          <w:color w:val="auto"/>
          <w:sz w:val="24"/>
          <w:szCs w:val="24"/>
          <w:highlight w:val="none"/>
        </w:rPr>
        <w:t>项目的编号：</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采购人名称：</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代理机构名称：</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bCs/>
          <w:color w:val="auto"/>
          <w:sz w:val="24"/>
          <w:szCs w:val="24"/>
          <w:highlight w:val="none"/>
        </w:rPr>
        <w:t>采购文件公告：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24"/>
        <w:spacing w:line="360" w:lineRule="auto"/>
        <w:ind w:left="25" w:leftChars="12" w:firstLine="472" w:firstLineChars="197"/>
        <w:rPr>
          <w:rFonts w:hAnsi="宋体"/>
          <w:b/>
          <w:color w:val="auto"/>
          <w:sz w:val="24"/>
          <w:szCs w:val="24"/>
          <w:highlight w:val="none"/>
        </w:rPr>
      </w:pPr>
      <w:r>
        <w:rPr>
          <w:rFonts w:hint="eastAsia" w:hAnsi="宋体"/>
          <w:bCs/>
          <w:color w:val="auto"/>
          <w:sz w:val="24"/>
          <w:szCs w:val="24"/>
          <w:highlight w:val="none"/>
        </w:rPr>
        <w:t>采购结果公告：</w:t>
      </w:r>
      <w:r>
        <w:rPr>
          <w:rFonts w:hint="eastAsia" w:hAnsi="宋体"/>
          <w:bCs/>
          <w:color w:val="auto"/>
          <w:sz w:val="24"/>
          <w:szCs w:val="24"/>
          <w:highlight w:val="none"/>
          <w:u w:val="single"/>
        </w:rPr>
        <w:t>是/否</w:t>
      </w:r>
      <w:r>
        <w:rPr>
          <w:rFonts w:hint="eastAsia" w:hAnsi="宋体"/>
          <w:bCs/>
          <w:color w:val="auto"/>
          <w:sz w:val="24"/>
          <w:szCs w:val="24"/>
          <w:highlight w:val="none"/>
        </w:rPr>
        <w:t>公告期限：</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三、质疑基本情况</w:t>
      </w:r>
    </w:p>
    <w:p>
      <w:pPr>
        <w:pStyle w:val="24"/>
        <w:spacing w:line="360" w:lineRule="auto"/>
        <w:ind w:firstLine="480" w:firstLineChars="200"/>
        <w:rPr>
          <w:rFonts w:hAnsi="宋体"/>
          <w:color w:val="auto"/>
          <w:sz w:val="24"/>
          <w:szCs w:val="24"/>
          <w:highlight w:val="none"/>
        </w:rPr>
      </w:pPr>
      <w:r>
        <w:rPr>
          <w:rFonts w:hint="eastAsia" w:hAnsi="宋体"/>
          <w:color w:val="auto"/>
          <w:sz w:val="24"/>
          <w:szCs w:val="24"/>
          <w:highlight w:val="none"/>
        </w:rPr>
        <w:t>投诉人于年月日，向提出质疑，质疑事项为：</w:t>
      </w:r>
    </w:p>
    <w:p>
      <w:pPr>
        <w:pStyle w:val="24"/>
        <w:spacing w:line="360" w:lineRule="auto"/>
        <w:ind w:firstLine="241"/>
        <w:rPr>
          <w:rFonts w:hAnsi="宋体"/>
          <w:bCs/>
          <w:color w:val="auto"/>
          <w:sz w:val="24"/>
          <w:szCs w:val="24"/>
          <w:highlight w:val="none"/>
          <w:u w:val="single"/>
        </w:rPr>
      </w:pPr>
    </w:p>
    <w:p>
      <w:pPr>
        <w:pStyle w:val="24"/>
        <w:spacing w:line="360" w:lineRule="auto"/>
        <w:ind w:firstLine="241"/>
        <w:rPr>
          <w:rFonts w:hAnsi="宋体"/>
          <w:bCs/>
          <w:color w:val="auto"/>
          <w:sz w:val="24"/>
          <w:szCs w:val="24"/>
          <w:highlight w:val="none"/>
          <w:u w:val="single"/>
        </w:rPr>
      </w:pPr>
    </w:p>
    <w:p>
      <w:pPr>
        <w:pStyle w:val="24"/>
        <w:spacing w:line="360" w:lineRule="auto"/>
        <w:ind w:firstLine="480" w:firstLineChars="200"/>
        <w:rPr>
          <w:rFonts w:hAnsi="宋体"/>
          <w:color w:val="auto"/>
          <w:sz w:val="24"/>
          <w:szCs w:val="24"/>
          <w:highlight w:val="none"/>
        </w:rPr>
      </w:pPr>
      <w:r>
        <w:rPr>
          <w:rFonts w:hint="eastAsia" w:hAnsi="宋体"/>
          <w:bCs/>
          <w:color w:val="auto"/>
          <w:sz w:val="24"/>
          <w:szCs w:val="24"/>
          <w:highlight w:val="none"/>
          <w:u w:val="single"/>
        </w:rPr>
        <w:t>采购人/代理机构</w:t>
      </w:r>
      <w:r>
        <w:rPr>
          <w:rFonts w:hint="eastAsia" w:hAnsi="宋体"/>
          <w:bCs/>
          <w:color w:val="auto"/>
          <w:sz w:val="24"/>
          <w:szCs w:val="24"/>
          <w:highlight w:val="none"/>
        </w:rPr>
        <w:t>于</w:t>
      </w:r>
      <w:r>
        <w:rPr>
          <w:rFonts w:hint="eastAsia" w:hAnsi="宋体"/>
          <w:color w:val="auto"/>
          <w:sz w:val="24"/>
          <w:szCs w:val="24"/>
          <w:highlight w:val="none"/>
        </w:rPr>
        <w:t>年月日，</w:t>
      </w:r>
      <w:r>
        <w:rPr>
          <w:rFonts w:hint="eastAsia" w:hAnsi="宋体"/>
          <w:bCs/>
          <w:color w:val="auto"/>
          <w:sz w:val="24"/>
          <w:szCs w:val="24"/>
          <w:highlight w:val="none"/>
        </w:rPr>
        <w:t xml:space="preserve">就质疑事项作出了答复/没有在法定期限内作出答复。                                                                                             </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四、投诉事项具体内容</w:t>
      </w:r>
    </w:p>
    <w:p>
      <w:pPr>
        <w:pStyle w:val="24"/>
        <w:spacing w:line="360" w:lineRule="auto"/>
        <w:ind w:left="25" w:leftChars="12" w:firstLine="472" w:firstLineChars="197"/>
        <w:rPr>
          <w:rFonts w:hAnsi="宋体"/>
          <w:bCs/>
          <w:color w:val="auto"/>
          <w:sz w:val="24"/>
          <w:szCs w:val="24"/>
          <w:highlight w:val="none"/>
          <w:u w:val="single"/>
        </w:rPr>
      </w:pPr>
      <w:r>
        <w:rPr>
          <w:rFonts w:hint="eastAsia" w:hAnsi="宋体"/>
          <w:color w:val="auto"/>
          <w:sz w:val="24"/>
          <w:szCs w:val="24"/>
          <w:highlight w:val="none"/>
        </w:rPr>
        <w:t>投诉事项1：</w:t>
      </w:r>
    </w:p>
    <w:p>
      <w:pPr>
        <w:pStyle w:val="2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事实依据：</w:t>
      </w:r>
    </w:p>
    <w:p>
      <w:pPr>
        <w:pStyle w:val="24"/>
        <w:spacing w:line="360" w:lineRule="auto"/>
        <w:ind w:left="25" w:leftChars="12" w:firstLine="472" w:firstLineChars="197"/>
        <w:rPr>
          <w:rFonts w:hAnsi="宋体"/>
          <w:color w:val="auto"/>
          <w:sz w:val="24"/>
          <w:szCs w:val="24"/>
          <w:highlight w:val="none"/>
        </w:rPr>
      </w:pPr>
    </w:p>
    <w:p>
      <w:pPr>
        <w:pStyle w:val="24"/>
        <w:spacing w:line="360" w:lineRule="auto"/>
        <w:ind w:firstLine="480" w:firstLineChars="200"/>
        <w:rPr>
          <w:rFonts w:hAnsi="宋体"/>
          <w:bCs/>
          <w:color w:val="auto"/>
          <w:sz w:val="24"/>
          <w:szCs w:val="24"/>
          <w:highlight w:val="none"/>
          <w:u w:val="single"/>
        </w:rPr>
      </w:pPr>
      <w:r>
        <w:rPr>
          <w:rFonts w:hint="eastAsia" w:hAnsi="宋体"/>
          <w:bCs/>
          <w:color w:val="auto"/>
          <w:sz w:val="24"/>
          <w:szCs w:val="24"/>
          <w:highlight w:val="none"/>
        </w:rPr>
        <w:t>法律依据：</w:t>
      </w:r>
    </w:p>
    <w:p>
      <w:pPr>
        <w:pStyle w:val="24"/>
        <w:spacing w:line="360" w:lineRule="auto"/>
        <w:ind w:left="25" w:leftChars="12" w:firstLine="352" w:firstLineChars="147"/>
        <w:rPr>
          <w:rFonts w:hAnsi="宋体"/>
          <w:bCs/>
          <w:color w:val="auto"/>
          <w:sz w:val="24"/>
          <w:szCs w:val="24"/>
          <w:highlight w:val="none"/>
          <w:u w:val="single"/>
        </w:rPr>
      </w:pPr>
    </w:p>
    <w:p>
      <w:pPr>
        <w:pStyle w:val="24"/>
        <w:spacing w:line="360" w:lineRule="auto"/>
        <w:ind w:left="25" w:leftChars="12" w:firstLine="472" w:firstLineChars="197"/>
        <w:rPr>
          <w:rFonts w:hAnsi="宋体"/>
          <w:bCs/>
          <w:color w:val="auto"/>
          <w:sz w:val="24"/>
          <w:szCs w:val="24"/>
          <w:highlight w:val="none"/>
        </w:rPr>
      </w:pPr>
      <w:r>
        <w:rPr>
          <w:rFonts w:hint="eastAsia" w:hAnsi="宋体"/>
          <w:color w:val="auto"/>
          <w:sz w:val="24"/>
          <w:szCs w:val="24"/>
          <w:highlight w:val="none"/>
        </w:rPr>
        <w:t xml:space="preserve">投诉事项2  </w:t>
      </w:r>
    </w:p>
    <w:p>
      <w:pPr>
        <w:pStyle w:val="24"/>
        <w:spacing w:line="360" w:lineRule="auto"/>
        <w:ind w:left="25" w:leftChars="12" w:firstLine="472" w:firstLineChars="197"/>
        <w:rPr>
          <w:rFonts w:hAnsi="宋体"/>
          <w:bCs/>
          <w:color w:val="auto"/>
          <w:sz w:val="24"/>
          <w:szCs w:val="24"/>
          <w:highlight w:val="none"/>
        </w:rPr>
      </w:pPr>
      <w:r>
        <w:rPr>
          <w:rFonts w:hAnsi="宋体"/>
          <w:bCs/>
          <w:color w:val="auto"/>
          <w:sz w:val="24"/>
          <w:szCs w:val="24"/>
          <w:highlight w:val="none"/>
        </w:rPr>
        <w:t>……</w:t>
      </w:r>
    </w:p>
    <w:p>
      <w:pPr>
        <w:pStyle w:val="24"/>
        <w:spacing w:line="360" w:lineRule="auto"/>
        <w:ind w:left="25" w:leftChars="12" w:firstLine="472" w:firstLineChars="196"/>
        <w:rPr>
          <w:rFonts w:hAnsi="宋体"/>
          <w:b/>
          <w:color w:val="auto"/>
          <w:sz w:val="24"/>
          <w:szCs w:val="24"/>
          <w:highlight w:val="none"/>
        </w:rPr>
      </w:pPr>
      <w:r>
        <w:rPr>
          <w:rFonts w:hint="eastAsia" w:hAnsi="宋体"/>
          <w:b/>
          <w:color w:val="auto"/>
          <w:sz w:val="24"/>
          <w:szCs w:val="24"/>
          <w:highlight w:val="none"/>
        </w:rPr>
        <w:t>五、与投诉事项相关的投诉请求：</w:t>
      </w: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请求：</w:t>
      </w:r>
    </w:p>
    <w:p>
      <w:pPr>
        <w:pStyle w:val="24"/>
        <w:spacing w:line="360" w:lineRule="auto"/>
        <w:ind w:left="25" w:leftChars="12" w:firstLine="352" w:firstLineChars="147"/>
        <w:rPr>
          <w:rFonts w:hAnsi="宋体"/>
          <w:color w:val="auto"/>
          <w:sz w:val="24"/>
          <w:szCs w:val="24"/>
          <w:highlight w:val="none"/>
        </w:rPr>
      </w:pP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签字（签章）：                                       公章：</w:t>
      </w:r>
    </w:p>
    <w:p>
      <w:pPr>
        <w:pStyle w:val="24"/>
        <w:spacing w:line="360" w:lineRule="auto"/>
        <w:ind w:left="25" w:leftChars="12" w:firstLine="352" w:firstLineChars="147"/>
        <w:rPr>
          <w:rFonts w:hAnsi="宋体"/>
          <w:color w:val="auto"/>
          <w:sz w:val="24"/>
          <w:szCs w:val="24"/>
          <w:highlight w:val="none"/>
        </w:rPr>
      </w:pPr>
    </w:p>
    <w:p>
      <w:pPr>
        <w:pStyle w:val="24"/>
        <w:spacing w:line="360" w:lineRule="auto"/>
        <w:ind w:left="25" w:leftChars="12" w:firstLine="472" w:firstLineChars="197"/>
        <w:rPr>
          <w:rFonts w:hAnsi="宋体"/>
          <w:color w:val="auto"/>
          <w:sz w:val="24"/>
          <w:szCs w:val="24"/>
          <w:highlight w:val="none"/>
        </w:rPr>
      </w:pPr>
      <w:r>
        <w:rPr>
          <w:rFonts w:hint="eastAsia" w:hAnsi="宋体"/>
          <w:color w:val="auto"/>
          <w:sz w:val="24"/>
          <w:szCs w:val="24"/>
          <w:highlight w:val="none"/>
        </w:rPr>
        <w:t>日期：</w:t>
      </w:r>
    </w:p>
    <w:p>
      <w:pPr>
        <w:pStyle w:val="24"/>
        <w:spacing w:line="360" w:lineRule="auto"/>
        <w:ind w:left="25" w:leftChars="12" w:firstLine="475" w:firstLineChars="197"/>
        <w:rPr>
          <w:rFonts w:hAnsi="宋体"/>
          <w:b/>
          <w:color w:val="auto"/>
          <w:sz w:val="24"/>
          <w:szCs w:val="24"/>
          <w:highlight w:val="none"/>
        </w:rPr>
      </w:pPr>
    </w:p>
    <w:p>
      <w:pPr>
        <w:pStyle w:val="24"/>
        <w:snapToGrid w:val="0"/>
        <w:spacing w:line="360" w:lineRule="auto"/>
        <w:rPr>
          <w:rFonts w:hAnsi="宋体"/>
          <w:b/>
          <w:color w:val="auto"/>
          <w:sz w:val="24"/>
          <w:szCs w:val="24"/>
          <w:highlight w:val="none"/>
        </w:rPr>
      </w:pPr>
      <w:r>
        <w:rPr>
          <w:rFonts w:hint="eastAsia" w:hAnsi="宋体"/>
          <w:b/>
          <w:color w:val="auto"/>
          <w:sz w:val="24"/>
          <w:szCs w:val="24"/>
          <w:highlight w:val="none"/>
        </w:rPr>
        <w:t>说明：</w:t>
      </w:r>
    </w:p>
    <w:p>
      <w:pPr>
        <w:pStyle w:val="24"/>
        <w:spacing w:line="360" w:lineRule="auto"/>
        <w:ind w:left="25" w:leftChars="12" w:firstLine="354" w:firstLineChars="147"/>
        <w:rPr>
          <w:rFonts w:hAnsi="宋体"/>
          <w:b/>
          <w:bCs/>
          <w:color w:val="auto"/>
          <w:sz w:val="24"/>
          <w:szCs w:val="24"/>
          <w:highlight w:val="none"/>
        </w:rPr>
      </w:pPr>
      <w:r>
        <w:rPr>
          <w:rFonts w:hint="eastAsia" w:hAnsi="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b/>
          <w:bCs/>
          <w:color w:val="auto"/>
          <w:sz w:val="24"/>
          <w:szCs w:val="24"/>
          <w:highlight w:val="none"/>
        </w:rPr>
        <w:t>。</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3.投诉书应简要列明质疑事项，质疑函、质疑答复等作为附件材料提供。</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4.投诉书的投诉事项应具体、明确，并有必要的事实依据和法律依据。</w:t>
      </w:r>
    </w:p>
    <w:p>
      <w:pPr>
        <w:pStyle w:val="24"/>
        <w:spacing w:line="360" w:lineRule="auto"/>
        <w:ind w:left="25" w:leftChars="12" w:firstLine="354" w:firstLineChars="147"/>
        <w:rPr>
          <w:rFonts w:hAnsi="宋体"/>
          <w:b/>
          <w:color w:val="auto"/>
          <w:sz w:val="24"/>
          <w:szCs w:val="24"/>
          <w:highlight w:val="none"/>
        </w:rPr>
      </w:pPr>
      <w:r>
        <w:rPr>
          <w:rFonts w:hint="eastAsia" w:hAnsi="宋体"/>
          <w:b/>
          <w:color w:val="auto"/>
          <w:sz w:val="24"/>
          <w:szCs w:val="24"/>
          <w:highlight w:val="none"/>
        </w:rPr>
        <w:t>5.投诉书的投诉请求应与投诉事项相关。</w:t>
      </w:r>
    </w:p>
    <w:p>
      <w:pPr>
        <w:pStyle w:val="24"/>
        <w:spacing w:line="360" w:lineRule="auto"/>
        <w:ind w:left="25" w:leftChars="12" w:firstLine="354" w:firstLineChars="147"/>
        <w:rPr>
          <w:rFonts w:hAnsi="宋体"/>
          <w:b/>
          <w:color w:val="auto"/>
          <w:highlight w:val="none"/>
        </w:rPr>
      </w:pPr>
      <w:r>
        <w:rPr>
          <w:rFonts w:hint="eastAsia" w:hAnsi="宋体"/>
          <w:b/>
          <w:color w:val="auto"/>
          <w:sz w:val="24"/>
          <w:szCs w:val="24"/>
          <w:highlight w:val="none"/>
        </w:rPr>
        <w:t>6.投诉人为法人或者其他组织的，投诉书应由法定代表人、主要负责人，或者其授权代表签字或者盖章，并加盖公章。</w:t>
      </w:r>
    </w:p>
    <w:p>
      <w:pPr>
        <w:pStyle w:val="2"/>
        <w:jc w:val="center"/>
        <w:rPr>
          <w:color w:val="auto"/>
          <w:highlight w:val="none"/>
        </w:rPr>
      </w:pPr>
      <w:bookmarkStart w:id="110" w:name="_Toc74323461"/>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p>
    <w:p>
      <w:pPr>
        <w:pStyle w:val="2"/>
        <w:jc w:val="center"/>
        <w:rPr>
          <w:color w:val="auto"/>
          <w:highlight w:val="none"/>
        </w:rPr>
      </w:pPr>
      <w:r>
        <w:rPr>
          <w:rFonts w:hint="eastAsia"/>
          <w:color w:val="auto"/>
          <w:highlight w:val="none"/>
        </w:rPr>
        <w:t>第七章合同文本</w:t>
      </w:r>
      <w:bookmarkEnd w:id="110"/>
    </w:p>
    <w:p>
      <w:pPr>
        <w:spacing w:line="520" w:lineRule="exact"/>
        <w:rPr>
          <w:rFonts w:ascii="宋体" w:hAnsi="宋体" w:cs="Courier New"/>
          <w:b/>
          <w:color w:val="auto"/>
          <w:sz w:val="32"/>
          <w:szCs w:val="32"/>
          <w:highlight w:val="none"/>
        </w:rPr>
      </w:pPr>
    </w:p>
    <w:p>
      <w:pPr>
        <w:spacing w:line="360" w:lineRule="auto"/>
        <w:ind w:firstLine="200"/>
        <w:rPr>
          <w:rFonts w:ascii="宋体" w:hAnsi="宋体"/>
          <w:color w:val="auto"/>
          <w:kern w:val="0"/>
          <w:sz w:val="24"/>
          <w:highlight w:val="none"/>
        </w:rPr>
      </w:pPr>
      <w:r>
        <w:rPr>
          <w:rFonts w:ascii="宋体" w:hAnsi="宋体" w:cs="宋体"/>
          <w:color w:val="auto"/>
          <w:sz w:val="24"/>
          <w:highlight w:val="none"/>
        </w:rPr>
        <w:br w:type="page"/>
      </w:r>
    </w:p>
    <w:p>
      <w:pPr>
        <w:autoSpaceDE w:val="0"/>
        <w:autoSpaceDN w:val="0"/>
        <w:jc w:val="center"/>
        <w:rPr>
          <w:rFonts w:ascii="宋体" w:hAnsi="宋体" w:cs="宋体"/>
          <w:b/>
          <w:color w:val="auto"/>
          <w:kern w:val="0"/>
          <w:sz w:val="48"/>
          <w:szCs w:val="48"/>
          <w:highlight w:val="none"/>
          <w:lang w:val="zh-CN" w:bidi="zh-CN"/>
        </w:rPr>
      </w:pPr>
      <w:r>
        <w:rPr>
          <w:rFonts w:hint="eastAsia" w:ascii="宋体" w:hAnsi="宋体" w:cs="宋体"/>
          <w:b/>
          <w:color w:val="auto"/>
          <w:kern w:val="0"/>
          <w:sz w:val="48"/>
          <w:szCs w:val="48"/>
          <w:highlight w:val="none"/>
          <w:lang w:val="zh-CN" w:bidi="zh-CN"/>
        </w:rPr>
        <w:t>建设工程施工合同</w:t>
      </w: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r>
        <w:rPr>
          <w:rFonts w:hint="eastAsia" w:ascii="宋体" w:hAnsi="宋体" w:cs="宋体"/>
          <w:color w:val="auto"/>
          <w:kern w:val="0"/>
          <w:sz w:val="22"/>
          <w:szCs w:val="21"/>
          <w:highlight w:val="none"/>
          <w:lang w:bidi="zh-CN"/>
        </w:rPr>
        <w:t xml:space="preserve">           </w:t>
      </w:r>
      <w:r>
        <w:rPr>
          <w:rFonts w:hint="eastAsia" w:ascii="宋体" w:hAnsi="宋体" w:cs="宋体"/>
          <w:color w:val="auto"/>
          <w:kern w:val="0"/>
          <w:sz w:val="22"/>
          <w:szCs w:val="21"/>
          <w:highlight w:val="none"/>
          <w:lang w:val="zh-CN" w:bidi="zh-CN"/>
        </w:rPr>
        <w:t>（注：本合同样本仅供参考，具体内容由采购人和成交供应商协商确定。）</w:t>
      </w: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color w:val="auto"/>
          <w:kern w:val="0"/>
          <w:sz w:val="22"/>
          <w:szCs w:val="21"/>
          <w:highlight w:val="none"/>
          <w:lang w:val="zh-CN" w:bidi="zh-CN"/>
        </w:rPr>
      </w:pPr>
    </w:p>
    <w:p>
      <w:pPr>
        <w:autoSpaceDE w:val="0"/>
        <w:autoSpaceDN w:val="0"/>
        <w:spacing w:line="400" w:lineRule="exact"/>
        <w:jc w:val="left"/>
        <w:rPr>
          <w:rFonts w:ascii="宋体" w:hAnsi="宋体" w:cs="宋体"/>
          <w:b/>
          <w:color w:val="auto"/>
          <w:kern w:val="0"/>
          <w:sz w:val="32"/>
          <w:szCs w:val="32"/>
          <w:highlight w:val="none"/>
          <w:lang w:val="zh-CN" w:bidi="zh-CN"/>
        </w:rPr>
      </w:pPr>
    </w:p>
    <w:p>
      <w:pPr>
        <w:autoSpaceDE w:val="0"/>
        <w:autoSpaceDN w:val="0"/>
        <w:spacing w:line="400" w:lineRule="exact"/>
        <w:jc w:val="left"/>
        <w:rPr>
          <w:rFonts w:ascii="宋体" w:hAnsi="宋体" w:cs="宋体"/>
          <w:b/>
          <w:color w:val="auto"/>
          <w:kern w:val="0"/>
          <w:sz w:val="32"/>
          <w:szCs w:val="32"/>
          <w:highlight w:val="none"/>
          <w:lang w:val="zh-CN" w:bidi="zh-CN"/>
        </w:rPr>
      </w:pPr>
      <w:r>
        <w:rPr>
          <w:rFonts w:hint="eastAsia" w:ascii="宋体" w:hAnsi="宋体" w:cs="宋体"/>
          <w:b/>
          <w:color w:val="auto"/>
          <w:kern w:val="0"/>
          <w:sz w:val="32"/>
          <w:szCs w:val="32"/>
          <w:highlight w:val="none"/>
          <w:lang w:val="zh-CN" w:bidi="zh-CN"/>
        </w:rPr>
        <w:t xml:space="preserve"> </w:t>
      </w:r>
    </w:p>
    <w:p>
      <w:pPr>
        <w:spacing w:line="480" w:lineRule="exact"/>
        <w:ind w:right="69" w:rightChars="33" w:firstLine="480" w:firstLineChars="200"/>
        <w:rPr>
          <w:rFonts w:ascii="宋体" w:hAnsi="宋体" w:cs="宋体"/>
          <w:color w:val="auto"/>
          <w:sz w:val="24"/>
          <w:highlight w:val="none"/>
        </w:rPr>
        <w:sectPr>
          <w:footerReference r:id="rId8" w:type="default"/>
          <w:endnotePr>
            <w:numFmt w:val="decimal"/>
          </w:endnotePr>
          <w:pgSz w:w="11906" w:h="16838"/>
          <w:pgMar w:top="1417" w:right="1418" w:bottom="1417" w:left="1418" w:header="567" w:footer="680" w:gutter="0"/>
          <w:pgNumType w:fmt="decimal"/>
          <w:cols w:space="720" w:num="1"/>
          <w:docGrid w:type="lines" w:linePitch="312" w:charSpace="0"/>
        </w:sectPr>
      </w:pPr>
    </w:p>
    <w:p>
      <w:pPr>
        <w:autoSpaceDE w:val="0"/>
        <w:autoSpaceDN w:val="0"/>
        <w:ind w:left="532"/>
        <w:jc w:val="center"/>
        <w:outlineLvl w:val="2"/>
        <w:rPr>
          <w:rFonts w:ascii="宋体" w:hAnsi="宋体" w:cs="宋体"/>
          <w:b/>
          <w:bCs/>
          <w:color w:val="auto"/>
          <w:sz w:val="32"/>
          <w:szCs w:val="32"/>
          <w:highlight w:val="none"/>
          <w:lang w:val="zh-CN" w:bidi="zh-CN"/>
        </w:rPr>
      </w:pPr>
      <w:bookmarkStart w:id="111" w:name="_Toc9360"/>
      <w:bookmarkStart w:id="112" w:name="_Toc32669"/>
      <w:bookmarkStart w:id="113" w:name="_Toc8169"/>
      <w:bookmarkStart w:id="114" w:name="_Toc19185"/>
      <w:r>
        <w:rPr>
          <w:rFonts w:hint="eastAsia" w:ascii="宋体" w:hAnsi="宋体" w:cs="宋体"/>
          <w:b/>
          <w:bCs/>
          <w:color w:val="auto"/>
          <w:sz w:val="32"/>
          <w:szCs w:val="32"/>
          <w:highlight w:val="none"/>
          <w:lang w:val="zh-CN" w:bidi="zh-CN"/>
        </w:rPr>
        <w:t>第一部分 协议书</w:t>
      </w:r>
      <w:bookmarkEnd w:id="111"/>
      <w:bookmarkEnd w:id="112"/>
      <w:bookmarkEnd w:id="113"/>
      <w:bookmarkEnd w:id="114"/>
    </w:p>
    <w:p>
      <w:pPr>
        <w:autoSpaceDE w:val="0"/>
        <w:autoSpaceDN w:val="0"/>
        <w:spacing w:line="360" w:lineRule="auto"/>
        <w:ind w:firstLine="475"/>
        <w:jc w:val="left"/>
        <w:rPr>
          <w:rFonts w:ascii="宋体" w:hAnsi="宋体" w:cs="宋体"/>
          <w:color w:val="auto"/>
          <w:kern w:val="0"/>
          <w:sz w:val="22"/>
          <w:szCs w:val="22"/>
          <w:highlight w:val="none"/>
          <w:lang w:val="zh-CN" w:bidi="zh-CN"/>
        </w:rPr>
      </w:pPr>
    </w:p>
    <w:p>
      <w:pPr>
        <w:spacing w:line="360" w:lineRule="auto"/>
        <w:rPr>
          <w:color w:val="auto"/>
          <w:highlight w:val="none"/>
          <w:u w:val="single"/>
        </w:rPr>
      </w:pPr>
      <w:r>
        <w:rPr>
          <w:rFonts w:hint="eastAsia" w:hAnsi="宋体" w:cs="宋体"/>
          <w:color w:val="auto"/>
          <w:highlight w:val="none"/>
        </w:rPr>
        <w:t>发包人（全称）：</w:t>
      </w:r>
      <w:r>
        <w:rPr>
          <w:rFonts w:hAnsi="宋体"/>
          <w:color w:val="auto"/>
          <w:highlight w:val="none"/>
          <w:u w:val="single"/>
        </w:rPr>
        <w:t xml:space="preserve"> </w:t>
      </w:r>
      <w:r>
        <w:rPr>
          <w:rFonts w:hint="eastAsia" w:hAnsi="宋体"/>
          <w:color w:val="auto"/>
          <w:highlight w:val="none"/>
          <w:u w:val="single"/>
          <w:lang w:eastAsia="zh-CN"/>
        </w:rPr>
        <w:t>百色市百色市右江区四塘镇人民政府</w:t>
      </w:r>
      <w:r>
        <w:rPr>
          <w:rFonts w:hAnsi="宋体"/>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承包人（全称）：</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p>
    <w:p>
      <w:pPr>
        <w:spacing w:line="360" w:lineRule="auto"/>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color w:val="auto"/>
          <w:highlight w:val="none"/>
          <w:u w:val="single"/>
        </w:rPr>
        <w:t xml:space="preserve"> </w:t>
      </w:r>
      <w:r>
        <w:rPr>
          <w:rFonts w:hint="eastAsia"/>
          <w:color w:val="auto"/>
          <w:highlight w:val="none"/>
          <w:u w:val="single"/>
          <w:lang w:eastAsia="zh-CN"/>
        </w:rPr>
        <w:t>深圳小镇(含东城景苑)路灯及线路系统检修更换维护项目</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工程施工及有关事项协商一致，共同达成如下协议：</w:t>
      </w:r>
      <w:bookmarkStart w:id="115" w:name="_Toc351203481"/>
    </w:p>
    <w:p>
      <w:pPr>
        <w:spacing w:line="360" w:lineRule="auto"/>
        <w:ind w:firstLine="422" w:firstLineChars="200"/>
        <w:outlineLvl w:val="0"/>
        <w:rPr>
          <w:b/>
          <w:bCs/>
          <w:color w:val="auto"/>
          <w:highlight w:val="none"/>
        </w:rPr>
      </w:pPr>
      <w:bookmarkStart w:id="116" w:name="_Toc32508"/>
      <w:bookmarkStart w:id="117" w:name="_Toc15919"/>
      <w:r>
        <w:rPr>
          <w:rFonts w:hint="eastAsia" w:hAnsi="宋体" w:cs="宋体"/>
          <w:b/>
          <w:bCs/>
          <w:color w:val="auto"/>
          <w:highlight w:val="none"/>
        </w:rPr>
        <w:t>一、工程概况</w:t>
      </w:r>
      <w:bookmarkEnd w:id="115"/>
      <w:bookmarkEnd w:id="116"/>
      <w:bookmarkEnd w:id="117"/>
    </w:p>
    <w:p>
      <w:pPr>
        <w:spacing w:line="360" w:lineRule="auto"/>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color w:val="auto"/>
          <w:highlight w:val="none"/>
          <w:u w:val="single"/>
        </w:rPr>
        <w:t xml:space="preserve"> </w:t>
      </w:r>
      <w:r>
        <w:rPr>
          <w:rFonts w:hint="eastAsia"/>
          <w:color w:val="auto"/>
          <w:highlight w:val="none"/>
          <w:u w:val="single"/>
          <w:lang w:eastAsia="zh-CN"/>
        </w:rPr>
        <w:t>深圳小镇(含东城景苑)路灯及线路系统检修更换维护项目</w:t>
      </w:r>
      <w:r>
        <w:rPr>
          <w:rFonts w:hint="eastAsia"/>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color w:val="auto"/>
          <w:highlight w:val="none"/>
          <w:u w:val="single"/>
        </w:rPr>
        <w:t xml:space="preserve"> </w:t>
      </w:r>
      <w:r>
        <w:rPr>
          <w:rFonts w:hint="eastAsia"/>
          <w:color w:val="auto"/>
          <w:highlight w:val="none"/>
          <w:u w:val="single"/>
        </w:rPr>
        <w:t>广西壮族自治区百色市</w:t>
      </w:r>
      <w:r>
        <w:rPr>
          <w:rFonts w:hint="eastAsia"/>
          <w:color w:val="auto"/>
          <w:highlight w:val="none"/>
          <w:u w:val="single"/>
          <w:lang w:eastAsia="zh-CN"/>
        </w:rPr>
        <w:t>右江区</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color w:val="auto"/>
          <w:highlight w:val="none"/>
          <w:u w:val="single"/>
        </w:rPr>
        <w:t xml:space="preserve"> </w:t>
      </w:r>
      <w:r>
        <w:rPr>
          <w:rFonts w:hint="eastAsia"/>
          <w:color w:val="auto"/>
          <w:highlight w:val="none"/>
          <w:u w:val="single"/>
          <w:lang w:val="en-US" w:eastAsia="zh-CN"/>
        </w:rPr>
        <w:t>财政资金</w:t>
      </w:r>
      <w:r>
        <w:rPr>
          <w:rFonts w:hint="eastAsia"/>
          <w:color w:val="auto"/>
          <w:highlight w:val="none"/>
          <w:u w:val="single"/>
        </w:rPr>
        <w:t xml:space="preserve">                             </w:t>
      </w:r>
      <w:r>
        <w:rPr>
          <w:rFonts w:hint="eastAsia" w:hAnsi="宋体" w:cs="宋体"/>
          <w:color w:val="auto"/>
          <w:highlight w:val="none"/>
        </w:rPr>
        <w:t>。</w:t>
      </w:r>
    </w:p>
    <w:p>
      <w:pPr>
        <w:spacing w:line="360" w:lineRule="auto"/>
        <w:ind w:firstLine="411" w:firstLineChars="196"/>
        <w:rPr>
          <w:color w:val="auto"/>
          <w:highlight w:val="none"/>
        </w:rPr>
      </w:pPr>
      <w:r>
        <w:rPr>
          <w:color w:val="auto"/>
          <w:highlight w:val="none"/>
        </w:rPr>
        <w:t xml:space="preserve">5. </w:t>
      </w:r>
      <w:r>
        <w:rPr>
          <w:rFonts w:hint="eastAsia" w:hAnsi="宋体" w:cs="宋体"/>
          <w:color w:val="auto"/>
          <w:highlight w:val="none"/>
        </w:rPr>
        <w:t>工程内容：</w:t>
      </w:r>
      <w:r>
        <w:rPr>
          <w:rFonts w:hint="eastAsia" w:hAnsi="宋体" w:cs="宋体"/>
          <w:color w:val="auto"/>
          <w:highlight w:val="none"/>
          <w:u w:val="single"/>
        </w:rPr>
        <w:t>对深圳小镇(含东城景苑)共2、3、5，8地块及东城景苑等5个住宅生活区及社区学校所在地检修约870盏路灯控制开关、线路、灯具、灯杆等设施系统故障问题进行全面检修、更换和维护和迁移</w:t>
      </w:r>
      <w:r>
        <w:rPr>
          <w:rFonts w:hint="eastAsia" w:ascii="Times New Roman" w:hAnsi="Times New Roman" w:cs="Times New Roman"/>
          <w:color w:val="auto"/>
          <w:highlight w:val="none"/>
          <w:u w:val="single"/>
          <w:lang w:val="en-US" w:eastAsia="zh-CN"/>
        </w:rPr>
        <w:t>（</w:t>
      </w:r>
      <w:r>
        <w:rPr>
          <w:rFonts w:hint="eastAsia" w:cs="Times New Roman"/>
          <w:color w:val="auto"/>
          <w:highlight w:val="none"/>
          <w:u w:val="single"/>
          <w:lang w:val="en-US" w:eastAsia="zh-CN"/>
        </w:rPr>
        <w:t>具体内容以</w:t>
      </w:r>
      <w:r>
        <w:rPr>
          <w:rFonts w:hint="eastAsia" w:ascii="Times New Roman" w:hAnsi="Times New Roman" w:cs="Times New Roman"/>
          <w:color w:val="auto"/>
          <w:highlight w:val="none"/>
          <w:u w:val="single"/>
          <w:lang w:val="en-US" w:eastAsia="zh-CN"/>
        </w:rPr>
        <w:t>施工图纸及工程量清单为准）。</w:t>
      </w:r>
    </w:p>
    <w:p>
      <w:pPr>
        <w:spacing w:line="360" w:lineRule="auto"/>
        <w:ind w:firstLine="411" w:firstLineChars="196"/>
        <w:rPr>
          <w:color w:val="auto"/>
          <w:highlight w:val="none"/>
        </w:rPr>
      </w:pPr>
      <w:r>
        <w:rPr>
          <w:color w:val="auto"/>
          <w:highlight w:val="none"/>
        </w:rPr>
        <w:t xml:space="preserve">6. </w:t>
      </w:r>
      <w:r>
        <w:rPr>
          <w:rFonts w:hint="eastAsia" w:hAnsi="宋体" w:cs="宋体"/>
          <w:color w:val="auto"/>
          <w:highlight w:val="none"/>
        </w:rPr>
        <w:t>工程承包范围：</w:t>
      </w:r>
    </w:p>
    <w:p>
      <w:pPr>
        <w:spacing w:line="360" w:lineRule="auto"/>
        <w:ind w:firstLine="405" w:firstLineChars="193"/>
        <w:rPr>
          <w:rFonts w:hAnsi="宋体"/>
          <w:color w:val="auto"/>
          <w:highlight w:val="none"/>
        </w:rPr>
      </w:pPr>
      <w:r>
        <w:rPr>
          <w:color w:val="auto"/>
          <w:highlight w:val="none"/>
          <w:u w:val="single"/>
        </w:rPr>
        <w:t xml:space="preserve"> </w:t>
      </w:r>
      <w:r>
        <w:rPr>
          <w:rFonts w:hint="eastAsia" w:ascii="宋体" w:hAnsi="宋体"/>
          <w:color w:val="auto"/>
          <w:szCs w:val="21"/>
          <w:highlight w:val="none"/>
          <w:u w:val="single"/>
        </w:rPr>
        <w:t>具体以工程量清单及施工图纸为准</w:t>
      </w:r>
      <w:r>
        <w:rPr>
          <w:color w:val="auto"/>
          <w:highlight w:val="none"/>
          <w:u w:val="single"/>
        </w:rPr>
        <w:t xml:space="preserve"> </w:t>
      </w:r>
      <w:r>
        <w:rPr>
          <w:rFonts w:hint="eastAsia" w:hAnsi="宋体" w:cs="宋体"/>
          <w:color w:val="auto"/>
          <w:highlight w:val="none"/>
        </w:rPr>
        <w:t>。</w:t>
      </w:r>
    </w:p>
    <w:p>
      <w:pPr>
        <w:spacing w:line="360" w:lineRule="auto"/>
        <w:ind w:firstLine="407" w:firstLineChars="193"/>
        <w:outlineLvl w:val="0"/>
        <w:rPr>
          <w:b/>
          <w:bCs/>
          <w:color w:val="auto"/>
          <w:highlight w:val="none"/>
        </w:rPr>
      </w:pPr>
      <w:bookmarkStart w:id="118" w:name="_Toc22282"/>
      <w:bookmarkStart w:id="119" w:name="_Toc4230"/>
      <w:bookmarkStart w:id="120" w:name="_Toc351203482"/>
      <w:r>
        <w:rPr>
          <w:rFonts w:hint="eastAsia" w:hAnsi="宋体" w:cs="宋体"/>
          <w:b/>
          <w:bCs/>
          <w:color w:val="auto"/>
          <w:highlight w:val="none"/>
        </w:rPr>
        <w:t>二、合同工期</w:t>
      </w:r>
      <w:bookmarkEnd w:id="118"/>
      <w:bookmarkEnd w:id="119"/>
      <w:bookmarkEnd w:id="120"/>
    </w:p>
    <w:p>
      <w:pPr>
        <w:spacing w:line="360" w:lineRule="auto"/>
        <w:ind w:firstLine="459"/>
        <w:rPr>
          <w:color w:val="auto"/>
          <w:highlight w:val="none"/>
        </w:rPr>
      </w:pPr>
      <w:r>
        <w:rPr>
          <w:rFonts w:hint="eastAsia" w:hAnsi="宋体" w:cs="宋体"/>
          <w:color w:val="auto"/>
          <w:highlight w:val="none"/>
        </w:rPr>
        <w:t>计划开工日期：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（具体以发包人书面通知为准）</w:t>
      </w:r>
    </w:p>
    <w:p>
      <w:pPr>
        <w:spacing w:line="360" w:lineRule="auto"/>
        <w:ind w:firstLine="459"/>
        <w:rPr>
          <w:color w:val="auto"/>
          <w:highlight w:val="none"/>
        </w:rPr>
      </w:pPr>
      <w:r>
        <w:rPr>
          <w:rFonts w:hint="eastAsia" w:hAnsi="宋体" w:cs="宋体"/>
          <w:color w:val="auto"/>
          <w:highlight w:val="none"/>
        </w:rPr>
        <w:t>计划竣工日期：</w:t>
      </w:r>
      <w:r>
        <w:rPr>
          <w:rFonts w:hAnsi="宋体"/>
          <w:color w:val="auto"/>
          <w:highlight w:val="none"/>
          <w:u w:val="single"/>
        </w:rPr>
        <w:t></w:t>
      </w:r>
      <w:r>
        <w:rPr>
          <w:rFonts w:hAnsi="宋体"/>
          <w:color w:val="auto"/>
          <w:highlight w:val="none"/>
        </w:rPr>
        <w:t>年</w:t>
      </w:r>
      <w:r>
        <w:rPr>
          <w:rFonts w:hAnsi="宋体"/>
          <w:color w:val="auto"/>
          <w:highlight w:val="none"/>
          <w:u w:val="single"/>
        </w:rPr>
        <w:t></w:t>
      </w:r>
      <w:r>
        <w:rPr>
          <w:rFonts w:hAnsi="宋体"/>
          <w:color w:val="auto"/>
          <w:highlight w:val="none"/>
        </w:rPr>
        <w:t>月</w:t>
      </w:r>
      <w:r>
        <w:rPr>
          <w:rFonts w:hAnsi="宋体"/>
          <w:color w:val="auto"/>
          <w:highlight w:val="none"/>
          <w:u w:val="single"/>
        </w:rPr>
        <w:t></w:t>
      </w:r>
      <w:r>
        <w:rPr>
          <w:rFonts w:hAnsi="宋体"/>
          <w:color w:val="auto"/>
          <w:highlight w:val="none"/>
        </w:rPr>
        <w:t>日</w:t>
      </w:r>
      <w:r>
        <w:rPr>
          <w:rFonts w:hint="eastAsia" w:hAnsi="宋体" w:cs="宋体"/>
          <w:color w:val="auto"/>
          <w:highlight w:val="none"/>
        </w:rPr>
        <w:t>。</w:t>
      </w:r>
    </w:p>
    <w:p>
      <w:pPr>
        <w:spacing w:line="360" w:lineRule="auto"/>
        <w:ind w:firstLine="459"/>
        <w:rPr>
          <w:rFonts w:hAnsi="宋体"/>
          <w:color w:val="auto"/>
          <w:highlight w:val="none"/>
        </w:rPr>
      </w:pPr>
      <w:r>
        <w:rPr>
          <w:rFonts w:hint="eastAsia" w:hAnsi="宋体" w:cs="宋体"/>
          <w:color w:val="auto"/>
          <w:highlight w:val="none"/>
        </w:rPr>
        <w:t>工期总日历天数：</w:t>
      </w:r>
      <w:r>
        <w:rPr>
          <w:rFonts w:hint="eastAsia" w:hAnsi="宋体" w:cs="宋体"/>
          <w:color w:val="auto"/>
          <w:highlight w:val="none"/>
          <w:u w:val="single"/>
        </w:rPr>
        <w:t xml:space="preserve">         </w:t>
      </w:r>
      <w:r>
        <w:rPr>
          <w:rFonts w:hint="eastAsia" w:hAnsi="宋体" w:cs="宋体"/>
          <w:color w:val="auto"/>
          <w:highlight w:val="none"/>
        </w:rPr>
        <w:t>天。工期总日历天数与根据前述计划开竣工日期计算的工期天数不一致的，以工期总日历天数为准。</w:t>
      </w:r>
    </w:p>
    <w:p>
      <w:pPr>
        <w:spacing w:line="360" w:lineRule="auto"/>
        <w:ind w:firstLine="459"/>
        <w:outlineLvl w:val="0"/>
        <w:rPr>
          <w:b/>
          <w:bCs/>
          <w:color w:val="auto"/>
          <w:highlight w:val="none"/>
        </w:rPr>
      </w:pPr>
      <w:bookmarkStart w:id="121" w:name="_Toc14243"/>
      <w:bookmarkStart w:id="122" w:name="_Toc701"/>
      <w:bookmarkStart w:id="123" w:name="_Toc351203483"/>
      <w:r>
        <w:rPr>
          <w:rFonts w:hint="eastAsia" w:hAnsi="宋体" w:cs="宋体"/>
          <w:b/>
          <w:bCs/>
          <w:color w:val="auto"/>
          <w:highlight w:val="none"/>
        </w:rPr>
        <w:t>三、质量标准</w:t>
      </w:r>
      <w:bookmarkEnd w:id="121"/>
      <w:bookmarkEnd w:id="122"/>
      <w:bookmarkEnd w:id="123"/>
    </w:p>
    <w:p>
      <w:pPr>
        <w:spacing w:line="360" w:lineRule="auto"/>
        <w:ind w:firstLine="459"/>
        <w:rPr>
          <w:rFonts w:hAnsi="宋体"/>
          <w:color w:val="auto"/>
          <w:highlight w:val="none"/>
        </w:rPr>
      </w:pPr>
      <w:r>
        <w:rPr>
          <w:rFonts w:hint="eastAsia" w:hAnsi="宋体" w:cs="宋体"/>
          <w:color w:val="auto"/>
          <w:highlight w:val="none"/>
        </w:rPr>
        <w:t>工程质量符合</w:t>
      </w:r>
      <w:r>
        <w:rPr>
          <w:rFonts w:eastAsia="仿宋_GB2312"/>
          <w:color w:val="auto"/>
          <w:highlight w:val="none"/>
          <w:u w:val="single"/>
        </w:rPr>
        <w:t></w:t>
      </w:r>
      <w:r>
        <w:rPr>
          <w:rFonts w:hint="eastAsia"/>
          <w:color w:val="auto"/>
          <w:highlight w:val="none"/>
          <w:u w:val="single"/>
        </w:rPr>
        <w:t>国家现行工程施工质量验收规范合格</w:t>
      </w:r>
      <w:r>
        <w:rPr>
          <w:rFonts w:eastAsia="仿宋_GB2312"/>
          <w:color w:val="auto"/>
          <w:highlight w:val="none"/>
          <w:u w:val="single"/>
        </w:rPr>
        <w:t></w:t>
      </w:r>
      <w:r>
        <w:rPr>
          <w:rFonts w:hint="eastAsia" w:hAnsi="宋体" w:cs="宋体"/>
          <w:color w:val="auto"/>
          <w:highlight w:val="none"/>
        </w:rPr>
        <w:t>标准。</w:t>
      </w:r>
    </w:p>
    <w:p>
      <w:pPr>
        <w:spacing w:line="360" w:lineRule="auto"/>
        <w:ind w:firstLine="459"/>
        <w:outlineLvl w:val="0"/>
        <w:rPr>
          <w:rFonts w:hAnsi="宋体"/>
          <w:b/>
          <w:bCs/>
          <w:color w:val="auto"/>
          <w:highlight w:val="none"/>
        </w:rPr>
      </w:pPr>
      <w:bookmarkStart w:id="124" w:name="_Toc351203484"/>
      <w:bookmarkStart w:id="125" w:name="_Toc13451"/>
      <w:bookmarkStart w:id="126" w:name="_Toc27396"/>
      <w:r>
        <w:rPr>
          <w:rFonts w:hint="eastAsia" w:hAnsi="宋体" w:cs="宋体"/>
          <w:b/>
          <w:bCs/>
          <w:color w:val="auto"/>
          <w:highlight w:val="none"/>
        </w:rPr>
        <w:t>四、签约合同价与合同价格形式</w:t>
      </w:r>
      <w:bookmarkEnd w:id="124"/>
      <w:bookmarkEnd w:id="125"/>
      <w:bookmarkEnd w:id="126"/>
    </w:p>
    <w:p>
      <w:pPr>
        <w:spacing w:line="360" w:lineRule="auto"/>
        <w:ind w:firstLine="459"/>
        <w:rPr>
          <w:color w:val="auto"/>
          <w:highlight w:val="none"/>
        </w:rPr>
      </w:pPr>
      <w:r>
        <w:rPr>
          <w:color w:val="auto"/>
          <w:highlight w:val="none"/>
        </w:rPr>
        <w:t xml:space="preserve">1. </w:t>
      </w:r>
      <w:r>
        <w:rPr>
          <w:rFonts w:hint="eastAsia" w:hAnsi="宋体" w:cs="宋体"/>
          <w:color w:val="auto"/>
          <w:highlight w:val="none"/>
        </w:rPr>
        <w:t>签约合同价为：</w:t>
      </w:r>
    </w:p>
    <w:p>
      <w:pPr>
        <w:spacing w:line="360" w:lineRule="auto"/>
        <w:ind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525" w:firstLineChars="250"/>
        <w:rPr>
          <w:rFonts w:hAnsi="宋体"/>
          <w:color w:val="auto"/>
          <w:highlight w:val="none"/>
        </w:rPr>
      </w:pPr>
      <w:r>
        <w:rPr>
          <w:rFonts w:hint="eastAsia" w:hAnsi="宋体" w:cs="宋体"/>
          <w:color w:val="auto"/>
          <w:highlight w:val="none"/>
        </w:rPr>
        <w:t>其中：</w:t>
      </w:r>
    </w:p>
    <w:p>
      <w:pPr>
        <w:spacing w:line="360" w:lineRule="auto"/>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pPr>
        <w:spacing w:line="360" w:lineRule="auto"/>
        <w:ind w:left="420" w:leftChars="200" w:firstLine="525" w:firstLineChars="2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pPr>
        <w:spacing w:line="360" w:lineRule="auto"/>
        <w:ind w:firstLine="945" w:firstLineChars="450"/>
        <w:rPr>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pPr>
        <w:spacing w:line="360" w:lineRule="auto"/>
        <w:ind w:firstLine="945" w:firstLineChars="450"/>
        <w:rPr>
          <w:rFonts w:hAnsi="宋体"/>
          <w:color w:val="auto"/>
          <w:highlight w:val="none"/>
        </w:rPr>
      </w:pPr>
      <w:r>
        <w:rPr>
          <w:rFonts w:hint="eastAsia" w:hAnsi="宋体" w:cs="宋体"/>
          <w:color w:val="auto"/>
          <w:highlight w:val="none"/>
        </w:rPr>
        <w:t>人民币（大写）</w:t>
      </w:r>
      <w:r>
        <w:rPr>
          <w:color w:val="auto"/>
          <w:highlight w:val="none"/>
          <w:u w:val="single"/>
        </w:rPr>
        <w:t xml:space="preserve">              </w:t>
      </w:r>
      <w:r>
        <w:rPr>
          <w:color w:val="auto"/>
          <w:highlight w:val="none"/>
        </w:rPr>
        <w:t xml:space="preserve"> </w:t>
      </w:r>
      <w:r>
        <w:rPr>
          <w:rFonts w:hint="eastAsia" w:cs="宋体"/>
          <w:color w:val="auto"/>
          <w:highlight w:val="none"/>
        </w:rPr>
        <w:t>（</w:t>
      </w:r>
      <w:r>
        <w:rPr>
          <w:color w:val="auto"/>
          <w:highlight w:val="none"/>
        </w:rPr>
        <w:t>¥</w:t>
      </w:r>
      <w:r>
        <w:rPr>
          <w:color w:val="auto"/>
          <w:highlight w:val="none"/>
          <w:u w:val="single"/>
        </w:rPr>
        <w:t xml:space="preserve">          </w:t>
      </w:r>
      <w:r>
        <w:rPr>
          <w:rFonts w:hint="eastAsia" w:hAnsi="宋体" w:cs="宋体"/>
          <w:color w:val="auto"/>
          <w:highlight w:val="none"/>
        </w:rPr>
        <w:t>元</w:t>
      </w:r>
      <w:r>
        <w:rPr>
          <w:rFonts w:hint="eastAsia" w:cs="宋体"/>
          <w:color w:val="auto"/>
          <w:highlight w:val="none"/>
        </w:rPr>
        <w:t>）</w:t>
      </w:r>
      <w:r>
        <w:rPr>
          <w:rFonts w:hint="eastAsia" w:hAnsi="宋体" w:cs="宋体"/>
          <w:color w:val="auto"/>
          <w:highlight w:val="none"/>
        </w:rPr>
        <w:t>。</w:t>
      </w:r>
    </w:p>
    <w:p>
      <w:pPr>
        <w:numPr>
          <w:ilvl w:val="0"/>
          <w:numId w:val="4"/>
        </w:numPr>
        <w:spacing w:line="360" w:lineRule="auto"/>
        <w:ind w:firstLine="420" w:firstLineChars="200"/>
        <w:rPr>
          <w:rFonts w:hAnsi="宋体" w:cs="宋体"/>
          <w:color w:val="auto"/>
          <w:highlight w:val="none"/>
        </w:rPr>
      </w:pPr>
      <w:r>
        <w:rPr>
          <w:rFonts w:hint="eastAsia" w:hAnsi="宋体" w:cs="宋体"/>
          <w:color w:val="auto"/>
          <w:highlight w:val="none"/>
        </w:rPr>
        <w:t>合同价格形式：</w:t>
      </w:r>
      <w:r>
        <w:rPr>
          <w:color w:val="auto"/>
          <w:highlight w:val="none"/>
        </w:rPr>
        <w:t xml:space="preserve"> </w:t>
      </w:r>
      <w:r>
        <w:rPr>
          <w:rFonts w:hint="eastAsia"/>
          <w:b/>
          <w:bCs/>
          <w:color w:val="auto"/>
          <w:highlight w:val="none"/>
          <w:u w:val="single"/>
        </w:rPr>
        <w:t>综合单价合同</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rFonts w:hAnsi="宋体" w:cs="宋体"/>
          <w:color w:val="auto"/>
          <w:highlight w:val="none"/>
        </w:rPr>
      </w:pPr>
      <w:r>
        <w:rPr>
          <w:rFonts w:hint="eastAsia" w:hAnsi="宋体" w:cs="宋体"/>
          <w:color w:val="auto"/>
          <w:highlight w:val="none"/>
        </w:rPr>
        <w:t>3.合同计价原则：</w:t>
      </w:r>
    </w:p>
    <w:p>
      <w:pPr>
        <w:spacing w:line="360" w:lineRule="auto"/>
        <w:ind w:firstLine="422"/>
        <w:outlineLvl w:val="0"/>
        <w:rPr>
          <w:rFonts w:hAnsi="宋体" w:cs="宋体"/>
          <w:color w:val="auto"/>
          <w:highlight w:val="none"/>
        </w:rPr>
      </w:pPr>
      <w:bookmarkStart w:id="127" w:name="_Toc351203485"/>
      <w:bookmarkStart w:id="128" w:name="_Toc6935"/>
      <w:bookmarkStart w:id="129" w:name="_Toc16687"/>
      <w:r>
        <w:rPr>
          <w:rFonts w:hint="eastAsia" w:hAnsi="宋体" w:cs="宋体"/>
          <w:color w:val="auto"/>
          <w:highlight w:val="none"/>
        </w:rPr>
        <w:t>（一）本项目施工设计图、相关的标准、规范、技术资料。</w:t>
      </w:r>
    </w:p>
    <w:p>
      <w:pPr>
        <w:spacing w:line="360" w:lineRule="auto"/>
        <w:ind w:firstLine="422"/>
        <w:outlineLvl w:val="0"/>
        <w:rPr>
          <w:rFonts w:hAnsi="宋体" w:cs="宋体"/>
          <w:color w:val="auto"/>
          <w:highlight w:val="none"/>
        </w:rPr>
      </w:pPr>
      <w:r>
        <w:rPr>
          <w:rFonts w:hint="eastAsia" w:hAnsi="宋体" w:cs="宋体"/>
          <w:color w:val="auto"/>
          <w:highlight w:val="none"/>
        </w:rPr>
        <w:t>（二）中国建设工程造价管理协会《工程造价咨询业务操作指导规程》(中价协〔2002〕第016号)。</w:t>
      </w:r>
    </w:p>
    <w:p>
      <w:pPr>
        <w:pStyle w:val="18"/>
        <w:numPr>
          <w:ilvl w:val="0"/>
          <w:numId w:val="0"/>
        </w:numPr>
        <w:tabs>
          <w:tab w:val="left" w:pos="420"/>
        </w:tabs>
        <w:snapToGrid w:val="0"/>
        <w:spacing w:after="0" w:line="400" w:lineRule="exact"/>
        <w:ind w:firstLine="420" w:firstLineChars="200"/>
        <w:jc w:val="left"/>
        <w:outlineLvl w:val="2"/>
        <w:rPr>
          <w:rFonts w:hint="eastAsia"/>
          <w:color w:val="auto"/>
          <w:highlight w:val="none"/>
        </w:rPr>
      </w:pPr>
      <w:r>
        <w:rPr>
          <w:rFonts w:hint="eastAsia" w:hAnsi="宋体" w:cs="宋体"/>
          <w:color w:val="auto"/>
          <w:highlight w:val="none"/>
        </w:rPr>
        <w:t>（三）采用相关定额及清单编制依据：</w:t>
      </w:r>
      <w:r>
        <w:rPr>
          <w:rFonts w:hint="eastAsia"/>
          <w:color w:val="auto"/>
          <w:highlight w:val="none"/>
        </w:rPr>
        <w:t>建筑与装饰工程套用2013年《广西壮族自治区建筑装饰装修工程消耗量定额》、安装工程套用2015年《广西壮族自治区安装工程消耗量定额》及其配套使用的费用定额;广西壮族自治区住房和城乡建设厅发布的《广西壮族自治区建设工程费用定额》桂建标字[2016]16号、广西壮族自治区住房和城乡建设厅发布的《自治区住房城乡建设厅关于建筑业实施营业税改征增值税后广西壮族自治区建设工程计价依据调整通知》桂建标字[2016]17号、广西壮族自治区住房和城乡建设厅发布的《自治区住房城乡建设厅关于调整建设工程定额人工费及相关费率的通知》桂建标字[2023]7号、桂建标[2019]12号《自治区住房城乡建设厅关于调整建设工程计价增值税税率的通知》(增值税由10%调整为9%)及其他主管部门颁布相关文件。材料价格参照《百色建设工程造价信息》( 2024年第3期）及当地材料市场价格进行调整。</w:t>
      </w:r>
    </w:p>
    <w:p>
      <w:pPr>
        <w:spacing w:line="360" w:lineRule="auto"/>
        <w:ind w:firstLine="422" w:firstLineChars="200"/>
        <w:outlineLvl w:val="0"/>
        <w:rPr>
          <w:b/>
          <w:bCs/>
          <w:color w:val="auto"/>
          <w:highlight w:val="none"/>
        </w:rPr>
      </w:pPr>
      <w:r>
        <w:rPr>
          <w:rFonts w:hint="eastAsia" w:hAnsi="宋体" w:cs="宋体"/>
          <w:b/>
          <w:bCs/>
          <w:color w:val="auto"/>
          <w:highlight w:val="none"/>
        </w:rPr>
        <w:t>五、</w:t>
      </w:r>
      <w:bookmarkEnd w:id="127"/>
      <w:r>
        <w:rPr>
          <w:rFonts w:hint="eastAsia" w:hAnsi="宋体" w:cs="宋体"/>
          <w:b/>
          <w:bCs/>
          <w:color w:val="auto"/>
          <w:highlight w:val="none"/>
        </w:rPr>
        <w:t>项目负责人</w:t>
      </w:r>
      <w:bookmarkEnd w:id="128"/>
      <w:bookmarkEnd w:id="129"/>
    </w:p>
    <w:p>
      <w:pPr>
        <w:pStyle w:val="237"/>
        <w:spacing w:line="360" w:lineRule="auto"/>
        <w:ind w:firstLine="420" w:firstLineChars="200"/>
        <w:rPr>
          <w:rFonts w:hAnsi="宋体" w:cs="宋体"/>
          <w:color w:val="auto"/>
          <w:highlight w:val="none"/>
        </w:rPr>
      </w:pPr>
      <w:r>
        <w:rPr>
          <w:rFonts w:hint="eastAsia" w:hAnsi="宋体" w:cs="宋体"/>
          <w:color w:val="auto"/>
          <w:highlight w:val="none"/>
        </w:rPr>
        <w:t>承包人项目负责人</w:t>
      </w:r>
      <w:r>
        <w:rPr>
          <w:rFonts w:hint="eastAsia"/>
          <w:b/>
          <w:bCs/>
          <w:color w:val="auto"/>
          <w:highlight w:val="none"/>
          <w:u w:val="single"/>
        </w:rPr>
        <w:t>与投标文件约定的项目负责人一致</w:t>
      </w:r>
      <w:r>
        <w:rPr>
          <w:b/>
          <w:bCs/>
          <w:color w:val="auto"/>
          <w:highlight w:val="none"/>
          <w:u w:val="single"/>
        </w:rPr>
        <w:t xml:space="preserve"> </w:t>
      </w:r>
      <w:r>
        <w:rPr>
          <w:rFonts w:hint="eastAsia" w:hAnsi="宋体" w:cs="宋体"/>
          <w:color w:val="auto"/>
          <w:highlight w:val="none"/>
        </w:rPr>
        <w:t>。</w:t>
      </w:r>
    </w:p>
    <w:p>
      <w:pPr>
        <w:pStyle w:val="241"/>
        <w:spacing w:line="400" w:lineRule="exact"/>
        <w:ind w:firstLine="420" w:firstLineChars="200"/>
        <w:rPr>
          <w:rFonts w:hAnsi="宋体"/>
          <w:color w:val="auto"/>
          <w:highlight w:val="none"/>
        </w:rPr>
      </w:pPr>
      <w:r>
        <w:rPr>
          <w:rFonts w:hint="eastAsia" w:ascii="宋体" w:hAnsi="宋体"/>
          <w:color w:val="auto"/>
          <w:highlight w:val="none"/>
        </w:rPr>
        <w:t>承包人项目负责人：</w:t>
      </w:r>
      <w:r>
        <w:rPr>
          <w:rFonts w:hint="eastAsia" w:ascii="宋体" w:hAnsi="宋体"/>
          <w:color w:val="auto"/>
          <w:highlight w:val="none"/>
          <w:u w:val="single"/>
        </w:rPr>
        <w:t xml:space="preserve">         </w:t>
      </w:r>
      <w:r>
        <w:rPr>
          <w:rFonts w:hint="eastAsia" w:ascii="宋体" w:hAnsi="宋体"/>
          <w:color w:val="auto"/>
          <w:highlight w:val="none"/>
        </w:rPr>
        <w:t>，</w:t>
      </w:r>
      <w:r>
        <w:rPr>
          <w:rFonts w:hint="eastAsia" w:ascii="宋体" w:hAnsi="宋体"/>
          <w:color w:val="auto"/>
          <w:highlight w:val="none"/>
          <w:u w:val="single"/>
        </w:rPr>
        <w:t xml:space="preserve">注册专业及等级：          </w:t>
      </w:r>
      <w:r>
        <w:rPr>
          <w:rFonts w:hint="eastAsia" w:ascii="宋体" w:hAnsi="宋体"/>
          <w:color w:val="auto"/>
          <w:highlight w:val="none"/>
        </w:rPr>
        <w:t>，</w:t>
      </w:r>
      <w:r>
        <w:rPr>
          <w:rFonts w:hint="eastAsia" w:ascii="宋体" w:hAnsi="宋体"/>
          <w:color w:val="auto"/>
          <w:highlight w:val="none"/>
          <w:u w:val="single"/>
        </w:rPr>
        <w:t xml:space="preserve">注册编号：       ，联系电话：   </w:t>
      </w:r>
      <w:r>
        <w:rPr>
          <w:rFonts w:hint="eastAsia" w:hAnsi="宋体"/>
          <w:color w:val="auto"/>
          <w:highlight w:val="none"/>
        </w:rPr>
        <w:t>。</w:t>
      </w:r>
    </w:p>
    <w:p>
      <w:pPr>
        <w:spacing w:line="360" w:lineRule="auto"/>
        <w:ind w:firstLine="422" w:firstLineChars="200"/>
        <w:outlineLvl w:val="0"/>
        <w:rPr>
          <w:b/>
          <w:bCs/>
          <w:color w:val="auto"/>
          <w:highlight w:val="none"/>
        </w:rPr>
      </w:pPr>
      <w:bookmarkStart w:id="130" w:name="_Toc13019"/>
      <w:bookmarkStart w:id="131" w:name="_Toc351203486"/>
      <w:bookmarkStart w:id="132" w:name="_Toc7961"/>
      <w:r>
        <w:rPr>
          <w:rFonts w:hint="eastAsia" w:hAnsi="宋体" w:cs="宋体"/>
          <w:b/>
          <w:bCs/>
          <w:color w:val="auto"/>
          <w:highlight w:val="none"/>
        </w:rPr>
        <w:t>六、合同文件构成</w:t>
      </w:r>
      <w:bookmarkEnd w:id="130"/>
      <w:bookmarkEnd w:id="131"/>
      <w:bookmarkEnd w:id="132"/>
    </w:p>
    <w:p>
      <w:pPr>
        <w:spacing w:line="360" w:lineRule="auto"/>
        <w:ind w:firstLine="420" w:firstLineChars="200"/>
        <w:rPr>
          <w:color w:val="auto"/>
          <w:highlight w:val="none"/>
        </w:rPr>
      </w:pPr>
      <w:r>
        <w:rPr>
          <w:rFonts w:hint="eastAsia" w:hAnsi="宋体" w:cs="宋体"/>
          <w:color w:val="auto"/>
          <w:highlight w:val="none"/>
        </w:rPr>
        <w:t>本协议书与下列文件一起构成合同文件：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）成交通知书（如有）；</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）投标函及其附录（如有）；</w:t>
      </w:r>
      <w:r>
        <w:rPr>
          <w:color w:val="auto"/>
          <w:highlight w:val="none"/>
        </w:rPr>
        <w:t xml:space="preserve"> </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s="宋体"/>
          <w:color w:val="auto"/>
          <w:highlight w:val="none"/>
          <w:u w:val="single"/>
        </w:rPr>
        <w:t>技术标准和要求</w:t>
      </w:r>
      <w:r>
        <w:rPr>
          <w:rFonts w:hAnsi="宋体" w:cs="宋体"/>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s="宋体"/>
          <w:color w:val="auto"/>
          <w:highlight w:val="none"/>
          <w:u w:val="single"/>
        </w:rPr>
        <w:t>图纸</w:t>
      </w:r>
      <w:r>
        <w:rPr>
          <w:rFonts w:hAnsi="宋体" w:cs="宋体"/>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s="宋体"/>
          <w:color w:val="auto"/>
          <w:highlight w:val="none"/>
          <w:u w:val="single"/>
        </w:rPr>
        <w:t>已标价工程量清单或预算书</w:t>
      </w:r>
      <w:r>
        <w:rPr>
          <w:rFonts w:hAnsi="宋体" w:cs="宋体"/>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pPr>
        <w:autoSpaceDE w:val="0"/>
        <w:autoSpaceDN w:val="0"/>
        <w:adjustRightInd w:val="0"/>
        <w:spacing w:line="360" w:lineRule="auto"/>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pPr>
        <w:autoSpaceDE w:val="0"/>
        <w:autoSpaceDN w:val="0"/>
        <w:adjustRightInd w:val="0"/>
        <w:spacing w:line="360" w:lineRule="auto"/>
        <w:ind w:firstLine="422" w:firstLineChars="200"/>
        <w:jc w:val="left"/>
        <w:outlineLvl w:val="0"/>
        <w:rPr>
          <w:b/>
          <w:bCs/>
          <w:color w:val="auto"/>
          <w:highlight w:val="none"/>
        </w:rPr>
      </w:pPr>
      <w:bookmarkStart w:id="133" w:name="_Toc29178"/>
      <w:bookmarkStart w:id="134" w:name="_Toc351203487"/>
      <w:bookmarkStart w:id="135" w:name="_Toc10641"/>
      <w:r>
        <w:rPr>
          <w:rFonts w:hint="eastAsia" w:hAnsi="宋体" w:cs="宋体"/>
          <w:b/>
          <w:bCs/>
          <w:color w:val="auto"/>
          <w:highlight w:val="none"/>
        </w:rPr>
        <w:t>七、承诺</w:t>
      </w:r>
      <w:bookmarkEnd w:id="133"/>
      <w:bookmarkEnd w:id="134"/>
      <w:bookmarkEnd w:id="135"/>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36" w:name="_Toc351203488"/>
    </w:p>
    <w:p>
      <w:pPr>
        <w:spacing w:line="360" w:lineRule="auto"/>
        <w:ind w:firstLine="422" w:firstLineChars="200"/>
        <w:outlineLvl w:val="0"/>
        <w:rPr>
          <w:b/>
          <w:bCs/>
          <w:color w:val="auto"/>
          <w:highlight w:val="none"/>
        </w:rPr>
      </w:pPr>
      <w:bookmarkStart w:id="137" w:name="_Toc10087"/>
      <w:bookmarkStart w:id="138" w:name="_Toc3358"/>
      <w:r>
        <w:rPr>
          <w:rFonts w:hint="eastAsia" w:hAnsi="宋体" w:cs="宋体"/>
          <w:b/>
          <w:bCs/>
          <w:color w:val="auto"/>
          <w:highlight w:val="none"/>
        </w:rPr>
        <w:t>八、词语含义</w:t>
      </w:r>
      <w:bookmarkEnd w:id="136"/>
      <w:bookmarkEnd w:id="137"/>
      <w:bookmarkEnd w:id="138"/>
    </w:p>
    <w:p>
      <w:pPr>
        <w:spacing w:line="360" w:lineRule="auto"/>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pPr>
        <w:spacing w:line="360" w:lineRule="auto"/>
        <w:ind w:firstLine="422" w:firstLineChars="200"/>
        <w:outlineLvl w:val="0"/>
        <w:rPr>
          <w:b/>
          <w:bCs/>
          <w:color w:val="auto"/>
          <w:highlight w:val="none"/>
        </w:rPr>
      </w:pPr>
      <w:bookmarkStart w:id="139" w:name="_Toc17996"/>
      <w:bookmarkStart w:id="140" w:name="_Toc351203489"/>
      <w:bookmarkStart w:id="141" w:name="_Toc24883"/>
      <w:r>
        <w:rPr>
          <w:rFonts w:hint="eastAsia" w:hAnsi="宋体" w:cs="宋体"/>
          <w:b/>
          <w:bCs/>
          <w:color w:val="auto"/>
          <w:highlight w:val="none"/>
        </w:rPr>
        <w:t>九、签订时间</w:t>
      </w:r>
      <w:bookmarkEnd w:id="139"/>
      <w:bookmarkEnd w:id="140"/>
      <w:bookmarkEnd w:id="141"/>
    </w:p>
    <w:p>
      <w:pPr>
        <w:spacing w:line="360" w:lineRule="auto"/>
        <w:ind w:firstLine="420" w:firstLineChars="200"/>
        <w:rPr>
          <w:rFonts w:hAnsi="宋体"/>
          <w:color w:val="auto"/>
          <w:highlight w:val="none"/>
        </w:rPr>
      </w:pPr>
      <w:r>
        <w:rPr>
          <w:rFonts w:hint="eastAsia" w:hAnsi="宋体" w:cs="宋体"/>
          <w:color w:val="auto"/>
          <w:highlight w:val="none"/>
        </w:rPr>
        <w:t>本合同于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w:t>
      </w:r>
    </w:p>
    <w:p>
      <w:pPr>
        <w:spacing w:line="360" w:lineRule="auto"/>
        <w:ind w:firstLine="422" w:firstLineChars="200"/>
        <w:outlineLvl w:val="0"/>
        <w:rPr>
          <w:b/>
          <w:bCs/>
          <w:color w:val="auto"/>
          <w:highlight w:val="none"/>
        </w:rPr>
      </w:pPr>
      <w:bookmarkStart w:id="142" w:name="_Toc351203490"/>
      <w:bookmarkStart w:id="143" w:name="_Toc20039"/>
      <w:bookmarkStart w:id="144" w:name="_Toc26928"/>
      <w:r>
        <w:rPr>
          <w:rFonts w:hint="eastAsia" w:hAnsi="宋体" w:cs="宋体"/>
          <w:b/>
          <w:bCs/>
          <w:color w:val="auto"/>
          <w:highlight w:val="none"/>
        </w:rPr>
        <w:t>十、签订地点</w:t>
      </w:r>
      <w:bookmarkEnd w:id="142"/>
      <w:bookmarkEnd w:id="143"/>
      <w:bookmarkEnd w:id="144"/>
    </w:p>
    <w:p>
      <w:pPr>
        <w:spacing w:line="360" w:lineRule="auto"/>
        <w:ind w:firstLine="420" w:firstLineChars="200"/>
        <w:rPr>
          <w:rFonts w:hAnsi="宋体"/>
          <w:color w:val="auto"/>
          <w:highlight w:val="none"/>
        </w:rPr>
      </w:pPr>
      <w:r>
        <w:rPr>
          <w:rFonts w:hint="eastAsia" w:hAnsi="宋体" w:cs="宋体"/>
          <w:color w:val="auto"/>
          <w:highlight w:val="none"/>
        </w:rPr>
        <w:t>本合同在</w:t>
      </w:r>
      <w:r>
        <w:rPr>
          <w:color w:val="auto"/>
          <w:highlight w:val="none"/>
          <w:u w:val="single"/>
        </w:rPr>
        <w:t xml:space="preserve"> </w:t>
      </w:r>
      <w:r>
        <w:rPr>
          <w:rFonts w:hint="eastAsia"/>
          <w:color w:val="auto"/>
          <w:highlight w:val="none"/>
          <w:u w:val="single"/>
        </w:rPr>
        <w:t>广西百色市</w:t>
      </w:r>
      <w:r>
        <w:rPr>
          <w:color w:val="auto"/>
          <w:highlight w:val="none"/>
          <w:u w:val="single"/>
        </w:rPr>
        <w:t xml:space="preserve"> </w:t>
      </w:r>
      <w:r>
        <w:rPr>
          <w:rFonts w:hint="eastAsia" w:hAnsi="宋体" w:cs="宋体"/>
          <w:color w:val="auto"/>
          <w:highlight w:val="none"/>
        </w:rPr>
        <w:t>签订。</w:t>
      </w:r>
    </w:p>
    <w:p>
      <w:pPr>
        <w:spacing w:line="360" w:lineRule="auto"/>
        <w:ind w:firstLine="422" w:firstLineChars="200"/>
        <w:outlineLvl w:val="0"/>
        <w:rPr>
          <w:b/>
          <w:bCs/>
          <w:color w:val="auto"/>
          <w:highlight w:val="none"/>
        </w:rPr>
      </w:pPr>
      <w:bookmarkStart w:id="145" w:name="_Toc32146"/>
      <w:bookmarkStart w:id="146" w:name="_Toc351203491"/>
      <w:bookmarkStart w:id="147" w:name="_Toc26472"/>
      <w:r>
        <w:rPr>
          <w:rFonts w:hint="eastAsia" w:hAnsi="宋体" w:cs="宋体"/>
          <w:b/>
          <w:bCs/>
          <w:color w:val="auto"/>
          <w:highlight w:val="none"/>
        </w:rPr>
        <w:t>十一、补充协议</w:t>
      </w:r>
      <w:bookmarkEnd w:id="145"/>
      <w:bookmarkEnd w:id="146"/>
      <w:bookmarkEnd w:id="147"/>
    </w:p>
    <w:p>
      <w:pPr>
        <w:spacing w:line="360" w:lineRule="auto"/>
        <w:ind w:firstLine="420" w:firstLineChars="200"/>
        <w:rPr>
          <w:rFonts w:hAnsi="宋体" w:cs="宋体"/>
          <w:color w:val="auto"/>
          <w:highlight w:val="none"/>
        </w:rPr>
      </w:pPr>
      <w:r>
        <w:rPr>
          <w:rFonts w:hint="eastAsia" w:hAnsi="宋体" w:cs="宋体"/>
          <w:color w:val="auto"/>
          <w:highlight w:val="none"/>
        </w:rPr>
        <w:t>合同未尽事宜，合同当事人另行签订补充协议，......补充协议是本合同的组成部分，与本合同具有同等法律效力。</w:t>
      </w:r>
    </w:p>
    <w:p>
      <w:pPr>
        <w:spacing w:line="360" w:lineRule="auto"/>
        <w:ind w:firstLine="422" w:firstLineChars="200"/>
        <w:outlineLvl w:val="0"/>
        <w:rPr>
          <w:b/>
          <w:bCs/>
          <w:color w:val="auto"/>
          <w:highlight w:val="none"/>
        </w:rPr>
      </w:pPr>
      <w:bookmarkStart w:id="148" w:name="_Toc31310"/>
      <w:bookmarkStart w:id="149" w:name="_Toc351203492"/>
      <w:bookmarkStart w:id="150" w:name="_Toc389"/>
      <w:r>
        <w:rPr>
          <w:rFonts w:hint="eastAsia" w:hAnsi="宋体" w:cs="宋体"/>
          <w:b/>
          <w:bCs/>
          <w:color w:val="auto"/>
          <w:highlight w:val="none"/>
        </w:rPr>
        <w:t>十二、合同生效</w:t>
      </w:r>
      <w:bookmarkEnd w:id="148"/>
      <w:bookmarkEnd w:id="149"/>
      <w:bookmarkEnd w:id="150"/>
    </w:p>
    <w:p>
      <w:pPr>
        <w:spacing w:line="360" w:lineRule="auto"/>
        <w:ind w:firstLine="420" w:firstLineChars="200"/>
        <w:rPr>
          <w:rFonts w:hAnsi="宋体"/>
          <w:color w:val="auto"/>
          <w:highlight w:val="none"/>
        </w:rPr>
      </w:pPr>
      <w:r>
        <w:rPr>
          <w:rFonts w:hint="eastAsia" w:hAnsi="宋体" w:cs="宋体"/>
          <w:color w:val="auto"/>
          <w:highlight w:val="none"/>
        </w:rPr>
        <w:t>本合同自</w:t>
      </w:r>
      <w:r>
        <w:rPr>
          <w:color w:val="auto"/>
          <w:highlight w:val="none"/>
          <w:u w:val="single"/>
        </w:rPr>
        <w:t xml:space="preserve"> </w:t>
      </w:r>
      <w:r>
        <w:rPr>
          <w:rFonts w:hint="eastAsia"/>
          <w:color w:val="auto"/>
          <w:highlight w:val="none"/>
          <w:u w:val="single"/>
        </w:rPr>
        <w:t>双方法定代表人或其委托代理人签字或盖章并加盖单位公章或合同专用章后</w:t>
      </w:r>
      <w:r>
        <w:rPr>
          <w:color w:val="auto"/>
          <w:highlight w:val="none"/>
          <w:u w:val="single"/>
        </w:rPr>
        <w:t xml:space="preserve">  </w:t>
      </w:r>
      <w:r>
        <w:rPr>
          <w:rFonts w:hint="eastAsia" w:hAnsi="宋体" w:cs="宋体"/>
          <w:color w:val="auto"/>
          <w:highlight w:val="none"/>
        </w:rPr>
        <w:t>生效。</w:t>
      </w:r>
    </w:p>
    <w:p>
      <w:pPr>
        <w:spacing w:line="360" w:lineRule="auto"/>
        <w:ind w:firstLine="422" w:firstLineChars="200"/>
        <w:outlineLvl w:val="0"/>
        <w:rPr>
          <w:b/>
          <w:bCs/>
          <w:color w:val="auto"/>
          <w:highlight w:val="none"/>
        </w:rPr>
      </w:pPr>
      <w:bookmarkStart w:id="151" w:name="_Toc351203493"/>
      <w:bookmarkStart w:id="152" w:name="_Toc22672"/>
      <w:bookmarkStart w:id="153" w:name="_Toc22958"/>
      <w:r>
        <w:rPr>
          <w:rFonts w:hint="eastAsia" w:hAnsi="宋体" w:cs="宋体"/>
          <w:b/>
          <w:bCs/>
          <w:color w:val="auto"/>
          <w:highlight w:val="none"/>
        </w:rPr>
        <w:t>十三、合同份数</w:t>
      </w:r>
      <w:bookmarkEnd w:id="151"/>
      <w:bookmarkEnd w:id="152"/>
      <w:bookmarkEnd w:id="153"/>
    </w:p>
    <w:p>
      <w:pPr>
        <w:spacing w:line="360" w:lineRule="auto"/>
        <w:ind w:firstLine="420" w:firstLineChars="200"/>
        <w:rPr>
          <w:color w:val="auto"/>
          <w:highlight w:val="none"/>
        </w:rPr>
      </w:pPr>
      <w:r>
        <w:rPr>
          <w:rFonts w:hint="eastAsia" w:hAnsi="宋体" w:cs="宋体"/>
          <w:color w:val="auto"/>
          <w:highlight w:val="none"/>
        </w:rPr>
        <w:t>本合同一式</w:t>
      </w:r>
      <w:r>
        <w:rPr>
          <w:color w:val="auto"/>
          <w:highlight w:val="none"/>
          <w:u w:val="single"/>
        </w:rPr>
        <w:t xml:space="preserve"> </w:t>
      </w:r>
      <w:r>
        <w:rPr>
          <w:rFonts w:hint="eastAsia"/>
          <w:color w:val="auto"/>
          <w:highlight w:val="none"/>
          <w:u w:val="single"/>
        </w:rPr>
        <w:t>拾贰</w:t>
      </w:r>
      <w:r>
        <w:rPr>
          <w:color w:val="auto"/>
          <w:highlight w:val="none"/>
          <w:u w:val="single"/>
        </w:rPr>
        <w:t xml:space="preserve"> </w:t>
      </w:r>
      <w:r>
        <w:rPr>
          <w:rFonts w:hint="eastAsia" w:hAnsi="宋体" w:cs="宋体"/>
          <w:color w:val="auto"/>
          <w:highlight w:val="none"/>
        </w:rPr>
        <w:t>份，均具有同等法律效力，发包人执</w:t>
      </w:r>
      <w:r>
        <w:rPr>
          <w:color w:val="auto"/>
          <w:highlight w:val="none"/>
          <w:u w:val="single"/>
        </w:rPr>
        <w:t xml:space="preserve"> </w:t>
      </w:r>
      <w:r>
        <w:rPr>
          <w:rFonts w:hint="eastAsia"/>
          <w:color w:val="auto"/>
          <w:highlight w:val="none"/>
          <w:u w:val="single"/>
        </w:rPr>
        <w:t>捌</w:t>
      </w:r>
      <w:r>
        <w:rPr>
          <w:color w:val="auto"/>
          <w:highlight w:val="none"/>
          <w:u w:val="single"/>
        </w:rPr>
        <w:t xml:space="preserve"> </w:t>
      </w:r>
      <w:r>
        <w:rPr>
          <w:rFonts w:hint="eastAsia" w:hAnsi="宋体" w:cs="宋体"/>
          <w:color w:val="auto"/>
          <w:highlight w:val="none"/>
        </w:rPr>
        <w:t>份，承包人执</w:t>
      </w:r>
      <w:r>
        <w:rPr>
          <w:color w:val="auto"/>
          <w:highlight w:val="none"/>
          <w:u w:val="single"/>
        </w:rPr>
        <w:t xml:space="preserve"> </w:t>
      </w:r>
      <w:r>
        <w:rPr>
          <w:rFonts w:hint="eastAsia"/>
          <w:color w:val="auto"/>
          <w:highlight w:val="none"/>
          <w:u w:val="single"/>
        </w:rPr>
        <w:t>肆</w:t>
      </w:r>
      <w:r>
        <w:rPr>
          <w:color w:val="auto"/>
          <w:highlight w:val="none"/>
          <w:u w:val="single"/>
        </w:rPr>
        <w:t xml:space="preserve"> </w:t>
      </w:r>
      <w:r>
        <w:rPr>
          <w:rFonts w:hint="eastAsia" w:hAnsi="宋体" w:cs="宋体"/>
          <w:color w:val="auto"/>
          <w:highlight w:val="none"/>
        </w:rPr>
        <w:t>份。</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发包人：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r>
        <w:rPr>
          <w:color w:val="auto"/>
          <w:highlight w:val="none"/>
        </w:rPr>
        <w:t xml:space="preserve">                              </w:t>
      </w:r>
      <w:r>
        <w:rPr>
          <w:rFonts w:hint="eastAsia" w:hAnsi="宋体" w:cs="宋体"/>
          <w:color w:val="auto"/>
          <w:highlight w:val="none"/>
        </w:rPr>
        <w:t>承包人：</w:t>
      </w:r>
      <w:r>
        <w:rPr>
          <w:color w:val="auto"/>
          <w:highlight w:val="none"/>
        </w:rPr>
        <w:t xml:space="preserve">  </w:t>
      </w:r>
      <w:r>
        <w:rPr>
          <w:rFonts w:hint="eastAsia" w:cs="宋体"/>
          <w:color w:val="auto"/>
          <w:highlight w:val="none"/>
        </w:rPr>
        <w:t>（</w:t>
      </w:r>
      <w:r>
        <w:rPr>
          <w:rFonts w:hint="eastAsia" w:hAnsi="宋体" w:cs="宋体"/>
          <w:color w:val="auto"/>
          <w:highlight w:val="none"/>
        </w:rPr>
        <w:t>公章</w:t>
      </w:r>
      <w:r>
        <w:rPr>
          <w:rFonts w:hint="eastAsia" w:cs="宋体"/>
          <w:color w:val="auto"/>
          <w:highlight w:val="none"/>
        </w:rPr>
        <w:t>）</w:t>
      </w:r>
    </w:p>
    <w:p>
      <w:pPr>
        <w:spacing w:line="360" w:lineRule="auto"/>
        <w:rPr>
          <w:color w:val="auto"/>
          <w:highlight w:val="none"/>
          <w:u w:val="single"/>
        </w:rPr>
      </w:pPr>
      <w:r>
        <w:rPr>
          <w:color w:val="auto"/>
          <w:highlight w:val="none"/>
        </w:rPr>
        <w:t xml:space="preserve">                                 </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rPr>
        <w:t xml:space="preserve">                    </w:t>
      </w:r>
      <w:r>
        <w:rPr>
          <w:rFonts w:hint="eastAsia" w:hAnsi="宋体" w:cs="宋体"/>
          <w:color w:val="auto"/>
          <w:highlight w:val="none"/>
        </w:rPr>
        <w:t>法定代表人或其委托代理人：</w:t>
      </w:r>
    </w:p>
    <w:p>
      <w:pPr>
        <w:spacing w:line="360" w:lineRule="auto"/>
        <w:rPr>
          <w:color w:val="auto"/>
          <w:highlight w:val="none"/>
        </w:rPr>
      </w:pPr>
      <w:r>
        <w:rPr>
          <w:rFonts w:hint="eastAsia" w:hAnsi="宋体" w:cs="宋体"/>
          <w:color w:val="auto"/>
          <w:highlight w:val="none"/>
        </w:rPr>
        <w:t>（签字）</w:t>
      </w:r>
      <w:r>
        <w:rPr>
          <w:color w:val="auto"/>
          <w:highlight w:val="none"/>
        </w:rPr>
        <w:t xml:space="preserve">                                     </w:t>
      </w:r>
      <w:r>
        <w:rPr>
          <w:rFonts w:hint="eastAsia" w:hAnsi="宋体" w:cs="宋体"/>
          <w:color w:val="auto"/>
          <w:highlight w:val="none"/>
        </w:rPr>
        <w:t>（签字）</w:t>
      </w:r>
    </w:p>
    <w:p>
      <w:pPr>
        <w:spacing w:line="360" w:lineRule="auto"/>
        <w:rPr>
          <w:color w:val="auto"/>
          <w:highlight w:val="none"/>
          <w:u w:val="single"/>
        </w:rPr>
      </w:pPr>
    </w:p>
    <w:p>
      <w:pPr>
        <w:tabs>
          <w:tab w:val="left" w:pos="4410"/>
        </w:tabs>
        <w:spacing w:line="360" w:lineRule="auto"/>
        <w:rPr>
          <w:color w:val="auto"/>
          <w:highlight w:val="none"/>
        </w:rPr>
      </w:pPr>
      <w:r>
        <w:rPr>
          <w:rFonts w:hint="eastAsia" w:hAnsi="宋体" w:cs="宋体"/>
          <w:color w:val="auto"/>
          <w:highlight w:val="none"/>
        </w:rPr>
        <w:t>统一社会信用代码：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s="宋体"/>
          <w:color w:val="auto"/>
          <w:highlight w:val="none"/>
        </w:rPr>
        <w:t>统一</w:t>
      </w:r>
      <w:r>
        <w:rPr>
          <w:rFonts w:hint="eastAsia" w:hAnsi="宋体" w:cs="宋体"/>
          <w:color w:val="auto"/>
          <w:highlight w:val="none"/>
        </w:rPr>
        <w:t>社会信用代码：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 xml:space="preserve"> </w:t>
      </w:r>
      <w:r>
        <w:rPr>
          <w:rFonts w:hint="eastAsia" w:hAnsi="宋体" w:cs="宋体"/>
          <w:color w:val="auto"/>
          <w:highlight w:val="none"/>
        </w:rPr>
        <w:t>邮政编码：</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法定代表人：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委托代理人：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 xml:space="preserve">                      </w:t>
      </w:r>
    </w:p>
    <w:p>
      <w:pPr>
        <w:spacing w:line="360" w:lineRule="auto"/>
        <w:rPr>
          <w:color w:val="auto"/>
          <w:highlight w:val="none"/>
        </w:rPr>
      </w:pP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开户银行：</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rPr>
          <w:color w:val="auto"/>
          <w:highlight w:val="none"/>
          <w:u w:val="single"/>
        </w:rPr>
      </w:pP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hAnsi="宋体" w:cs="宋体"/>
          <w:color w:val="auto"/>
          <w:highlight w:val="none"/>
        </w:rPr>
        <w:t>账</w:t>
      </w:r>
      <w:r>
        <w:rPr>
          <w:color w:val="auto"/>
          <w:highlight w:val="none"/>
        </w:rPr>
        <w:t xml:space="preserve">  </w:t>
      </w:r>
      <w:r>
        <w:rPr>
          <w:rFonts w:hint="eastAsia" w:hAnsi="宋体" w:cs="宋体"/>
          <w:color w:val="auto"/>
          <w:highlight w:val="none"/>
        </w:rPr>
        <w:t>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widowControl/>
        <w:jc w:val="left"/>
        <w:rPr>
          <w:color w:val="auto"/>
          <w:highlight w:val="none"/>
          <w:u w:val="single"/>
        </w:rPr>
      </w:pPr>
      <w:r>
        <w:rPr>
          <w:color w:val="auto"/>
          <w:highlight w:val="none"/>
        </w:rPr>
        <w:br w:type="page"/>
      </w:r>
    </w:p>
    <w:p>
      <w:pPr>
        <w:pStyle w:val="2"/>
        <w:jc w:val="center"/>
        <w:rPr>
          <w:color w:val="auto"/>
          <w:highlight w:val="none"/>
        </w:rPr>
      </w:pPr>
      <w:bookmarkStart w:id="154" w:name="_Toc407135192"/>
      <w:bookmarkStart w:id="155" w:name="_Toc30782"/>
      <w:bookmarkStart w:id="156" w:name="_Toc6786"/>
      <w:bookmarkStart w:id="157" w:name="_Toc18073"/>
      <w:bookmarkStart w:id="158" w:name="_Toc389065256"/>
      <w:bookmarkStart w:id="159" w:name="_Toc351203632"/>
      <w:bookmarkStart w:id="160" w:name="_Toc373478338"/>
      <w:bookmarkStart w:id="161" w:name="_Toc373227691"/>
      <w:r>
        <w:rPr>
          <w:rFonts w:hint="eastAsia" w:cs="黑体"/>
          <w:color w:val="auto"/>
          <w:highlight w:val="none"/>
        </w:rPr>
        <w:t>第二部分</w:t>
      </w:r>
      <w:r>
        <w:rPr>
          <w:color w:val="auto"/>
          <w:highlight w:val="none"/>
        </w:rPr>
        <w:t xml:space="preserve"> </w:t>
      </w:r>
      <w:r>
        <w:rPr>
          <w:rFonts w:hint="eastAsia" w:cs="黑体"/>
          <w:color w:val="auto"/>
          <w:highlight w:val="none"/>
        </w:rPr>
        <w:t>通用合同条款</w:t>
      </w:r>
      <w:bookmarkEnd w:id="154"/>
      <w:bookmarkEnd w:id="155"/>
      <w:bookmarkEnd w:id="156"/>
      <w:bookmarkEnd w:id="157"/>
      <w:bookmarkEnd w:id="158"/>
    </w:p>
    <w:p>
      <w:pPr>
        <w:spacing w:line="360" w:lineRule="auto"/>
        <w:ind w:firstLine="420" w:firstLineChars="200"/>
        <w:rPr>
          <w:rFonts w:hAnsi="宋体"/>
          <w:color w:val="auto"/>
          <w:kern w:val="0"/>
          <w:highlight w:val="none"/>
        </w:rPr>
      </w:pPr>
    </w:p>
    <w:p>
      <w:pPr>
        <w:spacing w:line="360" w:lineRule="auto"/>
        <w:ind w:firstLine="422" w:firstLineChars="200"/>
        <w:rPr>
          <w:rFonts w:hAnsi="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pPr>
        <w:pStyle w:val="2"/>
        <w:keepNext w:val="0"/>
        <w:keepLines w:val="0"/>
        <w:jc w:val="center"/>
        <w:rPr>
          <w:rFonts w:hAnsi="宋体"/>
          <w:color w:val="auto"/>
          <w:sz w:val="30"/>
          <w:szCs w:val="30"/>
          <w:highlight w:val="none"/>
        </w:rPr>
      </w:pPr>
      <w:bookmarkStart w:id="162" w:name="_Toc23580"/>
      <w:bookmarkStart w:id="163" w:name="_Toc11256"/>
      <w:bookmarkStart w:id="164" w:name="_Toc8914"/>
      <w:bookmarkStart w:id="165" w:name="_Toc389065257"/>
      <w:bookmarkStart w:id="166" w:name="_Toc407135193"/>
      <w:r>
        <w:rPr>
          <w:rFonts w:hint="eastAsia" w:hAnsi="宋体" w:cs="黑体"/>
          <w:color w:val="auto"/>
          <w:sz w:val="30"/>
          <w:szCs w:val="30"/>
          <w:highlight w:val="none"/>
        </w:rPr>
        <w:t>第三部分</w:t>
      </w:r>
      <w:r>
        <w:rPr>
          <w:color w:val="auto"/>
          <w:sz w:val="30"/>
          <w:szCs w:val="30"/>
          <w:highlight w:val="none"/>
        </w:rPr>
        <w:t xml:space="preserve"> </w:t>
      </w:r>
      <w:r>
        <w:rPr>
          <w:rFonts w:hint="eastAsia" w:hAnsi="宋体" w:cs="黑体"/>
          <w:color w:val="auto"/>
          <w:sz w:val="30"/>
          <w:szCs w:val="30"/>
          <w:highlight w:val="none"/>
        </w:rPr>
        <w:t>专用合同条款</w:t>
      </w:r>
      <w:bookmarkEnd w:id="159"/>
      <w:bookmarkEnd w:id="160"/>
      <w:bookmarkEnd w:id="161"/>
      <w:bookmarkEnd w:id="162"/>
      <w:bookmarkEnd w:id="163"/>
      <w:bookmarkEnd w:id="164"/>
      <w:bookmarkEnd w:id="165"/>
      <w:bookmarkEnd w:id="166"/>
    </w:p>
    <w:p>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pPr>
        <w:pStyle w:val="3"/>
        <w:rPr>
          <w:color w:val="auto"/>
          <w:highlight w:val="none"/>
        </w:rPr>
      </w:pPr>
      <w:bookmarkStart w:id="167" w:name="_Toc389065258"/>
      <w:bookmarkStart w:id="168" w:name="_Toc373478339"/>
      <w:bookmarkStart w:id="169" w:name="_Toc407135194"/>
      <w:bookmarkStart w:id="170" w:name="_Toc5355"/>
      <w:bookmarkStart w:id="171" w:name="_Toc351203633"/>
      <w:bookmarkStart w:id="172" w:name="_Toc14317"/>
      <w:bookmarkStart w:id="173" w:name="_Toc373227692"/>
      <w:r>
        <w:rPr>
          <w:color w:val="auto"/>
          <w:highlight w:val="none"/>
        </w:rPr>
        <w:t>1</w:t>
      </w:r>
      <w:bookmarkStart w:id="174" w:name="_Toc297120456"/>
      <w:bookmarkStart w:id="175" w:name="_Toc296890984"/>
      <w:bookmarkStart w:id="176" w:name="_Toc296944495"/>
      <w:bookmarkStart w:id="177" w:name="_Toc296891196"/>
      <w:bookmarkStart w:id="178" w:name="_Toc292559361"/>
      <w:bookmarkStart w:id="179" w:name="_Toc296347155"/>
      <w:bookmarkStart w:id="180" w:name="_Toc296346657"/>
      <w:bookmarkStart w:id="181" w:name="_Toc297048342"/>
      <w:bookmarkStart w:id="182" w:name="_Toc296503156"/>
      <w:bookmarkStart w:id="183" w:name="_Toc292559866"/>
      <w:r>
        <w:rPr>
          <w:color w:val="auto"/>
          <w:highlight w:val="none"/>
        </w:rPr>
        <w:t xml:space="preserve">. </w:t>
      </w:r>
      <w:r>
        <w:rPr>
          <w:rFonts w:hint="eastAsia" w:hAnsi="宋体" w:cs="黑体"/>
          <w:color w:val="auto"/>
          <w:highlight w:val="none"/>
        </w:rPr>
        <w:t>一般约定</w:t>
      </w:r>
      <w:bookmarkEnd w:id="167"/>
      <w:bookmarkEnd w:id="168"/>
      <w:bookmarkEnd w:id="169"/>
      <w:bookmarkEnd w:id="170"/>
      <w:bookmarkEnd w:id="171"/>
      <w:bookmarkEnd w:id="172"/>
      <w:bookmarkEnd w:id="173"/>
    </w:p>
    <w:bookmarkEnd w:id="174"/>
    <w:bookmarkEnd w:id="175"/>
    <w:bookmarkEnd w:id="176"/>
    <w:bookmarkEnd w:id="177"/>
    <w:bookmarkEnd w:id="178"/>
    <w:bookmarkEnd w:id="179"/>
    <w:bookmarkEnd w:id="180"/>
    <w:bookmarkEnd w:id="181"/>
    <w:bookmarkEnd w:id="182"/>
    <w:bookmarkEnd w:id="183"/>
    <w:p>
      <w:pPr>
        <w:pStyle w:val="4"/>
        <w:rPr>
          <w:color w:val="auto"/>
          <w:highlight w:val="none"/>
        </w:rPr>
      </w:pPr>
      <w:bookmarkStart w:id="184" w:name="_Toc389065259"/>
      <w:bookmarkStart w:id="185" w:name="_Toc22620"/>
      <w:bookmarkStart w:id="186" w:name="_Toc373227693"/>
      <w:bookmarkStart w:id="187" w:name="_Toc373478340"/>
      <w:bookmarkStart w:id="188" w:name="_Toc407135195"/>
      <w:bookmarkStart w:id="189" w:name="_Toc4280"/>
      <w:r>
        <w:rPr>
          <w:color w:val="auto"/>
          <w:highlight w:val="none"/>
        </w:rPr>
        <w:t xml:space="preserve">1.1 </w:t>
      </w:r>
      <w:r>
        <w:rPr>
          <w:rFonts w:hint="eastAsia" w:hAnsi="宋体" w:cs="黑体"/>
          <w:color w:val="auto"/>
          <w:highlight w:val="none"/>
        </w:rPr>
        <w:t>词语定义</w:t>
      </w:r>
      <w:bookmarkEnd w:id="184"/>
      <w:bookmarkEnd w:id="185"/>
      <w:bookmarkEnd w:id="186"/>
      <w:bookmarkEnd w:id="187"/>
      <w:bookmarkEnd w:id="188"/>
      <w:bookmarkEnd w:id="189"/>
    </w:p>
    <w:p>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color w:val="auto"/>
          <w:highlight w:val="none"/>
          <w:u w:val="single"/>
        </w:rPr>
        <w:t xml:space="preserve"> </w:t>
      </w:r>
      <w:r>
        <w:rPr>
          <w:rFonts w:hint="eastAsia"/>
          <w:color w:val="auto"/>
          <w:highlight w:val="none"/>
          <w:u w:val="single"/>
        </w:rPr>
        <w:t>合同履行过程中，发包人和承包人有关工程的洽商、变更、会议纪要、签证等书面协议或文件等视为本合同的组成部分</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bookmarkStart w:id="190" w:name="_Toc26687"/>
      <w:bookmarkStart w:id="191" w:name="_Toc13091"/>
      <w:r>
        <w:rPr>
          <w:color w:val="auto"/>
          <w:highlight w:val="none"/>
        </w:rPr>
        <w:t xml:space="preserve">1.1.2.4 </w:t>
      </w:r>
      <w:r>
        <w:rPr>
          <w:rFonts w:hint="eastAsia" w:hAnsi="宋体" w:cs="宋体"/>
          <w:color w:val="auto"/>
          <w:highlight w:val="none"/>
        </w:rPr>
        <w:t>监理人：</w:t>
      </w:r>
      <w:bookmarkEnd w:id="190"/>
      <w:bookmarkEnd w:id="191"/>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color w:val="auto"/>
          <w:highlight w:val="none"/>
          <w:u w:val="single"/>
        </w:rPr>
        <w:t>与监理合同约定一致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color w:val="auto"/>
          <w:highlight w:val="none"/>
          <w:u w:val="single"/>
        </w:rPr>
        <w:t>与监理合同约定一致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color w:val="auto"/>
          <w:highlight w:val="none"/>
          <w:u w:val="single"/>
        </w:rPr>
        <w:t>与监理合同约定一致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与监理合同约定一致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color w:val="auto"/>
          <w:highlight w:val="none"/>
          <w:u w:val="single"/>
        </w:rPr>
        <w:t>与监理合同约定一致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outlineLvl w:val="0"/>
        <w:rPr>
          <w:color w:val="auto"/>
          <w:highlight w:val="none"/>
        </w:rPr>
      </w:pPr>
      <w:bookmarkStart w:id="192" w:name="_Toc31095"/>
      <w:bookmarkStart w:id="193" w:name="_Toc5038"/>
      <w:r>
        <w:rPr>
          <w:color w:val="auto"/>
          <w:highlight w:val="none"/>
        </w:rPr>
        <w:t xml:space="preserve">1.1.2.5 </w:t>
      </w:r>
      <w:r>
        <w:rPr>
          <w:rFonts w:hint="eastAsia" w:hAnsi="宋体" w:cs="宋体"/>
          <w:color w:val="auto"/>
          <w:highlight w:val="none"/>
        </w:rPr>
        <w:t>设计人：</w:t>
      </w:r>
      <w:bookmarkEnd w:id="192"/>
      <w:bookmarkEnd w:id="193"/>
    </w:p>
    <w:p>
      <w:pPr>
        <w:spacing w:line="360" w:lineRule="auto"/>
        <w:ind w:firstLine="420" w:firstLineChars="200"/>
        <w:rPr>
          <w:color w:val="auto"/>
          <w:highlight w:val="none"/>
        </w:rPr>
      </w:pPr>
      <w:r>
        <w:rPr>
          <w:rFonts w:hint="eastAsia" w:hAnsi="宋体" w:cs="宋体"/>
          <w:color w:val="auto"/>
          <w:highlight w:val="none"/>
        </w:rPr>
        <w:t>名</w:t>
      </w:r>
      <w:r>
        <w:rPr>
          <w:color w:val="auto"/>
          <w:highlight w:val="none"/>
        </w:rPr>
        <w:t xml:space="preserve">    </w:t>
      </w:r>
      <w:r>
        <w:rPr>
          <w:rFonts w:hint="eastAsia" w:hAnsi="宋体" w:cs="宋体"/>
          <w:color w:val="auto"/>
          <w:highlight w:val="none"/>
        </w:rPr>
        <w:t>称：</w:t>
      </w:r>
      <w:r>
        <w:rPr>
          <w:color w:val="auto"/>
          <w:highlight w:val="none"/>
          <w:u w:val="single"/>
        </w:rPr>
        <w:t xml:space="preserve"> </w:t>
      </w:r>
      <w:r>
        <w:rPr>
          <w:rFonts w:hint="eastAsia"/>
          <w:color w:val="auto"/>
          <w:highlight w:val="none"/>
          <w:u w:val="single"/>
        </w:rPr>
        <w:t>与设计合同约定一致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资质类别和等级：</w:t>
      </w:r>
      <w:r>
        <w:rPr>
          <w:color w:val="auto"/>
          <w:highlight w:val="none"/>
          <w:u w:val="single"/>
        </w:rPr>
        <w:t xml:space="preserve"> </w:t>
      </w:r>
      <w:r>
        <w:rPr>
          <w:rFonts w:hint="eastAsia"/>
          <w:color w:val="auto"/>
          <w:highlight w:val="none"/>
          <w:u w:val="single"/>
        </w:rPr>
        <w:t>与设计合同约定一致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联系电话：</w:t>
      </w:r>
      <w:r>
        <w:rPr>
          <w:color w:val="auto"/>
          <w:highlight w:val="none"/>
          <w:u w:val="single"/>
        </w:rPr>
        <w:t xml:space="preserve"> </w:t>
      </w:r>
      <w:r>
        <w:rPr>
          <w:rFonts w:hint="eastAsia"/>
          <w:color w:val="auto"/>
          <w:highlight w:val="none"/>
          <w:u w:val="single"/>
        </w:rPr>
        <w:t>与设计合同约定一致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电子信箱：</w:t>
      </w:r>
      <w:r>
        <w:rPr>
          <w:color w:val="auto"/>
          <w:highlight w:val="none"/>
          <w:u w:val="single"/>
        </w:rPr>
        <w:t xml:space="preserve"> </w:t>
      </w:r>
      <w:r>
        <w:rPr>
          <w:rFonts w:hint="eastAsia"/>
          <w:color w:val="auto"/>
          <w:highlight w:val="none"/>
          <w:u w:val="single"/>
        </w:rPr>
        <w:t>与设计合同约定一致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通信地址：</w:t>
      </w:r>
      <w:r>
        <w:rPr>
          <w:color w:val="auto"/>
          <w:highlight w:val="none"/>
          <w:u w:val="single"/>
        </w:rPr>
        <w:t xml:space="preserve"> </w:t>
      </w:r>
      <w:r>
        <w:rPr>
          <w:rFonts w:hint="eastAsia"/>
          <w:color w:val="auto"/>
          <w:highlight w:val="none"/>
          <w:u w:val="single"/>
        </w:rPr>
        <w:t>与设计合同约定一致</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rFonts w:hAnsi="宋体"/>
          <w:color w:val="auto"/>
          <w:highlight w:val="none"/>
        </w:rPr>
      </w:pPr>
      <w:bookmarkStart w:id="194" w:name="_Toc14500"/>
      <w:bookmarkStart w:id="195" w:name="_Toc27545"/>
      <w:r>
        <w:rPr>
          <w:color w:val="auto"/>
          <w:highlight w:val="none"/>
        </w:rPr>
        <w:t xml:space="preserve">1.1.3.7 </w:t>
      </w:r>
      <w:r>
        <w:rPr>
          <w:rFonts w:hint="eastAsia" w:hAnsi="宋体" w:cs="宋体"/>
          <w:color w:val="auto"/>
          <w:highlight w:val="none"/>
        </w:rPr>
        <w:t>作为施工现场组成部分的其他场所包括：</w:t>
      </w:r>
      <w:bookmarkEnd w:id="194"/>
      <w:bookmarkEnd w:id="195"/>
    </w:p>
    <w:p>
      <w:pPr>
        <w:spacing w:line="360" w:lineRule="auto"/>
        <w:ind w:firstLine="420" w:firstLineChars="200"/>
        <w:rPr>
          <w:color w:val="auto"/>
          <w:highlight w:val="none"/>
        </w:rPr>
      </w:pPr>
      <w:r>
        <w:rPr>
          <w:rFonts w:hint="eastAsia" w:ascii="宋体" w:hAnsi="宋体"/>
          <w:color w:val="auto"/>
          <w:highlight w:val="none"/>
          <w:u w:val="single"/>
        </w:rPr>
        <w:t>设计红线范围、项目部、预制场、加工场等为工程施工使用的场所</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color w:val="auto"/>
          <w:highlight w:val="none"/>
          <w:u w:val="single"/>
        </w:rPr>
        <w:t xml:space="preserve"> </w:t>
      </w:r>
      <w:r>
        <w:rPr>
          <w:rFonts w:hint="eastAsia" w:ascii="宋体" w:hAnsi="宋体"/>
          <w:color w:val="auto"/>
          <w:highlight w:val="none"/>
          <w:u w:val="single"/>
        </w:rPr>
        <w:t>工程设计红线范围</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color w:val="auto"/>
          <w:highlight w:val="none"/>
          <w:u w:val="single"/>
        </w:rPr>
        <w:t xml:space="preserve"> </w:t>
      </w:r>
      <w:r>
        <w:rPr>
          <w:rFonts w:hint="eastAsia" w:ascii="宋体" w:hAnsi="宋体"/>
          <w:color w:val="auto"/>
          <w:highlight w:val="none"/>
          <w:u w:val="single"/>
        </w:rPr>
        <w:t>项目部、预制场、加工场等</w:t>
      </w:r>
      <w:r>
        <w:rPr>
          <w:color w:val="auto"/>
          <w:highlight w:val="none"/>
          <w:u w:val="single"/>
        </w:rPr>
        <w:t xml:space="preserve"> </w:t>
      </w:r>
      <w:r>
        <w:rPr>
          <w:rFonts w:hint="eastAsia" w:hAnsi="宋体" w:cs="宋体"/>
          <w:color w:val="auto"/>
          <w:kern w:val="0"/>
          <w:highlight w:val="none"/>
        </w:rPr>
        <w:t>。</w:t>
      </w:r>
    </w:p>
    <w:p>
      <w:pPr>
        <w:pStyle w:val="4"/>
        <w:rPr>
          <w:color w:val="auto"/>
          <w:highlight w:val="none"/>
        </w:rPr>
      </w:pPr>
      <w:bookmarkStart w:id="196" w:name="_Toc15795"/>
      <w:bookmarkStart w:id="197" w:name="_Toc29778"/>
      <w:bookmarkStart w:id="198" w:name="_Toc373478341"/>
      <w:bookmarkStart w:id="199" w:name="_Toc389065260"/>
      <w:bookmarkStart w:id="200" w:name="_Toc373227694"/>
      <w:bookmarkStart w:id="201" w:name="_Toc407135196"/>
      <w:r>
        <w:rPr>
          <w:color w:val="auto"/>
          <w:highlight w:val="none"/>
        </w:rPr>
        <w:t xml:space="preserve">1.3 </w:t>
      </w:r>
      <w:r>
        <w:rPr>
          <w:rFonts w:hint="eastAsia" w:hAnsi="宋体" w:cs="黑体"/>
          <w:color w:val="auto"/>
          <w:highlight w:val="none"/>
        </w:rPr>
        <w:t>法律</w:t>
      </w:r>
      <w:bookmarkEnd w:id="196"/>
      <w:bookmarkEnd w:id="197"/>
      <w:bookmarkEnd w:id="198"/>
      <w:bookmarkEnd w:id="199"/>
      <w:bookmarkEnd w:id="200"/>
      <w:bookmarkEnd w:id="201"/>
    </w:p>
    <w:p>
      <w:pPr>
        <w:spacing w:line="360" w:lineRule="auto"/>
        <w:ind w:firstLine="420" w:firstLineChars="200"/>
        <w:rPr>
          <w:color w:val="auto"/>
          <w:highlight w:val="none"/>
        </w:rPr>
      </w:pPr>
      <w:r>
        <w:rPr>
          <w:rFonts w:hint="eastAsia" w:hAnsi="宋体" w:cs="宋体"/>
          <w:color w:val="auto"/>
          <w:highlight w:val="none"/>
        </w:rPr>
        <w:t>适用于合同的其他规范性文件：</w:t>
      </w:r>
      <w:r>
        <w:rPr>
          <w:rFonts w:hAnsi="宋体"/>
          <w:color w:val="auto"/>
          <w:highlight w:val="none"/>
          <w:u w:val="single"/>
        </w:rPr>
        <w:t xml:space="preserve"> </w:t>
      </w:r>
      <w:r>
        <w:rPr>
          <w:rFonts w:hint="eastAsia" w:hAnsi="宋体"/>
          <w:color w:val="auto"/>
          <w:highlight w:val="none"/>
          <w:u w:val="single"/>
        </w:rPr>
        <w:t>《中华人民共和国民法典》、《中华人民共和国建筑法》及现行的国家法律和行政法规和部门规章，工程所在地政府的有关法规和规章及规范性文件</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202" w:name="_Toc407135197"/>
      <w:bookmarkStart w:id="203" w:name="_Toc373478342"/>
      <w:bookmarkStart w:id="204" w:name="_Toc20895"/>
      <w:bookmarkStart w:id="205" w:name="_Toc373227695"/>
      <w:bookmarkStart w:id="206" w:name="_Toc13635"/>
      <w:bookmarkStart w:id="207" w:name="_Toc389065261"/>
      <w:r>
        <w:rPr>
          <w:color w:val="auto"/>
          <w:highlight w:val="none"/>
        </w:rPr>
        <w:t xml:space="preserve">1.4 </w:t>
      </w:r>
      <w:r>
        <w:rPr>
          <w:rFonts w:hint="eastAsia" w:hAnsi="宋体" w:cs="黑体"/>
          <w:color w:val="auto"/>
          <w:highlight w:val="none"/>
        </w:rPr>
        <w:t>标准和规范</w:t>
      </w:r>
      <w:bookmarkEnd w:id="202"/>
      <w:bookmarkEnd w:id="203"/>
      <w:bookmarkEnd w:id="204"/>
      <w:bookmarkEnd w:id="205"/>
      <w:bookmarkEnd w:id="206"/>
      <w:bookmarkEnd w:id="207"/>
    </w:p>
    <w:p>
      <w:pPr>
        <w:spacing w:line="360" w:lineRule="auto"/>
        <w:rPr>
          <w:color w:val="auto"/>
          <w:highlight w:val="none"/>
        </w:rPr>
      </w:pPr>
      <w:r>
        <w:rPr>
          <w:color w:val="auto"/>
          <w:highlight w:val="none"/>
        </w:rPr>
        <w:t xml:space="preserve">1.4.1 </w:t>
      </w:r>
      <w:r>
        <w:rPr>
          <w:rFonts w:hint="eastAsia" w:hAnsi="宋体" w:cs="宋体"/>
          <w:color w:val="auto"/>
          <w:highlight w:val="none"/>
        </w:rPr>
        <w:t>适用于工程的标准规范包括：</w:t>
      </w:r>
      <w:r>
        <w:rPr>
          <w:rFonts w:hAnsi="宋体"/>
          <w:color w:val="auto"/>
          <w:highlight w:val="none"/>
          <w:u w:val="single"/>
        </w:rPr>
        <w:t xml:space="preserve"> </w:t>
      </w:r>
      <w:r>
        <w:rPr>
          <w:rFonts w:hint="eastAsia" w:hAnsi="宋体" w:cs="宋体"/>
          <w:color w:val="auto"/>
          <w:highlight w:val="none"/>
          <w:u w:val="single"/>
        </w:rPr>
        <w:t>按通用条款执行</w:t>
      </w:r>
      <w:r>
        <w:rPr>
          <w:rFonts w:hAnsi="宋体"/>
          <w:color w:val="auto"/>
          <w:highlight w:val="none"/>
          <w:u w:val="single"/>
        </w:rPr>
        <w:t xml:space="preserve"> </w:t>
      </w:r>
      <w:r>
        <w:rPr>
          <w:rFonts w:hint="eastAsia" w:hAnsi="宋体" w:cs="宋体"/>
          <w:color w:val="auto"/>
          <w:highlight w:val="none"/>
        </w:rPr>
        <w:t>。</w:t>
      </w:r>
    </w:p>
    <w:p>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w:t>
      </w:r>
      <w:r>
        <w:rPr>
          <w:color w:val="auto"/>
          <w:highlight w:val="none"/>
          <w:u w:val="single"/>
        </w:rPr>
        <w:t xml:space="preserve">   </w:t>
      </w:r>
      <w:r>
        <w:rPr>
          <w:rFonts w:hint="eastAsia" w:hAnsi="宋体" w:cs="宋体"/>
          <w:color w:val="auto"/>
          <w:kern w:val="0"/>
          <w:highlight w:val="none"/>
        </w:rPr>
        <w:t>。</w:t>
      </w:r>
    </w:p>
    <w:p>
      <w:pPr>
        <w:spacing w:line="360" w:lineRule="auto"/>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Ansi="宋体"/>
          <w:color w:val="auto"/>
          <w:highlight w:val="none"/>
          <w:u w:val="single"/>
        </w:rPr>
        <w:t xml:space="preserve"> </w:t>
      </w:r>
      <w:r>
        <w:rPr>
          <w:rFonts w:hint="eastAsia" w:hAnsi="宋体"/>
          <w:color w:val="auto"/>
          <w:highlight w:val="none"/>
          <w:u w:val="single"/>
        </w:rPr>
        <w:t xml:space="preserve"> 无</w:t>
      </w:r>
      <w:r>
        <w:rPr>
          <w:color w:val="auto"/>
          <w:highlight w:val="none"/>
          <w:u w:val="single"/>
        </w:rPr>
        <w:t xml:space="preserve">   </w:t>
      </w:r>
      <w:r>
        <w:rPr>
          <w:rFonts w:hint="eastAsia" w:hAnsi="宋体" w:cs="宋体"/>
          <w:color w:val="auto"/>
          <w:kern w:val="0"/>
          <w:highlight w:val="none"/>
        </w:rPr>
        <w:t>。</w:t>
      </w:r>
    </w:p>
    <w:p>
      <w:pPr>
        <w:pStyle w:val="4"/>
        <w:rPr>
          <w:color w:val="auto"/>
          <w:highlight w:val="none"/>
        </w:rPr>
      </w:pPr>
      <w:bookmarkStart w:id="208" w:name="_Toc373478343"/>
      <w:bookmarkStart w:id="209" w:name="_Toc389065262"/>
      <w:bookmarkStart w:id="210" w:name="_Toc2290"/>
      <w:bookmarkStart w:id="211" w:name="_Toc17010"/>
      <w:bookmarkStart w:id="212" w:name="_Toc407135198"/>
      <w:bookmarkStart w:id="213" w:name="_Toc373227696"/>
      <w:r>
        <w:rPr>
          <w:color w:val="auto"/>
          <w:highlight w:val="none"/>
        </w:rPr>
        <w:t xml:space="preserve">1.5 </w:t>
      </w:r>
      <w:r>
        <w:rPr>
          <w:rFonts w:hint="eastAsia" w:cs="黑体"/>
          <w:color w:val="auto"/>
          <w:highlight w:val="none"/>
        </w:rPr>
        <w:t>合同文件的优先顺序</w:t>
      </w:r>
      <w:bookmarkEnd w:id="208"/>
      <w:bookmarkEnd w:id="209"/>
      <w:bookmarkEnd w:id="210"/>
      <w:bookmarkEnd w:id="211"/>
      <w:bookmarkEnd w:id="212"/>
      <w:bookmarkEnd w:id="213"/>
    </w:p>
    <w:p>
      <w:pPr>
        <w:spacing w:line="360" w:lineRule="auto"/>
        <w:ind w:firstLine="420" w:firstLineChars="200"/>
        <w:rPr>
          <w:rFonts w:hAnsi="宋体"/>
          <w:color w:val="auto"/>
          <w:highlight w:val="none"/>
        </w:rPr>
      </w:pPr>
      <w:r>
        <w:rPr>
          <w:rFonts w:hint="eastAsia" w:hAnsi="宋体" w:cs="宋体"/>
          <w:color w:val="auto"/>
          <w:highlight w:val="none"/>
        </w:rPr>
        <w:t>合同文件组成及优先顺序为：</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）合同协议书；</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）成交通知书（如有）；</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）投标函及其附录（如有）；</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4</w:t>
      </w:r>
      <w:r>
        <w:rPr>
          <w:rFonts w:hint="eastAsia" w:hAnsi="宋体" w:cs="宋体"/>
          <w:color w:val="auto"/>
          <w:kern w:val="0"/>
          <w:highlight w:val="none"/>
        </w:rPr>
        <w:t>）专用合同条款及其附件；</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5</w:t>
      </w:r>
      <w:r>
        <w:rPr>
          <w:rFonts w:hint="eastAsia" w:hAnsi="宋体" w:cs="宋体"/>
          <w:color w:val="auto"/>
          <w:kern w:val="0"/>
          <w:highlight w:val="none"/>
        </w:rPr>
        <w:t>）通用合同条款；</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6</w:t>
      </w:r>
      <w:r>
        <w:rPr>
          <w:rFonts w:hint="eastAsia" w:hAnsi="宋体" w:cs="宋体"/>
          <w:color w:val="auto"/>
          <w:kern w:val="0"/>
          <w:highlight w:val="none"/>
        </w:rPr>
        <w:t>）</w:t>
      </w:r>
      <w:r>
        <w:rPr>
          <w:rFonts w:hint="eastAsia" w:hAnsi="宋体"/>
          <w:color w:val="auto"/>
          <w:kern w:val="0"/>
          <w:highlight w:val="none"/>
          <w:u w:val="single"/>
        </w:rPr>
        <w:t>技术标准和要求</w:t>
      </w:r>
      <w:r>
        <w:rPr>
          <w:rFonts w:hint="eastAsia" w:hAnsi="宋体" w:cs="宋体"/>
          <w:color w:val="auto"/>
          <w:kern w:val="0"/>
          <w:highlight w:val="none"/>
        </w:rPr>
        <w:t>；</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7</w:t>
      </w:r>
      <w:r>
        <w:rPr>
          <w:rFonts w:hint="eastAsia" w:hAnsi="宋体" w:cs="宋体"/>
          <w:color w:val="auto"/>
          <w:kern w:val="0"/>
          <w:highlight w:val="none"/>
        </w:rPr>
        <w:t>）</w:t>
      </w:r>
      <w:r>
        <w:rPr>
          <w:rFonts w:hint="eastAsia" w:ascii="宋体" w:hAnsi="宋体" w:cs="宋体"/>
          <w:color w:val="auto"/>
          <w:highlight w:val="none"/>
          <w:u w:val="single"/>
        </w:rPr>
        <w:t>图纸</w:t>
      </w:r>
      <w:r>
        <w:rPr>
          <w:rFonts w:hint="eastAsia" w:hAnsi="宋体" w:cs="宋体"/>
          <w:color w:val="auto"/>
          <w:kern w:val="0"/>
          <w:highlight w:val="none"/>
        </w:rPr>
        <w:t>；</w:t>
      </w:r>
    </w:p>
    <w:p>
      <w:pPr>
        <w:spacing w:line="360" w:lineRule="auto"/>
        <w:ind w:firstLine="420" w:firstLineChars="200"/>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8</w:t>
      </w:r>
      <w:r>
        <w:rPr>
          <w:rFonts w:hint="eastAsia" w:hAnsi="宋体" w:cs="宋体"/>
          <w:color w:val="auto"/>
          <w:kern w:val="0"/>
          <w:highlight w:val="none"/>
        </w:rPr>
        <w:t>）</w:t>
      </w:r>
      <w:r>
        <w:rPr>
          <w:rFonts w:hint="eastAsia" w:ascii="宋体" w:hAnsi="宋体" w:cs="宋体"/>
          <w:color w:val="auto"/>
          <w:highlight w:val="none"/>
          <w:u w:val="single"/>
        </w:rPr>
        <w:t>已标价工程量清单或预算书</w:t>
      </w:r>
      <w:r>
        <w:rPr>
          <w:rFonts w:hint="eastAsia" w:hAnsi="宋体" w:cs="宋体"/>
          <w:color w:val="auto"/>
          <w:kern w:val="0"/>
          <w:highlight w:val="none"/>
        </w:rPr>
        <w:t>；</w:t>
      </w:r>
    </w:p>
    <w:p>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（9）</w:t>
      </w:r>
      <w:r>
        <w:rPr>
          <w:rFonts w:hint="eastAsia" w:ascii="宋体" w:hAnsi="宋体" w:cs="宋体"/>
          <w:color w:val="auto"/>
          <w:highlight w:val="none"/>
          <w:u w:val="single"/>
        </w:rPr>
        <w:t>其他合同文件：</w:t>
      </w:r>
    </w:p>
    <w:p>
      <w:pPr>
        <w:spacing w:line="360" w:lineRule="auto"/>
        <w:ind w:firstLine="420" w:firstLineChars="200"/>
        <w:rPr>
          <w:color w:val="auto"/>
          <w:highlight w:val="none"/>
        </w:rPr>
      </w:pPr>
      <w:r>
        <w:rPr>
          <w:rFonts w:hint="eastAsia" w:hAnsi="宋体" w:cs="宋体"/>
          <w:color w:val="auto"/>
          <w:kern w:val="0"/>
          <w:highlight w:val="none"/>
        </w:rPr>
        <w:t>（10）</w:t>
      </w:r>
      <w:r>
        <w:rPr>
          <w:rFonts w:hint="eastAsia"/>
          <w:color w:val="auto"/>
          <w:highlight w:val="none"/>
        </w:rPr>
        <w:t>《建设工程工程量清单计价规范》（GB50500-2013）、《建设工程工程量清单计量规范》（GB50854〜50862-2013）（修正版）及相配套的广西壮族自治区实施细则。</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pStyle w:val="4"/>
        <w:rPr>
          <w:color w:val="auto"/>
          <w:highlight w:val="none"/>
        </w:rPr>
      </w:pPr>
      <w:bookmarkStart w:id="214" w:name="_Toc389065263"/>
      <w:bookmarkStart w:id="215" w:name="_Toc12963"/>
      <w:bookmarkStart w:id="216" w:name="_Toc407135199"/>
      <w:bookmarkStart w:id="217" w:name="_Toc373227697"/>
      <w:bookmarkStart w:id="218" w:name="_Toc373478344"/>
      <w:bookmarkStart w:id="219" w:name="_Toc13069"/>
      <w:r>
        <w:rPr>
          <w:color w:val="auto"/>
          <w:highlight w:val="none"/>
        </w:rPr>
        <w:t xml:space="preserve">1.6 </w:t>
      </w:r>
      <w:r>
        <w:rPr>
          <w:rFonts w:hint="eastAsia" w:cs="黑体"/>
          <w:color w:val="auto"/>
          <w:highlight w:val="none"/>
        </w:rPr>
        <w:t>图纸和承包人文件</w:t>
      </w:r>
      <w:bookmarkEnd w:id="214"/>
      <w:bookmarkEnd w:id="215"/>
      <w:bookmarkEnd w:id="216"/>
      <w:bookmarkEnd w:id="217"/>
      <w:bookmarkEnd w:id="218"/>
      <w:bookmarkEnd w:id="219"/>
      <w:r>
        <w:rPr>
          <w:color w:val="auto"/>
          <w:highlight w:val="none"/>
        </w:rPr>
        <w:tab/>
      </w:r>
    </w:p>
    <w:p>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color w:val="auto"/>
          <w:highlight w:val="none"/>
          <w:u w:val="single"/>
        </w:rPr>
        <w:t>合同生效后7个工作日内</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hAnsi="宋体" w:cs="宋体"/>
          <w:color w:val="auto"/>
          <w:highlight w:val="none"/>
          <w:u w:val="single"/>
        </w:rPr>
        <w:t xml:space="preserve"> </w:t>
      </w:r>
      <w:r>
        <w:rPr>
          <w:rFonts w:hint="eastAsia" w:ascii="MingLiU_HKSCS" w:cs="MingLiU_HKSCS"/>
          <w:color w:val="auto"/>
          <w:highlight w:val="none"/>
          <w:u w:val="single"/>
        </w:rPr>
        <w:t xml:space="preserve"> 贰  </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hAnsi="宋体" w:cs="宋体"/>
          <w:color w:val="auto"/>
          <w:highlight w:val="none"/>
          <w:u w:val="single"/>
        </w:rPr>
        <w:t xml:space="preserve">本工程完整的设计施工图纸、设计变更图等涉及工程施工所需的所有图纸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color w:val="auto"/>
          <w:highlight w:val="none"/>
          <w:u w:val="single"/>
        </w:rPr>
      </w:pPr>
      <w:r>
        <w:rPr>
          <w:rFonts w:hint="eastAsia" w:hAnsi="宋体" w:cs="宋体"/>
          <w:color w:val="auto"/>
          <w:highlight w:val="none"/>
        </w:rPr>
        <w:t>需要由承包人提供的文件，包括：</w:t>
      </w:r>
      <w:r>
        <w:rPr>
          <w:color w:val="auto"/>
          <w:highlight w:val="none"/>
          <w:u w:val="single"/>
        </w:rPr>
        <w:t xml:space="preserve">  </w:t>
      </w:r>
      <w:r>
        <w:rPr>
          <w:rFonts w:hint="eastAsia"/>
          <w:color w:val="auto"/>
          <w:highlight w:val="none"/>
          <w:u w:val="single"/>
        </w:rPr>
        <w:t>计量计价资料为一式陆份、工程竣工资料为一式陆份、</w:t>
      </w:r>
    </w:p>
    <w:p>
      <w:pPr>
        <w:spacing w:line="360" w:lineRule="auto"/>
        <w:ind w:firstLine="420" w:firstLineChars="200"/>
        <w:jc w:val="left"/>
        <w:rPr>
          <w:color w:val="auto"/>
          <w:highlight w:val="none"/>
          <w:u w:val="single"/>
        </w:rPr>
      </w:pPr>
      <w:r>
        <w:rPr>
          <w:rFonts w:hint="eastAsia"/>
          <w:color w:val="auto"/>
          <w:highlight w:val="none"/>
          <w:u w:val="single"/>
        </w:rPr>
        <w:t>施工组织设计、进度计划等</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承包人提供的文件的期限为：</w:t>
      </w:r>
      <w:r>
        <w:rPr>
          <w:color w:val="auto"/>
          <w:highlight w:val="none"/>
          <w:u w:val="single"/>
        </w:rPr>
        <w:t xml:space="preserve"> </w:t>
      </w:r>
      <w:r>
        <w:rPr>
          <w:rFonts w:hint="eastAsia"/>
          <w:color w:val="auto"/>
          <w:highlight w:val="none"/>
          <w:u w:val="single"/>
        </w:rPr>
        <w:t>图纸会审后15个有效工作日内提供</w:t>
      </w:r>
      <w:r>
        <w:rPr>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承包人提供的文件的数量为：</w:t>
      </w:r>
      <w:r>
        <w:rPr>
          <w:color w:val="auto"/>
          <w:highlight w:val="none"/>
          <w:u w:val="single"/>
        </w:rPr>
        <w:t xml:space="preserve"> </w:t>
      </w:r>
      <w:r>
        <w:rPr>
          <w:rFonts w:hint="eastAsia"/>
          <w:color w:val="auto"/>
          <w:highlight w:val="none"/>
          <w:u w:val="single"/>
        </w:rPr>
        <w:t>陆份</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承包人提供的文件的形式为：</w:t>
      </w:r>
      <w:r>
        <w:rPr>
          <w:rFonts w:hint="eastAsia" w:hAnsi="宋体" w:cs="宋体"/>
          <w:color w:val="auto"/>
          <w:highlight w:val="none"/>
          <w:u w:val="single"/>
        </w:rPr>
        <w:t xml:space="preserve"> 提交发包人驻现场代表和监理人，实行签收记录</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发包人审批承包人文件的期限：</w:t>
      </w:r>
      <w:r>
        <w:rPr>
          <w:color w:val="auto"/>
          <w:highlight w:val="none"/>
          <w:u w:val="single"/>
        </w:rPr>
        <w:t xml:space="preserve"> </w:t>
      </w:r>
      <w:r>
        <w:rPr>
          <w:rFonts w:ascii="宋体" w:hAnsi="宋体"/>
          <w:color w:val="auto"/>
          <w:highlight w:val="none"/>
          <w:u w:val="single"/>
        </w:rPr>
        <w:t>从收到之日起7个有效工作日内给予确认</w:t>
      </w:r>
      <w:r>
        <w:rPr>
          <w:rFonts w:hint="eastAsia" w:ascii="宋体" w:hAnsi="宋体"/>
          <w:color w:val="auto"/>
          <w:highlight w:val="none"/>
          <w:u w:val="single"/>
        </w:rPr>
        <w:t xml:space="preserve">，如有重大异议必须在收到上述资料之日起五天内以书面形式送达承包人，逾期不确认也不提出书面意见的，视为同意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rPr>
          <w:color w:val="auto"/>
          <w:highlight w:val="none"/>
        </w:rPr>
      </w:pPr>
      <w:r>
        <w:rPr>
          <w:rFonts w:hint="eastAsia" w:hAnsi="宋体" w:cs="宋体"/>
          <w:color w:val="auto"/>
          <w:highlight w:val="none"/>
        </w:rPr>
        <w:t>关于现场图纸准备的约定：</w:t>
      </w:r>
      <w:r>
        <w:rPr>
          <w:color w:val="auto"/>
          <w:highlight w:val="none"/>
          <w:u w:val="single"/>
        </w:rPr>
        <w:t xml:space="preserve"> </w:t>
      </w:r>
      <w:r>
        <w:rPr>
          <w:rFonts w:hint="eastAsia"/>
          <w:color w:val="auto"/>
          <w:highlight w:val="none"/>
          <w:u w:val="single"/>
        </w:rPr>
        <w:t>开工前乙方应对施工图纸认真核查，积极配合甲方组织的施工图纸交底及会审工作，在施工单位拿到施工图15个日历天内应指出图纸上缺失及任何不符施工规范、常规或惯例之处，并做好各专业系统管线、交叉作业的综合平衡工作。如因乙方未能在图纸会审提出存在问题，造成施工过程出现返工、其他专业无法施工等情况，由乙方自行承担返工整改费用及工期损失</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220" w:name="_Toc194"/>
      <w:bookmarkStart w:id="221" w:name="_Toc373227698"/>
      <w:bookmarkStart w:id="222" w:name="_Toc19251"/>
      <w:bookmarkStart w:id="223" w:name="_Toc373478345"/>
      <w:bookmarkStart w:id="224" w:name="_Toc407135200"/>
      <w:bookmarkStart w:id="225" w:name="_Toc389065264"/>
      <w:r>
        <w:rPr>
          <w:color w:val="auto"/>
          <w:highlight w:val="none"/>
        </w:rPr>
        <w:t xml:space="preserve">1.7 </w:t>
      </w:r>
      <w:r>
        <w:rPr>
          <w:rFonts w:hint="eastAsia" w:hAnsi="宋体" w:cs="黑体"/>
          <w:color w:val="auto"/>
          <w:highlight w:val="none"/>
        </w:rPr>
        <w:t>联络</w:t>
      </w:r>
      <w:bookmarkEnd w:id="220"/>
      <w:bookmarkEnd w:id="221"/>
      <w:bookmarkEnd w:id="222"/>
      <w:bookmarkEnd w:id="223"/>
      <w:bookmarkEnd w:id="224"/>
      <w:bookmarkEnd w:id="225"/>
    </w:p>
    <w:p>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color w:val="auto"/>
          <w:highlight w:val="none"/>
          <w:u w:val="single"/>
        </w:rPr>
        <w:t xml:space="preserve">  </w:t>
      </w:r>
      <w:r>
        <w:rPr>
          <w:rFonts w:hint="eastAsia"/>
          <w:color w:val="auto"/>
          <w:highlight w:val="none"/>
          <w:u w:val="single"/>
        </w:rPr>
        <w:t>叁</w:t>
      </w:r>
      <w:r>
        <w:rPr>
          <w:color w:val="auto"/>
          <w:highlight w:val="none"/>
          <w:u w:val="single"/>
        </w:rPr>
        <w:t xml:space="preserve">  </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color w:val="auto"/>
          <w:highlight w:val="none"/>
          <w:u w:val="single"/>
        </w:rPr>
        <w:t xml:space="preserve"> </w:t>
      </w:r>
      <w:r>
        <w:rPr>
          <w:rFonts w:hint="eastAsia"/>
          <w:color w:val="auto"/>
          <w:highlight w:val="none"/>
          <w:u w:val="single"/>
        </w:rPr>
        <w:t>发包人办公室</w:t>
      </w:r>
      <w:r>
        <w:rPr>
          <w:color w:val="auto"/>
          <w:highlight w:val="none"/>
          <w:u w:val="single"/>
        </w:rPr>
        <w:t xml:space="preserve">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color w:val="auto"/>
          <w:highlight w:val="none"/>
          <w:u w:val="single"/>
        </w:rPr>
        <w:t xml:space="preserve"> 本工程项目负责人</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color w:val="auto"/>
          <w:highlight w:val="none"/>
          <w:u w:val="single"/>
        </w:rPr>
        <w:t xml:space="preserve"> 项目所在地承包人项目部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color w:val="auto"/>
          <w:highlight w:val="none"/>
          <w:u w:val="single"/>
        </w:rPr>
        <w:t xml:space="preserve"> </w:t>
      </w:r>
      <w:r>
        <w:rPr>
          <w:rFonts w:hint="eastAsia"/>
          <w:color w:val="auto"/>
          <w:highlight w:val="none"/>
          <w:u w:val="single"/>
        </w:rPr>
        <w:t>承包人项目负责人</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color w:val="auto"/>
          <w:highlight w:val="none"/>
          <w:u w:val="single"/>
        </w:rPr>
        <w:t xml:space="preserve"> </w:t>
      </w:r>
      <w:r>
        <w:rPr>
          <w:rFonts w:hint="eastAsia" w:hAnsi="宋体" w:cs="宋体"/>
          <w:color w:val="auto"/>
          <w:kern w:val="0"/>
          <w:highlight w:val="none"/>
          <w:u w:val="single"/>
        </w:rPr>
        <w:t>项</w:t>
      </w:r>
      <w:r>
        <w:rPr>
          <w:color w:val="auto"/>
          <w:highlight w:val="none"/>
          <w:u w:val="single"/>
        </w:rPr>
        <w:t xml:space="preserve">目所在地监理人办公室 </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color w:val="auto"/>
          <w:highlight w:val="none"/>
          <w:u w:val="single"/>
        </w:rPr>
        <w:t xml:space="preserve"> </w:t>
      </w:r>
      <w:r>
        <w:rPr>
          <w:rFonts w:hint="eastAsia"/>
          <w:color w:val="auto"/>
          <w:highlight w:val="none"/>
          <w:u w:val="single"/>
        </w:rPr>
        <w:t>总监理工程师</w:t>
      </w:r>
      <w:r>
        <w:rPr>
          <w:color w:val="auto"/>
          <w:highlight w:val="none"/>
          <w:u w:val="single"/>
        </w:rPr>
        <w:t xml:space="preserve"> </w:t>
      </w:r>
      <w:r>
        <w:rPr>
          <w:rFonts w:hint="eastAsia" w:hAnsi="宋体" w:cs="宋体"/>
          <w:color w:val="auto"/>
          <w:kern w:val="0"/>
          <w:highlight w:val="none"/>
        </w:rPr>
        <w:t>。</w:t>
      </w:r>
    </w:p>
    <w:p>
      <w:pPr>
        <w:pStyle w:val="4"/>
        <w:rPr>
          <w:color w:val="auto"/>
          <w:highlight w:val="none"/>
        </w:rPr>
      </w:pPr>
      <w:bookmarkStart w:id="226" w:name="_Toc28048"/>
      <w:bookmarkStart w:id="227" w:name="_Toc373227699"/>
      <w:bookmarkStart w:id="228" w:name="_Toc407135201"/>
      <w:bookmarkStart w:id="229" w:name="_Toc389065265"/>
      <w:bookmarkStart w:id="230" w:name="_Toc373478346"/>
      <w:bookmarkStart w:id="231" w:name="_Toc17983"/>
      <w:r>
        <w:rPr>
          <w:color w:val="auto"/>
          <w:highlight w:val="none"/>
        </w:rPr>
        <w:t xml:space="preserve">1.10 </w:t>
      </w:r>
      <w:r>
        <w:rPr>
          <w:rFonts w:hint="eastAsia" w:hAnsi="宋体" w:cs="黑体"/>
          <w:color w:val="auto"/>
          <w:highlight w:val="none"/>
        </w:rPr>
        <w:t>交通运输</w:t>
      </w:r>
      <w:bookmarkEnd w:id="226"/>
      <w:bookmarkEnd w:id="227"/>
      <w:bookmarkEnd w:id="228"/>
      <w:bookmarkEnd w:id="229"/>
      <w:bookmarkEnd w:id="230"/>
      <w:bookmarkEnd w:id="231"/>
    </w:p>
    <w:p>
      <w:pPr>
        <w:spacing w:line="360" w:lineRule="auto"/>
        <w:ind w:firstLine="420" w:firstLineChars="200"/>
        <w:rPr>
          <w:color w:val="auto"/>
          <w:highlight w:val="none"/>
        </w:rPr>
      </w:pPr>
      <w:r>
        <w:rPr>
          <w:color w:val="auto"/>
          <w:highlight w:val="none"/>
        </w:rPr>
        <w:t>1</w:t>
      </w:r>
      <w:bookmarkStart w:id="232" w:name="_Toc318581155"/>
      <w:bookmarkStart w:id="233" w:name="_Toc304295521"/>
      <w:bookmarkStart w:id="234" w:name="_Toc300934943"/>
      <w:bookmarkStart w:id="235" w:name="_Toc303539100"/>
      <w:bookmarkStart w:id="236" w:name="_Toc312677986"/>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color w:val="auto"/>
          <w:highlight w:val="none"/>
          <w:u w:val="single"/>
        </w:rPr>
        <w:t xml:space="preserve"> </w:t>
      </w:r>
      <w:r>
        <w:rPr>
          <w:rFonts w:hint="eastAsia" w:ascii="宋体" w:hAnsi="宋体"/>
          <w:color w:val="auto"/>
          <w:highlight w:val="none"/>
          <w:u w:val="single"/>
        </w:rPr>
        <w:t>按通用条款执行</w:t>
      </w:r>
      <w:r>
        <w:rPr>
          <w:color w:val="auto"/>
          <w:highlight w:val="none"/>
          <w:u w:val="single"/>
        </w:rPr>
        <w:t xml:space="preserve"> </w:t>
      </w:r>
      <w:r>
        <w:rPr>
          <w:rFonts w:hint="eastAsia" w:hAnsi="宋体" w:cs="宋体"/>
          <w:color w:val="auto"/>
          <w:highlight w:val="none"/>
        </w:rPr>
        <w:t>。</w:t>
      </w:r>
    </w:p>
    <w:bookmarkEnd w:id="232"/>
    <w:bookmarkEnd w:id="233"/>
    <w:bookmarkEnd w:id="234"/>
    <w:bookmarkEnd w:id="235"/>
    <w:bookmarkEnd w:id="236"/>
    <w:p>
      <w:pPr>
        <w:spacing w:line="360" w:lineRule="auto"/>
        <w:ind w:firstLine="420" w:firstLineChars="200"/>
        <w:jc w:val="left"/>
        <w:rPr>
          <w:color w:val="auto"/>
          <w:highlight w:val="none"/>
        </w:rPr>
      </w:pPr>
      <w:r>
        <w:rPr>
          <w:color w:val="auto"/>
          <w:highlight w:val="none"/>
        </w:rPr>
        <w:t>1</w:t>
      </w:r>
      <w:bookmarkStart w:id="237" w:name="_Toc300934944"/>
      <w:bookmarkStart w:id="238" w:name="_Toc312677987"/>
      <w:bookmarkStart w:id="239" w:name="_Toc304295522"/>
      <w:bookmarkStart w:id="240" w:name="_Toc318581156"/>
      <w:bookmarkStart w:id="241" w:name="_Toc303539101"/>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color w:val="auto"/>
          <w:highlight w:val="none"/>
          <w:u w:val="single"/>
        </w:rPr>
        <w:t xml:space="preserve"> 以施工现场工地临时围墙为界，围墙以外为场外，以</w:t>
      </w:r>
      <w:r>
        <w:rPr>
          <w:rFonts w:hint="eastAsia"/>
          <w:color w:val="auto"/>
          <w:highlight w:val="none"/>
          <w:u w:val="single"/>
        </w:rPr>
        <w:t>内</w:t>
      </w:r>
      <w:r>
        <w:rPr>
          <w:color w:val="auto"/>
          <w:highlight w:val="none"/>
          <w:u w:val="single"/>
        </w:rPr>
        <w:t xml:space="preserve">为场内 </w:t>
      </w:r>
      <w:r>
        <w:rPr>
          <w:rFonts w:hint="eastAsia" w:hAnsi="宋体" w:cs="宋体"/>
          <w:color w:val="auto"/>
          <w:highlight w:val="none"/>
        </w:rPr>
        <w:t>。</w:t>
      </w:r>
    </w:p>
    <w:p>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hAnsi="宋体"/>
          <w:color w:val="auto"/>
          <w:highlight w:val="none"/>
          <w:u w:val="single"/>
        </w:rPr>
        <w:t xml:space="preserve"> </w:t>
      </w:r>
      <w:r>
        <w:rPr>
          <w:rFonts w:hint="eastAsia" w:ascii="宋体" w:hAnsi="宋体" w:cs="宋体"/>
          <w:color w:val="auto"/>
          <w:highlight w:val="none"/>
          <w:u w:val="single"/>
          <w:lang w:bidi="zh-CN"/>
        </w:rPr>
        <w:t>/</w:t>
      </w:r>
      <w:r>
        <w:rPr>
          <w:color w:val="auto"/>
          <w:highlight w:val="none"/>
          <w:u w:val="single"/>
        </w:rPr>
        <w:t xml:space="preserve"> </w:t>
      </w:r>
      <w:r>
        <w:rPr>
          <w:rFonts w:hAnsi="宋体"/>
          <w:color w:val="auto"/>
          <w:highlight w:val="none"/>
        </w:rPr>
        <w:t>。</w:t>
      </w:r>
      <w:bookmarkEnd w:id="237"/>
      <w:bookmarkEnd w:id="238"/>
      <w:bookmarkEnd w:id="239"/>
      <w:bookmarkEnd w:id="240"/>
      <w:bookmarkEnd w:id="241"/>
      <w:bookmarkStart w:id="242" w:name="_Toc318581157"/>
    </w:p>
    <w:p>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color w:val="auto"/>
          <w:highlight w:val="none"/>
          <w:u w:val="single"/>
        </w:rPr>
        <w:t xml:space="preserve"> </w:t>
      </w:r>
      <w:r>
        <w:rPr>
          <w:rFonts w:hint="eastAsia" w:ascii="宋体" w:hAnsi="宋体"/>
          <w:color w:val="auto"/>
          <w:highlight w:val="none"/>
          <w:u w:val="single"/>
        </w:rPr>
        <w:t>承包人</w:t>
      </w:r>
      <w:r>
        <w:rPr>
          <w:color w:val="auto"/>
          <w:highlight w:val="none"/>
          <w:u w:val="single"/>
        </w:rPr>
        <w:t xml:space="preserve"> </w:t>
      </w:r>
      <w:r>
        <w:rPr>
          <w:rFonts w:hint="eastAsia" w:hAnsi="宋体" w:cs="宋体"/>
          <w:color w:val="auto"/>
          <w:highlight w:val="none"/>
        </w:rPr>
        <w:t>承担。</w:t>
      </w:r>
    </w:p>
    <w:bookmarkEnd w:id="242"/>
    <w:p>
      <w:pPr>
        <w:pStyle w:val="4"/>
        <w:rPr>
          <w:color w:val="auto"/>
          <w:highlight w:val="none"/>
        </w:rPr>
      </w:pPr>
      <w:bookmarkStart w:id="243" w:name="_Toc619"/>
      <w:bookmarkStart w:id="244" w:name="_Toc407135202"/>
      <w:bookmarkStart w:id="245" w:name="_Toc31613"/>
      <w:bookmarkStart w:id="246" w:name="_Toc389065266"/>
      <w:bookmarkStart w:id="247" w:name="_Toc373227700"/>
      <w:bookmarkStart w:id="248" w:name="_Toc373478347"/>
      <w:r>
        <w:rPr>
          <w:color w:val="auto"/>
          <w:highlight w:val="none"/>
        </w:rPr>
        <w:t xml:space="preserve">1.11 </w:t>
      </w:r>
      <w:r>
        <w:rPr>
          <w:rFonts w:hint="eastAsia" w:hAnsi="宋体" w:cs="黑体"/>
          <w:color w:val="auto"/>
          <w:highlight w:val="none"/>
        </w:rPr>
        <w:t>知识产权</w:t>
      </w:r>
      <w:bookmarkEnd w:id="243"/>
      <w:bookmarkEnd w:id="244"/>
      <w:bookmarkEnd w:id="245"/>
      <w:bookmarkEnd w:id="246"/>
      <w:bookmarkEnd w:id="247"/>
      <w:bookmarkEnd w:id="248"/>
    </w:p>
    <w:p>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color w:val="auto"/>
          <w:highlight w:val="none"/>
          <w:u w:val="single"/>
        </w:rPr>
        <w:t xml:space="preserve"> </w:t>
      </w:r>
      <w:r>
        <w:rPr>
          <w:rFonts w:hint="eastAsia" w:ascii="宋体" w:hAnsi="宋体"/>
          <w:color w:val="auto"/>
          <w:highlight w:val="none"/>
          <w:u w:val="single" w:color="080000"/>
        </w:rPr>
        <w:t>发包人</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color w:val="auto"/>
          <w:highlight w:val="none"/>
          <w:u w:val="single"/>
        </w:rPr>
        <w:t xml:space="preserve"> 按通用条款执行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color w:val="auto"/>
          <w:highlight w:val="none"/>
          <w:u w:val="single"/>
        </w:rPr>
        <w:t xml:space="preserve"> </w:t>
      </w:r>
      <w:r>
        <w:rPr>
          <w:rFonts w:hint="eastAsia" w:ascii="宋体" w:hAnsi="宋体"/>
          <w:color w:val="auto"/>
          <w:highlight w:val="none"/>
          <w:u w:val="single"/>
        </w:rPr>
        <w:t>承包人</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color w:val="auto"/>
          <w:highlight w:val="none"/>
          <w:u w:val="single"/>
        </w:rPr>
        <w:t xml:space="preserve"> 按通用条款执行 </w:t>
      </w:r>
      <w:r>
        <w:rPr>
          <w:rFonts w:hint="eastAsia" w:hAnsi="宋体" w:cs="宋体"/>
          <w:color w:val="auto"/>
          <w:highlight w:val="none"/>
        </w:rPr>
        <w:t>。</w:t>
      </w:r>
    </w:p>
    <w:p>
      <w:pPr>
        <w:pStyle w:val="243"/>
        <w:spacing w:line="360" w:lineRule="auto"/>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hint="eastAsia"/>
          <w:color w:val="auto"/>
          <w:szCs w:val="21"/>
          <w:highlight w:val="none"/>
          <w:u w:val="single"/>
        </w:rPr>
        <w:t>由承包人承担</w:t>
      </w:r>
      <w:r>
        <w:rPr>
          <w:rFonts w:hint="eastAsia" w:hAnsi="宋体" w:cs="宋体"/>
          <w:color w:val="auto"/>
          <w:kern w:val="0"/>
          <w:szCs w:val="21"/>
          <w:highlight w:val="none"/>
        </w:rPr>
        <w:t>。</w:t>
      </w:r>
    </w:p>
    <w:p>
      <w:pPr>
        <w:pStyle w:val="4"/>
        <w:rPr>
          <w:color w:val="auto"/>
          <w:highlight w:val="none"/>
        </w:rPr>
      </w:pPr>
      <w:bookmarkStart w:id="249" w:name="_Toc4699"/>
      <w:bookmarkStart w:id="250" w:name="_Toc373478348"/>
      <w:bookmarkStart w:id="251" w:name="_Toc389065267"/>
      <w:bookmarkStart w:id="252" w:name="_Toc373227701"/>
      <w:bookmarkStart w:id="253" w:name="_Toc4970"/>
      <w:bookmarkStart w:id="254" w:name="_Toc407135203"/>
      <w:r>
        <w:rPr>
          <w:color w:val="auto"/>
          <w:highlight w:val="none"/>
        </w:rPr>
        <w:t>1.13</w:t>
      </w:r>
      <w:r>
        <w:rPr>
          <w:rFonts w:hint="eastAsia" w:cs="黑体"/>
          <w:color w:val="auto"/>
          <w:highlight w:val="none"/>
        </w:rPr>
        <w:t>工程量清单错误的修正</w:t>
      </w:r>
      <w:bookmarkEnd w:id="249"/>
      <w:bookmarkEnd w:id="250"/>
      <w:bookmarkEnd w:id="251"/>
      <w:bookmarkEnd w:id="252"/>
      <w:bookmarkEnd w:id="253"/>
      <w:bookmarkEnd w:id="254"/>
    </w:p>
    <w:p>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t>☑</w:t>
      </w:r>
      <w:r>
        <w:rPr>
          <w:rFonts w:hint="eastAsia" w:hAnsi="宋体" w:cs="宋体"/>
          <w:color w:val="auto"/>
          <w:highlight w:val="none"/>
          <w:u w:val="single"/>
        </w:rPr>
        <w:t xml:space="preserve">是  </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rPr>
          <w:rFonts w:hAnsi="宋体" w:cs="宋体"/>
          <w:color w:val="auto"/>
          <w:highlight w:val="none"/>
        </w:rPr>
      </w:pPr>
      <w:r>
        <w:rPr>
          <w:rFonts w:hint="eastAsia" w:hAnsi="宋体" w:cs="宋体"/>
          <w:color w:val="auto"/>
          <w:highlight w:val="none"/>
        </w:rPr>
        <w:t>允许调整合同价格的工程量偏差范围及其调整办法：</w:t>
      </w:r>
    </w:p>
    <w:p>
      <w:pPr>
        <w:pStyle w:val="244"/>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r>
        <w:rPr>
          <w:rFonts w:hint="eastAsia" w:hAnsi="宋体" w:cs="宋体"/>
          <w:color w:val="auto"/>
          <w:kern w:val="0"/>
          <w:highlight w:val="none"/>
        </w:rPr>
        <w:t>。</w:t>
      </w:r>
      <w:r>
        <w:rPr>
          <w:rFonts w:hint="eastAsia" w:ascii="宋体" w:hAnsi="宋体"/>
          <w:color w:val="auto"/>
          <w:szCs w:val="21"/>
          <w:highlight w:val="none"/>
          <w:u w:val="single"/>
        </w:rPr>
        <w:t>合同中已有适用于变更工程的价格，按合同已有的价格变更合同价款；合同中只有类似于变更工程的价格，可以参照类似价格变更合同价款；合同中没有使用或类似于变更工程的价格，由建设单位审计部门审定后，按投标时中标价除以招标控制价的下浮比例进行调整确定价格。需要变更的工程（或新增工程），由设计单位、监理单位对变更理由和变更内容提出审核意见后报业主，由业主向相关部门报告，相关部门批复意见后方可实施。变更造价累计超过工程施工合同价中建安工程费用总和的10%的，由设计单位、监理单位及业主提出审核意见，经项目业主或项目委托后，经建设单位集体研究，主要负责人签字后，报相关部门后方可实施。项目变更后总投资超过概算批复的，必须报相关部门同意调整概算方可实施。</w:t>
      </w:r>
    </w:p>
    <w:p>
      <w:pPr>
        <w:pStyle w:val="245"/>
        <w:spacing w:line="360" w:lineRule="auto"/>
        <w:ind w:firstLine="420" w:firstLineChars="200"/>
        <w:rPr>
          <w:color w:val="auto"/>
          <w:highlight w:val="none"/>
        </w:rPr>
      </w:pPr>
      <w:r>
        <w:rPr>
          <w:rFonts w:hint="eastAsia" w:ascii="宋体" w:hAnsi="宋体"/>
          <w:color w:val="auto"/>
          <w:szCs w:val="21"/>
          <w:highlight w:val="none"/>
          <w:u w:val="single"/>
        </w:rPr>
        <w:t>无约定的参照我区现行《建设工程工程量清单计价规范》相关规定执行。</w:t>
      </w:r>
    </w:p>
    <w:p>
      <w:pPr>
        <w:pStyle w:val="3"/>
        <w:rPr>
          <w:color w:val="auto"/>
          <w:highlight w:val="none"/>
        </w:rPr>
      </w:pPr>
      <w:bookmarkStart w:id="255" w:name="_Toc373478349"/>
      <w:bookmarkStart w:id="256" w:name="_Toc373227702"/>
      <w:bookmarkStart w:id="257" w:name="_Toc407135204"/>
      <w:bookmarkStart w:id="258" w:name="_Toc3475"/>
      <w:bookmarkStart w:id="259" w:name="_Toc389065268"/>
      <w:bookmarkStart w:id="260" w:name="_Toc27846"/>
      <w:bookmarkStart w:id="261" w:name="_Toc351203634"/>
      <w:r>
        <w:rPr>
          <w:color w:val="auto"/>
          <w:highlight w:val="none"/>
        </w:rPr>
        <w:t>2</w:t>
      </w:r>
      <w:bookmarkStart w:id="262" w:name="_Toc296503157"/>
      <w:bookmarkStart w:id="263" w:name="_Toc292559867"/>
      <w:bookmarkStart w:id="264" w:name="_Toc292559362"/>
      <w:bookmarkStart w:id="265" w:name="_Toc296890985"/>
      <w:bookmarkStart w:id="266" w:name="_Toc296944496"/>
      <w:bookmarkStart w:id="267" w:name="_Toc297048343"/>
      <w:bookmarkStart w:id="268" w:name="_Toc297120457"/>
      <w:bookmarkStart w:id="269" w:name="_Toc296347156"/>
      <w:bookmarkStart w:id="270" w:name="_Toc296346658"/>
      <w:bookmarkStart w:id="271" w:name="_Toc296891197"/>
      <w:r>
        <w:rPr>
          <w:color w:val="auto"/>
          <w:highlight w:val="none"/>
        </w:rPr>
        <w:t xml:space="preserve">. </w:t>
      </w:r>
      <w:r>
        <w:rPr>
          <w:rFonts w:hint="eastAsia" w:hAnsi="宋体" w:cs="黑体"/>
          <w:color w:val="auto"/>
          <w:highlight w:val="none"/>
        </w:rPr>
        <w:t>发包人</w:t>
      </w:r>
      <w:bookmarkEnd w:id="255"/>
      <w:bookmarkEnd w:id="256"/>
      <w:bookmarkEnd w:id="257"/>
      <w:bookmarkEnd w:id="258"/>
      <w:bookmarkEnd w:id="259"/>
      <w:bookmarkEnd w:id="260"/>
      <w:bookmarkEnd w:id="261"/>
    </w:p>
    <w:bookmarkEnd w:id="262"/>
    <w:bookmarkEnd w:id="263"/>
    <w:bookmarkEnd w:id="264"/>
    <w:bookmarkEnd w:id="265"/>
    <w:bookmarkEnd w:id="266"/>
    <w:bookmarkEnd w:id="267"/>
    <w:bookmarkEnd w:id="268"/>
    <w:bookmarkEnd w:id="269"/>
    <w:bookmarkEnd w:id="270"/>
    <w:bookmarkEnd w:id="271"/>
    <w:p>
      <w:pPr>
        <w:pStyle w:val="4"/>
        <w:rPr>
          <w:color w:val="auto"/>
          <w:highlight w:val="none"/>
        </w:rPr>
      </w:pPr>
      <w:bookmarkStart w:id="272" w:name="_Toc373478350"/>
      <w:bookmarkStart w:id="273" w:name="_Toc7587"/>
      <w:bookmarkStart w:id="274" w:name="_Toc407135205"/>
      <w:bookmarkStart w:id="275" w:name="_Toc373227703"/>
      <w:bookmarkStart w:id="276" w:name="_Toc389065269"/>
      <w:bookmarkStart w:id="277" w:name="_Toc24217"/>
      <w:r>
        <w:rPr>
          <w:color w:val="auto"/>
          <w:highlight w:val="none"/>
        </w:rPr>
        <w:t xml:space="preserve">2.2 </w:t>
      </w:r>
      <w:r>
        <w:rPr>
          <w:rFonts w:hint="eastAsia" w:hAnsi="宋体" w:cs="黑体"/>
          <w:color w:val="auto"/>
          <w:highlight w:val="none"/>
        </w:rPr>
        <w:t>发包人代表</w:t>
      </w:r>
      <w:bookmarkEnd w:id="272"/>
      <w:bookmarkEnd w:id="273"/>
      <w:bookmarkEnd w:id="274"/>
      <w:bookmarkEnd w:id="275"/>
      <w:bookmarkEnd w:id="276"/>
      <w:bookmarkEnd w:id="277"/>
    </w:p>
    <w:p>
      <w:pPr>
        <w:spacing w:line="360" w:lineRule="auto"/>
        <w:ind w:firstLine="420" w:firstLineChars="200"/>
        <w:rPr>
          <w:color w:val="auto"/>
          <w:highlight w:val="none"/>
        </w:rPr>
      </w:pPr>
      <w:r>
        <w:rPr>
          <w:rFonts w:hint="eastAsia" w:hAnsi="宋体" w:cs="宋体"/>
          <w:color w:val="auto"/>
          <w:highlight w:val="none"/>
        </w:rPr>
        <w:t>发包人代表：</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身份证号：</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发包人对发包人代表的授权范围如下：</w:t>
      </w:r>
      <w:r>
        <w:rPr>
          <w:color w:val="auto"/>
          <w:highlight w:val="none"/>
          <w:u w:val="single"/>
        </w:rPr>
        <w:t>按授权范围</w:t>
      </w:r>
      <w:r>
        <w:rPr>
          <w:rFonts w:hint="eastAsia"/>
          <w:color w:val="auto"/>
          <w:highlight w:val="none"/>
          <w:u w:val="single"/>
        </w:rPr>
        <w:t>负责</w:t>
      </w:r>
      <w:r>
        <w:rPr>
          <w:color w:val="auto"/>
          <w:highlight w:val="none"/>
          <w:u w:val="single"/>
        </w:rPr>
        <w:t>处理合同履行过程中与发包人有关的事宜：对本工程质量</w:t>
      </w:r>
      <w:r>
        <w:rPr>
          <w:rFonts w:hint="eastAsia"/>
          <w:color w:val="auto"/>
          <w:highlight w:val="none"/>
          <w:u w:val="single"/>
        </w:rPr>
        <w:t>、</w:t>
      </w:r>
      <w:r>
        <w:rPr>
          <w:color w:val="auto"/>
          <w:highlight w:val="none"/>
          <w:u w:val="single"/>
        </w:rPr>
        <w:t>工期、</w:t>
      </w:r>
      <w:r>
        <w:rPr>
          <w:rFonts w:hint="eastAsia"/>
          <w:color w:val="auto"/>
          <w:highlight w:val="none"/>
          <w:u w:val="single"/>
        </w:rPr>
        <w:t>进</w:t>
      </w:r>
      <w:r>
        <w:rPr>
          <w:color w:val="auto"/>
          <w:highlight w:val="none"/>
          <w:u w:val="single"/>
        </w:rPr>
        <w:t>度、安全、文明施工及材料和设备</w:t>
      </w:r>
      <w:r>
        <w:rPr>
          <w:rFonts w:hint="eastAsia"/>
          <w:color w:val="auto"/>
          <w:highlight w:val="none"/>
          <w:u w:val="single"/>
        </w:rPr>
        <w:t>进</w:t>
      </w:r>
      <w:r>
        <w:rPr>
          <w:color w:val="auto"/>
          <w:highlight w:val="none"/>
          <w:u w:val="single"/>
        </w:rPr>
        <w:t>场</w:t>
      </w:r>
      <w:r>
        <w:rPr>
          <w:rFonts w:hint="eastAsia"/>
          <w:color w:val="auto"/>
          <w:highlight w:val="none"/>
          <w:u w:val="single"/>
        </w:rPr>
        <w:t>进</w:t>
      </w:r>
      <w:r>
        <w:rPr>
          <w:color w:val="auto"/>
          <w:highlight w:val="none"/>
          <w:u w:val="single"/>
        </w:rPr>
        <w:t>行监督检</w:t>
      </w:r>
      <w:r>
        <w:rPr>
          <w:rFonts w:hint="eastAsia"/>
          <w:color w:val="auto"/>
          <w:highlight w:val="none"/>
          <w:u w:val="single"/>
        </w:rPr>
        <w:t>查</w:t>
      </w:r>
      <w:r>
        <w:rPr>
          <w:color w:val="auto"/>
          <w:highlight w:val="none"/>
          <w:u w:val="single"/>
        </w:rPr>
        <w:t>；对涉及工期延长、设计变更和现场收方及签证等影响工程造价的相关事项</w:t>
      </w:r>
      <w:r>
        <w:rPr>
          <w:rFonts w:hint="eastAsia"/>
          <w:color w:val="auto"/>
          <w:highlight w:val="none"/>
          <w:u w:val="single"/>
          <w:lang w:eastAsia="zh-CN"/>
        </w:rPr>
        <w:t>作出</w:t>
      </w:r>
      <w:r>
        <w:rPr>
          <w:color w:val="auto"/>
          <w:highlight w:val="none"/>
          <w:u w:val="single"/>
        </w:rPr>
        <w:t xml:space="preserve">处理；办理中间交工工程验收手续；协调施工现场及外部有关事宜 </w:t>
      </w:r>
      <w:r>
        <w:rPr>
          <w:rFonts w:hint="eastAsia" w:hAnsi="宋体" w:cs="宋体"/>
          <w:color w:val="auto"/>
          <w:highlight w:val="none"/>
        </w:rPr>
        <w:t>。</w:t>
      </w:r>
    </w:p>
    <w:p>
      <w:pPr>
        <w:pStyle w:val="4"/>
        <w:rPr>
          <w:color w:val="auto"/>
          <w:highlight w:val="none"/>
        </w:rPr>
      </w:pPr>
      <w:bookmarkStart w:id="278" w:name="_Toc389065270"/>
      <w:bookmarkStart w:id="279" w:name="_Toc13086"/>
      <w:bookmarkStart w:id="280" w:name="_Toc373227704"/>
      <w:bookmarkStart w:id="281" w:name="_Toc407135206"/>
      <w:bookmarkStart w:id="282" w:name="_Toc373478351"/>
      <w:bookmarkStart w:id="283" w:name="_Toc6196"/>
      <w:r>
        <w:rPr>
          <w:color w:val="auto"/>
          <w:highlight w:val="none"/>
        </w:rPr>
        <w:t xml:space="preserve">2.4 </w:t>
      </w:r>
      <w:r>
        <w:rPr>
          <w:rFonts w:hint="eastAsia" w:cs="黑体"/>
          <w:color w:val="auto"/>
          <w:highlight w:val="none"/>
        </w:rPr>
        <w:t>施工现场、施工条件和基础资料的提供</w:t>
      </w:r>
      <w:bookmarkEnd w:id="278"/>
      <w:bookmarkEnd w:id="279"/>
      <w:bookmarkEnd w:id="280"/>
      <w:bookmarkEnd w:id="281"/>
      <w:bookmarkEnd w:id="282"/>
      <w:bookmarkEnd w:id="283"/>
    </w:p>
    <w:p>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color w:val="auto"/>
          <w:highlight w:val="none"/>
          <w:u w:val="single"/>
        </w:rPr>
        <w:t>开工前7</w:t>
      </w:r>
      <w:r>
        <w:rPr>
          <w:rFonts w:hint="eastAsia"/>
          <w:color w:val="auto"/>
          <w:highlight w:val="none"/>
          <w:u w:val="single"/>
        </w:rPr>
        <w:t>天</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r>
        <w:rPr>
          <w:color w:val="auto"/>
          <w:highlight w:val="none"/>
        </w:rPr>
        <w:t>（1）</w:t>
      </w:r>
      <w:r>
        <w:rPr>
          <w:color w:val="auto"/>
          <w:highlight w:val="none"/>
          <w:u w:val="single"/>
        </w:rPr>
        <w:t>协调工地周围区间道路的畅通，满足承包人施工所需的施工、材料加工、仓库及施工人员现场居住临时搭建的场地；（2）将施工用水、电力、通讯线路等施工所必需的条件接至施工现场附近；（3）发包人负责协调办理临时用地和占道许可，开工前确保通往施工现场的公共道路畅通；（4）开工前，负责与市政及有关部门摸清地下管线</w:t>
      </w:r>
      <w:r>
        <w:rPr>
          <w:rFonts w:hint="eastAsia"/>
          <w:color w:val="auto"/>
          <w:highlight w:val="none"/>
          <w:u w:val="single"/>
        </w:rPr>
        <w:t>，</w:t>
      </w:r>
      <w:r>
        <w:rPr>
          <w:color w:val="auto"/>
          <w:highlight w:val="none"/>
          <w:u w:val="single"/>
        </w:rPr>
        <w:t>书面交底给承包人，并对资料的真实性、准确性负责，但承包人不得因为这些资料与实际不符为由要求索赔，</w:t>
      </w:r>
      <w:r>
        <w:rPr>
          <w:rFonts w:hint="eastAsia"/>
          <w:color w:val="auto"/>
          <w:highlight w:val="none"/>
          <w:u w:val="single"/>
        </w:rPr>
        <w:t>且</w:t>
      </w:r>
      <w:r>
        <w:rPr>
          <w:color w:val="auto"/>
          <w:highlight w:val="none"/>
          <w:u w:val="single"/>
        </w:rPr>
        <w:t>必要时承包人应自费进一步探明</w:t>
      </w:r>
      <w:r>
        <w:rPr>
          <w:rFonts w:hint="eastAsia"/>
          <w:color w:val="auto"/>
          <w:highlight w:val="none"/>
          <w:u w:val="single"/>
        </w:rPr>
        <w:t>。</w:t>
      </w:r>
      <w:r>
        <w:rPr>
          <w:color w:val="auto"/>
          <w:highlight w:val="none"/>
          <w:u w:val="single"/>
        </w:rPr>
        <w:t>承包人对地上（下）管线负有保护责任，如</w:t>
      </w:r>
      <w:r>
        <w:rPr>
          <w:rFonts w:hint="eastAsia"/>
          <w:color w:val="auto"/>
          <w:highlight w:val="none"/>
          <w:u w:val="single"/>
        </w:rPr>
        <w:t>承包人责任造成</w:t>
      </w:r>
      <w:r>
        <w:rPr>
          <w:color w:val="auto"/>
          <w:highlight w:val="none"/>
          <w:u w:val="single"/>
        </w:rPr>
        <w:t>有损坏由承包人负责维修并承担</w:t>
      </w:r>
      <w:r>
        <w:rPr>
          <w:rFonts w:hint="eastAsia"/>
          <w:color w:val="auto"/>
          <w:highlight w:val="none"/>
          <w:u w:val="single"/>
        </w:rPr>
        <w:t>的</w:t>
      </w:r>
      <w:r>
        <w:rPr>
          <w:color w:val="auto"/>
          <w:highlight w:val="none"/>
          <w:u w:val="single"/>
        </w:rPr>
        <w:t xml:space="preserve">费用；（5）开工前协调处理施工现场周围地下管线和邻近建筑物、构筑物（含文物保护建筑）、古树名木的保护工作，以及地上附着物处理；（6）发包人负责开工前协调处理好围墙之外的相邻单位及居住户的关系，如产生纠纷，承包人有积极配合发包人的义务，由此导致工程无法施工的，工期顺延  </w:t>
      </w:r>
      <w:r>
        <w:rPr>
          <w:rFonts w:hint="eastAsia" w:hAnsi="宋体" w:cs="宋体"/>
          <w:color w:val="auto"/>
          <w:highlight w:val="none"/>
        </w:rPr>
        <w:t>。</w:t>
      </w:r>
    </w:p>
    <w:p>
      <w:pPr>
        <w:pStyle w:val="4"/>
        <w:rPr>
          <w:color w:val="auto"/>
          <w:highlight w:val="none"/>
        </w:rPr>
      </w:pPr>
      <w:bookmarkStart w:id="284" w:name="_Toc373478352"/>
      <w:bookmarkStart w:id="285" w:name="_Toc407135207"/>
      <w:bookmarkStart w:id="286" w:name="_Toc373227705"/>
      <w:bookmarkStart w:id="287" w:name="_Toc389065271"/>
      <w:bookmarkStart w:id="288" w:name="_Toc25550"/>
      <w:bookmarkStart w:id="289" w:name="_Toc296"/>
      <w:r>
        <w:rPr>
          <w:color w:val="auto"/>
          <w:highlight w:val="none"/>
        </w:rPr>
        <w:t xml:space="preserve">2.5 </w:t>
      </w:r>
      <w:r>
        <w:rPr>
          <w:rFonts w:hint="eastAsia" w:cs="黑体"/>
          <w:color w:val="auto"/>
          <w:highlight w:val="none"/>
        </w:rPr>
        <w:t>资金来源证明及支付担保</w:t>
      </w:r>
      <w:bookmarkEnd w:id="284"/>
      <w:bookmarkEnd w:id="285"/>
      <w:bookmarkEnd w:id="286"/>
      <w:bookmarkEnd w:id="287"/>
      <w:bookmarkEnd w:id="288"/>
      <w:bookmarkEnd w:id="289"/>
    </w:p>
    <w:p>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发包人是否提供支付担保：</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rFonts w:hAnsi="宋体"/>
          <w:color w:val="auto"/>
          <w:highlight w:val="none"/>
        </w:rPr>
      </w:pPr>
      <w:r>
        <w:rPr>
          <w:rFonts w:hint="eastAsia" w:hAnsi="宋体" w:cs="宋体"/>
          <w:color w:val="auto"/>
          <w:highlight w:val="none"/>
        </w:rPr>
        <w:t>发包人提供支付担保的形式：</w:t>
      </w:r>
      <w:r>
        <w:rPr>
          <w:color w:val="auto"/>
          <w:highlight w:val="none"/>
          <w:u w:val="single"/>
        </w:rPr>
        <w:t xml:space="preserve"> 见合同附件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发包人提供的支付担保格式见合同附件</w:t>
      </w:r>
      <w:r>
        <w:rPr>
          <w:rFonts w:hint="eastAsia" w:hAnsi="宋体"/>
          <w:color w:val="auto"/>
          <w:highlight w:val="none"/>
        </w:rPr>
        <w:t>9</w:t>
      </w:r>
      <w:r>
        <w:rPr>
          <w:rFonts w:hint="eastAsia" w:hAnsi="宋体" w:cs="宋体"/>
          <w:color w:val="auto"/>
          <w:highlight w:val="none"/>
        </w:rPr>
        <w:t>。</w:t>
      </w:r>
    </w:p>
    <w:p>
      <w:pPr>
        <w:pStyle w:val="3"/>
        <w:rPr>
          <w:color w:val="auto"/>
          <w:highlight w:val="none"/>
        </w:rPr>
      </w:pPr>
      <w:bookmarkStart w:id="290" w:name="_Toc389065272"/>
      <w:bookmarkStart w:id="291" w:name="_Toc373478353"/>
      <w:bookmarkStart w:id="292" w:name="_Toc351203635"/>
      <w:bookmarkStart w:id="293" w:name="_Toc373227706"/>
      <w:bookmarkStart w:id="294" w:name="_Toc407135208"/>
      <w:bookmarkStart w:id="295" w:name="_Toc6026"/>
      <w:bookmarkStart w:id="296" w:name="_Toc23666"/>
      <w:r>
        <w:rPr>
          <w:color w:val="auto"/>
          <w:highlight w:val="none"/>
        </w:rPr>
        <w:t>3</w:t>
      </w:r>
      <w:bookmarkStart w:id="297" w:name="_Toc296346659"/>
      <w:bookmarkStart w:id="298" w:name="_Toc296347157"/>
      <w:bookmarkStart w:id="299" w:name="_Toc292559363"/>
      <w:bookmarkStart w:id="300" w:name="_Toc292559868"/>
      <w:bookmarkStart w:id="301" w:name="_Toc296503158"/>
      <w:bookmarkStart w:id="302" w:name="_Toc296944497"/>
      <w:bookmarkStart w:id="303" w:name="_Toc297048344"/>
      <w:bookmarkStart w:id="304" w:name="_Toc296890986"/>
      <w:bookmarkStart w:id="305" w:name="_Toc296891198"/>
      <w:bookmarkStart w:id="306" w:name="_Toc297120458"/>
      <w:r>
        <w:rPr>
          <w:color w:val="auto"/>
          <w:highlight w:val="none"/>
        </w:rPr>
        <w:t xml:space="preserve">. </w:t>
      </w:r>
      <w:r>
        <w:rPr>
          <w:rFonts w:hint="eastAsia" w:hAnsi="宋体" w:cs="黑体"/>
          <w:color w:val="auto"/>
          <w:highlight w:val="none"/>
        </w:rPr>
        <w:t>承包人</w:t>
      </w:r>
      <w:bookmarkEnd w:id="290"/>
      <w:bookmarkEnd w:id="291"/>
      <w:bookmarkEnd w:id="292"/>
      <w:bookmarkEnd w:id="293"/>
      <w:bookmarkEnd w:id="294"/>
      <w:bookmarkEnd w:id="295"/>
      <w:bookmarkEnd w:id="296"/>
    </w:p>
    <w:bookmarkEnd w:id="297"/>
    <w:bookmarkEnd w:id="298"/>
    <w:bookmarkEnd w:id="299"/>
    <w:bookmarkEnd w:id="300"/>
    <w:bookmarkEnd w:id="301"/>
    <w:bookmarkEnd w:id="302"/>
    <w:bookmarkEnd w:id="303"/>
    <w:bookmarkEnd w:id="304"/>
    <w:bookmarkEnd w:id="305"/>
    <w:bookmarkEnd w:id="306"/>
    <w:p>
      <w:pPr>
        <w:pStyle w:val="4"/>
        <w:rPr>
          <w:color w:val="auto"/>
          <w:highlight w:val="none"/>
        </w:rPr>
      </w:pPr>
      <w:bookmarkStart w:id="307" w:name="_Toc373478354"/>
      <w:bookmarkStart w:id="308" w:name="_Toc407135209"/>
      <w:bookmarkStart w:id="309" w:name="_Toc3858"/>
      <w:bookmarkStart w:id="310" w:name="_Toc373227707"/>
      <w:bookmarkStart w:id="311" w:name="_Toc21018"/>
      <w:bookmarkStart w:id="312" w:name="_Toc389065273"/>
      <w:r>
        <w:rPr>
          <w:color w:val="auto"/>
          <w:highlight w:val="none"/>
        </w:rPr>
        <w:t xml:space="preserve">3.1 </w:t>
      </w:r>
      <w:r>
        <w:rPr>
          <w:rFonts w:hint="eastAsia" w:cs="黑体"/>
          <w:color w:val="auto"/>
          <w:highlight w:val="none"/>
        </w:rPr>
        <w:t>承包人的一般义务</w:t>
      </w:r>
      <w:bookmarkEnd w:id="307"/>
      <w:bookmarkEnd w:id="308"/>
      <w:bookmarkEnd w:id="309"/>
      <w:bookmarkEnd w:id="310"/>
      <w:bookmarkEnd w:id="311"/>
      <w:bookmarkEnd w:id="312"/>
    </w:p>
    <w:p>
      <w:pPr>
        <w:spacing w:line="360" w:lineRule="auto"/>
        <w:ind w:firstLine="420" w:firstLineChars="200"/>
        <w:jc w:val="left"/>
        <w:rPr>
          <w:rFonts w:hAnsi="宋体"/>
          <w:color w:val="auto"/>
          <w:highlight w:val="non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p>
    <w:p>
      <w:pPr>
        <w:spacing w:line="360" w:lineRule="auto"/>
        <w:ind w:firstLine="420" w:firstLineChars="200"/>
        <w:jc w:val="left"/>
        <w:rPr>
          <w:rFonts w:hAnsi="宋体" w:cs="宋体"/>
          <w:color w:val="auto"/>
          <w:highlight w:val="none"/>
        </w:rPr>
      </w:pPr>
      <w:r>
        <w:rPr>
          <w:rFonts w:hint="eastAsia" w:ascii="宋体" w:hAnsi="宋体"/>
          <w:color w:val="auto"/>
          <w:highlight w:val="none"/>
          <w:u w:val="single"/>
        </w:rPr>
        <w:t>承包人向发包人提交完整竣工图纸及竣工图电子文档、</w:t>
      </w:r>
      <w:r>
        <w:rPr>
          <w:rFonts w:hint="eastAsia" w:ascii="宋体" w:hAnsi="宋体"/>
          <w:bCs/>
          <w:color w:val="auto"/>
          <w:highlight w:val="none"/>
          <w:u w:val="single"/>
        </w:rPr>
        <w:t>工程施工技术资料、工程质量资料、工程检验评定资料、建筑工程施工质量验收资料，项目所在地建设主管部门规定的其他应交资料；工程结算报告</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rFonts w:hint="eastAsia" w:ascii="宋体" w:hAnsi="宋体"/>
          <w:color w:val="auto"/>
          <w:highlight w:val="none"/>
          <w:u w:val="single"/>
        </w:rPr>
        <w:t xml:space="preserve"> 6套 </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ascii="宋体" w:hAnsi="宋体"/>
          <w:color w:val="auto"/>
          <w:highlight w:val="none"/>
          <w:u w:val="single"/>
        </w:rPr>
        <w:t>由承包人承担</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rFonts w:hint="eastAsia" w:ascii="宋体" w:hAnsi="宋体"/>
          <w:color w:val="auto"/>
          <w:highlight w:val="none"/>
          <w:u w:val="single"/>
        </w:rPr>
        <w:t>竣工验收后一个月内</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ascii="宋体" w:hAnsi="宋体"/>
          <w:color w:val="auto"/>
          <w:highlight w:val="none"/>
          <w:u w:val="single"/>
        </w:rPr>
        <w:t>书面及电子文档、</w:t>
      </w:r>
      <w:r>
        <w:rPr>
          <w:rFonts w:hint="eastAsia" w:ascii="宋体" w:hAnsi="宋体"/>
          <w:bCs/>
          <w:color w:val="auto"/>
          <w:highlight w:val="none"/>
          <w:u w:val="single"/>
        </w:rPr>
        <w:t>现场交验给发包人代表人，代表人书面签收</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pPr>
        <w:spacing w:line="360" w:lineRule="auto"/>
        <w:ind w:firstLine="420" w:firstLineChars="200"/>
        <w:rPr>
          <w:color w:val="auto"/>
          <w:kern w:val="0"/>
          <w:highlight w:val="none"/>
        </w:rPr>
      </w:pPr>
      <w:r>
        <w:rPr>
          <w:color w:val="auto"/>
          <w:kern w:val="0"/>
          <w:highlight w:val="none"/>
          <w:u w:val="single"/>
        </w:rPr>
        <w:t xml:space="preserve">   </w:t>
      </w:r>
      <w:r>
        <w:rPr>
          <w:rFonts w:hint="eastAsia"/>
          <w:color w:val="auto"/>
          <w:kern w:val="0"/>
          <w:highlight w:val="none"/>
          <w:u w:val="single"/>
        </w:rPr>
        <w:t>/</w:t>
      </w:r>
      <w:r>
        <w:rPr>
          <w:color w:val="auto"/>
          <w:kern w:val="0"/>
          <w:highlight w:val="none"/>
          <w:u w:val="single"/>
        </w:rPr>
        <w:t xml:space="preserve">        </w:t>
      </w:r>
      <w:r>
        <w:rPr>
          <w:rFonts w:hint="eastAsia" w:hAnsi="宋体" w:cs="宋体"/>
          <w:color w:val="auto"/>
          <w:kern w:val="0"/>
          <w:highlight w:val="none"/>
        </w:rPr>
        <w:t>。</w:t>
      </w:r>
    </w:p>
    <w:p>
      <w:pPr>
        <w:pStyle w:val="4"/>
        <w:rPr>
          <w:rFonts w:eastAsia="黑体"/>
          <w:color w:val="auto"/>
          <w:highlight w:val="none"/>
        </w:rPr>
      </w:pPr>
      <w:bookmarkStart w:id="313" w:name="_Toc373478355"/>
      <w:bookmarkStart w:id="314" w:name="_Toc407135210"/>
      <w:bookmarkStart w:id="315" w:name="_Toc373227708"/>
      <w:bookmarkStart w:id="316" w:name="_Toc389065274"/>
      <w:bookmarkStart w:id="317" w:name="_Toc15509"/>
      <w:bookmarkStart w:id="318" w:name="_Toc996"/>
      <w:r>
        <w:rPr>
          <w:color w:val="auto"/>
          <w:highlight w:val="none"/>
        </w:rPr>
        <w:t xml:space="preserve">3.2 </w:t>
      </w:r>
      <w:r>
        <w:rPr>
          <w:rFonts w:hint="eastAsia" w:hAnsi="宋体" w:cs="黑体"/>
          <w:color w:val="auto"/>
          <w:highlight w:val="none"/>
        </w:rPr>
        <w:t>项目</w:t>
      </w:r>
      <w:bookmarkEnd w:id="313"/>
      <w:bookmarkEnd w:id="314"/>
      <w:bookmarkEnd w:id="315"/>
      <w:bookmarkEnd w:id="316"/>
      <w:r>
        <w:rPr>
          <w:rFonts w:hint="eastAsia" w:hAnsi="宋体" w:cs="黑体"/>
          <w:color w:val="auto"/>
          <w:highlight w:val="none"/>
        </w:rPr>
        <w:t>负责人</w:t>
      </w:r>
      <w:bookmarkEnd w:id="317"/>
      <w:bookmarkEnd w:id="318"/>
    </w:p>
    <w:p>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项目负责人：</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hAnsi="宋体"/>
          <w:color w:val="auto"/>
          <w:highlight w:val="none"/>
          <w:u w:val="single"/>
        </w:rPr>
        <w:t xml:space="preserve"> 与投标文件约定一致</w:t>
      </w:r>
      <w:r>
        <w:rPr>
          <w:color w:val="auto"/>
          <w:highlight w:val="none"/>
          <w:u w:val="single"/>
        </w:rPr>
        <w:t xml:space="preserve">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身份证号：</w:t>
      </w:r>
      <w:r>
        <w:rPr>
          <w:rFonts w:hint="eastAsia" w:hAnsi="宋体"/>
          <w:color w:val="auto"/>
          <w:highlight w:val="none"/>
          <w:u w:val="single"/>
        </w:rPr>
        <w:t xml:space="preserve"> 与投标文件约定一致</w:t>
      </w:r>
      <w:r>
        <w:rPr>
          <w:color w:val="auto"/>
          <w:highlight w:val="none"/>
          <w:u w:val="single"/>
        </w:rPr>
        <w:t xml:space="preserve">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建造师执业资格等级：</w:t>
      </w:r>
      <w:r>
        <w:rPr>
          <w:rFonts w:hint="eastAsia" w:hAnsi="宋体"/>
          <w:color w:val="auto"/>
          <w:highlight w:val="none"/>
          <w:u w:val="single"/>
        </w:rPr>
        <w:t xml:space="preserve"> 与投标文件约定一致</w:t>
      </w:r>
      <w:r>
        <w:rPr>
          <w:color w:val="auto"/>
          <w:highlight w:val="none"/>
          <w:u w:val="single"/>
        </w:rPr>
        <w:t xml:space="preserve">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建造师注册证书号：</w:t>
      </w:r>
      <w:r>
        <w:rPr>
          <w:rFonts w:hint="eastAsia" w:hAnsi="宋体"/>
          <w:color w:val="auto"/>
          <w:highlight w:val="none"/>
          <w:u w:val="single"/>
        </w:rPr>
        <w:t xml:space="preserve"> 与投标文件约定一致</w:t>
      </w:r>
      <w:r>
        <w:rPr>
          <w:color w:val="auto"/>
          <w:highlight w:val="none"/>
          <w:u w:val="single"/>
        </w:rPr>
        <w:t xml:space="preserve">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建造师执业印章号：</w:t>
      </w:r>
      <w:r>
        <w:rPr>
          <w:rFonts w:hint="eastAsia" w:hAnsi="宋体"/>
          <w:color w:val="auto"/>
          <w:highlight w:val="none"/>
          <w:u w:val="single"/>
        </w:rPr>
        <w:t xml:space="preserve"> 与投标文件约定一致</w:t>
      </w:r>
      <w:r>
        <w:rPr>
          <w:color w:val="auto"/>
          <w:highlight w:val="none"/>
          <w:u w:val="single"/>
        </w:rPr>
        <w:t xml:space="preserve"> </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安全生产考核合格证书号</w:t>
      </w:r>
      <w:r>
        <w:rPr>
          <w:rFonts w:hint="eastAsia" w:hAnsi="宋体"/>
          <w:color w:val="auto"/>
          <w:highlight w:val="none"/>
          <w:u w:val="single"/>
        </w:rPr>
        <w:t xml:space="preserve"> 与投标文件约定一致</w:t>
      </w:r>
      <w:r>
        <w:rPr>
          <w:color w:val="auto"/>
          <w:highlight w:val="none"/>
          <w:u w:val="single"/>
        </w:rPr>
        <w:t xml:space="preserve">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通信地址：</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color w:val="auto"/>
          <w:highlight w:val="none"/>
          <w:u w:val="single"/>
        </w:rPr>
        <w:t xml:space="preserve"> </w:t>
      </w:r>
      <w:r>
        <w:rPr>
          <w:rFonts w:hAnsi="宋体"/>
          <w:color w:val="auto"/>
          <w:highlight w:val="none"/>
          <w:u w:val="single"/>
        </w:rPr>
        <w:t></w:t>
      </w:r>
      <w:r>
        <w:rPr>
          <w:rFonts w:hAnsi="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承包人对项目负责人的授权范围如下：</w:t>
      </w:r>
      <w:r>
        <w:rPr>
          <w:rFonts w:hint="eastAsia" w:hAnsi="宋体" w:cs="宋体"/>
          <w:color w:val="auto"/>
          <w:highlight w:val="none"/>
          <w:u w:val="single"/>
        </w:rPr>
        <w:t>项目负责人仅限于工程的现场施工管理，但未经承包人盖章同意，不得以承包人名义向外采购材料设备、租用建筑周转材料、</w:t>
      </w:r>
      <w:r>
        <w:rPr>
          <w:rFonts w:hint="eastAsia" w:hAnsi="宋体" w:cs="宋体"/>
          <w:color w:val="auto"/>
          <w:highlight w:val="none"/>
          <w:u w:val="single"/>
          <w:lang w:eastAsia="zh-CN"/>
        </w:rPr>
        <w:t>雇佣</w:t>
      </w:r>
      <w:r>
        <w:rPr>
          <w:rFonts w:hint="eastAsia" w:hAnsi="宋体" w:cs="宋体"/>
          <w:color w:val="auto"/>
          <w:highlight w:val="none"/>
          <w:u w:val="single"/>
        </w:rPr>
        <w:t>劳动力、签订分包合同等从事一切为承包人设立义务或责任的行为。项目负责人不得向发包人收取或委托支付任何款项</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kern w:val="0"/>
          <w:highlight w:val="none"/>
        </w:rPr>
        <w:t>关于项目负责人每月在施工现场的时间要求：</w:t>
      </w:r>
      <w:r>
        <w:rPr>
          <w:rFonts w:hint="eastAsia"/>
          <w:color w:val="auto"/>
          <w:highlight w:val="none"/>
          <w:u w:val="single"/>
        </w:rPr>
        <w:t>项目负责人</w:t>
      </w:r>
      <w:r>
        <w:rPr>
          <w:color w:val="auto"/>
          <w:highlight w:val="none"/>
          <w:u w:val="single"/>
        </w:rPr>
        <w:t>每月在岗时间不少于22日</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（1）项目负责人必须与承包人投标时所承诺的人员一致，并在根据通用合同条款规定开工日期前到任。项目负责人经承包人授权后代表承包人负责履行合同，未经发包人书面许可，承包人不得更换项目负责人。</w:t>
      </w:r>
    </w:p>
    <w:p>
      <w:pPr>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2）项目负责人应是承包人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pPr>
        <w:spacing w:line="360" w:lineRule="auto"/>
        <w:ind w:firstLine="420" w:firstLineChars="200"/>
        <w:jc w:val="left"/>
        <w:rPr>
          <w:rFonts w:hAnsi="宋体" w:cs="宋体"/>
          <w:color w:val="auto"/>
          <w:kern w:val="0"/>
          <w:szCs w:val="21"/>
          <w:highlight w:val="none"/>
        </w:rPr>
      </w:pPr>
      <w:r>
        <w:rPr>
          <w:rFonts w:hint="eastAsia" w:hAnsi="宋体" w:cs="宋体"/>
          <w:color w:val="auto"/>
          <w:kern w:val="0"/>
          <w:szCs w:val="21"/>
          <w:highlight w:val="none"/>
        </w:rPr>
        <w:t>（3）项目负责人应常驻施工现场，且每月在施工现场时间不得少于专用合同条款约定的天数。项目负责人不得同时担任其他项目的项目负责人。项目负责人确需离开施工现场时，应事先通知监理人及发包人，并取得发包人的书面同意。项目负责人的通知中应当载明临时代行其职责的人员的执业资格、管理经验等资料，该人员应具备履行相应职责的能力。</w:t>
      </w:r>
    </w:p>
    <w:p>
      <w:pPr>
        <w:spacing w:line="360" w:lineRule="auto"/>
        <w:ind w:firstLine="420" w:firstLineChars="200"/>
        <w:rPr>
          <w:color w:val="auto"/>
          <w:kern w:val="0"/>
          <w:highlight w:val="none"/>
        </w:rPr>
      </w:pPr>
      <w:r>
        <w:rPr>
          <w:rFonts w:hint="eastAsia" w:hAnsi="宋体" w:cs="宋体"/>
          <w:color w:val="auto"/>
          <w:kern w:val="0"/>
          <w:highlight w:val="none"/>
        </w:rPr>
        <w:t>承包人未提交劳动合同，以及没有为项目负责人缴纳社会保险证明的违约责任：</w:t>
      </w:r>
      <w:r>
        <w:rPr>
          <w:color w:val="auto"/>
          <w:highlight w:val="none"/>
          <w:u w:val="single"/>
        </w:rPr>
        <w:t xml:space="preserve"> </w:t>
      </w:r>
      <w:r>
        <w:rPr>
          <w:rFonts w:hint="eastAsia"/>
          <w:color w:val="auto"/>
          <w:highlight w:val="none"/>
          <w:u w:val="single"/>
        </w:rPr>
        <w:t>项目负责人</w:t>
      </w:r>
      <w:r>
        <w:rPr>
          <w:color w:val="auto"/>
          <w:highlight w:val="none"/>
          <w:u w:val="single"/>
        </w:rPr>
        <w:t>不能履职的一切损失由承包人承担</w:t>
      </w:r>
      <w:r>
        <w:rPr>
          <w:rFonts w:hint="eastAsia" w:hAnsi="宋体"/>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kern w:val="0"/>
          <w:highlight w:val="none"/>
        </w:rPr>
        <w:t>项目负责人未经批准，擅自离开施工现场的违约责任：</w:t>
      </w:r>
      <w:r>
        <w:rPr>
          <w:rFonts w:hint="eastAsia" w:hAnsi="宋体" w:cs="宋体"/>
          <w:color w:val="auto"/>
          <w:highlight w:val="none"/>
          <w:u w:val="single"/>
        </w:rPr>
        <w:t>项目负责人每月在岗带班时间不得少于当月施工时间的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。未经发包人同意或正当理由，项目负责人每月在岗带班时间少于当月施工时间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color w:val="auto"/>
          <w:highlight w:val="none"/>
          <w:u w:val="single"/>
        </w:rPr>
        <w:t>2000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color w:val="auto"/>
          <w:highlight w:val="none"/>
          <w:u w:val="single"/>
        </w:rPr>
        <w:t xml:space="preserve">  </w:t>
      </w:r>
      <w:r>
        <w:rPr>
          <w:rFonts w:hint="eastAsia" w:hAnsi="宋体" w:cs="宋体"/>
          <w:color w:val="auto"/>
          <w:highlight w:val="none"/>
        </w:rPr>
        <w:t>。</w:t>
      </w:r>
    </w:p>
    <w:p>
      <w:pPr>
        <w:pStyle w:val="243"/>
        <w:spacing w:line="360" w:lineRule="auto"/>
        <w:ind w:firstLine="420" w:firstLineChars="200"/>
        <w:rPr>
          <w:rFonts w:hAnsi="宋体" w:cs="宋体"/>
          <w:color w:val="auto"/>
          <w:highlight w:val="none"/>
          <w:u w:val="single"/>
        </w:rPr>
      </w:pPr>
      <w:r>
        <w:rPr>
          <w:color w:val="auto"/>
          <w:highlight w:val="none"/>
        </w:rPr>
        <w:t xml:space="preserve">3.2.3 </w:t>
      </w:r>
      <w:r>
        <w:rPr>
          <w:rFonts w:hint="eastAsia" w:hAnsi="宋体" w:cs="宋体"/>
          <w:color w:val="auto"/>
          <w:highlight w:val="none"/>
        </w:rPr>
        <w:t>承包人擅自更换项目负责人的违约责任：</w:t>
      </w:r>
      <w:r>
        <w:rPr>
          <w:rFonts w:hint="eastAsia" w:hAnsi="宋体" w:cs="宋体"/>
          <w:color w:val="auto"/>
          <w:highlight w:val="none"/>
          <w:u w:val="single"/>
        </w:rPr>
        <w:t>承包人项目负责人必须与承包人投标时所承诺的人员一致，并在</w:t>
      </w:r>
      <w:r>
        <w:rPr>
          <w:color w:val="auto"/>
          <w:highlight w:val="none"/>
          <w:u w:val="single"/>
        </w:rPr>
        <w:t xml:space="preserve">  </w:t>
      </w:r>
      <w:r>
        <w:rPr>
          <w:rFonts w:hint="eastAsia" w:hAnsi="宋体" w:cs="宋体"/>
          <w:color w:val="auto"/>
          <w:highlight w:val="none"/>
          <w:u w:val="single"/>
        </w:rPr>
        <w:t>（开工日期）</w:t>
      </w:r>
      <w:r>
        <w:rPr>
          <w:color w:val="auto"/>
          <w:highlight w:val="none"/>
          <w:u w:val="single"/>
        </w:rPr>
        <w:t xml:space="preserve">  </w:t>
      </w:r>
      <w:r>
        <w:rPr>
          <w:rFonts w:hint="eastAsia" w:hAnsi="宋体" w:cs="宋体"/>
          <w:color w:val="auto"/>
          <w:highlight w:val="none"/>
          <w:u w:val="single"/>
        </w:rPr>
        <w:t>前到任。在监理人向承包人颁发</w:t>
      </w:r>
      <w:r>
        <w:rPr>
          <w:color w:val="auto"/>
          <w:highlight w:val="none"/>
          <w:u w:val="single"/>
        </w:rPr>
        <w:t xml:space="preserve">  </w:t>
      </w:r>
      <w:r>
        <w:rPr>
          <w:rFonts w:hint="eastAsia" w:hAnsi="宋体" w:cs="宋体"/>
          <w:color w:val="auto"/>
          <w:highlight w:val="none"/>
          <w:u w:val="single"/>
        </w:rPr>
        <w:t>（竣工证明材料名称）</w:t>
      </w:r>
      <w:r>
        <w:rPr>
          <w:color w:val="auto"/>
          <w:highlight w:val="none"/>
          <w:u w:val="single"/>
        </w:rPr>
        <w:t xml:space="preserve">  </w:t>
      </w:r>
      <w:r>
        <w:rPr>
          <w:rFonts w:hint="eastAsia" w:hAnsi="宋体" w:cs="宋体"/>
          <w:color w:val="auto"/>
          <w:highlight w:val="none"/>
          <w:u w:val="single"/>
        </w:rPr>
        <w:t>前，项目负责人不得同时兼任其他任何项目的项目负责人</w:t>
      </w:r>
      <w:r>
        <w:rPr>
          <w:rFonts w:hint="eastAsia" w:hAnsi="宋体" w:cs="宋体"/>
          <w:color w:val="auto"/>
          <w:kern w:val="0"/>
          <w:highlight w:val="none"/>
          <w:u w:val="single"/>
        </w:rPr>
        <w:t>（符合桂建管</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color w:val="auto"/>
          <w:kern w:val="0"/>
          <w:highlight w:val="none"/>
          <w:u w:val="single"/>
        </w:rPr>
        <w:t>17</w:t>
      </w:r>
      <w:r>
        <w:rPr>
          <w:rFonts w:hint="eastAsia" w:hAnsi="宋体" w:cs="宋体"/>
          <w:color w:val="auto"/>
          <w:kern w:val="0"/>
          <w:highlight w:val="none"/>
          <w:u w:val="single"/>
        </w:rPr>
        <w:t>号和</w:t>
      </w:r>
      <w:r>
        <w:rPr>
          <w:rFonts w:hint="eastAsia" w:hAnsi="宋体" w:cs="宋体"/>
          <w:color w:val="auto"/>
          <w:highlight w:val="none"/>
          <w:u w:val="single"/>
        </w:rPr>
        <w:t>桂建管﹝</w:t>
      </w:r>
      <w:r>
        <w:rPr>
          <w:color w:val="auto"/>
          <w:highlight w:val="none"/>
          <w:u w:val="single"/>
        </w:rPr>
        <w:t>2014</w:t>
      </w:r>
      <w:r>
        <w:rPr>
          <w:rFonts w:hint="eastAsia" w:hAnsi="宋体" w:cs="宋体"/>
          <w:color w:val="auto"/>
          <w:highlight w:val="none"/>
          <w:u w:val="single"/>
        </w:rPr>
        <w:t>﹞</w:t>
      </w:r>
      <w:r>
        <w:rPr>
          <w:color w:val="auto"/>
          <w:highlight w:val="none"/>
          <w:u w:val="single"/>
        </w:rPr>
        <w:t>25</w:t>
      </w:r>
      <w:r>
        <w:rPr>
          <w:rFonts w:hint="eastAsia" w:hAnsi="宋体" w:cs="宋体"/>
          <w:color w:val="auto"/>
          <w:highlight w:val="none"/>
          <w:u w:val="single"/>
        </w:rPr>
        <w:t>号</w:t>
      </w:r>
      <w:r>
        <w:rPr>
          <w:rFonts w:hint="eastAsia" w:hAnsi="宋体" w:cs="宋体"/>
          <w:color w:val="auto"/>
          <w:kern w:val="0"/>
          <w:highlight w:val="none"/>
          <w:u w:val="single"/>
        </w:rPr>
        <w:t>文除外）</w:t>
      </w:r>
      <w:r>
        <w:rPr>
          <w:rFonts w:hint="eastAsia" w:hAnsi="宋体" w:cs="宋体"/>
          <w:color w:val="auto"/>
          <w:highlight w:val="none"/>
          <w:u w:val="single"/>
        </w:rPr>
        <w:t>。承包人按承诺书指定项目负责人及技术负责人负责此项目，未经发包人同意不可更换。</w:t>
      </w:r>
    </w:p>
    <w:p>
      <w:pPr>
        <w:pStyle w:val="243"/>
        <w:spacing w:line="360" w:lineRule="auto"/>
        <w:ind w:firstLine="420" w:firstLineChars="200"/>
        <w:rPr>
          <w:color w:val="auto"/>
          <w:highlight w:val="none"/>
        </w:rPr>
      </w:pPr>
      <w:r>
        <w:rPr>
          <w:rFonts w:hint="eastAsia"/>
          <w:color w:val="auto"/>
          <w:highlight w:val="none"/>
        </w:rPr>
        <w:t>（1）</w:t>
      </w:r>
      <w:r>
        <w:rPr>
          <w:color w:val="auto"/>
          <w:highlight w:val="none"/>
        </w:rPr>
        <w:t>如果承包人未经发包人书面同意擅自更换承包书中指定的</w:t>
      </w:r>
      <w:r>
        <w:rPr>
          <w:rFonts w:hint="eastAsia"/>
          <w:color w:val="auto"/>
          <w:highlight w:val="none"/>
        </w:rPr>
        <w:t>项目负责人</w:t>
      </w:r>
      <w:r>
        <w:rPr>
          <w:color w:val="auto"/>
          <w:highlight w:val="none"/>
        </w:rPr>
        <w:t>和技术负责人，每更换壹人处以</w:t>
      </w:r>
      <w:r>
        <w:rPr>
          <w:rFonts w:hint="eastAsia"/>
          <w:color w:val="auto"/>
          <w:highlight w:val="none"/>
        </w:rPr>
        <w:t>30000</w:t>
      </w:r>
      <w:r>
        <w:rPr>
          <w:color w:val="auto"/>
          <w:highlight w:val="none"/>
        </w:rPr>
        <w:t>元罚款，擅自更换标书中明确的项目管理班子其他主要成员的每更换壹人处以</w:t>
      </w:r>
      <w:r>
        <w:rPr>
          <w:rFonts w:hint="eastAsia"/>
          <w:color w:val="auto"/>
          <w:highlight w:val="none"/>
        </w:rPr>
        <w:t>10000</w:t>
      </w:r>
      <w:r>
        <w:rPr>
          <w:color w:val="auto"/>
          <w:highlight w:val="none"/>
        </w:rPr>
        <w:t>元罚款</w:t>
      </w:r>
      <w:r>
        <w:rPr>
          <w:rFonts w:hint="eastAsia"/>
          <w:color w:val="auto"/>
          <w:highlight w:val="none"/>
        </w:rPr>
        <w:t>。</w:t>
      </w:r>
    </w:p>
    <w:p>
      <w:pPr>
        <w:pStyle w:val="243"/>
        <w:spacing w:line="360" w:lineRule="auto"/>
        <w:ind w:firstLine="420" w:firstLineChars="200"/>
        <w:rPr>
          <w:color w:val="auto"/>
          <w:highlight w:val="none"/>
        </w:rPr>
      </w:pPr>
      <w:r>
        <w:rPr>
          <w:rFonts w:hint="eastAsia"/>
          <w:color w:val="auto"/>
          <w:highlight w:val="none"/>
        </w:rPr>
        <w:t>（2）</w:t>
      </w:r>
      <w:r>
        <w:rPr>
          <w:color w:val="auto"/>
          <w:highlight w:val="none"/>
        </w:rPr>
        <w:t>如原</w:t>
      </w:r>
      <w:r>
        <w:rPr>
          <w:rFonts w:hint="eastAsia"/>
          <w:color w:val="auto"/>
          <w:highlight w:val="none"/>
        </w:rPr>
        <w:t>项目负责人</w:t>
      </w:r>
      <w:r>
        <w:rPr>
          <w:color w:val="auto"/>
          <w:highlight w:val="none"/>
        </w:rPr>
        <w:t>及技术负责人客观上己经无法继续履行职责的，承包人必须书面请示发包人，并出具无法继续履行职责相应证明，经发包人同意方可更换。若承包人擅自更换客观上己经无法继续履行职责的</w:t>
      </w:r>
      <w:r>
        <w:rPr>
          <w:rFonts w:hint="eastAsia"/>
          <w:color w:val="auto"/>
          <w:highlight w:val="none"/>
        </w:rPr>
        <w:t>项目负责人</w:t>
      </w:r>
      <w:r>
        <w:rPr>
          <w:color w:val="auto"/>
          <w:highlight w:val="none"/>
        </w:rPr>
        <w:t>及技术负责人，发包人有权要求审核确认承包人更换的</w:t>
      </w:r>
      <w:r>
        <w:rPr>
          <w:rFonts w:hint="eastAsia"/>
          <w:color w:val="auto"/>
          <w:highlight w:val="none"/>
        </w:rPr>
        <w:t>项目负责人</w:t>
      </w:r>
      <w:r>
        <w:rPr>
          <w:color w:val="auto"/>
          <w:highlight w:val="none"/>
        </w:rPr>
        <w:t>，承包人应承担违约金</w:t>
      </w:r>
      <w:r>
        <w:rPr>
          <w:rFonts w:hint="eastAsia"/>
          <w:color w:val="auto"/>
          <w:highlight w:val="none"/>
        </w:rPr>
        <w:t>10000</w:t>
      </w:r>
      <w:r>
        <w:rPr>
          <w:color w:val="auto"/>
          <w:highlight w:val="none"/>
        </w:rPr>
        <w:t>元，由此增加的费用和（或）延误的工期由承包人承担。</w:t>
      </w:r>
    </w:p>
    <w:p>
      <w:pPr>
        <w:pStyle w:val="243"/>
        <w:spacing w:line="360" w:lineRule="auto"/>
        <w:ind w:firstLine="420" w:firstLineChars="200"/>
        <w:rPr>
          <w:color w:val="auto"/>
          <w:highlight w:val="none"/>
        </w:rPr>
      </w:pPr>
      <w:r>
        <w:rPr>
          <w:color w:val="auto"/>
          <w:highlight w:val="none"/>
        </w:rPr>
        <w:t>（3）未经发包人同意承包人擅自更换承诺书指定</w:t>
      </w:r>
      <w:r>
        <w:rPr>
          <w:rFonts w:hint="eastAsia"/>
          <w:color w:val="auto"/>
          <w:highlight w:val="none"/>
        </w:rPr>
        <w:t>项目负责人</w:t>
      </w:r>
      <w:r>
        <w:rPr>
          <w:color w:val="auto"/>
          <w:highlight w:val="none"/>
        </w:rPr>
        <w:t>、技术负责人、项目班子主要人员</w:t>
      </w:r>
      <w:r>
        <w:rPr>
          <w:rFonts w:hint="eastAsia"/>
          <w:color w:val="auto"/>
          <w:highlight w:val="none"/>
        </w:rPr>
        <w:t>，</w:t>
      </w:r>
      <w:r>
        <w:rPr>
          <w:color w:val="auto"/>
          <w:highlight w:val="none"/>
        </w:rPr>
        <w:t>且拒绝执行发包人要求其调回原项目班子主要人员的，以违约论处，发包人有权终止合同并将承包人清</w:t>
      </w:r>
      <w:r>
        <w:rPr>
          <w:rFonts w:hint="eastAsia"/>
          <w:color w:val="auto"/>
          <w:highlight w:val="none"/>
        </w:rPr>
        <w:t>出</w:t>
      </w:r>
      <w:r>
        <w:rPr>
          <w:color w:val="auto"/>
          <w:highlight w:val="none"/>
        </w:rPr>
        <w:t>施工现场。</w:t>
      </w:r>
    </w:p>
    <w:p>
      <w:pPr>
        <w:pStyle w:val="243"/>
        <w:spacing w:line="360" w:lineRule="auto"/>
        <w:ind w:firstLine="420" w:firstLineChars="200"/>
        <w:rPr>
          <w:rFonts w:hAnsi="宋体"/>
          <w:color w:val="auto"/>
          <w:highlight w:val="none"/>
        </w:rPr>
      </w:pPr>
      <w:r>
        <w:rPr>
          <w:color w:val="auto"/>
          <w:highlight w:val="none"/>
        </w:rPr>
        <w:t>（4）发包人提出要求承包人更换其认为不称职的</w:t>
      </w:r>
      <w:r>
        <w:rPr>
          <w:rFonts w:hint="eastAsia"/>
          <w:color w:val="auto"/>
          <w:highlight w:val="none"/>
        </w:rPr>
        <w:t>项目负责人</w:t>
      </w:r>
      <w:r>
        <w:rPr>
          <w:color w:val="auto"/>
          <w:highlight w:val="none"/>
        </w:rPr>
        <w:t>、项目技术负责人和项目部其他管理和技术人员，承包人必须无条件更换。</w:t>
      </w:r>
    </w:p>
    <w:p>
      <w:pPr>
        <w:spacing w:line="360" w:lineRule="auto"/>
        <w:ind w:firstLine="420" w:firstLineChars="200"/>
        <w:rPr>
          <w:rFonts w:hAnsi="宋体" w:cs="宋体"/>
          <w:color w:val="auto"/>
          <w:highlight w:val="none"/>
        </w:rPr>
      </w:pPr>
      <w:r>
        <w:rPr>
          <w:color w:val="auto"/>
          <w:highlight w:val="none"/>
        </w:rPr>
        <w:t xml:space="preserve">3.2.4 </w:t>
      </w:r>
      <w:r>
        <w:rPr>
          <w:rFonts w:hint="eastAsia" w:hAnsi="宋体" w:cs="宋体"/>
          <w:color w:val="auto"/>
          <w:highlight w:val="none"/>
        </w:rPr>
        <w:t>承包人无正当理由拒绝更换项目负责人的违约责任：</w:t>
      </w:r>
      <w:r>
        <w:rPr>
          <w:rFonts w:hint="eastAsia" w:hAnsi="宋体" w:cs="宋体"/>
          <w:color w:val="auto"/>
          <w:highlight w:val="none"/>
          <w:u w:val="single"/>
        </w:rPr>
        <w:t>因承包人项目负责人不称职，发包人要求调换而未及时在7个工作日内调换的，视为承包人违约，必须向发包人交纳违约金1000</w:t>
      </w:r>
      <w:r>
        <w:rPr>
          <w:rFonts w:hint="eastAsia"/>
          <w:color w:val="auto"/>
          <w:highlight w:val="none"/>
          <w:u w:val="single"/>
        </w:rPr>
        <w:t>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有权书面通知承包人更换其认为不称职的项目负责人，通知中应当载明要求更换的理由。承包人应在接到更换通知后7天内向发包人提出书面的改进报告。发包人收到改进报告后仍要求更换的，承包人应在接到第二次更换通知的14天内进行更换，并将新任命的项目负责人的注册执业资格、管理经验等资料书面通知发包人。继续履行</w:t>
      </w:r>
      <w:r>
        <w:rPr>
          <w:color w:val="auto"/>
          <w:kern w:val="0"/>
          <w:highlight w:val="none"/>
        </w:rPr>
        <w:t>3.2</w:t>
      </w:r>
      <w:r>
        <w:rPr>
          <w:rFonts w:hint="eastAsia" w:hAnsi="宋体" w:cs="宋体"/>
          <w:color w:val="auto"/>
          <w:highlight w:val="none"/>
        </w:rPr>
        <w:t>项目负责人条例约定。</w:t>
      </w:r>
    </w:p>
    <w:p>
      <w:pPr>
        <w:pStyle w:val="4"/>
        <w:rPr>
          <w:color w:val="auto"/>
          <w:highlight w:val="none"/>
        </w:rPr>
      </w:pPr>
      <w:bookmarkStart w:id="319" w:name="_Toc407135211"/>
      <w:bookmarkStart w:id="320" w:name="_Toc389065275"/>
      <w:bookmarkStart w:id="321" w:name="_Toc373478356"/>
      <w:bookmarkStart w:id="322" w:name="_Toc12508"/>
      <w:bookmarkStart w:id="323" w:name="_Toc7232"/>
      <w:bookmarkStart w:id="324" w:name="_Toc373227709"/>
      <w:r>
        <w:rPr>
          <w:color w:val="auto"/>
          <w:highlight w:val="none"/>
        </w:rPr>
        <w:t xml:space="preserve">3.3 </w:t>
      </w:r>
      <w:r>
        <w:rPr>
          <w:rFonts w:hint="eastAsia" w:hAnsi="宋体" w:cs="黑体"/>
          <w:color w:val="auto"/>
          <w:highlight w:val="none"/>
        </w:rPr>
        <w:t>承包人人员</w:t>
      </w:r>
      <w:bookmarkEnd w:id="319"/>
      <w:bookmarkEnd w:id="320"/>
      <w:bookmarkEnd w:id="321"/>
      <w:bookmarkEnd w:id="322"/>
      <w:bookmarkEnd w:id="323"/>
      <w:bookmarkEnd w:id="324"/>
    </w:p>
    <w:p>
      <w:pPr>
        <w:pStyle w:val="243"/>
        <w:spacing w:line="360" w:lineRule="auto"/>
        <w:ind w:firstLine="420" w:firstLineChars="200"/>
        <w:rPr>
          <w:rFonts w:hAnsi="宋体"/>
          <w:color w:val="auto"/>
          <w:highlight w:val="none"/>
        </w:rPr>
      </w:pPr>
      <w:bookmarkStart w:id="325" w:name="_Toc389065276"/>
      <w:bookmarkStart w:id="326" w:name="_Toc407135212"/>
      <w:bookmarkStart w:id="327" w:name="_Toc373227710"/>
      <w:bookmarkStart w:id="328" w:name="_Toc373478357"/>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int="eastAsia" w:hAnsi="宋体"/>
          <w:color w:val="auto"/>
          <w:highlight w:val="none"/>
        </w:rPr>
        <w:t>6</w:t>
      </w:r>
      <w:r>
        <w:rPr>
          <w:rFonts w:hint="eastAsia" w:hAnsi="宋体" w:cs="宋体"/>
          <w:color w:val="auto"/>
          <w:highlight w:val="none"/>
        </w:rPr>
        <w:t>）的期限：</w:t>
      </w:r>
    </w:p>
    <w:p>
      <w:pPr>
        <w:pStyle w:val="243"/>
        <w:spacing w:line="360" w:lineRule="auto"/>
        <w:rPr>
          <w:color w:val="auto"/>
          <w:highlight w:val="none"/>
        </w:rPr>
      </w:pPr>
      <w:r>
        <w:rPr>
          <w:color w:val="auto"/>
          <w:highlight w:val="none"/>
          <w:u w:val="single"/>
        </w:rPr>
        <w:t xml:space="preserve"> 开工前2天  </w:t>
      </w:r>
      <w:r>
        <w:rPr>
          <w:rFonts w:hint="eastAsia" w:hAnsi="宋体" w:cs="宋体"/>
          <w:color w:val="auto"/>
          <w:highlight w:val="none"/>
        </w:rPr>
        <w:t>。</w:t>
      </w:r>
    </w:p>
    <w:p>
      <w:pPr>
        <w:pStyle w:val="243"/>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hAnsi="宋体" w:cs="宋体"/>
          <w:color w:val="auto"/>
          <w:highlight w:val="none"/>
          <w:u w:val="single"/>
        </w:rPr>
        <w:t>因承包人主要施工管理人员不称职，发包人要求调换而无正当理由拒绝撤换或未及时调换的，视为承包人违约，必须向发包人交纳违约金，处罚标准：技术负责人20000元/人•次（人民币）；专业工程师20000元/人•次（人民币）</w:t>
      </w:r>
      <w:r>
        <w:rPr>
          <w:rFonts w:hint="eastAsia" w:hAnsi="宋体" w:cs="宋体"/>
          <w:color w:val="auto"/>
          <w:highlight w:val="none"/>
        </w:rPr>
        <w:t>。</w:t>
      </w:r>
    </w:p>
    <w:p>
      <w:pPr>
        <w:pStyle w:val="243"/>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color w:val="auto"/>
          <w:highlight w:val="none"/>
          <w:u w:val="single"/>
        </w:rPr>
        <w:t xml:space="preserve"> </w:t>
      </w:r>
      <w:r>
        <w:rPr>
          <w:rFonts w:hint="eastAsia" w:ascii="宋体" w:hAnsi="宋体"/>
          <w:color w:val="auto"/>
          <w:highlight w:val="none"/>
          <w:u w:val="single"/>
        </w:rPr>
        <w:t>由总监理工程师批准，发包人认可后方可离开</w:t>
      </w:r>
      <w:r>
        <w:rPr>
          <w:color w:val="auto"/>
          <w:highlight w:val="none"/>
          <w:u w:val="single"/>
        </w:rPr>
        <w:t xml:space="preserve">  </w:t>
      </w:r>
      <w:r>
        <w:rPr>
          <w:rFonts w:hint="eastAsia" w:hAnsi="宋体" w:cs="宋体"/>
          <w:color w:val="auto"/>
          <w:highlight w:val="none"/>
        </w:rPr>
        <w:t>。</w:t>
      </w:r>
    </w:p>
    <w:p>
      <w:pPr>
        <w:pStyle w:val="243"/>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hAnsi="宋体" w:cs="宋体"/>
          <w:color w:val="auto"/>
          <w:highlight w:val="none"/>
          <w:u w:val="single"/>
        </w:rPr>
        <w:t>如果承包人未经发包人书面同意擅自更换承诺书中指定的项目负责人和技术负责人，每更换壹人处以20000元罚款。专职安全员及其承诺的其它在场管理人员未经发包人书面同意不准擅自更换，擅自更换专职安全员处20000元/人•次（人民币）违约金；擅自更换其它在场管理人员处20000元/人•次（人民币）违约金</w:t>
      </w:r>
      <w:r>
        <w:rPr>
          <w:rFonts w:hint="eastAsia" w:hAnsi="宋体" w:cs="宋体"/>
          <w:color w:val="auto"/>
          <w:highlight w:val="none"/>
        </w:rPr>
        <w:t>。</w:t>
      </w:r>
    </w:p>
    <w:p>
      <w:pPr>
        <w:pStyle w:val="243"/>
        <w:spacing w:line="360" w:lineRule="auto"/>
        <w:ind w:firstLine="420" w:firstLineChars="200"/>
        <w:rPr>
          <w:rFonts w:hAnsi="宋体" w:cs="宋体"/>
          <w:color w:val="auto"/>
          <w:highlight w:val="none"/>
        </w:rPr>
      </w:pPr>
      <w:r>
        <w:rPr>
          <w:rFonts w:hint="eastAsia" w:hAnsi="宋体" w:cs="宋体"/>
          <w:color w:val="auto"/>
          <w:highlight w:val="none"/>
        </w:rPr>
        <w:t>承包人主要施工管理人员擅自离开施工现场的违约责任：</w:t>
      </w:r>
      <w:r>
        <w:rPr>
          <w:rFonts w:hint="eastAsia" w:hAnsi="宋体" w:cs="宋体"/>
          <w:color w:val="auto"/>
          <w:highlight w:val="none"/>
          <w:u w:val="single"/>
        </w:rPr>
        <w:t>未经发包人同意，项目技术负责人擅自离岗的，视为承包人违约，发包人有权处违约金5000元/人•次（人民币）；未经发包人同意，专职安全员擅自离岗的，视为承包人违约，发包人有权处违约金5000元/人•次（人民币）；其它在场管理人员擅自离岗的，视为承包人违约，发包人有权处违约金1000元/人•次（人民币）</w:t>
      </w:r>
      <w:r>
        <w:rPr>
          <w:rFonts w:hint="eastAsia" w:hAnsi="宋体" w:cs="宋体"/>
          <w:color w:val="auto"/>
          <w:highlight w:val="none"/>
        </w:rPr>
        <w:t>。</w:t>
      </w:r>
    </w:p>
    <w:p>
      <w:pPr>
        <w:pStyle w:val="229"/>
        <w:ind w:firstLine="552"/>
        <w:rPr>
          <w:color w:val="auto"/>
          <w:highlight w:val="none"/>
        </w:rPr>
      </w:pPr>
      <w:r>
        <w:rPr>
          <w:rFonts w:hint="eastAsia"/>
          <w:color w:val="auto"/>
          <w:highlight w:val="none"/>
        </w:rPr>
        <w:t xml:space="preserve"> 3.3.6发包人有权将违反以下条款的承包人员在 24 小时调离本工程范围，并要求承包人支付 1000 元/人/次的违约金；同时，承包人应在 48 小时以内批准的合格的人员代替上述调离的任何人员。</w:t>
      </w:r>
    </w:p>
    <w:p>
      <w:pPr>
        <w:pStyle w:val="229"/>
        <w:ind w:firstLine="552"/>
        <w:rPr>
          <w:color w:val="auto"/>
          <w:highlight w:val="none"/>
        </w:rPr>
      </w:pPr>
      <w:r>
        <w:rPr>
          <w:color w:val="auto"/>
          <w:highlight w:val="none"/>
        </w:rPr>
        <w:t>⑴需持证上岗的岗位，无上岗证者；</w:t>
      </w:r>
    </w:p>
    <w:p>
      <w:pPr>
        <w:pStyle w:val="229"/>
        <w:ind w:firstLine="552"/>
        <w:rPr>
          <w:color w:val="auto"/>
          <w:highlight w:val="none"/>
        </w:rPr>
      </w:pPr>
      <w:r>
        <w:rPr>
          <w:color w:val="auto"/>
          <w:highlight w:val="none"/>
        </w:rPr>
        <w:t>⑵专业水平达不到岗位要求、工作责任心不强的施工人员；</w:t>
      </w:r>
    </w:p>
    <w:p>
      <w:pPr>
        <w:pStyle w:val="229"/>
        <w:ind w:firstLine="552"/>
        <w:rPr>
          <w:color w:val="auto"/>
          <w:highlight w:val="none"/>
        </w:rPr>
      </w:pPr>
      <w:r>
        <w:rPr>
          <w:color w:val="auto"/>
          <w:highlight w:val="none"/>
        </w:rPr>
        <w:t>⑶现场实际人员与施工组织设计或者与甲方批准的不符者；</w:t>
      </w:r>
    </w:p>
    <w:p>
      <w:pPr>
        <w:pStyle w:val="229"/>
        <w:ind w:firstLine="552"/>
        <w:rPr>
          <w:color w:val="auto"/>
          <w:highlight w:val="none"/>
        </w:rPr>
      </w:pPr>
      <w:r>
        <w:rPr>
          <w:color w:val="auto"/>
          <w:highlight w:val="none"/>
        </w:rPr>
        <w:t>⑷不能积极配合监理、发包人正常工作（包括销售）及各分包商人员工作者；</w:t>
      </w:r>
    </w:p>
    <w:p>
      <w:pPr>
        <w:pStyle w:val="229"/>
        <w:ind w:firstLine="552"/>
        <w:rPr>
          <w:color w:val="auto"/>
          <w:highlight w:val="none"/>
        </w:rPr>
      </w:pPr>
      <w:r>
        <w:rPr>
          <w:color w:val="auto"/>
          <w:highlight w:val="none"/>
        </w:rPr>
        <w:t>⑸对施工进度及质量达不到合同要求负有责任的施工人员；分部分项工程经两次验收仍不能满足要求的主要责任者。</w:t>
      </w:r>
    </w:p>
    <w:p>
      <w:pPr>
        <w:pStyle w:val="4"/>
        <w:rPr>
          <w:color w:val="auto"/>
          <w:highlight w:val="none"/>
        </w:rPr>
      </w:pPr>
      <w:bookmarkStart w:id="329" w:name="_Toc23454"/>
      <w:bookmarkStart w:id="330" w:name="_Toc28317"/>
      <w:r>
        <w:rPr>
          <w:color w:val="auto"/>
          <w:highlight w:val="none"/>
        </w:rPr>
        <w:t>3</w:t>
      </w:r>
      <w:bookmarkStart w:id="331" w:name="_Toc296503159"/>
      <w:bookmarkStart w:id="332" w:name="_Toc297216151"/>
      <w:bookmarkStart w:id="333" w:name="_Toc304295523"/>
      <w:bookmarkStart w:id="334" w:name="_Toc312677988"/>
      <w:bookmarkStart w:id="335" w:name="_Toc292559869"/>
      <w:bookmarkStart w:id="336" w:name="_Toc303539102"/>
      <w:bookmarkStart w:id="337" w:name="_Toc296944498"/>
      <w:bookmarkStart w:id="338" w:name="_Toc292559364"/>
      <w:bookmarkStart w:id="339" w:name="_Toc296891199"/>
      <w:bookmarkStart w:id="340" w:name="_Toc297123492"/>
      <w:bookmarkStart w:id="341" w:name="_Toc300934945"/>
      <w:bookmarkStart w:id="342" w:name="_Toc296346660"/>
      <w:bookmarkStart w:id="343" w:name="_Toc297048345"/>
      <w:bookmarkStart w:id="344" w:name="_Toc297120459"/>
      <w:bookmarkStart w:id="345" w:name="_Toc296890987"/>
      <w:bookmarkStart w:id="346" w:name="_Toc296347158"/>
      <w:r>
        <w:rPr>
          <w:color w:val="auto"/>
          <w:highlight w:val="none"/>
        </w:rPr>
        <w:t xml:space="preserve">.5 </w:t>
      </w:r>
      <w:r>
        <w:rPr>
          <w:rFonts w:hint="eastAsia" w:hAnsi="宋体" w:cs="黑体"/>
          <w:color w:val="auto"/>
          <w:highlight w:val="none"/>
        </w:rPr>
        <w:t>分包</w:t>
      </w:r>
      <w:bookmarkEnd w:id="325"/>
      <w:bookmarkEnd w:id="326"/>
      <w:bookmarkEnd w:id="327"/>
      <w:bookmarkEnd w:id="328"/>
      <w:bookmarkEnd w:id="329"/>
      <w:bookmarkEnd w:id="330"/>
    </w: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Pr>
        <w:spacing w:line="360" w:lineRule="auto"/>
        <w:ind w:firstLine="420" w:firstLineChars="200"/>
        <w:rPr>
          <w:color w:val="auto"/>
          <w:highlight w:val="none"/>
        </w:rPr>
      </w:pPr>
      <w:r>
        <w:rPr>
          <w:color w:val="auto"/>
          <w:highlight w:val="none"/>
        </w:rPr>
        <w:t>3</w:t>
      </w:r>
      <w:bookmarkStart w:id="347" w:name="_Toc297123493"/>
      <w:bookmarkStart w:id="348" w:name="_Toc300934946"/>
      <w:bookmarkStart w:id="349" w:name="_Toc292559365"/>
      <w:bookmarkStart w:id="350" w:name="_Toc297216152"/>
      <w:bookmarkStart w:id="351" w:name="_Toc312677989"/>
      <w:bookmarkStart w:id="352" w:name="_Toc318581158"/>
      <w:bookmarkStart w:id="353" w:name="_Toc296503160"/>
      <w:bookmarkStart w:id="354" w:name="_Toc296891200"/>
      <w:bookmarkStart w:id="355" w:name="_Toc292559870"/>
      <w:bookmarkStart w:id="356" w:name="_Toc303539103"/>
      <w:bookmarkStart w:id="357" w:name="_Toc296346661"/>
      <w:bookmarkStart w:id="358" w:name="_Toc297120460"/>
      <w:bookmarkStart w:id="359" w:name="_Toc296944499"/>
      <w:bookmarkStart w:id="360" w:name="_Toc297048346"/>
      <w:bookmarkStart w:id="361" w:name="_Toc296347159"/>
      <w:bookmarkStart w:id="362" w:name="_Toc304295524"/>
      <w:bookmarkStart w:id="363" w:name="_Toc296890988"/>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color w:val="auto"/>
          <w:highlight w:val="none"/>
          <w:u w:val="single"/>
        </w:rPr>
        <w:t xml:space="preserve"> 承包人不得将工程主体、关键性工作分包给第三人。承包人将非工程主体、非关键性工作分包给第三人，必须经发包人同意，除通用合同条款约定外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color w:val="auto"/>
          <w:highlight w:val="none"/>
          <w:u w:val="single"/>
        </w:rPr>
        <w:t xml:space="preserve"> </w:t>
      </w:r>
      <w:r>
        <w:rPr>
          <w:rFonts w:hint="eastAsia"/>
          <w:color w:val="auto"/>
          <w:highlight w:val="none"/>
          <w:u w:val="single"/>
        </w:rPr>
        <w:t>合同签订时另行约定</w:t>
      </w:r>
      <w:r>
        <w:rPr>
          <w:color w:val="auto"/>
          <w:highlight w:val="none"/>
          <w:u w:val="single"/>
        </w:rPr>
        <w:t xml:space="preserve"> </w:t>
      </w:r>
      <w:r>
        <w:rPr>
          <w:rFonts w:hint="eastAsia" w:hAnsi="宋体" w:cs="宋体"/>
          <w:color w:val="auto"/>
          <w:highlight w:val="none"/>
        </w:rPr>
        <w:t>。</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spacing w:line="360" w:lineRule="auto"/>
        <w:ind w:firstLine="420" w:firstLineChars="200"/>
        <w:jc w:val="left"/>
        <w:rPr>
          <w:color w:val="auto"/>
          <w:highlight w:val="none"/>
        </w:rPr>
      </w:pPr>
      <w:r>
        <w:rPr>
          <w:color w:val="auto"/>
          <w:highlight w:val="none"/>
        </w:rPr>
        <w:t>3</w:t>
      </w:r>
      <w:bookmarkStart w:id="364" w:name="_Toc312677990"/>
      <w:bookmarkStart w:id="365"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color w:val="auto"/>
          <w:highlight w:val="none"/>
          <w:u w:val="single"/>
        </w:rPr>
        <w:t xml:space="preserve"> </w:t>
      </w:r>
      <w:r>
        <w:rPr>
          <w:rFonts w:hint="eastAsia"/>
          <w:color w:val="auto"/>
          <w:highlight w:val="none"/>
          <w:u w:val="single"/>
        </w:rPr>
        <w:t>合同签订时另行约定</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其他关于分包的约定：</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pStyle w:val="24"/>
        <w:spacing w:line="360" w:lineRule="auto"/>
        <w:ind w:firstLine="420" w:firstLineChars="200"/>
        <w:rPr>
          <w:rFonts w:ascii="Times New Roman" w:hAnsi="Times New Roman"/>
          <w:color w:val="auto"/>
          <w:sz w:val="21"/>
          <w:highlight w:val="none"/>
        </w:rPr>
      </w:pPr>
      <w:r>
        <w:rPr>
          <w:rFonts w:hint="eastAsia" w:ascii="Times New Roman" w:hAnsi="Times New Roman"/>
          <w:color w:val="auto"/>
          <w:sz w:val="21"/>
          <w:highlight w:val="none"/>
        </w:rPr>
        <w:t>（</w:t>
      </w:r>
      <w:r>
        <w:rPr>
          <w:rFonts w:ascii="Times New Roman" w:hAnsi="Times New Roman"/>
          <w:color w:val="auto"/>
          <w:sz w:val="21"/>
          <w:highlight w:val="none"/>
        </w:rPr>
        <w:t>4</w:t>
      </w:r>
      <w:r>
        <w:rPr>
          <w:rFonts w:hint="eastAsia" w:ascii="Times New Roman" w:hAnsi="Times New Roman"/>
          <w:color w:val="auto"/>
          <w:sz w:val="21"/>
          <w:highlight w:val="none"/>
        </w:rPr>
        <w:t>）</w:t>
      </w:r>
      <w:r>
        <w:rPr>
          <w:rFonts w:hint="eastAsia" w:ascii="Times New Roman" w:hAnsi="宋体"/>
          <w:color w:val="auto"/>
          <w:sz w:val="21"/>
          <w:highlight w:val="none"/>
        </w:rPr>
        <w:t>承包人有以下情况之一者，发包人有权解除合同，并视情况扣除其履约保证金：</w:t>
      </w:r>
    </w:p>
    <w:p>
      <w:pPr>
        <w:pStyle w:val="24"/>
        <w:spacing w:line="360" w:lineRule="auto"/>
        <w:ind w:firstLine="441" w:firstLineChars="210"/>
        <w:rPr>
          <w:rFonts w:ascii="Times New Roman" w:hAnsi="Times New Roman"/>
          <w:color w:val="auto"/>
          <w:sz w:val="21"/>
          <w:highlight w:val="none"/>
        </w:rPr>
      </w:pPr>
      <w:r>
        <w:rPr>
          <w:rFonts w:hint="eastAsia" w:ascii="Times New Roman" w:hAnsi="宋体"/>
          <w:color w:val="auto"/>
          <w:sz w:val="21"/>
          <w:highlight w:val="none"/>
        </w:rPr>
        <w:t>①个人承包工程，包括本人单位及外单位人员承包，发包人不承认其个人拥有任何资质等级及营业许可资格。没收全部履约保证金。</w:t>
      </w:r>
    </w:p>
    <w:p>
      <w:pPr>
        <w:pStyle w:val="24"/>
        <w:spacing w:line="360" w:lineRule="auto"/>
        <w:ind w:firstLine="441" w:firstLineChars="210"/>
        <w:rPr>
          <w:rFonts w:ascii="Times New Roman" w:hAnsi="Times New Roman"/>
          <w:color w:val="auto"/>
          <w:sz w:val="21"/>
          <w:highlight w:val="none"/>
        </w:rPr>
      </w:pPr>
      <w:r>
        <w:rPr>
          <w:rFonts w:hint="eastAsia" w:ascii="Times New Roman" w:hAnsi="宋体"/>
          <w:color w:val="auto"/>
          <w:sz w:val="21"/>
          <w:highlight w:val="none"/>
        </w:rPr>
        <w:t>②几个人联合承包工程，就地组织暗分包队伍，不具备完成本工程的技术、机械能力，被发包人判定为没有能力履行的承包人。没收全部履约保证金。</w:t>
      </w:r>
    </w:p>
    <w:p>
      <w:pPr>
        <w:pStyle w:val="24"/>
        <w:spacing w:line="360" w:lineRule="auto"/>
        <w:ind w:firstLine="441" w:firstLineChars="210"/>
        <w:rPr>
          <w:rFonts w:ascii="Times New Roman" w:hAnsi="Times New Roman"/>
          <w:color w:val="auto"/>
          <w:sz w:val="21"/>
          <w:highlight w:val="none"/>
        </w:rPr>
      </w:pPr>
      <w:r>
        <w:rPr>
          <w:rFonts w:hint="eastAsia" w:ascii="Times New Roman" w:hAnsi="宋体"/>
          <w:color w:val="auto"/>
          <w:sz w:val="21"/>
          <w:highlight w:val="none"/>
        </w:rPr>
        <w:t>③就地转包全部的工程，以谋取高额转让费、管理费的承包人。没收全部履约保证金。</w:t>
      </w:r>
    </w:p>
    <w:p>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w:t>
      </w:r>
      <w:r>
        <w:rPr>
          <w:rFonts w:hint="eastAsia" w:hAnsi="宋体" w:cs="宋体"/>
          <w:color w:val="auto"/>
          <w:highlight w:val="none"/>
          <w:lang w:eastAsia="zh-CN"/>
        </w:rPr>
        <w:t>挂钩</w:t>
      </w:r>
      <w:r>
        <w:rPr>
          <w:rFonts w:hint="eastAsia" w:hAnsi="宋体" w:cs="宋体"/>
          <w:color w:val="auto"/>
          <w:highlight w:val="none"/>
        </w:rPr>
        <w:t>单位，凭口头协议参与施工的分包人及其他暗分包个体户），一经发现核实，发包人将采取驱逐该暗分包人措施。没收全部履约保证金。</w:t>
      </w:r>
    </w:p>
    <w:p>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364"/>
    <w:bookmarkEnd w:id="365"/>
    <w:p>
      <w:pPr>
        <w:spacing w:line="360" w:lineRule="auto"/>
        <w:ind w:firstLine="420" w:firstLineChars="200"/>
        <w:rPr>
          <w:color w:val="auto"/>
          <w:highlight w:val="none"/>
        </w:rPr>
      </w:pPr>
      <w:bookmarkStart w:id="366" w:name="_Toc373478358"/>
      <w:bookmarkStart w:id="367" w:name="_Toc389065277"/>
      <w:bookmarkStart w:id="368"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pStyle w:val="4"/>
        <w:rPr>
          <w:color w:val="auto"/>
          <w:highlight w:val="none"/>
        </w:rPr>
      </w:pPr>
      <w:bookmarkStart w:id="369" w:name="_Toc29327"/>
      <w:bookmarkStart w:id="370" w:name="_Toc3927"/>
      <w:bookmarkStart w:id="371" w:name="_Toc407135213"/>
      <w:r>
        <w:rPr>
          <w:color w:val="auto"/>
          <w:highlight w:val="none"/>
        </w:rPr>
        <w:t xml:space="preserve">3.6 </w:t>
      </w:r>
      <w:r>
        <w:rPr>
          <w:rFonts w:hint="eastAsia" w:cs="黑体"/>
          <w:color w:val="auto"/>
          <w:highlight w:val="none"/>
        </w:rPr>
        <w:t>工程照管与成品、半成品保护</w:t>
      </w:r>
      <w:bookmarkEnd w:id="366"/>
      <w:bookmarkEnd w:id="367"/>
      <w:bookmarkEnd w:id="368"/>
      <w:bookmarkEnd w:id="369"/>
      <w:bookmarkEnd w:id="370"/>
      <w:bookmarkEnd w:id="371"/>
    </w:p>
    <w:p>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color w:val="auto"/>
          <w:kern w:val="0"/>
          <w:highlight w:val="none"/>
          <w:u w:val="single"/>
        </w:rPr>
        <w:t>设备、人员进场至验收交付使用前由承包人负责保修，无其它特殊要求的，费用由承包人承担</w:t>
      </w:r>
      <w:r>
        <w:rPr>
          <w:rFonts w:hint="eastAsia" w:hAnsi="宋体" w:cs="宋体"/>
          <w:color w:val="auto"/>
          <w:kern w:val="0"/>
          <w:highlight w:val="none"/>
        </w:rPr>
        <w:t>。</w:t>
      </w:r>
    </w:p>
    <w:p>
      <w:pPr>
        <w:pStyle w:val="4"/>
        <w:rPr>
          <w:color w:val="auto"/>
          <w:highlight w:val="none"/>
        </w:rPr>
      </w:pPr>
      <w:bookmarkStart w:id="372" w:name="_Toc389065278"/>
      <w:bookmarkStart w:id="373" w:name="_Toc373478359"/>
      <w:bookmarkStart w:id="374" w:name="_Toc373227712"/>
      <w:bookmarkStart w:id="375" w:name="_Toc14302"/>
      <w:bookmarkStart w:id="376" w:name="_Toc19848"/>
      <w:bookmarkStart w:id="377" w:name="_Toc407135214"/>
      <w:r>
        <w:rPr>
          <w:color w:val="auto"/>
          <w:highlight w:val="none"/>
        </w:rPr>
        <w:t xml:space="preserve">3.7 </w:t>
      </w:r>
      <w:r>
        <w:rPr>
          <w:rFonts w:hint="eastAsia" w:hAnsi="宋体" w:cs="黑体"/>
          <w:color w:val="auto"/>
          <w:highlight w:val="none"/>
        </w:rPr>
        <w:t>履约</w:t>
      </w:r>
      <w:bookmarkEnd w:id="372"/>
      <w:bookmarkEnd w:id="373"/>
      <w:bookmarkEnd w:id="374"/>
      <w:r>
        <w:rPr>
          <w:rFonts w:hint="eastAsia" w:hAnsi="宋体" w:cs="黑体"/>
          <w:color w:val="auto"/>
          <w:highlight w:val="none"/>
        </w:rPr>
        <w:t>保证金</w:t>
      </w:r>
      <w:bookmarkEnd w:id="375"/>
      <w:bookmarkEnd w:id="376"/>
      <w:bookmarkEnd w:id="377"/>
    </w:p>
    <w:p>
      <w:pPr>
        <w:pStyle w:val="246"/>
        <w:spacing w:line="360" w:lineRule="auto"/>
        <w:ind w:firstLine="420" w:firstLineChars="200"/>
        <w:rPr>
          <w:rFonts w:hAnsi="宋体" w:cs="宋体"/>
          <w:color w:val="auto"/>
          <w:highlight w:val="none"/>
          <w:u w:val="single"/>
        </w:rPr>
      </w:pPr>
      <w:bookmarkStart w:id="378" w:name="_Toc389065279"/>
      <w:bookmarkStart w:id="379" w:name="_Toc351203636"/>
      <w:bookmarkStart w:id="380" w:name="_Toc373478360"/>
      <w:bookmarkStart w:id="381" w:name="_Toc373227713"/>
      <w:bookmarkStart w:id="382" w:name="_Toc407135215"/>
      <w:r>
        <w:rPr>
          <w:rFonts w:hint="eastAsia" w:hAnsi="宋体" w:cs="宋体"/>
          <w:color w:val="auto"/>
          <w:highlight w:val="none"/>
        </w:rPr>
        <w:t>承包人是否提供履约担保：</w:t>
      </w:r>
      <w:r>
        <w:rPr>
          <w:rFonts w:hint="eastAsia" w:hAnsi="宋体" w:cs="宋体"/>
          <w:color w:val="auto"/>
          <w:highlight w:val="none"/>
          <w:u w:val="single"/>
        </w:rPr>
        <w:t>是。按竞争性谈判文件“竞标人须知前附表”第26款要求提供。</w:t>
      </w:r>
    </w:p>
    <w:p>
      <w:pPr>
        <w:pStyle w:val="232"/>
        <w:spacing w:line="360" w:lineRule="auto"/>
        <w:ind w:firstLine="420" w:firstLineChars="200"/>
        <w:rPr>
          <w:rFonts w:hAnsi="宋体"/>
          <w:color w:val="auto"/>
          <w:highlight w:val="none"/>
          <w:u w:val="single"/>
        </w:rPr>
      </w:pPr>
      <w:r>
        <w:rPr>
          <w:rFonts w:hAnsi="宋体"/>
          <w:color w:val="auto"/>
          <w:highlight w:val="none"/>
          <w:u w:val="single"/>
        </w:rPr>
        <w:t>承包人在中标后7个工作日内，按（百色市住房城乡建设行政主管部门规定）规定将农民工工资保障金存入</w:t>
      </w:r>
      <w:r>
        <w:rPr>
          <w:rFonts w:hint="eastAsia" w:hAnsi="宋体"/>
          <w:color w:val="auto"/>
          <w:highlight w:val="none"/>
          <w:u w:val="single"/>
          <w:lang w:eastAsia="zh-CN"/>
        </w:rPr>
        <w:t>账户</w:t>
      </w:r>
      <w:r>
        <w:rPr>
          <w:rFonts w:hAnsi="宋体"/>
          <w:color w:val="auto"/>
          <w:highlight w:val="none"/>
          <w:u w:val="single"/>
        </w:rPr>
        <w:t>。工程竣工验收结算经审定后，按照规定程序，将农民工工资保障金没有使用或剩余的金额退还给承包人。</w:t>
      </w:r>
    </w:p>
    <w:p>
      <w:pPr>
        <w:pStyle w:val="232"/>
        <w:spacing w:line="360" w:lineRule="auto"/>
        <w:ind w:firstLine="420" w:firstLineChars="200"/>
        <w:rPr>
          <w:rFonts w:hAnsi="宋体"/>
          <w:color w:val="auto"/>
          <w:highlight w:val="none"/>
          <w:u w:val="single"/>
        </w:rPr>
      </w:pPr>
      <w:r>
        <w:rPr>
          <w:rFonts w:hAnsi="宋体"/>
          <w:color w:val="auto"/>
          <w:highlight w:val="none"/>
          <w:u w:val="single"/>
        </w:rPr>
        <w:t>根据桂建发〔2018〕10 号文件精神，承包人申请支付每期工程进度款时，应提供当期应付工程进度款中农民工工资款支付总额及相关附件的请款材料，原则上农民工人均工资标准不得低于百色市最低工资标准。发包人根据承包人所提供的农民工工资请款材料，优先将当期应付工程进度款中的农民工工资款单独拨付至承包人开设的专门发放农民工工资账户，承包人应按月足额支付农民工工资，不得将农民工工资专用款</w:t>
      </w:r>
      <w:r>
        <w:rPr>
          <w:rFonts w:hint="eastAsia" w:hAnsi="宋体"/>
          <w:color w:val="auto"/>
          <w:highlight w:val="none"/>
          <w:u w:val="single"/>
          <w:lang w:eastAsia="zh-CN"/>
        </w:rPr>
        <w:t>挪作</w:t>
      </w:r>
      <w:r>
        <w:rPr>
          <w:rFonts w:hAnsi="宋体"/>
          <w:color w:val="auto"/>
          <w:highlight w:val="none"/>
          <w:u w:val="single"/>
        </w:rPr>
        <w:t>其它用途。</w:t>
      </w:r>
    </w:p>
    <w:p>
      <w:pPr>
        <w:pStyle w:val="232"/>
        <w:spacing w:line="360" w:lineRule="auto"/>
        <w:ind w:firstLine="420" w:firstLineChars="200"/>
        <w:rPr>
          <w:rFonts w:hAnsi="宋体"/>
          <w:color w:val="auto"/>
          <w:highlight w:val="none"/>
          <w:u w:val="single"/>
        </w:rPr>
      </w:pPr>
      <w:r>
        <w:rPr>
          <w:rFonts w:hAnsi="宋体"/>
          <w:color w:val="auto"/>
          <w:highlight w:val="none"/>
          <w:u w:val="single"/>
        </w:rPr>
        <w:t>承包人农民工工资专用账户信息如下:</w:t>
      </w:r>
    </w:p>
    <w:p>
      <w:pPr>
        <w:pStyle w:val="232"/>
        <w:spacing w:line="360" w:lineRule="auto"/>
        <w:ind w:firstLine="420" w:firstLineChars="200"/>
        <w:rPr>
          <w:rFonts w:hAnsi="宋体"/>
          <w:color w:val="auto"/>
          <w:highlight w:val="none"/>
          <w:u w:val="single"/>
        </w:rPr>
      </w:pPr>
      <w:r>
        <w:rPr>
          <w:rFonts w:hAnsi="宋体"/>
          <w:color w:val="auto"/>
          <w:highlight w:val="none"/>
          <w:u w:val="single"/>
        </w:rPr>
        <w:t>专用账户名称：</w:t>
      </w:r>
      <w:r>
        <w:rPr>
          <w:rFonts w:hint="eastAsia" w:hAnsi="宋体"/>
          <w:color w:val="auto"/>
          <w:highlight w:val="none"/>
          <w:u w:val="single"/>
        </w:rPr>
        <w:t xml:space="preserve">      ；</w:t>
      </w:r>
    </w:p>
    <w:p>
      <w:pPr>
        <w:pStyle w:val="232"/>
        <w:spacing w:line="360" w:lineRule="auto"/>
        <w:ind w:firstLine="420" w:firstLineChars="200"/>
        <w:rPr>
          <w:rFonts w:hAnsi="宋体"/>
          <w:color w:val="auto"/>
          <w:highlight w:val="none"/>
          <w:u w:val="single"/>
        </w:rPr>
      </w:pPr>
      <w:r>
        <w:rPr>
          <w:rFonts w:hAnsi="宋体"/>
          <w:color w:val="auto"/>
          <w:highlight w:val="none"/>
          <w:u w:val="single"/>
        </w:rPr>
        <w:t>专用账号:</w:t>
      </w:r>
      <w:r>
        <w:rPr>
          <w:rFonts w:hint="eastAsia" w:hAnsi="宋体"/>
          <w:color w:val="auto"/>
          <w:highlight w:val="none"/>
          <w:u w:val="single"/>
        </w:rPr>
        <w:t xml:space="preserve">           ；</w:t>
      </w:r>
    </w:p>
    <w:p>
      <w:pPr>
        <w:pStyle w:val="232"/>
        <w:spacing w:line="360" w:lineRule="auto"/>
        <w:ind w:firstLine="420" w:firstLineChars="200"/>
        <w:rPr>
          <w:rFonts w:hAnsi="宋体"/>
          <w:color w:val="auto"/>
          <w:highlight w:val="none"/>
          <w:u w:val="single"/>
        </w:rPr>
      </w:pPr>
      <w:r>
        <w:rPr>
          <w:rFonts w:hAnsi="宋体"/>
          <w:color w:val="auto"/>
          <w:highlight w:val="none"/>
          <w:u w:val="single"/>
        </w:rPr>
        <w:t>专用账户开户银行名称:</w:t>
      </w:r>
      <w:r>
        <w:rPr>
          <w:rFonts w:hint="eastAsia" w:hAnsi="宋体"/>
          <w:color w:val="auto"/>
          <w:highlight w:val="none"/>
          <w:u w:val="single"/>
        </w:rPr>
        <w:t xml:space="preserve">        ；</w:t>
      </w:r>
    </w:p>
    <w:p>
      <w:pPr>
        <w:pStyle w:val="3"/>
        <w:rPr>
          <w:color w:val="auto"/>
          <w:highlight w:val="none"/>
        </w:rPr>
      </w:pPr>
      <w:bookmarkStart w:id="383" w:name="_Toc27865"/>
      <w:bookmarkStart w:id="384" w:name="_Toc26531"/>
      <w:r>
        <w:rPr>
          <w:color w:val="auto"/>
          <w:highlight w:val="none"/>
        </w:rPr>
        <w:t>4</w:t>
      </w:r>
      <w:bookmarkStart w:id="385" w:name="_Toc296347161"/>
      <w:bookmarkStart w:id="386" w:name="_Toc292559871"/>
      <w:bookmarkStart w:id="387" w:name="_Toc296891202"/>
      <w:bookmarkStart w:id="388" w:name="_Toc292559366"/>
      <w:bookmarkStart w:id="389" w:name="_Toc297048348"/>
      <w:bookmarkStart w:id="390" w:name="_Toc296944501"/>
      <w:bookmarkStart w:id="391" w:name="_Toc296890990"/>
      <w:bookmarkStart w:id="392" w:name="_Toc296503162"/>
      <w:bookmarkStart w:id="393" w:name="_Toc297120462"/>
      <w:bookmarkStart w:id="394" w:name="_Toc296346663"/>
      <w:bookmarkStart w:id="395" w:name="_Toc267251413"/>
      <w:r>
        <w:rPr>
          <w:color w:val="auto"/>
          <w:highlight w:val="none"/>
        </w:rPr>
        <w:t xml:space="preserve">. </w:t>
      </w:r>
      <w:r>
        <w:rPr>
          <w:rFonts w:hint="eastAsia" w:hAnsi="宋体" w:cs="黑体"/>
          <w:color w:val="auto"/>
          <w:highlight w:val="none"/>
        </w:rPr>
        <w:t>监</w:t>
      </w:r>
      <w:bookmarkEnd w:id="385"/>
      <w:bookmarkEnd w:id="386"/>
      <w:bookmarkEnd w:id="387"/>
      <w:bookmarkEnd w:id="388"/>
      <w:bookmarkEnd w:id="389"/>
      <w:bookmarkEnd w:id="390"/>
      <w:bookmarkEnd w:id="391"/>
      <w:bookmarkEnd w:id="392"/>
      <w:bookmarkEnd w:id="393"/>
      <w:bookmarkEnd w:id="394"/>
      <w:bookmarkEnd w:id="395"/>
      <w:r>
        <w:rPr>
          <w:rFonts w:hint="eastAsia" w:hAnsi="宋体" w:cs="黑体"/>
          <w:color w:val="auto"/>
          <w:highlight w:val="none"/>
        </w:rPr>
        <w:t>理人</w:t>
      </w:r>
      <w:bookmarkEnd w:id="378"/>
      <w:bookmarkEnd w:id="379"/>
      <w:bookmarkEnd w:id="380"/>
      <w:bookmarkEnd w:id="381"/>
      <w:bookmarkEnd w:id="382"/>
      <w:bookmarkEnd w:id="383"/>
      <w:bookmarkEnd w:id="384"/>
    </w:p>
    <w:p>
      <w:pPr>
        <w:pStyle w:val="4"/>
        <w:rPr>
          <w:color w:val="auto"/>
          <w:highlight w:val="none"/>
        </w:rPr>
      </w:pPr>
      <w:bookmarkStart w:id="396" w:name="_Toc407135216"/>
      <w:bookmarkStart w:id="397" w:name="_Toc389065280"/>
      <w:bookmarkStart w:id="398" w:name="_Toc373478361"/>
      <w:bookmarkStart w:id="399" w:name="_Toc4132"/>
      <w:bookmarkStart w:id="400" w:name="_Toc373227714"/>
      <w:bookmarkStart w:id="401" w:name="_Toc16122"/>
      <w:r>
        <w:rPr>
          <w:color w:val="auto"/>
          <w:highlight w:val="none"/>
        </w:rPr>
        <w:t xml:space="preserve">4.1 </w:t>
      </w:r>
      <w:r>
        <w:rPr>
          <w:rFonts w:hint="eastAsia" w:cs="黑体"/>
          <w:color w:val="auto"/>
          <w:highlight w:val="none"/>
        </w:rPr>
        <w:t>监理人的一般规定</w:t>
      </w:r>
      <w:bookmarkEnd w:id="396"/>
      <w:bookmarkEnd w:id="397"/>
      <w:bookmarkEnd w:id="398"/>
      <w:bookmarkEnd w:id="399"/>
      <w:bookmarkEnd w:id="400"/>
      <w:bookmarkEnd w:id="401"/>
    </w:p>
    <w:p>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color w:val="auto"/>
          <w:highlight w:val="none"/>
          <w:u w:val="single"/>
        </w:rPr>
        <w:t xml:space="preserve"> 按监理合同中约定的条款执行</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color w:val="auto"/>
          <w:highlight w:val="none"/>
          <w:u w:val="single"/>
        </w:rPr>
        <w:t xml:space="preserve"> 按监理合同中约定的条款执行</w:t>
      </w:r>
      <w:r>
        <w:rPr>
          <w:rFonts w:hint="eastAsia"/>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rPr>
          <w:color w:val="auto"/>
          <w:highlight w:val="none"/>
        </w:rPr>
      </w:pPr>
      <w:r>
        <w:rPr>
          <w:rFonts w:hint="eastAsia" w:hAnsi="宋体" w:cs="宋体"/>
          <w:color w:val="auto"/>
          <w:highlight w:val="none"/>
        </w:rPr>
        <w:t>关于监理人在施工现场的办公场所、生活场所的提供和费用承担的约定：</w:t>
      </w:r>
      <w:r>
        <w:rPr>
          <w:color w:val="auto"/>
          <w:highlight w:val="none"/>
          <w:u w:val="single"/>
        </w:rPr>
        <w:t xml:space="preserve"> 按监理合同中约定的条款执行</w:t>
      </w:r>
      <w:r>
        <w:rPr>
          <w:rFonts w:hint="eastAsia"/>
          <w:color w:val="auto"/>
          <w:highlight w:val="none"/>
          <w:u w:val="single"/>
        </w:rPr>
        <w:t xml:space="preserve"> </w:t>
      </w:r>
      <w:r>
        <w:rPr>
          <w:rFonts w:hint="eastAsia" w:hAnsi="宋体" w:cs="宋体"/>
          <w:color w:val="auto"/>
          <w:highlight w:val="none"/>
        </w:rPr>
        <w:t>。</w:t>
      </w:r>
    </w:p>
    <w:p>
      <w:pPr>
        <w:pStyle w:val="4"/>
        <w:rPr>
          <w:color w:val="auto"/>
          <w:highlight w:val="none"/>
        </w:rPr>
      </w:pPr>
      <w:bookmarkStart w:id="402" w:name="_Toc373227715"/>
      <w:bookmarkStart w:id="403" w:name="_Toc7412"/>
      <w:bookmarkStart w:id="404" w:name="_Toc373478362"/>
      <w:bookmarkStart w:id="405" w:name="_Toc407135217"/>
      <w:bookmarkStart w:id="406" w:name="_Toc389065281"/>
      <w:bookmarkStart w:id="407" w:name="_Toc11453"/>
      <w:r>
        <w:rPr>
          <w:color w:val="auto"/>
          <w:highlight w:val="none"/>
        </w:rPr>
        <w:t xml:space="preserve">4.2 </w:t>
      </w:r>
      <w:r>
        <w:rPr>
          <w:rFonts w:hint="eastAsia" w:hAnsi="宋体" w:cs="黑体"/>
          <w:color w:val="auto"/>
          <w:highlight w:val="none"/>
        </w:rPr>
        <w:t>监理人员</w:t>
      </w:r>
      <w:bookmarkEnd w:id="402"/>
      <w:bookmarkEnd w:id="403"/>
      <w:bookmarkEnd w:id="404"/>
      <w:bookmarkEnd w:id="405"/>
      <w:bookmarkEnd w:id="406"/>
      <w:bookmarkEnd w:id="407"/>
    </w:p>
    <w:p>
      <w:pPr>
        <w:spacing w:line="360" w:lineRule="auto"/>
        <w:ind w:firstLine="420" w:firstLineChars="200"/>
        <w:rPr>
          <w:color w:val="auto"/>
          <w:highlight w:val="none"/>
        </w:rPr>
      </w:pPr>
      <w:r>
        <w:rPr>
          <w:rFonts w:hint="eastAsia" w:hAnsi="宋体" w:cs="宋体"/>
          <w:color w:val="auto"/>
          <w:highlight w:val="none"/>
        </w:rPr>
        <w:t>总监理工程师：</w:t>
      </w:r>
    </w:p>
    <w:p>
      <w:pPr>
        <w:spacing w:line="360" w:lineRule="auto"/>
        <w:ind w:firstLine="420" w:firstLineChars="200"/>
        <w:rPr>
          <w:color w:val="auto"/>
          <w:highlight w:val="none"/>
        </w:rPr>
      </w:pPr>
      <w:r>
        <w:rPr>
          <w:rFonts w:hAnsi="宋体"/>
          <w:color w:val="auto"/>
          <w:highlight w:val="none"/>
        </w:rPr>
        <w:t>姓</w:t>
      </w:r>
      <w:r>
        <w:rPr>
          <w:color w:val="auto"/>
          <w:highlight w:val="none"/>
        </w:rPr>
        <w:t xml:space="preserve">    </w:t>
      </w:r>
      <w:r>
        <w:rPr>
          <w:rFonts w:hAnsi="宋体"/>
          <w:color w:val="auto"/>
          <w:highlight w:val="none"/>
        </w:rPr>
        <w:t>名：</w:t>
      </w:r>
      <w:r>
        <w:rPr>
          <w:rFonts w:hint="eastAsia" w:hAnsi="宋体"/>
          <w:color w:val="auto"/>
          <w:highlight w:val="none"/>
          <w:u w:val="single"/>
        </w:rPr>
        <w:t xml:space="preserve"> 与监理合同约定一致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职</w:t>
      </w:r>
      <w:r>
        <w:rPr>
          <w:color w:val="auto"/>
          <w:highlight w:val="none"/>
        </w:rPr>
        <w:t xml:space="preserve">    </w:t>
      </w:r>
      <w:r>
        <w:rPr>
          <w:rFonts w:hAnsi="宋体"/>
          <w:color w:val="auto"/>
          <w:highlight w:val="none"/>
        </w:rPr>
        <w:t>务：</w:t>
      </w:r>
      <w:r>
        <w:rPr>
          <w:rFonts w:hint="eastAsia" w:hAnsi="宋体"/>
          <w:color w:val="auto"/>
          <w:highlight w:val="none"/>
          <w:u w:val="single"/>
        </w:rPr>
        <w:t xml:space="preserve"> 与监理合同约定一致 </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监理工程师执业资格证书号：</w:t>
      </w:r>
      <w:r>
        <w:rPr>
          <w:rFonts w:hint="eastAsia" w:hAnsi="宋体"/>
          <w:color w:val="auto"/>
          <w:highlight w:val="none"/>
          <w:u w:val="single"/>
        </w:rPr>
        <w:t xml:space="preserve"> 与监理合同约定一致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联系电话：</w:t>
      </w:r>
      <w:r>
        <w:rPr>
          <w:rFonts w:hint="eastAsia" w:hAnsi="宋体"/>
          <w:color w:val="auto"/>
          <w:highlight w:val="none"/>
          <w:u w:val="single"/>
        </w:rPr>
        <w:t xml:space="preserve"> 与监理合同约定一致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电子信箱：</w:t>
      </w:r>
      <w:r>
        <w:rPr>
          <w:rFonts w:hint="eastAsia" w:hAnsi="宋体"/>
          <w:color w:val="auto"/>
          <w:highlight w:val="none"/>
          <w:u w:val="single"/>
        </w:rPr>
        <w:t xml:space="preserve"> 与监理合同约定一致 </w:t>
      </w:r>
      <w:r>
        <w:rPr>
          <w:rFonts w:hAnsi="宋体"/>
          <w:color w:val="auto"/>
          <w:highlight w:val="none"/>
        </w:rPr>
        <w:t>；</w:t>
      </w:r>
    </w:p>
    <w:p>
      <w:pPr>
        <w:spacing w:line="360" w:lineRule="auto"/>
        <w:ind w:firstLine="420" w:firstLineChars="200"/>
        <w:rPr>
          <w:rFonts w:hAnsi="宋体"/>
          <w:color w:val="auto"/>
          <w:highlight w:val="none"/>
        </w:rPr>
      </w:pPr>
      <w:r>
        <w:rPr>
          <w:rFonts w:hAnsi="宋体"/>
          <w:color w:val="auto"/>
          <w:highlight w:val="none"/>
        </w:rPr>
        <w:t>通信地址：</w:t>
      </w:r>
      <w:r>
        <w:rPr>
          <w:rFonts w:hint="eastAsia" w:hAnsi="宋体"/>
          <w:color w:val="auto"/>
          <w:highlight w:val="none"/>
          <w:u w:val="single"/>
        </w:rPr>
        <w:t xml:space="preserve"> 与监理合同约定一致 </w:t>
      </w:r>
      <w:r>
        <w:rPr>
          <w:rFonts w:hAnsi="宋体"/>
          <w:color w:val="auto"/>
          <w:highlight w:val="none"/>
        </w:rPr>
        <w:t>；</w:t>
      </w:r>
    </w:p>
    <w:p>
      <w:pPr>
        <w:spacing w:line="360" w:lineRule="auto"/>
        <w:ind w:firstLine="420" w:firstLineChars="200"/>
        <w:rPr>
          <w:color w:val="auto"/>
          <w:highlight w:val="none"/>
        </w:rPr>
      </w:pPr>
      <w:r>
        <w:rPr>
          <w:rFonts w:hAnsi="宋体"/>
          <w:color w:val="auto"/>
          <w:highlight w:val="none"/>
        </w:rPr>
        <w:t>关于监理人的其他约定：</w:t>
      </w:r>
      <w:r>
        <w:rPr>
          <w:rFonts w:hint="eastAsia" w:hAnsi="宋体"/>
          <w:color w:val="auto"/>
          <w:highlight w:val="none"/>
          <w:u w:val="single"/>
        </w:rPr>
        <w:t xml:space="preserve"> 与监理合同约定一致 </w:t>
      </w:r>
      <w:r>
        <w:rPr>
          <w:rFonts w:hAnsi="宋体"/>
          <w:color w:val="auto"/>
          <w:highlight w:val="none"/>
        </w:rPr>
        <w:t>。</w:t>
      </w:r>
    </w:p>
    <w:p>
      <w:pPr>
        <w:pStyle w:val="4"/>
        <w:rPr>
          <w:color w:val="auto"/>
          <w:highlight w:val="none"/>
        </w:rPr>
      </w:pPr>
      <w:bookmarkStart w:id="408" w:name="_Toc373478363"/>
      <w:bookmarkStart w:id="409" w:name="_Toc373227716"/>
      <w:bookmarkStart w:id="410" w:name="_Toc389065282"/>
      <w:bookmarkStart w:id="411" w:name="_Toc20278"/>
      <w:bookmarkStart w:id="412" w:name="_Toc407135218"/>
      <w:bookmarkStart w:id="413" w:name="_Toc25844"/>
      <w:r>
        <w:rPr>
          <w:color w:val="auto"/>
          <w:highlight w:val="none"/>
        </w:rPr>
        <w:t xml:space="preserve">4.4 </w:t>
      </w:r>
      <w:r>
        <w:rPr>
          <w:rFonts w:hint="eastAsia" w:hAnsi="宋体" w:cs="黑体"/>
          <w:color w:val="auto"/>
          <w:highlight w:val="none"/>
        </w:rPr>
        <w:t>商定或确定</w:t>
      </w:r>
      <w:bookmarkEnd w:id="408"/>
      <w:bookmarkEnd w:id="409"/>
      <w:bookmarkEnd w:id="410"/>
      <w:bookmarkEnd w:id="411"/>
      <w:bookmarkEnd w:id="412"/>
      <w:bookmarkEnd w:id="413"/>
    </w:p>
    <w:p>
      <w:pPr>
        <w:spacing w:line="360" w:lineRule="auto"/>
        <w:ind w:firstLine="420" w:firstLineChars="200"/>
        <w:rPr>
          <w:color w:val="auto"/>
          <w:highlight w:val="none"/>
        </w:rPr>
      </w:pPr>
      <w:bookmarkStart w:id="414"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hint="eastAsia" w:hAnsi="宋体" w:cs="宋体"/>
          <w:color w:val="auto"/>
          <w:highlight w:val="none"/>
          <w:u w:val="single"/>
        </w:rPr>
        <w:t>工程质量</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u w:val="single"/>
        </w:rPr>
        <w:t>已完成工程数量、经济索赔</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hint="eastAsia" w:hAnsi="宋体" w:cs="宋体"/>
          <w:color w:val="auto"/>
          <w:highlight w:val="none"/>
          <w:u w:val="single"/>
        </w:rPr>
        <w:t>工期延误或提前、工程索赔</w:t>
      </w:r>
      <w:r>
        <w:rPr>
          <w:rFonts w:hint="eastAsia" w:hAnsi="宋体" w:cs="宋体"/>
          <w:color w:val="auto"/>
          <w:highlight w:val="none"/>
        </w:rPr>
        <w:t>。</w:t>
      </w:r>
    </w:p>
    <w:p>
      <w:pPr>
        <w:pStyle w:val="3"/>
        <w:rPr>
          <w:color w:val="auto"/>
          <w:highlight w:val="none"/>
        </w:rPr>
      </w:pPr>
      <w:bookmarkStart w:id="415" w:name="_Toc389065283"/>
      <w:bookmarkStart w:id="416" w:name="_Toc28150"/>
      <w:bookmarkStart w:id="417" w:name="_Toc11090"/>
      <w:bookmarkStart w:id="418" w:name="_Toc407135219"/>
      <w:bookmarkStart w:id="419" w:name="_Toc351203637"/>
      <w:bookmarkStart w:id="420" w:name="_Toc373478364"/>
      <w:bookmarkStart w:id="421" w:name="_Toc373227717"/>
      <w:r>
        <w:rPr>
          <w:color w:val="auto"/>
          <w:highlight w:val="none"/>
        </w:rPr>
        <w:t>5</w:t>
      </w:r>
      <w:bookmarkEnd w:id="414"/>
      <w:bookmarkStart w:id="422" w:name="_Toc292559367"/>
      <w:bookmarkStart w:id="423" w:name="_Toc296890991"/>
      <w:bookmarkStart w:id="424" w:name="_Toc296346664"/>
      <w:bookmarkStart w:id="425" w:name="_Toc296503163"/>
      <w:bookmarkStart w:id="426" w:name="_Toc296891203"/>
      <w:bookmarkStart w:id="427" w:name="_Toc297048349"/>
      <w:bookmarkStart w:id="428" w:name="_Toc292559872"/>
      <w:bookmarkStart w:id="429" w:name="_Toc297120463"/>
      <w:bookmarkStart w:id="430" w:name="_Toc296944502"/>
      <w:bookmarkStart w:id="431" w:name="_Toc296347162"/>
      <w:r>
        <w:rPr>
          <w:color w:val="auto"/>
          <w:highlight w:val="none"/>
        </w:rPr>
        <w:t xml:space="preserve">. </w:t>
      </w:r>
      <w:r>
        <w:rPr>
          <w:rFonts w:hint="eastAsia" w:hAnsi="宋体" w:cs="黑体"/>
          <w:color w:val="auto"/>
          <w:highlight w:val="none"/>
        </w:rPr>
        <w:t>工程质量</w:t>
      </w:r>
      <w:bookmarkEnd w:id="415"/>
      <w:bookmarkEnd w:id="416"/>
      <w:bookmarkEnd w:id="417"/>
      <w:bookmarkEnd w:id="418"/>
      <w:bookmarkEnd w:id="419"/>
      <w:bookmarkEnd w:id="420"/>
      <w:bookmarkEnd w:id="421"/>
    </w:p>
    <w:p>
      <w:pPr>
        <w:pStyle w:val="4"/>
        <w:rPr>
          <w:color w:val="auto"/>
          <w:highlight w:val="none"/>
        </w:rPr>
      </w:pPr>
      <w:bookmarkStart w:id="432" w:name="_Toc373227718"/>
      <w:bookmarkStart w:id="433" w:name="_Toc30725"/>
      <w:bookmarkStart w:id="434" w:name="_Toc407135220"/>
      <w:bookmarkStart w:id="435" w:name="_Toc27373"/>
      <w:bookmarkStart w:id="436" w:name="_Toc389065284"/>
      <w:bookmarkStart w:id="437" w:name="_Toc373478365"/>
      <w:r>
        <w:rPr>
          <w:color w:val="auto"/>
          <w:highlight w:val="none"/>
        </w:rPr>
        <w:t xml:space="preserve">5.1 </w:t>
      </w:r>
      <w:r>
        <w:rPr>
          <w:rFonts w:hint="eastAsia" w:hAnsi="宋体" w:cs="黑体"/>
          <w:color w:val="auto"/>
          <w:highlight w:val="none"/>
        </w:rPr>
        <w:t>质量要求</w:t>
      </w:r>
      <w:bookmarkEnd w:id="432"/>
      <w:bookmarkEnd w:id="433"/>
      <w:bookmarkEnd w:id="434"/>
      <w:bookmarkEnd w:id="435"/>
      <w:bookmarkEnd w:id="436"/>
      <w:bookmarkEnd w:id="437"/>
    </w:p>
    <w:p>
      <w:pPr>
        <w:spacing w:line="360" w:lineRule="auto"/>
        <w:ind w:firstLine="420" w:firstLineChars="200"/>
        <w:jc w:val="left"/>
        <w:rPr>
          <w:color w:val="auto"/>
          <w:highlight w:val="none"/>
          <w:u w:val="single"/>
        </w:rPr>
      </w:pPr>
      <w:r>
        <w:rPr>
          <w:color w:val="auto"/>
          <w:highlight w:val="none"/>
        </w:rPr>
        <w:t>5</w:t>
      </w:r>
      <w:bookmarkStart w:id="438" w:name="_Toc297216155"/>
      <w:bookmarkStart w:id="439" w:name="_Toc304295527"/>
      <w:bookmarkStart w:id="440" w:name="_Toc297123496"/>
      <w:bookmarkStart w:id="441" w:name="_Toc300934949"/>
      <w:bookmarkStart w:id="442" w:name="_Toc303539106"/>
      <w:bookmarkStart w:id="443" w:name="_Toc318581164"/>
      <w:bookmarkStart w:id="444" w:name="_Toc312677997"/>
      <w:r>
        <w:rPr>
          <w:color w:val="auto"/>
          <w:highlight w:val="none"/>
        </w:rPr>
        <w:t xml:space="preserve">.1.1 </w:t>
      </w:r>
      <w:r>
        <w:rPr>
          <w:rFonts w:hint="eastAsia" w:hAnsi="宋体" w:cs="宋体"/>
          <w:color w:val="auto"/>
          <w:highlight w:val="none"/>
        </w:rPr>
        <w:t>特殊质量标准和要求：</w:t>
      </w:r>
      <w:r>
        <w:rPr>
          <w:color w:val="auto"/>
          <w:highlight w:val="none"/>
          <w:u w:val="single"/>
        </w:rPr>
        <w:t xml:space="preserve"> 严格执行广西住房和城乡自治区住建厅《关于严格实行房屋建筑和市政基础设施工程质量终身责任承诺、永久性质量责任标牌、终身责任信息档案等制度的通知》（桂建管【2014】96号）要求，落实建设工程质量终身责任</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关于工程奖项的约定：</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color w:val="auto"/>
          <w:highlight w:val="none"/>
          <w:u w:val="single"/>
        </w:rPr>
      </w:pPr>
      <w:r>
        <w:rPr>
          <w:color w:val="auto"/>
          <w:highlight w:val="none"/>
        </w:rPr>
        <w:t>5.3.2</w:t>
      </w:r>
      <w:r>
        <w:rPr>
          <w:rFonts w:hint="eastAsia" w:hAnsi="宋体" w:cs="宋体"/>
          <w:color w:val="auto"/>
          <w:highlight w:val="none"/>
        </w:rPr>
        <w:t>承包人提前通知监理人隐蔽工程检查的期限的约定：工程隐蔽或中间验收前</w:t>
      </w:r>
      <w:r>
        <w:rPr>
          <w:color w:val="auto"/>
          <w:highlight w:val="none"/>
        </w:rPr>
        <w:t>12</w:t>
      </w:r>
      <w:r>
        <w:rPr>
          <w:rFonts w:hint="eastAsia" w:hAnsi="宋体" w:cs="宋体"/>
          <w:color w:val="auto"/>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小时。</w:t>
      </w:r>
    </w:p>
    <w:p>
      <w:pPr>
        <w:pStyle w:val="3"/>
        <w:rPr>
          <w:color w:val="auto"/>
          <w:highlight w:val="none"/>
        </w:rPr>
      </w:pPr>
      <w:bookmarkStart w:id="445" w:name="_Toc351203638"/>
      <w:bookmarkStart w:id="446" w:name="_Toc407135221"/>
      <w:bookmarkStart w:id="447" w:name="_Toc452"/>
      <w:bookmarkStart w:id="448" w:name="_Toc373227719"/>
      <w:bookmarkStart w:id="449" w:name="_Toc25923"/>
      <w:bookmarkStart w:id="450" w:name="_Toc373478366"/>
      <w:bookmarkStart w:id="451" w:name="_Toc389065285"/>
      <w:r>
        <w:rPr>
          <w:color w:val="auto"/>
          <w:highlight w:val="none"/>
        </w:rPr>
        <w:t xml:space="preserve">6. </w:t>
      </w:r>
      <w:r>
        <w:rPr>
          <w:rFonts w:hint="eastAsia"/>
          <w:color w:val="auto"/>
          <w:highlight w:val="none"/>
        </w:rPr>
        <w:t>安全文明施工与环境保护</w:t>
      </w:r>
      <w:bookmarkEnd w:id="445"/>
      <w:bookmarkEnd w:id="446"/>
      <w:bookmarkEnd w:id="447"/>
      <w:bookmarkEnd w:id="448"/>
      <w:bookmarkEnd w:id="449"/>
      <w:bookmarkEnd w:id="450"/>
      <w:bookmarkEnd w:id="451"/>
    </w:p>
    <w:p>
      <w:pPr>
        <w:pStyle w:val="4"/>
        <w:rPr>
          <w:color w:val="auto"/>
          <w:highlight w:val="none"/>
        </w:rPr>
      </w:pPr>
      <w:bookmarkStart w:id="452" w:name="_Toc373227720"/>
      <w:bookmarkStart w:id="453" w:name="_Toc373478367"/>
      <w:bookmarkStart w:id="454" w:name="_Toc14083"/>
      <w:bookmarkStart w:id="455" w:name="_Toc7216"/>
      <w:bookmarkStart w:id="456" w:name="_Toc407135222"/>
      <w:bookmarkStart w:id="457" w:name="_Toc389065286"/>
      <w:r>
        <w:rPr>
          <w:color w:val="auto"/>
          <w:highlight w:val="none"/>
        </w:rPr>
        <w:t xml:space="preserve">6.1 </w:t>
      </w:r>
      <w:r>
        <w:rPr>
          <w:rFonts w:hint="eastAsia" w:cs="黑体"/>
          <w:color w:val="auto"/>
          <w:highlight w:val="none"/>
        </w:rPr>
        <w:t>安全文明施工</w:t>
      </w:r>
      <w:bookmarkEnd w:id="452"/>
      <w:bookmarkEnd w:id="453"/>
      <w:bookmarkEnd w:id="454"/>
      <w:bookmarkEnd w:id="455"/>
      <w:bookmarkEnd w:id="456"/>
      <w:bookmarkEnd w:id="457"/>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color w:val="auto"/>
          <w:highlight w:val="none"/>
          <w:u w:val="single"/>
        </w:rPr>
        <w:t xml:space="preserve"> 要求达到《建筑施工安全检查标准》JG159-2011）的标准和符合《广西壮族自治区建设工程安全文明施工费使用管理细则》（桂建质【2015】16号文）规定</w:t>
      </w:r>
      <w:r>
        <w:rPr>
          <w:rFonts w:hint="eastAsia"/>
          <w:color w:val="auto"/>
          <w:highlight w:val="none"/>
          <w:u w:val="single"/>
        </w:rPr>
        <w:t>；</w:t>
      </w:r>
      <w:r>
        <w:rPr>
          <w:color w:val="auto"/>
          <w:highlight w:val="none"/>
          <w:u w:val="single"/>
        </w:rPr>
        <w:t>承包人还应严格遵守《</w:t>
      </w:r>
      <w:r>
        <w:rPr>
          <w:rFonts w:hint="eastAsia"/>
          <w:color w:val="auto"/>
          <w:highlight w:val="none"/>
          <w:u w:val="single"/>
          <w:lang w:eastAsia="zh-CN"/>
        </w:rPr>
        <w:t>百色市百色市右江区四塘镇人民政府</w:t>
      </w:r>
      <w:r>
        <w:rPr>
          <w:color w:val="auto"/>
          <w:highlight w:val="none"/>
          <w:u w:val="single"/>
        </w:rPr>
        <w:t>安全标准化建设实施细则</w:t>
      </w:r>
      <w:r>
        <w:rPr>
          <w:rFonts w:hint="eastAsia"/>
          <w:color w:val="auto"/>
          <w:highlight w:val="none"/>
          <w:u w:val="single"/>
        </w:rPr>
        <w:t>》</w:t>
      </w:r>
      <w:r>
        <w:rPr>
          <w:color w:val="auto"/>
          <w:highlight w:val="none"/>
          <w:u w:val="single"/>
        </w:rPr>
        <w:t xml:space="preserve">（试行版），如承包人有违反该实施细则的相关规定所造成的损失由承包人承担，并且承包人须按规定进行整改直至合格，整改费用发包人不另行支付 </w:t>
      </w:r>
      <w:r>
        <w:rPr>
          <w:rFonts w:hint="eastAsia" w:hAnsi="宋体" w:cs="宋体"/>
          <w:color w:val="auto"/>
          <w:highlight w:val="none"/>
        </w:rPr>
        <w:t>。</w:t>
      </w:r>
    </w:p>
    <w:p>
      <w:pPr>
        <w:spacing w:line="360" w:lineRule="auto"/>
        <w:ind w:firstLine="420" w:firstLineChars="200"/>
        <w:jc w:val="left"/>
        <w:rPr>
          <w:color w:val="auto"/>
          <w:highlight w:val="none"/>
          <w:u w:val="single"/>
        </w:rPr>
      </w:pPr>
      <w:r>
        <w:rPr>
          <w:color w:val="auto"/>
          <w:highlight w:val="none"/>
        </w:rPr>
        <w:t>6.1.</w:t>
      </w:r>
      <w:r>
        <w:rPr>
          <w:rFonts w:hint="eastAsia"/>
          <w:color w:val="auto"/>
          <w:highlight w:val="none"/>
        </w:rPr>
        <w:t>2</w:t>
      </w:r>
      <w:r>
        <w:rPr>
          <w:color w:val="auto"/>
          <w:highlight w:val="none"/>
        </w:rPr>
        <w:t xml:space="preserve">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color w:val="auto"/>
          <w:highlight w:val="none"/>
          <w:u w:val="single"/>
        </w:rPr>
        <w:t>由承包人编制管理细则交发包人审定后执行</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6.1.</w:t>
      </w:r>
      <w:r>
        <w:rPr>
          <w:rFonts w:hint="eastAsia"/>
          <w:color w:val="auto"/>
          <w:highlight w:val="none"/>
        </w:rPr>
        <w:t>3</w:t>
      </w:r>
      <w:r>
        <w:rPr>
          <w:color w:val="auto"/>
          <w:highlight w:val="none"/>
        </w:rPr>
        <w:t xml:space="preserve"> </w:t>
      </w:r>
      <w:r>
        <w:rPr>
          <w:rFonts w:hint="eastAsia" w:hAnsi="宋体" w:cs="宋体"/>
          <w:color w:val="auto"/>
          <w:highlight w:val="none"/>
        </w:rPr>
        <w:t>文明施工</w:t>
      </w:r>
    </w:p>
    <w:p>
      <w:pPr>
        <w:spacing w:line="360" w:lineRule="auto"/>
        <w:ind w:firstLine="420" w:firstLineChars="200"/>
        <w:jc w:val="left"/>
        <w:rPr>
          <w:color w:val="auto"/>
          <w:highlight w:val="none"/>
        </w:rPr>
      </w:pPr>
      <w:r>
        <w:rPr>
          <w:rFonts w:hint="eastAsia" w:hAnsi="宋体" w:cs="宋体"/>
          <w:color w:val="auto"/>
          <w:highlight w:val="none"/>
        </w:rPr>
        <w:t>合同当事人对文明施工的要求：</w:t>
      </w:r>
      <w:r>
        <w:rPr>
          <w:color w:val="auto"/>
          <w:highlight w:val="none"/>
          <w:u w:val="single"/>
        </w:rPr>
        <w:t xml:space="preserve"> 1.施工场地四周设置围挡，实行封闭施工，在工地主要</w:t>
      </w:r>
      <w:r>
        <w:rPr>
          <w:rFonts w:hint="eastAsia"/>
          <w:color w:val="auto"/>
          <w:highlight w:val="none"/>
          <w:u w:val="single"/>
        </w:rPr>
        <w:t>出</w:t>
      </w:r>
      <w:r>
        <w:rPr>
          <w:color w:val="auto"/>
          <w:highlight w:val="none"/>
          <w:u w:val="single"/>
        </w:rPr>
        <w:t>入口明显位置设置扬尘整治责任牌；2.工地运输车辆的</w:t>
      </w:r>
      <w:r>
        <w:rPr>
          <w:rFonts w:hint="eastAsia"/>
          <w:color w:val="auto"/>
          <w:highlight w:val="none"/>
          <w:u w:val="single"/>
        </w:rPr>
        <w:t>出</w:t>
      </w:r>
      <w:r>
        <w:rPr>
          <w:color w:val="auto"/>
          <w:highlight w:val="none"/>
          <w:u w:val="single"/>
        </w:rPr>
        <w:t>入口内侧依规设置洗车平台（有渣土清运的， 须同时设</w:t>
      </w:r>
      <w:r>
        <w:rPr>
          <w:rFonts w:hint="eastAsia"/>
          <w:color w:val="auto"/>
          <w:highlight w:val="none"/>
          <w:u w:val="single"/>
        </w:rPr>
        <w:t>置</w:t>
      </w:r>
      <w:r>
        <w:rPr>
          <w:color w:val="auto"/>
          <w:highlight w:val="none"/>
          <w:u w:val="single"/>
        </w:rPr>
        <w:t xml:space="preserve">冲洗槽和冲洗平台），车辆驶离工地前在洗车平台清洗轮胎及车身，保持车容整洁，杜绝有车辆带泥污染市政道路的现象发生，否则将按新环保法处罚当事者；3.对施工场地内主要道路进行硬化，对工地内裸露地面采取覆盖、洒水、植被等有效的防尘措施；4.对施工过程中使用的易产生扬尘的建筑材料采取有效的防尘措施 </w:t>
      </w:r>
      <w:r>
        <w:rPr>
          <w:rFonts w:hint="eastAsia"/>
          <w:color w:val="auto"/>
          <w:highlight w:val="none"/>
          <w:u w:val="single"/>
        </w:rPr>
        <w:t>5.</w:t>
      </w:r>
      <w:r>
        <w:rPr>
          <w:rFonts w:hint="eastAsia" w:ascii="宋体" w:hAnsi="宋体"/>
          <w:color w:val="auto"/>
          <w:highlight w:val="none"/>
          <w:u w:val="single"/>
        </w:rPr>
        <w:t>达到《建筑施工现场环境与卫生标准》（JGJ146-2013</w:t>
      </w:r>
      <w:r>
        <w:rPr>
          <w:rFonts w:hint="eastAsia"/>
          <w:color w:val="auto"/>
          <w:highlight w:val="none"/>
          <w:u w:val="single"/>
        </w:rPr>
        <w:t>）</w:t>
      </w:r>
      <w:r>
        <w:rPr>
          <w:rFonts w:hint="eastAsia" w:cs="宋体"/>
          <w:color w:val="auto"/>
          <w:highlight w:val="none"/>
        </w:rPr>
        <w:t>。</w:t>
      </w:r>
    </w:p>
    <w:p>
      <w:pPr>
        <w:spacing w:line="360" w:lineRule="auto"/>
        <w:ind w:firstLine="420" w:firstLineChars="200"/>
        <w:jc w:val="left"/>
        <w:rPr>
          <w:rFonts w:hAnsi="宋体"/>
          <w:color w:val="auto"/>
          <w:highlight w:val="none"/>
        </w:rPr>
      </w:pPr>
      <w:r>
        <w:rPr>
          <w:color w:val="auto"/>
          <w:highlight w:val="none"/>
        </w:rPr>
        <w:t>6.1.</w:t>
      </w:r>
      <w:r>
        <w:rPr>
          <w:rFonts w:hint="eastAsia"/>
          <w:color w:val="auto"/>
          <w:highlight w:val="none"/>
        </w:rPr>
        <w:t>4</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w:t>
      </w:r>
      <w:r>
        <w:rPr>
          <w:rFonts w:hAnsi="宋体"/>
          <w:color w:val="auto"/>
          <w:kern w:val="0"/>
          <w:highlight w:val="none"/>
          <w:u w:val="single"/>
        </w:rPr>
        <w:t xml:space="preserve">  </w:t>
      </w:r>
      <w:r>
        <w:rPr>
          <w:rFonts w:hint="eastAsia" w:hAnsi="宋体"/>
          <w:color w:val="auto"/>
          <w:kern w:val="0"/>
          <w:highlight w:val="none"/>
          <w:u w:val="single"/>
        </w:rPr>
        <w:t xml:space="preserve">（按中标价列明的安全文明费） </w:t>
      </w:r>
      <w:r>
        <w:rPr>
          <w:rFonts w:hAnsi="宋体"/>
          <w:color w:val="auto"/>
          <w:kern w:val="0"/>
          <w:highlight w:val="none"/>
          <w:u w:val="single"/>
        </w:rPr>
        <w:t xml:space="preserve"> </w:t>
      </w:r>
      <w:r>
        <w:rPr>
          <w:rFonts w:hint="eastAsia" w:hAnsi="宋体" w:cs="宋体"/>
          <w:color w:val="auto"/>
          <w:kern w:val="0"/>
          <w:highlight w:val="none"/>
        </w:rPr>
        <w:t>元。</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hAnsi="宋体" w:cs="宋体"/>
          <w:color w:val="auto"/>
          <w:kern w:val="0"/>
          <w:highlight w:val="none"/>
        </w:rPr>
        <w:t>和</w:t>
      </w:r>
      <w:r>
        <w:rPr>
          <w:rFonts w:hAnsi="宋体"/>
          <w:color w:val="auto"/>
          <w:kern w:val="0"/>
          <w:highlight w:val="none"/>
          <w:u w:val="single"/>
        </w:rPr>
        <w:t xml:space="preserve"> </w:t>
      </w:r>
      <w:r>
        <w:rPr>
          <w:rFonts w:hint="eastAsia" w:hAnsi="宋体"/>
          <w:color w:val="auto"/>
          <w:kern w:val="0"/>
          <w:highlight w:val="none"/>
          <w:u w:val="single"/>
        </w:rPr>
        <w:t>百色市</w:t>
      </w:r>
      <w:r>
        <w:rPr>
          <w:rFonts w:hAnsi="宋体"/>
          <w:color w:val="auto"/>
          <w:kern w:val="0"/>
          <w:highlight w:val="none"/>
          <w:u w:val="single"/>
        </w:rPr>
        <w:t xml:space="preserve"> </w:t>
      </w:r>
      <w:r>
        <w:rPr>
          <w:rFonts w:hint="eastAsia" w:hAnsi="宋体" w:cs="宋体"/>
          <w:color w:val="auto"/>
          <w:kern w:val="0"/>
          <w:highlight w:val="none"/>
        </w:rPr>
        <w:t>相关规定执行。</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（3）建设单位按规定将安全生产费用转入施工单位设立的安全生产费用专户。</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（4）工程施工完成后安全生产费用尚有结余的，结余部分由建设单位收回。</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（5）施工单位将安全生产费用使用情况定期报告建设单位和监理单位，并提供相应的材料接受建设行政主管部门对此事项监管。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Ansi="宋体"/>
          <w:color w:val="auto"/>
          <w:kern w:val="0"/>
          <w:highlight w:val="none"/>
        </w:rPr>
      </w:pPr>
      <w:r>
        <w:rPr>
          <w:rFonts w:hint="eastAsia" w:hAnsi="宋体" w:cs="宋体"/>
          <w:color w:val="auto"/>
          <w:kern w:val="0"/>
          <w:highlight w:val="none"/>
        </w:rPr>
        <w:t>（6）安全生产费用专户：</w:t>
      </w:r>
      <w:r>
        <w:rPr>
          <w:rFonts w:hAnsi="宋体" w:cs="宋体"/>
          <w:color w:val="auto"/>
          <w:kern w:val="0"/>
          <w:highlight w:val="none"/>
        </w:rPr>
        <w:t>××××</w:t>
      </w:r>
      <w:r>
        <w:rPr>
          <w:rFonts w:hint="eastAsia" w:hAnsi="宋体" w:cs="宋体"/>
          <w:color w:val="auto"/>
          <w:kern w:val="0"/>
          <w:highlight w:val="none"/>
        </w:rPr>
        <w:t>公司安全生产费用专户。账号：</w:t>
      </w:r>
      <w:r>
        <w:rPr>
          <w:rFonts w:hAnsi="宋体" w:cs="宋体"/>
          <w:color w:val="auto"/>
          <w:kern w:val="0"/>
          <w:highlight w:val="none"/>
        </w:rPr>
        <w:t xml:space="preserve"> </w:t>
      </w:r>
      <w:r>
        <w:rPr>
          <w:rFonts w:hint="eastAsia" w:hAnsi="宋体" w:cs="宋体"/>
          <w:color w:val="auto"/>
          <w:kern w:val="0"/>
          <w:highlight w:val="none"/>
        </w:rPr>
        <w:t xml:space="preserve">                。</w:t>
      </w:r>
    </w:p>
    <w:p>
      <w:pPr>
        <w:pStyle w:val="4"/>
        <w:rPr>
          <w:color w:val="auto"/>
          <w:highlight w:val="none"/>
        </w:rPr>
      </w:pPr>
      <w:bookmarkStart w:id="458" w:name="_Toc20581"/>
      <w:bookmarkStart w:id="459" w:name="_Toc407135223"/>
      <w:bookmarkStart w:id="460" w:name="_Toc559"/>
      <w:bookmarkStart w:id="461" w:name="_Toc373478368"/>
      <w:bookmarkStart w:id="462" w:name="_Toc373227721"/>
      <w:bookmarkStart w:id="463" w:name="_Toc389065287"/>
      <w:r>
        <w:rPr>
          <w:color w:val="auto"/>
          <w:highlight w:val="none"/>
        </w:rPr>
        <w:t>6.</w:t>
      </w:r>
      <w:r>
        <w:rPr>
          <w:rFonts w:hint="eastAsia"/>
          <w:color w:val="auto"/>
          <w:highlight w:val="none"/>
        </w:rPr>
        <w:t>2</w:t>
      </w:r>
      <w:r>
        <w:rPr>
          <w:color w:val="auto"/>
          <w:highlight w:val="none"/>
        </w:rPr>
        <w:t xml:space="preserve"> </w:t>
      </w:r>
      <w:r>
        <w:rPr>
          <w:rFonts w:hint="eastAsia" w:hAnsi="宋体" w:cs="黑体"/>
          <w:color w:val="auto"/>
          <w:highlight w:val="none"/>
        </w:rPr>
        <w:t>环境保护</w:t>
      </w:r>
      <w:bookmarkEnd w:id="458"/>
      <w:bookmarkEnd w:id="459"/>
      <w:bookmarkEnd w:id="460"/>
      <w:bookmarkEnd w:id="461"/>
      <w:bookmarkEnd w:id="462"/>
      <w:bookmarkEnd w:id="463"/>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bookmarkEnd w:id="438"/>
    <w:bookmarkEnd w:id="439"/>
    <w:bookmarkEnd w:id="440"/>
    <w:bookmarkEnd w:id="441"/>
    <w:bookmarkEnd w:id="442"/>
    <w:bookmarkEnd w:id="443"/>
    <w:bookmarkEnd w:id="444"/>
    <w:p>
      <w:pPr>
        <w:pStyle w:val="3"/>
        <w:rPr>
          <w:color w:val="auto"/>
          <w:highlight w:val="none"/>
        </w:rPr>
      </w:pPr>
      <w:bookmarkStart w:id="464" w:name="_Toc407135224"/>
      <w:bookmarkStart w:id="465" w:name="_Toc351203639"/>
      <w:bookmarkStart w:id="466" w:name="_Toc5971"/>
      <w:bookmarkStart w:id="467" w:name="_Toc373227722"/>
      <w:bookmarkStart w:id="468" w:name="_Toc27148"/>
      <w:bookmarkStart w:id="469" w:name="_Toc373478369"/>
      <w:bookmarkStart w:id="470" w:name="_Toc389065288"/>
      <w:r>
        <w:rPr>
          <w:color w:val="auto"/>
          <w:highlight w:val="none"/>
        </w:rPr>
        <w:t xml:space="preserve">7. </w:t>
      </w:r>
      <w:r>
        <w:rPr>
          <w:rFonts w:hint="eastAsia"/>
          <w:color w:val="auto"/>
          <w:highlight w:val="none"/>
        </w:rPr>
        <w:t>工期和进度</w:t>
      </w:r>
      <w:bookmarkEnd w:id="464"/>
      <w:bookmarkEnd w:id="465"/>
      <w:bookmarkEnd w:id="466"/>
      <w:bookmarkEnd w:id="467"/>
      <w:bookmarkEnd w:id="468"/>
      <w:bookmarkEnd w:id="469"/>
      <w:bookmarkEnd w:id="470"/>
    </w:p>
    <w:p>
      <w:pPr>
        <w:pStyle w:val="4"/>
        <w:rPr>
          <w:color w:val="auto"/>
          <w:highlight w:val="none"/>
        </w:rPr>
      </w:pPr>
      <w:bookmarkStart w:id="471" w:name="_Toc373227723"/>
      <w:bookmarkStart w:id="472" w:name="_Toc389065289"/>
      <w:bookmarkStart w:id="473" w:name="_Toc407135225"/>
      <w:bookmarkStart w:id="474" w:name="_Toc3102"/>
      <w:bookmarkStart w:id="475" w:name="_Toc373478370"/>
      <w:bookmarkStart w:id="476" w:name="_Toc30769"/>
      <w:r>
        <w:rPr>
          <w:color w:val="auto"/>
          <w:highlight w:val="none"/>
        </w:rPr>
        <w:t xml:space="preserve">7.1 </w:t>
      </w:r>
      <w:r>
        <w:rPr>
          <w:rFonts w:hint="eastAsia" w:cs="黑体"/>
          <w:color w:val="auto"/>
          <w:highlight w:val="none"/>
        </w:rPr>
        <w:t>施工组织设计</w:t>
      </w:r>
      <w:bookmarkEnd w:id="471"/>
      <w:bookmarkEnd w:id="472"/>
      <w:bookmarkEnd w:id="473"/>
      <w:bookmarkEnd w:id="474"/>
      <w:bookmarkEnd w:id="475"/>
      <w:bookmarkEnd w:id="476"/>
    </w:p>
    <w:p>
      <w:pPr>
        <w:autoSpaceDE w:val="0"/>
        <w:autoSpaceDN w:val="0"/>
        <w:adjustRightInd w:val="0"/>
        <w:spacing w:line="360" w:lineRule="auto"/>
        <w:ind w:firstLine="420" w:firstLineChars="200"/>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hint="eastAsia"/>
          <w:color w:val="auto"/>
          <w:highlight w:val="none"/>
        </w:rPr>
        <w:t> </w:t>
      </w:r>
      <w:r>
        <w:rPr>
          <w:rFonts w:hint="eastAsia"/>
          <w:color w:val="auto"/>
          <w:highlight w:val="none"/>
          <w:u w:val="single"/>
        </w:rPr>
        <w:t xml:space="preserve">（1）施工方案；（2）施工现场平面布置图；（3）施工进度计划和保证措施；（4）劳动力及材料供应计划；（5）施工机械设备的选用；（6）质量保证体系及措施；（7）安全生产、文明施工措施；（8）环境保护、成本控制措施；（9）合同当事人约定的其他内容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hint="eastAsia"/>
          <w:color w:val="auto"/>
          <w:highlight w:val="none"/>
          <w:u w:val="single"/>
        </w:rPr>
        <w:t>正式开工前三天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hint="eastAsia"/>
          <w:color w:val="auto"/>
          <w:highlight w:val="none"/>
          <w:u w:val="single"/>
        </w:rPr>
        <w:t> 收到承包人提供的施工组织设计（施工方案）之日起7日内予以确认，如有重大异议必须在收到上述资料之日起五天内以书面形式送达承包人，逾期不确认也不提出书面意见的，视为同意</w:t>
      </w:r>
      <w:r>
        <w:rPr>
          <w:rFonts w:hint="eastAsia" w:hAnsi="宋体" w:cs="宋体"/>
          <w:color w:val="auto"/>
          <w:highlight w:val="none"/>
        </w:rPr>
        <w:t>。</w:t>
      </w:r>
    </w:p>
    <w:p>
      <w:pPr>
        <w:pStyle w:val="4"/>
        <w:rPr>
          <w:color w:val="auto"/>
          <w:highlight w:val="none"/>
        </w:rPr>
      </w:pPr>
      <w:bookmarkStart w:id="477" w:name="_Toc407135226"/>
      <w:bookmarkStart w:id="478" w:name="_Toc389065290"/>
      <w:bookmarkStart w:id="479" w:name="_Toc373227724"/>
      <w:bookmarkStart w:id="480" w:name="_Toc671"/>
      <w:bookmarkStart w:id="481" w:name="_Toc373478371"/>
      <w:bookmarkStart w:id="482" w:name="_Toc2184"/>
      <w:r>
        <w:rPr>
          <w:color w:val="auto"/>
          <w:highlight w:val="none"/>
        </w:rPr>
        <w:t>7</w:t>
      </w:r>
      <w:bookmarkStart w:id="483" w:name="_Toc304295541"/>
      <w:bookmarkStart w:id="484" w:name="_Toc300934966"/>
      <w:bookmarkStart w:id="485" w:name="_Toc312678005"/>
      <w:bookmarkStart w:id="486" w:name="_Toc303539123"/>
      <w:bookmarkStart w:id="487" w:name="_Toc297216173"/>
      <w:bookmarkStart w:id="488" w:name="_Toc297123514"/>
      <w:bookmarkStart w:id="489" w:name="_Toc312677479"/>
      <w:r>
        <w:rPr>
          <w:color w:val="auto"/>
          <w:highlight w:val="none"/>
        </w:rPr>
        <w:t xml:space="preserve">.2 </w:t>
      </w:r>
      <w:r>
        <w:rPr>
          <w:rFonts w:hint="eastAsia" w:cs="黑体"/>
          <w:color w:val="auto"/>
          <w:highlight w:val="none"/>
        </w:rPr>
        <w:t>施工进度计划</w:t>
      </w:r>
      <w:bookmarkEnd w:id="477"/>
      <w:bookmarkEnd w:id="478"/>
      <w:bookmarkEnd w:id="479"/>
      <w:bookmarkEnd w:id="480"/>
      <w:bookmarkEnd w:id="481"/>
      <w:bookmarkEnd w:id="482"/>
    </w:p>
    <w:p>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pPr>
        <w:autoSpaceDE w:val="0"/>
        <w:autoSpaceDN w:val="0"/>
        <w:adjustRightInd w:val="0"/>
        <w:spacing w:line="360" w:lineRule="auto"/>
        <w:ind w:firstLine="420" w:firstLineChars="200"/>
        <w:rPr>
          <w:color w:val="auto"/>
          <w:highlight w:val="none"/>
        </w:rPr>
      </w:pPr>
      <w:r>
        <w:rPr>
          <w:rFonts w:hint="eastAsia" w:hAnsi="宋体" w:cs="宋体"/>
          <w:color w:val="auto"/>
          <w:highlight w:val="none"/>
        </w:rPr>
        <w:t>发包人和监理人在收到修订的施工进度计划后确认或提出修改意见的期限：</w:t>
      </w:r>
      <w:r>
        <w:rPr>
          <w:rFonts w:hint="eastAsia"/>
          <w:color w:val="auto"/>
          <w:highlight w:val="none"/>
          <w:u w:val="single"/>
        </w:rPr>
        <w:t>除专用条款约定外，发包人和监理人应在收到修订的施工进度计划后7天内完成审核和批准或提出修改意见。发包人和监理人对承包人提交的施工进度计划的确认，不能减轻或免除承包人根据法律规定和合同约定应承担的责任或义务。</w:t>
      </w:r>
    </w:p>
    <w:p>
      <w:pPr>
        <w:pStyle w:val="4"/>
        <w:rPr>
          <w:color w:val="auto"/>
          <w:highlight w:val="none"/>
        </w:rPr>
      </w:pPr>
      <w:bookmarkStart w:id="490" w:name="_Toc407135227"/>
      <w:bookmarkStart w:id="491" w:name="_Toc373227725"/>
      <w:bookmarkStart w:id="492" w:name="_Toc373478372"/>
      <w:bookmarkStart w:id="493" w:name="_Toc389065291"/>
      <w:bookmarkStart w:id="494" w:name="_Toc12848"/>
      <w:bookmarkStart w:id="495" w:name="_Toc23707"/>
      <w:r>
        <w:rPr>
          <w:color w:val="auto"/>
          <w:highlight w:val="none"/>
        </w:rPr>
        <w:t xml:space="preserve">7.3 </w:t>
      </w:r>
      <w:r>
        <w:rPr>
          <w:rFonts w:hint="eastAsia" w:cs="黑体"/>
          <w:color w:val="auto"/>
          <w:highlight w:val="none"/>
        </w:rPr>
        <w:t>开工</w:t>
      </w:r>
      <w:bookmarkEnd w:id="490"/>
      <w:bookmarkEnd w:id="491"/>
      <w:bookmarkEnd w:id="492"/>
      <w:bookmarkEnd w:id="493"/>
      <w:bookmarkEnd w:id="494"/>
      <w:bookmarkEnd w:id="495"/>
    </w:p>
    <w:p>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color w:val="auto"/>
          <w:highlight w:val="none"/>
          <w:u w:val="single"/>
        </w:rPr>
        <w:t xml:space="preserve"> 合同签订后、开工前</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color w:val="auto"/>
          <w:highlight w:val="none"/>
          <w:u w:val="single"/>
        </w:rPr>
        <w:t xml:space="preserve"> 合同签订后、开工前</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color w:val="auto"/>
          <w:highlight w:val="none"/>
          <w:u w:val="single"/>
        </w:rPr>
        <w:t xml:space="preserve"> 合同签订后、开工前</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color w:val="auto"/>
          <w:highlight w:val="none"/>
          <w:u w:val="single"/>
        </w:rPr>
        <w:t xml:space="preserve"> </w:t>
      </w:r>
      <w:r>
        <w:rPr>
          <w:rFonts w:hint="eastAsia"/>
          <w:color w:val="auto"/>
          <w:highlight w:val="none"/>
          <w:u w:val="single"/>
        </w:rPr>
        <w:t>90</w:t>
      </w:r>
      <w:r>
        <w:rPr>
          <w:color w:val="auto"/>
          <w:highlight w:val="none"/>
          <w:u w:val="single"/>
        </w:rPr>
        <w:t xml:space="preserve"> </w:t>
      </w:r>
      <w:r>
        <w:rPr>
          <w:rFonts w:hint="eastAsia" w:hAnsi="宋体" w:cs="宋体"/>
          <w:color w:val="auto"/>
          <w:highlight w:val="none"/>
        </w:rPr>
        <w:t>天内发出开工通知的，承包人有权提出价格调整要求，或者解除合同。</w:t>
      </w:r>
    </w:p>
    <w:bookmarkEnd w:id="483"/>
    <w:bookmarkEnd w:id="484"/>
    <w:bookmarkEnd w:id="485"/>
    <w:bookmarkEnd w:id="486"/>
    <w:bookmarkEnd w:id="487"/>
    <w:bookmarkEnd w:id="488"/>
    <w:bookmarkEnd w:id="489"/>
    <w:p>
      <w:pPr>
        <w:pStyle w:val="4"/>
        <w:rPr>
          <w:color w:val="auto"/>
          <w:highlight w:val="none"/>
        </w:rPr>
      </w:pPr>
      <w:bookmarkStart w:id="496" w:name="_Toc14178"/>
      <w:bookmarkStart w:id="497" w:name="_Toc373478373"/>
      <w:bookmarkStart w:id="498" w:name="_Toc11935"/>
      <w:bookmarkStart w:id="499" w:name="_Toc373227726"/>
      <w:bookmarkStart w:id="500" w:name="_Toc389065292"/>
      <w:bookmarkStart w:id="501" w:name="_Toc407135228"/>
      <w:r>
        <w:rPr>
          <w:color w:val="auto"/>
          <w:highlight w:val="none"/>
        </w:rPr>
        <w:t xml:space="preserve">7.4 </w:t>
      </w:r>
      <w:r>
        <w:rPr>
          <w:rFonts w:hint="eastAsia" w:hAnsi="宋体" w:cs="黑体"/>
          <w:color w:val="auto"/>
          <w:highlight w:val="none"/>
        </w:rPr>
        <w:t>测量放线</w:t>
      </w:r>
      <w:bookmarkEnd w:id="496"/>
      <w:bookmarkEnd w:id="497"/>
      <w:bookmarkEnd w:id="498"/>
      <w:bookmarkEnd w:id="499"/>
      <w:bookmarkEnd w:id="500"/>
      <w:bookmarkEnd w:id="501"/>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pStyle w:val="243"/>
        <w:spacing w:line="360" w:lineRule="auto"/>
        <w:jc w:val="left"/>
        <w:rPr>
          <w:color w:val="auto"/>
          <w:szCs w:val="21"/>
          <w:highlight w:val="none"/>
          <w:u w:val="single"/>
        </w:rPr>
      </w:pPr>
      <w:bookmarkStart w:id="502" w:name="_Toc373227727"/>
      <w:bookmarkStart w:id="503" w:name="_Toc407135229"/>
      <w:bookmarkStart w:id="504" w:name="_Toc389065293"/>
      <w:bookmarkStart w:id="505" w:name="_Toc373478374"/>
      <w:r>
        <w:rPr>
          <w:rFonts w:hint="eastAsia" w:hAnsi="宋体" w:cs="宋体"/>
          <w:color w:val="auto"/>
          <w:highlight w:val="none"/>
          <w:u w:val="single"/>
        </w:rPr>
        <w:t>发包人应在最迟不得晩于开工日期前7天通过监理人向承包人提供测量基准点、基准线和水准点及其书面资料</w:t>
      </w:r>
      <w:r>
        <w:rPr>
          <w:rFonts w:hint="eastAsia" w:hAnsi="宋体" w:cs="宋体"/>
          <w:color w:val="auto"/>
          <w:szCs w:val="21"/>
          <w:highlight w:val="none"/>
        </w:rPr>
        <w:t>。</w:t>
      </w:r>
    </w:p>
    <w:p>
      <w:pPr>
        <w:pStyle w:val="4"/>
        <w:rPr>
          <w:color w:val="auto"/>
          <w:highlight w:val="none"/>
        </w:rPr>
      </w:pPr>
      <w:bookmarkStart w:id="506" w:name="_Toc18747"/>
      <w:bookmarkStart w:id="507" w:name="_Toc28895"/>
      <w:r>
        <w:rPr>
          <w:color w:val="auto"/>
          <w:highlight w:val="none"/>
        </w:rPr>
        <w:t>7</w:t>
      </w:r>
      <w:bookmarkStart w:id="508" w:name="_Toc312677484"/>
      <w:bookmarkStart w:id="509" w:name="_Toc303539125"/>
      <w:bookmarkStart w:id="510" w:name="_Toc304295546"/>
      <w:bookmarkStart w:id="511" w:name="_Toc297123516"/>
      <w:bookmarkStart w:id="512" w:name="_Toc297216175"/>
      <w:bookmarkStart w:id="513" w:name="_Toc312678010"/>
      <w:bookmarkStart w:id="514" w:name="_Toc300934968"/>
      <w:r>
        <w:rPr>
          <w:color w:val="auto"/>
          <w:highlight w:val="none"/>
        </w:rPr>
        <w:t xml:space="preserve">.5 </w:t>
      </w:r>
      <w:r>
        <w:rPr>
          <w:rFonts w:hint="eastAsia" w:hAnsi="宋体" w:cs="黑体"/>
          <w:color w:val="auto"/>
          <w:highlight w:val="none"/>
        </w:rPr>
        <w:t>工期延误</w:t>
      </w:r>
      <w:bookmarkEnd w:id="502"/>
      <w:bookmarkEnd w:id="503"/>
      <w:bookmarkEnd w:id="504"/>
      <w:bookmarkEnd w:id="505"/>
      <w:bookmarkEnd w:id="506"/>
      <w:bookmarkEnd w:id="507"/>
    </w:p>
    <w:bookmarkEnd w:id="508"/>
    <w:bookmarkEnd w:id="509"/>
    <w:bookmarkEnd w:id="510"/>
    <w:bookmarkEnd w:id="511"/>
    <w:bookmarkEnd w:id="512"/>
    <w:bookmarkEnd w:id="513"/>
    <w:bookmarkEnd w:id="514"/>
    <w:p>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highlight w:val="none"/>
          <w:u w:val="single"/>
        </w:rPr>
        <w:t>①重大图纸变更影响关健线路工序施工；②施工期间如因停电、停水连续</w:t>
      </w:r>
      <w:r>
        <w:rPr>
          <w:rFonts w:ascii="宋体" w:hAnsi="宋体" w:cs="宋体"/>
          <w:color w:val="auto"/>
          <w:highlight w:val="none"/>
          <w:u w:val="single"/>
        </w:rPr>
        <w:t>8</w:t>
      </w:r>
      <w:r>
        <w:rPr>
          <w:rFonts w:hint="eastAsia" w:ascii="宋体" w:hAnsi="宋体" w:cs="宋体"/>
          <w:color w:val="auto"/>
          <w:highlight w:val="none"/>
          <w:u w:val="single"/>
        </w:rPr>
        <w:t>小时以上或一周内间歇性停水、停电累计</w:t>
      </w:r>
      <w:r>
        <w:rPr>
          <w:rFonts w:ascii="宋体" w:hAnsi="宋体" w:cs="宋体"/>
          <w:color w:val="auto"/>
          <w:highlight w:val="none"/>
          <w:u w:val="single"/>
        </w:rPr>
        <w:t>8</w:t>
      </w:r>
      <w:r>
        <w:rPr>
          <w:rFonts w:hint="eastAsia" w:ascii="宋体" w:hAnsi="宋体" w:cs="宋体"/>
          <w:color w:val="auto"/>
          <w:highlight w:val="none"/>
          <w:u w:val="single"/>
        </w:rPr>
        <w:t>小时（含</w:t>
      </w:r>
      <w:r>
        <w:rPr>
          <w:rFonts w:ascii="宋体" w:hAnsi="宋体" w:cs="宋体"/>
          <w:color w:val="auto"/>
          <w:highlight w:val="none"/>
          <w:u w:val="single"/>
        </w:rPr>
        <w:t>8</w:t>
      </w:r>
      <w:r>
        <w:rPr>
          <w:rFonts w:hint="eastAsia" w:ascii="宋体" w:hAnsi="宋体" w:cs="宋体"/>
          <w:color w:val="auto"/>
          <w:highlight w:val="none"/>
          <w:u w:val="single"/>
        </w:rPr>
        <w:t>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hAnsi="宋体"/>
          <w:color w:val="auto"/>
          <w:highlight w:val="non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7</w:t>
      </w:r>
      <w:bookmarkStart w:id="515" w:name="_Toc318581169"/>
      <w:bookmarkStart w:id="516" w:name="_Toc312677486"/>
      <w:bookmarkStart w:id="517" w:name="_Toc312678012"/>
      <w:bookmarkStart w:id="518" w:name="_Toc297216177"/>
      <w:bookmarkStart w:id="519" w:name="_Toc297123518"/>
      <w:bookmarkStart w:id="520" w:name="_Toc300934970"/>
      <w:bookmarkStart w:id="521" w:name="_Toc304295548"/>
      <w:bookmarkStart w:id="522" w:name="_Toc303539127"/>
      <w:r>
        <w:rPr>
          <w:color w:val="auto"/>
          <w:highlight w:val="none"/>
        </w:rPr>
        <w:t xml:space="preserve">.5.2 </w:t>
      </w:r>
      <w:r>
        <w:rPr>
          <w:rFonts w:hint="eastAsia" w:hAnsi="宋体" w:cs="宋体"/>
          <w:color w:val="auto"/>
          <w:highlight w:val="none"/>
        </w:rPr>
        <w:t>因承包人原因导致工期延误</w:t>
      </w:r>
    </w:p>
    <w:bookmarkEnd w:id="515"/>
    <w:bookmarkEnd w:id="516"/>
    <w:bookmarkEnd w:id="517"/>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color w:val="auto"/>
          <w:highlight w:val="none"/>
          <w:u w:val="single"/>
        </w:rPr>
        <w:t xml:space="preserve"> </w:t>
      </w:r>
      <w:r>
        <w:rPr>
          <w:rFonts w:hint="eastAsia"/>
          <w:color w:val="auto"/>
          <w:highlight w:val="none"/>
          <w:u w:val="single"/>
        </w:rPr>
        <w:t>非施工单位原因</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w:t>
      </w:r>
      <w:bookmarkStart w:id="523" w:name="_Toc312677487"/>
      <w:bookmarkStart w:id="524" w:name="_Toc318581170"/>
      <w:bookmarkStart w:id="525" w:name="_Toc312678013"/>
      <w:r>
        <w:rPr>
          <w:rFonts w:hint="eastAsia" w:hAnsi="宋体" w:cs="宋体"/>
          <w:color w:val="auto"/>
          <w:highlight w:val="none"/>
        </w:rPr>
        <w:t>承包人原因造成工期延误，逾期竣工违约金的计算方法为：</w:t>
      </w:r>
      <w:r>
        <w:rPr>
          <w:rFonts w:hint="eastAsia" w:ascii="宋体" w:hAnsi="宋体" w:cs="宋体"/>
          <w:color w:val="auto"/>
          <w:highlight w:val="none"/>
          <w:u w:val="single"/>
        </w:rPr>
        <w:t>按逾期竣工的单项工程罚款，每延误一天</w:t>
      </w:r>
      <w:r>
        <w:rPr>
          <w:rFonts w:ascii="宋体" w:cs="宋体"/>
          <w:color w:val="auto"/>
          <w:highlight w:val="none"/>
          <w:u w:val="single"/>
        </w:rPr>
        <w:t>,</w:t>
      </w:r>
      <w:r>
        <w:rPr>
          <w:rFonts w:hint="eastAsia" w:ascii="宋体" w:hAnsi="宋体" w:cs="宋体"/>
          <w:color w:val="auto"/>
          <w:highlight w:val="none"/>
          <w:u w:val="single"/>
        </w:rPr>
        <w:t>按单项工程应支付给承包人的结算造价的万分之一处罚</w:t>
      </w:r>
      <w:r>
        <w:rPr>
          <w:rFonts w:ascii="宋体" w:cs="宋体"/>
          <w:color w:val="auto"/>
          <w:highlight w:val="none"/>
          <w:u w:val="single"/>
        </w:rPr>
        <w:t>,</w:t>
      </w:r>
      <w:r>
        <w:rPr>
          <w:rFonts w:hint="eastAsia" w:ascii="宋体" w:hAnsi="宋体" w:cs="宋体"/>
          <w:color w:val="auto"/>
          <w:highlight w:val="none"/>
          <w:u w:val="single"/>
        </w:rPr>
        <w:t>罚款直接从结算款中扣除。</w:t>
      </w:r>
      <w:r>
        <w:rPr>
          <w:rFonts w:hint="eastAsia" w:hAnsi="宋体" w:cs="宋体"/>
          <w:color w:val="auto"/>
          <w:highlight w:val="none"/>
          <w:u w:val="single"/>
        </w:rPr>
        <w:t>误期时间从规定竣工日期起直到实际竣工日期的天数（扣除发包人批准顺延的工期）。</w:t>
      </w:r>
      <w:bookmarkEnd w:id="518"/>
      <w:bookmarkEnd w:id="519"/>
      <w:bookmarkEnd w:id="520"/>
      <w:bookmarkEnd w:id="521"/>
      <w:bookmarkEnd w:id="522"/>
      <w:bookmarkEnd w:id="523"/>
      <w:bookmarkEnd w:id="524"/>
      <w:bookmarkEnd w:id="525"/>
      <w:r>
        <w:rPr>
          <w:rFonts w:hint="eastAsia" w:hAnsi="宋体" w:cs="宋体"/>
          <w:color w:val="auto"/>
          <w:highlight w:val="none"/>
        </w:rPr>
        <w:t>因承包人原因造成工期延误，逾</w:t>
      </w:r>
      <w:bookmarkStart w:id="526" w:name="_Toc318581171"/>
      <w:bookmarkStart w:id="527" w:name="_Toc312678014"/>
      <w:r>
        <w:rPr>
          <w:rFonts w:hint="eastAsia" w:hAnsi="宋体" w:cs="宋体"/>
          <w:color w:val="auto"/>
          <w:highlight w:val="none"/>
        </w:rPr>
        <w:t>期竣工违约金的上限：</w:t>
      </w:r>
      <w:r>
        <w:rPr>
          <w:rFonts w:hint="eastAsia" w:ascii="宋体" w:hAnsi="宋体" w:cs="宋体"/>
          <w:color w:val="auto"/>
          <w:highlight w:val="none"/>
          <w:u w:val="single"/>
        </w:rPr>
        <w:t>逾期竣工的单项工程结算造价</w:t>
      </w:r>
      <w:r>
        <w:rPr>
          <w:rFonts w:hint="eastAsia" w:hAnsi="宋体" w:cs="宋体"/>
          <w:color w:val="auto"/>
          <w:highlight w:val="none"/>
          <w:u w:val="single"/>
        </w:rPr>
        <w:t>的</w:t>
      </w:r>
      <w:r>
        <w:rPr>
          <w:rFonts w:hint="eastAsia"/>
          <w:color w:val="auto"/>
          <w:highlight w:val="none"/>
          <w:u w:val="single"/>
        </w:rPr>
        <w:t>100</w:t>
      </w:r>
      <w:r>
        <w:rPr>
          <w:color w:val="auto"/>
          <w:highlight w:val="none"/>
          <w:u w:val="single"/>
        </w:rPr>
        <w:t xml:space="preserve"> %</w:t>
      </w:r>
      <w:r>
        <w:rPr>
          <w:rFonts w:hint="eastAsia" w:hAnsi="宋体" w:cs="宋体"/>
          <w:color w:val="auto"/>
          <w:highlight w:val="none"/>
        </w:rPr>
        <w:t>。</w:t>
      </w:r>
    </w:p>
    <w:bookmarkEnd w:id="526"/>
    <w:bookmarkEnd w:id="527"/>
    <w:p>
      <w:pPr>
        <w:pStyle w:val="4"/>
        <w:rPr>
          <w:color w:val="auto"/>
          <w:highlight w:val="none"/>
        </w:rPr>
      </w:pPr>
      <w:bookmarkStart w:id="528" w:name="_Toc30609"/>
      <w:bookmarkStart w:id="529" w:name="_Toc14508"/>
      <w:bookmarkStart w:id="530" w:name="_Toc389065294"/>
      <w:bookmarkStart w:id="531" w:name="_Toc373478375"/>
      <w:bookmarkStart w:id="532" w:name="_Toc407135230"/>
      <w:bookmarkStart w:id="533" w:name="_Toc373227728"/>
      <w:r>
        <w:rPr>
          <w:color w:val="auto"/>
          <w:highlight w:val="none"/>
        </w:rPr>
        <w:t>7</w:t>
      </w:r>
      <w:bookmarkStart w:id="534" w:name="_Toc304295549"/>
      <w:bookmarkStart w:id="535" w:name="_Toc300934971"/>
      <w:bookmarkStart w:id="536" w:name="_Toc297123519"/>
      <w:bookmarkStart w:id="537" w:name="_Toc297216178"/>
      <w:bookmarkStart w:id="538" w:name="_Toc312678015"/>
      <w:bookmarkStart w:id="539" w:name="_Toc303539128"/>
      <w:r>
        <w:rPr>
          <w:color w:val="auto"/>
          <w:highlight w:val="none"/>
        </w:rPr>
        <w:t xml:space="preserve">.6 </w:t>
      </w:r>
      <w:r>
        <w:rPr>
          <w:rFonts w:hint="eastAsia" w:cs="黑体"/>
          <w:color w:val="auto"/>
          <w:highlight w:val="none"/>
        </w:rPr>
        <w:t>不</w:t>
      </w:r>
      <w:bookmarkEnd w:id="534"/>
      <w:bookmarkEnd w:id="535"/>
      <w:bookmarkEnd w:id="536"/>
      <w:bookmarkEnd w:id="537"/>
      <w:bookmarkEnd w:id="538"/>
      <w:bookmarkEnd w:id="539"/>
      <w:r>
        <w:rPr>
          <w:rFonts w:hint="eastAsia" w:cs="黑体"/>
          <w:color w:val="auto"/>
          <w:highlight w:val="none"/>
        </w:rPr>
        <w:t>利物质条件</w:t>
      </w:r>
      <w:bookmarkEnd w:id="528"/>
      <w:bookmarkEnd w:id="529"/>
      <w:bookmarkEnd w:id="530"/>
      <w:bookmarkEnd w:id="531"/>
      <w:bookmarkEnd w:id="532"/>
      <w:bookmarkEnd w:id="533"/>
    </w:p>
    <w:p>
      <w:pPr>
        <w:spacing w:line="360" w:lineRule="auto"/>
        <w:ind w:firstLine="420" w:firstLineChars="200"/>
        <w:jc w:val="left"/>
        <w:rPr>
          <w:color w:val="auto"/>
          <w:highlight w:val="none"/>
          <w:u w:val="single"/>
        </w:rPr>
      </w:pPr>
      <w:bookmarkStart w:id="540" w:name="_Toc297123520"/>
      <w:bookmarkStart w:id="541" w:name="_Toc312678016"/>
      <w:bookmarkStart w:id="542" w:name="_Toc300934972"/>
      <w:bookmarkStart w:id="543" w:name="_Toc297216179"/>
      <w:bookmarkStart w:id="544" w:name="_Toc318581172"/>
      <w:bookmarkStart w:id="545" w:name="_Toc304295550"/>
      <w:bookmarkStart w:id="546" w:name="_Toc303539129"/>
      <w:r>
        <w:rPr>
          <w:rFonts w:hint="eastAsia" w:hAnsi="宋体" w:cs="宋体"/>
          <w:color w:val="auto"/>
          <w:highlight w:val="none"/>
        </w:rPr>
        <w:t>不利物质条件的其他情形和有关约定：</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bookmarkEnd w:id="540"/>
    <w:bookmarkEnd w:id="541"/>
    <w:bookmarkEnd w:id="542"/>
    <w:bookmarkEnd w:id="543"/>
    <w:bookmarkEnd w:id="544"/>
    <w:bookmarkEnd w:id="545"/>
    <w:bookmarkEnd w:id="546"/>
    <w:p>
      <w:pPr>
        <w:pStyle w:val="4"/>
        <w:rPr>
          <w:color w:val="auto"/>
          <w:highlight w:val="none"/>
        </w:rPr>
      </w:pPr>
      <w:bookmarkStart w:id="547" w:name="_Toc407135231"/>
      <w:bookmarkStart w:id="548" w:name="_Toc22029"/>
      <w:bookmarkStart w:id="549" w:name="_Toc389065295"/>
      <w:bookmarkStart w:id="550" w:name="_Toc373478376"/>
      <w:bookmarkStart w:id="551" w:name="_Toc373227729"/>
      <w:bookmarkStart w:id="552" w:name="_Toc8606"/>
      <w:r>
        <w:rPr>
          <w:color w:val="auto"/>
          <w:highlight w:val="none"/>
        </w:rPr>
        <w:t>7</w:t>
      </w:r>
      <w:bookmarkStart w:id="553" w:name="_Toc297123521"/>
      <w:bookmarkStart w:id="554" w:name="_Toc312678017"/>
      <w:bookmarkStart w:id="555" w:name="_Toc297216180"/>
      <w:bookmarkStart w:id="556" w:name="_Toc304295551"/>
      <w:bookmarkStart w:id="557" w:name="_Toc303539130"/>
      <w:bookmarkStart w:id="558" w:name="_Toc300934973"/>
      <w:r>
        <w:rPr>
          <w:color w:val="auto"/>
          <w:highlight w:val="none"/>
        </w:rPr>
        <w:t xml:space="preserve">.7 </w:t>
      </w:r>
      <w:r>
        <w:rPr>
          <w:rFonts w:hint="eastAsia" w:cs="黑体"/>
          <w:color w:val="auto"/>
          <w:highlight w:val="none"/>
        </w:rPr>
        <w:t>异常恶劣的气候条件</w:t>
      </w:r>
      <w:bookmarkEnd w:id="547"/>
      <w:bookmarkEnd w:id="548"/>
      <w:bookmarkEnd w:id="549"/>
      <w:bookmarkEnd w:id="550"/>
      <w:bookmarkEnd w:id="551"/>
      <w:bookmarkEnd w:id="552"/>
    </w:p>
    <w:bookmarkEnd w:id="553"/>
    <w:bookmarkEnd w:id="554"/>
    <w:bookmarkEnd w:id="555"/>
    <w:bookmarkEnd w:id="556"/>
    <w:bookmarkEnd w:id="557"/>
    <w:bookmarkEnd w:id="558"/>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w:t>
      </w:r>
      <w:r>
        <w:rPr>
          <w:color w:val="auto"/>
          <w:highlight w:val="none"/>
          <w:u w:val="single"/>
        </w:rPr>
        <w:t xml:space="preserve"> </w:t>
      </w:r>
      <w:r>
        <w:rPr>
          <w:rFonts w:ascii="宋体" w:hAnsi="宋体" w:cs="宋体"/>
          <w:color w:val="auto"/>
          <w:highlight w:val="none"/>
          <w:u w:val="single"/>
          <w:lang w:val="zh-CN" w:bidi="zh-CN"/>
        </w:rPr>
        <w:t>日降雨量大于</w:t>
      </w:r>
      <w:r>
        <w:rPr>
          <w:rFonts w:ascii="宋体" w:hAnsi="宋体" w:cs="宋体"/>
          <w:color w:val="auto"/>
          <w:highlight w:val="none"/>
          <w:u w:val="single"/>
          <w:lang w:bidi="zh-CN"/>
        </w:rPr>
        <w:t>100mm</w:t>
      </w:r>
      <w:r>
        <w:rPr>
          <w:rFonts w:ascii="宋体" w:hAnsi="宋体" w:cs="宋体"/>
          <w:color w:val="auto"/>
          <w:highlight w:val="none"/>
          <w:u w:val="single"/>
          <w:lang w:val="zh-CN" w:bidi="zh-CN"/>
        </w:rPr>
        <w:t>的雨日</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w:t>
      </w:r>
      <w:r>
        <w:rPr>
          <w:color w:val="auto"/>
          <w:highlight w:val="none"/>
          <w:u w:val="single"/>
        </w:rPr>
        <w:t xml:space="preserve"> </w:t>
      </w:r>
      <w:r>
        <w:rPr>
          <w:rFonts w:ascii="宋体" w:hAnsi="宋体" w:cs="宋体"/>
          <w:color w:val="auto"/>
          <w:highlight w:val="none"/>
          <w:u w:val="single"/>
          <w:lang w:val="zh-CN" w:bidi="zh-CN"/>
        </w:rPr>
        <w:t>6级及以上的大风(以气象部门鉴定为准)</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w:t>
      </w:r>
      <w:r>
        <w:rPr>
          <w:color w:val="auto"/>
          <w:highlight w:val="none"/>
          <w:u w:val="single"/>
        </w:rPr>
        <w:t xml:space="preserve"> </w:t>
      </w:r>
      <w:r>
        <w:rPr>
          <w:rFonts w:ascii="宋体" w:hAnsi="宋体" w:cs="宋体"/>
          <w:color w:val="auto"/>
          <w:highlight w:val="none"/>
          <w:u w:val="single"/>
          <w:lang w:val="zh-CN" w:bidi="zh-CN"/>
        </w:rPr>
        <w:t>日气温超过40°C的高温大于2天</w:t>
      </w:r>
      <w:r>
        <w:rPr>
          <w:rFonts w:hint="eastAsia"/>
          <w:color w:val="auto"/>
          <w:highlight w:val="none"/>
          <w:u w:val="single"/>
        </w:rPr>
        <w:t>；</w:t>
      </w:r>
      <w:r>
        <w:rPr>
          <w:rFonts w:ascii="宋体" w:hAnsi="宋体" w:cs="宋体"/>
          <w:color w:val="auto"/>
          <w:highlight w:val="none"/>
          <w:u w:val="single"/>
          <w:lang w:val="zh-CN" w:bidi="zh-CN"/>
        </w:rPr>
        <w:t>日气温低于-10°C的严寒大于2天</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highlight w:val="none"/>
          <w:lang w:val="zh-CN"/>
        </w:rPr>
      </w:pPr>
      <w:r>
        <w:rPr>
          <w:rFonts w:hint="eastAsia" w:hAnsi="宋体" w:cs="宋体"/>
          <w:color w:val="auto"/>
          <w:highlight w:val="none"/>
        </w:rPr>
        <w:t>（4）</w:t>
      </w:r>
      <w:r>
        <w:rPr>
          <w:rFonts w:hint="eastAsia" w:hAnsi="宋体" w:cs="宋体"/>
          <w:color w:val="auto"/>
          <w:highlight w:val="none"/>
          <w:u w:val="single"/>
        </w:rPr>
        <w:t xml:space="preserve"> </w:t>
      </w:r>
      <w:r>
        <w:rPr>
          <w:rFonts w:hint="eastAsia" w:ascii="宋体" w:hAnsi="宋体" w:cs="宋体"/>
          <w:color w:val="auto"/>
          <w:highlight w:val="none"/>
          <w:u w:val="single"/>
          <w:lang w:val="zh-CN" w:bidi="zh-CN"/>
        </w:rPr>
        <w:t>日气温低于-10°C的严寒大于2天</w:t>
      </w:r>
      <w:r>
        <w:rPr>
          <w:rFonts w:hint="eastAsia" w:hAnsi="宋体" w:cs="宋体"/>
          <w:color w:val="auto"/>
          <w:highlight w:val="none"/>
          <w:lang w:val="zh-CN"/>
        </w:rPr>
        <w:t>；</w:t>
      </w:r>
    </w:p>
    <w:p>
      <w:pPr>
        <w:spacing w:line="360" w:lineRule="auto"/>
        <w:ind w:firstLine="420" w:firstLineChars="200"/>
        <w:jc w:val="left"/>
        <w:rPr>
          <w:rFonts w:hAnsi="宋体" w:cs="宋体"/>
          <w:color w:val="auto"/>
          <w:highlight w:val="none"/>
          <w:lang w:val="zh-CN"/>
        </w:rPr>
      </w:pPr>
      <w:r>
        <w:rPr>
          <w:rFonts w:hint="eastAsia" w:hAnsi="宋体" w:cs="宋体"/>
          <w:color w:val="auto"/>
          <w:highlight w:val="none"/>
          <w:lang w:val="zh-CN"/>
        </w:rPr>
        <w:t>（5）</w:t>
      </w:r>
      <w:r>
        <w:rPr>
          <w:rFonts w:hint="eastAsia" w:hAnsi="宋体" w:cs="宋体"/>
          <w:color w:val="auto"/>
          <w:highlight w:val="none"/>
          <w:u w:val="single"/>
        </w:rPr>
        <w:t xml:space="preserve"> </w:t>
      </w:r>
      <w:r>
        <w:rPr>
          <w:rFonts w:hint="eastAsia" w:ascii="宋体" w:hAnsi="宋体" w:cs="宋体"/>
          <w:color w:val="auto"/>
          <w:highlight w:val="none"/>
          <w:u w:val="single"/>
          <w:lang w:val="zh-CN" w:bidi="zh-CN"/>
        </w:rPr>
        <w:t>造成工程损坏的冰雹和大雪灾害</w:t>
      </w:r>
      <w:r>
        <w:rPr>
          <w:rFonts w:hint="eastAsia" w:hAnsi="宋体" w:cs="宋体"/>
          <w:color w:val="auto"/>
          <w:highlight w:val="none"/>
          <w:lang w:val="zh-CN"/>
        </w:rPr>
        <w:t>；</w:t>
      </w:r>
    </w:p>
    <w:p>
      <w:pPr>
        <w:spacing w:line="360" w:lineRule="auto"/>
        <w:ind w:firstLine="420" w:firstLineChars="200"/>
        <w:jc w:val="left"/>
        <w:rPr>
          <w:rFonts w:hAnsi="宋体" w:cs="宋体"/>
          <w:color w:val="auto"/>
          <w:highlight w:val="none"/>
          <w:lang w:val="zh-CN"/>
        </w:rPr>
      </w:pPr>
      <w:r>
        <w:rPr>
          <w:rFonts w:hint="eastAsia" w:hAnsi="宋体" w:cs="宋体"/>
          <w:color w:val="auto"/>
          <w:highlight w:val="none"/>
          <w:lang w:val="zh-CN"/>
        </w:rPr>
        <w:t>（6）</w:t>
      </w:r>
      <w:r>
        <w:rPr>
          <w:rFonts w:hint="eastAsia" w:hAnsi="宋体" w:cs="宋体"/>
          <w:color w:val="auto"/>
          <w:highlight w:val="none"/>
          <w:u w:val="single"/>
        </w:rPr>
        <w:t xml:space="preserve"> </w:t>
      </w:r>
      <w:r>
        <w:rPr>
          <w:rFonts w:hint="eastAsia" w:ascii="宋体" w:hAnsi="宋体" w:cs="宋体"/>
          <w:color w:val="auto"/>
          <w:highlight w:val="none"/>
          <w:u w:val="single"/>
          <w:lang w:val="zh-CN" w:bidi="zh-CN"/>
        </w:rPr>
        <w:t>6级及以上的地震</w:t>
      </w:r>
      <w:r>
        <w:rPr>
          <w:rFonts w:hint="eastAsia" w:hAnsi="宋体" w:cs="宋体"/>
          <w:color w:val="auto"/>
          <w:highlight w:val="none"/>
          <w:lang w:val="zh-CN"/>
        </w:rPr>
        <w:t>；</w:t>
      </w:r>
    </w:p>
    <w:p>
      <w:pPr>
        <w:spacing w:line="360" w:lineRule="auto"/>
        <w:ind w:firstLine="420" w:firstLineChars="200"/>
        <w:jc w:val="left"/>
        <w:rPr>
          <w:rFonts w:hAnsi="宋体" w:cs="宋体"/>
          <w:color w:val="auto"/>
          <w:highlight w:val="none"/>
          <w:lang w:val="zh-CN"/>
        </w:rPr>
      </w:pPr>
      <w:r>
        <w:rPr>
          <w:rFonts w:hint="eastAsia" w:hAnsi="宋体" w:cs="宋体"/>
          <w:color w:val="auto"/>
          <w:highlight w:val="none"/>
          <w:lang w:val="zh-CN"/>
        </w:rPr>
        <w:t>（7）</w:t>
      </w:r>
      <w:r>
        <w:rPr>
          <w:rFonts w:hint="eastAsia" w:hAnsi="宋体" w:cs="宋体"/>
          <w:color w:val="auto"/>
          <w:highlight w:val="none"/>
          <w:u w:val="single"/>
        </w:rPr>
        <w:t xml:space="preserve"> </w:t>
      </w:r>
      <w:r>
        <w:rPr>
          <w:rFonts w:hint="eastAsia" w:ascii="宋体" w:hAnsi="宋体" w:cs="宋体"/>
          <w:color w:val="auto"/>
          <w:highlight w:val="none"/>
          <w:u w:val="single"/>
          <w:lang w:val="zh-CN" w:bidi="zh-CN"/>
        </w:rPr>
        <w:t>50年一遇及以上的洪水</w:t>
      </w:r>
      <w:r>
        <w:rPr>
          <w:rFonts w:hint="eastAsia" w:hAnsi="宋体" w:cs="宋体"/>
          <w:color w:val="auto"/>
          <w:highlight w:val="none"/>
          <w:lang w:val="zh-CN"/>
        </w:rPr>
        <w:t>；</w:t>
      </w:r>
    </w:p>
    <w:p>
      <w:pPr>
        <w:spacing w:line="360" w:lineRule="auto"/>
        <w:ind w:firstLine="420" w:firstLineChars="200"/>
        <w:jc w:val="left"/>
        <w:rPr>
          <w:rFonts w:hAnsi="宋体" w:cs="宋体"/>
          <w:color w:val="auto"/>
          <w:highlight w:val="none"/>
          <w:lang w:val="zh-CN"/>
        </w:rPr>
      </w:pPr>
      <w:r>
        <w:rPr>
          <w:rFonts w:hint="eastAsia" w:hAnsi="宋体" w:cs="宋体"/>
          <w:color w:val="auto"/>
          <w:highlight w:val="none"/>
          <w:lang w:val="zh-CN"/>
        </w:rPr>
        <w:t>（8）</w:t>
      </w:r>
      <w:r>
        <w:rPr>
          <w:rFonts w:hint="eastAsia" w:hAnsi="宋体" w:cs="宋体"/>
          <w:color w:val="auto"/>
          <w:highlight w:val="none"/>
          <w:u w:val="single"/>
        </w:rPr>
        <w:t xml:space="preserve"> </w:t>
      </w:r>
      <w:r>
        <w:rPr>
          <w:rFonts w:hint="eastAsia" w:ascii="宋体" w:hAnsi="宋体" w:cs="宋体"/>
          <w:color w:val="auto"/>
          <w:highlight w:val="none"/>
          <w:u w:val="single"/>
          <w:lang w:val="zh-CN" w:bidi="zh-CN"/>
        </w:rPr>
        <w:t>能见度低于200 米的雾或霾天气</w:t>
      </w:r>
      <w:r>
        <w:rPr>
          <w:rFonts w:hint="eastAsia" w:hAnsi="宋体" w:cs="宋体"/>
          <w:color w:val="auto"/>
          <w:highlight w:val="none"/>
          <w:lang w:val="zh-CN"/>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（9）</w:t>
      </w:r>
      <w:r>
        <w:rPr>
          <w:rFonts w:hint="eastAsia" w:hAnsi="宋体" w:cs="宋体"/>
          <w:color w:val="auto"/>
          <w:highlight w:val="none"/>
          <w:u w:val="single"/>
        </w:rPr>
        <w:t xml:space="preserve"> </w:t>
      </w:r>
      <w:r>
        <w:rPr>
          <w:rFonts w:hint="eastAsia" w:ascii="宋体" w:hAnsi="宋体" w:cs="宋体"/>
          <w:color w:val="auto"/>
          <w:highlight w:val="none"/>
          <w:u w:val="single"/>
          <w:lang w:val="zh-CN" w:bidi="zh-CN"/>
        </w:rPr>
        <w:t xml:space="preserve">其他异常恶劣气候灾害 </w:t>
      </w:r>
      <w:r>
        <w:rPr>
          <w:rFonts w:hint="eastAsia" w:hAnsi="宋体" w:cs="宋体"/>
          <w:color w:val="auto"/>
          <w:highlight w:val="none"/>
        </w:rPr>
        <w:t>。</w:t>
      </w:r>
    </w:p>
    <w:p>
      <w:pPr>
        <w:pStyle w:val="42"/>
        <w:ind w:firstLine="640"/>
        <w:rPr>
          <w:color w:val="auto"/>
          <w:highlight w:val="none"/>
        </w:rPr>
      </w:pPr>
    </w:p>
    <w:p>
      <w:pPr>
        <w:pStyle w:val="4"/>
        <w:rPr>
          <w:color w:val="auto"/>
          <w:highlight w:val="none"/>
        </w:rPr>
      </w:pPr>
      <w:bookmarkStart w:id="559" w:name="_Toc32321"/>
      <w:bookmarkStart w:id="560" w:name="_Toc373478377"/>
      <w:bookmarkStart w:id="561" w:name="_Toc407135232"/>
      <w:bookmarkStart w:id="562" w:name="_Toc8764"/>
      <w:bookmarkStart w:id="563" w:name="_Toc373227730"/>
      <w:bookmarkStart w:id="564" w:name="_Toc389065296"/>
      <w:r>
        <w:rPr>
          <w:color w:val="auto"/>
          <w:highlight w:val="none"/>
        </w:rPr>
        <w:t xml:space="preserve">7.9 </w:t>
      </w:r>
      <w:r>
        <w:rPr>
          <w:rFonts w:hint="eastAsia" w:hAnsi="宋体" w:cs="黑体"/>
          <w:color w:val="auto"/>
          <w:highlight w:val="none"/>
        </w:rPr>
        <w:t>提前竣工</w:t>
      </w:r>
      <w:bookmarkEnd w:id="559"/>
      <w:bookmarkEnd w:id="560"/>
      <w:bookmarkEnd w:id="561"/>
      <w:bookmarkEnd w:id="562"/>
      <w:bookmarkEnd w:id="563"/>
      <w:bookmarkEnd w:id="564"/>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color w:val="auto"/>
          <w:highlight w:val="none"/>
          <w:u w:val="single"/>
        </w:rPr>
        <w:t xml:space="preserve"> </w:t>
      </w:r>
      <w:r>
        <w:rPr>
          <w:rFonts w:hint="eastAsia"/>
          <w:color w:val="auto"/>
          <w:highlight w:val="none"/>
          <w:u w:val="single"/>
        </w:rPr>
        <w:t xml:space="preserve"> 无 </w:t>
      </w:r>
      <w:r>
        <w:rPr>
          <w:color w:val="auto"/>
          <w:highlight w:val="none"/>
          <w:u w:val="single"/>
        </w:rPr>
        <w:t xml:space="preserve"> </w:t>
      </w:r>
      <w:r>
        <w:rPr>
          <w:rFonts w:hint="eastAsia" w:hAnsi="宋体" w:cs="宋体"/>
          <w:color w:val="auto"/>
          <w:highlight w:val="none"/>
        </w:rPr>
        <w:t>。</w:t>
      </w:r>
    </w:p>
    <w:p>
      <w:pPr>
        <w:pStyle w:val="3"/>
        <w:rPr>
          <w:color w:val="auto"/>
          <w:highlight w:val="none"/>
        </w:rPr>
      </w:pPr>
      <w:bookmarkStart w:id="565" w:name="_Toc407135233"/>
      <w:bookmarkStart w:id="566" w:name="_Toc373478378"/>
      <w:bookmarkStart w:id="567" w:name="_Toc2629"/>
      <w:bookmarkStart w:id="568" w:name="_Toc389065297"/>
      <w:bookmarkStart w:id="569" w:name="_Toc373227731"/>
      <w:bookmarkStart w:id="570" w:name="_Toc10380"/>
      <w:bookmarkStart w:id="571" w:name="_Toc351203640"/>
      <w:r>
        <w:rPr>
          <w:color w:val="auto"/>
          <w:highlight w:val="none"/>
        </w:rPr>
        <w:t xml:space="preserve">8. </w:t>
      </w:r>
      <w:r>
        <w:rPr>
          <w:rFonts w:hint="eastAsia"/>
          <w:color w:val="auto"/>
          <w:highlight w:val="none"/>
        </w:rPr>
        <w:t>材料与设备</w:t>
      </w:r>
      <w:bookmarkEnd w:id="565"/>
      <w:bookmarkEnd w:id="566"/>
      <w:bookmarkEnd w:id="567"/>
      <w:bookmarkEnd w:id="568"/>
      <w:bookmarkEnd w:id="569"/>
      <w:bookmarkEnd w:id="570"/>
      <w:bookmarkEnd w:id="571"/>
    </w:p>
    <w:bookmarkEnd w:id="422"/>
    <w:bookmarkEnd w:id="423"/>
    <w:bookmarkEnd w:id="424"/>
    <w:bookmarkEnd w:id="425"/>
    <w:bookmarkEnd w:id="426"/>
    <w:bookmarkEnd w:id="427"/>
    <w:bookmarkEnd w:id="428"/>
    <w:bookmarkEnd w:id="429"/>
    <w:bookmarkEnd w:id="430"/>
    <w:bookmarkEnd w:id="431"/>
    <w:p>
      <w:pPr>
        <w:pStyle w:val="4"/>
        <w:rPr>
          <w:color w:val="auto"/>
          <w:highlight w:val="none"/>
        </w:rPr>
      </w:pPr>
      <w:bookmarkStart w:id="572" w:name="_Toc5413"/>
      <w:bookmarkStart w:id="573" w:name="_Toc373478379"/>
      <w:bookmarkStart w:id="574" w:name="_Toc373227732"/>
      <w:bookmarkStart w:id="575" w:name="_Toc389065298"/>
      <w:bookmarkStart w:id="576" w:name="_Toc407135234"/>
      <w:bookmarkStart w:id="577" w:name="_Toc8685"/>
      <w:r>
        <w:rPr>
          <w:color w:val="auto"/>
          <w:highlight w:val="none"/>
        </w:rPr>
        <w:t xml:space="preserve">8.2 </w:t>
      </w:r>
      <w:r>
        <w:rPr>
          <w:rFonts w:hint="eastAsia" w:cs="黑体"/>
          <w:color w:val="auto"/>
          <w:highlight w:val="none"/>
        </w:rPr>
        <w:t>承包人采购材料与工程设备</w:t>
      </w:r>
      <w:bookmarkEnd w:id="572"/>
      <w:bookmarkEnd w:id="573"/>
      <w:bookmarkEnd w:id="574"/>
      <w:bookmarkEnd w:id="575"/>
      <w:bookmarkEnd w:id="576"/>
      <w:bookmarkEnd w:id="577"/>
    </w:p>
    <w:p>
      <w:pPr>
        <w:autoSpaceDE w:val="0"/>
        <w:autoSpaceDN w:val="0"/>
        <w:adjustRightInd w:val="0"/>
        <w:spacing w:line="360" w:lineRule="auto"/>
        <w:ind w:firstLine="420" w:firstLineChars="200"/>
        <w:jc w:val="left"/>
        <w:rPr>
          <w:color w:val="auto"/>
          <w:kern w:val="0"/>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）中明确的材料、工程设备外，由承包人负责材料和工程设备的采购、运输和保管。《</w:t>
      </w:r>
      <w:r>
        <w:rPr>
          <w:rFonts w:hint="eastAsia" w:cs="宋体"/>
          <w:color w:val="auto"/>
          <w:highlight w:val="none"/>
        </w:rPr>
        <w:t>承包人提供主要材料和工程设备一览表》</w:t>
      </w:r>
      <w:r>
        <w:rPr>
          <w:rFonts w:hint="eastAsia" w:cs="宋体"/>
          <w:color w:val="auto"/>
          <w:kern w:val="0"/>
          <w:highlight w:val="none"/>
        </w:rPr>
        <w:t>（表</w:t>
      </w:r>
      <w:r>
        <w:rPr>
          <w:color w:val="auto"/>
          <w:kern w:val="0"/>
          <w:highlight w:val="none"/>
        </w:rPr>
        <w:t>-22</w:t>
      </w:r>
      <w:r>
        <w:rPr>
          <w:rFonts w:hint="eastAsia" w:cs="宋体"/>
          <w:color w:val="auto"/>
          <w:kern w:val="0"/>
          <w:highlight w:val="none"/>
        </w:rPr>
        <w:t>）见已标价工程量清单。</w:t>
      </w:r>
    </w:p>
    <w:p>
      <w:pPr>
        <w:autoSpaceDE w:val="0"/>
        <w:autoSpaceDN w:val="0"/>
        <w:adjustRightInd w:val="0"/>
        <w:spacing w:line="360" w:lineRule="auto"/>
        <w:ind w:firstLine="420" w:firstLineChars="200"/>
        <w:jc w:val="left"/>
        <w:rPr>
          <w:color w:val="auto"/>
          <w:highlight w:val="none"/>
        </w:rPr>
      </w:pPr>
      <w:bookmarkStart w:id="578" w:name="_Toc373478380"/>
      <w:bookmarkStart w:id="579" w:name="_Toc373227733"/>
      <w:bookmarkStart w:id="580" w:name="_Toc389065299"/>
      <w:r>
        <w:rPr>
          <w:rFonts w:hint="eastAsia" w:cs="宋体"/>
          <w:color w:val="auto"/>
          <w:highlight w:val="none"/>
        </w:rPr>
        <w:t>对发包人在招标时有“参照或相当于</w:t>
      </w:r>
      <w:r>
        <w:rPr>
          <w:color w:val="auto"/>
          <w:highlight w:val="none"/>
        </w:rPr>
        <w:t>**</w:t>
      </w:r>
      <w:r>
        <w:rPr>
          <w:rFonts w:hint="eastAsia" w:cs="宋体"/>
          <w:color w:val="auto"/>
          <w:highlight w:val="none"/>
        </w:rPr>
        <w:t>品牌、级别”约定的材料或设备，承包人采购时必须按类似于或优于所约定品牌、等级进行采购，施工期间该部分材料或设备如未超过招标约定的风险幅度的，结算时按投标单价支付，不得调整。</w:t>
      </w:r>
    </w:p>
    <w:p>
      <w:pPr>
        <w:pStyle w:val="4"/>
        <w:rPr>
          <w:color w:val="auto"/>
          <w:highlight w:val="none"/>
        </w:rPr>
      </w:pPr>
      <w:bookmarkStart w:id="581" w:name="_Toc20572"/>
      <w:bookmarkStart w:id="582" w:name="_Toc407135235"/>
      <w:bookmarkStart w:id="583" w:name="_Toc863"/>
      <w:r>
        <w:rPr>
          <w:color w:val="auto"/>
          <w:highlight w:val="none"/>
        </w:rPr>
        <w:t>8</w:t>
      </w:r>
      <w:bookmarkStart w:id="584" w:name="_Toc296503167"/>
      <w:bookmarkStart w:id="585" w:name="_Toc303539136"/>
      <w:bookmarkStart w:id="586" w:name="_Toc296347166"/>
      <w:bookmarkStart w:id="587" w:name="_Toc292559877"/>
      <w:bookmarkStart w:id="588" w:name="_Toc292559372"/>
      <w:bookmarkStart w:id="589" w:name="_Toc304295556"/>
      <w:bookmarkStart w:id="590" w:name="_Toc296890995"/>
      <w:bookmarkStart w:id="591" w:name="_Toc296891207"/>
      <w:bookmarkStart w:id="592" w:name="_Toc280868654"/>
      <w:bookmarkStart w:id="593" w:name="_Toc297123527"/>
      <w:bookmarkStart w:id="594" w:name="_Toc300934979"/>
      <w:bookmarkStart w:id="595" w:name="_Toc296944506"/>
      <w:bookmarkStart w:id="596" w:name="_Toc296346668"/>
      <w:bookmarkStart w:id="597" w:name="_Toc312678019"/>
      <w:bookmarkStart w:id="598" w:name="_Toc297120467"/>
      <w:bookmarkStart w:id="599" w:name="_Toc312677493"/>
      <w:bookmarkStart w:id="600" w:name="_Toc297216186"/>
      <w:bookmarkStart w:id="601" w:name="_Toc297048353"/>
      <w:bookmarkStart w:id="602" w:name="_Toc280868656"/>
      <w:bookmarkStart w:id="603" w:name="_Toc267251424"/>
      <w:bookmarkStart w:id="604" w:name="_Toc280868655"/>
      <w:r>
        <w:rPr>
          <w:color w:val="auto"/>
          <w:highlight w:val="none"/>
        </w:rPr>
        <w:t xml:space="preserve">.4 </w:t>
      </w:r>
      <w:r>
        <w:rPr>
          <w:rFonts w:hint="eastAsia" w:cs="黑体"/>
          <w:color w:val="auto"/>
          <w:highlight w:val="none"/>
        </w:rPr>
        <w:t>材料与工程设备的保管与使用</w:t>
      </w:r>
      <w:bookmarkEnd w:id="578"/>
      <w:bookmarkEnd w:id="579"/>
      <w:bookmarkEnd w:id="580"/>
      <w:bookmarkEnd w:id="581"/>
      <w:bookmarkEnd w:id="582"/>
      <w:bookmarkEnd w:id="583"/>
    </w:p>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Pr>
        <w:spacing w:line="360" w:lineRule="auto"/>
        <w:ind w:firstLine="420" w:firstLineChars="200"/>
        <w:jc w:val="left"/>
        <w:rPr>
          <w:color w:val="auto"/>
          <w:highlight w:val="none"/>
          <w:u w:val="single"/>
        </w:rPr>
      </w:pPr>
      <w:r>
        <w:rPr>
          <w:color w:val="auto"/>
          <w:highlight w:val="none"/>
        </w:rPr>
        <w:t>8</w:t>
      </w:r>
      <w:bookmarkStart w:id="605" w:name="_Toc292559878"/>
      <w:bookmarkStart w:id="606" w:name="_Toc292559373"/>
      <w:bookmarkStart w:id="607" w:name="_Toc303539137"/>
      <w:bookmarkStart w:id="608" w:name="_Toc297120468"/>
      <w:bookmarkStart w:id="609" w:name="_Toc297216187"/>
      <w:bookmarkStart w:id="610" w:name="_Toc300934980"/>
      <w:bookmarkStart w:id="611" w:name="_Toc318581173"/>
      <w:bookmarkStart w:id="612" w:name="_Toc296891208"/>
      <w:bookmarkStart w:id="613" w:name="_Toc297048354"/>
      <w:bookmarkStart w:id="614" w:name="_Toc297123528"/>
      <w:bookmarkStart w:id="615" w:name="_Toc296944507"/>
      <w:bookmarkStart w:id="616" w:name="_Toc296347167"/>
      <w:bookmarkStart w:id="617" w:name="_Toc296890996"/>
      <w:bookmarkStart w:id="618" w:name="_Toc312678020"/>
      <w:bookmarkStart w:id="619" w:name="_Toc304295557"/>
      <w:bookmarkStart w:id="620" w:name="_Toc296503168"/>
      <w:bookmarkStart w:id="621" w:name="_Toc296346669"/>
      <w:bookmarkStart w:id="622" w:name="_Toc312677494"/>
      <w:r>
        <w:rPr>
          <w:color w:val="auto"/>
          <w:highlight w:val="none"/>
        </w:rPr>
        <w:t>.4.1</w:t>
      </w:r>
      <w:r>
        <w:rPr>
          <w:rFonts w:hint="eastAsia" w:hAnsi="宋体" w:cs="宋体"/>
          <w:color w:val="auto"/>
          <w:highlight w:val="none"/>
        </w:rPr>
        <w:t>发包人供应的材料设备的保管费用的承担：</w:t>
      </w:r>
      <w:r>
        <w:rPr>
          <w:color w:val="auto"/>
          <w:highlight w:val="none"/>
          <w:u w:val="single"/>
        </w:rPr>
        <w:t xml:space="preserve"> 除已标价工程量清单《发包人提供主要材料和工程设备一览表》（表-21）中明确的材料、工程设备外，由承包人负责材料和工程设备的采购、运输和保管。《承包人提供主要材料和工程设备一览表》（表-22）见已标价工程量清单 </w:t>
      </w:r>
      <w:r>
        <w:rPr>
          <w:rFonts w:hint="eastAsia" w:hAnsi="宋体" w:cs="宋体"/>
          <w:color w:val="auto"/>
          <w:highlight w:val="none"/>
        </w:rPr>
        <w:t>。</w:t>
      </w:r>
    </w:p>
    <w:bookmarkEnd w:id="605"/>
    <w:bookmarkEnd w:id="606"/>
    <w:p>
      <w:pPr>
        <w:pStyle w:val="4"/>
        <w:rPr>
          <w:color w:val="auto"/>
          <w:highlight w:val="none"/>
        </w:rPr>
      </w:pPr>
      <w:bookmarkStart w:id="623" w:name="_Toc4451"/>
      <w:bookmarkStart w:id="624" w:name="_Toc373227734"/>
      <w:bookmarkStart w:id="625" w:name="_Toc24251"/>
      <w:bookmarkStart w:id="626" w:name="_Toc389065300"/>
      <w:bookmarkStart w:id="627" w:name="_Toc407135236"/>
      <w:bookmarkStart w:id="628" w:name="_Toc373478381"/>
      <w:r>
        <w:rPr>
          <w:color w:val="auto"/>
          <w:highlight w:val="none"/>
        </w:rPr>
        <w:t xml:space="preserve">8.6 </w:t>
      </w:r>
      <w:r>
        <w:rPr>
          <w:rFonts w:hint="eastAsia" w:hAnsi="宋体" w:cs="黑体"/>
          <w:color w:val="auto"/>
          <w:highlight w:val="none"/>
        </w:rPr>
        <w:t>样品</w:t>
      </w:r>
      <w:bookmarkEnd w:id="623"/>
      <w:bookmarkEnd w:id="624"/>
      <w:bookmarkEnd w:id="625"/>
      <w:bookmarkEnd w:id="626"/>
      <w:bookmarkEnd w:id="627"/>
      <w:bookmarkEnd w:id="628"/>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pStyle w:val="4"/>
        <w:rPr>
          <w:color w:val="auto"/>
          <w:highlight w:val="none"/>
        </w:rPr>
      </w:pPr>
      <w:bookmarkStart w:id="629" w:name="_Toc636"/>
      <w:bookmarkStart w:id="630" w:name="_Toc389065301"/>
      <w:bookmarkStart w:id="631" w:name="_Toc373478382"/>
      <w:bookmarkStart w:id="632" w:name="_Toc373227735"/>
      <w:bookmarkStart w:id="633" w:name="_Toc407135237"/>
      <w:bookmarkStart w:id="634" w:name="_Toc21819"/>
      <w:r>
        <w:rPr>
          <w:color w:val="auto"/>
          <w:highlight w:val="none"/>
        </w:rPr>
        <w:t xml:space="preserve">8.8 </w:t>
      </w:r>
      <w:r>
        <w:rPr>
          <w:rFonts w:hint="eastAsia" w:cs="黑体"/>
          <w:color w:val="auto"/>
          <w:highlight w:val="none"/>
        </w:rPr>
        <w:t>施工设备和临时设施</w:t>
      </w:r>
      <w:bookmarkEnd w:id="629"/>
      <w:bookmarkEnd w:id="630"/>
      <w:bookmarkEnd w:id="631"/>
      <w:bookmarkEnd w:id="632"/>
      <w:bookmarkEnd w:id="633"/>
      <w:bookmarkEnd w:id="634"/>
    </w:p>
    <w:p>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承包人用于本工程的主要机械设备清单见合同附件4。</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360" w:lineRule="auto"/>
        <w:ind w:firstLine="420" w:firstLineChars="200"/>
        <w:rPr>
          <w:color w:val="auto"/>
          <w:highlight w:val="none"/>
          <w:u w:val="single"/>
        </w:rPr>
      </w:pPr>
      <w:r>
        <w:rPr>
          <w:color w:val="auto"/>
          <w:highlight w:val="none"/>
          <w:u w:val="single"/>
        </w:rPr>
        <w:t xml:space="preserve"> </w:t>
      </w:r>
      <w:r>
        <w:rPr>
          <w:rFonts w:hint="eastAsia"/>
          <w:color w:val="auto"/>
          <w:highlight w:val="none"/>
          <w:u w:val="single"/>
        </w:rPr>
        <w:t>①</w:t>
      </w:r>
      <w:r>
        <w:rPr>
          <w:color w:val="auto"/>
          <w:highlight w:val="none"/>
          <w:u w:val="single"/>
        </w:rPr>
        <w:t>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360" w:lineRule="auto"/>
        <w:ind w:firstLine="420" w:firstLineChars="200"/>
        <w:rPr>
          <w:color w:val="auto"/>
          <w:highlight w:val="none"/>
          <w:u w:val="single"/>
        </w:rPr>
      </w:pPr>
      <w:r>
        <w:rPr>
          <w:rFonts w:hint="eastAsia"/>
          <w:color w:val="auto"/>
          <w:highlight w:val="none"/>
          <w:u w:val="single"/>
        </w:rPr>
        <w:t>②</w:t>
      </w:r>
      <w:r>
        <w:rPr>
          <w:color w:val="auto"/>
          <w:highlight w:val="none"/>
          <w:u w:val="single"/>
        </w:rPr>
        <w:t>承包人负责合同实施期间其合同段内临时交通道路（含场内外连接公共交通道路）和交通设施的修建、维修、养护和交通管理工作，并承担一切费用。</w:t>
      </w:r>
    </w:p>
    <w:p>
      <w:pPr>
        <w:pStyle w:val="243"/>
        <w:autoSpaceDE w:val="0"/>
        <w:autoSpaceDN w:val="0"/>
        <w:adjustRightInd w:val="0"/>
        <w:spacing w:line="360" w:lineRule="auto"/>
        <w:ind w:firstLine="420" w:firstLineChars="200"/>
        <w:jc w:val="left"/>
        <w:rPr>
          <w:color w:val="auto"/>
          <w:szCs w:val="21"/>
          <w:highlight w:val="none"/>
          <w:u w:val="single"/>
        </w:rPr>
      </w:pPr>
      <w:r>
        <w:rPr>
          <w:rFonts w:hint="eastAsia"/>
          <w:color w:val="auto"/>
          <w:highlight w:val="none"/>
          <w:u w:val="single"/>
        </w:rPr>
        <w:t>③</w:t>
      </w:r>
      <w:r>
        <w:rPr>
          <w:color w:val="auto"/>
          <w:highlight w:val="none"/>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243"/>
        <w:autoSpaceDE w:val="0"/>
        <w:autoSpaceDN w:val="0"/>
        <w:adjustRightInd w:val="0"/>
        <w:spacing w:line="360" w:lineRule="auto"/>
        <w:ind w:firstLine="420" w:firstLineChars="200"/>
        <w:jc w:val="left"/>
        <w:rPr>
          <w:color w:val="auto"/>
          <w:highlight w:val="none"/>
          <w:u w:val="single"/>
        </w:rPr>
      </w:pPr>
      <w:r>
        <w:rPr>
          <w:color w:val="auto"/>
          <w:highlight w:val="none"/>
          <w:u w:val="single"/>
        </w:rPr>
        <w:t>需要承包人办理申请手续和承担相关费用的临时占地：承包人必须遵从发包人和监理人对现场总平面布置的控制，进行相应的施工平面布置，施工现场内主要布置施工生产性临时设施和办公设施，生活临时设施及场地由承包人在现场外解决，发包人不再在本工程现场以外提供临时设施场地， 发包人不会因为提供给承包人的施工临时占地面积不足补偿承包人任何费用，也不会延长工期。</w:t>
      </w:r>
    </w:p>
    <w:p>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hint="eastAsia" w:hAnsi="宋体" w:cs="宋体"/>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hint="eastAsia" w:hAnsi="宋体" w:cs="宋体"/>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Pr>
        <w:pStyle w:val="3"/>
        <w:rPr>
          <w:color w:val="auto"/>
          <w:highlight w:val="none"/>
        </w:rPr>
      </w:pPr>
      <w:bookmarkStart w:id="635" w:name="_Toc373478383"/>
      <w:bookmarkStart w:id="636" w:name="_Toc407135238"/>
      <w:bookmarkStart w:id="637" w:name="_Toc351203641"/>
      <w:bookmarkStart w:id="638" w:name="_Toc373227736"/>
      <w:bookmarkStart w:id="639" w:name="_Toc12632"/>
      <w:bookmarkStart w:id="640" w:name="_Toc6168"/>
      <w:bookmarkStart w:id="641" w:name="_Toc389065302"/>
      <w:r>
        <w:rPr>
          <w:color w:val="auto"/>
          <w:highlight w:val="none"/>
        </w:rPr>
        <w:t>9</w:t>
      </w:r>
      <w:bookmarkEnd w:id="602"/>
      <w:bookmarkEnd w:id="603"/>
      <w:bookmarkEnd w:id="604"/>
      <w:bookmarkStart w:id="642" w:name="_Toc297216192"/>
      <w:bookmarkStart w:id="643" w:name="_Toc300934982"/>
      <w:bookmarkStart w:id="644" w:name="_Toc312677495"/>
      <w:bookmarkStart w:id="645" w:name="_Toc297123533"/>
      <w:bookmarkStart w:id="646" w:name="_Toc304295559"/>
      <w:bookmarkStart w:id="647" w:name="_Toc303539139"/>
      <w:bookmarkStart w:id="648" w:name="_Toc312678021"/>
      <w:bookmarkStart w:id="649" w:name="_Toc296891001"/>
      <w:bookmarkStart w:id="650" w:name="_Toc297120473"/>
      <w:bookmarkStart w:id="651" w:name="_Toc296346674"/>
      <w:bookmarkStart w:id="652" w:name="_Toc296503173"/>
      <w:bookmarkStart w:id="653" w:name="_Toc296944512"/>
      <w:bookmarkStart w:id="654" w:name="_Toc292559883"/>
      <w:bookmarkStart w:id="655" w:name="_Toc292559378"/>
      <w:bookmarkStart w:id="656" w:name="_Toc267251428"/>
      <w:bookmarkStart w:id="657" w:name="_Toc267251427"/>
      <w:bookmarkStart w:id="658" w:name="_Toc296891213"/>
      <w:bookmarkStart w:id="659" w:name="_Toc296347172"/>
      <w:bookmarkStart w:id="660" w:name="_Toc297048359"/>
      <w:r>
        <w:rPr>
          <w:color w:val="auto"/>
          <w:highlight w:val="none"/>
        </w:rPr>
        <w:t xml:space="preserve">. </w:t>
      </w:r>
      <w:r>
        <w:rPr>
          <w:rFonts w:hint="eastAsia"/>
          <w:color w:val="auto"/>
          <w:highlight w:val="none"/>
        </w:rPr>
        <w:t>试验与检验</w:t>
      </w:r>
      <w:bookmarkEnd w:id="635"/>
      <w:bookmarkEnd w:id="636"/>
      <w:bookmarkEnd w:id="637"/>
      <w:bookmarkEnd w:id="638"/>
      <w:bookmarkEnd w:id="639"/>
      <w:bookmarkEnd w:id="640"/>
      <w:bookmarkEnd w:id="641"/>
    </w:p>
    <w:bookmarkEnd w:id="642"/>
    <w:bookmarkEnd w:id="643"/>
    <w:bookmarkEnd w:id="644"/>
    <w:bookmarkEnd w:id="645"/>
    <w:bookmarkEnd w:id="646"/>
    <w:bookmarkEnd w:id="647"/>
    <w:bookmarkEnd w:id="648"/>
    <w:p>
      <w:pPr>
        <w:pStyle w:val="4"/>
        <w:rPr>
          <w:color w:val="auto"/>
          <w:highlight w:val="none"/>
        </w:rPr>
      </w:pPr>
      <w:bookmarkStart w:id="661" w:name="_Toc389065303"/>
      <w:bookmarkStart w:id="662" w:name="_Toc407135239"/>
      <w:bookmarkStart w:id="663" w:name="_Toc373478384"/>
      <w:bookmarkStart w:id="664" w:name="_Toc373227737"/>
      <w:bookmarkStart w:id="665" w:name="_Toc12871"/>
      <w:bookmarkStart w:id="666" w:name="_Toc31431"/>
      <w:r>
        <w:rPr>
          <w:color w:val="auto"/>
          <w:highlight w:val="none"/>
        </w:rPr>
        <w:t>9</w:t>
      </w:r>
      <w:bookmarkStart w:id="667" w:name="_Toc297123534"/>
      <w:bookmarkStart w:id="668" w:name="_Toc304295560"/>
      <w:bookmarkStart w:id="669" w:name="_Toc297216193"/>
      <w:bookmarkStart w:id="670" w:name="_Toc303539140"/>
      <w:bookmarkStart w:id="671" w:name="_Toc312678022"/>
      <w:bookmarkStart w:id="672" w:name="_Toc312677496"/>
      <w:bookmarkStart w:id="673" w:name="_Toc300934983"/>
      <w:r>
        <w:rPr>
          <w:color w:val="auto"/>
          <w:highlight w:val="none"/>
        </w:rPr>
        <w:t xml:space="preserve">.1 </w:t>
      </w:r>
      <w:r>
        <w:rPr>
          <w:rFonts w:hint="eastAsia" w:cs="黑体"/>
          <w:color w:val="auto"/>
          <w:highlight w:val="none"/>
        </w:rPr>
        <w:t>试验设备与试验人员</w:t>
      </w:r>
      <w:bookmarkEnd w:id="661"/>
      <w:bookmarkEnd w:id="662"/>
      <w:bookmarkEnd w:id="663"/>
      <w:bookmarkEnd w:id="664"/>
      <w:bookmarkEnd w:id="665"/>
      <w:bookmarkEnd w:id="666"/>
    </w:p>
    <w:bookmarkEnd w:id="667"/>
    <w:bookmarkEnd w:id="668"/>
    <w:bookmarkEnd w:id="669"/>
    <w:bookmarkEnd w:id="670"/>
    <w:bookmarkEnd w:id="671"/>
    <w:bookmarkEnd w:id="672"/>
    <w:bookmarkEnd w:id="673"/>
    <w:p>
      <w:pPr>
        <w:spacing w:line="360" w:lineRule="auto"/>
        <w:ind w:firstLine="420" w:firstLineChars="200"/>
        <w:jc w:val="left"/>
        <w:rPr>
          <w:color w:val="auto"/>
          <w:highlight w:val="none"/>
        </w:rPr>
      </w:pPr>
      <w:r>
        <w:rPr>
          <w:color w:val="auto"/>
          <w:highlight w:val="none"/>
        </w:rPr>
        <w:t>9</w:t>
      </w:r>
      <w:bookmarkStart w:id="674" w:name="_Toc312677497"/>
      <w:bookmarkStart w:id="675" w:name="_Toc300934984"/>
      <w:bookmarkStart w:id="676" w:name="_Toc297216194"/>
      <w:bookmarkStart w:id="677" w:name="_Toc303539141"/>
      <w:bookmarkStart w:id="678" w:name="_Toc304295561"/>
      <w:bookmarkStart w:id="679" w:name="_Toc312678023"/>
      <w:bookmarkStart w:id="680" w:name="_Toc297123535"/>
      <w:bookmarkStart w:id="681"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674"/>
      <w:bookmarkEnd w:id="675"/>
      <w:bookmarkEnd w:id="676"/>
      <w:bookmarkEnd w:id="677"/>
      <w:bookmarkEnd w:id="678"/>
      <w:bookmarkEnd w:id="679"/>
      <w:bookmarkEnd w:id="680"/>
      <w:bookmarkStart w:id="682" w:name="_Toc312677498"/>
      <w:bookmarkStart w:id="683" w:name="_Toc303539142"/>
      <w:bookmarkStart w:id="684" w:name="_Toc297216195"/>
      <w:bookmarkStart w:id="685" w:name="_Toc312678024"/>
      <w:bookmarkStart w:id="686" w:name="_Toc304295562"/>
      <w:bookmarkStart w:id="687" w:name="_Toc300934985"/>
      <w:bookmarkStart w:id="688" w:name="_Toc297123536"/>
      <w:r>
        <w:rPr>
          <w:rFonts w:hint="eastAsia" w:hAnsi="宋体" w:cs="宋体"/>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color w:val="auto"/>
          <w:highlight w:val="none"/>
          <w:u w:val="single"/>
        </w:rPr>
        <w:t xml:space="preserve"> 按项目检验需要配备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689" w:name="_Toc373227738"/>
      <w:bookmarkStart w:id="690" w:name="_Toc373478385"/>
      <w:bookmarkStart w:id="691" w:name="_Toc389065304"/>
      <w:bookmarkStart w:id="692" w:name="_Toc407135240"/>
      <w:bookmarkStart w:id="693" w:name="_Toc3476"/>
      <w:bookmarkStart w:id="694" w:name="_Toc27237"/>
      <w:r>
        <w:rPr>
          <w:color w:val="auto"/>
          <w:highlight w:val="none"/>
        </w:rPr>
        <w:t xml:space="preserve">9.4 </w:t>
      </w:r>
      <w:r>
        <w:rPr>
          <w:rFonts w:hint="eastAsia" w:hAnsi="宋体" w:cs="黑体"/>
          <w:color w:val="auto"/>
          <w:highlight w:val="none"/>
        </w:rPr>
        <w:t>现场工艺试验</w:t>
      </w:r>
      <w:bookmarkEnd w:id="689"/>
      <w:bookmarkEnd w:id="690"/>
      <w:bookmarkEnd w:id="691"/>
      <w:bookmarkEnd w:id="692"/>
      <w:bookmarkEnd w:id="693"/>
      <w:bookmarkEnd w:id="694"/>
      <w:r>
        <w:rPr>
          <w:color w:val="auto"/>
          <w:highlight w:val="none"/>
        </w:rPr>
        <w:t xml:space="preserve"> </w:t>
      </w:r>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695" w:name="_Toc407135241"/>
      <w:bookmarkStart w:id="696" w:name="_Toc9981"/>
      <w:bookmarkStart w:id="697" w:name="_Toc11921"/>
      <w:bookmarkStart w:id="698" w:name="OLE_LINK1"/>
      <w:r>
        <w:rPr>
          <w:color w:val="auto"/>
          <w:highlight w:val="none"/>
        </w:rPr>
        <w:t xml:space="preserve">9.5 </w:t>
      </w:r>
      <w:r>
        <w:rPr>
          <w:rFonts w:hint="eastAsia" w:hAnsi="宋体" w:cs="黑体"/>
          <w:color w:val="auto"/>
          <w:highlight w:val="none"/>
        </w:rPr>
        <w:t>检验费用</w:t>
      </w:r>
      <w:bookmarkEnd w:id="695"/>
      <w:bookmarkEnd w:id="696"/>
      <w:bookmarkEnd w:id="697"/>
    </w:p>
    <w:p>
      <w:pPr>
        <w:spacing w:line="360" w:lineRule="auto"/>
        <w:ind w:firstLine="411" w:firstLineChars="196"/>
        <w:rPr>
          <w:rFonts w:hAnsi="宋体" w:cs="宋体"/>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p>
      <w:pPr>
        <w:spacing w:line="360" w:lineRule="auto"/>
        <w:ind w:firstLine="411" w:firstLineChars="196"/>
        <w:rPr>
          <w:color w:val="auto"/>
          <w:highlight w:val="none"/>
        </w:rPr>
      </w:pPr>
      <w:r>
        <w:rPr>
          <w:rFonts w:hint="eastAsia" w:hAnsi="宋体" w:cs="宋体"/>
          <w:color w:val="auto"/>
          <w:highlight w:val="none"/>
        </w:rPr>
        <w:t>承包人有义务配合发包人管理检验费用控制，严格执行《广西壮族自治区建设工程质量检测管理规定》（桂建管〔</w:t>
      </w:r>
      <w:r>
        <w:rPr>
          <w:rFonts w:hAnsi="宋体" w:cs="宋体"/>
          <w:color w:val="auto"/>
          <w:highlight w:val="none"/>
        </w:rPr>
        <w:t>2013</w:t>
      </w:r>
      <w:r>
        <w:rPr>
          <w:rFonts w:hint="eastAsia" w:hAnsi="宋体" w:cs="宋体"/>
          <w:color w:val="auto"/>
          <w:highlight w:val="none"/>
        </w:rPr>
        <w:t>〕</w:t>
      </w:r>
      <w:r>
        <w:rPr>
          <w:rFonts w:hAnsi="宋体" w:cs="宋体"/>
          <w:color w:val="auto"/>
          <w:highlight w:val="none"/>
        </w:rPr>
        <w:t xml:space="preserve">11 </w:t>
      </w:r>
      <w:r>
        <w:rPr>
          <w:rFonts w:hint="eastAsia" w:hAnsi="宋体" w:cs="宋体"/>
          <w:color w:val="auto"/>
          <w:highlight w:val="none"/>
        </w:rPr>
        <w:t>号）规定，按材料取样上限数计取送检次数。如超岀合理次数或因承包人原因重复送检产生的检验试验费用由承包人承担。</w:t>
      </w:r>
    </w:p>
    <w:bookmarkEnd w:id="681"/>
    <w:bookmarkEnd w:id="682"/>
    <w:bookmarkEnd w:id="683"/>
    <w:bookmarkEnd w:id="684"/>
    <w:bookmarkEnd w:id="685"/>
    <w:bookmarkEnd w:id="686"/>
    <w:bookmarkEnd w:id="687"/>
    <w:bookmarkEnd w:id="688"/>
    <w:bookmarkEnd w:id="698"/>
    <w:p>
      <w:pPr>
        <w:pStyle w:val="3"/>
        <w:rPr>
          <w:color w:val="auto"/>
          <w:highlight w:val="none"/>
        </w:rPr>
      </w:pPr>
      <w:bookmarkStart w:id="699" w:name="_Toc389065305"/>
      <w:bookmarkStart w:id="700" w:name="_Toc407135242"/>
      <w:bookmarkStart w:id="701" w:name="_Toc373478386"/>
      <w:bookmarkStart w:id="702" w:name="_Toc351203642"/>
      <w:bookmarkStart w:id="703" w:name="_Toc24993"/>
      <w:bookmarkStart w:id="704" w:name="_Toc373227739"/>
      <w:bookmarkStart w:id="705" w:name="_Toc16716"/>
      <w:r>
        <w:rPr>
          <w:color w:val="auto"/>
          <w:highlight w:val="none"/>
        </w:rPr>
        <w:t>1</w:t>
      </w:r>
      <w:bookmarkEnd w:id="649"/>
      <w:bookmarkEnd w:id="650"/>
      <w:bookmarkEnd w:id="651"/>
      <w:bookmarkEnd w:id="652"/>
      <w:bookmarkEnd w:id="653"/>
      <w:bookmarkEnd w:id="654"/>
      <w:bookmarkEnd w:id="655"/>
      <w:bookmarkEnd w:id="656"/>
      <w:bookmarkEnd w:id="657"/>
      <w:bookmarkEnd w:id="658"/>
      <w:bookmarkEnd w:id="659"/>
      <w:bookmarkEnd w:id="660"/>
      <w:bookmarkStart w:id="706" w:name="_Toc292559398"/>
      <w:bookmarkStart w:id="707" w:name="_Toc296347192"/>
      <w:bookmarkStart w:id="708" w:name="_Toc300934989"/>
      <w:bookmarkStart w:id="709" w:name="_Toc296944532"/>
      <w:bookmarkStart w:id="710" w:name="_Toc297120493"/>
      <w:bookmarkStart w:id="711" w:name="_Toc297216199"/>
      <w:bookmarkStart w:id="712" w:name="_Toc296891233"/>
      <w:bookmarkStart w:id="713" w:name="_Toc296891021"/>
      <w:bookmarkStart w:id="714" w:name="_Toc297048379"/>
      <w:bookmarkStart w:id="715" w:name="_Toc296503193"/>
      <w:bookmarkStart w:id="716" w:name="_Toc303539146"/>
      <w:bookmarkStart w:id="717" w:name="_Toc296346694"/>
      <w:bookmarkStart w:id="718" w:name="_Toc304295566"/>
      <w:bookmarkStart w:id="719" w:name="_Toc292559903"/>
      <w:bookmarkStart w:id="720" w:name="_Toc297123540"/>
      <w:bookmarkStart w:id="721" w:name="_Toc312677499"/>
      <w:bookmarkStart w:id="722" w:name="_Toc312678025"/>
      <w:bookmarkStart w:id="723" w:name="_Toc267251437"/>
      <w:bookmarkStart w:id="724" w:name="_Toc267251440"/>
      <w:bookmarkStart w:id="725" w:name="_Toc267251435"/>
      <w:bookmarkStart w:id="726" w:name="_Toc267251441"/>
      <w:bookmarkStart w:id="727" w:name="_Toc267251439"/>
      <w:bookmarkStart w:id="728" w:name="_Toc267251433"/>
      <w:bookmarkStart w:id="729" w:name="_Toc267251442"/>
      <w:r>
        <w:rPr>
          <w:color w:val="auto"/>
          <w:highlight w:val="none"/>
        </w:rPr>
        <w:t xml:space="preserve">0. </w:t>
      </w:r>
      <w:r>
        <w:rPr>
          <w:rFonts w:hint="eastAsia" w:hAnsi="宋体" w:cs="黑体"/>
          <w:color w:val="auto"/>
          <w:highlight w:val="none"/>
        </w:rPr>
        <w:t>变更</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bookmarkEnd w:id="721"/>
    <w:bookmarkEnd w:id="722"/>
    <w:p>
      <w:pPr>
        <w:pStyle w:val="4"/>
        <w:rPr>
          <w:color w:val="auto"/>
          <w:highlight w:val="none"/>
        </w:rPr>
      </w:pPr>
      <w:bookmarkStart w:id="730" w:name="_Toc17739"/>
      <w:bookmarkStart w:id="731" w:name="_Toc373227740"/>
      <w:bookmarkStart w:id="732" w:name="_Toc24523"/>
      <w:bookmarkStart w:id="733" w:name="_Toc389065306"/>
      <w:bookmarkStart w:id="734" w:name="_Toc407135243"/>
      <w:bookmarkStart w:id="735" w:name="_Toc373478387"/>
      <w:r>
        <w:rPr>
          <w:color w:val="auto"/>
          <w:highlight w:val="none"/>
        </w:rPr>
        <w:t>1</w:t>
      </w:r>
      <w:bookmarkStart w:id="736" w:name="_Toc296891234"/>
      <w:bookmarkStart w:id="737" w:name="_Toc292559399"/>
      <w:bookmarkStart w:id="738" w:name="_Toc296891022"/>
      <w:bookmarkStart w:id="739" w:name="_Toc297048380"/>
      <w:bookmarkStart w:id="740" w:name="_Toc296944533"/>
      <w:bookmarkStart w:id="741" w:name="_Toc304295567"/>
      <w:bookmarkStart w:id="742" w:name="_Toc296503194"/>
      <w:bookmarkStart w:id="743" w:name="_Toc303539147"/>
      <w:bookmarkStart w:id="744" w:name="_Toc300934990"/>
      <w:bookmarkStart w:id="745" w:name="_Toc292559904"/>
      <w:bookmarkStart w:id="746" w:name="_Toc296346695"/>
      <w:bookmarkStart w:id="747" w:name="_Toc297120494"/>
      <w:bookmarkStart w:id="748" w:name="_Toc297123541"/>
      <w:bookmarkStart w:id="749" w:name="_Toc312678026"/>
      <w:bookmarkStart w:id="750" w:name="_Toc297216200"/>
      <w:bookmarkStart w:id="751" w:name="_Toc312677500"/>
      <w:bookmarkStart w:id="752" w:name="_Toc296347193"/>
      <w:r>
        <w:rPr>
          <w:color w:val="auto"/>
          <w:highlight w:val="none"/>
        </w:rPr>
        <w:t xml:space="preserve">0.1 </w:t>
      </w:r>
      <w:r>
        <w:rPr>
          <w:rFonts w:hint="eastAsia" w:hAnsi="宋体" w:cs="黑体"/>
          <w:color w:val="auto"/>
          <w:highlight w:val="none"/>
        </w:rPr>
        <w:t>变更的范围</w:t>
      </w:r>
      <w:bookmarkEnd w:id="730"/>
      <w:bookmarkEnd w:id="731"/>
      <w:bookmarkEnd w:id="732"/>
      <w:bookmarkEnd w:id="733"/>
      <w:bookmarkEnd w:id="734"/>
      <w:bookmarkEnd w:id="735"/>
    </w:p>
    <w:p>
      <w:pPr>
        <w:spacing w:line="360" w:lineRule="auto"/>
        <w:ind w:firstLine="426"/>
        <w:jc w:val="left"/>
        <w:rPr>
          <w:color w:val="auto"/>
          <w:highlight w:val="none"/>
        </w:rPr>
      </w:pPr>
      <w:r>
        <w:rPr>
          <w:rFonts w:hint="eastAsia" w:hAnsi="宋体" w:cs="宋体"/>
          <w:color w:val="auto"/>
          <w:highlight w:val="none"/>
        </w:rPr>
        <w:t>关于变更的范围的约定：</w:t>
      </w:r>
      <w:r>
        <w:rPr>
          <w:color w:val="auto"/>
          <w:highlight w:val="none"/>
          <w:u w:val="single"/>
        </w:rPr>
        <w:t xml:space="preserve"> </w:t>
      </w:r>
      <w:r>
        <w:rPr>
          <w:rFonts w:hint="eastAsia"/>
          <w:color w:val="auto"/>
          <w:highlight w:val="none"/>
          <w:u w:val="single"/>
        </w:rPr>
        <w:t xml:space="preserve">缺项、漏项、设计变更等。变更必须经建设单位、监理、设计等有关单位签字确认后，方可作为工程结算依据 </w:t>
      </w:r>
      <w:r>
        <w:rPr>
          <w:rFonts w:hint="eastAsia"/>
          <w:b/>
          <w:bCs/>
          <w:color w:val="auto"/>
          <w:highlight w:val="none"/>
          <w:u w:val="single"/>
        </w:rPr>
        <w:t xml:space="preserve"> </w:t>
      </w:r>
      <w:r>
        <w:rPr>
          <w:rFonts w:hint="eastAsia" w:hAnsi="宋体" w:cs="宋体"/>
          <w:color w:val="auto"/>
          <w:highlight w:val="none"/>
        </w:rPr>
        <w:t>。</w:t>
      </w:r>
    </w:p>
    <w:p>
      <w:pPr>
        <w:pStyle w:val="4"/>
        <w:rPr>
          <w:color w:val="auto"/>
          <w:highlight w:val="none"/>
        </w:rPr>
      </w:pPr>
      <w:bookmarkStart w:id="753" w:name="_Toc21234"/>
      <w:bookmarkStart w:id="754" w:name="_Toc373478388"/>
      <w:bookmarkStart w:id="755" w:name="_Toc14077"/>
      <w:bookmarkStart w:id="756" w:name="_Toc373227741"/>
      <w:bookmarkStart w:id="757" w:name="_Toc389065307"/>
      <w:bookmarkStart w:id="758" w:name="_Toc407135244"/>
      <w:r>
        <w:rPr>
          <w:color w:val="auto"/>
          <w:highlight w:val="none"/>
        </w:rPr>
        <w:t xml:space="preserve">10.3 </w:t>
      </w:r>
      <w:r>
        <w:rPr>
          <w:rFonts w:hint="eastAsia" w:hAnsi="宋体" w:cs="黑体"/>
          <w:color w:val="auto"/>
          <w:highlight w:val="none"/>
        </w:rPr>
        <w:t>变更程序</w:t>
      </w:r>
      <w:bookmarkEnd w:id="753"/>
      <w:bookmarkEnd w:id="754"/>
      <w:bookmarkEnd w:id="755"/>
      <w:bookmarkEnd w:id="756"/>
      <w:bookmarkEnd w:id="757"/>
      <w:bookmarkEnd w:id="758"/>
    </w:p>
    <w:p>
      <w:pPr>
        <w:pStyle w:val="24"/>
        <w:spacing w:line="360" w:lineRule="auto"/>
        <w:ind w:firstLine="441" w:firstLineChars="210"/>
        <w:rPr>
          <w:rFonts w:ascii="Times New Roman" w:hAnsi="Times New Roman"/>
          <w:color w:val="auto"/>
          <w:sz w:val="21"/>
          <w:highlight w:val="none"/>
        </w:rPr>
      </w:pPr>
      <w:r>
        <w:rPr>
          <w:rFonts w:ascii="Times New Roman" w:hAnsi="Times New Roman"/>
          <w:color w:val="auto"/>
          <w:sz w:val="21"/>
          <w:highlight w:val="none"/>
        </w:rPr>
        <w:t>10.3.1</w:t>
      </w:r>
      <w:r>
        <w:rPr>
          <w:rFonts w:hint="eastAsia" w:ascii="Times New Roman" w:hAnsi="Times New Roman"/>
          <w:color w:val="auto"/>
          <w:sz w:val="21"/>
          <w:highlight w:val="none"/>
        </w:rPr>
        <w:t>国有投资项目：</w:t>
      </w:r>
    </w:p>
    <w:p>
      <w:pPr>
        <w:pStyle w:val="24"/>
        <w:spacing w:line="360" w:lineRule="auto"/>
        <w:ind w:firstLine="441" w:firstLineChars="210"/>
        <w:rPr>
          <w:rFonts w:ascii="Times New Roman" w:hAnsi="宋体"/>
          <w:bCs/>
          <w:color w:val="auto"/>
          <w:sz w:val="21"/>
          <w:highlight w:val="none"/>
        </w:rPr>
      </w:pPr>
      <w:r>
        <w:rPr>
          <w:rFonts w:hint="eastAsia" w:ascii="Times New Roman" w:hAnsi="宋体"/>
          <w:bCs/>
          <w:color w:val="auto"/>
          <w:sz w:val="21"/>
          <w:highlight w:val="none"/>
        </w:rPr>
        <w:t>⑴设计变更和工程签证，按各市政府或相关部门的规定办理。属不可抗力（自然灾害、突发事件等）造成变更的，按特事特办原则予以办理。</w:t>
      </w:r>
    </w:p>
    <w:p>
      <w:pPr>
        <w:pStyle w:val="24"/>
        <w:spacing w:line="360" w:lineRule="auto"/>
        <w:ind w:firstLine="441" w:firstLineChars="210"/>
        <w:rPr>
          <w:rFonts w:ascii="Times New Roman" w:hAnsi="宋体"/>
          <w:bCs/>
          <w:color w:val="auto"/>
          <w:sz w:val="21"/>
          <w:highlight w:val="none"/>
        </w:rPr>
      </w:pPr>
      <w:r>
        <w:rPr>
          <w:rFonts w:hint="eastAsia" w:ascii="Times New Roman" w:hAnsi="宋体"/>
          <w:bCs/>
          <w:color w:val="auto"/>
          <w:sz w:val="21"/>
          <w:highlight w:val="none"/>
        </w:rPr>
        <w:t>⑵建设单位在实施项目过程中，若发生单价变动，由发包人、承包人、监理或造价咨询等单位共同商定并签字确认。</w:t>
      </w:r>
    </w:p>
    <w:p>
      <w:pPr>
        <w:pStyle w:val="24"/>
        <w:spacing w:line="360" w:lineRule="auto"/>
        <w:ind w:firstLine="441" w:firstLineChars="210"/>
        <w:rPr>
          <w:rFonts w:hint="eastAsia" w:ascii="Times New Roman" w:hAnsi="宋体" w:eastAsia="宋体"/>
          <w:bCs/>
          <w:color w:val="auto"/>
          <w:sz w:val="21"/>
          <w:highlight w:val="none"/>
          <w:lang w:val="en-US" w:eastAsia="zh-CN"/>
        </w:rPr>
      </w:pPr>
      <w:r>
        <w:rPr>
          <w:rFonts w:hint="eastAsia" w:ascii="Times New Roman" w:hAnsi="宋体"/>
          <w:bCs/>
          <w:color w:val="auto"/>
          <w:sz w:val="21"/>
          <w:highlight w:val="none"/>
        </w:rPr>
        <w:t>⑶</w:t>
      </w:r>
      <w:r>
        <w:rPr>
          <w:rFonts w:ascii="Times New Roman" w:hAnsi="宋体"/>
          <w:bCs/>
          <w:color w:val="auto"/>
          <w:sz w:val="21"/>
          <w:highlight w:val="none"/>
        </w:rPr>
        <w:t xml:space="preserve"> </w:t>
      </w:r>
      <w:r>
        <w:rPr>
          <w:rFonts w:hint="eastAsia" w:ascii="Times New Roman" w:hAnsi="宋体"/>
          <w:bCs/>
          <w:color w:val="auto"/>
          <w:sz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jc w:val="left"/>
        <w:rPr>
          <w:color w:val="auto"/>
          <w:highlight w:val="none"/>
        </w:rPr>
      </w:pPr>
      <w:r>
        <w:rPr>
          <w:color w:val="auto"/>
          <w:highlight w:val="none"/>
        </w:rPr>
        <w:t xml:space="preserve">10.3.2 </w:t>
      </w:r>
      <w:r>
        <w:rPr>
          <w:rFonts w:hint="eastAsia" w:cs="宋体"/>
          <w:color w:val="auto"/>
          <w:highlight w:val="none"/>
        </w:rPr>
        <w:t>非国有投资项目：</w:t>
      </w:r>
      <w:r>
        <w:rPr>
          <w:color w:val="auto"/>
          <w:highlight w:val="none"/>
        </w:rPr>
        <w:t xml:space="preserve"> </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759" w:name="_Toc389065308"/>
      <w:bookmarkStart w:id="760" w:name="_Toc407135245"/>
      <w:bookmarkStart w:id="761" w:name="_Toc17799"/>
      <w:bookmarkStart w:id="762" w:name="_Toc373478389"/>
      <w:bookmarkStart w:id="763" w:name="_Toc373227742"/>
      <w:bookmarkStart w:id="764" w:name="_Toc21887"/>
      <w:r>
        <w:rPr>
          <w:color w:val="auto"/>
          <w:highlight w:val="none"/>
        </w:rPr>
        <w:t xml:space="preserve">10.4 </w:t>
      </w:r>
      <w:r>
        <w:rPr>
          <w:rFonts w:hint="eastAsia" w:hAnsi="宋体" w:cs="黑体"/>
          <w:color w:val="auto"/>
          <w:highlight w:val="none"/>
        </w:rPr>
        <w:t>变更估价</w:t>
      </w:r>
      <w:bookmarkEnd w:id="759"/>
      <w:bookmarkEnd w:id="760"/>
      <w:bookmarkEnd w:id="761"/>
      <w:bookmarkEnd w:id="762"/>
      <w:bookmarkEnd w:id="763"/>
      <w:bookmarkEnd w:id="764"/>
    </w:p>
    <w:p>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hAnsi="宋体"/>
          <w:color w:val="auto"/>
          <w:highlight w:val="none"/>
        </w:rPr>
      </w:pPr>
      <w:r>
        <w:rPr>
          <w:rFonts w:hint="eastAsia" w:hAnsi="宋体" w:cs="宋体"/>
          <w:color w:val="auto"/>
          <w:highlight w:val="none"/>
        </w:rPr>
        <w:t>关于变更估价的约定</w:t>
      </w:r>
      <w:r>
        <w:rPr>
          <w:color w:val="auto"/>
          <w:highlight w:val="none"/>
        </w:rPr>
        <w:t xml:space="preserve">: </w:t>
      </w:r>
      <w:bookmarkStart w:id="765" w:name="_Toc251051742"/>
      <w:r>
        <w:rPr>
          <w:rFonts w:hint="eastAsia" w:hAnsi="宋体" w:cs="宋体"/>
          <w:color w:val="auto"/>
          <w:highlight w:val="none"/>
          <w:u w:val="single"/>
        </w:rPr>
        <w:t>工程变更合同价款按下列方法进行：（</w:t>
      </w:r>
      <w:r>
        <w:rPr>
          <w:color w:val="auto"/>
          <w:highlight w:val="none"/>
          <w:u w:val="single"/>
        </w:rPr>
        <w:t>1</w:t>
      </w:r>
      <w:r>
        <w:rPr>
          <w:rFonts w:hint="eastAsia" w:hAnsi="宋体" w:cs="宋体"/>
          <w:color w:val="auto"/>
          <w:highlight w:val="none"/>
          <w:u w:val="single"/>
        </w:rPr>
        <w:t>）合同中已有相同清单项目的，按合同该清单项目价格进行计算；（</w:t>
      </w:r>
      <w:r>
        <w:rPr>
          <w:color w:val="auto"/>
          <w:highlight w:val="none"/>
          <w:u w:val="single"/>
        </w:rPr>
        <w:t>2</w:t>
      </w:r>
      <w:r>
        <w:rPr>
          <w:rFonts w:hint="eastAsia" w:hAnsi="宋体" w:cs="宋体"/>
          <w:color w:val="auto"/>
          <w:highlight w:val="none"/>
          <w:u w:val="single"/>
        </w:rPr>
        <w:t>）合同中只有类似清单项目的，参照该类似清单项目价格进行计算；（</w:t>
      </w:r>
      <w:r>
        <w:rPr>
          <w:color w:val="auto"/>
          <w:highlight w:val="none"/>
          <w:u w:val="single"/>
        </w:rPr>
        <w:t>3</w:t>
      </w:r>
      <w:r>
        <w:rPr>
          <w:rFonts w:hint="eastAsia" w:hAnsi="宋体" w:cs="宋体"/>
          <w:color w:val="auto"/>
          <w:highlight w:val="none"/>
          <w:u w:val="single"/>
        </w:rPr>
        <w:t>）合同中没有适用或类似清单项目的价格计算方法：有定额的套定额，并（</w:t>
      </w:r>
      <w:r>
        <w:rPr>
          <w:rFonts w:hint="eastAsia" w:cs="宋体"/>
          <w:b/>
          <w:bCs/>
          <w:color w:val="auto"/>
          <w:highlight w:val="none"/>
          <w:lang w:eastAsia="zh-CN"/>
        </w:rPr>
        <w:t>☑</w:t>
      </w:r>
      <w:r>
        <w:rPr>
          <w:rFonts w:hint="eastAsia" w:hAnsi="宋体" w:cs="宋体"/>
          <w:color w:val="auto"/>
          <w:highlight w:val="none"/>
          <w:u w:val="single"/>
        </w:rPr>
        <w:t>乘以下浮系数</w:t>
      </w:r>
      <w:r>
        <w:rPr>
          <w:rFonts w:hint="eastAsia" w:hAnsi="宋体" w:cs="宋体"/>
          <w:color w:val="auto"/>
          <w:highlight w:val="none"/>
          <w:u w:val="single"/>
          <w:lang w:eastAsia="zh-CN"/>
        </w:rPr>
        <w:t>（中标价</w:t>
      </w:r>
      <w:r>
        <w:rPr>
          <w:rFonts w:hint="eastAsia" w:hAnsi="宋体" w:cs="宋体"/>
          <w:color w:val="auto"/>
          <w:highlight w:val="none"/>
          <w:u w:val="single"/>
          <w:lang w:val="en-US" w:eastAsia="zh-CN"/>
        </w:rPr>
        <w:t>/上限控制价</w:t>
      </w:r>
      <w:r>
        <w:rPr>
          <w:rFonts w:hint="eastAsia" w:hAnsi="宋体" w:cs="宋体"/>
          <w:color w:val="auto"/>
          <w:highlight w:val="none"/>
          <w:u w:val="single"/>
          <w:lang w:eastAsia="zh-CN"/>
        </w:rPr>
        <w:t>）</w:t>
      </w:r>
      <w:r>
        <w:rPr>
          <w:rFonts w:hint="eastAsia"/>
          <w:color w:val="auto"/>
          <w:highlight w:val="none"/>
          <w:u w:val="single"/>
          <w:lang w:val="en-US" w:eastAsia="zh-CN"/>
        </w:rPr>
        <w:t>*100</w:t>
      </w:r>
      <w:r>
        <w:rPr>
          <w:color w:val="auto"/>
          <w:highlight w:val="none"/>
          <w:u w:val="single"/>
        </w:rPr>
        <w:t>%</w:t>
      </w:r>
      <w:r>
        <w:rPr>
          <w:rFonts w:hint="eastAsia" w:cs="宋体"/>
          <w:color w:val="auto"/>
          <w:highlight w:val="none"/>
          <w:u w:val="single"/>
        </w:rPr>
        <w:t>，</w:t>
      </w:r>
      <w:r>
        <w:rPr>
          <w:rFonts w:hint="eastAsia" w:cs="宋体"/>
          <w:b/>
          <w:bCs/>
          <w:color w:val="auto"/>
          <w:highlight w:val="none"/>
        </w:rPr>
        <w:t>□</w:t>
      </w:r>
      <w:r>
        <w:rPr>
          <w:rFonts w:hint="eastAsia" w:hAnsi="宋体" w:cs="宋体"/>
          <w:color w:val="auto"/>
          <w:highlight w:val="none"/>
          <w:u w:val="single"/>
        </w:rPr>
        <w:t>不乘下浮系数）计算，其中：材料设备价格按施工期间的《</w:t>
      </w:r>
      <w:r>
        <w:rPr>
          <w:rFonts w:hint="eastAsia"/>
          <w:color w:val="auto"/>
          <w:highlight w:val="none"/>
          <w:u w:val="single"/>
        </w:rPr>
        <w:t>百色</w:t>
      </w:r>
      <w:r>
        <w:rPr>
          <w:rFonts w:hint="eastAsia" w:hAnsi="宋体" w:cs="宋体"/>
          <w:color w:val="auto"/>
          <w:highlight w:val="none"/>
          <w:u w:val="single"/>
        </w:rPr>
        <w:t>市建设工程造价信息》相应信息价的加权平均值计算，《</w:t>
      </w:r>
      <w:r>
        <w:rPr>
          <w:rFonts w:hint="eastAsia"/>
          <w:color w:val="auto"/>
          <w:highlight w:val="none"/>
          <w:u w:val="single"/>
        </w:rPr>
        <w:t>百色</w:t>
      </w:r>
      <w:r>
        <w:rPr>
          <w:rFonts w:hint="eastAsia" w:hAnsi="宋体" w:cs="宋体"/>
          <w:color w:val="auto"/>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bookmarkEnd w:id="765"/>
      <w:r>
        <w:rPr>
          <w:rFonts w:hint="eastAsia" w:hAnsi="宋体" w:cs="宋体"/>
          <w:color w:val="auto"/>
          <w:highlight w:val="none"/>
        </w:rPr>
        <w:t>。以上约定同时适用于招标工程量清单缺项以及工程量清单项目特征与图纸不符时的价款确定。</w:t>
      </w:r>
    </w:p>
    <w:p>
      <w:pPr>
        <w:spacing w:line="360" w:lineRule="auto"/>
        <w:ind w:firstLine="420" w:firstLineChars="200"/>
        <w:jc w:val="left"/>
        <w:rPr>
          <w:rFonts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pStyle w:val="4"/>
        <w:rPr>
          <w:color w:val="auto"/>
          <w:highlight w:val="none"/>
        </w:rPr>
      </w:pPr>
      <w:bookmarkStart w:id="766" w:name="_Toc2816"/>
      <w:bookmarkStart w:id="767" w:name="_Toc389065309"/>
      <w:bookmarkStart w:id="768" w:name="_Toc373478390"/>
      <w:bookmarkStart w:id="769" w:name="_Toc373227743"/>
      <w:bookmarkStart w:id="770" w:name="_Toc6389"/>
      <w:bookmarkStart w:id="771" w:name="_Toc407135246"/>
      <w:r>
        <w:rPr>
          <w:color w:val="auto"/>
          <w:highlight w:val="none"/>
        </w:rPr>
        <w:t>1</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Start w:id="772" w:name="_Toc297048383"/>
      <w:bookmarkStart w:id="773" w:name="_Toc297216203"/>
      <w:bookmarkStart w:id="774" w:name="_Toc296891025"/>
      <w:bookmarkStart w:id="775" w:name="_Toc297120497"/>
      <w:bookmarkStart w:id="776" w:name="_Toc296347196"/>
      <w:bookmarkStart w:id="777" w:name="_Toc296891237"/>
      <w:bookmarkStart w:id="778" w:name="_Toc292559402"/>
      <w:bookmarkStart w:id="779" w:name="_Toc292559907"/>
      <w:bookmarkStart w:id="780" w:name="_Toc300934993"/>
      <w:bookmarkStart w:id="781" w:name="_Toc296944536"/>
      <w:bookmarkStart w:id="782" w:name="_Toc296503197"/>
      <w:bookmarkStart w:id="783" w:name="_Toc303539150"/>
      <w:bookmarkStart w:id="784" w:name="_Toc297123544"/>
      <w:bookmarkStart w:id="785" w:name="_Toc296346698"/>
      <w:bookmarkStart w:id="786" w:name="_Toc304295570"/>
      <w:bookmarkStart w:id="787" w:name="_Toc312677503"/>
      <w:bookmarkStart w:id="788" w:name="_Toc312678029"/>
      <w:r>
        <w:rPr>
          <w:color w:val="auto"/>
          <w:highlight w:val="none"/>
        </w:rPr>
        <w:t xml:space="preserve">0.5 </w:t>
      </w:r>
      <w:r>
        <w:rPr>
          <w:rFonts w:hint="eastAsia" w:cs="黑体"/>
          <w:color w:val="auto"/>
          <w:highlight w:val="none"/>
        </w:rPr>
        <w:t>承</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9" w:name="_Toc296347202"/>
      <w:bookmarkStart w:id="790" w:name="_Toc292559408"/>
      <w:bookmarkStart w:id="791" w:name="_Toc297048389"/>
      <w:bookmarkStart w:id="792" w:name="_Toc296346704"/>
      <w:bookmarkStart w:id="793" w:name="_Toc296503203"/>
      <w:bookmarkStart w:id="794" w:name="_Toc296944542"/>
      <w:bookmarkStart w:id="795" w:name="_Toc296891243"/>
      <w:bookmarkStart w:id="796" w:name="_Toc297216204"/>
      <w:bookmarkStart w:id="797" w:name="_Toc297120503"/>
      <w:bookmarkStart w:id="798" w:name="_Toc296891031"/>
      <w:bookmarkStart w:id="799" w:name="_Toc297123545"/>
      <w:bookmarkStart w:id="800" w:name="_Toc300934994"/>
      <w:bookmarkStart w:id="801" w:name="_Toc303539151"/>
      <w:bookmarkStart w:id="802" w:name="_Toc292559913"/>
      <w:r>
        <w:rPr>
          <w:rFonts w:hint="eastAsia" w:cs="黑体"/>
          <w:color w:val="auto"/>
          <w:highlight w:val="none"/>
        </w:rPr>
        <w:t>包人的合理化建议</w:t>
      </w:r>
      <w:bookmarkEnd w:id="766"/>
      <w:bookmarkEnd w:id="767"/>
      <w:bookmarkEnd w:id="768"/>
      <w:bookmarkEnd w:id="769"/>
      <w:bookmarkEnd w:id="770"/>
      <w:bookmarkEnd w:id="771"/>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Pr>
        <w:spacing w:line="360" w:lineRule="auto"/>
        <w:ind w:firstLine="420" w:firstLineChars="200"/>
        <w:jc w:val="left"/>
        <w:rPr>
          <w:color w:val="auto"/>
          <w:highlight w:val="none"/>
        </w:rPr>
      </w:pPr>
      <w:r>
        <w:rPr>
          <w:rFonts w:hint="eastAsia" w:hAnsi="宋体" w:cs="宋体"/>
          <w:color w:val="auto"/>
          <w:highlight w:val="none"/>
        </w:rPr>
        <w:t>监理人审查承包人合理化建议的期限：</w:t>
      </w:r>
      <w:r>
        <w:rPr>
          <w:color w:val="auto"/>
          <w:highlight w:val="none"/>
          <w:u w:val="single"/>
        </w:rPr>
        <w:t xml:space="preserve"> 7天内</w:t>
      </w:r>
      <w:r>
        <w:rPr>
          <w:rFonts w:hint="eastAsia"/>
          <w:color w:val="auto"/>
          <w:highlight w:val="none"/>
          <w:u w:val="single"/>
        </w:rPr>
        <w:t>确认，逾期不确认也不提出书面意见的，视为同意</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发包人审批承包人合理化建议的期限：</w:t>
      </w:r>
      <w:r>
        <w:rPr>
          <w:color w:val="auto"/>
          <w:highlight w:val="none"/>
          <w:u w:val="single"/>
        </w:rPr>
        <w:t xml:space="preserve"> 7天内</w:t>
      </w:r>
      <w:r>
        <w:rPr>
          <w:rFonts w:hint="eastAsia"/>
          <w:color w:val="auto"/>
          <w:highlight w:val="none"/>
          <w:u w:val="single"/>
        </w:rPr>
        <w:t>确认，逾期不确认也不提出书面意见的，视为同意</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803" w:name="_Toc318581175"/>
      <w:bookmarkStart w:id="804" w:name="_Toc296891032"/>
      <w:bookmarkStart w:id="805" w:name="_Toc296346705"/>
      <w:bookmarkStart w:id="806" w:name="_Toc292559409"/>
      <w:bookmarkStart w:id="807" w:name="_Toc312678030"/>
      <w:bookmarkStart w:id="808" w:name="_Toc296891244"/>
      <w:bookmarkStart w:id="809" w:name="_Toc304295571"/>
      <w:bookmarkStart w:id="810" w:name="_Toc297216205"/>
      <w:bookmarkStart w:id="811" w:name="_Toc303539152"/>
      <w:bookmarkStart w:id="812" w:name="_Toc312677504"/>
      <w:bookmarkStart w:id="813" w:name="_Toc300934995"/>
      <w:bookmarkStart w:id="814" w:name="_Toc296944543"/>
      <w:bookmarkStart w:id="815" w:name="_Toc297123546"/>
      <w:bookmarkStart w:id="816" w:name="_Toc297120504"/>
      <w:bookmarkStart w:id="817" w:name="_Toc292559914"/>
      <w:bookmarkStart w:id="818" w:name="_Toc297048390"/>
      <w:bookmarkStart w:id="819" w:name="_Toc296503204"/>
      <w:bookmarkStart w:id="820" w:name="_Toc296347203"/>
      <w:r>
        <w:rPr>
          <w:rFonts w:hint="eastAsia" w:hAnsi="宋体" w:cs="宋体"/>
          <w:color w:val="auto"/>
          <w:highlight w:val="none"/>
        </w:rPr>
        <w:t>包人提出的合理化建议降低了合同价格或者提高了工程经济效益的奖励的方法和金额为：</w:t>
      </w:r>
      <w:r>
        <w:rPr>
          <w:color w:val="auto"/>
          <w:highlight w:val="none"/>
          <w:u w:val="single"/>
        </w:rPr>
        <w:t xml:space="preserve"> </w:t>
      </w:r>
      <w:r>
        <w:rPr>
          <w:rFonts w:hint="eastAsia"/>
          <w:color w:val="auto"/>
          <w:highlight w:val="none"/>
          <w:u w:val="single"/>
        </w:rPr>
        <w:t>/</w:t>
      </w:r>
      <w:r>
        <w:rPr>
          <w:rFonts w:hint="eastAsia" w:hAnsi="宋体" w:cs="宋体"/>
          <w:color w:val="auto"/>
          <w:highlight w:val="none"/>
        </w:rPr>
        <w:t>。</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Pr>
        <w:pStyle w:val="4"/>
        <w:rPr>
          <w:color w:val="auto"/>
          <w:highlight w:val="none"/>
        </w:rPr>
      </w:pPr>
      <w:bookmarkStart w:id="821" w:name="_Toc25532"/>
      <w:bookmarkStart w:id="822" w:name="_Toc373478391"/>
      <w:bookmarkStart w:id="823" w:name="_Toc389065310"/>
      <w:bookmarkStart w:id="824" w:name="_Toc32627"/>
      <w:bookmarkStart w:id="825" w:name="_Toc407135247"/>
      <w:bookmarkStart w:id="826" w:name="_Toc373227744"/>
      <w:r>
        <w:rPr>
          <w:color w:val="auto"/>
          <w:highlight w:val="none"/>
        </w:rPr>
        <w:t>1</w:t>
      </w:r>
      <w:bookmarkStart w:id="827" w:name="_Toc303539154"/>
      <w:bookmarkStart w:id="828" w:name="_Toc297048385"/>
      <w:bookmarkStart w:id="829" w:name="_Toc292559909"/>
      <w:bookmarkStart w:id="830" w:name="_Toc304295574"/>
      <w:bookmarkStart w:id="831" w:name="_Toc300934997"/>
      <w:bookmarkStart w:id="832" w:name="_Toc297216207"/>
      <w:bookmarkStart w:id="833" w:name="_Toc297120499"/>
      <w:bookmarkStart w:id="834" w:name="_Toc312677507"/>
      <w:bookmarkStart w:id="835" w:name="_Toc296944538"/>
      <w:bookmarkStart w:id="836" w:name="_Toc296891027"/>
      <w:bookmarkStart w:id="837" w:name="_Toc312678033"/>
      <w:bookmarkStart w:id="838" w:name="_Toc296891239"/>
      <w:bookmarkStart w:id="839" w:name="_Toc292559404"/>
      <w:bookmarkStart w:id="840" w:name="_Toc297123548"/>
      <w:bookmarkStart w:id="841" w:name="_Toc296347198"/>
      <w:bookmarkStart w:id="842" w:name="_Toc296503199"/>
      <w:bookmarkStart w:id="843" w:name="_Toc296346700"/>
      <w:r>
        <w:rPr>
          <w:color w:val="auto"/>
          <w:highlight w:val="none"/>
        </w:rPr>
        <w:t xml:space="preserve">0.7 </w:t>
      </w:r>
      <w:r>
        <w:rPr>
          <w:rFonts w:hint="eastAsia" w:hAnsi="宋体" w:cs="黑体"/>
          <w:color w:val="auto"/>
          <w:highlight w:val="none"/>
        </w:rPr>
        <w:t>暂估价</w:t>
      </w:r>
      <w:bookmarkEnd w:id="821"/>
      <w:bookmarkEnd w:id="822"/>
      <w:bookmarkEnd w:id="823"/>
      <w:bookmarkEnd w:id="824"/>
      <w:bookmarkEnd w:id="825"/>
      <w:bookmarkEnd w:id="826"/>
    </w:p>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Pr>
        <w:spacing w:line="360" w:lineRule="auto"/>
        <w:ind w:firstLine="420" w:firstLineChars="200"/>
        <w:jc w:val="left"/>
        <w:rPr>
          <w:color w:val="auto"/>
          <w:highlight w:val="none"/>
        </w:rPr>
      </w:pPr>
      <w:r>
        <w:rPr>
          <w:rFonts w:hint="eastAsia" w:hAnsi="宋体" w:cs="宋体"/>
          <w:color w:val="auto"/>
          <w:kern w:val="0"/>
          <w:highlight w:val="none"/>
        </w:rPr>
        <w:t>暂</w:t>
      </w:r>
      <w:bookmarkStart w:id="844" w:name="_Toc312678034"/>
      <w:bookmarkStart w:id="845" w:name="_Toc312677508"/>
      <w:bookmarkStart w:id="846" w:name="_Toc318581176"/>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844"/>
    <w:bookmarkEnd w:id="845"/>
    <w:bookmarkEnd w:id="846"/>
    <w:p>
      <w:pPr>
        <w:spacing w:line="360" w:lineRule="auto"/>
        <w:ind w:firstLine="420" w:firstLineChars="200"/>
        <w:jc w:val="left"/>
        <w:rPr>
          <w:color w:val="auto"/>
          <w:highlight w:val="none"/>
        </w:rPr>
      </w:pPr>
      <w:r>
        <w:rPr>
          <w:color w:val="auto"/>
          <w:highlight w:val="none"/>
        </w:rPr>
        <w:t>1</w:t>
      </w:r>
      <w:bookmarkStart w:id="847" w:name="_Toc318581177"/>
      <w:bookmarkStart w:id="848" w:name="_Toc312677509"/>
      <w:bookmarkStart w:id="849" w:name="_Toc312678035"/>
      <w:r>
        <w:rPr>
          <w:color w:val="auto"/>
          <w:highlight w:val="none"/>
        </w:rPr>
        <w:t xml:space="preserve">0.7.1 </w:t>
      </w:r>
      <w:r>
        <w:rPr>
          <w:rFonts w:hint="eastAsia" w:hAnsi="宋体" w:cs="宋体"/>
          <w:color w:val="auto"/>
          <w:highlight w:val="none"/>
        </w:rPr>
        <w:t>依法必须招标的暂估价项目</w:t>
      </w:r>
    </w:p>
    <w:bookmarkEnd w:id="847"/>
    <w:bookmarkEnd w:id="848"/>
    <w:bookmarkEnd w:id="849"/>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color w:val="auto"/>
          <w:highlight w:val="none"/>
          <w:u w:val="single"/>
        </w:rPr>
        <w:t xml:space="preserve">  </w:t>
      </w:r>
      <w:r>
        <w:rPr>
          <w:rFonts w:hint="eastAsia"/>
          <w:color w:val="auto"/>
          <w:highlight w:val="none"/>
          <w:u w:val="single"/>
        </w:rPr>
        <w:t>3</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color w:val="auto"/>
          <w:highlight w:val="none"/>
          <w:u w:val="single"/>
        </w:rPr>
        <w:t xml:space="preserve"> </w:t>
      </w:r>
      <w:r>
        <w:rPr>
          <w:rFonts w:hint="eastAsia"/>
          <w:color w:val="auto"/>
          <w:highlight w:val="none"/>
          <w:u w:val="single"/>
        </w:rPr>
        <w:t xml:space="preserve"> 3</w:t>
      </w:r>
      <w:r>
        <w:rPr>
          <w:color w:val="auto"/>
          <w:highlight w:val="none"/>
          <w:u w:val="single"/>
        </w:rPr>
        <w:t xml:space="preserve">  </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color w:val="auto"/>
          <w:highlight w:val="none"/>
          <w:u w:val="single"/>
        </w:rPr>
        <w:t xml:space="preserve"> </w:t>
      </w:r>
      <w:r>
        <w:rPr>
          <w:rFonts w:hint="eastAsia" w:hAnsi="宋体" w:cs="宋体"/>
          <w:color w:val="auto"/>
          <w:kern w:val="0"/>
          <w:highlight w:val="none"/>
          <w:u w:val="single"/>
        </w:rPr>
        <w:t>承包人直接实施的暂估价项目的约定：  按实结算，并附上采购合同、银行转账凭证、发票、合格证等佐证材料</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850" w:name="_Toc11687"/>
      <w:bookmarkStart w:id="851" w:name="_Toc389065311"/>
      <w:bookmarkStart w:id="852" w:name="_Toc373227745"/>
      <w:bookmarkStart w:id="853" w:name="_Toc373478392"/>
      <w:bookmarkStart w:id="854" w:name="_Toc407135248"/>
      <w:bookmarkStart w:id="855" w:name="_Toc15844"/>
      <w:r>
        <w:rPr>
          <w:color w:val="auto"/>
          <w:highlight w:val="none"/>
        </w:rPr>
        <w:t xml:space="preserve">10.8 </w:t>
      </w:r>
      <w:r>
        <w:rPr>
          <w:rFonts w:hint="eastAsia" w:hAnsi="宋体" w:cs="黑体"/>
          <w:color w:val="auto"/>
          <w:highlight w:val="none"/>
        </w:rPr>
        <w:t>暂列金额</w:t>
      </w:r>
      <w:bookmarkEnd w:id="850"/>
      <w:bookmarkEnd w:id="851"/>
      <w:bookmarkEnd w:id="852"/>
      <w:bookmarkEnd w:id="853"/>
      <w:bookmarkEnd w:id="854"/>
      <w:bookmarkEnd w:id="855"/>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合同当事人关于暂列金额使用的约定：</w:t>
      </w:r>
      <w:r>
        <w:rPr>
          <w:rFonts w:hint="eastAsia" w:hAnsi="宋体" w:cs="宋体"/>
          <w:color w:val="auto"/>
          <w:kern w:val="0"/>
          <w:highlight w:val="none"/>
          <w:u w:val="single"/>
        </w:rPr>
        <w:t>暂列金额只能按照监理人及发包人审批后使用，结算时减去工程价款调整与索赔、现场签证金额计算，如有余额归发包人，如出现差额则由发包人补足并反映在相应的价款中</w:t>
      </w:r>
      <w:r>
        <w:rPr>
          <w:color w:val="auto"/>
          <w:highlight w:val="none"/>
          <w:u w:val="single"/>
        </w:rPr>
        <w:t xml:space="preserve"> </w:t>
      </w:r>
      <w:r>
        <w:rPr>
          <w:rFonts w:hint="eastAsia" w:hAnsi="宋体" w:cs="宋体"/>
          <w:color w:val="auto"/>
          <w:kern w:val="0"/>
          <w:highlight w:val="none"/>
        </w:rPr>
        <w:t>。</w:t>
      </w:r>
    </w:p>
    <w:p>
      <w:pPr>
        <w:pStyle w:val="3"/>
        <w:numPr>
          <w:ilvl w:val="0"/>
          <w:numId w:val="5"/>
        </w:numPr>
        <w:rPr>
          <w:color w:val="auto"/>
          <w:highlight w:val="none"/>
        </w:rPr>
      </w:pPr>
      <w:bookmarkStart w:id="856" w:name="_Toc24353"/>
      <w:bookmarkStart w:id="857" w:name="_Toc373227746"/>
      <w:bookmarkStart w:id="858" w:name="_Toc373478393"/>
      <w:bookmarkStart w:id="859" w:name="_Toc351203643"/>
      <w:bookmarkStart w:id="860" w:name="_Toc9426"/>
      <w:bookmarkStart w:id="861" w:name="_Toc389065312"/>
      <w:bookmarkStart w:id="862" w:name="_Toc407135249"/>
      <w:r>
        <w:rPr>
          <w:rFonts w:hint="eastAsia"/>
          <w:color w:val="auto"/>
          <w:highlight w:val="none"/>
        </w:rPr>
        <w:t>价格调整</w:t>
      </w:r>
      <w:bookmarkEnd w:id="856"/>
      <w:bookmarkEnd w:id="857"/>
      <w:bookmarkEnd w:id="858"/>
      <w:bookmarkEnd w:id="859"/>
      <w:bookmarkEnd w:id="860"/>
      <w:bookmarkEnd w:id="861"/>
      <w:bookmarkEnd w:id="862"/>
    </w:p>
    <w:p>
      <w:pPr>
        <w:pStyle w:val="4"/>
        <w:rPr>
          <w:color w:val="auto"/>
          <w:highlight w:val="none"/>
        </w:rPr>
      </w:pPr>
      <w:bookmarkStart w:id="863" w:name="_Toc373227747"/>
      <w:bookmarkStart w:id="864" w:name="_Toc1402"/>
      <w:bookmarkStart w:id="865" w:name="_Toc389065313"/>
      <w:bookmarkStart w:id="866" w:name="_Toc5614"/>
      <w:bookmarkStart w:id="867" w:name="_Toc407135250"/>
      <w:bookmarkStart w:id="868" w:name="_Toc373478394"/>
      <w:bookmarkStart w:id="869" w:name="_Toc296346702"/>
      <w:bookmarkStart w:id="870" w:name="_Toc297123550"/>
      <w:bookmarkStart w:id="871" w:name="_Toc296891029"/>
      <w:bookmarkStart w:id="872" w:name="_Toc312678039"/>
      <w:bookmarkStart w:id="873" w:name="_Toc297120501"/>
      <w:bookmarkStart w:id="874" w:name="_Toc303539157"/>
      <w:bookmarkStart w:id="875" w:name="_Toc296347200"/>
      <w:bookmarkStart w:id="876" w:name="_Toc296944540"/>
      <w:bookmarkStart w:id="877" w:name="_Toc300935000"/>
      <w:bookmarkStart w:id="878" w:name="_Toc296503201"/>
      <w:bookmarkStart w:id="879" w:name="_Toc304295577"/>
      <w:bookmarkStart w:id="880" w:name="_Toc297048387"/>
      <w:bookmarkStart w:id="881" w:name="_Toc296891241"/>
      <w:bookmarkStart w:id="882" w:name="_Toc297216209"/>
      <w:bookmarkStart w:id="883" w:name="_Toc292559406"/>
      <w:bookmarkStart w:id="884" w:name="_Toc292559911"/>
      <w:r>
        <w:rPr>
          <w:color w:val="auto"/>
          <w:highlight w:val="none"/>
        </w:rPr>
        <w:t xml:space="preserve">11.1 </w:t>
      </w:r>
      <w:r>
        <w:rPr>
          <w:rFonts w:hint="eastAsia" w:cs="黑体"/>
          <w:color w:val="auto"/>
          <w:highlight w:val="none"/>
        </w:rPr>
        <w:t>市场价格波动引起的调整</w:t>
      </w:r>
      <w:bookmarkEnd w:id="863"/>
      <w:bookmarkEnd w:id="864"/>
      <w:bookmarkEnd w:id="865"/>
      <w:bookmarkEnd w:id="866"/>
      <w:bookmarkEnd w:id="867"/>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color w:val="auto"/>
          <w:highlight w:val="none"/>
          <w:u w:val="single"/>
        </w:rPr>
        <w:t xml:space="preserve">  </w:t>
      </w:r>
      <w:r>
        <w:rPr>
          <w:rFonts w:hint="eastAsia"/>
          <w:color w:val="auto"/>
          <w:highlight w:val="none"/>
          <w:u w:val="single"/>
        </w:rPr>
        <w:t>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rFonts w:hint="eastAsia" w:hAnsi="宋体" w:cs="宋体"/>
          <w:color w:val="auto"/>
          <w:highlight w:val="none"/>
        </w:rPr>
        <w:t>种方式对合同价格进行调整：</w:t>
      </w:r>
    </w:p>
    <w:p>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color w:val="auto"/>
          <w:highlight w:val="none"/>
          <w:u w:val="single"/>
        </w:rPr>
        <w:t xml:space="preserve">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）允许调整的主要材料和设备、基期价格、风险系数、投标报价详见《承包人提供主要材料和设备一览表》</w:t>
      </w:r>
      <w:r>
        <w:rPr>
          <w:rFonts w:hint="eastAsia" w:ascii="宋体" w:hAnsi="宋体"/>
          <w:color w:val="auto"/>
          <w:kern w:val="0"/>
          <w:sz w:val="20"/>
          <w:highlight w:val="none"/>
        </w:rPr>
        <w:t>（表</w:t>
      </w:r>
      <w:r>
        <w:rPr>
          <w:rFonts w:ascii="宋体" w:hAnsi="宋体"/>
          <w:color w:val="auto"/>
          <w:kern w:val="0"/>
          <w:sz w:val="20"/>
          <w:highlight w:val="none"/>
        </w:rPr>
        <w:t>-22</w:t>
      </w:r>
      <w:r>
        <w:rPr>
          <w:rFonts w:hint="eastAsia" w:ascii="宋体" w:hAnsi="宋体"/>
          <w:color w:val="auto"/>
          <w:kern w:val="0"/>
          <w:sz w:val="20"/>
          <w:highlight w:val="none"/>
        </w:rPr>
        <w:t>）</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color w:val="auto"/>
          <w:highlight w:val="none"/>
          <w:u w:val="single"/>
        </w:rPr>
        <w:t xml:space="preserve">  </w:t>
      </w:r>
      <w:r>
        <w:rPr>
          <w:rFonts w:hint="eastAsia"/>
          <w:color w:val="auto"/>
          <w:highlight w:val="none"/>
          <w:u w:val="single"/>
        </w:rPr>
        <w:t>百色</w:t>
      </w:r>
      <w:r>
        <w:rPr>
          <w:color w:val="auto"/>
          <w:highlight w:val="none"/>
          <w:u w:val="single"/>
        </w:rPr>
        <w:t xml:space="preserve"> </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承包人提供主要材料和设备一览表》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承包人提供主要材料和设备一览表》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承包人提供主要材料和设备一览表》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pStyle w:val="232"/>
        <w:spacing w:line="360" w:lineRule="auto"/>
        <w:ind w:firstLine="645"/>
        <w:rPr>
          <w:color w:val="auto"/>
          <w:highlight w:val="none"/>
          <w:u w:val="singl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color w:val="auto"/>
          <w:highlight w:val="none"/>
          <w:u w:val="single"/>
        </w:rPr>
        <w:t xml:space="preserve"> </w:t>
      </w:r>
      <w:r>
        <w:rPr>
          <w:rFonts w:hint="eastAsia"/>
          <w:color w:val="auto"/>
          <w:highlight w:val="none"/>
          <w:u w:val="single"/>
        </w:rPr>
        <w:t>①关于材料基准价格的约定：按施工图预算编制时套用的当期信息价。（基准价格原则上应当按照百色市工程造价管理站发布的当地信息价，即《百色市建设工程造价信息》；若当地无信息价的，参照《南宁市建设工程造价信息》，《南宁市建设工程造价信息》并增加场外运输费用；没有相应价格信息的按市场价计算；无定额可套或没有信息价的，由发包人、承包人、监理人、评审部门等相关单位进行市场询价确定。</w:t>
      </w:r>
    </w:p>
    <w:p>
      <w:pPr>
        <w:spacing w:line="360" w:lineRule="auto"/>
        <w:ind w:firstLine="645"/>
        <w:jc w:val="left"/>
        <w:rPr>
          <w:color w:val="auto"/>
          <w:highlight w:val="none"/>
        </w:rPr>
      </w:pPr>
      <w:r>
        <w:rPr>
          <w:rFonts w:hint="eastAsia"/>
          <w:color w:val="auto"/>
          <w:highlight w:val="none"/>
          <w:u w:val="single"/>
        </w:rPr>
        <w:t>其他价格调整方式：施工期间，仅对工程主要材料（碎石、石屑）价格进行调整。工程材料（已标价工程量清单或预算书中载明的材料）在施工期间材料价格（施工期间材料价格=施工期间相同材料信息价价格的加权平均值） 偏离材料基准价±5%以内的，材料结算价不做调整：偏离材料基准价±5%以上的允许调整，调整方式为按实际工程量乘以超出±5%的价差进行相应材料价增减。即施工期间材料价格</w:t>
      </w:r>
      <w:r>
        <w:rPr>
          <w:rFonts w:hint="eastAsia"/>
          <w:color w:val="auto"/>
          <w:highlight w:val="none"/>
          <w:u w:val="single"/>
          <w:lang w:eastAsia="zh-CN"/>
        </w:rPr>
        <w:t>上涨</w:t>
      </w:r>
      <w:r>
        <w:rPr>
          <w:rFonts w:hint="eastAsia"/>
          <w:color w:val="auto"/>
          <w:highlight w:val="none"/>
          <w:u w:val="single"/>
        </w:rPr>
        <w:t>的，材料调整价款=材料用量×［施工期间材料价格-材料基准价×（1±5%）］ 调价部分仅计差额及相应的税金。工程量以监理工程师和发包人确认的工程量为准</w:t>
      </w:r>
      <w:r>
        <w:rPr>
          <w:rFonts w:hint="eastAsia" w:cs="宋体"/>
          <w:color w:val="auto"/>
          <w:highlight w:val="none"/>
        </w:rPr>
        <w:t>。人工、机械费按照我区建设行政主管部门或其授权的工程造价管理机构发布的人工费、机械台班单价或机械使用费系数进行调整。</w:t>
      </w:r>
    </w:p>
    <w:bookmarkEnd w:id="723"/>
    <w:bookmarkEnd w:id="724"/>
    <w:bookmarkEnd w:id="725"/>
    <w:bookmarkEnd w:id="726"/>
    <w:bookmarkEnd w:id="727"/>
    <w:bookmarkEnd w:id="728"/>
    <w:p>
      <w:pPr>
        <w:pStyle w:val="3"/>
        <w:rPr>
          <w:color w:val="auto"/>
          <w:highlight w:val="none"/>
        </w:rPr>
      </w:pPr>
      <w:bookmarkStart w:id="885" w:name="_Toc297120505"/>
      <w:bookmarkStart w:id="886" w:name="_Toc296347204"/>
      <w:bookmarkStart w:id="887" w:name="_Toc296346706"/>
      <w:bookmarkStart w:id="888" w:name="_Toc292559915"/>
      <w:bookmarkStart w:id="889" w:name="_Toc296503205"/>
      <w:bookmarkStart w:id="890" w:name="_Toc296944544"/>
      <w:bookmarkStart w:id="891" w:name="_Toc292559410"/>
      <w:bookmarkStart w:id="892" w:name="_Toc296891245"/>
      <w:bookmarkStart w:id="893" w:name="_Toc297048391"/>
      <w:bookmarkStart w:id="894" w:name="_Toc296891033"/>
      <w:bookmarkStart w:id="895" w:name="_Toc563"/>
      <w:bookmarkStart w:id="896" w:name="_Toc20839"/>
      <w:bookmarkStart w:id="897" w:name="_Toc407135251"/>
      <w:bookmarkStart w:id="898" w:name="_Toc351203644"/>
      <w:bookmarkStart w:id="899" w:name="_Toc373478395"/>
      <w:bookmarkStart w:id="900" w:name="_Toc373227748"/>
      <w:bookmarkStart w:id="901" w:name="_Toc300935002"/>
      <w:bookmarkStart w:id="902" w:name="_Toc303539159"/>
      <w:bookmarkStart w:id="903" w:name="_Toc312678040"/>
      <w:bookmarkStart w:id="904" w:name="_Toc297123552"/>
      <w:bookmarkStart w:id="905" w:name="_Toc297216211"/>
      <w:bookmarkStart w:id="906" w:name="_Toc304295579"/>
      <w:r>
        <w:rPr>
          <w:color w:val="auto"/>
          <w:highlight w:val="none"/>
        </w:rPr>
        <w:t xml:space="preserve">12. </w:t>
      </w:r>
      <w:bookmarkEnd w:id="885"/>
      <w:bookmarkEnd w:id="886"/>
      <w:bookmarkEnd w:id="887"/>
      <w:bookmarkEnd w:id="888"/>
      <w:bookmarkEnd w:id="889"/>
      <w:bookmarkEnd w:id="890"/>
      <w:bookmarkEnd w:id="891"/>
      <w:bookmarkEnd w:id="892"/>
      <w:bookmarkEnd w:id="893"/>
      <w:bookmarkEnd w:id="894"/>
      <w:r>
        <w:rPr>
          <w:rFonts w:hint="eastAsia"/>
          <w:color w:val="auto"/>
          <w:highlight w:val="none"/>
        </w:rPr>
        <w:t>合同价格、计量与支付</w:t>
      </w:r>
      <w:bookmarkEnd w:id="895"/>
      <w:bookmarkEnd w:id="896"/>
      <w:bookmarkEnd w:id="897"/>
      <w:bookmarkEnd w:id="898"/>
      <w:bookmarkEnd w:id="899"/>
      <w:bookmarkEnd w:id="900"/>
    </w:p>
    <w:bookmarkEnd w:id="901"/>
    <w:bookmarkEnd w:id="902"/>
    <w:bookmarkEnd w:id="903"/>
    <w:bookmarkEnd w:id="904"/>
    <w:bookmarkEnd w:id="905"/>
    <w:bookmarkEnd w:id="906"/>
    <w:p>
      <w:pPr>
        <w:pStyle w:val="4"/>
        <w:rPr>
          <w:color w:val="auto"/>
          <w:highlight w:val="none"/>
        </w:rPr>
      </w:pPr>
      <w:bookmarkStart w:id="907" w:name="_Toc267251461"/>
      <w:bookmarkStart w:id="908" w:name="_Toc292559411"/>
      <w:bookmarkStart w:id="909" w:name="_Toc292559916"/>
      <w:bookmarkStart w:id="910" w:name="_Toc296891034"/>
      <w:bookmarkStart w:id="911" w:name="_Toc297120506"/>
      <w:bookmarkStart w:id="912" w:name="_Toc296503206"/>
      <w:bookmarkStart w:id="913" w:name="_Toc297048392"/>
      <w:bookmarkStart w:id="914" w:name="_Toc296347205"/>
      <w:bookmarkStart w:id="915" w:name="_Toc296891246"/>
      <w:bookmarkStart w:id="916" w:name="_Toc296346707"/>
      <w:bookmarkStart w:id="917" w:name="_Toc296944545"/>
      <w:bookmarkStart w:id="918" w:name="_Toc407135252"/>
      <w:bookmarkStart w:id="919" w:name="_Toc389065314"/>
      <w:bookmarkStart w:id="920" w:name="_Toc7272"/>
      <w:bookmarkStart w:id="921" w:name="_Toc373227749"/>
      <w:bookmarkStart w:id="922" w:name="_Toc12555"/>
      <w:bookmarkStart w:id="923" w:name="_Toc373478396"/>
      <w:bookmarkStart w:id="924" w:name="_Toc297123553"/>
      <w:bookmarkStart w:id="925" w:name="_Toc297216212"/>
      <w:bookmarkStart w:id="926" w:name="_Toc303539160"/>
      <w:bookmarkStart w:id="927" w:name="_Toc300935003"/>
      <w:bookmarkStart w:id="928" w:name="_Toc304295580"/>
      <w:bookmarkStart w:id="929" w:name="_Toc312678041"/>
      <w:r>
        <w:rPr>
          <w:color w:val="auto"/>
          <w:highlight w:val="none"/>
        </w:rPr>
        <w:t xml:space="preserve">12.1 </w:t>
      </w:r>
      <w:r>
        <w:rPr>
          <w:rFonts w:hint="eastAsia" w:hAnsi="宋体" w:cs="黑体"/>
          <w:color w:val="auto"/>
          <w:highlight w:val="none"/>
        </w:rPr>
        <w:t>合</w:t>
      </w:r>
      <w:bookmarkEnd w:id="907"/>
      <w:bookmarkEnd w:id="908"/>
      <w:bookmarkEnd w:id="909"/>
      <w:r>
        <w:rPr>
          <w:rFonts w:hint="eastAsia" w:hAnsi="宋体" w:cs="黑体"/>
          <w:color w:val="auto"/>
          <w:highlight w:val="none"/>
        </w:rPr>
        <w:t>同价</w:t>
      </w:r>
      <w:bookmarkEnd w:id="910"/>
      <w:bookmarkEnd w:id="911"/>
      <w:bookmarkEnd w:id="912"/>
      <w:bookmarkEnd w:id="913"/>
      <w:bookmarkEnd w:id="914"/>
      <w:bookmarkEnd w:id="915"/>
      <w:bookmarkEnd w:id="916"/>
      <w:bookmarkEnd w:id="917"/>
      <w:r>
        <w:rPr>
          <w:rFonts w:hint="eastAsia" w:hAnsi="宋体" w:cs="黑体"/>
          <w:color w:val="auto"/>
          <w:highlight w:val="none"/>
        </w:rPr>
        <w:t>格形式</w:t>
      </w:r>
      <w:bookmarkEnd w:id="918"/>
      <w:bookmarkEnd w:id="919"/>
      <w:bookmarkEnd w:id="920"/>
      <w:bookmarkEnd w:id="921"/>
      <w:bookmarkEnd w:id="922"/>
      <w:bookmarkEnd w:id="923"/>
    </w:p>
    <w:bookmarkEnd w:id="924"/>
    <w:bookmarkEnd w:id="925"/>
    <w:bookmarkEnd w:id="926"/>
    <w:bookmarkEnd w:id="927"/>
    <w:bookmarkEnd w:id="928"/>
    <w:bookmarkEnd w:id="929"/>
    <w:p>
      <w:pPr>
        <w:spacing w:line="360" w:lineRule="auto"/>
        <w:ind w:firstLine="420" w:firstLineChars="200"/>
        <w:jc w:val="left"/>
        <w:rPr>
          <w:rFonts w:hAnsi="宋体"/>
          <w:color w:val="auto"/>
          <w:highlight w:val="none"/>
        </w:rPr>
      </w:pPr>
      <w:bookmarkStart w:id="930" w:name="_Toc373227750"/>
      <w:bookmarkStart w:id="931" w:name="_Toc373478397"/>
      <w:bookmarkStart w:id="932" w:name="_Toc389065315"/>
      <w:bookmarkStart w:id="933" w:name="_Toc297123554"/>
      <w:bookmarkStart w:id="934" w:name="_Toc304295581"/>
      <w:bookmarkStart w:id="935" w:name="_Toc300935004"/>
      <w:bookmarkStart w:id="936" w:name="_Toc303539161"/>
      <w:bookmarkStart w:id="937" w:name="_Toc312678042"/>
      <w:bookmarkStart w:id="938" w:name="_Toc297216213"/>
      <w:bookmarkStart w:id="939" w:name="_Toc296891247"/>
      <w:bookmarkStart w:id="940" w:name="_Toc296347206"/>
      <w:bookmarkStart w:id="941" w:name="_Toc292559412"/>
      <w:bookmarkStart w:id="942" w:name="_Toc296346708"/>
      <w:bookmarkStart w:id="943" w:name="_Toc296503207"/>
      <w:bookmarkStart w:id="944" w:name="_Toc292559917"/>
      <w:bookmarkStart w:id="945" w:name="_Toc297120507"/>
      <w:bookmarkStart w:id="946" w:name="_Toc296891035"/>
      <w:bookmarkStart w:id="947" w:name="_Toc297048393"/>
      <w:bookmarkStart w:id="948" w:name="_Toc296944546"/>
      <w:r>
        <w:rPr>
          <w:rFonts w:hint="eastAsia" w:hAnsi="宋体" w:cs="宋体"/>
          <w:color w:val="auto"/>
          <w:highlight w:val="none"/>
        </w:rPr>
        <w:t>本工程采用</w:t>
      </w:r>
      <w:r>
        <w:rPr>
          <w:rFonts w:hAnsi="宋体"/>
          <w:color w:val="auto"/>
          <w:highlight w:val="none"/>
          <w:u w:val="single"/>
        </w:rPr>
        <w:t xml:space="preserve">  </w:t>
      </w:r>
      <w:r>
        <w:rPr>
          <w:rFonts w:hint="eastAsia" w:hAnsi="宋体"/>
          <w:color w:val="auto"/>
          <w:highlight w:val="none"/>
          <w:u w:val="single"/>
        </w:rPr>
        <w:t>（1）种</w:t>
      </w:r>
      <w:r>
        <w:rPr>
          <w:rFonts w:hAnsi="宋体"/>
          <w:color w:val="auto"/>
          <w:highlight w:val="none"/>
          <w:u w:val="single"/>
        </w:rPr>
        <w:t xml:space="preserve">  </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rPr>
        <w:t>☑</w:t>
      </w:r>
      <w:r>
        <w:rPr>
          <w:rFonts w:hint="eastAsia" w:hAnsi="宋体" w:cs="宋体"/>
          <w:color w:val="auto"/>
          <w:highlight w:val="none"/>
        </w:rPr>
        <w:t xml:space="preserve">一般计税法   </w:t>
      </w:r>
      <w:r>
        <w:rPr>
          <w:rFonts w:hint="eastAsia" w:ascii="宋体" w:hAnsi="宋体" w:cs="宋体"/>
          <w:color w:val="auto"/>
          <w:highlight w:val="none"/>
        </w:rPr>
        <w:t>□</w:t>
      </w:r>
      <w:r>
        <w:rPr>
          <w:rFonts w:hint="eastAsia" w:hAnsi="宋体" w:cs="宋体"/>
          <w:color w:val="auto"/>
          <w:highlight w:val="none"/>
        </w:rPr>
        <w:t>简易计税法。</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hAnsi="宋体" w:cs="宋体"/>
          <w:color w:val="auto"/>
          <w:highlight w:val="none"/>
          <w:u w:val="single"/>
        </w:rPr>
        <w:t>除工程变更、项目特征不符、工程量清单缺项、工程量偏差、政策性调整、本工程《承包人提供主要材料和设备一览表》中约定的材料和设备价格变动风险以外的其他风险因素。</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int="eastAsia" w:hAnsi="宋体" w:cs="宋体"/>
          <w:color w:val="auto"/>
          <w:highlight w:val="none"/>
        </w:rPr>
        <w:t>⑤其它：</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本工程《承包人提供主要材料和设备一览表》中约定的材料和设备价格变动风险以外的其他风险。除工程变更外，结算时不再对招标施工图对应的工程量重新计量</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Ansi="宋体" w:cs="宋体"/>
          <w:color w:val="auto"/>
          <w:highlight w:val="none"/>
        </w:rPr>
      </w:pPr>
      <w:r>
        <w:rPr>
          <w:color w:val="auto"/>
          <w:highlight w:val="none"/>
        </w:rPr>
        <w:t xml:space="preserve"> </w:t>
      </w:r>
      <w:r>
        <w:rPr>
          <w:rFonts w:hint="eastAsia" w:hAnsi="宋体" w:cs="宋体"/>
          <w:color w:val="auto"/>
          <w:highlight w:val="none"/>
        </w:rPr>
        <w:t>①工程变更：按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按自治区住房城乡建设厅或工程所在地住房城乡建设主管部门颁布的文件执行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③材料价格风险：按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Ansi="宋体" w:cs="宋体"/>
          <w:color w:val="auto"/>
          <w:highlight w:val="none"/>
        </w:rPr>
        <w:instrText xml:space="preserve"> </w:instrText>
      </w:r>
      <w:r>
        <w:rPr>
          <w:rFonts w:hint="eastAsia" w:hAnsi="宋体" w:cs="宋体"/>
          <w:color w:val="auto"/>
          <w:highlight w:val="none"/>
        </w:rPr>
        <w:instrText xml:space="preserve">= 4 \* GB3</w:instrText>
      </w:r>
      <w:r>
        <w:rPr>
          <w:rFonts w:hAnsi="宋体" w:cs="宋体"/>
          <w:color w:val="auto"/>
          <w:highlight w:val="none"/>
        </w:rPr>
        <w:instrText xml:space="preserve"> </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color w:val="auto"/>
          <w:highlight w:val="none"/>
          <w:u w:val="single"/>
        </w:rPr>
        <w:t xml:space="preserve">                                       </w:t>
      </w:r>
      <w:r>
        <w:rPr>
          <w:rFonts w:hint="eastAsia" w:cs="宋体"/>
          <w:color w:val="auto"/>
          <w:highlight w:val="none"/>
        </w:rPr>
        <w:t>。</w:t>
      </w:r>
    </w:p>
    <w:p>
      <w:pPr>
        <w:pStyle w:val="4"/>
        <w:rPr>
          <w:color w:val="auto"/>
          <w:highlight w:val="none"/>
        </w:rPr>
      </w:pPr>
      <w:bookmarkStart w:id="949" w:name="_Toc407135253"/>
      <w:bookmarkStart w:id="950" w:name="_Toc1766"/>
      <w:bookmarkStart w:id="951" w:name="_Toc5981"/>
      <w:r>
        <w:rPr>
          <w:color w:val="auto"/>
          <w:highlight w:val="none"/>
        </w:rPr>
        <w:t xml:space="preserve">12.2 </w:t>
      </w:r>
      <w:r>
        <w:rPr>
          <w:rFonts w:hint="eastAsia" w:hAnsi="宋体" w:cs="黑体"/>
          <w:color w:val="auto"/>
          <w:highlight w:val="none"/>
        </w:rPr>
        <w:t>预付款</w:t>
      </w:r>
      <w:bookmarkEnd w:id="930"/>
      <w:bookmarkEnd w:id="931"/>
      <w:bookmarkEnd w:id="932"/>
      <w:bookmarkEnd w:id="949"/>
      <w:bookmarkEnd w:id="950"/>
      <w:bookmarkEnd w:id="951"/>
    </w:p>
    <w:bookmarkEnd w:id="933"/>
    <w:bookmarkEnd w:id="934"/>
    <w:bookmarkEnd w:id="935"/>
    <w:bookmarkEnd w:id="936"/>
    <w:bookmarkEnd w:id="937"/>
    <w:bookmarkEnd w:id="938"/>
    <w:p>
      <w:pPr>
        <w:spacing w:line="360" w:lineRule="auto"/>
        <w:ind w:firstLine="420" w:firstLineChars="200"/>
        <w:jc w:val="left"/>
        <w:rPr>
          <w:color w:val="0000FF"/>
          <w:highlight w:val="none"/>
        </w:rPr>
      </w:pPr>
      <w:r>
        <w:rPr>
          <w:color w:val="0000FF"/>
          <w:highlight w:val="none"/>
        </w:rPr>
        <w:t xml:space="preserve">12.2.1 </w:t>
      </w:r>
      <w:r>
        <w:rPr>
          <w:rFonts w:hint="eastAsia" w:hAnsi="宋体" w:cs="宋体"/>
          <w:color w:val="0000FF"/>
          <w:highlight w:val="none"/>
        </w:rPr>
        <w:t>预付款的支付</w:t>
      </w:r>
    </w:p>
    <w:p>
      <w:pPr>
        <w:spacing w:line="360" w:lineRule="auto"/>
        <w:ind w:firstLine="420" w:firstLineChars="200"/>
        <w:jc w:val="left"/>
        <w:rPr>
          <w:color w:val="0000FF"/>
          <w:highlight w:val="none"/>
        </w:rPr>
      </w:pPr>
      <w:r>
        <w:rPr>
          <w:rFonts w:hint="eastAsia" w:hAnsi="宋体" w:cs="宋体"/>
          <w:color w:val="0000FF"/>
          <w:highlight w:val="none"/>
        </w:rPr>
        <w:t>预付款支付比例或金额：</w:t>
      </w:r>
      <w:r>
        <w:rPr>
          <w:color w:val="0000FF"/>
          <w:highlight w:val="none"/>
          <w:u w:val="single"/>
        </w:rPr>
        <w:t xml:space="preserve">  </w:t>
      </w:r>
      <w:r>
        <w:rPr>
          <w:rFonts w:hint="eastAsia"/>
          <w:color w:val="0000FF"/>
          <w:highlight w:val="none"/>
          <w:u w:val="single"/>
          <w:lang w:val="en-US" w:eastAsia="zh-CN"/>
        </w:rPr>
        <w:t>30%</w:t>
      </w:r>
      <w:r>
        <w:rPr>
          <w:color w:val="0000FF"/>
          <w:highlight w:val="none"/>
          <w:u w:val="single"/>
        </w:rPr>
        <w:t xml:space="preserve">  </w:t>
      </w:r>
      <w:r>
        <w:rPr>
          <w:rFonts w:hint="eastAsia" w:hAnsi="宋体" w:cs="宋体"/>
          <w:color w:val="0000FF"/>
          <w:highlight w:val="none"/>
        </w:rPr>
        <w:t>。</w:t>
      </w:r>
    </w:p>
    <w:p>
      <w:pPr>
        <w:spacing w:line="360" w:lineRule="auto"/>
        <w:ind w:firstLine="420" w:firstLineChars="200"/>
        <w:jc w:val="left"/>
        <w:rPr>
          <w:color w:val="auto"/>
          <w:highlight w:val="none"/>
        </w:rPr>
      </w:pPr>
      <w:r>
        <w:rPr>
          <w:rFonts w:hint="eastAsia" w:hAnsi="宋体" w:cs="宋体"/>
          <w:color w:val="auto"/>
          <w:highlight w:val="none"/>
        </w:rPr>
        <w:t>预付款支付期限：</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预付款扣回的方式：</w:t>
      </w:r>
      <w:r>
        <w:rPr>
          <w:color w:val="auto"/>
          <w:highlight w:val="none"/>
          <w:u w:val="single"/>
        </w:rPr>
        <w:t xml:space="preserve">   </w:t>
      </w:r>
      <w:r>
        <w:rPr>
          <w:rFonts w:hint="eastAsia"/>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预付款担保的形式为：</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ascii="宋体" w:hAnsi="宋体" w:cs="宋体"/>
          <w:color w:val="auto"/>
          <w:highlight w:val="none"/>
        </w:rPr>
        <w:t>预付款担保格式见合同附件8。预付款支付申请（核准）表见合同附件10</w:t>
      </w:r>
    </w:p>
    <w:bookmarkEnd w:id="939"/>
    <w:bookmarkEnd w:id="940"/>
    <w:bookmarkEnd w:id="941"/>
    <w:bookmarkEnd w:id="942"/>
    <w:bookmarkEnd w:id="943"/>
    <w:bookmarkEnd w:id="944"/>
    <w:bookmarkEnd w:id="945"/>
    <w:bookmarkEnd w:id="946"/>
    <w:bookmarkEnd w:id="947"/>
    <w:bookmarkEnd w:id="948"/>
    <w:p>
      <w:pPr>
        <w:pStyle w:val="4"/>
        <w:rPr>
          <w:color w:val="auto"/>
          <w:highlight w:val="none"/>
        </w:rPr>
      </w:pPr>
      <w:bookmarkStart w:id="952" w:name="_Toc26162"/>
      <w:bookmarkStart w:id="953" w:name="_Toc6578"/>
      <w:bookmarkStart w:id="954" w:name="_Toc407135254"/>
      <w:bookmarkStart w:id="955" w:name="_Toc389065316"/>
      <w:bookmarkStart w:id="956" w:name="_Toc373478398"/>
      <w:bookmarkStart w:id="957" w:name="_Toc373227751"/>
      <w:r>
        <w:rPr>
          <w:color w:val="auto"/>
          <w:highlight w:val="none"/>
        </w:rPr>
        <w:t xml:space="preserve">12.3 </w:t>
      </w:r>
      <w:r>
        <w:rPr>
          <w:rFonts w:hint="eastAsia" w:hAnsi="宋体" w:cs="黑体"/>
          <w:color w:val="auto"/>
          <w:highlight w:val="none"/>
        </w:rPr>
        <w:t>计量</w:t>
      </w:r>
      <w:bookmarkEnd w:id="952"/>
      <w:bookmarkEnd w:id="953"/>
      <w:bookmarkEnd w:id="954"/>
      <w:bookmarkEnd w:id="955"/>
      <w:bookmarkEnd w:id="956"/>
      <w:bookmarkEnd w:id="957"/>
    </w:p>
    <w:p>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w:t>
      </w:r>
      <w:r>
        <w:rPr>
          <w:rFonts w:hint="eastAsia" w:hAnsi="宋体" w:cs="宋体"/>
          <w:color w:val="auto"/>
          <w:highlight w:val="none"/>
          <w:u w:val="single"/>
          <w:lang w:eastAsia="zh-CN"/>
        </w:rPr>
        <w:t>及其</w:t>
      </w:r>
      <w:r>
        <w:rPr>
          <w:rFonts w:hint="eastAsia" w:hAnsi="宋体" w:cs="宋体"/>
          <w:color w:val="auto"/>
          <w:highlight w:val="none"/>
          <w:u w:val="single"/>
        </w:rPr>
        <w:t>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）及其广西实施细则、本工程补充项目清单为准。</w:t>
      </w:r>
    </w:p>
    <w:p>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pPr>
        <w:pStyle w:val="243"/>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根据承包人自身要求周期上报计量，原则上在每月25日前上报</w:t>
      </w:r>
      <w:r>
        <w:rPr>
          <w:rFonts w:hint="eastAsia" w:hAnsi="宋体" w:cs="宋体"/>
          <w:color w:val="auto"/>
          <w:highlight w:val="none"/>
        </w:rPr>
        <w:t>。</w:t>
      </w:r>
    </w:p>
    <w:p>
      <w:pPr>
        <w:spacing w:line="360" w:lineRule="auto"/>
        <w:ind w:firstLine="420" w:firstLineChars="200"/>
        <w:jc w:val="left"/>
        <w:outlineLvl w:val="0"/>
        <w:rPr>
          <w:color w:val="auto"/>
          <w:highlight w:val="none"/>
        </w:rPr>
      </w:pPr>
      <w:bookmarkStart w:id="958" w:name="_Toc2369"/>
      <w:bookmarkStart w:id="959" w:name="_Toc4036"/>
      <w:r>
        <w:rPr>
          <w:color w:val="auto"/>
          <w:highlight w:val="none"/>
        </w:rPr>
        <w:t xml:space="preserve">12.3.3 </w:t>
      </w:r>
      <w:r>
        <w:rPr>
          <w:rFonts w:hint="eastAsia" w:hAnsi="宋体" w:cs="宋体"/>
          <w:color w:val="auto"/>
          <w:highlight w:val="none"/>
        </w:rPr>
        <w:t>单价合同的计量</w:t>
      </w:r>
      <w:bookmarkEnd w:id="958"/>
      <w:bookmarkEnd w:id="959"/>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color w:val="auto"/>
          <w:highlight w:val="none"/>
          <w:u w:val="single"/>
        </w:rPr>
        <w:t xml:space="preserve">   </w:t>
      </w:r>
      <w:r>
        <w:rPr>
          <w:rFonts w:hint="eastAsia"/>
          <w:color w:val="auto"/>
          <w:highlight w:val="none"/>
          <w:u w:val="single"/>
        </w:rPr>
        <w:t>无</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960" w:name="_Toc373227752"/>
      <w:bookmarkStart w:id="961" w:name="_Toc10278"/>
      <w:bookmarkStart w:id="962" w:name="_Toc9821"/>
      <w:bookmarkStart w:id="963" w:name="_Toc389065317"/>
      <w:bookmarkStart w:id="964" w:name="_Toc407135255"/>
      <w:bookmarkStart w:id="965" w:name="_Toc373478399"/>
      <w:r>
        <w:rPr>
          <w:color w:val="auto"/>
          <w:highlight w:val="none"/>
        </w:rPr>
        <w:t xml:space="preserve">12.4 </w:t>
      </w:r>
      <w:r>
        <w:rPr>
          <w:rFonts w:hint="eastAsia" w:cs="黑体"/>
          <w:color w:val="auto"/>
          <w:highlight w:val="none"/>
        </w:rPr>
        <w:t>工程进度款支付</w:t>
      </w:r>
      <w:bookmarkEnd w:id="960"/>
      <w:bookmarkEnd w:id="961"/>
      <w:bookmarkEnd w:id="962"/>
      <w:bookmarkEnd w:id="963"/>
      <w:bookmarkEnd w:id="964"/>
      <w:bookmarkEnd w:id="965"/>
    </w:p>
    <w:p>
      <w:pPr>
        <w:spacing w:line="360" w:lineRule="auto"/>
        <w:ind w:firstLine="420" w:firstLineChars="200"/>
        <w:jc w:val="left"/>
        <w:rPr>
          <w:color w:val="auto"/>
          <w:highlight w:val="none"/>
        </w:rPr>
      </w:pPr>
      <w:bookmarkStart w:id="966" w:name="_Toc297048397"/>
      <w:bookmarkStart w:id="967" w:name="_Toc296346712"/>
      <w:bookmarkStart w:id="968" w:name="_Toc300935006"/>
      <w:bookmarkStart w:id="969" w:name="_Toc297123556"/>
      <w:bookmarkStart w:id="970" w:name="_Toc296944550"/>
      <w:bookmarkStart w:id="971" w:name="_Toc297216215"/>
      <w:bookmarkStart w:id="972" w:name="_Toc292559416"/>
      <w:bookmarkStart w:id="973" w:name="_Toc303539163"/>
      <w:bookmarkStart w:id="974" w:name="_Toc296891251"/>
      <w:bookmarkStart w:id="975" w:name="_Toc292559921"/>
      <w:bookmarkStart w:id="976" w:name="_Toc296503211"/>
      <w:bookmarkStart w:id="977" w:name="_Toc296891039"/>
      <w:bookmarkStart w:id="978" w:name="_Toc297120511"/>
      <w:bookmarkStart w:id="979" w:name="_Toc296347210"/>
      <w:r>
        <w:rPr>
          <w:color w:val="auto"/>
          <w:highlight w:val="none"/>
        </w:rPr>
        <w:t xml:space="preserve">12.4.1 </w:t>
      </w:r>
      <w:r>
        <w:rPr>
          <w:rFonts w:hint="eastAsia" w:hAnsi="宋体" w:cs="宋体"/>
          <w:color w:val="auto"/>
          <w:highlight w:val="none"/>
        </w:rPr>
        <w:t>付款方式</w:t>
      </w:r>
    </w:p>
    <w:p>
      <w:pPr>
        <w:spacing w:line="360" w:lineRule="auto"/>
        <w:ind w:firstLine="480" w:firstLineChars="200"/>
        <w:jc w:val="left"/>
        <w:rPr>
          <w:rFonts w:hint="eastAsia" w:hAnsi="宋体" w:cs="宋体"/>
          <w:color w:val="auto"/>
          <w:highlight w:val="none"/>
        </w:rPr>
      </w:pPr>
      <w:r>
        <w:rPr>
          <w:rFonts w:hint="eastAsia" w:ascii="宋体" w:hAnsi="宋体" w:eastAsia="宋体" w:cs="宋体"/>
          <w:color w:val="auto"/>
          <w:sz w:val="24"/>
          <w:highlight w:val="none"/>
          <w:lang w:val="en-US" w:eastAsia="zh-CN"/>
        </w:rPr>
        <w:t>工程款按节点支付，</w:t>
      </w:r>
      <w:r>
        <w:rPr>
          <w:rFonts w:hint="eastAsia" w:ascii="宋体" w:hAnsi="宋体" w:cs="宋体"/>
          <w:color w:val="auto"/>
          <w:sz w:val="24"/>
          <w:highlight w:val="none"/>
          <w:lang w:val="en-US" w:eastAsia="zh-CN"/>
        </w:rPr>
        <w:t>该工程项目形象进度完成90%后，支付至已完工程进度款的</w:t>
      </w:r>
      <w:r>
        <w:rPr>
          <w:rFonts w:hint="eastAsia" w:ascii="宋体" w:hAnsi="宋体" w:eastAsia="宋体" w:cs="宋体"/>
          <w:color w:val="auto"/>
          <w:sz w:val="24"/>
          <w:highlight w:val="none"/>
          <w:lang w:val="en-US" w:eastAsia="zh-CN"/>
        </w:rPr>
        <w:t>的</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工程</w:t>
      </w:r>
      <w:r>
        <w:rPr>
          <w:rFonts w:hint="eastAsia" w:ascii="宋体" w:hAnsi="宋体" w:cs="宋体"/>
          <w:color w:val="auto"/>
          <w:sz w:val="24"/>
          <w:highlight w:val="none"/>
          <w:lang w:val="en-US" w:eastAsia="zh-CN"/>
        </w:rPr>
        <w:t>竣工</w:t>
      </w:r>
      <w:r>
        <w:rPr>
          <w:rFonts w:hint="eastAsia" w:ascii="宋体" w:hAnsi="宋体" w:eastAsia="宋体" w:cs="宋体"/>
          <w:color w:val="auto"/>
          <w:sz w:val="24"/>
          <w:highlight w:val="none"/>
          <w:lang w:val="en-US" w:eastAsia="zh-CN"/>
        </w:rPr>
        <w:t>验收</w:t>
      </w:r>
      <w:r>
        <w:rPr>
          <w:rFonts w:hint="eastAsia" w:ascii="宋体" w:hAnsi="宋体" w:cs="宋体"/>
          <w:color w:val="auto"/>
          <w:sz w:val="24"/>
          <w:highlight w:val="none"/>
          <w:lang w:val="en-US" w:eastAsia="zh-CN"/>
        </w:rPr>
        <w:t>合格，竣工结算经第三方机构或发包人审核完成后，支付至审定的竣工结算金额的</w:t>
      </w:r>
      <w:r>
        <w:rPr>
          <w:rFonts w:hint="eastAsia" w:ascii="宋体" w:hAnsi="宋体" w:eastAsia="宋体" w:cs="宋体"/>
          <w:color w:val="auto"/>
          <w:sz w:val="24"/>
          <w:highlight w:val="none"/>
          <w:lang w:val="en-US" w:eastAsia="zh-CN"/>
        </w:rPr>
        <w:t>97%</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剩余3%为质保金，工程质保期结束后支付</w:t>
      </w:r>
      <w:r>
        <w:rPr>
          <w:rFonts w:hint="eastAsia" w:ascii="宋体" w:hAnsi="宋体" w:cs="宋体"/>
          <w:color w:val="auto"/>
          <w:sz w:val="24"/>
          <w:highlight w:val="none"/>
          <w:lang w:val="en-US" w:eastAsia="zh-CN"/>
        </w:rPr>
        <w:t>（无息）</w:t>
      </w:r>
      <w:r>
        <w:rPr>
          <w:rFonts w:hint="eastAsia" w:ascii="宋体" w:hAnsi="宋体" w:eastAsia="宋体" w:cs="宋体"/>
          <w:color w:val="auto"/>
          <w:sz w:val="24"/>
          <w:highlight w:val="none"/>
          <w:lang w:val="en-US" w:eastAsia="zh-CN"/>
        </w:rPr>
        <w:t>。付款周期内，承包人未按发包人要求做好项目质量、安全、资料、扬尘防治等工作，发包人有权延期支付当期进度款(除农民工工资部分外)。</w:t>
      </w:r>
    </w:p>
    <w:p>
      <w:pPr>
        <w:spacing w:line="360" w:lineRule="auto"/>
        <w:ind w:firstLine="420" w:firstLineChars="200"/>
        <w:jc w:val="left"/>
        <w:rPr>
          <w:rFonts w:hAnsi="宋体" w:cs="宋体"/>
          <w:color w:val="auto"/>
          <w:highlight w:val="none"/>
        </w:rPr>
      </w:pPr>
      <w:r>
        <w:rPr>
          <w:rFonts w:hint="eastAsia" w:hAnsi="宋体" w:cs="宋体"/>
          <w:color w:val="auto"/>
          <w:highlight w:val="none"/>
        </w:rPr>
        <w:t>所有乙方提供的发票均为增值税专用发票。</w:t>
      </w:r>
    </w:p>
    <w:p>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color w:val="auto"/>
          <w:highlight w:val="none"/>
          <w:u w:val="single"/>
        </w:rPr>
        <w:t xml:space="preserve"> 按发包人要求版本进行编制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1</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hint="eastAsia" w:hAnsi="宋体" w:cs="宋体"/>
          <w:color w:val="auto"/>
          <w:highlight w:val="none"/>
          <w:u w:val="single"/>
        </w:rPr>
        <w:t>每月25日前提交当期进度款申请单，如未按时提交，支付进度款时间顺延</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color w:val="auto"/>
          <w:highlight w:val="none"/>
          <w:u w:val="single"/>
        </w:rPr>
        <w:t xml:space="preserve">  </w:t>
      </w:r>
      <w:r>
        <w:rPr>
          <w:rFonts w:hint="eastAsia"/>
          <w:color w:val="auto"/>
          <w:highlight w:val="none"/>
          <w:u w:val="single"/>
        </w:rPr>
        <w:t xml:space="preserve"> / </w:t>
      </w:r>
      <w:r>
        <w:rPr>
          <w:color w:val="auto"/>
          <w:highlight w:val="none"/>
          <w:u w:val="single"/>
        </w:rPr>
        <w:t xml:space="preserve"> </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hAnsi="宋体" w:cs="宋体"/>
          <w:color w:val="auto"/>
          <w:highlight w:val="none"/>
          <w:u w:val="single"/>
        </w:rPr>
        <w:t xml:space="preserve"> </w:t>
      </w:r>
      <w:r>
        <w:rPr>
          <w:color w:val="auto"/>
          <w:highlight w:val="none"/>
          <w:u w:val="single"/>
        </w:rPr>
        <w:t>收到合格进度计量申请七日内</w:t>
      </w:r>
      <w:r>
        <w:rPr>
          <w:rFonts w:hint="eastAsia"/>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color w:val="auto"/>
          <w:highlight w:val="none"/>
          <w:u w:val="single"/>
        </w:rPr>
        <w:t xml:space="preserve"> 收到合格进度计量申请七日内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color w:val="auto"/>
          <w:highlight w:val="none"/>
          <w:u w:val="single"/>
        </w:rPr>
        <w:t xml:space="preserve"> 申请签发</w:t>
      </w:r>
      <w:r>
        <w:rPr>
          <w:rFonts w:hint="eastAsia"/>
          <w:color w:val="auto"/>
          <w:highlight w:val="none"/>
          <w:u w:val="single"/>
        </w:rPr>
        <w:t>进度款支付证书</w:t>
      </w:r>
      <w:r>
        <w:rPr>
          <w:color w:val="auto"/>
          <w:highlight w:val="none"/>
          <w:u w:val="single"/>
        </w:rPr>
        <w:t>且收到承包人出具的正式增值税</w:t>
      </w:r>
      <w:r>
        <w:rPr>
          <w:rFonts w:hint="eastAsia"/>
          <w:color w:val="auto"/>
          <w:highlight w:val="none"/>
          <w:u w:val="single"/>
        </w:rPr>
        <w:t>专用</w:t>
      </w:r>
      <w:r>
        <w:rPr>
          <w:color w:val="auto"/>
          <w:highlight w:val="none"/>
          <w:u w:val="single"/>
        </w:rPr>
        <w:t>发票后</w:t>
      </w:r>
      <w:r>
        <w:rPr>
          <w:rFonts w:hint="eastAsia"/>
          <w:color w:val="auto"/>
          <w:highlight w:val="none"/>
          <w:u w:val="single"/>
        </w:rPr>
        <w:t>28</w:t>
      </w:r>
      <w:r>
        <w:rPr>
          <w:color w:val="auto"/>
          <w:highlight w:val="none"/>
          <w:u w:val="single"/>
        </w:rPr>
        <w:t xml:space="preserve">天内 </w:t>
      </w:r>
      <w:r>
        <w:rPr>
          <w:rFonts w:hint="eastAsia" w:hAnsi="宋体" w:cs="宋体"/>
          <w:color w:val="auto"/>
          <w:highlight w:val="none"/>
        </w:rPr>
        <w:t>。</w:t>
      </w:r>
    </w:p>
    <w:p>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color w:val="auto"/>
          <w:highlight w:val="none"/>
          <w:u w:val="single"/>
        </w:rPr>
        <w:t xml:space="preserve"> </w:t>
      </w:r>
      <w:r>
        <w:rPr>
          <w:rFonts w:hint="eastAsia" w:hAnsi="宋体" w:cs="宋体"/>
          <w:color w:val="auto"/>
          <w:highlight w:val="none"/>
          <w:u w:val="single"/>
        </w:rPr>
        <w:t>按专用条款16.1.2（2）条执行</w:t>
      </w:r>
      <w:r>
        <w:rPr>
          <w:color w:val="auto"/>
          <w:highlight w:val="none"/>
          <w:u w:val="single"/>
        </w:rPr>
        <w:t xml:space="preserve"> </w:t>
      </w:r>
      <w:r>
        <w:rPr>
          <w:rFonts w:hint="eastAsia" w:hAnsi="宋体" w:cs="宋体"/>
          <w:color w:val="auto"/>
          <w:highlight w:val="none"/>
        </w:rPr>
        <w:t>。</w:t>
      </w:r>
    </w:p>
    <w:p>
      <w:pPr>
        <w:spacing w:line="360" w:lineRule="auto"/>
        <w:ind w:firstLine="630" w:firstLineChars="300"/>
        <w:rPr>
          <w:color w:val="auto"/>
          <w:highlight w:val="none"/>
        </w:rPr>
      </w:pPr>
      <w:r>
        <w:rPr>
          <w:rFonts w:hint="eastAsia" w:hAnsi="宋体" w:cs="宋体"/>
          <w:color w:val="auto"/>
          <w:highlight w:val="none"/>
        </w:rPr>
        <w:t>进度款支付方式：</w:t>
      </w:r>
      <w:r>
        <w:rPr>
          <w:rFonts w:hint="eastAsia" w:hAnsi="宋体" w:cs="宋体"/>
          <w:color w:val="auto"/>
          <w:highlight w:val="none"/>
          <w:u w:val="single"/>
        </w:rPr>
        <w:t>银行转账</w:t>
      </w:r>
      <w:r>
        <w:rPr>
          <w:rFonts w:hint="eastAsia" w:hAnsi="宋体" w:cs="宋体"/>
          <w:color w:val="auto"/>
          <w:highlight w:val="none"/>
        </w:rPr>
        <w:t>。</w:t>
      </w:r>
      <w:r>
        <w:rPr>
          <w:rFonts w:hint="eastAsia"/>
          <w:color w:val="auto"/>
          <w:highlight w:val="none"/>
        </w:rPr>
        <w:t>进度款支付申请（核准）表见合同附件11。</w:t>
      </w:r>
    </w:p>
    <w:p>
      <w:pPr>
        <w:pStyle w:val="42"/>
        <w:rPr>
          <w:rFonts w:ascii="Times New Roman" w:hAnsi="宋体" w:eastAsia="宋体" w:cs="宋体"/>
          <w:color w:val="auto"/>
          <w:kern w:val="2"/>
          <w:sz w:val="21"/>
          <w:szCs w:val="24"/>
          <w:highlight w:val="none"/>
        </w:rPr>
      </w:pPr>
      <w:r>
        <w:rPr>
          <w:rFonts w:hint="eastAsia" w:ascii="Times New Roman" w:hAnsi="宋体" w:eastAsia="宋体" w:cs="宋体"/>
          <w:color w:val="auto"/>
          <w:kern w:val="2"/>
          <w:sz w:val="21"/>
          <w:szCs w:val="24"/>
          <w:highlight w:val="none"/>
        </w:rPr>
        <w:t>（3）农民工工资按照广西现行相关规定执行。</w:t>
      </w:r>
    </w:p>
    <w:p>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Ansi="宋体"/>
          <w:color w:val="auto"/>
          <w:highlight w:val="none"/>
        </w:rPr>
        <w:t xml:space="preserve"> </w:t>
      </w:r>
      <w:r>
        <w:rPr>
          <w:rFonts w:hint="eastAsia" w:hAnsi="宋体" w:cs="宋体"/>
          <w:color w:val="auto"/>
          <w:highlight w:val="none"/>
        </w:rPr>
        <w:t>总价合同支付分解表的编制与审批：</w:t>
      </w:r>
      <w:r>
        <w:rPr>
          <w:color w:val="auto"/>
          <w:highlight w:val="none"/>
          <w:u w:val="single"/>
        </w:rPr>
        <w:t xml:space="preserve">  </w:t>
      </w:r>
      <w:r>
        <w:rPr>
          <w:rFonts w:hint="eastAsia"/>
          <w:color w:val="auto"/>
          <w:highlight w:val="none"/>
          <w:u w:val="single"/>
        </w:rPr>
        <w:t>总价合同支付分分解表在招标完成后由发包人和承包人共同编制，发包人审批，并作为本合同内容，具体详见合同附件14。</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729"/>
    <w:p>
      <w:pPr>
        <w:pStyle w:val="3"/>
        <w:rPr>
          <w:color w:val="auto"/>
          <w:highlight w:val="none"/>
        </w:rPr>
      </w:pPr>
      <w:bookmarkStart w:id="980" w:name="_Toc373227753"/>
      <w:bookmarkStart w:id="981" w:name="_Toc23905"/>
      <w:bookmarkStart w:id="982" w:name="_Toc31605"/>
      <w:bookmarkStart w:id="983" w:name="_Toc407135256"/>
      <w:bookmarkStart w:id="984" w:name="_Toc389065318"/>
      <w:bookmarkStart w:id="985" w:name="_Toc373478400"/>
      <w:bookmarkStart w:id="986" w:name="_Toc351203645"/>
      <w:bookmarkStart w:id="987" w:name="_Toc304295593"/>
      <w:bookmarkStart w:id="988" w:name="_Toc296503219"/>
      <w:bookmarkStart w:id="989" w:name="_Toc292559424"/>
      <w:bookmarkStart w:id="990" w:name="_Toc296346720"/>
      <w:bookmarkStart w:id="991" w:name="_Toc292559929"/>
      <w:bookmarkStart w:id="992" w:name="_Toc297216223"/>
      <w:bookmarkStart w:id="993" w:name="_Toc296891259"/>
      <w:bookmarkStart w:id="994" w:name="_Toc297048405"/>
      <w:bookmarkStart w:id="995" w:name="_Toc296944558"/>
      <w:bookmarkStart w:id="996" w:name="_Toc297123564"/>
      <w:bookmarkStart w:id="997" w:name="_Toc303539172"/>
      <w:bookmarkStart w:id="998" w:name="_Toc296891047"/>
      <w:bookmarkStart w:id="999" w:name="_Toc296347218"/>
      <w:bookmarkStart w:id="1000" w:name="_Toc312678053"/>
      <w:bookmarkStart w:id="1001" w:name="_Toc300935015"/>
      <w:bookmarkStart w:id="1002" w:name="_Toc297120519"/>
      <w:r>
        <w:rPr>
          <w:color w:val="auto"/>
          <w:highlight w:val="none"/>
        </w:rPr>
        <w:t xml:space="preserve">13. </w:t>
      </w:r>
      <w:r>
        <w:rPr>
          <w:rFonts w:hint="eastAsia"/>
          <w:color w:val="auto"/>
          <w:highlight w:val="none"/>
        </w:rPr>
        <w:t>验收和工程试车</w:t>
      </w:r>
      <w:bookmarkEnd w:id="980"/>
      <w:bookmarkEnd w:id="981"/>
      <w:bookmarkEnd w:id="982"/>
      <w:bookmarkEnd w:id="983"/>
      <w:bookmarkEnd w:id="984"/>
      <w:bookmarkEnd w:id="985"/>
      <w:bookmarkEnd w:id="986"/>
    </w:p>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Pr>
        <w:pStyle w:val="4"/>
        <w:rPr>
          <w:color w:val="auto"/>
          <w:highlight w:val="none"/>
        </w:rPr>
      </w:pPr>
      <w:bookmarkStart w:id="1003" w:name="_Toc22594"/>
      <w:bookmarkStart w:id="1004" w:name="_Toc373227754"/>
      <w:bookmarkStart w:id="1005" w:name="_Toc373478401"/>
      <w:bookmarkStart w:id="1006" w:name="_Toc19442"/>
      <w:bookmarkStart w:id="1007" w:name="_Toc389065319"/>
      <w:bookmarkStart w:id="1008" w:name="_Toc407135257"/>
      <w:r>
        <w:rPr>
          <w:color w:val="auto"/>
          <w:highlight w:val="none"/>
        </w:rPr>
        <w:t xml:space="preserve">13.1 </w:t>
      </w:r>
      <w:r>
        <w:rPr>
          <w:rFonts w:hint="eastAsia" w:cs="黑体"/>
          <w:color w:val="auto"/>
          <w:highlight w:val="none"/>
        </w:rPr>
        <w:t>分部分项工程验收</w:t>
      </w:r>
      <w:bookmarkEnd w:id="1003"/>
      <w:bookmarkEnd w:id="1004"/>
      <w:bookmarkEnd w:id="1005"/>
      <w:bookmarkEnd w:id="1006"/>
      <w:bookmarkEnd w:id="1007"/>
      <w:bookmarkEnd w:id="1008"/>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color w:val="auto"/>
          <w:highlight w:val="none"/>
          <w:u w:val="single"/>
        </w:rPr>
        <w:t xml:space="preserve"> </w:t>
      </w:r>
      <w:r>
        <w:rPr>
          <w:rFonts w:hint="eastAsia"/>
          <w:color w:val="auto"/>
          <w:highlight w:val="none"/>
          <w:u w:val="single"/>
        </w:rPr>
        <w:t>48</w:t>
      </w:r>
      <w:r>
        <w:rPr>
          <w:color w:val="auto"/>
          <w:highlight w:val="none"/>
          <w:u w:val="single"/>
        </w:rPr>
        <w:t xml:space="preserve"> </w:t>
      </w:r>
      <w:r>
        <w:rPr>
          <w:rFonts w:hint="eastAsia" w:hAnsi="宋体" w:cs="宋体"/>
          <w:color w:val="auto"/>
          <w:highlight w:val="none"/>
        </w:rPr>
        <w:t>小时。</w:t>
      </w:r>
    </w:p>
    <w:p>
      <w:pPr>
        <w:pStyle w:val="4"/>
        <w:rPr>
          <w:color w:val="auto"/>
          <w:highlight w:val="none"/>
        </w:rPr>
      </w:pPr>
      <w:bookmarkStart w:id="1009" w:name="_Toc407135258"/>
      <w:bookmarkStart w:id="1010" w:name="_Toc31087"/>
      <w:bookmarkStart w:id="1011" w:name="_Toc373478402"/>
      <w:bookmarkStart w:id="1012" w:name="_Toc373227755"/>
      <w:bookmarkStart w:id="1013" w:name="_Toc26372"/>
      <w:bookmarkStart w:id="1014" w:name="_Toc389065320"/>
      <w:bookmarkStart w:id="1015" w:name="_Toc292559933"/>
      <w:bookmarkStart w:id="1016" w:name="_Toc296346724"/>
      <w:bookmarkStart w:id="1017" w:name="_Toc296944562"/>
      <w:bookmarkStart w:id="1018" w:name="_Toc296503223"/>
      <w:bookmarkStart w:id="1019" w:name="_Toc297216224"/>
      <w:bookmarkStart w:id="1020" w:name="_Toc296891263"/>
      <w:bookmarkStart w:id="1021" w:name="_Toc297048409"/>
      <w:bookmarkStart w:id="1022" w:name="_Toc304295596"/>
      <w:bookmarkStart w:id="1023" w:name="_Toc303539173"/>
      <w:bookmarkStart w:id="1024" w:name="_Toc296891051"/>
      <w:bookmarkStart w:id="1025" w:name="_Toc292559428"/>
      <w:bookmarkStart w:id="1026" w:name="_Toc312678056"/>
      <w:bookmarkStart w:id="1027" w:name="_Toc296347222"/>
      <w:bookmarkStart w:id="1028" w:name="_Toc300935016"/>
      <w:bookmarkStart w:id="1029" w:name="_Toc297123565"/>
      <w:bookmarkStart w:id="1030" w:name="_Toc297120523"/>
      <w:bookmarkStart w:id="1031" w:name="_Toc267251476"/>
      <w:bookmarkStart w:id="1032" w:name="_Toc267251473"/>
      <w:bookmarkStart w:id="1033" w:name="_Toc267251471"/>
      <w:bookmarkStart w:id="1034" w:name="_Toc267251475"/>
      <w:bookmarkStart w:id="1035" w:name="_Toc267251474"/>
      <w:bookmarkStart w:id="1036" w:name="_Toc267251470"/>
      <w:bookmarkStart w:id="1037" w:name="_Toc267251472"/>
      <w:r>
        <w:rPr>
          <w:color w:val="auto"/>
          <w:highlight w:val="none"/>
        </w:rPr>
        <w:t xml:space="preserve">13.2 </w:t>
      </w:r>
      <w:r>
        <w:rPr>
          <w:rFonts w:hint="eastAsia" w:hAnsi="宋体" w:cs="黑体"/>
          <w:color w:val="auto"/>
          <w:highlight w:val="none"/>
        </w:rPr>
        <w:t>竣工验收</w:t>
      </w:r>
      <w:bookmarkEnd w:id="1009"/>
      <w:bookmarkEnd w:id="1010"/>
      <w:bookmarkEnd w:id="1011"/>
      <w:bookmarkEnd w:id="1012"/>
      <w:bookmarkEnd w:id="1013"/>
      <w:bookmarkEnd w:id="1014"/>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Pr>
        <w:spacing w:line="360" w:lineRule="auto"/>
        <w:ind w:firstLine="420" w:firstLineChars="200"/>
        <w:jc w:val="left"/>
        <w:rPr>
          <w:color w:val="auto"/>
          <w:highlight w:val="none"/>
        </w:rPr>
      </w:pPr>
      <w:bookmarkStart w:id="1038" w:name="_Toc280868704"/>
      <w:bookmarkStart w:id="1039" w:name="_Toc280868705"/>
      <w:bookmarkStart w:id="1040" w:name="_Toc280868706"/>
      <w:bookmarkStart w:id="1041" w:name="_Toc280868707"/>
      <w:bookmarkStart w:id="1042" w:name="_Toc280868708"/>
      <w:bookmarkStart w:id="1043"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color w:val="auto"/>
          <w:highlight w:val="none"/>
          <w:u w:val="single"/>
        </w:rPr>
        <w:t xml:space="preserve"> 竣工图等技术资料 </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竣工验收资料的份数：</w:t>
      </w:r>
      <w:r>
        <w:rPr>
          <w:color w:val="auto"/>
          <w:highlight w:val="none"/>
          <w:u w:val="single"/>
        </w:rPr>
        <w:t xml:space="preserve">  </w:t>
      </w:r>
      <w:r>
        <w:rPr>
          <w:rFonts w:hint="eastAsia"/>
          <w:color w:val="auto"/>
          <w:highlight w:val="none"/>
          <w:u w:val="single"/>
        </w:rPr>
        <w:t>陆份</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hint="eastAsia" w:hAnsi="宋体" w:cs="宋体"/>
          <w:color w:val="auto"/>
          <w:highlight w:val="none"/>
          <w:u w:val="single"/>
        </w:rPr>
        <w:t>竣工验收正式通过后</w:t>
      </w:r>
      <w:r>
        <w:rPr>
          <w:color w:val="auto"/>
          <w:highlight w:val="none"/>
          <w:u w:val="single"/>
        </w:rPr>
        <w:t>5</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万元以下含</w:t>
      </w:r>
      <w:r>
        <w:rPr>
          <w:color w:val="auto"/>
          <w:highlight w:val="none"/>
          <w:u w:val="single"/>
        </w:rPr>
        <w:t>500</w:t>
      </w:r>
      <w:r>
        <w:rPr>
          <w:rFonts w:hint="eastAsia" w:hAnsi="宋体" w:cs="宋体"/>
          <w:color w:val="auto"/>
          <w:highlight w:val="none"/>
          <w:u w:val="single"/>
        </w:rPr>
        <w:t>万元）、</w:t>
      </w:r>
      <w:r>
        <w:rPr>
          <w:color w:val="auto"/>
          <w:highlight w:val="none"/>
          <w:u w:val="single"/>
        </w:rPr>
        <w:t>10</w:t>
      </w:r>
      <w:r>
        <w:rPr>
          <w:rFonts w:hint="eastAsia" w:hAnsi="宋体" w:cs="宋体"/>
          <w:color w:val="auto"/>
          <w:highlight w:val="none"/>
          <w:u w:val="single"/>
        </w:rPr>
        <w:t>天（工程造价在</w:t>
      </w:r>
      <w:r>
        <w:rPr>
          <w:color w:val="auto"/>
          <w:highlight w:val="none"/>
          <w:u w:val="single"/>
        </w:rPr>
        <w:t>500</w:t>
      </w:r>
      <w:r>
        <w:rPr>
          <w:rFonts w:hint="eastAsia" w:hAnsi="宋体" w:cs="宋体"/>
          <w:color w:val="auto"/>
          <w:highlight w:val="none"/>
          <w:u w:val="single"/>
        </w:rPr>
        <w:t>万元至</w:t>
      </w:r>
      <w:r>
        <w:rPr>
          <w:color w:val="auto"/>
          <w:highlight w:val="none"/>
          <w:u w:val="single"/>
        </w:rPr>
        <w:t>1000</w:t>
      </w:r>
      <w:r>
        <w:rPr>
          <w:rFonts w:hint="eastAsia" w:hAnsi="宋体" w:cs="宋体"/>
          <w:color w:val="auto"/>
          <w:highlight w:val="none"/>
          <w:u w:val="single"/>
        </w:rPr>
        <w:t>万元之间含</w:t>
      </w:r>
      <w:r>
        <w:rPr>
          <w:color w:val="auto"/>
          <w:highlight w:val="none"/>
          <w:u w:val="single"/>
        </w:rPr>
        <w:t>1000</w:t>
      </w:r>
      <w:r>
        <w:rPr>
          <w:rFonts w:hint="eastAsia" w:hAnsi="宋体" w:cs="宋体"/>
          <w:color w:val="auto"/>
          <w:highlight w:val="none"/>
          <w:u w:val="single"/>
        </w:rPr>
        <w:t>万元）、</w:t>
      </w:r>
      <w:r>
        <w:rPr>
          <w:color w:val="auto"/>
          <w:highlight w:val="none"/>
          <w:u w:val="single"/>
        </w:rPr>
        <w:t>15</w:t>
      </w:r>
      <w:r>
        <w:rPr>
          <w:rFonts w:hint="eastAsia" w:hAnsi="宋体" w:cs="宋体"/>
          <w:color w:val="auto"/>
          <w:highlight w:val="none"/>
          <w:u w:val="single"/>
        </w:rPr>
        <w:t>天（工程造价在</w:t>
      </w:r>
      <w:r>
        <w:rPr>
          <w:color w:val="auto"/>
          <w:highlight w:val="none"/>
          <w:u w:val="single"/>
        </w:rPr>
        <w:t>1000</w:t>
      </w:r>
      <w:r>
        <w:rPr>
          <w:rFonts w:hint="eastAsia" w:hAnsi="宋体" w:cs="宋体"/>
          <w:color w:val="auto"/>
          <w:highlight w:val="none"/>
          <w:u w:val="single"/>
        </w:rPr>
        <w:t>万元以上），提供竣工图的数量分别为</w:t>
      </w:r>
      <w:r>
        <w:rPr>
          <w:color w:val="auto"/>
          <w:highlight w:val="none"/>
          <w:u w:val="single"/>
        </w:rPr>
        <w:t>2</w:t>
      </w:r>
      <w:r>
        <w:rPr>
          <w:rFonts w:hint="eastAsia" w:hAnsi="宋体" w:cs="宋体"/>
          <w:color w:val="auto"/>
          <w:highlight w:val="none"/>
          <w:u w:val="single"/>
        </w:rPr>
        <w:t>套、</w:t>
      </w:r>
      <w:r>
        <w:rPr>
          <w:color w:val="auto"/>
          <w:highlight w:val="none"/>
          <w:u w:val="single"/>
        </w:rPr>
        <w:t>4</w:t>
      </w:r>
      <w:r>
        <w:rPr>
          <w:rFonts w:hint="eastAsia" w:hAnsi="宋体" w:cs="宋体"/>
          <w:color w:val="auto"/>
          <w:highlight w:val="none"/>
          <w:u w:val="single"/>
        </w:rPr>
        <w:t>套、</w:t>
      </w:r>
      <w:r>
        <w:rPr>
          <w:color w:val="auto"/>
          <w:highlight w:val="none"/>
          <w:u w:val="single"/>
        </w:rPr>
        <w:t>6</w:t>
      </w:r>
      <w:r>
        <w:rPr>
          <w:rFonts w:hint="eastAsia" w:hAnsi="宋体" w:cs="宋体"/>
          <w:color w:val="auto"/>
          <w:highlight w:val="none"/>
          <w:u w:val="single"/>
        </w:rPr>
        <w:t>套。</w:t>
      </w:r>
    </w:p>
    <w:p>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038"/>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color w:val="auto"/>
          <w:highlight w:val="none"/>
          <w:u w:val="single"/>
        </w:rPr>
        <w:t xml:space="preserve"> 按通用条款执行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color w:val="auto"/>
          <w:highlight w:val="none"/>
          <w:u w:val="single"/>
        </w:rPr>
        <w:t xml:space="preserve"> </w:t>
      </w:r>
      <w:r>
        <w:rPr>
          <w:rFonts w:hint="eastAsia"/>
          <w:color w:val="auto"/>
          <w:highlight w:val="none"/>
          <w:u w:val="single"/>
        </w:rPr>
        <w:t>按通用条款执行</w:t>
      </w:r>
      <w:r>
        <w:rPr>
          <w:color w:val="auto"/>
          <w:highlight w:val="none"/>
          <w:u w:val="single"/>
        </w:rPr>
        <w:t xml:space="preserve"> </w:t>
      </w:r>
      <w:r>
        <w:rPr>
          <w:rFonts w:hint="eastAsia" w:hAnsi="宋体" w:cs="宋体"/>
          <w:color w:val="auto"/>
          <w:highlight w:val="none"/>
        </w:rPr>
        <w:t>。</w:t>
      </w:r>
    </w:p>
    <w:bookmarkEnd w:id="1039"/>
    <w:p>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040"/>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color w:val="auto"/>
          <w:highlight w:val="none"/>
          <w:u w:val="single"/>
        </w:rPr>
        <w:t xml:space="preserve"> 按通用条款执行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color w:val="auto"/>
          <w:highlight w:val="none"/>
          <w:u w:val="single"/>
        </w:rPr>
        <w:t xml:space="preserve"> 按通用条款执行 </w:t>
      </w:r>
      <w:r>
        <w:rPr>
          <w:rFonts w:hint="eastAsia" w:hAnsi="宋体" w:cs="宋体"/>
          <w:color w:val="auto"/>
          <w:highlight w:val="none"/>
        </w:rPr>
        <w:t>。</w:t>
      </w:r>
    </w:p>
    <w:bookmarkEnd w:id="1041"/>
    <w:p>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color w:val="auto"/>
          <w:highlight w:val="none"/>
          <w:u w:val="single"/>
        </w:rPr>
        <w:t xml:space="preserve"> 按通用条款执行 </w:t>
      </w:r>
      <w:r>
        <w:rPr>
          <w:rFonts w:hint="eastAsia" w:hAnsi="宋体" w:cs="宋体"/>
          <w:color w:val="auto"/>
          <w:highlight w:val="none"/>
        </w:rPr>
        <w:t>。</w:t>
      </w:r>
    </w:p>
    <w:p>
      <w:pPr>
        <w:pStyle w:val="4"/>
        <w:rPr>
          <w:color w:val="auto"/>
          <w:highlight w:val="none"/>
        </w:rPr>
      </w:pPr>
      <w:bookmarkStart w:id="1044" w:name="_Toc389065321"/>
      <w:bookmarkStart w:id="1045" w:name="_Toc24318"/>
      <w:bookmarkStart w:id="1046" w:name="_Toc22928"/>
      <w:bookmarkStart w:id="1047" w:name="_Toc373478403"/>
      <w:bookmarkStart w:id="1048" w:name="_Toc407135259"/>
      <w:bookmarkStart w:id="1049" w:name="_Toc373227756"/>
      <w:r>
        <w:rPr>
          <w:color w:val="auto"/>
          <w:highlight w:val="none"/>
        </w:rPr>
        <w:t xml:space="preserve">13.3 </w:t>
      </w:r>
      <w:r>
        <w:rPr>
          <w:rFonts w:hint="eastAsia" w:hAnsi="宋体" w:cs="黑体"/>
          <w:color w:val="auto"/>
          <w:highlight w:val="none"/>
        </w:rPr>
        <w:t>工程试车</w:t>
      </w:r>
      <w:bookmarkEnd w:id="1044"/>
      <w:bookmarkEnd w:id="1045"/>
      <w:bookmarkEnd w:id="1046"/>
      <w:bookmarkEnd w:id="1047"/>
      <w:bookmarkEnd w:id="1048"/>
      <w:bookmarkEnd w:id="1049"/>
    </w:p>
    <w:bookmarkEnd w:id="1042"/>
    <w:p>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color w:val="auto"/>
          <w:highlight w:val="none"/>
          <w:u w:val="single"/>
        </w:rPr>
        <w:t xml:space="preserve">  按通用条款执行 </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kern w:val="0"/>
          <w:highlight w:val="none"/>
        </w:rPr>
        <w:t>承担。</w:t>
      </w:r>
    </w:p>
    <w:p>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1050" w:name="_Toc373478404"/>
      <w:bookmarkStart w:id="1051" w:name="_Toc28436"/>
      <w:bookmarkStart w:id="1052" w:name="_Toc25347"/>
      <w:bookmarkStart w:id="1053" w:name="_Toc389065322"/>
      <w:bookmarkStart w:id="1054" w:name="_Toc407135260"/>
      <w:bookmarkStart w:id="1055" w:name="_Toc373227757"/>
      <w:r>
        <w:rPr>
          <w:color w:val="auto"/>
          <w:highlight w:val="none"/>
        </w:rPr>
        <w:t xml:space="preserve">13.6 </w:t>
      </w:r>
      <w:r>
        <w:rPr>
          <w:rFonts w:hint="eastAsia" w:hAnsi="宋体" w:cs="黑体"/>
          <w:color w:val="auto"/>
          <w:highlight w:val="none"/>
        </w:rPr>
        <w:t>竣工退场</w:t>
      </w:r>
      <w:bookmarkEnd w:id="1050"/>
      <w:bookmarkEnd w:id="1051"/>
      <w:bookmarkEnd w:id="1052"/>
      <w:bookmarkEnd w:id="1053"/>
      <w:bookmarkEnd w:id="1054"/>
      <w:bookmarkEnd w:id="1055"/>
    </w:p>
    <w:p>
      <w:pPr>
        <w:spacing w:line="360" w:lineRule="auto"/>
        <w:ind w:firstLine="420" w:firstLineChars="200"/>
        <w:jc w:val="left"/>
        <w:outlineLvl w:val="0"/>
        <w:rPr>
          <w:color w:val="auto"/>
          <w:kern w:val="0"/>
          <w:highlight w:val="none"/>
        </w:rPr>
      </w:pPr>
      <w:bookmarkStart w:id="1056" w:name="_Toc18694"/>
      <w:bookmarkStart w:id="1057" w:name="_Toc12222"/>
      <w:r>
        <w:rPr>
          <w:color w:val="auto"/>
          <w:kern w:val="0"/>
          <w:highlight w:val="none"/>
        </w:rPr>
        <w:t xml:space="preserve">13.6.1 </w:t>
      </w:r>
      <w:r>
        <w:rPr>
          <w:rFonts w:hint="eastAsia" w:hAnsi="宋体" w:cs="宋体"/>
          <w:color w:val="auto"/>
          <w:kern w:val="0"/>
          <w:highlight w:val="none"/>
        </w:rPr>
        <w:t>竣工退场</w:t>
      </w:r>
      <w:bookmarkEnd w:id="1056"/>
      <w:bookmarkEnd w:id="1057"/>
    </w:p>
    <w:p>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color w:val="auto"/>
          <w:highlight w:val="none"/>
          <w:u w:val="single"/>
        </w:rPr>
        <w:t xml:space="preserve"> 自颁发工程接收证书后，一个月内完成竣工退场 </w:t>
      </w:r>
      <w:r>
        <w:rPr>
          <w:rFonts w:hint="eastAsia" w:hAnsi="宋体" w:cs="宋体"/>
          <w:color w:val="auto"/>
          <w:kern w:val="0"/>
          <w:highlight w:val="none"/>
        </w:rPr>
        <w:t>。</w:t>
      </w:r>
    </w:p>
    <w:p>
      <w:pPr>
        <w:pStyle w:val="3"/>
        <w:rPr>
          <w:color w:val="auto"/>
          <w:highlight w:val="none"/>
        </w:rPr>
      </w:pPr>
      <w:bookmarkStart w:id="1058" w:name="_Toc373478405"/>
      <w:bookmarkStart w:id="1059" w:name="_Toc373227758"/>
      <w:bookmarkStart w:id="1060" w:name="_Toc351203646"/>
      <w:bookmarkStart w:id="1061" w:name="_Toc407135261"/>
      <w:bookmarkStart w:id="1062" w:name="_Toc32192"/>
      <w:bookmarkStart w:id="1063" w:name="_Toc389065323"/>
      <w:bookmarkStart w:id="1064" w:name="_Toc24311"/>
      <w:r>
        <w:rPr>
          <w:color w:val="auto"/>
          <w:highlight w:val="none"/>
        </w:rPr>
        <w:t xml:space="preserve">14. </w:t>
      </w:r>
      <w:r>
        <w:rPr>
          <w:rFonts w:hint="eastAsia" w:hAnsi="宋体" w:cs="黑体"/>
          <w:color w:val="auto"/>
          <w:highlight w:val="none"/>
        </w:rPr>
        <w:t>竣工结算</w:t>
      </w:r>
      <w:bookmarkEnd w:id="1058"/>
      <w:bookmarkEnd w:id="1059"/>
      <w:bookmarkEnd w:id="1060"/>
      <w:bookmarkEnd w:id="1061"/>
      <w:bookmarkEnd w:id="1062"/>
      <w:bookmarkEnd w:id="1063"/>
      <w:bookmarkEnd w:id="1064"/>
    </w:p>
    <w:p>
      <w:pPr>
        <w:pStyle w:val="4"/>
        <w:rPr>
          <w:rFonts w:hAnsi="宋体" w:cs="黑体"/>
          <w:color w:val="auto"/>
          <w:highlight w:val="none"/>
        </w:rPr>
      </w:pPr>
      <w:bookmarkStart w:id="1065" w:name="_Toc10916"/>
      <w:bookmarkStart w:id="1066" w:name="_Toc373478406"/>
      <w:bookmarkStart w:id="1067" w:name="_Toc407135262"/>
      <w:bookmarkStart w:id="1068" w:name="_Toc389065324"/>
      <w:bookmarkStart w:id="1069" w:name="_Toc373227759"/>
      <w:bookmarkStart w:id="1070" w:name="_Toc20800"/>
      <w:r>
        <w:rPr>
          <w:color w:val="auto"/>
          <w:highlight w:val="none"/>
        </w:rPr>
        <w:t xml:space="preserve">14.1 </w:t>
      </w:r>
      <w:r>
        <w:rPr>
          <w:rFonts w:hint="eastAsia" w:hAnsi="宋体" w:cs="黑体"/>
          <w:color w:val="auto"/>
          <w:highlight w:val="none"/>
        </w:rPr>
        <w:t>竣工付款申请</w:t>
      </w:r>
      <w:bookmarkEnd w:id="1065"/>
      <w:bookmarkEnd w:id="1066"/>
      <w:bookmarkEnd w:id="1067"/>
      <w:bookmarkEnd w:id="1068"/>
      <w:bookmarkEnd w:id="1069"/>
      <w:bookmarkEnd w:id="1070"/>
    </w:p>
    <w:p>
      <w:pPr>
        <w:pStyle w:val="4"/>
        <w:ind w:firstLine="420" w:firstLineChars="200"/>
        <w:rPr>
          <w:rFonts w:hAnsi="宋体" w:cs="宋体"/>
          <w:b w:val="0"/>
          <w:bCs w:val="0"/>
          <w:color w:val="auto"/>
          <w:sz w:val="21"/>
          <w:szCs w:val="21"/>
          <w:highlight w:val="none"/>
        </w:rPr>
      </w:pPr>
      <w:bookmarkStart w:id="1071" w:name="_Toc11981"/>
      <w:bookmarkStart w:id="1072" w:name="_Toc20647"/>
      <w:r>
        <w:rPr>
          <w:rFonts w:hint="eastAsia" w:hAnsi="宋体" w:cs="宋体"/>
          <w:b w:val="0"/>
          <w:bCs w:val="0"/>
          <w:color w:val="auto"/>
          <w:sz w:val="21"/>
          <w:szCs w:val="21"/>
          <w:highlight w:val="none"/>
        </w:rPr>
        <w:t>按图纸施工完成后，发包人参考相关规范要求组织竣工验收。</w:t>
      </w:r>
      <w:bookmarkEnd w:id="1071"/>
      <w:bookmarkEnd w:id="1072"/>
    </w:p>
    <w:p>
      <w:pPr>
        <w:spacing w:line="360" w:lineRule="auto"/>
        <w:ind w:left="420" w:leftChars="200"/>
        <w:jc w:val="left"/>
        <w:rPr>
          <w:color w:val="auto"/>
          <w:highlight w:val="none"/>
        </w:rPr>
      </w:pPr>
      <w:r>
        <w:rPr>
          <w:rFonts w:hint="eastAsia" w:hAnsi="宋体" w:cs="宋体"/>
          <w:color w:val="auto"/>
          <w:szCs w:val="21"/>
          <w:highlight w:val="none"/>
        </w:rPr>
        <w:t>验收合格后</w:t>
      </w:r>
      <w:r>
        <w:rPr>
          <w:rFonts w:hint="eastAsia" w:hAnsi="宋体" w:cs="宋体"/>
          <w:color w:val="auto"/>
          <w:highlight w:val="none"/>
        </w:rPr>
        <w:t>承包人提交竣工付款申请单的期限：</w:t>
      </w:r>
      <w:r>
        <w:rPr>
          <w:color w:val="auto"/>
          <w:highlight w:val="none"/>
          <w:u w:val="single"/>
        </w:rPr>
        <w:t xml:space="preserve"> 竣工验收合格后</w:t>
      </w:r>
      <w:r>
        <w:rPr>
          <w:rFonts w:hint="eastAsia"/>
          <w:color w:val="auto"/>
          <w:highlight w:val="none"/>
          <w:u w:val="single"/>
        </w:rPr>
        <w:t>30</w:t>
      </w:r>
      <w:r>
        <w:rPr>
          <w:color w:val="auto"/>
          <w:highlight w:val="none"/>
          <w:u w:val="single"/>
        </w:rPr>
        <w:t xml:space="preserve">天内，并提交完整的结算资料 </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竣工付款申请单应包括的内容：</w:t>
      </w:r>
      <w:r>
        <w:rPr>
          <w:color w:val="auto"/>
          <w:highlight w:val="none"/>
          <w:u w:val="single"/>
        </w:rPr>
        <w:t xml:space="preserve"> </w:t>
      </w:r>
      <w:r>
        <w:rPr>
          <w:rFonts w:hint="eastAsia"/>
          <w:color w:val="auto"/>
          <w:highlight w:val="none"/>
          <w:u w:val="single"/>
        </w:rPr>
        <w:t>按通用条款执行</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竣工结算款支付申请（核准）表见合同附件12。</w:t>
      </w:r>
    </w:p>
    <w:p>
      <w:pPr>
        <w:pStyle w:val="4"/>
        <w:rPr>
          <w:color w:val="auto"/>
          <w:highlight w:val="none"/>
        </w:rPr>
      </w:pPr>
      <w:bookmarkStart w:id="1073" w:name="_Toc373478407"/>
      <w:bookmarkStart w:id="1074" w:name="_Toc389065325"/>
      <w:bookmarkStart w:id="1075" w:name="_Toc373227760"/>
      <w:bookmarkStart w:id="1076" w:name="_Toc15215"/>
      <w:bookmarkStart w:id="1077" w:name="_Toc407135263"/>
      <w:bookmarkStart w:id="1078" w:name="_Toc32179"/>
      <w:r>
        <w:rPr>
          <w:color w:val="auto"/>
          <w:highlight w:val="none"/>
        </w:rPr>
        <w:t xml:space="preserve">14.2 </w:t>
      </w:r>
      <w:r>
        <w:rPr>
          <w:rFonts w:hint="eastAsia" w:hAnsi="宋体" w:cs="黑体"/>
          <w:color w:val="auto"/>
          <w:highlight w:val="none"/>
        </w:rPr>
        <w:t>竣工结算审核</w:t>
      </w:r>
      <w:bookmarkEnd w:id="1073"/>
      <w:bookmarkEnd w:id="1074"/>
      <w:bookmarkEnd w:id="1075"/>
      <w:bookmarkEnd w:id="1076"/>
      <w:bookmarkEnd w:id="1077"/>
      <w:bookmarkEnd w:id="1078"/>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43"/>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49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73" w:type="dxa"/>
            <w:vAlign w:val="center"/>
          </w:tcPr>
          <w:p>
            <w:pPr>
              <w:spacing w:line="240" w:lineRule="exact"/>
              <w:jc w:val="center"/>
              <w:rPr>
                <w:color w:val="auto"/>
                <w:highlight w:val="none"/>
              </w:rPr>
            </w:pPr>
          </w:p>
        </w:tc>
        <w:tc>
          <w:tcPr>
            <w:tcW w:w="2493" w:type="dxa"/>
            <w:vAlign w:val="center"/>
          </w:tcPr>
          <w:p>
            <w:pPr>
              <w:spacing w:line="240" w:lineRule="exact"/>
              <w:ind w:firstLine="27" w:firstLineChars="13"/>
              <w:jc w:val="center"/>
              <w:rPr>
                <w:color w:val="auto"/>
                <w:highlight w:val="none"/>
              </w:rPr>
            </w:pPr>
            <w:r>
              <w:rPr>
                <w:rFonts w:hint="eastAsia" w:hAnsi="宋体" w:cs="宋体"/>
                <w:color w:val="auto"/>
                <w:highlight w:val="none"/>
              </w:rPr>
              <w:t>工程竣工结算报告金额</w:t>
            </w:r>
          </w:p>
        </w:tc>
        <w:tc>
          <w:tcPr>
            <w:tcW w:w="6033" w:type="dxa"/>
            <w:vAlign w:val="center"/>
          </w:tcPr>
          <w:p>
            <w:pPr>
              <w:spacing w:line="240" w:lineRule="exact"/>
              <w:ind w:firstLine="441" w:firstLineChars="210"/>
              <w:jc w:val="center"/>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73" w:type="dxa"/>
            <w:vAlign w:val="center"/>
          </w:tcPr>
          <w:p>
            <w:pPr>
              <w:spacing w:line="240" w:lineRule="exact"/>
              <w:jc w:val="center"/>
              <w:rPr>
                <w:color w:val="auto"/>
                <w:highlight w:val="none"/>
              </w:rPr>
            </w:pPr>
            <w:r>
              <w:rPr>
                <w:color w:val="auto"/>
                <w:highlight w:val="none"/>
              </w:rPr>
              <w:t>1</w:t>
            </w:r>
          </w:p>
        </w:tc>
        <w:tc>
          <w:tcPr>
            <w:tcW w:w="2493" w:type="dxa"/>
            <w:vAlign w:val="center"/>
          </w:tcPr>
          <w:p>
            <w:pPr>
              <w:spacing w:line="240" w:lineRule="exact"/>
              <w:ind w:firstLine="27" w:firstLineChars="13"/>
              <w:jc w:val="center"/>
              <w:rPr>
                <w:color w:val="auto"/>
                <w:highlight w:val="none"/>
              </w:rPr>
            </w:pPr>
            <w:r>
              <w:rPr>
                <w:color w:val="auto"/>
                <w:highlight w:val="none"/>
              </w:rPr>
              <w:t>500</w:t>
            </w:r>
            <w:r>
              <w:rPr>
                <w:rFonts w:hint="eastAsia" w:hAnsi="宋体" w:cs="宋体"/>
                <w:color w:val="auto"/>
                <w:highlight w:val="none"/>
              </w:rPr>
              <w:t>万元以下</w:t>
            </w:r>
          </w:p>
        </w:tc>
        <w:tc>
          <w:tcPr>
            <w:tcW w:w="6033" w:type="dxa"/>
            <w:vAlign w:val="center"/>
          </w:tcPr>
          <w:p>
            <w:pPr>
              <w:spacing w:line="240" w:lineRule="exact"/>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73" w:type="dxa"/>
            <w:vAlign w:val="center"/>
          </w:tcPr>
          <w:p>
            <w:pPr>
              <w:spacing w:line="240" w:lineRule="exact"/>
              <w:jc w:val="center"/>
              <w:rPr>
                <w:color w:val="auto"/>
                <w:highlight w:val="none"/>
              </w:rPr>
            </w:pPr>
            <w:r>
              <w:rPr>
                <w:color w:val="auto"/>
                <w:highlight w:val="none"/>
              </w:rPr>
              <w:t>2</w:t>
            </w:r>
          </w:p>
        </w:tc>
        <w:tc>
          <w:tcPr>
            <w:tcW w:w="2493" w:type="dxa"/>
            <w:vAlign w:val="center"/>
          </w:tcPr>
          <w:p>
            <w:pPr>
              <w:spacing w:line="240" w:lineRule="exact"/>
              <w:ind w:firstLine="27" w:firstLineChars="13"/>
              <w:jc w:val="center"/>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6033" w:type="dxa"/>
            <w:vAlign w:val="center"/>
          </w:tcPr>
          <w:p>
            <w:pPr>
              <w:spacing w:line="240" w:lineRule="exact"/>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73" w:type="dxa"/>
            <w:vAlign w:val="center"/>
          </w:tcPr>
          <w:p>
            <w:pPr>
              <w:spacing w:line="240" w:lineRule="exact"/>
              <w:jc w:val="center"/>
              <w:rPr>
                <w:color w:val="auto"/>
                <w:highlight w:val="none"/>
              </w:rPr>
            </w:pPr>
            <w:r>
              <w:rPr>
                <w:color w:val="auto"/>
                <w:highlight w:val="none"/>
              </w:rPr>
              <w:t>3</w:t>
            </w:r>
          </w:p>
        </w:tc>
        <w:tc>
          <w:tcPr>
            <w:tcW w:w="2493" w:type="dxa"/>
            <w:vAlign w:val="center"/>
          </w:tcPr>
          <w:p>
            <w:pPr>
              <w:spacing w:line="240" w:lineRule="exact"/>
              <w:ind w:firstLine="27" w:firstLineChars="13"/>
              <w:jc w:val="center"/>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6033" w:type="dxa"/>
            <w:vAlign w:val="center"/>
          </w:tcPr>
          <w:p>
            <w:pPr>
              <w:spacing w:line="240" w:lineRule="exact"/>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73" w:type="dxa"/>
            <w:vAlign w:val="center"/>
          </w:tcPr>
          <w:p>
            <w:pPr>
              <w:spacing w:line="240" w:lineRule="exact"/>
              <w:jc w:val="center"/>
              <w:rPr>
                <w:color w:val="auto"/>
                <w:highlight w:val="none"/>
              </w:rPr>
            </w:pPr>
            <w:r>
              <w:rPr>
                <w:color w:val="auto"/>
                <w:highlight w:val="none"/>
              </w:rPr>
              <w:t>4</w:t>
            </w:r>
          </w:p>
        </w:tc>
        <w:tc>
          <w:tcPr>
            <w:tcW w:w="2493" w:type="dxa"/>
            <w:vAlign w:val="center"/>
          </w:tcPr>
          <w:p>
            <w:pPr>
              <w:spacing w:line="240" w:lineRule="exact"/>
              <w:ind w:firstLine="27" w:firstLineChars="13"/>
              <w:jc w:val="center"/>
              <w:rPr>
                <w:color w:val="auto"/>
                <w:highlight w:val="none"/>
              </w:rPr>
            </w:pPr>
            <w:r>
              <w:rPr>
                <w:color w:val="auto"/>
                <w:highlight w:val="none"/>
              </w:rPr>
              <w:t>5000</w:t>
            </w:r>
            <w:r>
              <w:rPr>
                <w:rFonts w:hint="eastAsia" w:hAnsi="宋体" w:cs="宋体"/>
                <w:color w:val="auto"/>
                <w:highlight w:val="none"/>
              </w:rPr>
              <w:t>万元以上</w:t>
            </w:r>
          </w:p>
        </w:tc>
        <w:tc>
          <w:tcPr>
            <w:tcW w:w="6033" w:type="dxa"/>
            <w:vAlign w:val="center"/>
          </w:tcPr>
          <w:p>
            <w:pPr>
              <w:spacing w:line="240" w:lineRule="exact"/>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773" w:type="dxa"/>
            <w:vAlign w:val="center"/>
          </w:tcPr>
          <w:p>
            <w:pPr>
              <w:spacing w:line="240" w:lineRule="exact"/>
              <w:jc w:val="center"/>
              <w:rPr>
                <w:color w:val="auto"/>
                <w:highlight w:val="none"/>
              </w:rPr>
            </w:pPr>
            <w:r>
              <w:rPr>
                <w:rFonts w:hint="eastAsia"/>
                <w:color w:val="auto"/>
                <w:highlight w:val="none"/>
              </w:rPr>
              <w:t>5</w:t>
            </w:r>
          </w:p>
        </w:tc>
        <w:tc>
          <w:tcPr>
            <w:tcW w:w="2493" w:type="dxa"/>
            <w:vAlign w:val="center"/>
          </w:tcPr>
          <w:p>
            <w:pPr>
              <w:spacing w:line="240" w:lineRule="exact"/>
              <w:ind w:firstLine="27" w:firstLineChars="13"/>
              <w:jc w:val="center"/>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6033" w:type="dxa"/>
            <w:vAlign w:val="center"/>
          </w:tcPr>
          <w:p>
            <w:pPr>
              <w:spacing w:line="240" w:lineRule="exact"/>
              <w:ind w:firstLine="441" w:firstLineChars="210"/>
              <w:jc w:val="center"/>
              <w:rPr>
                <w:rFonts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11" w:firstLineChars="196"/>
        <w:rPr>
          <w:rFonts w:hAnsi="宋体"/>
          <w:color w:val="auto"/>
          <w:highlight w:val="none"/>
        </w:rPr>
      </w:pPr>
      <w:r>
        <w:rPr>
          <w:rFonts w:hint="eastAsia" w:hAnsi="宋体" w:cs="宋体"/>
          <w:color w:val="auto"/>
          <w:highlight w:val="none"/>
        </w:rPr>
        <w:t>竣工结算审核约定：</w:t>
      </w:r>
    </w:p>
    <w:p>
      <w:pPr>
        <w:spacing w:line="400" w:lineRule="exact"/>
        <w:ind w:firstLine="411" w:firstLineChars="196"/>
        <w:rPr>
          <w:rFonts w:hAnsi="宋体"/>
          <w:color w:val="auto"/>
          <w:highlight w:val="none"/>
          <w:u w:val="single"/>
        </w:rPr>
      </w:pPr>
      <w:r>
        <w:rPr>
          <w:rFonts w:hAnsi="宋体"/>
          <w:color w:val="auto"/>
          <w:highlight w:val="none"/>
          <w:u w:val="single"/>
        </w:rPr>
        <w:t>1</w:t>
      </w:r>
      <w:r>
        <w:rPr>
          <w:rFonts w:hint="eastAsia" w:hAnsi="宋体" w:cs="宋体"/>
          <w:color w:val="auto"/>
          <w:highlight w:val="none"/>
          <w:u w:val="single"/>
        </w:rPr>
        <w:t>、工程竣工验收报告经发包人认可后</w:t>
      </w:r>
      <w:r>
        <w:rPr>
          <w:rFonts w:hAnsi="宋体"/>
          <w:color w:val="auto"/>
          <w:highlight w:val="none"/>
          <w:u w:val="single"/>
        </w:rPr>
        <w:t xml:space="preserve"> </w:t>
      </w:r>
      <w:r>
        <w:rPr>
          <w:rFonts w:hint="eastAsia" w:hAnsi="宋体"/>
          <w:color w:val="auto"/>
          <w:highlight w:val="none"/>
          <w:u w:val="single"/>
        </w:rPr>
        <w:t xml:space="preserve">30 </w:t>
      </w:r>
      <w:r>
        <w:rPr>
          <w:rFonts w:hint="eastAsia" w:hAnsi="宋体" w:cs="宋体"/>
          <w:color w:val="auto"/>
          <w:highlight w:val="none"/>
          <w:u w:val="single"/>
        </w:rPr>
        <w:t>天内，承包人向发包人递交竣工验收合格资料及完整的结算资料和报告，双方按照本工程合同约定的价格形式及价款调整办法进行工程竣工结算。</w:t>
      </w:r>
      <w:r>
        <w:rPr>
          <w:rFonts w:hAnsi="宋体"/>
          <w:color w:val="auto"/>
          <w:highlight w:val="none"/>
          <w:u w:val="single"/>
        </w:rPr>
        <w:t>2</w:t>
      </w:r>
      <w:r>
        <w:rPr>
          <w:rFonts w:hint="eastAsia" w:hAnsi="宋体" w:cs="宋体"/>
          <w:color w:val="auto"/>
          <w:highlight w:val="none"/>
          <w:u w:val="single"/>
        </w:rPr>
        <w:t>、发包人收到承包人递交的竣工结算报告及结算资料之日起</w:t>
      </w:r>
      <w:r>
        <w:rPr>
          <w:rFonts w:hAnsi="宋体"/>
          <w:color w:val="auto"/>
          <w:highlight w:val="none"/>
          <w:u w:val="single"/>
        </w:rPr>
        <w:t xml:space="preserve"> </w:t>
      </w:r>
      <w:r>
        <w:rPr>
          <w:rFonts w:hint="eastAsia" w:hAnsi="宋体"/>
          <w:color w:val="auto"/>
          <w:highlight w:val="none"/>
          <w:u w:val="single"/>
        </w:rPr>
        <w:t>30</w:t>
      </w:r>
      <w:r>
        <w:rPr>
          <w:rFonts w:hAnsi="宋体"/>
          <w:color w:val="auto"/>
          <w:highlight w:val="none"/>
          <w:u w:val="single"/>
        </w:rPr>
        <w:t xml:space="preserve"> </w:t>
      </w:r>
      <w:r>
        <w:rPr>
          <w:rFonts w:hint="eastAsia" w:hAnsi="宋体" w:cs="宋体"/>
          <w:color w:val="auto"/>
          <w:highlight w:val="none"/>
          <w:u w:val="single"/>
        </w:rPr>
        <w:t>天内进行审核，并给予确认或者提出审核意见。发包人逾期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Pr>
          <w:rFonts w:hAnsi="宋体" w:cs="宋体"/>
          <w:color w:val="auto"/>
          <w:highlight w:val="none"/>
          <w:u w:val="single"/>
        </w:rPr>
        <w:t xml:space="preserve"> </w:t>
      </w:r>
      <w:r>
        <w:rPr>
          <w:rFonts w:hint="eastAsia" w:hAnsi="宋体" w:cs="宋体"/>
          <w:color w:val="auto"/>
          <w:highlight w:val="none"/>
          <w:u w:val="single"/>
        </w:rPr>
        <w:t>30</w:t>
      </w:r>
      <w:r>
        <w:rPr>
          <w:rFonts w:hAnsi="宋体" w:cs="宋体"/>
          <w:color w:val="auto"/>
          <w:highlight w:val="none"/>
          <w:u w:val="single"/>
        </w:rPr>
        <w:t xml:space="preserve"> </w:t>
      </w:r>
      <w:r>
        <w:rPr>
          <w:rFonts w:hint="eastAsia" w:hAnsi="宋体" w:cs="宋体"/>
          <w:color w:val="auto"/>
          <w:highlight w:val="none"/>
          <w:u w:val="single"/>
        </w:rPr>
        <w:t>天内提出异议，必要时合同当事人要当面核对，直至完成工程竣工结算。除非有特殊情形，否则从承包人递交竣工结算报告到完成竣工结算的时间应控制在“发包人审核竣工付款申请单的期限”要求的时间范围内。3.自竣工结算完毕之日起</w:t>
      </w:r>
      <w:r>
        <w:rPr>
          <w:rFonts w:hint="eastAsia" w:hAnsi="宋体"/>
          <w:color w:val="auto"/>
          <w:highlight w:val="none"/>
          <w:u w:val="single"/>
        </w:rPr>
        <w:t xml:space="preserve"> 30 </w:t>
      </w:r>
      <w:r>
        <w:rPr>
          <w:rFonts w:hint="eastAsia" w:hAnsi="宋体" w:cs="宋体"/>
          <w:color w:val="auto"/>
          <w:highlight w:val="none"/>
          <w:u w:val="single"/>
        </w:rPr>
        <w:t>天内，发包人按审定后的竣工结算价款，通知经办银行向承包人支付结算价款。</w:t>
      </w:r>
    </w:p>
    <w:p>
      <w:pPr>
        <w:spacing w:line="360" w:lineRule="auto"/>
        <w:ind w:firstLine="420" w:firstLineChars="200"/>
        <w:jc w:val="left"/>
        <w:rPr>
          <w:rFonts w:hint="eastAsia" w:eastAsia="宋体"/>
          <w:color w:val="auto"/>
          <w:highlight w:val="none"/>
          <w:u w:val="single"/>
          <w:lang w:eastAsia="zh-CN"/>
        </w:rPr>
      </w:pPr>
      <w:r>
        <w:rPr>
          <w:rFonts w:hint="eastAsia" w:hAnsi="宋体" w:cs="宋体"/>
          <w:color w:val="auto"/>
          <w:highlight w:val="none"/>
        </w:rPr>
        <w:t>备注：</w:t>
      </w:r>
      <w:r>
        <w:rPr>
          <w:rFonts w:hint="eastAsia" w:hAnsi="宋体" w:cs="宋体"/>
          <w:color w:val="auto"/>
          <w:highlight w:val="none"/>
          <w:lang w:val="en-US" w:eastAsia="zh-CN"/>
        </w:rPr>
        <w:t>项目结算审核参照城产集团相应管理办法执行。</w:t>
      </w:r>
    </w:p>
    <w:p>
      <w:pPr>
        <w:pStyle w:val="4"/>
        <w:rPr>
          <w:color w:val="auto"/>
          <w:highlight w:val="none"/>
        </w:rPr>
      </w:pPr>
      <w:bookmarkStart w:id="1079" w:name="_Toc389065326"/>
      <w:bookmarkStart w:id="1080" w:name="_Toc373227761"/>
      <w:bookmarkStart w:id="1081" w:name="_Toc3086"/>
      <w:bookmarkStart w:id="1082" w:name="_Toc31756"/>
      <w:bookmarkStart w:id="1083" w:name="_Toc407135264"/>
      <w:bookmarkStart w:id="1084" w:name="_Toc373478408"/>
      <w:r>
        <w:rPr>
          <w:color w:val="auto"/>
          <w:highlight w:val="none"/>
        </w:rPr>
        <w:t xml:space="preserve">14.4 </w:t>
      </w:r>
      <w:r>
        <w:rPr>
          <w:rFonts w:hint="eastAsia" w:hAnsi="宋体" w:cs="黑体"/>
          <w:color w:val="auto"/>
          <w:highlight w:val="none"/>
        </w:rPr>
        <w:t>最终结清</w:t>
      </w:r>
      <w:bookmarkEnd w:id="1079"/>
      <w:bookmarkEnd w:id="1080"/>
      <w:bookmarkEnd w:id="1081"/>
      <w:bookmarkEnd w:id="1082"/>
      <w:bookmarkEnd w:id="1083"/>
      <w:bookmarkEnd w:id="1084"/>
    </w:p>
    <w:p>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color w:val="auto"/>
          <w:highlight w:val="none"/>
          <w:u w:val="single"/>
        </w:rPr>
        <w:t xml:space="preserve">  </w:t>
      </w:r>
      <w:r>
        <w:rPr>
          <w:rFonts w:hint="eastAsia"/>
          <w:color w:val="auto"/>
          <w:highlight w:val="none"/>
          <w:u w:val="single"/>
        </w:rPr>
        <w:t>陆</w:t>
      </w:r>
      <w:r>
        <w:rPr>
          <w:color w:val="auto"/>
          <w:highlight w:val="none"/>
          <w:u w:val="single"/>
        </w:rPr>
        <w:t xml:space="preserve">份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color w:val="auto"/>
          <w:highlight w:val="none"/>
          <w:u w:val="single"/>
        </w:rPr>
        <w:t xml:space="preserve"> 竣工验收合格并进行  </w:t>
      </w:r>
      <w:r>
        <w:rPr>
          <w:rFonts w:hint="eastAsia" w:hAnsi="宋体" w:cs="宋体"/>
          <w:color w:val="auto"/>
          <w:highlight w:val="none"/>
        </w:rPr>
        <w:t>。</w:t>
      </w:r>
      <w:r>
        <w:rPr>
          <w:color w:val="auto"/>
          <w:highlight w:val="none"/>
        </w:rPr>
        <w:t xml:space="preserve"> </w:t>
      </w:r>
    </w:p>
    <w:p>
      <w:pPr>
        <w:spacing w:line="360" w:lineRule="auto"/>
        <w:ind w:firstLine="420" w:firstLineChars="200"/>
        <w:jc w:val="left"/>
        <w:rPr>
          <w:color w:val="auto"/>
          <w:highlight w:val="none"/>
        </w:rPr>
      </w:pPr>
      <w:r>
        <w:rPr>
          <w:rFonts w:hint="eastAsia"/>
          <w:color w:val="auto"/>
          <w:highlight w:val="none"/>
        </w:rPr>
        <w:t>最终结算款支付申请（核准）表见合同附件13。</w:t>
      </w:r>
    </w:p>
    <w:p>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color w:val="auto"/>
          <w:highlight w:val="none"/>
          <w:u w:val="single"/>
        </w:rPr>
        <w:t xml:space="preserve"> </w:t>
      </w:r>
      <w:r>
        <w:rPr>
          <w:color w:val="auto"/>
          <w:kern w:val="0"/>
          <w:highlight w:val="none"/>
          <w:u w:val="single"/>
        </w:rPr>
        <w:t>监理人在收到承包人提交的竣工付款申请单后的14天内完成核查，提出发包人到期应支付给承包人的价款送发包人审核并抄送承包人。发包人应在收到后 14天内审核完毕，由监理人向承包人出具经发包人签认的竣工付款证书</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color w:val="auto"/>
          <w:highlight w:val="none"/>
          <w:u w:val="single"/>
        </w:rPr>
        <w:t xml:space="preserve"> </w:t>
      </w:r>
      <w:r>
        <w:rPr>
          <w:color w:val="auto"/>
          <w:kern w:val="0"/>
          <w:highlight w:val="none"/>
          <w:u w:val="single"/>
        </w:rPr>
        <w:t>发包人应在监理人出具竣工付款证书后的 14 天内，将应支付款支付给承包人</w:t>
      </w:r>
      <w:r>
        <w:rPr>
          <w:color w:val="auto"/>
          <w:highlight w:val="none"/>
          <w:u w:val="single"/>
        </w:rPr>
        <w:t xml:space="preserve"> </w:t>
      </w:r>
      <w:r>
        <w:rPr>
          <w:rFonts w:hint="eastAsia" w:hAnsi="宋体" w:cs="宋体"/>
          <w:color w:val="auto"/>
          <w:highlight w:val="none"/>
        </w:rPr>
        <w:t>。</w:t>
      </w:r>
    </w:p>
    <w:bookmarkEnd w:id="1031"/>
    <w:bookmarkEnd w:id="1032"/>
    <w:bookmarkEnd w:id="1033"/>
    <w:bookmarkEnd w:id="1034"/>
    <w:bookmarkEnd w:id="1035"/>
    <w:bookmarkEnd w:id="1036"/>
    <w:bookmarkEnd w:id="1037"/>
    <w:bookmarkEnd w:id="1043"/>
    <w:p>
      <w:pPr>
        <w:pStyle w:val="3"/>
        <w:rPr>
          <w:color w:val="auto"/>
          <w:highlight w:val="none"/>
        </w:rPr>
      </w:pPr>
      <w:bookmarkStart w:id="1085" w:name="_Toc373227762"/>
      <w:bookmarkStart w:id="1086" w:name="_Toc407135265"/>
      <w:bookmarkStart w:id="1087" w:name="_Toc2121"/>
      <w:bookmarkStart w:id="1088" w:name="_Toc351203647"/>
      <w:bookmarkStart w:id="1089" w:name="_Toc389065327"/>
      <w:bookmarkStart w:id="1090" w:name="_Toc17286"/>
      <w:bookmarkStart w:id="1091" w:name="_Toc373478409"/>
      <w:bookmarkStart w:id="1092" w:name="_Toc267251483"/>
      <w:bookmarkStart w:id="1093" w:name="_Toc267251484"/>
      <w:bookmarkStart w:id="1094" w:name="_Toc267251482"/>
      <w:bookmarkStart w:id="1095" w:name="_Toc267251485"/>
      <w:bookmarkStart w:id="1096" w:name="_Toc267251486"/>
      <w:bookmarkStart w:id="1097" w:name="_Toc267251488"/>
      <w:bookmarkStart w:id="1098" w:name="_Toc267251489"/>
      <w:bookmarkStart w:id="1099" w:name="_Toc267251490"/>
      <w:bookmarkStart w:id="1100" w:name="_Toc267251493"/>
      <w:bookmarkStart w:id="1101" w:name="_Toc267251502"/>
      <w:bookmarkStart w:id="1102" w:name="_Toc267251496"/>
      <w:bookmarkStart w:id="1103" w:name="_Toc267251497"/>
      <w:bookmarkStart w:id="1104" w:name="_Toc267251501"/>
      <w:bookmarkStart w:id="1105" w:name="_Toc267251495"/>
      <w:bookmarkStart w:id="1106" w:name="_Toc267251503"/>
      <w:bookmarkStart w:id="1107" w:name="_Toc267251498"/>
      <w:bookmarkStart w:id="1108" w:name="_Toc267251499"/>
      <w:bookmarkStart w:id="1109" w:name="_Toc267251492"/>
      <w:bookmarkStart w:id="1110" w:name="_Toc267251491"/>
      <w:bookmarkStart w:id="1111" w:name="_Toc267251494"/>
      <w:bookmarkStart w:id="1112" w:name="_Toc267251506"/>
      <w:bookmarkStart w:id="1113" w:name="_Toc267251504"/>
      <w:bookmarkStart w:id="1114" w:name="_Toc267251507"/>
      <w:bookmarkStart w:id="1115" w:name="_Toc267251508"/>
      <w:bookmarkStart w:id="1116" w:name="_Toc267251509"/>
      <w:bookmarkStart w:id="1117" w:name="_Toc267251514"/>
      <w:bookmarkStart w:id="1118" w:name="_Toc267251511"/>
      <w:bookmarkStart w:id="1119" w:name="_Toc267251510"/>
      <w:bookmarkStart w:id="1120" w:name="_Toc267251513"/>
      <w:bookmarkStart w:id="1121" w:name="_Toc267251515"/>
      <w:r>
        <w:rPr>
          <w:color w:val="auto"/>
          <w:highlight w:val="none"/>
        </w:rPr>
        <w:t xml:space="preserve">15. </w:t>
      </w:r>
      <w:r>
        <w:rPr>
          <w:rFonts w:hint="eastAsia"/>
          <w:color w:val="auto"/>
          <w:highlight w:val="none"/>
        </w:rPr>
        <w:t>缺陷责任期与保修</w:t>
      </w:r>
      <w:bookmarkEnd w:id="1085"/>
      <w:bookmarkEnd w:id="1086"/>
      <w:bookmarkEnd w:id="1087"/>
      <w:bookmarkEnd w:id="1088"/>
      <w:bookmarkEnd w:id="1089"/>
      <w:bookmarkEnd w:id="1090"/>
      <w:bookmarkEnd w:id="1091"/>
    </w:p>
    <w:p>
      <w:pPr>
        <w:pStyle w:val="4"/>
        <w:rPr>
          <w:color w:val="auto"/>
          <w:highlight w:val="none"/>
        </w:rPr>
      </w:pPr>
      <w:bookmarkStart w:id="1122" w:name="_Toc373227763"/>
      <w:bookmarkStart w:id="1123" w:name="_Toc373478410"/>
      <w:bookmarkStart w:id="1124" w:name="_Toc389065328"/>
      <w:bookmarkStart w:id="1125" w:name="_Toc407135266"/>
      <w:bookmarkStart w:id="1126" w:name="_Toc5215"/>
      <w:bookmarkStart w:id="1127" w:name="_Toc27798"/>
      <w:r>
        <w:rPr>
          <w:color w:val="auto"/>
          <w:highlight w:val="none"/>
        </w:rPr>
        <w:t xml:space="preserve">15.2 </w:t>
      </w:r>
      <w:r>
        <w:rPr>
          <w:rFonts w:hint="eastAsia" w:hAnsi="宋体" w:cs="黑体"/>
          <w:color w:val="auto"/>
          <w:highlight w:val="none"/>
        </w:rPr>
        <w:t>缺陷责任期</w:t>
      </w:r>
      <w:bookmarkEnd w:id="1092"/>
      <w:bookmarkEnd w:id="1122"/>
      <w:bookmarkEnd w:id="1123"/>
      <w:bookmarkEnd w:id="1124"/>
      <w:bookmarkEnd w:id="1125"/>
      <w:bookmarkEnd w:id="1126"/>
      <w:bookmarkEnd w:id="1127"/>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Ansi="宋体" w:cs="宋体"/>
          <w:color w:val="auto"/>
          <w:highlight w:val="none"/>
        </w:rPr>
        <w:t xml:space="preserve">  </w:t>
      </w:r>
      <w:r>
        <w:rPr>
          <w:color w:val="auto"/>
          <w:highlight w:val="none"/>
          <w:u w:val="single"/>
        </w:rPr>
        <w:t xml:space="preserve"> /   </w:t>
      </w:r>
      <w:r>
        <w:rPr>
          <w:rFonts w:hint="eastAsia" w:hAnsi="宋体" w:cs="宋体"/>
          <w:color w:val="auto"/>
          <w:highlight w:val="none"/>
        </w:rPr>
        <w:t>。</w:t>
      </w:r>
    </w:p>
    <w:p>
      <w:pPr>
        <w:pStyle w:val="4"/>
        <w:rPr>
          <w:color w:val="auto"/>
          <w:highlight w:val="none"/>
        </w:rPr>
      </w:pPr>
      <w:bookmarkStart w:id="1128" w:name="_Toc18874"/>
      <w:bookmarkStart w:id="1129" w:name="_Toc373227764"/>
      <w:bookmarkStart w:id="1130" w:name="_Toc24728"/>
      <w:bookmarkStart w:id="1131" w:name="_Toc407135267"/>
      <w:bookmarkStart w:id="1132" w:name="_Toc373478411"/>
      <w:bookmarkStart w:id="1133" w:name="_Toc389065329"/>
      <w:r>
        <w:rPr>
          <w:color w:val="auto"/>
          <w:highlight w:val="none"/>
        </w:rPr>
        <w:t xml:space="preserve">15.3 </w:t>
      </w:r>
      <w:r>
        <w:rPr>
          <w:rFonts w:hint="eastAsia" w:hAnsi="宋体" w:cs="黑体"/>
          <w:color w:val="auto"/>
          <w:highlight w:val="none"/>
        </w:rPr>
        <w:t>质量保证金</w:t>
      </w:r>
      <w:bookmarkEnd w:id="1128"/>
      <w:bookmarkEnd w:id="1129"/>
      <w:bookmarkEnd w:id="1130"/>
      <w:bookmarkEnd w:id="1131"/>
      <w:bookmarkEnd w:id="1132"/>
      <w:bookmarkEnd w:id="1133"/>
    </w:p>
    <w:p>
      <w:pPr>
        <w:spacing w:line="360" w:lineRule="auto"/>
        <w:ind w:firstLine="420" w:firstLineChars="200"/>
        <w:jc w:val="left"/>
        <w:rPr>
          <w:rFonts w:hAnsi="宋体" w:cs="宋体"/>
          <w:color w:val="auto"/>
          <w:highlight w:val="none"/>
        </w:rPr>
      </w:pPr>
      <w:r>
        <w:rPr>
          <w:rFonts w:hint="eastAsia" w:hAnsi="宋体" w:cs="宋体"/>
          <w:color w:val="auto"/>
          <w:highlight w:val="none"/>
        </w:rPr>
        <w:t>关于是否扣留质量保证金的约定：</w:t>
      </w:r>
      <w:r>
        <w:rPr>
          <w:color w:val="auto"/>
          <w:highlight w:val="none"/>
          <w:u w:val="single"/>
        </w:rPr>
        <w:t xml:space="preserve"> /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pPr>
        <w:spacing w:line="360" w:lineRule="auto"/>
        <w:ind w:firstLine="420" w:firstLineChars="200"/>
        <w:jc w:val="left"/>
        <w:outlineLvl w:val="0"/>
        <w:rPr>
          <w:color w:val="auto"/>
          <w:highlight w:val="none"/>
        </w:rPr>
      </w:pPr>
      <w:bookmarkStart w:id="1134" w:name="_Toc18691"/>
      <w:bookmarkStart w:id="1135" w:name="_Toc30156"/>
      <w:r>
        <w:rPr>
          <w:color w:val="auto"/>
          <w:highlight w:val="none"/>
        </w:rPr>
        <w:t xml:space="preserve">15.3.1 </w:t>
      </w:r>
      <w:r>
        <w:rPr>
          <w:rFonts w:hint="eastAsia" w:hAnsi="宋体" w:cs="宋体"/>
          <w:color w:val="auto"/>
          <w:highlight w:val="none"/>
        </w:rPr>
        <w:t>承包人提供质量保证金的方式</w:t>
      </w:r>
      <w:bookmarkEnd w:id="1134"/>
      <w:bookmarkEnd w:id="1135"/>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color w:val="auto"/>
          <w:highlight w:val="none"/>
          <w:u w:val="single"/>
        </w:rPr>
        <w:t xml:space="preserve"> </w:t>
      </w:r>
      <w:r>
        <w:rPr>
          <w:rFonts w:hint="eastAsia"/>
          <w:color w:val="auto"/>
          <w:highlight w:val="none"/>
          <w:u w:val="single"/>
        </w:rPr>
        <w:t>（</w:t>
      </w:r>
      <w:r>
        <w:rPr>
          <w:color w:val="auto"/>
          <w:highlight w:val="none"/>
          <w:u w:val="single"/>
        </w:rPr>
        <w:t>3</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）质量保证金保函，保证金额为：</w:t>
      </w:r>
      <w:r>
        <w:rPr>
          <w:color w:val="auto"/>
          <w:kern w:val="0"/>
          <w:highlight w:val="none"/>
          <w:u w:val="single"/>
        </w:rPr>
        <w:t xml:space="preserve">   </w:t>
      </w:r>
      <w:r>
        <w:rPr>
          <w:rFonts w:hint="eastAsia"/>
          <w:color w:val="auto"/>
          <w:kern w:val="0"/>
          <w:highlight w:val="none"/>
          <w:u w:val="single"/>
        </w:rPr>
        <w:t xml:space="preserve">/  </w:t>
      </w:r>
      <w:r>
        <w:rPr>
          <w:color w:val="auto"/>
          <w:kern w:val="0"/>
          <w:highlight w:val="none"/>
          <w:u w:val="single"/>
        </w:rPr>
        <w:t xml:space="preserve">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Ansi="宋体"/>
          <w:color w:val="auto"/>
          <w:highlight w:val="none"/>
          <w:u w:val="single"/>
        </w:rPr>
        <w:t xml:space="preserve"> </w:t>
      </w:r>
      <w:r>
        <w:rPr>
          <w:rFonts w:hint="eastAsia" w:hAnsi="宋体"/>
          <w:color w:val="auto"/>
          <w:highlight w:val="none"/>
          <w:u w:val="single"/>
        </w:rPr>
        <w:t>3</w:t>
      </w:r>
      <w:r>
        <w:rPr>
          <w:rFonts w:hAnsi="宋体"/>
          <w:color w:val="auto"/>
          <w:highlight w:val="none"/>
          <w:u w:val="single"/>
        </w:rPr>
        <w:t xml:space="preserve"> </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预留工程质量保证金，待缺陷责任期满且无质量问题后返还，是否付息及利息计算方式为：</w:t>
      </w:r>
      <w:r>
        <w:rPr>
          <w:rFonts w:hint="eastAsia" w:hAnsi="宋体" w:cs="宋体"/>
          <w:color w:val="auto"/>
          <w:highlight w:val="none"/>
          <w:u w:val="single"/>
        </w:rPr>
        <w:t xml:space="preserve">  无息   </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Ansi="宋体"/>
          <w:color w:val="auto"/>
          <w:highlight w:val="none"/>
          <w:u w:val="single"/>
        </w:rPr>
        <w:t xml:space="preserve"> </w:t>
      </w:r>
      <w:r>
        <w:rPr>
          <w:rFonts w:hint="eastAsia" w:hAnsi="宋体"/>
          <w:color w:val="auto"/>
          <w:highlight w:val="none"/>
          <w:u w:val="single"/>
        </w:rPr>
        <w:t>/</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color w:val="auto"/>
          <w:highlight w:val="none"/>
          <w:u w:val="single"/>
        </w:rPr>
        <w:t xml:space="preserve"> </w:t>
      </w:r>
      <w:r>
        <w:rPr>
          <w:rFonts w:hint="eastAsia"/>
          <w:color w:val="auto"/>
          <w:highlight w:val="none"/>
          <w:u w:val="single"/>
        </w:rPr>
        <w:t>（3）</w:t>
      </w:r>
      <w:r>
        <w:rPr>
          <w:color w:val="auto"/>
          <w:highlight w:val="none"/>
          <w:u w:val="single"/>
        </w:rPr>
        <w:t xml:space="preserve">  </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w:t>
      </w:r>
      <w:r>
        <w:rPr>
          <w:rFonts w:hint="eastAsia" w:hAnsi="宋体" w:cs="宋体"/>
          <w:color w:val="auto"/>
          <w:kern w:val="0"/>
          <w:highlight w:val="none"/>
          <w:lang w:eastAsia="zh-CN"/>
        </w:rPr>
        <w:t>（</w:t>
      </w:r>
      <w:r>
        <w:rPr>
          <w:rFonts w:hint="eastAsia" w:hAnsi="宋体" w:cs="宋体"/>
          <w:color w:val="auto"/>
          <w:kern w:val="0"/>
          <w:highlight w:val="none"/>
          <w:lang w:val="en-US" w:eastAsia="zh-CN"/>
        </w:rPr>
        <w:t>如有</w:t>
      </w:r>
      <w:r>
        <w:rPr>
          <w:rFonts w:hint="eastAsia" w:hAnsi="宋体" w:cs="宋体"/>
          <w:color w:val="auto"/>
          <w:kern w:val="0"/>
          <w:highlight w:val="none"/>
          <w:lang w:eastAsia="zh-CN"/>
        </w:rPr>
        <w:t>）</w:t>
      </w:r>
      <w:r>
        <w:rPr>
          <w:rFonts w:hint="eastAsia" w:hAnsi="宋体" w:cs="宋体"/>
          <w:color w:val="auto"/>
          <w:kern w:val="0"/>
          <w:highlight w:val="none"/>
        </w:rPr>
        <w:t>、扣回以及价格调整的金额；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r>
        <w:rPr>
          <w:rFonts w:hAnsi="宋体" w:cs="宋体"/>
          <w:color w:val="auto"/>
          <w:kern w:val="0"/>
          <w:highlight w:val="none"/>
        </w:rPr>
        <w:t>由承包人以银行保函</w:t>
      </w:r>
      <w:r>
        <w:rPr>
          <w:rFonts w:hint="eastAsia" w:hAnsi="宋体" w:cs="宋体"/>
          <w:color w:val="auto"/>
          <w:kern w:val="0"/>
          <w:highlight w:val="none"/>
        </w:rPr>
        <w:t>、保证保险</w:t>
      </w:r>
      <w:r>
        <w:rPr>
          <w:rFonts w:hAnsi="宋体" w:cs="宋体"/>
          <w:color w:val="auto"/>
          <w:kern w:val="0"/>
          <w:highlight w:val="none"/>
        </w:rPr>
        <w:t>替代预留</w:t>
      </w:r>
      <w:r>
        <w:rPr>
          <w:rFonts w:hint="eastAsia" w:hAnsi="宋体" w:cs="宋体"/>
          <w:color w:val="auto"/>
          <w:kern w:val="0"/>
          <w:highlight w:val="none"/>
        </w:rPr>
        <w:t>质量</w:t>
      </w:r>
      <w:r>
        <w:rPr>
          <w:rFonts w:hAnsi="宋体" w:cs="宋体"/>
          <w:color w:val="auto"/>
          <w:kern w:val="0"/>
          <w:highlight w:val="none"/>
        </w:rPr>
        <w:t>保证金</w:t>
      </w:r>
      <w:r>
        <w:rPr>
          <w:rFonts w:hint="eastAsia" w:hAnsi="宋体" w:cs="宋体"/>
          <w:color w:val="auto"/>
          <w:kern w:val="0"/>
          <w:highlight w:val="none"/>
        </w:rPr>
        <w:t>，</w:t>
      </w:r>
      <w:r>
        <w:rPr>
          <w:rFonts w:hAnsi="宋体" w:cs="宋体"/>
          <w:color w:val="auto"/>
          <w:kern w:val="0"/>
          <w:highlight w:val="none"/>
        </w:rPr>
        <w:t>保函金额不得高</w:t>
      </w:r>
      <w:r>
        <w:rPr>
          <w:rFonts w:hint="eastAsia" w:hAnsi="宋体" w:cs="宋体"/>
          <w:color w:val="auto"/>
          <w:kern w:val="0"/>
          <w:highlight w:val="none"/>
        </w:rPr>
        <w:t>于</w:t>
      </w:r>
      <w:r>
        <w:rPr>
          <w:rFonts w:hAnsi="宋体" w:cs="宋体"/>
          <w:color w:val="auto"/>
          <w:kern w:val="0"/>
          <w:highlight w:val="none"/>
        </w:rPr>
        <w:t>工程价款结算总额的</w:t>
      </w:r>
      <w:r>
        <w:rPr>
          <w:rFonts w:hint="eastAsia" w:hAnsi="宋体" w:cs="宋体"/>
          <w:color w:val="auto"/>
          <w:kern w:val="0"/>
          <w:highlight w:val="none"/>
        </w:rPr>
        <w:t>3</w:t>
      </w:r>
      <w:r>
        <w:rPr>
          <w:rFonts w:hAnsi="宋体" w:cs="宋体"/>
          <w:color w:val="auto"/>
          <w:kern w:val="0"/>
          <w:highlight w:val="none"/>
        </w:rPr>
        <w:t>%</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color w:val="auto"/>
          <w:kern w:val="0"/>
          <w:highlight w:val="none"/>
          <w:u w:val="single"/>
        </w:rPr>
        <w:t xml:space="preserve">                </w:t>
      </w:r>
      <w:r>
        <w:rPr>
          <w:rFonts w:hAnsi="宋体"/>
          <w:color w:val="auto"/>
          <w:highlight w:val="none"/>
          <w:u w:val="single"/>
        </w:rPr>
        <w:t xml:space="preserve"> </w:t>
      </w:r>
      <w:r>
        <w:rPr>
          <w:rFonts w:hint="eastAsia" w:hAnsi="宋体"/>
          <w:color w:val="auto"/>
          <w:highlight w:val="none"/>
          <w:u w:val="single"/>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color w:val="auto"/>
          <w:kern w:val="0"/>
          <w:highlight w:val="none"/>
          <w:u w:val="single"/>
        </w:rPr>
        <w:t xml:space="preserve">       </w:t>
      </w:r>
      <w:r>
        <w:rPr>
          <w:rFonts w:hAnsi="宋体"/>
          <w:color w:val="auto"/>
          <w:highlight w:val="none"/>
          <w:u w:val="single"/>
        </w:rPr>
        <w:t xml:space="preserve"> </w:t>
      </w:r>
      <w:r>
        <w:rPr>
          <w:rFonts w:hint="eastAsia" w:hAnsi="宋体"/>
          <w:color w:val="auto"/>
          <w:highlight w:val="none"/>
          <w:u w:val="single"/>
        </w:rPr>
        <w:t>/</w:t>
      </w:r>
      <w:r>
        <w:rPr>
          <w:color w:val="auto"/>
          <w:kern w:val="0"/>
          <w:highlight w:val="none"/>
          <w:u w:val="single"/>
        </w:rPr>
        <w:t xml:space="preserve">                   </w:t>
      </w:r>
      <w:r>
        <w:rPr>
          <w:rFonts w:hint="eastAsia" w:hAnsi="宋体" w:cs="宋体"/>
          <w:color w:val="auto"/>
          <w:kern w:val="0"/>
          <w:highlight w:val="none"/>
        </w:rPr>
        <w:t>。</w:t>
      </w:r>
    </w:p>
    <w:bookmarkEnd w:id="1093"/>
    <w:bookmarkEnd w:id="1094"/>
    <w:p>
      <w:pPr>
        <w:pStyle w:val="4"/>
        <w:rPr>
          <w:color w:val="auto"/>
          <w:highlight w:val="none"/>
        </w:rPr>
      </w:pPr>
      <w:bookmarkStart w:id="1136" w:name="_Toc10383"/>
      <w:bookmarkStart w:id="1137" w:name="_Toc11760"/>
      <w:bookmarkStart w:id="1138" w:name="_Toc389065330"/>
      <w:bookmarkStart w:id="1139" w:name="_Toc373227765"/>
      <w:bookmarkStart w:id="1140" w:name="_Toc373478412"/>
      <w:bookmarkStart w:id="1141" w:name="_Toc407135268"/>
      <w:r>
        <w:rPr>
          <w:color w:val="auto"/>
          <w:highlight w:val="none"/>
        </w:rPr>
        <w:t xml:space="preserve">15.4 </w:t>
      </w:r>
      <w:r>
        <w:rPr>
          <w:rFonts w:hint="eastAsia" w:hAnsi="宋体" w:cs="黑体"/>
          <w:color w:val="auto"/>
          <w:highlight w:val="none"/>
        </w:rPr>
        <w:t>保修</w:t>
      </w:r>
      <w:bookmarkEnd w:id="1136"/>
      <w:bookmarkEnd w:id="1137"/>
      <w:bookmarkEnd w:id="1138"/>
      <w:bookmarkEnd w:id="1139"/>
      <w:bookmarkEnd w:id="1140"/>
      <w:bookmarkEnd w:id="1141"/>
    </w:p>
    <w:bookmarkEnd w:id="1095"/>
    <w:p>
      <w:pPr>
        <w:spacing w:line="360" w:lineRule="auto"/>
        <w:ind w:firstLine="409" w:firstLineChars="195"/>
        <w:jc w:val="left"/>
        <w:outlineLvl w:val="0"/>
        <w:rPr>
          <w:color w:val="auto"/>
          <w:highlight w:val="none"/>
        </w:rPr>
      </w:pPr>
      <w:bookmarkStart w:id="1142" w:name="_Toc32610"/>
      <w:bookmarkStart w:id="1143" w:name="_Toc3936"/>
      <w:r>
        <w:rPr>
          <w:color w:val="auto"/>
          <w:highlight w:val="none"/>
        </w:rPr>
        <w:t xml:space="preserve">15.4.1 </w:t>
      </w:r>
      <w:r>
        <w:rPr>
          <w:rFonts w:hint="eastAsia" w:hAnsi="宋体" w:cs="宋体"/>
          <w:color w:val="auto"/>
          <w:highlight w:val="none"/>
        </w:rPr>
        <w:t>保修责任</w:t>
      </w:r>
      <w:bookmarkEnd w:id="1142"/>
      <w:bookmarkEnd w:id="1143"/>
    </w:p>
    <w:p>
      <w:pPr>
        <w:spacing w:line="360" w:lineRule="auto"/>
        <w:ind w:firstLine="409" w:firstLineChars="195"/>
        <w:jc w:val="left"/>
        <w:rPr>
          <w:rFonts w:hAnsi="宋体"/>
          <w:color w:val="auto"/>
          <w:kern w:val="0"/>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详见工程质量保修书具体内容</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工程保修书具体内容见合同附件2。</w:t>
      </w:r>
    </w:p>
    <w:p>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pPr>
        <w:spacing w:line="360" w:lineRule="auto"/>
        <w:ind w:firstLine="409" w:firstLineChars="195"/>
        <w:jc w:val="left"/>
        <w:rPr>
          <w:color w:val="auto"/>
          <w:kern w:val="0"/>
          <w:highlight w:val="none"/>
          <w:u w:val="single"/>
        </w:rPr>
      </w:pPr>
      <w:r>
        <w:rPr>
          <w:rFonts w:hint="eastAsia" w:hAnsi="宋体" w:cs="宋体"/>
          <w:color w:val="auto"/>
          <w:kern w:val="0"/>
          <w:highlight w:val="none"/>
        </w:rPr>
        <w:t>承包人收到保修通知并到达工程现场的合理时间：</w:t>
      </w:r>
      <w:r>
        <w:rPr>
          <w:color w:val="auto"/>
          <w:kern w:val="0"/>
          <w:highlight w:val="none"/>
          <w:u w:val="single"/>
        </w:rPr>
        <w:t xml:space="preserve">  </w:t>
      </w:r>
      <w:r>
        <w:rPr>
          <w:rFonts w:hint="eastAsia"/>
          <w:color w:val="auto"/>
          <w:kern w:val="0"/>
          <w:highlight w:val="none"/>
          <w:u w:val="single"/>
        </w:rPr>
        <w:t>24小时内</w:t>
      </w:r>
      <w:r>
        <w:rPr>
          <w:color w:val="auto"/>
          <w:kern w:val="0"/>
          <w:highlight w:val="none"/>
          <w:u w:val="single"/>
        </w:rPr>
        <w:t xml:space="preserve">  </w:t>
      </w:r>
      <w:r>
        <w:rPr>
          <w:rFonts w:hint="eastAsia" w:hAnsi="宋体" w:cs="宋体"/>
          <w:color w:val="auto"/>
          <w:kern w:val="0"/>
          <w:highlight w:val="none"/>
        </w:rPr>
        <w:t>。</w:t>
      </w:r>
    </w:p>
    <w:bookmarkEnd w:id="1096"/>
    <w:bookmarkEnd w:id="1097"/>
    <w:bookmarkEnd w:id="1098"/>
    <w:bookmarkEnd w:id="1099"/>
    <w:p>
      <w:pPr>
        <w:pStyle w:val="3"/>
        <w:rPr>
          <w:color w:val="auto"/>
          <w:highlight w:val="none"/>
        </w:rPr>
      </w:pPr>
      <w:bookmarkStart w:id="1144" w:name="_Toc12655"/>
      <w:bookmarkStart w:id="1145" w:name="_Toc407135269"/>
      <w:bookmarkStart w:id="1146" w:name="_Toc351203648"/>
      <w:bookmarkStart w:id="1147" w:name="_Toc373478413"/>
      <w:bookmarkStart w:id="1148" w:name="_Toc9473"/>
      <w:bookmarkStart w:id="1149" w:name="_Toc373227766"/>
      <w:bookmarkStart w:id="1150" w:name="_Toc389065331"/>
      <w:bookmarkStart w:id="1151" w:name="_Toc280868717"/>
      <w:bookmarkStart w:id="1152" w:name="_Toc280868718"/>
      <w:r>
        <w:rPr>
          <w:color w:val="auto"/>
          <w:highlight w:val="none"/>
        </w:rPr>
        <w:t xml:space="preserve">16. </w:t>
      </w:r>
      <w:r>
        <w:rPr>
          <w:rFonts w:hint="eastAsia" w:hAnsi="宋体" w:cs="黑体"/>
          <w:color w:val="auto"/>
          <w:highlight w:val="none"/>
        </w:rPr>
        <w:t>违约</w:t>
      </w:r>
      <w:bookmarkEnd w:id="1144"/>
      <w:bookmarkEnd w:id="1145"/>
      <w:bookmarkEnd w:id="1146"/>
      <w:bookmarkEnd w:id="1147"/>
      <w:bookmarkEnd w:id="1148"/>
      <w:bookmarkEnd w:id="1149"/>
      <w:bookmarkEnd w:id="1150"/>
    </w:p>
    <w:p>
      <w:pPr>
        <w:pStyle w:val="4"/>
        <w:rPr>
          <w:color w:val="auto"/>
          <w:highlight w:val="none"/>
        </w:rPr>
      </w:pPr>
      <w:bookmarkStart w:id="1153" w:name="_Toc389065332"/>
      <w:bookmarkStart w:id="1154" w:name="_Toc29418"/>
      <w:bookmarkStart w:id="1155" w:name="_Toc20723"/>
      <w:bookmarkStart w:id="1156" w:name="_Toc373227767"/>
      <w:bookmarkStart w:id="1157" w:name="_Toc373478414"/>
      <w:bookmarkStart w:id="1158" w:name="_Toc407135270"/>
      <w:r>
        <w:rPr>
          <w:color w:val="auto"/>
          <w:highlight w:val="none"/>
        </w:rPr>
        <w:t xml:space="preserve">16.1 </w:t>
      </w:r>
      <w:r>
        <w:rPr>
          <w:rFonts w:hint="eastAsia" w:hAnsi="宋体" w:cs="黑体"/>
          <w:color w:val="auto"/>
          <w:highlight w:val="none"/>
        </w:rPr>
        <w:t>发包人违约</w:t>
      </w:r>
      <w:bookmarkEnd w:id="1153"/>
      <w:bookmarkEnd w:id="1154"/>
      <w:bookmarkEnd w:id="1155"/>
      <w:bookmarkEnd w:id="1156"/>
      <w:bookmarkEnd w:id="1157"/>
      <w:bookmarkEnd w:id="1158"/>
    </w:p>
    <w:p>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发包人违约的其他情形：按通用条款约定。</w:t>
      </w:r>
    </w:p>
    <w:p>
      <w:pPr>
        <w:spacing w:line="360" w:lineRule="auto"/>
        <w:ind w:firstLine="420" w:firstLineChars="200"/>
        <w:jc w:val="left"/>
        <w:outlineLvl w:val="0"/>
        <w:rPr>
          <w:color w:val="auto"/>
          <w:kern w:val="0"/>
          <w:highlight w:val="none"/>
        </w:rPr>
      </w:pPr>
      <w:bookmarkStart w:id="1159" w:name="_Toc9820"/>
      <w:bookmarkStart w:id="1160" w:name="_Toc30212"/>
      <w:r>
        <w:rPr>
          <w:color w:val="auto"/>
          <w:kern w:val="0"/>
          <w:highlight w:val="none"/>
        </w:rPr>
        <w:t xml:space="preserve">16.1.2 </w:t>
      </w:r>
      <w:r>
        <w:rPr>
          <w:rFonts w:hint="eastAsia" w:hAnsi="宋体" w:cs="宋体"/>
          <w:color w:val="auto"/>
          <w:kern w:val="0"/>
          <w:highlight w:val="none"/>
        </w:rPr>
        <w:t>发包人违约的责任</w:t>
      </w:r>
      <w:bookmarkEnd w:id="1159"/>
      <w:bookmarkEnd w:id="1160"/>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color w:val="auto"/>
          <w:kern w:val="0"/>
          <w:highlight w:val="none"/>
          <w:u w:val="single"/>
        </w:rPr>
        <w:t xml:space="preserve">  </w:t>
      </w:r>
      <w:r>
        <w:rPr>
          <w:rFonts w:hint="eastAsia" w:ascii="宋体" w:hAnsi="宋体"/>
          <w:color w:val="auto"/>
          <w:highlight w:val="none"/>
          <w:u w:val="single"/>
        </w:rPr>
        <w:t>工期顺延</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color w:val="auto"/>
          <w:kern w:val="0"/>
          <w:highlight w:val="none"/>
          <w:u w:val="single"/>
        </w:rPr>
        <w:t xml:space="preserve"> 发包人未按约定时间支付工程款的，应以应付未付工程款为基数，逾期超过30天的(含30天)每逾期一天按应付未付工程款的万分之</w:t>
      </w:r>
      <w:r>
        <w:rPr>
          <w:rFonts w:hint="eastAsia"/>
          <w:color w:val="auto"/>
          <w:kern w:val="0"/>
          <w:highlight w:val="none"/>
          <w:u w:val="single"/>
          <w:lang w:eastAsia="zh-CN"/>
        </w:rPr>
        <w:t>一</w:t>
      </w:r>
      <w:r>
        <w:rPr>
          <w:color w:val="auto"/>
          <w:kern w:val="0"/>
          <w:highlight w:val="none"/>
          <w:u w:val="single"/>
        </w:rPr>
        <w:t>支付违约金给承包人。超过60天以上承包人有权停工，但应采取合理措施降低损失，不得恶意停工，工期可相应顺延，并承担由此造成的人工窝工、机械停置的损失</w:t>
      </w:r>
      <w:r>
        <w:rPr>
          <w:rFonts w:hint="eastAsia"/>
          <w:color w:val="auto"/>
          <w:kern w:val="0"/>
          <w:highlight w:val="none"/>
          <w:u w:val="singl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rFonts w:hint="eastAsia"/>
          <w:color w:val="auto"/>
          <w:kern w:val="0"/>
          <w:highlight w:val="none"/>
          <w:lang w:val="en-US" w:eastAsia="zh-CN"/>
        </w:rPr>
        <w:t>3</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color w:val="auto"/>
          <w:kern w:val="0"/>
          <w:highlight w:val="none"/>
          <w:u w:val="single"/>
        </w:rPr>
        <w:t xml:space="preserve"> 工期顺延，所造成的一切损失和后果均由发包人承担 </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rFonts w:hint="eastAsia"/>
          <w:color w:val="auto"/>
          <w:kern w:val="0"/>
          <w:highlight w:val="none"/>
          <w:lang w:val="en-US" w:eastAsia="zh-CN"/>
        </w:rPr>
        <w:t>4</w:t>
      </w:r>
      <w:r>
        <w:rPr>
          <w:rFonts w:hint="eastAsia" w:hAnsi="宋体" w:cs="宋体"/>
          <w:color w:val="auto"/>
          <w:kern w:val="0"/>
          <w:highlight w:val="none"/>
        </w:rPr>
        <w:t>）因发包人违反合同约定造成暂停施工的违约责任：</w:t>
      </w:r>
      <w:r>
        <w:rPr>
          <w:color w:val="auto"/>
          <w:kern w:val="0"/>
          <w:highlight w:val="none"/>
          <w:u w:val="single"/>
        </w:rPr>
        <w:t xml:space="preserve"> 因发包人违反合同约定造成暂停施工的违约责任（除不可抗力事件外）： 工期顺延，所造成的一切损失和后果均由发包人承担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rFonts w:hint="eastAsia"/>
          <w:color w:val="auto"/>
          <w:kern w:val="0"/>
          <w:highlight w:val="none"/>
          <w:lang w:val="en-US" w:eastAsia="zh-CN"/>
        </w:rPr>
        <w:t>5</w:t>
      </w:r>
      <w:r>
        <w:rPr>
          <w:rFonts w:hint="eastAsia" w:hAnsi="宋体" w:cs="宋体"/>
          <w:color w:val="auto"/>
          <w:kern w:val="0"/>
          <w:highlight w:val="none"/>
        </w:rPr>
        <w:t>）发包人无正当理由没有在约定期限内发出复工指示，导致承包人无法复工的违约责任：</w:t>
      </w:r>
      <w:r>
        <w:rPr>
          <w:color w:val="auto"/>
          <w:kern w:val="0"/>
          <w:highlight w:val="none"/>
          <w:u w:val="single"/>
        </w:rPr>
        <w:t xml:space="preserve"> 工期顺延，所造成的一切损失和后果均由发包人承担 </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rFonts w:hint="eastAsia"/>
          <w:color w:val="auto"/>
          <w:kern w:val="0"/>
          <w:highlight w:val="none"/>
          <w:lang w:val="en-US" w:eastAsia="zh-CN"/>
        </w:rPr>
        <w:t>6</w:t>
      </w:r>
      <w:r>
        <w:rPr>
          <w:rFonts w:hint="eastAsia" w:hAnsi="宋体" w:cs="宋体"/>
          <w:color w:val="auto"/>
          <w:kern w:val="0"/>
          <w:highlight w:val="none"/>
        </w:rPr>
        <w:t>）其他：</w:t>
      </w:r>
      <w:r>
        <w:rPr>
          <w:color w:val="auto"/>
          <w:kern w:val="0"/>
          <w:highlight w:val="none"/>
          <w:u w:val="single"/>
        </w:rPr>
        <w:t xml:space="preserve">                         </w:t>
      </w:r>
      <w:r>
        <w:rPr>
          <w:rFonts w:hint="eastAsia"/>
          <w:color w:val="auto"/>
          <w:kern w:val="0"/>
          <w:highlight w:val="none"/>
          <w:u w:val="single"/>
        </w:rPr>
        <w:t>/</w:t>
      </w:r>
      <w:r>
        <w:rPr>
          <w:color w:val="auto"/>
          <w:kern w:val="0"/>
          <w:highlight w:val="none"/>
          <w:u w:val="single"/>
        </w:rPr>
        <w:t xml:space="preserve">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color w:val="auto"/>
          <w:kern w:val="0"/>
          <w:highlight w:val="none"/>
          <w:u w:val="single"/>
        </w:rPr>
        <w:t xml:space="preserve">  </w:t>
      </w:r>
      <w:r>
        <w:rPr>
          <w:rFonts w:hint="eastAsia"/>
          <w:color w:val="auto"/>
          <w:kern w:val="0"/>
          <w:highlight w:val="none"/>
          <w:u w:val="single"/>
        </w:rPr>
        <w:t>28</w:t>
      </w:r>
      <w:r>
        <w:rPr>
          <w:color w:val="auto"/>
          <w:kern w:val="0"/>
          <w:highlight w:val="none"/>
          <w:u w:val="single"/>
        </w:rPr>
        <w:t xml:space="preserve">  </w:t>
      </w:r>
      <w:r>
        <w:rPr>
          <w:rFonts w:hint="eastAsia" w:hAnsi="宋体" w:cs="宋体"/>
          <w:color w:val="auto"/>
          <w:kern w:val="0"/>
          <w:highlight w:val="none"/>
        </w:rPr>
        <w:t>天后发包人仍不纠正其违约行为并致使合同目的不能实现的，承包人有权解除合同。</w:t>
      </w:r>
    </w:p>
    <w:p>
      <w:pPr>
        <w:pStyle w:val="4"/>
        <w:rPr>
          <w:color w:val="auto"/>
          <w:highlight w:val="none"/>
        </w:rPr>
      </w:pPr>
      <w:bookmarkStart w:id="1161" w:name="_Toc373227768"/>
      <w:bookmarkStart w:id="1162" w:name="_Toc373478415"/>
      <w:bookmarkStart w:id="1163" w:name="_Toc20062"/>
      <w:bookmarkStart w:id="1164" w:name="_Toc407135271"/>
      <w:bookmarkStart w:id="1165" w:name="_Toc27326"/>
      <w:bookmarkStart w:id="1166" w:name="_Toc389065333"/>
      <w:r>
        <w:rPr>
          <w:color w:val="auto"/>
          <w:highlight w:val="none"/>
        </w:rPr>
        <w:t xml:space="preserve">16.2 </w:t>
      </w:r>
      <w:r>
        <w:rPr>
          <w:rFonts w:hint="eastAsia" w:hAnsi="宋体" w:cs="黑体"/>
          <w:color w:val="auto"/>
          <w:highlight w:val="none"/>
        </w:rPr>
        <w:t>承包人违约</w:t>
      </w:r>
      <w:bookmarkEnd w:id="1161"/>
      <w:bookmarkEnd w:id="1162"/>
      <w:bookmarkEnd w:id="1163"/>
      <w:bookmarkEnd w:id="1164"/>
      <w:bookmarkEnd w:id="1165"/>
      <w:bookmarkEnd w:id="1166"/>
    </w:p>
    <w:p>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承包人违约的其他情形：按通用条款约定。</w:t>
      </w:r>
    </w:p>
    <w:p>
      <w:pPr>
        <w:spacing w:line="360" w:lineRule="auto"/>
        <w:ind w:firstLine="420" w:firstLineChars="200"/>
        <w:jc w:val="left"/>
        <w:outlineLvl w:val="0"/>
        <w:rPr>
          <w:color w:val="auto"/>
          <w:kern w:val="0"/>
          <w:highlight w:val="none"/>
        </w:rPr>
      </w:pPr>
      <w:bookmarkStart w:id="1167" w:name="_Toc21610"/>
      <w:bookmarkStart w:id="1168" w:name="_Toc367"/>
      <w:r>
        <w:rPr>
          <w:color w:val="auto"/>
          <w:kern w:val="0"/>
          <w:highlight w:val="none"/>
        </w:rPr>
        <w:t>16.2.2</w:t>
      </w:r>
      <w:r>
        <w:rPr>
          <w:rFonts w:hint="eastAsia" w:hAnsi="宋体" w:cs="宋体"/>
          <w:color w:val="auto"/>
          <w:kern w:val="0"/>
          <w:highlight w:val="none"/>
        </w:rPr>
        <w:t>承包人违约的责任</w:t>
      </w:r>
      <w:bookmarkEnd w:id="1167"/>
      <w:bookmarkEnd w:id="1168"/>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rFonts w:hint="eastAsia"/>
          <w:color w:val="auto"/>
          <w:kern w:val="0"/>
          <w:highlight w:val="none"/>
        </w:rPr>
        <w:t>2</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w:t>
      </w:r>
      <w:r>
        <w:rPr>
          <w:rFonts w:hint="eastAsia" w:hAnsi="宋体" w:cs="宋体"/>
          <w:color w:val="auto"/>
          <w:kern w:val="0"/>
          <w:highlight w:val="none"/>
        </w:rPr>
        <w:t>。</w:t>
      </w:r>
    </w:p>
    <w:p>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(1)承包人无正当理由不按开工通知的要求及时进场组织施工和不按签订协议书时商定的进度计划有效地开展施工准备，造成工期延误的，每逾期一天按应合同金额的万分之四支付违约金给发包人；</w:t>
      </w:r>
    </w:p>
    <w:p>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(2)承包人违反本合同通用条款第3.5条规定私自将合同或合同的任何部分或任何权利转让给其他人，或私自将工程或工程的一部分分包出去的，所造成的一切损失和后果均由承包人承担；</w:t>
      </w:r>
    </w:p>
    <w:p>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(3)未经监理人批准，承包人私自将已按投标文件承诺进入工地的工程设备、施工设备、临时工程或材料撤离工地的，所造成的一切损失和后果均由承包人承担；</w:t>
      </w:r>
    </w:p>
    <w:p>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(4)由于承包人原因拒绝按合同进度计划及时完成合同规定的工程，而又未采取有效措施赶上进度，造成工期严重延误的，每逾期一天按应合同金额的万分之四支付违约金给发包人，并承担造成的一切损失；</w:t>
      </w:r>
    </w:p>
    <w:p>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(5)承包人否认合同有效或拒绝履行合同规定的承包人义务，或由于法律、财务等原因导致承包人无法继续履行或实质上已停止履行合同的义务的，应承担造成的一切损失；</w:t>
      </w:r>
    </w:p>
    <w:p>
      <w:pPr>
        <w:spacing w:line="360" w:lineRule="auto"/>
        <w:ind w:firstLine="420" w:firstLineChars="200"/>
        <w:jc w:val="left"/>
        <w:rPr>
          <w:rFonts w:hint="eastAsia" w:hAnsi="宋体" w:cs="宋体"/>
          <w:color w:val="auto"/>
          <w:kern w:val="0"/>
          <w:highlight w:val="none"/>
        </w:rPr>
      </w:pPr>
      <w:r>
        <w:rPr>
          <w:rFonts w:hint="eastAsia" w:hAnsi="宋体" w:cs="宋体"/>
          <w:color w:val="auto"/>
          <w:kern w:val="0"/>
          <w:highlight w:val="none"/>
        </w:rPr>
        <w:t>(6)合同签订且具备法定开工条件后之日起十五日内，承包人无法按合同规定及投标文件的承诺进场经监理工程师认可的该施工阶段应有的全部人员和机械的，应承担造成的一切损失。</w:t>
      </w:r>
    </w:p>
    <w:p>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color w:val="auto"/>
          <w:kern w:val="0"/>
          <w:highlight w:val="none"/>
          <w:u w:val="single"/>
        </w:rPr>
        <w:t xml:space="preserve"> 发包人承担 </w:t>
      </w:r>
      <w:r>
        <w:rPr>
          <w:rFonts w:hint="eastAsia" w:hAnsi="宋体" w:cs="宋体"/>
          <w:color w:val="auto"/>
          <w:kern w:val="0"/>
          <w:highlight w:val="none"/>
        </w:rPr>
        <w:t>。</w:t>
      </w:r>
    </w:p>
    <w:p>
      <w:pPr>
        <w:pStyle w:val="3"/>
        <w:rPr>
          <w:color w:val="auto"/>
          <w:highlight w:val="none"/>
        </w:rPr>
      </w:pPr>
      <w:bookmarkStart w:id="1169" w:name="_Toc407135272"/>
      <w:bookmarkStart w:id="1170" w:name="_Toc389065334"/>
      <w:bookmarkStart w:id="1171" w:name="_Toc373227769"/>
      <w:bookmarkStart w:id="1172" w:name="_Toc29773"/>
      <w:bookmarkStart w:id="1173" w:name="_Toc373478416"/>
      <w:bookmarkStart w:id="1174" w:name="_Toc351203649"/>
      <w:bookmarkStart w:id="1175" w:name="_Toc14860"/>
      <w:r>
        <w:rPr>
          <w:color w:val="auto"/>
          <w:highlight w:val="none"/>
        </w:rPr>
        <w:t xml:space="preserve">17. </w:t>
      </w:r>
      <w:r>
        <w:rPr>
          <w:rFonts w:hint="eastAsia" w:hAnsi="宋体" w:cs="黑体"/>
          <w:color w:val="auto"/>
          <w:highlight w:val="none"/>
        </w:rPr>
        <w:t>不可抗力</w:t>
      </w:r>
      <w:bookmarkEnd w:id="1169"/>
      <w:bookmarkEnd w:id="1170"/>
      <w:bookmarkEnd w:id="1171"/>
      <w:bookmarkEnd w:id="1172"/>
      <w:bookmarkEnd w:id="1173"/>
      <w:bookmarkEnd w:id="1174"/>
      <w:bookmarkEnd w:id="1175"/>
      <w:r>
        <w:rPr>
          <w:color w:val="auto"/>
          <w:highlight w:val="none"/>
        </w:rPr>
        <w:t xml:space="preserve"> </w:t>
      </w:r>
      <w:bookmarkEnd w:id="1151"/>
    </w:p>
    <w:p>
      <w:pPr>
        <w:pStyle w:val="4"/>
        <w:rPr>
          <w:color w:val="auto"/>
          <w:highlight w:val="none"/>
        </w:rPr>
      </w:pPr>
      <w:bookmarkStart w:id="1176" w:name="_Toc389065335"/>
      <w:bookmarkStart w:id="1177" w:name="_Toc373478417"/>
      <w:bookmarkStart w:id="1178" w:name="_Toc373227770"/>
      <w:bookmarkStart w:id="1179" w:name="_Toc29349"/>
      <w:bookmarkStart w:id="1180" w:name="_Toc407135273"/>
      <w:bookmarkStart w:id="1181" w:name="_Toc542"/>
      <w:r>
        <w:rPr>
          <w:color w:val="auto"/>
          <w:highlight w:val="none"/>
        </w:rPr>
        <w:t xml:space="preserve">17.1 </w:t>
      </w:r>
      <w:r>
        <w:rPr>
          <w:rFonts w:hint="eastAsia" w:cs="黑体"/>
          <w:color w:val="auto"/>
          <w:highlight w:val="none"/>
        </w:rPr>
        <w:t>不可抗力的确认</w:t>
      </w:r>
      <w:bookmarkEnd w:id="1176"/>
      <w:bookmarkEnd w:id="1177"/>
      <w:bookmarkEnd w:id="1178"/>
      <w:bookmarkEnd w:id="1179"/>
      <w:bookmarkEnd w:id="1180"/>
      <w:bookmarkEnd w:id="1181"/>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color w:val="auto"/>
          <w:kern w:val="0"/>
          <w:highlight w:val="none"/>
          <w:u w:val="single"/>
        </w:rPr>
        <w:t xml:space="preserve">  </w:t>
      </w:r>
      <w:r>
        <w:rPr>
          <w:rFonts w:hint="eastAsia"/>
          <w:color w:val="auto"/>
          <w:kern w:val="0"/>
          <w:highlight w:val="none"/>
          <w:u w:val="single"/>
        </w:rPr>
        <w:t>无</w:t>
      </w:r>
      <w:r>
        <w:rPr>
          <w:color w:val="auto"/>
          <w:kern w:val="0"/>
          <w:highlight w:val="none"/>
          <w:u w:val="single"/>
        </w:rPr>
        <w:t xml:space="preserve">  </w:t>
      </w:r>
      <w:r>
        <w:rPr>
          <w:rFonts w:hint="eastAsia" w:hAnsi="宋体" w:cs="宋体"/>
          <w:color w:val="auto"/>
          <w:kern w:val="0"/>
          <w:highlight w:val="none"/>
        </w:rPr>
        <w:t>。</w:t>
      </w:r>
    </w:p>
    <w:p>
      <w:pPr>
        <w:pStyle w:val="4"/>
        <w:rPr>
          <w:color w:val="auto"/>
          <w:highlight w:val="none"/>
        </w:rPr>
      </w:pPr>
      <w:bookmarkStart w:id="1182" w:name="_Toc373227771"/>
      <w:bookmarkStart w:id="1183" w:name="_Toc373478418"/>
      <w:bookmarkStart w:id="1184" w:name="_Toc407135274"/>
      <w:bookmarkStart w:id="1185" w:name="_Toc2881"/>
      <w:bookmarkStart w:id="1186" w:name="_Toc389065336"/>
      <w:bookmarkStart w:id="1187" w:name="_Toc22541"/>
      <w:r>
        <w:rPr>
          <w:color w:val="auto"/>
          <w:highlight w:val="none"/>
        </w:rPr>
        <w:t xml:space="preserve">17.4 </w:t>
      </w:r>
      <w:r>
        <w:rPr>
          <w:rFonts w:hint="eastAsia" w:cs="黑体"/>
          <w:color w:val="auto"/>
          <w:highlight w:val="none"/>
        </w:rPr>
        <w:t>因不可抗力解除合同</w:t>
      </w:r>
      <w:bookmarkEnd w:id="1182"/>
      <w:bookmarkEnd w:id="1183"/>
      <w:bookmarkEnd w:id="1184"/>
      <w:bookmarkEnd w:id="1185"/>
      <w:bookmarkEnd w:id="1186"/>
      <w:bookmarkEnd w:id="1187"/>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color w:val="auto"/>
          <w:highlight w:val="none"/>
          <w:u w:val="single"/>
        </w:rPr>
        <w:t xml:space="preserve">  </w:t>
      </w:r>
      <w:r>
        <w:rPr>
          <w:rFonts w:hint="eastAsia"/>
          <w:color w:val="auto"/>
          <w:highlight w:val="none"/>
          <w:u w:val="single"/>
        </w:rPr>
        <w:t>60</w:t>
      </w:r>
      <w:r>
        <w:rPr>
          <w:color w:val="auto"/>
          <w:highlight w:val="none"/>
          <w:u w:val="single"/>
        </w:rPr>
        <w:t xml:space="preserve">  </w:t>
      </w:r>
      <w:r>
        <w:rPr>
          <w:rFonts w:hint="eastAsia" w:hAnsi="宋体" w:cs="宋体"/>
          <w:color w:val="auto"/>
          <w:highlight w:val="none"/>
        </w:rPr>
        <w:t>天内完成款项的支付。</w:t>
      </w:r>
    </w:p>
    <w:p>
      <w:pPr>
        <w:pStyle w:val="3"/>
        <w:rPr>
          <w:color w:val="auto"/>
          <w:highlight w:val="none"/>
        </w:rPr>
      </w:pPr>
      <w:bookmarkStart w:id="1188" w:name="_Toc373227772"/>
      <w:bookmarkStart w:id="1189" w:name="_Toc351203650"/>
      <w:bookmarkStart w:id="1190" w:name="_Toc389065337"/>
      <w:bookmarkStart w:id="1191" w:name="_Toc22317"/>
      <w:bookmarkStart w:id="1192" w:name="_Toc407135275"/>
      <w:bookmarkStart w:id="1193" w:name="_Toc963"/>
      <w:bookmarkStart w:id="1194" w:name="_Toc373478419"/>
      <w:r>
        <w:rPr>
          <w:color w:val="auto"/>
          <w:highlight w:val="none"/>
        </w:rPr>
        <w:t xml:space="preserve">18. </w:t>
      </w:r>
      <w:r>
        <w:rPr>
          <w:rFonts w:hint="eastAsia" w:hAnsi="宋体" w:cs="黑体"/>
          <w:color w:val="auto"/>
          <w:highlight w:val="none"/>
        </w:rPr>
        <w:t>保险</w:t>
      </w:r>
      <w:bookmarkEnd w:id="1188"/>
      <w:bookmarkEnd w:id="1189"/>
      <w:bookmarkEnd w:id="1190"/>
      <w:bookmarkEnd w:id="1191"/>
      <w:bookmarkEnd w:id="1192"/>
      <w:bookmarkEnd w:id="1193"/>
      <w:bookmarkEnd w:id="1194"/>
    </w:p>
    <w:bookmarkEnd w:id="1152"/>
    <w:p>
      <w:pPr>
        <w:pStyle w:val="4"/>
        <w:rPr>
          <w:color w:val="auto"/>
          <w:highlight w:val="none"/>
        </w:rPr>
      </w:pPr>
      <w:bookmarkStart w:id="1195" w:name="_Toc407135276"/>
      <w:bookmarkStart w:id="1196" w:name="_Toc7020"/>
      <w:bookmarkStart w:id="1197" w:name="_Toc29938"/>
      <w:bookmarkStart w:id="1198" w:name="_Toc389065338"/>
      <w:bookmarkStart w:id="1199" w:name="_Toc373227773"/>
      <w:bookmarkStart w:id="1200" w:name="_Toc373478420"/>
      <w:r>
        <w:rPr>
          <w:color w:val="auto"/>
          <w:highlight w:val="none"/>
        </w:rPr>
        <w:t xml:space="preserve">18.1 </w:t>
      </w:r>
      <w:r>
        <w:rPr>
          <w:rFonts w:hint="eastAsia" w:hAnsi="宋体" w:cs="黑体"/>
          <w:color w:val="auto"/>
          <w:highlight w:val="none"/>
        </w:rPr>
        <w:t>工程保险</w:t>
      </w:r>
      <w:bookmarkEnd w:id="1195"/>
      <w:bookmarkEnd w:id="1196"/>
      <w:bookmarkEnd w:id="1197"/>
      <w:bookmarkEnd w:id="1198"/>
      <w:bookmarkEnd w:id="1199"/>
      <w:bookmarkEnd w:id="1200"/>
    </w:p>
    <w:p>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color w:val="auto"/>
          <w:kern w:val="0"/>
          <w:highlight w:val="none"/>
          <w:u w:val="single"/>
        </w:rPr>
        <w:t xml:space="preserve"> </w:t>
      </w:r>
      <w:r>
        <w:rPr>
          <w:rFonts w:hint="eastAsia"/>
          <w:color w:val="auto"/>
          <w:kern w:val="0"/>
          <w:highlight w:val="none"/>
          <w:u w:val="single"/>
        </w:rPr>
        <w:t>工程意外伤害险及工程一切险</w:t>
      </w:r>
      <w:r>
        <w:rPr>
          <w:color w:val="auto"/>
          <w:kern w:val="0"/>
          <w:highlight w:val="none"/>
          <w:u w:val="single"/>
        </w:rPr>
        <w:t>由承包人</w:t>
      </w:r>
      <w:r>
        <w:rPr>
          <w:rFonts w:hint="eastAsia"/>
          <w:color w:val="auto"/>
          <w:kern w:val="0"/>
          <w:highlight w:val="none"/>
          <w:u w:val="single"/>
        </w:rPr>
        <w:t>进</w:t>
      </w:r>
      <w:r>
        <w:rPr>
          <w:color w:val="auto"/>
          <w:kern w:val="0"/>
          <w:highlight w:val="none"/>
          <w:u w:val="single"/>
        </w:rPr>
        <w:t>行投保</w:t>
      </w:r>
      <w:r>
        <w:rPr>
          <w:rFonts w:hint="eastAsia"/>
          <w:color w:val="auto"/>
          <w:kern w:val="0"/>
          <w:highlight w:val="none"/>
          <w:u w:val="single"/>
        </w:rPr>
        <w:t>，其中工程一切险费用</w:t>
      </w:r>
      <w:r>
        <w:rPr>
          <w:color w:val="auto"/>
          <w:kern w:val="0"/>
          <w:highlight w:val="none"/>
          <w:u w:val="single"/>
        </w:rPr>
        <w:t xml:space="preserve">由发包人承担 </w:t>
      </w:r>
      <w:r>
        <w:rPr>
          <w:rFonts w:hint="eastAsia" w:hAnsi="宋体" w:cs="宋体"/>
          <w:color w:val="auto"/>
          <w:kern w:val="0"/>
          <w:highlight w:val="none"/>
        </w:rPr>
        <w:t>。</w:t>
      </w:r>
    </w:p>
    <w:p>
      <w:pPr>
        <w:pStyle w:val="4"/>
        <w:rPr>
          <w:color w:val="auto"/>
          <w:highlight w:val="none"/>
        </w:rPr>
      </w:pPr>
      <w:bookmarkStart w:id="1201" w:name="_Toc373478421"/>
      <w:bookmarkStart w:id="1202" w:name="_Toc23056"/>
      <w:bookmarkStart w:id="1203" w:name="_Toc373227774"/>
      <w:bookmarkStart w:id="1204" w:name="_Toc389065339"/>
      <w:bookmarkStart w:id="1205" w:name="_Toc3745"/>
      <w:bookmarkStart w:id="1206" w:name="_Toc407135277"/>
      <w:r>
        <w:rPr>
          <w:color w:val="auto"/>
          <w:highlight w:val="none"/>
        </w:rPr>
        <w:t xml:space="preserve">18.3 </w:t>
      </w:r>
      <w:r>
        <w:rPr>
          <w:rFonts w:hint="eastAsia" w:hAnsi="宋体" w:cs="黑体"/>
          <w:color w:val="auto"/>
          <w:highlight w:val="none"/>
        </w:rPr>
        <w:t>其他保险</w:t>
      </w:r>
      <w:bookmarkEnd w:id="1201"/>
      <w:bookmarkEnd w:id="1202"/>
      <w:bookmarkEnd w:id="1203"/>
      <w:bookmarkEnd w:id="1204"/>
      <w:bookmarkEnd w:id="1205"/>
      <w:bookmarkEnd w:id="1206"/>
    </w:p>
    <w:p>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Ansi="宋体"/>
          <w:color w:val="auto"/>
          <w:highlight w:val="none"/>
          <w:u w:val="single"/>
        </w:rPr>
        <w:t xml:space="preserve">  </w:t>
      </w:r>
      <w:r>
        <w:rPr>
          <w:rFonts w:hint="eastAsia" w:ascii="宋体" w:hAnsi="宋体" w:cs="宋体"/>
          <w:color w:val="auto"/>
          <w:highlight w:val="none"/>
          <w:u w:val="single"/>
        </w:rPr>
        <w:t>无</w:t>
      </w:r>
      <w:r>
        <w:rPr>
          <w:rFonts w:hAnsi="宋体"/>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color w:val="auto"/>
          <w:highlight w:val="none"/>
          <w:u w:val="single"/>
        </w:rPr>
        <w:t xml:space="preserve"> 按通用条款执行 </w:t>
      </w:r>
      <w:r>
        <w:rPr>
          <w:rFonts w:hint="eastAsia" w:hAnsi="宋体" w:cs="宋体"/>
          <w:color w:val="auto"/>
          <w:highlight w:val="none"/>
        </w:rPr>
        <w:t>。</w:t>
      </w:r>
    </w:p>
    <w:p>
      <w:pPr>
        <w:pStyle w:val="4"/>
        <w:rPr>
          <w:color w:val="auto"/>
          <w:highlight w:val="none"/>
        </w:rPr>
      </w:pPr>
      <w:bookmarkStart w:id="1207" w:name="_Toc373227775"/>
      <w:bookmarkStart w:id="1208" w:name="_Toc12729"/>
      <w:bookmarkStart w:id="1209" w:name="_Toc373478422"/>
      <w:bookmarkStart w:id="1210" w:name="_Toc389065340"/>
      <w:bookmarkStart w:id="1211" w:name="_Toc407135278"/>
      <w:bookmarkStart w:id="1212" w:name="_Toc23375"/>
      <w:r>
        <w:rPr>
          <w:color w:val="auto"/>
          <w:highlight w:val="none"/>
        </w:rPr>
        <w:t xml:space="preserve">18.7 </w:t>
      </w:r>
      <w:r>
        <w:rPr>
          <w:rFonts w:hint="eastAsia" w:hAnsi="宋体" w:cs="黑体"/>
          <w:color w:val="auto"/>
          <w:highlight w:val="none"/>
        </w:rPr>
        <w:t>通知义务</w:t>
      </w:r>
      <w:bookmarkEnd w:id="1207"/>
      <w:bookmarkEnd w:id="1208"/>
      <w:bookmarkEnd w:id="1209"/>
      <w:bookmarkEnd w:id="1210"/>
      <w:bookmarkEnd w:id="1211"/>
      <w:bookmarkEnd w:id="1212"/>
    </w:p>
    <w:p>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color w:val="auto"/>
          <w:highlight w:val="none"/>
          <w:u w:val="single"/>
        </w:rPr>
        <w:t xml:space="preserve"> 按通用条款执行 </w:t>
      </w:r>
      <w:r>
        <w:rPr>
          <w:rFonts w:hint="eastAsia" w:hAnsi="宋体" w:cs="宋体"/>
          <w:color w:val="auto"/>
          <w:highlight w:val="none"/>
        </w:rPr>
        <w:t>。</w:t>
      </w:r>
    </w:p>
    <w:bookmarkEnd w:id="1100"/>
    <w:bookmarkEnd w:id="1101"/>
    <w:bookmarkEnd w:id="1102"/>
    <w:bookmarkEnd w:id="1103"/>
    <w:bookmarkEnd w:id="1104"/>
    <w:bookmarkEnd w:id="1105"/>
    <w:bookmarkEnd w:id="1106"/>
    <w:bookmarkEnd w:id="1107"/>
    <w:bookmarkEnd w:id="1108"/>
    <w:bookmarkEnd w:id="1109"/>
    <w:bookmarkEnd w:id="1110"/>
    <w:bookmarkEnd w:id="1111"/>
    <w:p>
      <w:pPr>
        <w:pStyle w:val="3"/>
        <w:rPr>
          <w:color w:val="auto"/>
          <w:highlight w:val="none"/>
        </w:rPr>
      </w:pPr>
      <w:bookmarkStart w:id="1213" w:name="_Toc351203651"/>
      <w:bookmarkStart w:id="1214" w:name="_Toc373478423"/>
      <w:bookmarkStart w:id="1215" w:name="_Toc407135279"/>
      <w:bookmarkStart w:id="1216" w:name="_Toc389065341"/>
      <w:bookmarkStart w:id="1217" w:name="_Toc373227776"/>
      <w:bookmarkStart w:id="1218" w:name="_Toc17073"/>
      <w:bookmarkStart w:id="1219" w:name="_Toc4104"/>
      <w:r>
        <w:rPr>
          <w:color w:val="auto"/>
          <w:highlight w:val="none"/>
        </w:rPr>
        <w:t xml:space="preserve">20. </w:t>
      </w:r>
      <w:r>
        <w:rPr>
          <w:rFonts w:hint="eastAsia" w:hAnsi="宋体" w:cs="黑体"/>
          <w:color w:val="auto"/>
          <w:highlight w:val="none"/>
        </w:rPr>
        <w:t>争议解决</w:t>
      </w:r>
      <w:bookmarkEnd w:id="1213"/>
      <w:bookmarkEnd w:id="1214"/>
      <w:bookmarkEnd w:id="1215"/>
      <w:bookmarkEnd w:id="1216"/>
      <w:bookmarkEnd w:id="1217"/>
      <w:bookmarkEnd w:id="1218"/>
      <w:bookmarkEnd w:id="1219"/>
    </w:p>
    <w:bookmarkEnd w:id="1112"/>
    <w:bookmarkEnd w:id="1113"/>
    <w:p>
      <w:pPr>
        <w:pStyle w:val="4"/>
        <w:rPr>
          <w:color w:val="auto"/>
          <w:highlight w:val="none"/>
        </w:rPr>
      </w:pPr>
      <w:bookmarkStart w:id="1220" w:name="_Toc373478424"/>
      <w:bookmarkStart w:id="1221" w:name="_Toc407135280"/>
      <w:bookmarkStart w:id="1222" w:name="_Toc10688"/>
      <w:bookmarkStart w:id="1223" w:name="_Toc373227777"/>
      <w:bookmarkStart w:id="1224" w:name="_Toc4069"/>
      <w:bookmarkStart w:id="1225" w:name="_Toc389065342"/>
      <w:r>
        <w:rPr>
          <w:color w:val="auto"/>
          <w:highlight w:val="none"/>
        </w:rPr>
        <w:t xml:space="preserve">20.3 </w:t>
      </w:r>
      <w:r>
        <w:rPr>
          <w:rFonts w:hint="eastAsia" w:hAnsi="宋体" w:cs="黑体"/>
          <w:color w:val="auto"/>
          <w:highlight w:val="none"/>
        </w:rPr>
        <w:t>争</w:t>
      </w:r>
      <w:bookmarkEnd w:id="1114"/>
      <w:r>
        <w:rPr>
          <w:rFonts w:hint="eastAsia" w:hAnsi="宋体" w:cs="黑体"/>
          <w:color w:val="auto"/>
          <w:highlight w:val="none"/>
        </w:rPr>
        <w:t>议评审</w:t>
      </w:r>
      <w:bookmarkEnd w:id="1220"/>
      <w:bookmarkEnd w:id="1221"/>
      <w:bookmarkEnd w:id="1222"/>
      <w:bookmarkEnd w:id="1223"/>
      <w:bookmarkEnd w:id="1224"/>
      <w:bookmarkEnd w:id="1225"/>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outlineLvl w:val="0"/>
        <w:rPr>
          <w:color w:val="auto"/>
          <w:highlight w:val="none"/>
        </w:rPr>
      </w:pPr>
      <w:bookmarkStart w:id="1226" w:name="_Toc23647"/>
      <w:bookmarkStart w:id="1227" w:name="_Toc28310"/>
      <w:r>
        <w:rPr>
          <w:color w:val="auto"/>
          <w:highlight w:val="none"/>
        </w:rPr>
        <w:t xml:space="preserve">20.3.1 </w:t>
      </w:r>
      <w:r>
        <w:rPr>
          <w:rFonts w:hint="eastAsia" w:hAnsi="宋体" w:cs="宋体"/>
          <w:color w:val="auto"/>
          <w:highlight w:val="none"/>
        </w:rPr>
        <w:t>争议评审小组的确定</w:t>
      </w:r>
      <w:bookmarkEnd w:id="1226"/>
      <w:bookmarkEnd w:id="1227"/>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w:t>
      </w:r>
      <w:r>
        <w:rPr>
          <w:color w:val="auto"/>
          <w:highlight w:val="none"/>
          <w:u w:val="single"/>
        </w:rPr>
        <w:t xml:space="preserve">   </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color w:val="auto"/>
          <w:highlight w:val="none"/>
          <w:u w:val="single"/>
        </w:rPr>
        <w:t xml:space="preserve">                           </w:t>
      </w:r>
      <w:r>
        <w:rPr>
          <w:rFonts w:hint="eastAsia" w:hAnsi="宋体" w:cs="宋体"/>
          <w:color w:val="auto"/>
          <w:highlight w:val="none"/>
        </w:rPr>
        <w:t>。</w:t>
      </w:r>
    </w:p>
    <w:p>
      <w:pPr>
        <w:pStyle w:val="4"/>
        <w:rPr>
          <w:color w:val="auto"/>
          <w:highlight w:val="none"/>
        </w:rPr>
      </w:pPr>
      <w:bookmarkStart w:id="1228" w:name="_Toc389065343"/>
      <w:bookmarkStart w:id="1229" w:name="_Toc373478425"/>
      <w:bookmarkStart w:id="1230" w:name="_Toc4130"/>
      <w:bookmarkStart w:id="1231" w:name="_Toc3807"/>
      <w:bookmarkStart w:id="1232" w:name="_Toc373227778"/>
      <w:bookmarkStart w:id="1233" w:name="_Toc407135281"/>
      <w:r>
        <w:rPr>
          <w:color w:val="auto"/>
          <w:highlight w:val="none"/>
        </w:rPr>
        <w:t xml:space="preserve">20.4 </w:t>
      </w:r>
      <w:r>
        <w:rPr>
          <w:rFonts w:hint="eastAsia" w:hAnsi="宋体" w:cs="黑体"/>
          <w:color w:val="auto"/>
          <w:highlight w:val="none"/>
        </w:rPr>
        <w:t>仲裁或诉讼</w:t>
      </w:r>
      <w:bookmarkEnd w:id="1115"/>
      <w:bookmarkEnd w:id="1228"/>
      <w:bookmarkEnd w:id="1229"/>
      <w:bookmarkEnd w:id="1230"/>
      <w:bookmarkEnd w:id="1231"/>
      <w:bookmarkEnd w:id="1232"/>
      <w:bookmarkEnd w:id="1233"/>
    </w:p>
    <w:p>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color w:val="auto"/>
          <w:highlight w:val="none"/>
          <w:u w:val="single"/>
        </w:rPr>
        <w:t xml:space="preserve">   </w:t>
      </w:r>
      <w:r>
        <w:rPr>
          <w:rFonts w:hint="eastAsia"/>
          <w:color w:val="auto"/>
          <w:highlight w:val="none"/>
          <w:u w:val="single"/>
        </w:rPr>
        <w:t>（2）</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color w:val="auto"/>
          <w:highlight w:val="none"/>
          <w:u w:val="single"/>
        </w:rPr>
        <w:t xml:space="preserve">     </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rPr>
          <w:rFonts w:hAnsi="宋体" w:cs="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color w:val="auto"/>
          <w:highlight w:val="none"/>
          <w:u w:val="single"/>
        </w:rPr>
        <w:t>工程所在地</w:t>
      </w:r>
      <w:r>
        <w:rPr>
          <w:color w:val="auto"/>
          <w:highlight w:val="none"/>
          <w:u w:val="single"/>
        </w:rPr>
        <w:t xml:space="preserve">  </w:t>
      </w:r>
      <w:r>
        <w:rPr>
          <w:rFonts w:hint="eastAsia" w:hAnsi="宋体" w:cs="宋体"/>
          <w:color w:val="auto"/>
          <w:highlight w:val="none"/>
        </w:rPr>
        <w:t>人民法院起诉。</w:t>
      </w:r>
      <w:bookmarkEnd w:id="1116"/>
      <w:bookmarkEnd w:id="1117"/>
      <w:bookmarkEnd w:id="1118"/>
      <w:bookmarkEnd w:id="1119"/>
      <w:bookmarkEnd w:id="1120"/>
      <w:bookmarkEnd w:id="1121"/>
    </w:p>
    <w:p>
      <w:pPr>
        <w:pStyle w:val="42"/>
        <w:ind w:firstLine="640"/>
        <w:rPr>
          <w:color w:val="auto"/>
          <w:highlight w:val="none"/>
        </w:rPr>
      </w:pPr>
    </w:p>
    <w:p>
      <w:pPr>
        <w:spacing w:line="360" w:lineRule="auto"/>
        <w:jc w:val="left"/>
        <w:rPr>
          <w:rFonts w:eastAsia="黑体"/>
          <w:b/>
          <w:bCs/>
          <w:color w:val="auto"/>
          <w:sz w:val="28"/>
          <w:szCs w:val="28"/>
          <w:highlight w:val="none"/>
        </w:rPr>
      </w:pPr>
      <w:bookmarkStart w:id="1234" w:name="_Toc351203652"/>
      <w:r>
        <w:rPr>
          <w:rFonts w:hint="eastAsia" w:eastAsia="黑体" w:cs="黑体"/>
          <w:b/>
          <w:bCs/>
          <w:color w:val="auto"/>
          <w:sz w:val="28"/>
          <w:szCs w:val="28"/>
          <w:highlight w:val="none"/>
        </w:rPr>
        <w:t>附件</w:t>
      </w:r>
      <w:bookmarkEnd w:id="1234"/>
    </w:p>
    <w:p>
      <w:pPr>
        <w:spacing w:line="360" w:lineRule="auto"/>
        <w:jc w:val="left"/>
        <w:outlineLvl w:val="0"/>
        <w:rPr>
          <w:rFonts w:ascii="宋体" w:hAnsi="宋体" w:cs="宋体"/>
          <w:color w:val="auto"/>
          <w:highlight w:val="none"/>
        </w:rPr>
      </w:pPr>
      <w:bookmarkStart w:id="1235" w:name="_Toc20652"/>
      <w:bookmarkStart w:id="1236" w:name="_Toc31546"/>
      <w:r>
        <w:rPr>
          <w:rFonts w:hint="eastAsia" w:ascii="宋体" w:hAnsi="宋体" w:cs="宋体"/>
          <w:color w:val="auto"/>
          <w:highlight w:val="none"/>
        </w:rPr>
        <w:t>附件</w:t>
      </w:r>
      <w:r>
        <w:rPr>
          <w:rFonts w:ascii="宋体" w:hAnsi="宋体" w:cs="宋体"/>
          <w:color w:val="auto"/>
          <w:highlight w:val="none"/>
        </w:rPr>
        <w:t>1</w:t>
      </w:r>
      <w:r>
        <w:rPr>
          <w:rFonts w:hint="eastAsia" w:ascii="宋体" w:hAnsi="宋体" w:cs="宋体"/>
          <w:color w:val="auto"/>
          <w:highlight w:val="none"/>
        </w:rPr>
        <w:t>：承包人承揽工程项目一览表</w:t>
      </w:r>
      <w:bookmarkEnd w:id="1235"/>
      <w:bookmarkEnd w:id="1236"/>
    </w:p>
    <w:p>
      <w:pPr>
        <w:spacing w:line="360" w:lineRule="auto"/>
        <w:jc w:val="left"/>
        <w:outlineLvl w:val="0"/>
        <w:rPr>
          <w:rFonts w:ascii="宋体" w:hAnsi="宋体" w:cs="宋体"/>
          <w:color w:val="auto"/>
          <w:highlight w:val="none"/>
        </w:rPr>
      </w:pPr>
      <w:bookmarkStart w:id="1237" w:name="_Toc32694"/>
      <w:bookmarkStart w:id="1238" w:name="_Toc16837"/>
      <w:r>
        <w:rPr>
          <w:rFonts w:ascii="宋体" w:hAnsi="宋体" w:cs="宋体"/>
          <w:color w:val="auto"/>
          <w:highlight w:val="none"/>
        </w:rPr>
        <w:t>附件2：主要建设工程文件目录</w:t>
      </w:r>
      <w:bookmarkEnd w:id="1237"/>
      <w:bookmarkEnd w:id="1238"/>
    </w:p>
    <w:p>
      <w:pPr>
        <w:spacing w:line="360" w:lineRule="auto"/>
        <w:jc w:val="left"/>
        <w:outlineLvl w:val="0"/>
        <w:rPr>
          <w:rFonts w:ascii="宋体" w:hAnsi="宋体" w:cs="宋体"/>
          <w:color w:val="auto"/>
          <w:highlight w:val="none"/>
        </w:rPr>
      </w:pPr>
      <w:bookmarkStart w:id="1239" w:name="_Toc15587"/>
      <w:bookmarkStart w:id="1240" w:name="_Toc17857"/>
      <w:r>
        <w:rPr>
          <w:rFonts w:hint="eastAsia" w:ascii="宋体" w:hAnsi="宋体" w:cs="宋体"/>
          <w:color w:val="auto"/>
          <w:highlight w:val="none"/>
        </w:rPr>
        <w:t>附件</w:t>
      </w:r>
      <w:r>
        <w:rPr>
          <w:rFonts w:ascii="宋体" w:hAnsi="宋体" w:cs="宋体"/>
          <w:color w:val="auto"/>
          <w:highlight w:val="none"/>
        </w:rPr>
        <w:t>3</w:t>
      </w:r>
      <w:r>
        <w:rPr>
          <w:rFonts w:hint="eastAsia" w:ascii="宋体" w:hAnsi="宋体" w:cs="宋体"/>
          <w:color w:val="auto"/>
          <w:highlight w:val="none"/>
        </w:rPr>
        <w:t>：工程质量保修书</w:t>
      </w:r>
    </w:p>
    <w:p>
      <w:pPr>
        <w:spacing w:line="360" w:lineRule="auto"/>
        <w:jc w:val="left"/>
        <w:outlineLvl w:val="0"/>
        <w:rPr>
          <w:rFonts w:ascii="宋体" w:hAnsi="宋体" w:cs="宋体"/>
          <w:color w:val="auto"/>
          <w:highlight w:val="none"/>
        </w:rPr>
      </w:pPr>
      <w:r>
        <w:rPr>
          <w:rFonts w:hint="eastAsia" w:ascii="宋体" w:hAnsi="宋体" w:cs="宋体"/>
          <w:color w:val="auto"/>
          <w:highlight w:val="none"/>
        </w:rPr>
        <w:t>附件4：承包人用于本工程施工的机械设备表</w:t>
      </w:r>
      <w:bookmarkEnd w:id="1239"/>
      <w:bookmarkEnd w:id="1240"/>
    </w:p>
    <w:p>
      <w:pPr>
        <w:spacing w:line="360" w:lineRule="auto"/>
        <w:jc w:val="left"/>
        <w:outlineLvl w:val="0"/>
        <w:rPr>
          <w:rFonts w:ascii="宋体"/>
          <w:color w:val="auto"/>
          <w:highlight w:val="none"/>
        </w:rPr>
      </w:pPr>
      <w:bookmarkStart w:id="1241" w:name="_Toc2030"/>
      <w:bookmarkStart w:id="1242" w:name="_Toc934"/>
      <w:r>
        <w:rPr>
          <w:rFonts w:hint="eastAsia" w:ascii="宋体" w:hAnsi="宋体" w:cs="宋体"/>
          <w:color w:val="auto"/>
          <w:highlight w:val="none"/>
        </w:rPr>
        <w:t>附件5：承包人主要施工管理人员表</w:t>
      </w:r>
      <w:bookmarkEnd w:id="1241"/>
      <w:bookmarkEnd w:id="1242"/>
    </w:p>
    <w:p>
      <w:pPr>
        <w:spacing w:line="360" w:lineRule="auto"/>
        <w:jc w:val="left"/>
        <w:outlineLvl w:val="0"/>
        <w:rPr>
          <w:rFonts w:ascii="宋体"/>
          <w:color w:val="auto"/>
          <w:highlight w:val="none"/>
        </w:rPr>
      </w:pPr>
      <w:bookmarkStart w:id="1243" w:name="_Toc14937"/>
      <w:bookmarkStart w:id="1244" w:name="_Toc15043"/>
      <w:r>
        <w:rPr>
          <w:rFonts w:hint="eastAsia" w:ascii="宋体" w:hAnsi="宋体" w:cs="宋体"/>
          <w:color w:val="auto"/>
          <w:highlight w:val="none"/>
        </w:rPr>
        <w:t>附件6：分包人主要施工管理人员表</w:t>
      </w:r>
      <w:bookmarkEnd w:id="1243"/>
      <w:bookmarkEnd w:id="1244"/>
    </w:p>
    <w:p>
      <w:pPr>
        <w:spacing w:line="360" w:lineRule="auto"/>
        <w:jc w:val="left"/>
        <w:outlineLvl w:val="0"/>
        <w:rPr>
          <w:rFonts w:ascii="宋体"/>
          <w:color w:val="auto"/>
          <w:highlight w:val="none"/>
        </w:rPr>
      </w:pPr>
      <w:bookmarkStart w:id="1245" w:name="_Toc6991"/>
      <w:bookmarkStart w:id="1246" w:name="_Toc21329"/>
      <w:r>
        <w:rPr>
          <w:rFonts w:hint="eastAsia" w:ascii="宋体" w:hAnsi="宋体" w:cs="宋体"/>
          <w:color w:val="auto"/>
          <w:highlight w:val="none"/>
        </w:rPr>
        <w:t>附件7：履约担保格式</w:t>
      </w:r>
      <w:bookmarkEnd w:id="1245"/>
      <w:bookmarkEnd w:id="1246"/>
    </w:p>
    <w:p>
      <w:pPr>
        <w:spacing w:line="360" w:lineRule="auto"/>
        <w:jc w:val="left"/>
        <w:outlineLvl w:val="0"/>
        <w:rPr>
          <w:rFonts w:ascii="宋体" w:hAnsi="宋体" w:cs="宋体"/>
          <w:color w:val="auto"/>
          <w:highlight w:val="none"/>
        </w:rPr>
      </w:pPr>
      <w:bookmarkStart w:id="1247" w:name="_Toc28594"/>
      <w:bookmarkStart w:id="1248" w:name="_Toc9899"/>
      <w:r>
        <w:rPr>
          <w:rFonts w:hint="eastAsia" w:ascii="宋体" w:hAnsi="宋体" w:cs="宋体"/>
          <w:color w:val="auto"/>
          <w:highlight w:val="none"/>
        </w:rPr>
        <w:t>附件8：预付款担保格式</w:t>
      </w:r>
      <w:bookmarkEnd w:id="1247"/>
      <w:bookmarkEnd w:id="1248"/>
    </w:p>
    <w:p>
      <w:pPr>
        <w:spacing w:line="360" w:lineRule="auto"/>
        <w:jc w:val="left"/>
        <w:outlineLvl w:val="0"/>
        <w:rPr>
          <w:color w:val="auto"/>
          <w:highlight w:val="none"/>
        </w:rPr>
      </w:pPr>
      <w:bookmarkStart w:id="1249" w:name="_Toc15585"/>
      <w:bookmarkStart w:id="1250" w:name="_Toc398"/>
      <w:r>
        <w:rPr>
          <w:rFonts w:hint="eastAsia" w:ascii="宋体" w:hAnsi="宋体" w:cs="宋体"/>
          <w:color w:val="auto"/>
          <w:highlight w:val="none"/>
        </w:rPr>
        <w:t>附件</w:t>
      </w:r>
      <w:bookmarkEnd w:id="1249"/>
      <w:bookmarkEnd w:id="1250"/>
      <w:bookmarkStart w:id="1251" w:name="_Toc8948"/>
      <w:bookmarkStart w:id="1252" w:name="_Toc12561"/>
      <w:r>
        <w:rPr>
          <w:rFonts w:hint="eastAsia" w:ascii="宋体" w:hAnsi="宋体" w:cs="宋体"/>
          <w:color w:val="auto"/>
          <w:highlight w:val="none"/>
        </w:rPr>
        <w:t>10：预付款</w:t>
      </w:r>
      <w:r>
        <w:rPr>
          <w:rFonts w:hint="eastAsia"/>
          <w:color w:val="auto"/>
          <w:highlight w:val="none"/>
        </w:rPr>
        <w:t>支付申请（核准）表</w:t>
      </w:r>
      <w:bookmarkEnd w:id="1251"/>
      <w:bookmarkEnd w:id="1252"/>
    </w:p>
    <w:p>
      <w:pPr>
        <w:spacing w:line="360" w:lineRule="auto"/>
        <w:jc w:val="left"/>
        <w:outlineLvl w:val="0"/>
        <w:rPr>
          <w:color w:val="auto"/>
          <w:highlight w:val="none"/>
        </w:rPr>
      </w:pPr>
      <w:bookmarkStart w:id="1253" w:name="_Toc14648"/>
      <w:bookmarkStart w:id="1254" w:name="_Toc28100"/>
      <w:r>
        <w:rPr>
          <w:rFonts w:hint="eastAsia" w:ascii="宋体" w:hAnsi="宋体" w:cs="宋体"/>
          <w:color w:val="auto"/>
          <w:highlight w:val="none"/>
        </w:rPr>
        <w:t>附件11：</w:t>
      </w:r>
      <w:r>
        <w:rPr>
          <w:rFonts w:hint="eastAsia"/>
          <w:color w:val="auto"/>
          <w:highlight w:val="none"/>
        </w:rPr>
        <w:t>进度款支付申请（核准）表</w:t>
      </w:r>
      <w:bookmarkEnd w:id="1253"/>
      <w:bookmarkEnd w:id="1254"/>
    </w:p>
    <w:p>
      <w:pPr>
        <w:spacing w:line="360" w:lineRule="auto"/>
        <w:jc w:val="left"/>
        <w:outlineLvl w:val="0"/>
        <w:rPr>
          <w:color w:val="auto"/>
          <w:highlight w:val="none"/>
        </w:rPr>
      </w:pPr>
      <w:bookmarkStart w:id="1255" w:name="_Toc28863"/>
      <w:bookmarkStart w:id="1256" w:name="_Toc19146"/>
      <w:r>
        <w:rPr>
          <w:rFonts w:hint="eastAsia" w:ascii="宋体" w:hAnsi="宋体" w:cs="宋体"/>
          <w:color w:val="auto"/>
          <w:highlight w:val="none"/>
        </w:rPr>
        <w:t>附件12：竣工结算</w:t>
      </w:r>
      <w:r>
        <w:rPr>
          <w:rFonts w:hint="eastAsia"/>
          <w:color w:val="auto"/>
          <w:highlight w:val="none"/>
        </w:rPr>
        <w:t>款支付申请（核准）表</w:t>
      </w:r>
      <w:bookmarkEnd w:id="1255"/>
      <w:bookmarkEnd w:id="1256"/>
    </w:p>
    <w:p>
      <w:pPr>
        <w:spacing w:line="360" w:lineRule="auto"/>
        <w:jc w:val="left"/>
        <w:outlineLvl w:val="0"/>
        <w:rPr>
          <w:color w:val="auto"/>
          <w:highlight w:val="none"/>
        </w:rPr>
      </w:pPr>
      <w:bookmarkStart w:id="1257" w:name="_Toc20336"/>
      <w:bookmarkStart w:id="1258" w:name="_Toc11321"/>
      <w:r>
        <w:rPr>
          <w:rFonts w:hint="eastAsia" w:ascii="宋体" w:hAnsi="宋体" w:cs="宋体"/>
          <w:color w:val="auto"/>
          <w:highlight w:val="none"/>
        </w:rPr>
        <w:t>附件13：最终结算</w:t>
      </w:r>
      <w:r>
        <w:rPr>
          <w:rFonts w:hint="eastAsia"/>
          <w:color w:val="auto"/>
          <w:highlight w:val="none"/>
        </w:rPr>
        <w:t>款支付申请（核准）表</w:t>
      </w:r>
      <w:bookmarkEnd w:id="1257"/>
      <w:bookmarkEnd w:id="1258"/>
    </w:p>
    <w:p>
      <w:pPr>
        <w:spacing w:line="360" w:lineRule="auto"/>
        <w:jc w:val="left"/>
        <w:outlineLvl w:val="0"/>
        <w:rPr>
          <w:color w:val="auto"/>
          <w:highlight w:val="none"/>
        </w:rPr>
      </w:pPr>
      <w:bookmarkStart w:id="1259" w:name="_Toc8310"/>
      <w:bookmarkStart w:id="1260" w:name="_Toc12061"/>
      <w:r>
        <w:rPr>
          <w:rFonts w:hint="eastAsia"/>
          <w:color w:val="auto"/>
          <w:highlight w:val="none"/>
        </w:rPr>
        <w:t>附件14：总价合同进度款支付分解表</w:t>
      </w:r>
      <w:bookmarkEnd w:id="1259"/>
      <w:bookmarkEnd w:id="1260"/>
    </w:p>
    <w:p>
      <w:pPr>
        <w:spacing w:line="360" w:lineRule="auto"/>
        <w:jc w:val="left"/>
        <w:outlineLvl w:val="0"/>
        <w:rPr>
          <w:color w:val="auto"/>
          <w:highlight w:val="none"/>
        </w:rPr>
      </w:pPr>
      <w:r>
        <w:rPr>
          <w:rFonts w:hint="eastAsia"/>
          <w:color w:val="auto"/>
          <w:highlight w:val="none"/>
        </w:rPr>
        <w:t>附件15：安全生产协议书</w:t>
      </w:r>
    </w:p>
    <w:p>
      <w:pPr>
        <w:spacing w:line="360" w:lineRule="auto"/>
        <w:jc w:val="left"/>
        <w:outlineLvl w:val="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sectPr>
          <w:footerReference r:id="rId9" w:type="default"/>
          <w:pgSz w:w="11907" w:h="16840"/>
          <w:pgMar w:top="1440" w:right="1440" w:bottom="1440" w:left="1797" w:header="851" w:footer="851" w:gutter="0"/>
          <w:pgNumType w:fmt="decimal"/>
          <w:cols w:space="720" w:num="1"/>
          <w:docGrid w:linePitch="312" w:charSpace="0"/>
        </w:sectPr>
      </w:pPr>
    </w:p>
    <w:p>
      <w:pPr>
        <w:spacing w:before="120" w:beforeLines="50" w:after="120" w:afterLines="50" w:line="440" w:lineRule="exact"/>
        <w:jc w:val="left"/>
        <w:outlineLvl w:val="0"/>
        <w:rPr>
          <w:rFonts w:ascii="仿宋_GB2312" w:eastAsia="仿宋_GB2312"/>
          <w:color w:val="auto"/>
          <w:sz w:val="30"/>
          <w:szCs w:val="30"/>
          <w:highlight w:val="none"/>
        </w:rPr>
      </w:pPr>
      <w:bookmarkStart w:id="1261" w:name="_Toc14888"/>
      <w:bookmarkStart w:id="1262" w:name="_Toc13294"/>
      <w:r>
        <w:rPr>
          <w:rFonts w:hint="eastAsia" w:ascii="仿宋_GB2312" w:eastAsia="仿宋_GB2312" w:cs="仿宋_GB2312"/>
          <w:color w:val="auto"/>
          <w:sz w:val="30"/>
          <w:szCs w:val="30"/>
          <w:highlight w:val="none"/>
        </w:rPr>
        <w:t>附件</w:t>
      </w:r>
      <w:r>
        <w:rPr>
          <w:rFonts w:ascii="仿宋_GB2312" w:eastAsia="仿宋_GB2312" w:cs="仿宋_GB2312"/>
          <w:color w:val="auto"/>
          <w:sz w:val="30"/>
          <w:szCs w:val="30"/>
          <w:highlight w:val="none"/>
        </w:rPr>
        <w:t>1</w:t>
      </w:r>
      <w:r>
        <w:rPr>
          <w:rFonts w:hint="eastAsia" w:ascii="仿宋_GB2312" w:eastAsia="仿宋_GB2312" w:cs="仿宋_GB2312"/>
          <w:color w:val="auto"/>
          <w:sz w:val="30"/>
          <w:szCs w:val="30"/>
          <w:highlight w:val="none"/>
        </w:rPr>
        <w:t>：</w:t>
      </w:r>
      <w:bookmarkEnd w:id="1261"/>
      <w:bookmarkEnd w:id="1262"/>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承包人承揽工程项目一览表</w:t>
      </w:r>
    </w:p>
    <w:tbl>
      <w:tblPr>
        <w:tblStyle w:val="43"/>
        <w:tblW w:w="138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40"/>
        <w:gridCol w:w="1440"/>
        <w:gridCol w:w="1620"/>
        <w:gridCol w:w="1661"/>
        <w:gridCol w:w="850"/>
        <w:gridCol w:w="1560"/>
        <w:gridCol w:w="2126"/>
        <w:gridCol w:w="1417"/>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44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单位工程名称</w:t>
            </w:r>
          </w:p>
        </w:tc>
        <w:tc>
          <w:tcPr>
            <w:tcW w:w="144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建设规模</w:t>
            </w:r>
          </w:p>
        </w:tc>
        <w:tc>
          <w:tcPr>
            <w:tcW w:w="162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建筑面积</w:t>
            </w:r>
            <w:r>
              <w:rPr>
                <w:rFonts w:eastAsia="仿宋_GB2312"/>
                <w:color w:val="auto"/>
                <w:sz w:val="28"/>
                <w:szCs w:val="28"/>
                <w:highlight w:val="none"/>
              </w:rPr>
              <w:t>(</w:t>
            </w:r>
            <w:r>
              <w:rPr>
                <w:rFonts w:hint="eastAsia" w:eastAsia="仿宋_GB2312" w:cs="仿宋_GB2312"/>
                <w:color w:val="auto"/>
                <w:sz w:val="28"/>
                <w:szCs w:val="28"/>
                <w:highlight w:val="none"/>
              </w:rPr>
              <w:t>平方米</w:t>
            </w:r>
            <w:r>
              <w:rPr>
                <w:rFonts w:eastAsia="仿宋_GB2312"/>
                <w:color w:val="auto"/>
                <w:sz w:val="28"/>
                <w:szCs w:val="28"/>
                <w:highlight w:val="none"/>
              </w:rPr>
              <w:t>)</w:t>
            </w:r>
          </w:p>
        </w:tc>
        <w:tc>
          <w:tcPr>
            <w:tcW w:w="166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结构形式</w:t>
            </w:r>
          </w:p>
        </w:tc>
        <w:tc>
          <w:tcPr>
            <w:tcW w:w="85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层数</w:t>
            </w:r>
          </w:p>
        </w:tc>
        <w:tc>
          <w:tcPr>
            <w:tcW w:w="156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2126"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设备安装内容</w:t>
            </w:r>
          </w:p>
        </w:tc>
        <w:tc>
          <w:tcPr>
            <w:tcW w:w="1417"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合同价格（元）</w:t>
            </w:r>
          </w:p>
        </w:tc>
        <w:tc>
          <w:tcPr>
            <w:tcW w:w="85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开工日期</w:t>
            </w:r>
          </w:p>
        </w:tc>
        <w:tc>
          <w:tcPr>
            <w:tcW w:w="85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竣工日期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440" w:type="dxa"/>
            <w:vAlign w:val="center"/>
          </w:tcPr>
          <w:p>
            <w:pPr>
              <w:pStyle w:val="18"/>
              <w:keepNext/>
              <w:spacing w:after="0" w:line="440" w:lineRule="exact"/>
              <w:ind w:left="63" w:right="63"/>
              <w:rPr>
                <w:rFonts w:eastAsia="仿宋_GB2312"/>
                <w:color w:val="auto"/>
                <w:sz w:val="30"/>
                <w:szCs w:val="30"/>
                <w:highlight w:val="none"/>
              </w:rPr>
            </w:pPr>
          </w:p>
        </w:tc>
        <w:tc>
          <w:tcPr>
            <w:tcW w:w="1620" w:type="dxa"/>
            <w:vAlign w:val="center"/>
          </w:tcPr>
          <w:p>
            <w:pPr>
              <w:pStyle w:val="18"/>
              <w:keepNext/>
              <w:spacing w:after="0" w:line="440" w:lineRule="exact"/>
              <w:ind w:left="63" w:right="63"/>
              <w:rPr>
                <w:rFonts w:eastAsia="仿宋_GB2312"/>
                <w:color w:val="auto"/>
                <w:sz w:val="30"/>
                <w:szCs w:val="30"/>
                <w:highlight w:val="none"/>
              </w:rPr>
            </w:pPr>
          </w:p>
        </w:tc>
        <w:tc>
          <w:tcPr>
            <w:tcW w:w="166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560" w:type="dxa"/>
            <w:vAlign w:val="center"/>
          </w:tcPr>
          <w:p>
            <w:pPr>
              <w:pStyle w:val="18"/>
              <w:keepNext/>
              <w:spacing w:after="0" w:line="440" w:lineRule="exact"/>
              <w:ind w:left="63" w:right="63"/>
              <w:rPr>
                <w:rFonts w:eastAsia="仿宋_GB2312"/>
                <w:color w:val="auto"/>
                <w:sz w:val="30"/>
                <w:szCs w:val="30"/>
                <w:highlight w:val="none"/>
              </w:rPr>
            </w:pPr>
          </w:p>
        </w:tc>
        <w:tc>
          <w:tcPr>
            <w:tcW w:w="2126" w:type="dxa"/>
            <w:vAlign w:val="center"/>
          </w:tcPr>
          <w:p>
            <w:pPr>
              <w:pStyle w:val="18"/>
              <w:keepNext/>
              <w:spacing w:after="0" w:line="440" w:lineRule="exact"/>
              <w:ind w:left="63" w:right="63"/>
              <w:rPr>
                <w:rFonts w:eastAsia="仿宋_GB2312"/>
                <w:color w:val="auto"/>
                <w:sz w:val="30"/>
                <w:szCs w:val="30"/>
                <w:highlight w:val="none"/>
              </w:rPr>
            </w:pPr>
          </w:p>
        </w:tc>
        <w:tc>
          <w:tcPr>
            <w:tcW w:w="1417" w:type="dxa"/>
            <w:vAlign w:val="center"/>
          </w:tcPr>
          <w:p>
            <w:pPr>
              <w:pStyle w:val="18"/>
              <w:keepNext/>
              <w:spacing w:after="0" w:line="440" w:lineRule="exact"/>
              <w:ind w:left="63" w:right="63"/>
              <w:rPr>
                <w:rFonts w:eastAsia="仿宋_GB2312"/>
                <w:color w:val="auto"/>
                <w:sz w:val="30"/>
                <w:szCs w:val="30"/>
                <w:highlight w:val="none"/>
              </w:rPr>
            </w:pPr>
          </w:p>
        </w:tc>
        <w:tc>
          <w:tcPr>
            <w:tcW w:w="851"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r>
    </w:tbl>
    <w:p>
      <w:pPr>
        <w:spacing w:line="460" w:lineRule="exact"/>
        <w:rPr>
          <w:color w:val="auto"/>
          <w:highlight w:val="none"/>
        </w:rPr>
      </w:pPr>
    </w:p>
    <w:p>
      <w:pPr>
        <w:spacing w:line="460" w:lineRule="exact"/>
        <w:ind w:firstLine="420" w:firstLineChars="200"/>
        <w:rPr>
          <w:color w:val="auto"/>
          <w:highlight w:val="none"/>
        </w:rPr>
        <w:sectPr>
          <w:pgSz w:w="16840" w:h="11907" w:orient="landscape"/>
          <w:pgMar w:top="1440" w:right="1440" w:bottom="1440" w:left="1797" w:header="851" w:footer="851" w:gutter="0"/>
          <w:pgNumType w:fmt="decimal"/>
          <w:cols w:space="720" w:num="1"/>
          <w:docGrid w:linePitch="312" w:charSpace="0"/>
        </w:sectPr>
      </w:pPr>
    </w:p>
    <w:p>
      <w:pPr>
        <w:spacing w:line="440" w:lineRule="exact"/>
        <w:outlineLvl w:val="0"/>
        <w:rPr>
          <w:rFonts w:eastAsia="黑体"/>
          <w:color w:val="auto"/>
          <w:sz w:val="30"/>
          <w:szCs w:val="30"/>
          <w:highlight w:val="none"/>
        </w:rPr>
      </w:pPr>
      <w:bookmarkStart w:id="1263" w:name="_Toc15467"/>
      <w:bookmarkStart w:id="1264" w:name="_Toc518"/>
      <w:r>
        <w:rPr>
          <w:rFonts w:eastAsia="仿宋_GB2312"/>
          <w:color w:val="auto"/>
          <w:sz w:val="30"/>
          <w:szCs w:val="30"/>
          <w:highlight w:val="none"/>
        </w:rPr>
        <w:t>附件2：</w:t>
      </w:r>
      <w:bookmarkEnd w:id="1263"/>
      <w:bookmarkEnd w:id="1264"/>
    </w:p>
    <w:p>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43"/>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vAlign w:val="center"/>
          </w:tcPr>
          <w:p>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vAlign w:val="center"/>
          </w:tcPr>
          <w:p>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vAlign w:val="center"/>
          </w:tcPr>
          <w:p>
            <w:pPr>
              <w:pStyle w:val="18"/>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tcPr>
          <w:p>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8"/>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vAlign w:val="center"/>
          </w:tcPr>
          <w:p>
            <w:pPr>
              <w:pStyle w:val="1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18"/>
              <w:keepNext/>
              <w:spacing w:after="0"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vAlign w:val="center"/>
          </w:tcPr>
          <w:p>
            <w:pPr>
              <w:pStyle w:val="18"/>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vAlign w:val="center"/>
          </w:tcPr>
          <w:p>
            <w:pPr>
              <w:pStyle w:val="18"/>
              <w:keepNext/>
              <w:spacing w:after="0"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8"/>
              <w:keepNext/>
              <w:spacing w:after="0" w:line="440" w:lineRule="exact"/>
              <w:ind w:left="63" w:right="63"/>
              <w:rPr>
                <w:rFonts w:eastAsia="仿宋_GB2312"/>
                <w:color w:val="auto"/>
                <w:sz w:val="30"/>
                <w:szCs w:val="30"/>
                <w:highlight w:val="none"/>
              </w:rPr>
            </w:pPr>
          </w:p>
        </w:tc>
        <w:tc>
          <w:tcPr>
            <w:tcW w:w="1276" w:type="dxa"/>
            <w:tcBorders>
              <w:top w:val="nil"/>
            </w:tcBorders>
            <w:vAlign w:val="center"/>
          </w:tcPr>
          <w:p>
            <w:pPr>
              <w:pStyle w:val="18"/>
              <w:keepNext/>
              <w:spacing w:after="0" w:line="440" w:lineRule="exact"/>
              <w:ind w:left="63" w:right="63"/>
              <w:rPr>
                <w:rFonts w:eastAsia="仿宋_GB2312"/>
                <w:color w:val="auto"/>
                <w:sz w:val="30"/>
                <w:szCs w:val="30"/>
                <w:highlight w:val="none"/>
              </w:rPr>
            </w:pPr>
          </w:p>
        </w:tc>
        <w:tc>
          <w:tcPr>
            <w:tcW w:w="1450" w:type="dxa"/>
            <w:tcBorders>
              <w:top w:val="nil"/>
            </w:tcBorders>
            <w:vAlign w:val="center"/>
          </w:tcPr>
          <w:p>
            <w:pPr>
              <w:pStyle w:val="18"/>
              <w:keepNext/>
              <w:spacing w:after="0" w:line="440" w:lineRule="exact"/>
              <w:ind w:left="63" w:right="63"/>
              <w:rPr>
                <w:rFonts w:eastAsia="仿宋_GB2312"/>
                <w:color w:val="auto"/>
                <w:sz w:val="30"/>
                <w:szCs w:val="30"/>
                <w:highlight w:val="none"/>
              </w:rPr>
            </w:pPr>
          </w:p>
        </w:tc>
        <w:tc>
          <w:tcPr>
            <w:tcW w:w="1243" w:type="dxa"/>
            <w:tcBorders>
              <w:top w:val="nil"/>
            </w:tcBorders>
            <w:vAlign w:val="center"/>
          </w:tcPr>
          <w:p>
            <w:pPr>
              <w:pStyle w:val="18"/>
              <w:keepNext/>
              <w:spacing w:after="0" w:line="440" w:lineRule="exact"/>
              <w:ind w:left="63" w:right="63"/>
              <w:rPr>
                <w:rFonts w:eastAsia="仿宋_GB2312"/>
                <w:color w:val="auto"/>
                <w:sz w:val="30"/>
                <w:szCs w:val="30"/>
                <w:highlight w:val="none"/>
              </w:rPr>
            </w:pPr>
          </w:p>
        </w:tc>
        <w:tc>
          <w:tcPr>
            <w:tcW w:w="1450" w:type="dxa"/>
            <w:tcBorders>
              <w:top w:val="nil"/>
            </w:tcBorders>
            <w:vAlign w:val="center"/>
          </w:tcPr>
          <w:p>
            <w:pPr>
              <w:pStyle w:val="18"/>
              <w:keepNext/>
              <w:spacing w:after="0" w:line="440" w:lineRule="exact"/>
              <w:ind w:left="63" w:right="63"/>
              <w:rPr>
                <w:rFonts w:eastAsia="仿宋_GB2312"/>
                <w:color w:val="auto"/>
                <w:sz w:val="30"/>
                <w:szCs w:val="30"/>
                <w:highlight w:val="none"/>
              </w:rPr>
            </w:pPr>
          </w:p>
        </w:tc>
        <w:tc>
          <w:tcPr>
            <w:tcW w:w="1667" w:type="dxa"/>
            <w:tcBorders>
              <w:top w:val="nil"/>
            </w:tcBorders>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after="0" w:line="440" w:lineRule="exact"/>
              <w:ind w:left="63" w:right="63"/>
              <w:rPr>
                <w:rFonts w:eastAsia="仿宋_GB2312"/>
                <w:color w:val="auto"/>
                <w:sz w:val="30"/>
                <w:szCs w:val="30"/>
                <w:highlight w:val="none"/>
              </w:rPr>
            </w:pPr>
          </w:p>
        </w:tc>
        <w:tc>
          <w:tcPr>
            <w:tcW w:w="1276"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243" w:type="dxa"/>
            <w:vAlign w:val="center"/>
          </w:tcPr>
          <w:p>
            <w:pPr>
              <w:pStyle w:val="18"/>
              <w:keepNext/>
              <w:spacing w:after="0" w:line="440" w:lineRule="exact"/>
              <w:ind w:left="63" w:right="63"/>
              <w:rPr>
                <w:rFonts w:eastAsia="仿宋_GB2312"/>
                <w:color w:val="auto"/>
                <w:sz w:val="30"/>
                <w:szCs w:val="30"/>
                <w:highlight w:val="none"/>
              </w:rPr>
            </w:pPr>
          </w:p>
        </w:tc>
        <w:tc>
          <w:tcPr>
            <w:tcW w:w="1450" w:type="dxa"/>
            <w:vAlign w:val="center"/>
          </w:tcPr>
          <w:p>
            <w:pPr>
              <w:pStyle w:val="18"/>
              <w:keepNext/>
              <w:spacing w:after="0" w:line="440" w:lineRule="exact"/>
              <w:ind w:left="63" w:right="63"/>
              <w:rPr>
                <w:rFonts w:eastAsia="仿宋_GB2312"/>
                <w:color w:val="auto"/>
                <w:sz w:val="30"/>
                <w:szCs w:val="30"/>
                <w:highlight w:val="none"/>
              </w:rPr>
            </w:pPr>
          </w:p>
        </w:tc>
        <w:tc>
          <w:tcPr>
            <w:tcW w:w="1667"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rPr>
                <w:rFonts w:eastAsia="仿宋_GB2312"/>
                <w:color w:val="auto"/>
                <w:sz w:val="30"/>
                <w:szCs w:val="30"/>
                <w:highlight w:val="none"/>
              </w:rPr>
            </w:pPr>
          </w:p>
        </w:tc>
        <w:tc>
          <w:tcPr>
            <w:tcW w:w="1276"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243" w:type="dxa"/>
          </w:tcPr>
          <w:p>
            <w:pPr>
              <w:rPr>
                <w:rFonts w:eastAsia="仿宋_GB2312"/>
                <w:color w:val="auto"/>
                <w:sz w:val="30"/>
                <w:szCs w:val="30"/>
                <w:highlight w:val="none"/>
              </w:rPr>
            </w:pPr>
          </w:p>
        </w:tc>
        <w:tc>
          <w:tcPr>
            <w:tcW w:w="1450" w:type="dxa"/>
          </w:tcPr>
          <w:p>
            <w:pPr>
              <w:rPr>
                <w:rFonts w:eastAsia="仿宋_GB2312"/>
                <w:color w:val="auto"/>
                <w:sz w:val="30"/>
                <w:szCs w:val="30"/>
                <w:highlight w:val="none"/>
              </w:rPr>
            </w:pPr>
          </w:p>
        </w:tc>
        <w:tc>
          <w:tcPr>
            <w:tcW w:w="1667" w:type="dxa"/>
          </w:tcPr>
          <w:p>
            <w:pPr>
              <w:rPr>
                <w:rFonts w:eastAsia="仿宋_GB2312"/>
                <w:color w:val="auto"/>
                <w:sz w:val="30"/>
                <w:szCs w:val="30"/>
                <w:highlight w:val="none"/>
              </w:rPr>
            </w:pPr>
          </w:p>
        </w:tc>
      </w:tr>
    </w:tbl>
    <w:p>
      <w:pPr>
        <w:spacing w:line="440" w:lineRule="exact"/>
        <w:rPr>
          <w:rFonts w:eastAsia="仿宋_GB2312"/>
          <w:color w:val="auto"/>
          <w:sz w:val="30"/>
          <w:szCs w:val="30"/>
          <w:highlight w:val="none"/>
        </w:rPr>
      </w:pPr>
    </w:p>
    <w:p>
      <w:pPr>
        <w:spacing w:line="440" w:lineRule="exact"/>
        <w:outlineLvl w:val="0"/>
        <w:rPr>
          <w:rFonts w:eastAsia="黑体"/>
          <w:color w:val="auto"/>
          <w:sz w:val="30"/>
          <w:szCs w:val="30"/>
          <w:highlight w:val="none"/>
        </w:rPr>
      </w:pPr>
      <w:r>
        <w:rPr>
          <w:rFonts w:eastAsia="仿宋_GB2312"/>
          <w:color w:val="auto"/>
          <w:sz w:val="30"/>
          <w:szCs w:val="30"/>
          <w:highlight w:val="none"/>
        </w:rPr>
        <w:br w:type="page"/>
      </w:r>
      <w:bookmarkStart w:id="1265" w:name="_Toc31195"/>
      <w:bookmarkStart w:id="1266" w:name="_Toc24564"/>
      <w:r>
        <w:rPr>
          <w:rFonts w:eastAsia="仿宋_GB2312"/>
          <w:color w:val="auto"/>
          <w:sz w:val="30"/>
          <w:szCs w:val="30"/>
          <w:highlight w:val="none"/>
        </w:rPr>
        <w:t>附件</w:t>
      </w:r>
      <w:r>
        <w:rPr>
          <w:rFonts w:hint="eastAsia" w:eastAsia="仿宋_GB2312"/>
          <w:color w:val="auto"/>
          <w:sz w:val="30"/>
          <w:szCs w:val="30"/>
          <w:highlight w:val="none"/>
        </w:rPr>
        <w:t>3</w:t>
      </w:r>
      <w:r>
        <w:rPr>
          <w:rFonts w:eastAsia="仿宋_GB2312"/>
          <w:color w:val="auto"/>
          <w:sz w:val="30"/>
          <w:szCs w:val="30"/>
          <w:highlight w:val="none"/>
        </w:rPr>
        <w:t>：</w:t>
      </w:r>
    </w:p>
    <w:p>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rPr>
          <w:rFonts w:ascii="宋体"/>
          <w:color w:val="auto"/>
          <w:highlight w:val="none"/>
        </w:rPr>
      </w:pPr>
    </w:p>
    <w:p>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s="宋体"/>
          <w:color w:val="auto"/>
          <w:highlight w:val="none"/>
        </w:rPr>
        <w:t>年（建议桥梁隧道主体结构工程为设计文件规定的合理使用年限）；</w:t>
      </w:r>
    </w:p>
    <w:p>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color w:val="auto"/>
          <w:highlight w:val="none"/>
          <w:u w:val="single"/>
        </w:rPr>
        <w:t xml:space="preserve">    </w:t>
      </w:r>
      <w:r>
        <w:rPr>
          <w:rFonts w:hint="eastAsia" w:cs="宋体"/>
          <w:color w:val="auto"/>
          <w:highlight w:val="none"/>
          <w:u w:val="single"/>
        </w:rPr>
        <w:t>年</w:t>
      </w:r>
      <w:r>
        <w:rPr>
          <w:rFonts w:hint="eastAsia" w:cs="宋体"/>
          <w:color w:val="auto"/>
          <w:highlight w:val="none"/>
        </w:rPr>
        <w:t>；</w:t>
      </w:r>
    </w:p>
    <w:p>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s="宋体"/>
          <w:color w:val="auto"/>
          <w:highlight w:val="none"/>
        </w:rPr>
        <w:t>年；</w:t>
      </w:r>
    </w:p>
    <w:p>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pPr>
        <w:spacing w:line="360" w:lineRule="auto"/>
        <w:ind w:firstLine="420" w:firstLineChars="200"/>
        <w:rPr>
          <w:rFonts w:ascii="黑体" w:hAnsi="宋体" w:eastAsia="黑体" w:cs="黑体"/>
          <w:color w:val="auto"/>
          <w:highlight w:val="none"/>
          <w:u w:val="singl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p>
    <w:p>
      <w:pPr>
        <w:spacing w:line="360" w:lineRule="auto"/>
        <w:jc w:val="left"/>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pPr>
        <w:spacing w:line="360" w:lineRule="auto"/>
        <w:ind w:firstLine="420"/>
        <w:rPr>
          <w:rFonts w:ascii="宋体"/>
          <w:color w:val="auto"/>
          <w:highlight w:val="none"/>
        </w:rPr>
      </w:pPr>
    </w:p>
    <w:p>
      <w:pPr>
        <w:spacing w:line="360" w:lineRule="auto"/>
        <w:ind w:firstLine="420"/>
        <w:rPr>
          <w:rFonts w:ascii="宋体"/>
          <w:color w:val="auto"/>
          <w:highlight w:val="none"/>
        </w:rPr>
      </w:pPr>
    </w:p>
    <w:p>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rFonts w:asci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pPr>
        <w:spacing w:line="440" w:lineRule="exact"/>
        <w:outlineLvl w:val="0"/>
        <w:rPr>
          <w:rFonts w:eastAsia="仿宋_GB2312" w:cs="仿宋_GB2312"/>
          <w:color w:val="auto"/>
          <w:sz w:val="30"/>
          <w:szCs w:val="30"/>
          <w:highlight w:val="none"/>
        </w:rPr>
      </w:pPr>
    </w:p>
    <w:p>
      <w:pPr>
        <w:rPr>
          <w:rFonts w:hint="eastAsia" w:eastAsia="仿宋_GB2312" w:cs="仿宋_GB2312"/>
          <w:color w:val="auto"/>
          <w:sz w:val="30"/>
          <w:szCs w:val="30"/>
          <w:highlight w:val="none"/>
        </w:rPr>
      </w:pPr>
      <w:r>
        <w:rPr>
          <w:rFonts w:hint="eastAsia" w:eastAsia="仿宋_GB2312" w:cs="仿宋_GB2312"/>
          <w:color w:val="auto"/>
          <w:sz w:val="30"/>
          <w:szCs w:val="30"/>
          <w:highlight w:val="none"/>
        </w:rPr>
        <w:br w:type="page"/>
      </w:r>
    </w:p>
    <w:p>
      <w:pPr>
        <w:spacing w:line="440" w:lineRule="exact"/>
        <w:outlineLvl w:val="0"/>
        <w:rPr>
          <w:rFonts w:eastAsia="黑体"/>
          <w:color w:val="auto"/>
          <w:sz w:val="30"/>
          <w:szCs w:val="30"/>
          <w:highlight w:val="none"/>
        </w:rPr>
      </w:pPr>
      <w:r>
        <w:rPr>
          <w:rFonts w:hint="eastAsia" w:eastAsia="仿宋_GB2312" w:cs="仿宋_GB2312"/>
          <w:color w:val="auto"/>
          <w:sz w:val="30"/>
          <w:szCs w:val="30"/>
          <w:highlight w:val="none"/>
        </w:rPr>
        <w:t>附件</w:t>
      </w:r>
      <w:r>
        <w:rPr>
          <w:rFonts w:hint="eastAsia" w:eastAsia="仿宋_GB2312"/>
          <w:color w:val="auto"/>
          <w:sz w:val="30"/>
          <w:szCs w:val="30"/>
          <w:highlight w:val="none"/>
        </w:rPr>
        <w:t>4</w:t>
      </w:r>
      <w:r>
        <w:rPr>
          <w:rFonts w:hint="eastAsia" w:eastAsia="仿宋_GB2312" w:cs="仿宋_GB2312"/>
          <w:color w:val="auto"/>
          <w:sz w:val="30"/>
          <w:szCs w:val="30"/>
          <w:highlight w:val="none"/>
        </w:rPr>
        <w:t>：</w:t>
      </w:r>
      <w:bookmarkEnd w:id="1265"/>
      <w:bookmarkEnd w:id="1266"/>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承包人用于本工程施工的机械设备表</w:t>
      </w:r>
    </w:p>
    <w:tbl>
      <w:tblPr>
        <w:tblStyle w:val="43"/>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162"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序号</w:t>
            </w:r>
          </w:p>
        </w:tc>
        <w:tc>
          <w:tcPr>
            <w:tcW w:w="1418"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机械或设备名称</w:t>
            </w:r>
          </w:p>
        </w:tc>
        <w:tc>
          <w:tcPr>
            <w:tcW w:w="85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规格型号</w:t>
            </w:r>
          </w:p>
        </w:tc>
        <w:tc>
          <w:tcPr>
            <w:tcW w:w="1058"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数量</w:t>
            </w:r>
          </w:p>
        </w:tc>
        <w:tc>
          <w:tcPr>
            <w:tcW w:w="88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产地</w:t>
            </w:r>
          </w:p>
        </w:tc>
        <w:tc>
          <w:tcPr>
            <w:tcW w:w="102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制造年份</w:t>
            </w:r>
          </w:p>
        </w:tc>
        <w:tc>
          <w:tcPr>
            <w:tcW w:w="148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额定功率（</w:t>
            </w:r>
            <w:r>
              <w:rPr>
                <w:rFonts w:eastAsia="仿宋_GB2312"/>
                <w:color w:val="auto"/>
                <w:sz w:val="28"/>
                <w:szCs w:val="28"/>
                <w:highlight w:val="none"/>
              </w:rPr>
              <w:t>kW</w:t>
            </w:r>
            <w:r>
              <w:rPr>
                <w:rFonts w:hint="eastAsia" w:eastAsia="仿宋_GB2312" w:cs="仿宋_GB2312"/>
                <w:color w:val="auto"/>
                <w:sz w:val="28"/>
                <w:szCs w:val="28"/>
                <w:highlight w:val="none"/>
              </w:rPr>
              <w:t>）</w:t>
            </w:r>
          </w:p>
        </w:tc>
        <w:tc>
          <w:tcPr>
            <w:tcW w:w="1020"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生产能力</w:t>
            </w:r>
          </w:p>
        </w:tc>
        <w:tc>
          <w:tcPr>
            <w:tcW w:w="92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after="0" w:line="440" w:lineRule="exact"/>
              <w:ind w:left="63" w:right="63"/>
              <w:rPr>
                <w:rFonts w:eastAsia="仿宋_GB2312"/>
                <w:color w:val="auto"/>
                <w:sz w:val="30"/>
                <w:szCs w:val="30"/>
                <w:highlight w:val="none"/>
              </w:rPr>
            </w:pPr>
          </w:p>
        </w:tc>
        <w:tc>
          <w:tcPr>
            <w:tcW w:w="1418" w:type="dxa"/>
            <w:vAlign w:val="center"/>
          </w:tcPr>
          <w:p>
            <w:pPr>
              <w:pStyle w:val="18"/>
              <w:keepNext/>
              <w:spacing w:after="0" w:line="440" w:lineRule="exact"/>
              <w:ind w:left="63" w:right="63"/>
              <w:rPr>
                <w:rFonts w:eastAsia="仿宋_GB2312"/>
                <w:color w:val="auto"/>
                <w:sz w:val="30"/>
                <w:szCs w:val="30"/>
                <w:highlight w:val="none"/>
              </w:rPr>
            </w:pPr>
          </w:p>
        </w:tc>
        <w:tc>
          <w:tcPr>
            <w:tcW w:w="850" w:type="dxa"/>
            <w:vAlign w:val="center"/>
          </w:tcPr>
          <w:p>
            <w:pPr>
              <w:pStyle w:val="18"/>
              <w:keepNext/>
              <w:spacing w:after="0" w:line="440" w:lineRule="exact"/>
              <w:ind w:left="63" w:right="63"/>
              <w:rPr>
                <w:rFonts w:eastAsia="仿宋_GB2312"/>
                <w:color w:val="auto"/>
                <w:sz w:val="30"/>
                <w:szCs w:val="30"/>
                <w:highlight w:val="none"/>
              </w:rPr>
            </w:pPr>
          </w:p>
        </w:tc>
        <w:tc>
          <w:tcPr>
            <w:tcW w:w="1058" w:type="dxa"/>
            <w:vAlign w:val="center"/>
          </w:tcPr>
          <w:p>
            <w:pPr>
              <w:pStyle w:val="18"/>
              <w:keepNext/>
              <w:spacing w:after="0" w:line="440" w:lineRule="exact"/>
              <w:ind w:left="63" w:right="63"/>
              <w:rPr>
                <w:rFonts w:eastAsia="仿宋_GB2312"/>
                <w:color w:val="auto"/>
                <w:sz w:val="30"/>
                <w:szCs w:val="30"/>
                <w:highlight w:val="none"/>
              </w:rPr>
            </w:pPr>
          </w:p>
        </w:tc>
        <w:tc>
          <w:tcPr>
            <w:tcW w:w="8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1480" w:type="dxa"/>
            <w:vAlign w:val="center"/>
          </w:tcPr>
          <w:p>
            <w:pPr>
              <w:pStyle w:val="18"/>
              <w:keepNext/>
              <w:spacing w:after="0" w:line="440" w:lineRule="exact"/>
              <w:ind w:left="63" w:right="63"/>
              <w:rPr>
                <w:rFonts w:eastAsia="仿宋_GB2312"/>
                <w:color w:val="auto"/>
                <w:sz w:val="30"/>
                <w:szCs w:val="30"/>
                <w:highlight w:val="none"/>
              </w:rPr>
            </w:pPr>
          </w:p>
        </w:tc>
        <w:tc>
          <w:tcPr>
            <w:tcW w:w="1020" w:type="dxa"/>
            <w:vAlign w:val="center"/>
          </w:tcPr>
          <w:p>
            <w:pPr>
              <w:pStyle w:val="18"/>
              <w:keepNext/>
              <w:spacing w:after="0" w:line="440" w:lineRule="exact"/>
              <w:ind w:left="63" w:right="63"/>
              <w:rPr>
                <w:rFonts w:eastAsia="仿宋_GB2312"/>
                <w:color w:val="auto"/>
                <w:sz w:val="30"/>
                <w:szCs w:val="30"/>
                <w:highlight w:val="none"/>
              </w:rPr>
            </w:pPr>
          </w:p>
        </w:tc>
        <w:tc>
          <w:tcPr>
            <w:tcW w:w="921"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r>
        <w:tblPrEx>
          <w:tblLayout w:type="fixed"/>
          <w:tblCellMar>
            <w:top w:w="0" w:type="dxa"/>
            <w:left w:w="28" w:type="dxa"/>
            <w:bottom w:w="0" w:type="dxa"/>
            <w:right w:w="28" w:type="dxa"/>
          </w:tblCellMar>
        </w:tblPrEx>
        <w:trPr>
          <w:trHeight w:val="567" w:hRule="atLeast"/>
          <w:jc w:val="center"/>
        </w:trPr>
        <w:tc>
          <w:tcPr>
            <w:tcW w:w="1162" w:type="dxa"/>
          </w:tcPr>
          <w:p>
            <w:pPr>
              <w:rPr>
                <w:rFonts w:eastAsia="仿宋_GB2312"/>
                <w:color w:val="auto"/>
                <w:sz w:val="30"/>
                <w:szCs w:val="30"/>
                <w:highlight w:val="none"/>
              </w:rPr>
            </w:pPr>
          </w:p>
        </w:tc>
        <w:tc>
          <w:tcPr>
            <w:tcW w:w="1418" w:type="dxa"/>
          </w:tcPr>
          <w:p>
            <w:pPr>
              <w:rPr>
                <w:rFonts w:eastAsia="仿宋_GB2312"/>
                <w:color w:val="auto"/>
                <w:sz w:val="30"/>
                <w:szCs w:val="30"/>
                <w:highlight w:val="none"/>
              </w:rPr>
            </w:pPr>
          </w:p>
        </w:tc>
        <w:tc>
          <w:tcPr>
            <w:tcW w:w="850" w:type="dxa"/>
          </w:tcPr>
          <w:p>
            <w:pPr>
              <w:rPr>
                <w:rFonts w:eastAsia="仿宋_GB2312"/>
                <w:color w:val="auto"/>
                <w:sz w:val="30"/>
                <w:szCs w:val="30"/>
                <w:highlight w:val="none"/>
              </w:rPr>
            </w:pPr>
          </w:p>
        </w:tc>
        <w:tc>
          <w:tcPr>
            <w:tcW w:w="1058" w:type="dxa"/>
          </w:tcPr>
          <w:p>
            <w:pPr>
              <w:rPr>
                <w:rFonts w:eastAsia="仿宋_GB2312"/>
                <w:color w:val="auto"/>
                <w:sz w:val="30"/>
                <w:szCs w:val="30"/>
                <w:highlight w:val="none"/>
              </w:rPr>
            </w:pPr>
          </w:p>
        </w:tc>
        <w:tc>
          <w:tcPr>
            <w:tcW w:w="8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1480" w:type="dxa"/>
          </w:tcPr>
          <w:p>
            <w:pPr>
              <w:rPr>
                <w:rFonts w:eastAsia="仿宋_GB2312"/>
                <w:color w:val="auto"/>
                <w:sz w:val="30"/>
                <w:szCs w:val="30"/>
                <w:highlight w:val="none"/>
              </w:rPr>
            </w:pPr>
          </w:p>
        </w:tc>
        <w:tc>
          <w:tcPr>
            <w:tcW w:w="1020" w:type="dxa"/>
          </w:tcPr>
          <w:p>
            <w:pPr>
              <w:rPr>
                <w:rFonts w:eastAsia="仿宋_GB2312"/>
                <w:color w:val="auto"/>
                <w:sz w:val="30"/>
                <w:szCs w:val="30"/>
                <w:highlight w:val="none"/>
              </w:rPr>
            </w:pPr>
          </w:p>
        </w:tc>
        <w:tc>
          <w:tcPr>
            <w:tcW w:w="921" w:type="dxa"/>
          </w:tcPr>
          <w:p>
            <w:pPr>
              <w:rPr>
                <w:rFonts w:eastAsia="仿宋_GB2312"/>
                <w:color w:val="auto"/>
                <w:sz w:val="30"/>
                <w:szCs w:val="30"/>
                <w:highlight w:val="none"/>
              </w:rPr>
            </w:pPr>
          </w:p>
        </w:tc>
      </w:tr>
    </w:tbl>
    <w:p>
      <w:pPr>
        <w:spacing w:line="440" w:lineRule="exact"/>
        <w:rPr>
          <w:rFonts w:eastAsia="仿宋_GB2312"/>
          <w:color w:val="auto"/>
          <w:sz w:val="30"/>
          <w:szCs w:val="30"/>
          <w:highlight w:val="none"/>
        </w:rPr>
        <w:sectPr>
          <w:pgSz w:w="11907" w:h="16840"/>
          <w:pgMar w:top="1440" w:right="1440" w:bottom="1440" w:left="1797" w:header="851" w:footer="851" w:gutter="0"/>
          <w:pgNumType w:fmt="decimal"/>
          <w:cols w:space="720" w:num="1"/>
          <w:docGrid w:linePitch="312" w:charSpace="0"/>
        </w:sectPr>
      </w:pPr>
    </w:p>
    <w:p>
      <w:pPr>
        <w:spacing w:line="440" w:lineRule="exact"/>
        <w:jc w:val="left"/>
        <w:outlineLvl w:val="0"/>
        <w:rPr>
          <w:rFonts w:eastAsia="黑体"/>
          <w:color w:val="auto"/>
          <w:sz w:val="30"/>
          <w:szCs w:val="30"/>
          <w:highlight w:val="none"/>
        </w:rPr>
      </w:pPr>
      <w:bookmarkStart w:id="1267" w:name="_Toc17595"/>
      <w:bookmarkStart w:id="1268" w:name="_Toc27981"/>
      <w:r>
        <w:rPr>
          <w:rFonts w:hint="eastAsia" w:eastAsia="仿宋_GB2312" w:cs="仿宋_GB2312"/>
          <w:color w:val="auto"/>
          <w:sz w:val="30"/>
          <w:szCs w:val="30"/>
          <w:highlight w:val="none"/>
        </w:rPr>
        <w:t>附</w:t>
      </w:r>
      <w:bookmarkStart w:id="1269" w:name="_Toc296346729"/>
      <w:bookmarkStart w:id="1270" w:name="_Toc296944567"/>
      <w:bookmarkStart w:id="1271" w:name="_Toc267261699"/>
      <w:bookmarkStart w:id="1272" w:name="_Toc296891268"/>
      <w:bookmarkStart w:id="1273" w:name="_Toc296503228"/>
      <w:bookmarkStart w:id="1274" w:name="_Toc296891056"/>
      <w:bookmarkStart w:id="1275" w:name="_Toc296347227"/>
      <w:r>
        <w:rPr>
          <w:rFonts w:hint="eastAsia" w:eastAsia="仿宋_GB2312" w:cs="仿宋_GB2312"/>
          <w:color w:val="auto"/>
          <w:sz w:val="30"/>
          <w:szCs w:val="30"/>
          <w:highlight w:val="none"/>
        </w:rPr>
        <w:t>件</w:t>
      </w:r>
      <w:r>
        <w:rPr>
          <w:rFonts w:hint="eastAsia" w:eastAsia="仿宋_GB2312"/>
          <w:color w:val="auto"/>
          <w:sz w:val="30"/>
          <w:szCs w:val="30"/>
          <w:highlight w:val="none"/>
        </w:rPr>
        <w:t>5</w:t>
      </w:r>
      <w:r>
        <w:rPr>
          <w:rFonts w:hint="eastAsia" w:eastAsia="仿宋_GB2312" w:cs="仿宋_GB2312"/>
          <w:color w:val="auto"/>
          <w:sz w:val="30"/>
          <w:szCs w:val="30"/>
          <w:highlight w:val="none"/>
        </w:rPr>
        <w:t>：</w:t>
      </w:r>
      <w:bookmarkEnd w:id="1267"/>
      <w:bookmarkEnd w:id="1268"/>
    </w:p>
    <w:bookmarkEnd w:id="1269"/>
    <w:bookmarkEnd w:id="1270"/>
    <w:bookmarkEnd w:id="1271"/>
    <w:bookmarkEnd w:id="1272"/>
    <w:bookmarkEnd w:id="1273"/>
    <w:bookmarkEnd w:id="1274"/>
    <w:bookmarkEnd w:id="1275"/>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承包人主要施工管理人员表</w:t>
      </w:r>
    </w:p>
    <w:tbl>
      <w:tblPr>
        <w:tblStyle w:val="43"/>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pPr>
              <w:pStyle w:val="18"/>
              <w:keepNext/>
              <w:spacing w:after="0" w:line="440" w:lineRule="exact"/>
              <w:ind w:right="63"/>
              <w:rPr>
                <w:rFonts w:eastAsia="仿宋_GB2312"/>
                <w:color w:val="auto"/>
                <w:sz w:val="30"/>
                <w:szCs w:val="30"/>
                <w:highlight w:val="none"/>
              </w:rPr>
            </w:pPr>
            <w:r>
              <w:rPr>
                <w:rFonts w:hint="eastAsia" w:eastAsia="仿宋_GB2312" w:cs="仿宋_GB2312"/>
                <w:color w:val="auto"/>
                <w:sz w:val="30"/>
                <w:szCs w:val="30"/>
                <w:highlight w:val="none"/>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项目负责人</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bl>
    <w:p>
      <w:pPr>
        <w:spacing w:line="440" w:lineRule="exact"/>
        <w:outlineLvl w:val="0"/>
        <w:rPr>
          <w:rFonts w:eastAsia="黑体"/>
          <w:color w:val="auto"/>
          <w:sz w:val="30"/>
          <w:szCs w:val="30"/>
          <w:highlight w:val="none"/>
        </w:rPr>
      </w:pPr>
      <w:r>
        <w:rPr>
          <w:rFonts w:eastAsia="仿宋_GB2312"/>
          <w:color w:val="auto"/>
          <w:sz w:val="30"/>
          <w:szCs w:val="30"/>
          <w:highlight w:val="none"/>
        </w:rPr>
        <w:br w:type="page"/>
      </w:r>
      <w:bookmarkStart w:id="1276" w:name="_Toc4247"/>
      <w:bookmarkStart w:id="1277" w:name="_Toc10993"/>
      <w:r>
        <w:rPr>
          <w:rFonts w:hint="eastAsia" w:eastAsia="仿宋_GB2312" w:cs="仿宋_GB2312"/>
          <w:color w:val="auto"/>
          <w:sz w:val="30"/>
          <w:szCs w:val="30"/>
          <w:highlight w:val="none"/>
        </w:rPr>
        <w:t>附</w:t>
      </w:r>
      <w:bookmarkStart w:id="1278" w:name="_Toc296891269"/>
      <w:bookmarkStart w:id="1279" w:name="_Toc296891057"/>
      <w:bookmarkStart w:id="1280" w:name="_Toc296503229"/>
      <w:bookmarkStart w:id="1281" w:name="_Toc296346730"/>
      <w:bookmarkStart w:id="1282" w:name="_Toc296347228"/>
      <w:bookmarkStart w:id="1283" w:name="_Toc296944568"/>
      <w:r>
        <w:rPr>
          <w:rFonts w:hint="eastAsia" w:eastAsia="仿宋_GB2312" w:cs="仿宋_GB2312"/>
          <w:color w:val="auto"/>
          <w:sz w:val="30"/>
          <w:szCs w:val="30"/>
          <w:highlight w:val="none"/>
        </w:rPr>
        <w:t>件</w:t>
      </w:r>
      <w:r>
        <w:rPr>
          <w:rFonts w:hint="eastAsia" w:eastAsia="仿宋_GB2312"/>
          <w:color w:val="auto"/>
          <w:sz w:val="30"/>
          <w:szCs w:val="30"/>
          <w:highlight w:val="none"/>
        </w:rPr>
        <w:t>6</w:t>
      </w:r>
      <w:r>
        <w:rPr>
          <w:rFonts w:hint="eastAsia" w:eastAsia="仿宋_GB2312" w:cs="仿宋_GB2312"/>
          <w:color w:val="auto"/>
          <w:sz w:val="30"/>
          <w:szCs w:val="30"/>
          <w:highlight w:val="none"/>
        </w:rPr>
        <w:t>：</w:t>
      </w:r>
      <w:bookmarkEnd w:id="1276"/>
      <w:bookmarkEnd w:id="1277"/>
    </w:p>
    <w:bookmarkEnd w:id="1278"/>
    <w:bookmarkEnd w:id="1279"/>
    <w:bookmarkEnd w:id="1280"/>
    <w:bookmarkEnd w:id="1281"/>
    <w:bookmarkEnd w:id="1282"/>
    <w:bookmarkEnd w:id="1283"/>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分包人主要施工管理人员表</w:t>
      </w:r>
    </w:p>
    <w:tbl>
      <w:tblPr>
        <w:tblStyle w:val="43"/>
        <w:tblW w:w="98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名</w:t>
            </w:r>
            <w:r>
              <w:rPr>
                <w:rFonts w:eastAsia="仿宋_GB2312"/>
                <w:color w:val="auto"/>
                <w:sz w:val="28"/>
                <w:szCs w:val="28"/>
                <w:highlight w:val="none"/>
              </w:rPr>
              <w:t xml:space="preserve">    </w:t>
            </w:r>
            <w:r>
              <w:rPr>
                <w:rFonts w:hint="eastAsia" w:eastAsia="仿宋_GB2312" w:cs="仿宋_GB2312"/>
                <w:color w:val="auto"/>
                <w:sz w:val="28"/>
                <w:szCs w:val="28"/>
                <w:highlight w:val="none"/>
              </w:rPr>
              <w:t>称</w:t>
            </w:r>
          </w:p>
        </w:tc>
        <w:tc>
          <w:tcPr>
            <w:tcW w:w="1418"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姓名</w:t>
            </w:r>
          </w:p>
        </w:tc>
        <w:tc>
          <w:tcPr>
            <w:tcW w:w="1134" w:type="dxa"/>
            <w:vAlign w:val="center"/>
          </w:tcPr>
          <w:p>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职务</w:t>
            </w:r>
          </w:p>
        </w:tc>
        <w:tc>
          <w:tcPr>
            <w:tcW w:w="1134" w:type="dxa"/>
            <w:vAlign w:val="center"/>
          </w:tcPr>
          <w:p>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职称</w:t>
            </w:r>
          </w:p>
        </w:tc>
        <w:tc>
          <w:tcPr>
            <w:tcW w:w="4252" w:type="dxa"/>
            <w:vAlign w:val="center"/>
          </w:tcPr>
          <w:p>
            <w:pPr>
              <w:pStyle w:val="18"/>
              <w:keepNext/>
              <w:spacing w:after="0" w:line="440" w:lineRule="exact"/>
              <w:ind w:left="63" w:right="63"/>
              <w:rPr>
                <w:rFonts w:eastAsia="仿宋_GB2312"/>
                <w:color w:val="auto"/>
                <w:sz w:val="30"/>
                <w:szCs w:val="30"/>
                <w:highlight w:val="none"/>
              </w:rPr>
            </w:pPr>
            <w:r>
              <w:rPr>
                <w:rFonts w:hint="eastAsia" w:eastAsia="仿宋_GB2312" w:cs="仿宋_GB2312"/>
                <w:color w:val="auto"/>
                <w:sz w:val="30"/>
                <w:szCs w:val="30"/>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项目主管</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pStyle w:val="18"/>
              <w:keepNext/>
              <w:spacing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9809" w:type="dxa"/>
            <w:gridSpan w:val="5"/>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项目负责人</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项目副经理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技术负责人</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造价管理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质量管理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材料管理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计划管理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安全管理</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restart"/>
            <w:vAlign w:val="center"/>
          </w:tcPr>
          <w:p>
            <w:pPr>
              <w:pStyle w:val="18"/>
              <w:keepNext/>
              <w:spacing w:after="0" w:line="440" w:lineRule="exact"/>
              <w:ind w:left="63" w:right="63"/>
              <w:rPr>
                <w:rFonts w:eastAsia="仿宋_GB2312"/>
                <w:color w:val="auto"/>
                <w:sz w:val="28"/>
                <w:szCs w:val="28"/>
                <w:highlight w:val="none"/>
              </w:rPr>
            </w:pPr>
            <w:r>
              <w:rPr>
                <w:rFonts w:hint="eastAsia" w:eastAsia="仿宋_GB2312" w:cs="仿宋_GB2312"/>
                <w:color w:val="auto"/>
                <w:sz w:val="28"/>
                <w:szCs w:val="28"/>
                <w:highlight w:val="none"/>
              </w:rPr>
              <w:t>其他人员</w:t>
            </w: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after="0" w:line="440" w:lineRule="exact"/>
              <w:ind w:left="63" w:right="63"/>
              <w:rPr>
                <w:rFonts w:eastAsia="仿宋_GB2312"/>
                <w:color w:val="auto"/>
                <w:sz w:val="28"/>
                <w:szCs w:val="28"/>
                <w:highlight w:val="none"/>
              </w:rPr>
            </w:pPr>
          </w:p>
        </w:tc>
        <w:tc>
          <w:tcPr>
            <w:tcW w:w="1418" w:type="dxa"/>
            <w:vAlign w:val="center"/>
          </w:tcPr>
          <w:p>
            <w:pPr>
              <w:pStyle w:val="18"/>
              <w:keepNext/>
              <w:spacing w:after="0" w:line="440" w:lineRule="exact"/>
              <w:ind w:left="63" w:right="63"/>
              <w:rPr>
                <w:rFonts w:eastAsia="仿宋_GB2312"/>
                <w:color w:val="auto"/>
                <w:sz w:val="28"/>
                <w:szCs w:val="28"/>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1134" w:type="dxa"/>
            <w:vAlign w:val="center"/>
          </w:tcPr>
          <w:p>
            <w:pPr>
              <w:pStyle w:val="18"/>
              <w:keepNext/>
              <w:spacing w:after="0" w:line="440" w:lineRule="exact"/>
              <w:ind w:left="63" w:right="63"/>
              <w:rPr>
                <w:rFonts w:eastAsia="仿宋_GB2312"/>
                <w:color w:val="auto"/>
                <w:sz w:val="30"/>
                <w:szCs w:val="30"/>
                <w:highlight w:val="none"/>
              </w:rPr>
            </w:pPr>
          </w:p>
        </w:tc>
        <w:tc>
          <w:tcPr>
            <w:tcW w:w="4252" w:type="dxa"/>
            <w:vAlign w:val="center"/>
          </w:tcPr>
          <w:p>
            <w:pPr>
              <w:pStyle w:val="18"/>
              <w:keepNext/>
              <w:spacing w:after="0" w:line="440" w:lineRule="exact"/>
              <w:ind w:left="63" w:right="63"/>
              <w:rPr>
                <w:rFonts w:eastAsia="仿宋_GB2312"/>
                <w:color w:val="auto"/>
                <w:sz w:val="30"/>
                <w:szCs w:val="30"/>
                <w:highlight w:val="none"/>
              </w:rPr>
            </w:pPr>
          </w:p>
        </w:tc>
      </w:tr>
    </w:tbl>
    <w:p>
      <w:pPr>
        <w:spacing w:line="440" w:lineRule="exact"/>
        <w:outlineLvl w:val="0"/>
        <w:rPr>
          <w:rFonts w:eastAsia="黑体"/>
          <w:color w:val="auto"/>
          <w:sz w:val="30"/>
          <w:szCs w:val="30"/>
          <w:highlight w:val="none"/>
        </w:rPr>
      </w:pPr>
      <w:r>
        <w:rPr>
          <w:rFonts w:eastAsia="仿宋_GB2312"/>
          <w:color w:val="auto"/>
          <w:sz w:val="30"/>
          <w:szCs w:val="30"/>
          <w:highlight w:val="none"/>
        </w:rPr>
        <w:br w:type="page"/>
      </w:r>
      <w:bookmarkStart w:id="1284" w:name="_Toc27430"/>
      <w:bookmarkStart w:id="1285" w:name="_Toc18947"/>
      <w:bookmarkStart w:id="1286" w:name="_Toc267261701"/>
      <w:r>
        <w:rPr>
          <w:rFonts w:hint="eastAsia" w:eastAsia="仿宋_GB2312" w:cs="仿宋_GB2312"/>
          <w:color w:val="auto"/>
          <w:sz w:val="30"/>
          <w:szCs w:val="30"/>
          <w:highlight w:val="none"/>
        </w:rPr>
        <w:t>附</w:t>
      </w:r>
      <w:bookmarkStart w:id="1287" w:name="_Toc296891271"/>
      <w:bookmarkStart w:id="1288" w:name="_Toc296347230"/>
      <w:bookmarkStart w:id="1289" w:name="_Toc296503231"/>
      <w:bookmarkStart w:id="1290" w:name="_Toc296346732"/>
      <w:bookmarkStart w:id="1291" w:name="_Toc296944570"/>
      <w:bookmarkStart w:id="1292" w:name="_Toc296891059"/>
      <w:r>
        <w:rPr>
          <w:rFonts w:hint="eastAsia" w:eastAsia="仿宋_GB2312" w:cs="仿宋_GB2312"/>
          <w:color w:val="auto"/>
          <w:sz w:val="30"/>
          <w:szCs w:val="30"/>
          <w:highlight w:val="none"/>
        </w:rPr>
        <w:t>件</w:t>
      </w:r>
      <w:r>
        <w:rPr>
          <w:rFonts w:hint="eastAsia" w:eastAsia="仿宋_GB2312"/>
          <w:color w:val="auto"/>
          <w:sz w:val="30"/>
          <w:szCs w:val="30"/>
          <w:highlight w:val="none"/>
        </w:rPr>
        <w:t>7</w:t>
      </w:r>
      <w:r>
        <w:rPr>
          <w:rFonts w:hint="eastAsia" w:eastAsia="仿宋_GB2312" w:cs="仿宋_GB2312"/>
          <w:color w:val="auto"/>
          <w:sz w:val="30"/>
          <w:szCs w:val="30"/>
          <w:highlight w:val="none"/>
        </w:rPr>
        <w:t>：</w:t>
      </w:r>
      <w:bookmarkEnd w:id="1284"/>
      <w:bookmarkEnd w:id="1285"/>
    </w:p>
    <w:bookmarkEnd w:id="1286"/>
    <w:bookmarkEnd w:id="1287"/>
    <w:bookmarkEnd w:id="1288"/>
    <w:bookmarkEnd w:id="1289"/>
    <w:bookmarkEnd w:id="1290"/>
    <w:bookmarkEnd w:id="1291"/>
    <w:bookmarkEnd w:id="1292"/>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履约担保</w:t>
      </w:r>
    </w:p>
    <w:p>
      <w:pPr>
        <w:spacing w:line="360" w:lineRule="auto"/>
        <w:rPr>
          <w:color w:val="auto"/>
          <w:highlight w:val="none"/>
          <w:u w:val="single"/>
        </w:rPr>
      </w:pPr>
    </w:p>
    <w:p>
      <w:pPr>
        <w:spacing w:line="360" w:lineRule="auto"/>
        <w:rPr>
          <w:color w:val="auto"/>
          <w:highlight w:val="none"/>
        </w:rPr>
      </w:pPr>
      <w:r>
        <w:rPr>
          <w:color w:val="auto"/>
          <w:highlight w:val="none"/>
          <w:u w:val="single"/>
        </w:rPr>
        <w:t xml:space="preserve">                          </w:t>
      </w:r>
      <w:r>
        <w:rPr>
          <w:rFonts w:hint="eastAsia" w:hAnsi="宋体" w:cs="宋体"/>
          <w:color w:val="auto"/>
          <w:highlight w:val="none"/>
        </w:rPr>
        <w:t>（发包人名称）：</w:t>
      </w:r>
    </w:p>
    <w:p>
      <w:pPr>
        <w:spacing w:line="360" w:lineRule="auto"/>
        <w:ind w:firstLine="420" w:firstLineChars="200"/>
        <w:rPr>
          <w:color w:val="auto"/>
          <w:highlight w:val="none"/>
        </w:rPr>
      </w:pPr>
      <w:r>
        <w:rPr>
          <w:rFonts w:hint="eastAsia" w:hAnsi="宋体" w:cs="宋体"/>
          <w:color w:val="auto"/>
          <w:highlight w:val="none"/>
        </w:rPr>
        <w:t>鉴于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w:t>
      </w:r>
      <w:r>
        <w:rPr>
          <w:rFonts w:hAnsi="宋体"/>
          <w:color w:val="auto"/>
          <w:highlight w:val="none"/>
        </w:rPr>
        <w:t xml:space="preserve"> </w:t>
      </w:r>
      <w:r>
        <w:rPr>
          <w:rFonts w:hint="eastAsia" w:hAnsi="宋体" w:cs="宋体"/>
          <w:color w:val="auto"/>
          <w:highlight w:val="none"/>
        </w:rPr>
        <w:t>已于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日发放成交通知书，明确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日为</w:t>
      </w:r>
      <w:r>
        <w:rPr>
          <w:color w:val="auto"/>
          <w:highlight w:val="none"/>
          <w:u w:val="single"/>
        </w:rPr>
        <w:t xml:space="preserve">                       </w:t>
      </w:r>
      <w:r>
        <w:rPr>
          <w:rFonts w:hint="eastAsia" w:hAnsi="宋体" w:cs="宋体"/>
          <w:color w:val="auto"/>
          <w:highlight w:val="none"/>
        </w:rPr>
        <w:t>（工程名称）的中标人。我方愿意无条件地、不可撤销地就承包人履行与你方签订的合同，向你方提供连带责任担保。</w:t>
      </w:r>
      <w:r>
        <w:rPr>
          <w:color w:val="auto"/>
          <w:highlight w:val="none"/>
        </w:rPr>
        <w:t xml:space="preserve"> </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担保有效期自你方与承包人签订的合同生效之日起至你方签发或应签发工程接收证书之日止。</w:t>
      </w:r>
    </w:p>
    <w:p>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在本担保有效期内，因承包人违反合同约定的义务给你方造成经济损失时，我方在收到你方以书面形式提出的在担保金额内的赔偿要求后，在</w:t>
      </w:r>
      <w:r>
        <w:rPr>
          <w:color w:val="auto"/>
          <w:highlight w:val="none"/>
        </w:rPr>
        <w:t>7</w:t>
      </w:r>
      <w:r>
        <w:rPr>
          <w:rFonts w:hint="eastAsia" w:hAnsi="宋体" w:cs="宋体"/>
          <w:color w:val="auto"/>
          <w:highlight w:val="none"/>
        </w:rPr>
        <w:t>天内无条件支付。</w:t>
      </w:r>
    </w:p>
    <w:p>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你方和承包人按合同约定变更合同时，我方承担本担保规定的义务不变。</w:t>
      </w:r>
    </w:p>
    <w:p>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pPr>
        <w:spacing w:line="360" w:lineRule="auto"/>
        <w:ind w:firstLine="420" w:firstLineChars="200"/>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担</w:t>
      </w:r>
      <w:r>
        <w:rPr>
          <w:color w:val="auto"/>
          <w:highlight w:val="none"/>
        </w:rPr>
        <w:t xml:space="preserve"> </w:t>
      </w:r>
      <w:r>
        <w:rPr>
          <w:rFonts w:hint="eastAsia" w:hAnsi="宋体" w:cs="宋体"/>
          <w:color w:val="auto"/>
          <w:highlight w:val="none"/>
        </w:rPr>
        <w:t>保</w:t>
      </w:r>
      <w:r>
        <w:rPr>
          <w:color w:val="auto"/>
          <w:highlight w:val="none"/>
        </w:rPr>
        <w:t xml:space="preserve"> </w:t>
      </w:r>
      <w:r>
        <w:rPr>
          <w:rFonts w:hint="eastAsia" w:hAnsi="宋体" w:cs="宋体"/>
          <w:color w:val="auto"/>
          <w:highlight w:val="none"/>
        </w:rPr>
        <w:t>人：</w:t>
      </w:r>
      <w:r>
        <w:rPr>
          <w:color w:val="auto"/>
          <w:highlight w:val="none"/>
          <w:u w:val="single"/>
        </w:rPr>
        <w:t xml:space="preserve">                           </w:t>
      </w:r>
      <w:r>
        <w:rPr>
          <w:rFonts w:hint="eastAsia" w:hAnsi="宋体" w:cs="宋体"/>
          <w:color w:val="auto"/>
          <w:highlight w:val="none"/>
        </w:rPr>
        <w:t>（盖单位章）</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邮政编码：</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pPr>
        <w:spacing w:line="360" w:lineRule="auto"/>
        <w:rPr>
          <w:color w:val="auto"/>
          <w:highlight w:val="non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jc w:val="left"/>
        <w:rPr>
          <w:color w:val="auto"/>
          <w:highlight w:val="none"/>
          <w:u w:val="single"/>
        </w:rPr>
      </w:pPr>
    </w:p>
    <w:p>
      <w:pPr>
        <w:spacing w:line="360" w:lineRule="auto"/>
        <w:ind w:left="1329" w:hanging="1329" w:hangingChars="633"/>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360" w:lineRule="auto"/>
        <w:ind w:left="1329" w:hanging="1329" w:hangingChars="633"/>
        <w:rPr>
          <w:color w:val="auto"/>
          <w:highlight w:val="none"/>
        </w:rPr>
      </w:pPr>
    </w:p>
    <w:p>
      <w:pPr>
        <w:spacing w:line="360" w:lineRule="auto"/>
        <w:ind w:right="150" w:firstLine="420" w:firstLineChars="200"/>
        <w:jc w:val="left"/>
        <w:rPr>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pStyle w:val="2"/>
        <w:rPr>
          <w:color w:val="auto"/>
          <w:sz w:val="21"/>
          <w:szCs w:val="21"/>
          <w:highlight w:val="none"/>
        </w:rPr>
        <w:sectPr>
          <w:pgSz w:w="11907" w:h="16840"/>
          <w:pgMar w:top="1440" w:right="1440" w:bottom="1440" w:left="1797" w:header="851" w:footer="851" w:gutter="0"/>
          <w:pgNumType w:fmt="decimal"/>
          <w:cols w:space="720" w:num="1"/>
          <w:docGrid w:linePitch="312" w:charSpace="0"/>
        </w:sectPr>
      </w:pPr>
    </w:p>
    <w:p>
      <w:pPr>
        <w:spacing w:line="360" w:lineRule="auto"/>
        <w:outlineLvl w:val="0"/>
        <w:rPr>
          <w:rFonts w:eastAsia="黑体"/>
          <w:color w:val="auto"/>
          <w:sz w:val="30"/>
          <w:szCs w:val="30"/>
          <w:highlight w:val="none"/>
        </w:rPr>
      </w:pPr>
      <w:bookmarkStart w:id="1293" w:name="_Toc17696"/>
      <w:bookmarkStart w:id="1294" w:name="_Toc23270"/>
      <w:r>
        <w:rPr>
          <w:rFonts w:hint="eastAsia" w:eastAsia="仿宋_GB2312" w:cs="仿宋_GB2312"/>
          <w:color w:val="auto"/>
          <w:sz w:val="30"/>
          <w:szCs w:val="30"/>
          <w:highlight w:val="none"/>
        </w:rPr>
        <w:t>附件</w:t>
      </w:r>
      <w:r>
        <w:rPr>
          <w:rFonts w:hint="eastAsia" w:eastAsia="仿宋_GB2312"/>
          <w:color w:val="auto"/>
          <w:sz w:val="30"/>
          <w:szCs w:val="30"/>
          <w:highlight w:val="none"/>
        </w:rPr>
        <w:t>8</w:t>
      </w:r>
      <w:r>
        <w:rPr>
          <w:rFonts w:hint="eastAsia" w:eastAsia="仿宋_GB2312" w:cs="仿宋_GB2312"/>
          <w:color w:val="auto"/>
          <w:sz w:val="30"/>
          <w:szCs w:val="30"/>
          <w:highlight w:val="none"/>
        </w:rPr>
        <w:t>：</w:t>
      </w:r>
      <w:bookmarkEnd w:id="1293"/>
      <w:bookmarkEnd w:id="1294"/>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预付款担保</w:t>
      </w:r>
    </w:p>
    <w:p>
      <w:pPr>
        <w:spacing w:line="360" w:lineRule="auto"/>
        <w:rPr>
          <w:color w:val="auto"/>
          <w:highlight w:val="none"/>
        </w:rPr>
      </w:pPr>
      <w:r>
        <w:rPr>
          <w:color w:val="auto"/>
          <w:highlight w:val="none"/>
          <w:u w:val="single"/>
        </w:rPr>
        <w:t xml:space="preserve">                    </w:t>
      </w:r>
      <w:r>
        <w:rPr>
          <w:color w:val="auto"/>
          <w:highlight w:val="none"/>
        </w:rPr>
        <w:t xml:space="preserve"> </w:t>
      </w:r>
      <w:r>
        <w:rPr>
          <w:rFonts w:hint="eastAsia" w:hAnsi="宋体" w:cs="宋体"/>
          <w:color w:val="auto"/>
          <w:highlight w:val="none"/>
        </w:rPr>
        <w:t>（发包人名称）：</w:t>
      </w:r>
    </w:p>
    <w:p>
      <w:pPr>
        <w:spacing w:line="360" w:lineRule="auto"/>
        <w:ind w:firstLine="420" w:firstLineChars="200"/>
        <w:rPr>
          <w:color w:val="auto"/>
          <w:highlight w:val="none"/>
        </w:rPr>
      </w:pPr>
      <w:r>
        <w:rPr>
          <w:rFonts w:hint="eastAsia" w:hAnsi="宋体" w:cs="宋体"/>
          <w:color w:val="auto"/>
          <w:highlight w:val="none"/>
        </w:rPr>
        <w:t>根据</w:t>
      </w:r>
      <w:r>
        <w:rPr>
          <w:color w:val="auto"/>
          <w:highlight w:val="none"/>
          <w:u w:val="single"/>
        </w:rPr>
        <w:t xml:space="preserve">                 </w:t>
      </w:r>
      <w:r>
        <w:rPr>
          <w:rFonts w:hint="eastAsia" w:hAnsi="宋体" w:cs="宋体"/>
          <w:color w:val="auto"/>
          <w:highlight w:val="none"/>
        </w:rPr>
        <w:t>（承包人名称）（以下称</w:t>
      </w:r>
      <w:r>
        <w:rPr>
          <w:color w:val="auto"/>
          <w:highlight w:val="none"/>
        </w:rPr>
        <w:t>“</w:t>
      </w:r>
      <w:r>
        <w:rPr>
          <w:rFonts w:hint="eastAsia" w:hAnsi="宋体" w:cs="宋体"/>
          <w:color w:val="auto"/>
          <w:highlight w:val="none"/>
        </w:rPr>
        <w:t>承包人</w:t>
      </w:r>
      <w:r>
        <w:rPr>
          <w:color w:val="auto"/>
          <w:highlight w:val="none"/>
        </w:rPr>
        <w:t>”</w:t>
      </w:r>
      <w:r>
        <w:rPr>
          <w:rFonts w:hint="eastAsia" w:hAnsi="宋体" w:cs="宋体"/>
          <w:color w:val="auto"/>
          <w:highlight w:val="none"/>
        </w:rPr>
        <w:t>）与</w:t>
      </w:r>
      <w:r>
        <w:rPr>
          <w:color w:val="auto"/>
          <w:highlight w:val="none"/>
          <w:u w:val="single"/>
        </w:rPr>
        <w:t xml:space="preserve">                        </w:t>
      </w:r>
      <w:r>
        <w:rPr>
          <w:rFonts w:hint="eastAsia" w:hAnsi="宋体" w:cs="宋体"/>
          <w:color w:val="auto"/>
          <w:highlight w:val="none"/>
        </w:rPr>
        <w:t>（发包人名称）（以下简称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日签订的</w:t>
      </w:r>
      <w:r>
        <w:rPr>
          <w:color w:val="auto"/>
          <w:highlight w:val="none"/>
          <w:u w:val="single"/>
        </w:rPr>
        <w:t xml:space="preserve">                   </w:t>
      </w:r>
      <w:r>
        <w:rPr>
          <w:rFonts w:hint="eastAsia" w:hAnsi="宋体" w:cs="宋体"/>
          <w:color w:val="auto"/>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color w:val="auto"/>
          <w:highlight w:val="none"/>
        </w:rPr>
      </w:pPr>
      <w:r>
        <w:rPr>
          <w:color w:val="auto"/>
          <w:highlight w:val="none"/>
        </w:rPr>
        <w:t xml:space="preserve">1. </w:t>
      </w:r>
      <w:r>
        <w:rPr>
          <w:rFonts w:hint="eastAsia" w:hAnsi="宋体" w:cs="宋体"/>
          <w:color w:val="auto"/>
          <w:highlight w:val="none"/>
        </w:rPr>
        <w:t>担保金额人民币（大写）</w:t>
      </w:r>
      <w:r>
        <w:rPr>
          <w:color w:val="auto"/>
          <w:highlight w:val="none"/>
          <w:u w:val="single"/>
        </w:rPr>
        <w:t xml:space="preserve">                </w:t>
      </w:r>
      <w:r>
        <w:rPr>
          <w:rFonts w:hint="eastAsia" w:hAnsi="宋体" w:cs="宋体"/>
          <w:color w:val="auto"/>
          <w:highlight w:val="none"/>
        </w:rPr>
        <w:t>元（</w:t>
      </w:r>
      <w:r>
        <w:rPr>
          <w:color w:val="auto"/>
          <w:highlight w:val="none"/>
        </w:rPr>
        <w:t>¥</w:t>
      </w:r>
      <w:r>
        <w:rPr>
          <w:color w:val="auto"/>
          <w:highlight w:val="none"/>
          <w:u w:val="single"/>
        </w:rPr>
        <w:t xml:space="preserve">             </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 </w:t>
      </w:r>
      <w:r>
        <w:rPr>
          <w:rFonts w:hint="eastAsia" w:hAnsi="宋体" w:cs="宋体"/>
          <w:color w:val="auto"/>
          <w:highlight w:val="none"/>
        </w:rPr>
        <w:t>担保有效期自预付款支付给承包人起生效，至你方签发的进度款支付证书说明已完全扣清止。</w:t>
      </w:r>
    </w:p>
    <w:p>
      <w:pPr>
        <w:spacing w:line="360" w:lineRule="auto"/>
        <w:ind w:firstLine="420" w:firstLineChars="200"/>
        <w:rPr>
          <w:color w:val="auto"/>
          <w:highlight w:val="none"/>
        </w:rPr>
      </w:pPr>
      <w:r>
        <w:rPr>
          <w:color w:val="auto"/>
          <w:highlight w:val="none"/>
        </w:rPr>
        <w:t xml:space="preserve">3. </w:t>
      </w:r>
      <w:r>
        <w:rPr>
          <w:rFonts w:hint="eastAsia" w:hAnsi="宋体" w:cs="宋体"/>
          <w:color w:val="auto"/>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color w:val="auto"/>
          <w:highlight w:val="none"/>
        </w:rPr>
      </w:pPr>
      <w:r>
        <w:rPr>
          <w:color w:val="auto"/>
          <w:highlight w:val="none"/>
        </w:rPr>
        <w:t xml:space="preserve">4. </w:t>
      </w:r>
      <w:r>
        <w:rPr>
          <w:rFonts w:hint="eastAsia" w:hAnsi="宋体" w:cs="宋体"/>
          <w:color w:val="auto"/>
          <w:highlight w:val="none"/>
        </w:rPr>
        <w:t>你方和承包人按合同约定变更合同时，我方承担本保函规定的义务不变。</w:t>
      </w:r>
    </w:p>
    <w:p>
      <w:pPr>
        <w:spacing w:line="360" w:lineRule="auto"/>
        <w:ind w:firstLine="420" w:firstLineChars="200"/>
        <w:rPr>
          <w:color w:val="auto"/>
          <w:highlight w:val="none"/>
        </w:rPr>
      </w:pPr>
      <w:r>
        <w:rPr>
          <w:color w:val="auto"/>
          <w:highlight w:val="none"/>
        </w:rPr>
        <w:t xml:space="preserve">5. </w:t>
      </w:r>
      <w:r>
        <w:rPr>
          <w:rFonts w:hint="eastAsia" w:hAnsi="宋体" w:cs="宋体"/>
          <w:color w:val="auto"/>
          <w:highlight w:val="none"/>
        </w:rPr>
        <w:t>因本保函发生的纠纷，可由双方协商解决，协商不成的，任何一方均可提请</w:t>
      </w:r>
      <w:r>
        <w:rPr>
          <w:color w:val="auto"/>
          <w:highlight w:val="none"/>
          <w:u w:val="single"/>
        </w:rPr>
        <w:t xml:space="preserve">      </w:t>
      </w:r>
      <w:r>
        <w:rPr>
          <w:rFonts w:hint="eastAsia" w:hAnsi="宋体" w:cs="宋体"/>
          <w:color w:val="auto"/>
          <w:highlight w:val="none"/>
        </w:rPr>
        <w:t>仲裁委员会仲裁。</w:t>
      </w:r>
    </w:p>
    <w:p>
      <w:pPr>
        <w:spacing w:line="360" w:lineRule="auto"/>
        <w:ind w:firstLine="420" w:firstLineChars="200"/>
        <w:jc w:val="left"/>
        <w:rPr>
          <w:color w:val="auto"/>
          <w:highlight w:val="none"/>
        </w:rPr>
      </w:pPr>
      <w:r>
        <w:rPr>
          <w:color w:val="auto"/>
          <w:highlight w:val="none"/>
        </w:rPr>
        <w:t xml:space="preserve">6. </w:t>
      </w:r>
      <w:r>
        <w:rPr>
          <w:rFonts w:hint="eastAsia" w:hAnsi="宋体" w:cs="宋体"/>
          <w:color w:val="auto"/>
          <w:highlight w:val="none"/>
        </w:rPr>
        <w:t>本保函自我方法定代表人（或其授权代理人）签字并加盖公章之日起生效。</w:t>
      </w:r>
    </w:p>
    <w:p>
      <w:pPr>
        <w:spacing w:line="360" w:lineRule="auto"/>
        <w:rPr>
          <w:color w:val="auto"/>
          <w:highlight w:val="none"/>
        </w:rPr>
      </w:pPr>
    </w:p>
    <w:p>
      <w:pPr>
        <w:spacing w:line="360" w:lineRule="auto"/>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（盖单位章）</w:t>
      </w:r>
    </w:p>
    <w:p>
      <w:pPr>
        <w:spacing w:line="360" w:lineRule="auto"/>
        <w:rPr>
          <w:color w:val="auto"/>
          <w:highlight w:val="none"/>
        </w:rPr>
      </w:pPr>
      <w:r>
        <w:rPr>
          <w:rFonts w:hint="eastAsia" w:hAnsi="宋体" w:cs="宋体"/>
          <w:color w:val="auto"/>
          <w:highlight w:val="none"/>
        </w:rPr>
        <w:t>法定代表人或其委托代理人：</w:t>
      </w:r>
      <w:r>
        <w:rPr>
          <w:color w:val="auto"/>
          <w:highlight w:val="none"/>
          <w:u w:val="single"/>
        </w:rPr>
        <w:t xml:space="preserve">            </w:t>
      </w:r>
      <w:r>
        <w:rPr>
          <w:rFonts w:hint="eastAsia" w:hAnsi="宋体" w:cs="宋体"/>
          <w:color w:val="auto"/>
          <w:highlight w:val="none"/>
        </w:rPr>
        <w:t>（签字）</w:t>
      </w:r>
    </w:p>
    <w:p>
      <w:pPr>
        <w:spacing w:line="360" w:lineRule="auto"/>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邮政编码：</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电</w:t>
      </w:r>
      <w:r>
        <w:rPr>
          <w:color w:val="auto"/>
          <w:highlight w:val="none"/>
        </w:rPr>
        <w:t xml:space="preserve">    </w:t>
      </w:r>
      <w:r>
        <w:rPr>
          <w:rFonts w:hint="eastAsia" w:hAnsi="宋体" w:cs="宋体"/>
          <w:color w:val="auto"/>
          <w:highlight w:val="none"/>
        </w:rPr>
        <w:t>话：</w:t>
      </w:r>
      <w:r>
        <w:rPr>
          <w:color w:val="auto"/>
          <w:highlight w:val="none"/>
          <w:u w:val="single"/>
        </w:rPr>
        <w:t xml:space="preserve">                            </w:t>
      </w:r>
    </w:p>
    <w:p>
      <w:pPr>
        <w:spacing w:line="360" w:lineRule="auto"/>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rPr>
          <w:color w:val="auto"/>
          <w:highlight w:val="none"/>
          <w:u w:val="single"/>
        </w:rPr>
      </w:pPr>
    </w:p>
    <w:p>
      <w:pPr>
        <w:spacing w:line="360" w:lineRule="auto"/>
        <w:rPr>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480" w:lineRule="auto"/>
        <w:rPr>
          <w:rFonts w:hAnsi="宋体"/>
          <w:color w:val="auto"/>
          <w:highlight w:val="none"/>
        </w:rPr>
      </w:pPr>
    </w:p>
    <w:p>
      <w:pPr>
        <w:spacing w:line="360" w:lineRule="auto"/>
        <w:ind w:right="150" w:firstLine="420" w:firstLineChars="200"/>
        <w:jc w:val="left"/>
        <w:rPr>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spacing w:line="480" w:lineRule="auto"/>
        <w:rPr>
          <w:rFonts w:hAnsi="宋体"/>
          <w:color w:val="auto"/>
          <w:highlight w:val="none"/>
        </w:rPr>
        <w:sectPr>
          <w:pgSz w:w="11907" w:h="16840"/>
          <w:pgMar w:top="1440" w:right="1440" w:bottom="1440" w:left="1797" w:header="851" w:footer="851" w:gutter="0"/>
          <w:pgNumType w:fmt="decimal"/>
          <w:cols w:space="720" w:num="1"/>
          <w:docGrid w:linePitch="312" w:charSpace="0"/>
        </w:sectPr>
      </w:pPr>
    </w:p>
    <w:p>
      <w:pPr>
        <w:spacing w:line="440" w:lineRule="exact"/>
        <w:jc w:val="left"/>
        <w:outlineLvl w:val="0"/>
        <w:rPr>
          <w:rFonts w:eastAsia="黑体"/>
          <w:color w:val="auto"/>
          <w:sz w:val="30"/>
          <w:szCs w:val="30"/>
          <w:highlight w:val="none"/>
        </w:rPr>
      </w:pPr>
      <w:bookmarkStart w:id="1295" w:name="_Toc8834"/>
      <w:bookmarkStart w:id="1296" w:name="_Toc26444"/>
      <w:r>
        <w:rPr>
          <w:rFonts w:hint="eastAsia" w:eastAsia="仿宋_GB2312" w:cs="仿宋_GB2312"/>
          <w:color w:val="auto"/>
          <w:sz w:val="30"/>
          <w:szCs w:val="30"/>
          <w:highlight w:val="none"/>
        </w:rPr>
        <w:t>附件</w:t>
      </w:r>
      <w:r>
        <w:rPr>
          <w:rFonts w:hint="eastAsia" w:eastAsia="仿宋_GB2312"/>
          <w:color w:val="auto"/>
          <w:sz w:val="30"/>
          <w:szCs w:val="30"/>
          <w:highlight w:val="none"/>
        </w:rPr>
        <w:t>9</w:t>
      </w:r>
      <w:r>
        <w:rPr>
          <w:rFonts w:hint="eastAsia" w:eastAsia="仿宋_GB2312" w:cs="仿宋_GB2312"/>
          <w:color w:val="auto"/>
          <w:sz w:val="30"/>
          <w:szCs w:val="30"/>
          <w:highlight w:val="none"/>
        </w:rPr>
        <w:t>：</w:t>
      </w:r>
      <w:bookmarkEnd w:id="1295"/>
      <w:bookmarkEnd w:id="1296"/>
    </w:p>
    <w:p>
      <w:pPr>
        <w:spacing w:before="120" w:beforeLines="50" w:after="120" w:afterLines="50" w:line="440" w:lineRule="exact"/>
        <w:jc w:val="center"/>
        <w:rPr>
          <w:rFonts w:eastAsia="黑体"/>
          <w:color w:val="auto"/>
          <w:sz w:val="30"/>
          <w:szCs w:val="30"/>
          <w:highlight w:val="none"/>
        </w:rPr>
      </w:pPr>
      <w:r>
        <w:rPr>
          <w:rFonts w:hint="eastAsia" w:eastAsia="黑体" w:cs="黑体"/>
          <w:color w:val="auto"/>
          <w:sz w:val="30"/>
          <w:szCs w:val="30"/>
          <w:highlight w:val="none"/>
        </w:rPr>
        <w:t>支付担保</w:t>
      </w:r>
    </w:p>
    <w:p>
      <w:pPr>
        <w:spacing w:line="360" w:lineRule="auto"/>
        <w:jc w:val="left"/>
        <w:rPr>
          <w:color w:val="auto"/>
          <w:highlight w:val="none"/>
        </w:rPr>
      </w:pPr>
      <w:r>
        <w:rPr>
          <w:color w:val="auto"/>
          <w:highlight w:val="none"/>
          <w:u w:val="single"/>
        </w:rPr>
        <w:t xml:space="preserve">                     </w:t>
      </w:r>
      <w:r>
        <w:rPr>
          <w:rFonts w:hint="eastAsia" w:hAnsi="宋体" w:cs="宋体"/>
          <w:color w:val="auto"/>
          <w:highlight w:val="none"/>
        </w:rPr>
        <w:t>（承包人）：</w:t>
      </w:r>
    </w:p>
    <w:p>
      <w:pPr>
        <w:spacing w:line="360" w:lineRule="auto"/>
        <w:jc w:val="left"/>
        <w:rPr>
          <w:color w:val="auto"/>
          <w:highlight w:val="none"/>
        </w:rPr>
      </w:pPr>
    </w:p>
    <w:p>
      <w:pPr>
        <w:spacing w:line="360" w:lineRule="auto"/>
        <w:ind w:firstLine="420" w:firstLineChars="200"/>
        <w:jc w:val="left"/>
        <w:rPr>
          <w:rFonts w:hAnsi="宋体"/>
          <w:color w:val="auto"/>
          <w:highlight w:val="none"/>
        </w:rPr>
      </w:pPr>
      <w:r>
        <w:rPr>
          <w:rFonts w:hint="eastAsia" w:hAnsi="宋体" w:cs="宋体"/>
          <w:color w:val="auto"/>
          <w:highlight w:val="none"/>
        </w:rPr>
        <w:t>鉴于你方作为承包人已经与</w:t>
      </w:r>
      <w:r>
        <w:rPr>
          <w:color w:val="auto"/>
          <w:highlight w:val="none"/>
          <w:u w:val="single"/>
        </w:rPr>
        <w:t xml:space="preserve">           </w:t>
      </w:r>
      <w:r>
        <w:rPr>
          <w:rFonts w:hint="eastAsia" w:hAnsi="宋体" w:cs="宋体"/>
          <w:color w:val="auto"/>
          <w:highlight w:val="none"/>
        </w:rPr>
        <w:t>（发包人名称）（以下称</w:t>
      </w:r>
      <w:r>
        <w:rPr>
          <w:color w:val="auto"/>
          <w:highlight w:val="none"/>
        </w:rPr>
        <w:t>“</w:t>
      </w:r>
      <w:r>
        <w:rPr>
          <w:rFonts w:hint="eastAsia" w:hAnsi="宋体" w:cs="宋体"/>
          <w:color w:val="auto"/>
          <w:highlight w:val="none"/>
        </w:rPr>
        <w:t>发包人</w:t>
      </w:r>
      <w:r>
        <w:rPr>
          <w:color w:val="auto"/>
          <w:highlight w:val="none"/>
        </w:rPr>
        <w:t>”</w:t>
      </w:r>
      <w:r>
        <w:rPr>
          <w:rFonts w:hint="eastAsia" w:hAnsi="宋体" w:cs="宋体"/>
          <w:color w:val="auto"/>
          <w:highlight w:val="none"/>
        </w:rPr>
        <w:t>）于</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日签订了</w:t>
      </w:r>
      <w:r>
        <w:rPr>
          <w:color w:val="auto"/>
          <w:highlight w:val="none"/>
          <w:u w:val="single"/>
        </w:rPr>
        <w:t xml:space="preserve">                          </w:t>
      </w:r>
      <w:r>
        <w:rPr>
          <w:rFonts w:hint="eastAsia" w:hAnsi="宋体" w:cs="宋体"/>
          <w:color w:val="auto"/>
          <w:highlight w:val="none"/>
        </w:rPr>
        <w:t>（工程名称）《建设工程施工合同》（以下称</w:t>
      </w:r>
      <w:r>
        <w:rPr>
          <w:color w:val="auto"/>
          <w:highlight w:val="none"/>
        </w:rPr>
        <w:t>“</w:t>
      </w:r>
      <w:r>
        <w:rPr>
          <w:rFonts w:hint="eastAsia" w:hAnsi="宋体" w:cs="宋体"/>
          <w:color w:val="auto"/>
          <w:highlight w:val="none"/>
        </w:rPr>
        <w:t>主合同</w:t>
      </w:r>
      <w:r>
        <w:rPr>
          <w:color w:val="auto"/>
          <w:highlight w:val="none"/>
        </w:rPr>
        <w:t>”</w:t>
      </w:r>
      <w:r>
        <w:rPr>
          <w:rFonts w:hint="eastAsia" w:hAnsi="宋体" w:cs="宋体"/>
          <w:color w:val="auto"/>
          <w:highlight w:val="none"/>
        </w:rPr>
        <w:t>），应发包人的申请，我方愿就发包人履行主合同约定的工程款支付义务以保证的方式向你方提供如下担保：</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一、保证的范围及保证金额</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我方的保证范围是主合同约定的工程款。</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本保函所称主合同约定的工程款是指主合同约定的除工程质量保证金以外的合同价款。</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我方保证的金额是主合同约定的工程款的</w:t>
      </w:r>
      <w:r>
        <w:rPr>
          <w:color w:val="auto"/>
          <w:highlight w:val="none"/>
          <w:u w:val="single"/>
        </w:rPr>
        <w:t xml:space="preserve">      </w:t>
      </w:r>
      <w:r>
        <w:rPr>
          <w:color w:val="auto"/>
          <w:highlight w:val="none"/>
        </w:rPr>
        <w:t>%</w:t>
      </w:r>
      <w:r>
        <w:rPr>
          <w:rFonts w:hint="eastAsia" w:hAnsi="宋体" w:cs="宋体"/>
          <w:color w:val="auto"/>
          <w:highlight w:val="none"/>
        </w:rPr>
        <w:t>，数额最高不超过人民币元（大写：</w:t>
      </w:r>
      <w:r>
        <w:rPr>
          <w:color w:val="auto"/>
          <w:highlight w:val="none"/>
          <w:u w:val="single"/>
        </w:rPr>
        <w:t xml:space="preserve">        </w:t>
      </w:r>
      <w:r>
        <w:rPr>
          <w:rFonts w:hint="eastAsia" w:hAnsi="宋体" w:cs="宋体"/>
          <w:color w:val="auto"/>
          <w:highlight w:val="none"/>
        </w:rPr>
        <w:t>）。</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二、保证的方式及保证期间</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我方保证的方式为：连带责任保证。</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我方保证的期间为：自本合同生效之日起至主合同约定的工程款支付完毕之日后</w:t>
      </w:r>
      <w:r>
        <w:rPr>
          <w:color w:val="auto"/>
          <w:highlight w:val="none"/>
          <w:u w:val="single"/>
        </w:rPr>
        <w:t xml:space="preserve">    </w:t>
      </w:r>
      <w:r>
        <w:rPr>
          <w:rFonts w:hint="eastAsia" w:hAnsi="宋体" w:cs="宋体"/>
          <w:color w:val="auto"/>
          <w:highlight w:val="none"/>
        </w:rPr>
        <w:t>日内。</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你方与发包人协议变更工程款支付日期的，经我方书面同意后，保证期间按照变更后的支付日期做相应调整。</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三、承担保证责任的形式</w:t>
      </w:r>
    </w:p>
    <w:p>
      <w:pPr>
        <w:spacing w:line="360" w:lineRule="auto"/>
        <w:ind w:firstLine="420" w:firstLineChars="200"/>
        <w:jc w:val="left"/>
        <w:rPr>
          <w:color w:val="auto"/>
          <w:highlight w:val="none"/>
        </w:rPr>
      </w:pPr>
      <w:r>
        <w:rPr>
          <w:rFonts w:hint="eastAsia" w:hAnsi="宋体" w:cs="宋体"/>
          <w:color w:val="auto"/>
          <w:highlight w:val="none"/>
        </w:rPr>
        <w:t>我方承担保证责任的形式是代为支付。发包人未按主合同约定向你方支付工程款的，由我方在保证金额内代为支付。</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四、代偿的安排</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我方收到你方的书面索赔通知及相应的证明材料后７天内无条件支付。</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五、保证责任的解除</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在本保函承诺的保证期间内，你方未书面向我方主张保证责任的，自保证期间届满次日起，我方保证责任解除。</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发包人按主合同约定履行了工程款的全部支付义务的，自本保函承诺的保证期间届满次日起，我方保证责任解除。</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按照法律法规的规定或出现应解除我方保证责任的其他情形的，我方在本保函项下的保证责任亦解除。</w:t>
      </w:r>
    </w:p>
    <w:p>
      <w:pPr>
        <w:spacing w:line="360" w:lineRule="auto"/>
        <w:ind w:firstLine="420" w:firstLineChars="200"/>
        <w:jc w:val="left"/>
        <w:rPr>
          <w:color w:val="auto"/>
          <w:highlight w:val="none"/>
        </w:rPr>
      </w:pPr>
      <w:r>
        <w:rPr>
          <w:color w:val="auto"/>
          <w:highlight w:val="none"/>
        </w:rPr>
        <w:t xml:space="preserve">5. </w:t>
      </w:r>
      <w:r>
        <w:rPr>
          <w:rFonts w:hint="eastAsia" w:hAnsi="宋体" w:cs="宋体"/>
          <w:color w:val="auto"/>
          <w:highlight w:val="none"/>
        </w:rPr>
        <w:t>我方解除保证责任后，你方应自我方保证责任解除之日起</w:t>
      </w:r>
      <w:r>
        <w:rPr>
          <w:color w:val="auto"/>
          <w:highlight w:val="none"/>
          <w:u w:val="single"/>
        </w:rPr>
        <w:t xml:space="preserve">  </w:t>
      </w:r>
      <w:r>
        <w:rPr>
          <w:rFonts w:hint="eastAsia" w:hAnsi="宋体" w:cs="宋体"/>
          <w:color w:val="auto"/>
          <w:highlight w:val="none"/>
        </w:rPr>
        <w:t>个工作日内，将本保函原件返还我方。</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六、免责条款</w:t>
      </w:r>
    </w:p>
    <w:p>
      <w:pPr>
        <w:spacing w:line="360" w:lineRule="auto"/>
        <w:ind w:firstLine="420" w:firstLineChars="200"/>
        <w:jc w:val="left"/>
        <w:rPr>
          <w:color w:val="auto"/>
          <w:highlight w:val="none"/>
        </w:rPr>
      </w:pPr>
      <w:r>
        <w:rPr>
          <w:color w:val="auto"/>
          <w:highlight w:val="none"/>
        </w:rPr>
        <w:t xml:space="preserve">1. </w:t>
      </w:r>
      <w:r>
        <w:rPr>
          <w:rFonts w:hint="eastAsia" w:hAnsi="宋体" w:cs="宋体"/>
          <w:color w:val="auto"/>
          <w:highlight w:val="none"/>
        </w:rPr>
        <w:t>因你方违约致使发包人不能履行义务的，我方不承担保证责任。</w:t>
      </w:r>
    </w:p>
    <w:p>
      <w:pPr>
        <w:spacing w:line="360" w:lineRule="auto"/>
        <w:ind w:firstLine="420" w:firstLineChars="200"/>
        <w:jc w:val="left"/>
        <w:rPr>
          <w:color w:val="auto"/>
          <w:highlight w:val="none"/>
        </w:rPr>
      </w:pPr>
      <w:r>
        <w:rPr>
          <w:color w:val="auto"/>
          <w:highlight w:val="none"/>
        </w:rPr>
        <w:t xml:space="preserve">2. </w:t>
      </w:r>
      <w:r>
        <w:rPr>
          <w:rFonts w:hint="eastAsia" w:hAnsi="宋体" w:cs="宋体"/>
          <w:color w:val="auto"/>
          <w:highlight w:val="none"/>
        </w:rPr>
        <w:t>依照法律法规的规定或你方与发包人的另行约定，免除发包人部分或全部义务的，我方亦免除其相应的保证责任。</w:t>
      </w:r>
    </w:p>
    <w:p>
      <w:pPr>
        <w:spacing w:line="360" w:lineRule="auto"/>
        <w:ind w:firstLine="420" w:firstLineChars="200"/>
        <w:jc w:val="left"/>
        <w:rPr>
          <w:color w:val="auto"/>
          <w:highlight w:val="none"/>
        </w:rPr>
      </w:pPr>
      <w:r>
        <w:rPr>
          <w:color w:val="auto"/>
          <w:highlight w:val="none"/>
        </w:rPr>
        <w:t xml:space="preserve">3. </w:t>
      </w:r>
      <w:r>
        <w:rPr>
          <w:rFonts w:hint="eastAsia" w:hAnsi="宋体" w:cs="宋体"/>
          <w:color w:val="auto"/>
          <w:highlight w:val="none"/>
        </w:rPr>
        <w:t>你方与发包人协议变更主合同的，如加重发包人责任致使我方保证责任加重的，需征得我方书面同意，否则我方不再承担因此而加重部分的保证责任，但主合同第</w:t>
      </w:r>
      <w:r>
        <w:rPr>
          <w:color w:val="auto"/>
          <w:highlight w:val="none"/>
        </w:rPr>
        <w:t>10</w:t>
      </w:r>
      <w:r>
        <w:rPr>
          <w:rFonts w:hint="eastAsia" w:hAnsi="宋体" w:cs="宋体"/>
          <w:color w:val="auto"/>
          <w:highlight w:val="none"/>
        </w:rPr>
        <w:t>条〔变更〕约定的变更不受本款限制。</w:t>
      </w:r>
    </w:p>
    <w:p>
      <w:pPr>
        <w:spacing w:line="360" w:lineRule="auto"/>
        <w:ind w:firstLine="420" w:firstLineChars="200"/>
        <w:jc w:val="left"/>
        <w:rPr>
          <w:color w:val="auto"/>
          <w:highlight w:val="none"/>
        </w:rPr>
      </w:pPr>
      <w:r>
        <w:rPr>
          <w:color w:val="auto"/>
          <w:highlight w:val="none"/>
        </w:rPr>
        <w:t xml:space="preserve">4. </w:t>
      </w:r>
      <w:r>
        <w:rPr>
          <w:rFonts w:hint="eastAsia" w:hAnsi="宋体" w:cs="宋体"/>
          <w:color w:val="auto"/>
          <w:highlight w:val="none"/>
        </w:rPr>
        <w:t>因不可抗力造成发包人不能履行义务的，我方不承担保证责任。</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七、争议解决</w:t>
      </w:r>
    </w:p>
    <w:p>
      <w:pPr>
        <w:spacing w:line="360" w:lineRule="auto"/>
        <w:ind w:firstLine="420" w:firstLineChars="200"/>
        <w:rPr>
          <w:color w:val="auto"/>
          <w:highlight w:val="none"/>
        </w:rPr>
      </w:pPr>
      <w:r>
        <w:rPr>
          <w:rFonts w:hint="eastAsia" w:hAnsi="宋体" w:cs="宋体"/>
          <w:color w:val="auto"/>
          <w:highlight w:val="none"/>
        </w:rPr>
        <w:t>因本保函或本保函相关事项发生的纠纷，可由双方协商解决，协商不成的，按下列第</w:t>
      </w:r>
      <w:r>
        <w:rPr>
          <w:color w:val="auto"/>
          <w:highlight w:val="none"/>
          <w:u w:val="single"/>
        </w:rPr>
        <w:t xml:space="preserve">     </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仲裁委员会申请仲裁；</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color w:val="auto"/>
          <w:highlight w:val="none"/>
          <w:u w:val="single"/>
        </w:rPr>
        <w:t xml:space="preserve">                     </w:t>
      </w:r>
      <w:r>
        <w:rPr>
          <w:rFonts w:hint="eastAsia" w:hAnsi="宋体" w:cs="宋体"/>
          <w:color w:val="auto"/>
          <w:highlight w:val="none"/>
        </w:rPr>
        <w:t>人民法院起诉。</w:t>
      </w:r>
    </w:p>
    <w:p>
      <w:pPr>
        <w:spacing w:line="360" w:lineRule="auto"/>
        <w:ind w:firstLine="420" w:firstLineChars="200"/>
        <w:jc w:val="left"/>
        <w:rPr>
          <w:rFonts w:ascii="黑体" w:eastAsia="黑体"/>
          <w:color w:val="auto"/>
          <w:highlight w:val="none"/>
        </w:rPr>
      </w:pPr>
      <w:r>
        <w:rPr>
          <w:rFonts w:hint="eastAsia" w:ascii="黑体" w:hAnsi="宋体" w:eastAsia="黑体" w:cs="黑体"/>
          <w:color w:val="auto"/>
          <w:highlight w:val="none"/>
        </w:rPr>
        <w:t>八、保函的生效</w:t>
      </w:r>
    </w:p>
    <w:p>
      <w:pPr>
        <w:spacing w:line="360" w:lineRule="auto"/>
        <w:ind w:firstLine="420" w:firstLineChars="200"/>
        <w:jc w:val="left"/>
        <w:rPr>
          <w:color w:val="auto"/>
          <w:highlight w:val="none"/>
        </w:rPr>
      </w:pPr>
      <w:r>
        <w:rPr>
          <w:rFonts w:hint="eastAsia" w:hAnsi="宋体" w:cs="宋体"/>
          <w:color w:val="auto"/>
          <w:highlight w:val="none"/>
        </w:rPr>
        <w:t>本保函自我方法定代表人（或其授权代理人）签字并加盖公章之日起生效。</w:t>
      </w:r>
    </w:p>
    <w:p>
      <w:pPr>
        <w:spacing w:line="360" w:lineRule="auto"/>
        <w:jc w:val="left"/>
        <w:rPr>
          <w:color w:val="auto"/>
          <w:highlight w:val="none"/>
        </w:rPr>
      </w:pPr>
    </w:p>
    <w:p>
      <w:pPr>
        <w:spacing w:line="360" w:lineRule="auto"/>
        <w:ind w:right="600"/>
        <w:jc w:val="left"/>
        <w:rPr>
          <w:color w:val="auto"/>
          <w:highlight w:val="none"/>
        </w:rPr>
      </w:pPr>
    </w:p>
    <w:p>
      <w:pPr>
        <w:spacing w:line="360" w:lineRule="auto"/>
        <w:ind w:right="600"/>
        <w:jc w:val="left"/>
        <w:rPr>
          <w:color w:val="auto"/>
          <w:highlight w:val="none"/>
        </w:rPr>
      </w:pPr>
      <w:r>
        <w:rPr>
          <w:rFonts w:hint="eastAsia" w:hAnsi="宋体" w:cs="宋体"/>
          <w:color w:val="auto"/>
          <w:highlight w:val="none"/>
        </w:rPr>
        <w:t>担保人：</w:t>
      </w:r>
      <w:r>
        <w:rPr>
          <w:color w:val="auto"/>
          <w:highlight w:val="none"/>
          <w:u w:val="single"/>
        </w:rPr>
        <w:t xml:space="preserve">                                   </w:t>
      </w:r>
      <w:r>
        <w:rPr>
          <w:rFonts w:hint="eastAsia" w:hAnsi="宋体" w:cs="宋体"/>
          <w:color w:val="auto"/>
          <w:highlight w:val="none"/>
        </w:rPr>
        <w:t>（盖章）</w:t>
      </w:r>
    </w:p>
    <w:p>
      <w:pPr>
        <w:spacing w:line="360" w:lineRule="auto"/>
        <w:ind w:right="1200"/>
        <w:rPr>
          <w:color w:val="auto"/>
          <w:highlight w:val="none"/>
        </w:rPr>
      </w:pPr>
      <w:r>
        <w:rPr>
          <w:rFonts w:hint="eastAsia" w:hAnsi="宋体" w:cs="宋体"/>
          <w:color w:val="auto"/>
          <w:highlight w:val="none"/>
        </w:rPr>
        <w:t>法定代表人或委托代理人：</w:t>
      </w:r>
      <w:r>
        <w:rPr>
          <w:color w:val="auto"/>
          <w:highlight w:val="none"/>
          <w:u w:val="single"/>
        </w:rPr>
        <w:t xml:space="preserve">                   </w:t>
      </w:r>
      <w:r>
        <w:rPr>
          <w:rFonts w:hint="eastAsia" w:hAnsi="宋体" w:cs="宋体"/>
          <w:color w:val="auto"/>
          <w:highlight w:val="none"/>
        </w:rPr>
        <w:t>（签字）</w:t>
      </w:r>
    </w:p>
    <w:p>
      <w:pPr>
        <w:spacing w:line="360" w:lineRule="auto"/>
        <w:jc w:val="left"/>
        <w:rPr>
          <w:color w:val="auto"/>
          <w:highlight w:val="none"/>
        </w:rPr>
      </w:pPr>
      <w:r>
        <w:rPr>
          <w:rFonts w:hint="eastAsia" w:hAnsi="宋体" w:cs="宋体"/>
          <w:color w:val="auto"/>
          <w:highlight w:val="none"/>
        </w:rPr>
        <w:t>地</w:t>
      </w:r>
      <w:r>
        <w:rPr>
          <w:color w:val="auto"/>
          <w:highlight w:val="none"/>
        </w:rPr>
        <w:t xml:space="preserve">    </w:t>
      </w:r>
      <w:r>
        <w:rPr>
          <w:rFonts w:hint="eastAsia" w:hAnsi="宋体" w:cs="宋体"/>
          <w:color w:val="auto"/>
          <w:highlight w:val="none"/>
        </w:rPr>
        <w:t>址：</w:t>
      </w:r>
      <w:r>
        <w:rPr>
          <w:color w:val="auto"/>
          <w:highlight w:val="none"/>
          <w:u w:val="single"/>
        </w:rPr>
        <w:t xml:space="preserve">                                        </w:t>
      </w:r>
    </w:p>
    <w:p>
      <w:pPr>
        <w:spacing w:line="360" w:lineRule="auto"/>
        <w:jc w:val="left"/>
        <w:rPr>
          <w:color w:val="auto"/>
          <w:highlight w:val="none"/>
        </w:rPr>
      </w:pPr>
      <w:r>
        <w:rPr>
          <w:rFonts w:hint="eastAsia" w:hAnsi="宋体" w:cs="宋体"/>
          <w:color w:val="auto"/>
          <w:highlight w:val="none"/>
        </w:rPr>
        <w:t>邮政编码：</w:t>
      </w:r>
      <w:r>
        <w:rPr>
          <w:color w:val="auto"/>
          <w:highlight w:val="none"/>
          <w:u w:val="single"/>
        </w:rPr>
        <w:t xml:space="preserve">                                        </w:t>
      </w:r>
    </w:p>
    <w:p>
      <w:pPr>
        <w:spacing w:line="360" w:lineRule="auto"/>
        <w:jc w:val="left"/>
        <w:rPr>
          <w:color w:val="auto"/>
          <w:highlight w:val="none"/>
          <w:u w:val="single"/>
        </w:rPr>
      </w:pPr>
      <w:r>
        <w:rPr>
          <w:rFonts w:hint="eastAsia" w:hAnsi="宋体" w:cs="宋体"/>
          <w:color w:val="auto"/>
          <w:highlight w:val="none"/>
        </w:rPr>
        <w:t>传</w:t>
      </w:r>
      <w:r>
        <w:rPr>
          <w:color w:val="auto"/>
          <w:highlight w:val="none"/>
        </w:rPr>
        <w:t xml:space="preserve">    </w:t>
      </w:r>
      <w:r>
        <w:rPr>
          <w:rFonts w:hint="eastAsia" w:hAnsi="宋体" w:cs="宋体"/>
          <w:color w:val="auto"/>
          <w:highlight w:val="none"/>
        </w:rPr>
        <w:t>真：</w:t>
      </w:r>
      <w:r>
        <w:rPr>
          <w:color w:val="auto"/>
          <w:highlight w:val="none"/>
          <w:u w:val="single"/>
        </w:rPr>
        <w:t xml:space="preserve">                                        </w:t>
      </w:r>
    </w:p>
    <w:p>
      <w:pPr>
        <w:spacing w:line="360" w:lineRule="auto"/>
        <w:ind w:right="150" w:firstLine="420" w:firstLineChars="200"/>
        <w:jc w:val="left"/>
        <w:rPr>
          <w:rFonts w:hAnsi="宋体" w:cs="宋体"/>
          <w:color w:val="auto"/>
          <w:highlight w:val="none"/>
        </w:rPr>
      </w:pPr>
      <w:r>
        <w:rPr>
          <w:color w:val="auto"/>
          <w:highlight w:val="none"/>
        </w:rPr>
        <w:t xml:space="preserve">             </w:t>
      </w:r>
      <w:r>
        <w:rPr>
          <w:color w:val="auto"/>
          <w:highlight w:val="none"/>
          <w:u w:val="single"/>
        </w:rPr>
        <w:t xml:space="preserve">               </w:t>
      </w:r>
      <w:r>
        <w:rPr>
          <w:rFonts w:hint="eastAsia" w:hAnsi="宋体" w:cs="宋体"/>
          <w:color w:val="auto"/>
          <w:highlight w:val="none"/>
        </w:rPr>
        <w:t>年</w:t>
      </w:r>
      <w:r>
        <w:rPr>
          <w:color w:val="auto"/>
          <w:highlight w:val="none"/>
          <w:u w:val="single"/>
        </w:rPr>
        <w:t xml:space="preserve">      </w:t>
      </w:r>
      <w:r>
        <w:rPr>
          <w:rFonts w:hint="eastAsia" w:hAnsi="宋体" w:cs="宋体"/>
          <w:color w:val="auto"/>
          <w:highlight w:val="none"/>
        </w:rPr>
        <w:t>月</w:t>
      </w:r>
      <w:r>
        <w:rPr>
          <w:color w:val="auto"/>
          <w:highlight w:val="none"/>
          <w:u w:val="single"/>
        </w:rPr>
        <w:t xml:space="preserve">      </w:t>
      </w:r>
      <w:r>
        <w:rPr>
          <w:rFonts w:hint="eastAsia" w:hAnsi="宋体" w:cs="宋体"/>
          <w:color w:val="auto"/>
          <w:highlight w:val="none"/>
        </w:rPr>
        <w:t>日</w:t>
      </w:r>
    </w:p>
    <w:p>
      <w:pPr>
        <w:spacing w:line="360" w:lineRule="auto"/>
        <w:ind w:right="150" w:firstLine="420" w:firstLineChars="200"/>
        <w:jc w:val="left"/>
        <w:rPr>
          <w:color w:val="auto"/>
          <w:highlight w:val="none"/>
        </w:rPr>
      </w:pPr>
      <w:r>
        <w:rPr>
          <w:rFonts w:hint="eastAsia" w:hAnsi="宋体" w:cs="宋体"/>
          <w:color w:val="auto"/>
          <w:highlight w:val="none"/>
        </w:rPr>
        <w:t>（备注</w:t>
      </w:r>
      <w:r>
        <w:rPr>
          <w:rFonts w:hAnsi="宋体" w:cs="宋体"/>
          <w:color w:val="auto"/>
          <w:highlight w:val="none"/>
        </w:rPr>
        <w:t>：</w:t>
      </w:r>
      <w:r>
        <w:rPr>
          <w:rFonts w:hint="eastAsia" w:hAnsi="宋体" w:cs="宋体"/>
          <w:color w:val="auto"/>
          <w:highlight w:val="none"/>
        </w:rPr>
        <w:t>银行、保险公司和担保公司出具的</w:t>
      </w:r>
      <w:r>
        <w:rPr>
          <w:rFonts w:hint="eastAsia" w:ascii="仿宋_GB2312" w:hAnsi="宋体" w:cs="宋体"/>
          <w:color w:val="auto"/>
          <w:highlight w:val="none"/>
        </w:rPr>
        <w:t>保函格式和文本可</w:t>
      </w:r>
      <w:r>
        <w:rPr>
          <w:rFonts w:ascii="仿宋_GB2312" w:hAnsi="宋体" w:cs="宋体"/>
          <w:color w:val="auto"/>
          <w:highlight w:val="none"/>
        </w:rPr>
        <w:t>以自拟，</w:t>
      </w:r>
      <w:r>
        <w:rPr>
          <w:rFonts w:hint="eastAsia" w:ascii="仿宋_GB2312" w:hAnsi="宋体" w:cs="宋体"/>
          <w:color w:val="auto"/>
          <w:highlight w:val="none"/>
        </w:rPr>
        <w:t>但是必须包含以上条款所列全部内容</w:t>
      </w:r>
      <w:r>
        <w:rPr>
          <w:rFonts w:ascii="仿宋_GB2312" w:hAnsi="宋体" w:cs="宋体"/>
          <w:color w:val="auto"/>
          <w:highlight w:val="none"/>
        </w:rPr>
        <w:t>）</w:t>
      </w:r>
    </w:p>
    <w:p>
      <w:pPr>
        <w:jc w:val="left"/>
        <w:outlineLvl w:val="0"/>
        <w:rPr>
          <w:rFonts w:hAnsi="宋体" w:cs="宋体"/>
          <w:color w:val="auto"/>
          <w:sz w:val="30"/>
          <w:szCs w:val="30"/>
          <w:highlight w:val="none"/>
        </w:rPr>
      </w:pPr>
      <w:r>
        <w:rPr>
          <w:rFonts w:hAnsi="宋体" w:cs="宋体"/>
          <w:color w:val="auto"/>
          <w:sz w:val="30"/>
          <w:szCs w:val="30"/>
          <w:highlight w:val="none"/>
        </w:rPr>
        <w:br w:type="page"/>
      </w:r>
      <w:r>
        <w:rPr>
          <w:rFonts w:eastAsia="仿宋_GB2312"/>
          <w:color w:val="auto"/>
          <w:sz w:val="30"/>
          <w:szCs w:val="30"/>
          <w:highlight w:val="none"/>
        </w:rPr>
        <w:t xml:space="preserve"> </w:t>
      </w:r>
      <w:bookmarkStart w:id="1297" w:name="_Toc24918"/>
      <w:bookmarkStart w:id="1298" w:name="_Toc22302"/>
      <w:r>
        <w:rPr>
          <w:rFonts w:hint="eastAsia" w:hAnsi="宋体" w:cs="宋体"/>
          <w:color w:val="auto"/>
          <w:sz w:val="30"/>
          <w:szCs w:val="30"/>
          <w:highlight w:val="none"/>
        </w:rPr>
        <w:t>附件10：</w:t>
      </w:r>
      <w:bookmarkEnd w:id="1297"/>
      <w:bookmarkEnd w:id="1298"/>
    </w:p>
    <w:p>
      <w:pPr>
        <w:jc w:val="center"/>
        <w:rPr>
          <w:b/>
          <w:color w:val="auto"/>
          <w:sz w:val="36"/>
          <w:szCs w:val="36"/>
          <w:highlight w:val="none"/>
        </w:rPr>
      </w:pPr>
      <w:r>
        <w:rPr>
          <w:rFonts w:hint="eastAsia"/>
          <w:b/>
          <w:color w:val="auto"/>
          <w:sz w:val="36"/>
          <w:szCs w:val="36"/>
          <w:highlight w:val="none"/>
        </w:rPr>
        <w:t>预付款支付申请（核准）表</w:t>
      </w:r>
    </w:p>
    <w:p>
      <w:pPr>
        <w:rPr>
          <w:color w:val="auto"/>
          <w:sz w:val="24"/>
          <w:highlight w:val="none"/>
        </w:rPr>
      </w:pPr>
      <w:r>
        <w:rPr>
          <w:rFonts w:hint="eastAsia"/>
          <w:color w:val="auto"/>
          <w:sz w:val="24"/>
          <w:highlight w:val="none"/>
        </w:rPr>
        <w:t>工程名称：                                             编号：</w:t>
      </w:r>
    </w:p>
    <w:tbl>
      <w:tblPr>
        <w:tblStyle w:val="43"/>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7"/>
        <w:gridCol w:w="4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8" w:hRule="atLeast"/>
          <w:jc w:val="center"/>
        </w:trPr>
        <w:tc>
          <w:tcPr>
            <w:tcW w:w="9534"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pPr>
              <w:spacing w:line="400" w:lineRule="exact"/>
              <w:rPr>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43"/>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340" w:type="dxa"/>
                  <w:vAlign w:val="center"/>
                </w:tcPr>
                <w:p>
                  <w:pPr>
                    <w:spacing w:line="280" w:lineRule="exact"/>
                    <w:jc w:val="center"/>
                    <w:rPr>
                      <w:color w:val="auto"/>
                      <w:highlight w:val="none"/>
                    </w:rPr>
                  </w:pPr>
                  <w:r>
                    <w:rPr>
                      <w:rFonts w:hint="eastAsia"/>
                      <w:color w:val="auto"/>
                      <w:highlight w:val="none"/>
                    </w:rPr>
                    <w:t>名      称</w:t>
                  </w:r>
                </w:p>
              </w:tc>
              <w:tc>
                <w:tcPr>
                  <w:tcW w:w="1764" w:type="dxa"/>
                  <w:vAlign w:val="center"/>
                </w:tcPr>
                <w:p>
                  <w:pPr>
                    <w:spacing w:line="280" w:lineRule="exact"/>
                    <w:jc w:val="center"/>
                    <w:rPr>
                      <w:color w:val="auto"/>
                      <w:highlight w:val="none"/>
                    </w:rPr>
                  </w:pPr>
                  <w:r>
                    <w:rPr>
                      <w:rFonts w:hint="eastAsia"/>
                      <w:color w:val="auto"/>
                      <w:highlight w:val="none"/>
                    </w:rPr>
                    <w:t>申请金额（元）</w:t>
                  </w:r>
                </w:p>
              </w:tc>
              <w:tc>
                <w:tcPr>
                  <w:tcW w:w="2240" w:type="dxa"/>
                  <w:vAlign w:val="center"/>
                </w:tcPr>
                <w:p>
                  <w:pPr>
                    <w:spacing w:line="280" w:lineRule="exact"/>
                    <w:jc w:val="center"/>
                    <w:rPr>
                      <w:color w:val="auto"/>
                      <w:highlight w:val="none"/>
                    </w:rPr>
                  </w:pPr>
                  <w:r>
                    <w:rPr>
                      <w:rFonts w:hint="eastAsia"/>
                      <w:color w:val="auto"/>
                      <w:highlight w:val="none"/>
                    </w:rPr>
                    <w:t>复核金额（元）</w:t>
                  </w:r>
                </w:p>
              </w:tc>
              <w:tc>
                <w:tcPr>
                  <w:tcW w:w="1080"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340" w:type="dxa"/>
                </w:tcPr>
                <w:p>
                  <w:pPr>
                    <w:spacing w:line="280" w:lineRule="exact"/>
                    <w:rPr>
                      <w:color w:val="auto"/>
                      <w:highlight w:val="none"/>
                    </w:rPr>
                  </w:pPr>
                  <w:r>
                    <w:rPr>
                      <w:rFonts w:hint="eastAsia"/>
                      <w:color w:val="auto"/>
                      <w:highlight w:val="none"/>
                    </w:rPr>
                    <w:t>已签约合同价款金额</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340" w:type="dxa"/>
                </w:tcPr>
                <w:p>
                  <w:pPr>
                    <w:spacing w:line="280" w:lineRule="exact"/>
                    <w:rPr>
                      <w:color w:val="auto"/>
                      <w:highlight w:val="none"/>
                    </w:rPr>
                  </w:pPr>
                  <w:r>
                    <w:rPr>
                      <w:rFonts w:hint="eastAsia"/>
                      <w:color w:val="auto"/>
                      <w:highlight w:val="none"/>
                    </w:rPr>
                    <w:t>其中：安全文明施工费</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340" w:type="dxa"/>
                </w:tcPr>
                <w:p>
                  <w:pPr>
                    <w:spacing w:line="280" w:lineRule="exact"/>
                    <w:rPr>
                      <w:color w:val="auto"/>
                      <w:highlight w:val="none"/>
                    </w:rPr>
                  </w:pPr>
                  <w:r>
                    <w:rPr>
                      <w:rFonts w:hint="eastAsia"/>
                      <w:color w:val="auto"/>
                      <w:highlight w:val="none"/>
                    </w:rPr>
                    <w:t>应支付的预付款</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340" w:type="dxa"/>
                </w:tcPr>
                <w:p>
                  <w:pPr>
                    <w:spacing w:line="280" w:lineRule="exact"/>
                    <w:rPr>
                      <w:color w:val="auto"/>
                      <w:highlight w:val="none"/>
                    </w:rPr>
                  </w:pPr>
                  <w:r>
                    <w:rPr>
                      <w:rFonts w:hint="eastAsia"/>
                      <w:color w:val="auto"/>
                      <w:highlight w:val="none"/>
                    </w:rPr>
                    <w:t>应支付的安全文明施工费预付款</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5</w:t>
                  </w:r>
                </w:p>
              </w:tc>
              <w:tc>
                <w:tcPr>
                  <w:tcW w:w="3340" w:type="dxa"/>
                </w:tcPr>
                <w:p>
                  <w:pPr>
                    <w:spacing w:line="280" w:lineRule="exact"/>
                    <w:rPr>
                      <w:color w:val="auto"/>
                      <w:highlight w:val="none"/>
                    </w:rPr>
                  </w:pPr>
                  <w:r>
                    <w:rPr>
                      <w:rFonts w:hint="eastAsia"/>
                      <w:color w:val="auto"/>
                      <w:highlight w:val="none"/>
                    </w:rPr>
                    <w:t>合计应支付的预付款</w:t>
                  </w: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p>
              </w:tc>
              <w:tc>
                <w:tcPr>
                  <w:tcW w:w="1764" w:type="dxa"/>
                </w:tcPr>
                <w:p>
                  <w:pPr>
                    <w:spacing w:line="280" w:lineRule="exact"/>
                    <w:rPr>
                      <w:color w:val="auto"/>
                      <w:highlight w:val="none"/>
                    </w:rPr>
                  </w:pPr>
                </w:p>
              </w:tc>
              <w:tc>
                <w:tcPr>
                  <w:tcW w:w="2240" w:type="dxa"/>
                </w:tcPr>
                <w:p>
                  <w:pPr>
                    <w:spacing w:line="280" w:lineRule="exact"/>
                    <w:rPr>
                      <w:color w:val="auto"/>
                      <w:highlight w:val="none"/>
                    </w:rPr>
                  </w:pPr>
                </w:p>
              </w:tc>
              <w:tc>
                <w:tcPr>
                  <w:tcW w:w="1080" w:type="dxa"/>
                </w:tcPr>
                <w:p>
                  <w:pPr>
                    <w:spacing w:line="280" w:lineRule="exact"/>
                    <w:rPr>
                      <w:color w:val="auto"/>
                      <w:highlight w:val="none"/>
                    </w:rPr>
                  </w:pPr>
                </w:p>
              </w:tc>
            </w:tr>
          </w:tbl>
          <w:p>
            <w:pPr>
              <w:wordWrap w:val="0"/>
              <w:spacing w:line="400" w:lineRule="exact"/>
              <w:ind w:right="420"/>
              <w:rPr>
                <w:color w:val="auto"/>
                <w:highlight w:val="none"/>
              </w:rPr>
            </w:pPr>
          </w:p>
          <w:p>
            <w:pPr>
              <w:wordWrap w:val="0"/>
              <w:spacing w:line="400" w:lineRule="exact"/>
              <w:ind w:right="420"/>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jc w:val="center"/>
        </w:trPr>
        <w:tc>
          <w:tcPr>
            <w:tcW w:w="4767"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□与合同约定不相符，修改意见见附件。</w:t>
            </w:r>
          </w:p>
          <w:p>
            <w:pPr>
              <w:spacing w:line="360" w:lineRule="exact"/>
              <w:ind w:firstLine="312"/>
              <w:rPr>
                <w:color w:val="auto"/>
                <w:highlight w:val="none"/>
              </w:rPr>
            </w:pPr>
            <w:r>
              <w:rPr>
                <w:rFonts w:hint="eastAsia"/>
                <w:color w:val="auto"/>
                <w:highlight w:val="none"/>
              </w:rPr>
              <w:t>□与合同约定相符，具体金额由造价工程师复核。</w:t>
            </w:r>
          </w:p>
          <w:p>
            <w:pPr>
              <w:spacing w:line="360" w:lineRule="exact"/>
              <w:ind w:firstLine="435"/>
              <w:jc w:val="right"/>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767"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pPr>
              <w:spacing w:line="360" w:lineRule="exact"/>
              <w:rPr>
                <w:color w:val="auto"/>
                <w:highlight w:val="none"/>
              </w:rPr>
            </w:pPr>
            <w:r>
              <w:rPr>
                <w:rFonts w:hint="eastAsia"/>
                <w:color w:val="auto"/>
                <w:highlight w:val="none"/>
                <w:u w:val="single"/>
              </w:rPr>
              <w:t xml:space="preserve">          </w:t>
            </w:r>
            <w:r>
              <w:rPr>
                <w:rFonts w:hint="eastAsia"/>
                <w:color w:val="auto"/>
                <w:highlight w:val="none"/>
              </w:rPr>
              <w:t xml:space="preserve"> 元。</w:t>
            </w:r>
          </w:p>
          <w:p>
            <w:pPr>
              <w:spacing w:line="360" w:lineRule="exact"/>
              <w:rPr>
                <w:color w:val="auto"/>
                <w:highlight w:val="none"/>
                <w:u w:val="singl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534"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rFonts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rPr>
          <w:rFonts w:eastAsia="仿宋_GB2312"/>
          <w:color w:val="auto"/>
          <w:sz w:val="30"/>
          <w:szCs w:val="30"/>
          <w:highlight w:val="none"/>
        </w:rPr>
      </w:pPr>
      <w:bookmarkStart w:id="1299" w:name="_Toc26671"/>
      <w:bookmarkStart w:id="1300" w:name="_Toc16118"/>
      <w:r>
        <w:rPr>
          <w:rFonts w:hint="eastAsia" w:eastAsia="仿宋_GB2312"/>
          <w:color w:val="auto"/>
          <w:sz w:val="30"/>
          <w:szCs w:val="30"/>
          <w:highlight w:val="none"/>
        </w:rPr>
        <w:br w:type="page"/>
      </w:r>
    </w:p>
    <w:p>
      <w:pPr>
        <w:spacing w:before="120" w:beforeLines="50"/>
        <w:outlineLvl w:val="0"/>
        <w:rPr>
          <w:rFonts w:eastAsia="仿宋_GB2312"/>
          <w:color w:val="auto"/>
          <w:sz w:val="30"/>
          <w:szCs w:val="30"/>
          <w:highlight w:val="none"/>
        </w:rPr>
      </w:pPr>
      <w:r>
        <w:rPr>
          <w:rFonts w:hint="eastAsia" w:eastAsia="仿宋_GB2312"/>
          <w:color w:val="auto"/>
          <w:sz w:val="30"/>
          <w:szCs w:val="30"/>
          <w:highlight w:val="none"/>
        </w:rPr>
        <w:t>附件11：</w:t>
      </w:r>
      <w:bookmarkEnd w:id="1299"/>
      <w:bookmarkEnd w:id="1300"/>
    </w:p>
    <w:p>
      <w:pPr>
        <w:jc w:val="center"/>
        <w:rPr>
          <w:b/>
          <w:color w:val="auto"/>
          <w:sz w:val="36"/>
          <w:szCs w:val="36"/>
          <w:highlight w:val="none"/>
        </w:rPr>
      </w:pPr>
      <w:r>
        <w:rPr>
          <w:rFonts w:hint="eastAsia"/>
          <w:b/>
          <w:color w:val="auto"/>
          <w:sz w:val="36"/>
          <w:szCs w:val="36"/>
          <w:highlight w:val="none"/>
        </w:rPr>
        <w:t>进度款支付申请（核准）表</w:t>
      </w:r>
    </w:p>
    <w:p>
      <w:pPr>
        <w:rPr>
          <w:color w:val="auto"/>
          <w:sz w:val="24"/>
          <w:highlight w:val="none"/>
        </w:rPr>
      </w:pPr>
      <w:r>
        <w:rPr>
          <w:rFonts w:hint="eastAsia"/>
          <w:color w:val="auto"/>
          <w:sz w:val="24"/>
          <w:highlight w:val="none"/>
        </w:rPr>
        <w:t>工程名称：                                             编号：</w:t>
      </w:r>
    </w:p>
    <w:tbl>
      <w:tblPr>
        <w:tblStyle w:val="43"/>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8" w:hRule="atLeast"/>
          <w:jc w:val="center"/>
        </w:trPr>
        <w:tc>
          <w:tcPr>
            <w:tcW w:w="9422"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w:t>
            </w:r>
            <w:r>
              <w:rPr>
                <w:rFonts w:hint="eastAsia"/>
                <w:color w:val="auto"/>
                <w:highlight w:val="none"/>
                <w:u w:val="single"/>
              </w:rPr>
              <w:t xml:space="preserve">               </w:t>
            </w:r>
            <w:r>
              <w:rPr>
                <w:rFonts w:hint="eastAsia"/>
                <w:color w:val="auto"/>
                <w:highlight w:val="none"/>
              </w:rPr>
              <w:t>工作，根据施工合同的约定，现申请支付本期的合同款额为(大写)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43"/>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340" w:type="dxa"/>
                  <w:vAlign w:val="center"/>
                </w:tcPr>
                <w:p>
                  <w:pPr>
                    <w:spacing w:line="280" w:lineRule="exact"/>
                    <w:jc w:val="center"/>
                    <w:rPr>
                      <w:color w:val="auto"/>
                      <w:highlight w:val="none"/>
                    </w:rPr>
                  </w:pPr>
                  <w:r>
                    <w:rPr>
                      <w:rFonts w:hint="eastAsia"/>
                      <w:color w:val="auto"/>
                      <w:highlight w:val="none"/>
                    </w:rPr>
                    <w:t>名      称</w:t>
                  </w:r>
                </w:p>
              </w:tc>
              <w:tc>
                <w:tcPr>
                  <w:tcW w:w="1340" w:type="dxa"/>
                  <w:vAlign w:val="center"/>
                </w:tcPr>
                <w:p>
                  <w:pPr>
                    <w:spacing w:line="280" w:lineRule="exact"/>
                    <w:jc w:val="center"/>
                    <w:rPr>
                      <w:color w:val="auto"/>
                      <w:highlight w:val="none"/>
                    </w:rPr>
                  </w:pPr>
                  <w:r>
                    <w:rPr>
                      <w:rFonts w:hint="eastAsia"/>
                      <w:color w:val="auto"/>
                      <w:highlight w:val="none"/>
                    </w:rPr>
                    <w:t>实际金额（元）</w:t>
                  </w:r>
                </w:p>
              </w:tc>
              <w:tc>
                <w:tcPr>
                  <w:tcW w:w="1440" w:type="dxa"/>
                  <w:vAlign w:val="center"/>
                </w:tcPr>
                <w:p>
                  <w:pPr>
                    <w:spacing w:line="280" w:lineRule="exact"/>
                    <w:jc w:val="center"/>
                    <w:rPr>
                      <w:color w:val="auto"/>
                      <w:highlight w:val="none"/>
                    </w:rPr>
                  </w:pPr>
                  <w:r>
                    <w:rPr>
                      <w:rFonts w:hint="eastAsia"/>
                      <w:color w:val="auto"/>
                      <w:highlight w:val="none"/>
                    </w:rPr>
                    <w:t>申请金额（元）</w:t>
                  </w:r>
                </w:p>
              </w:tc>
              <w:tc>
                <w:tcPr>
                  <w:tcW w:w="1260" w:type="dxa"/>
                  <w:vAlign w:val="center"/>
                </w:tcPr>
                <w:p>
                  <w:pPr>
                    <w:spacing w:line="280" w:lineRule="exact"/>
                    <w:jc w:val="center"/>
                    <w:rPr>
                      <w:color w:val="auto"/>
                      <w:highlight w:val="none"/>
                    </w:rPr>
                  </w:pPr>
                  <w:r>
                    <w:rPr>
                      <w:rFonts w:hint="eastAsia"/>
                      <w:color w:val="auto"/>
                      <w:highlight w:val="none"/>
                    </w:rPr>
                    <w:t>复核金额（元）</w:t>
                  </w:r>
                </w:p>
              </w:tc>
              <w:tc>
                <w:tcPr>
                  <w:tcW w:w="931"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340" w:type="dxa"/>
                </w:tcPr>
                <w:p>
                  <w:pPr>
                    <w:spacing w:line="280" w:lineRule="exact"/>
                    <w:rPr>
                      <w:color w:val="auto"/>
                      <w:highlight w:val="none"/>
                    </w:rPr>
                  </w:pPr>
                  <w:r>
                    <w:rPr>
                      <w:rFonts w:hint="eastAsia"/>
                      <w:color w:val="auto"/>
                      <w:highlight w:val="none"/>
                    </w:rPr>
                    <w:t>累计已完成的工程价款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340" w:type="dxa"/>
                </w:tcPr>
                <w:p>
                  <w:pPr>
                    <w:spacing w:line="280" w:lineRule="exact"/>
                    <w:rPr>
                      <w:color w:val="auto"/>
                      <w:highlight w:val="none"/>
                    </w:rPr>
                  </w:pPr>
                  <w:r>
                    <w:rPr>
                      <w:rFonts w:hint="eastAsia"/>
                      <w:color w:val="auto"/>
                      <w:highlight w:val="none"/>
                    </w:rPr>
                    <w:t>累计已实际支付的工程价款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340" w:type="dxa"/>
                </w:tcPr>
                <w:p>
                  <w:pPr>
                    <w:spacing w:line="280" w:lineRule="exact"/>
                    <w:rPr>
                      <w:color w:val="auto"/>
                      <w:highlight w:val="none"/>
                    </w:rPr>
                  </w:pPr>
                  <w:r>
                    <w:rPr>
                      <w:rFonts w:hint="eastAsia"/>
                      <w:color w:val="auto"/>
                      <w:highlight w:val="none"/>
                    </w:rPr>
                    <w:t>本周期已完成的工程价款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340" w:type="dxa"/>
                </w:tcPr>
                <w:p>
                  <w:pPr>
                    <w:spacing w:line="280" w:lineRule="exact"/>
                    <w:rPr>
                      <w:color w:val="auto"/>
                      <w:highlight w:val="none"/>
                    </w:rPr>
                  </w:pPr>
                  <w:r>
                    <w:rPr>
                      <w:rFonts w:hint="eastAsia"/>
                      <w:color w:val="auto"/>
                      <w:highlight w:val="none"/>
                    </w:rPr>
                    <w:t>本周期应扣减的金额</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4.1</w:t>
                  </w:r>
                </w:p>
              </w:tc>
              <w:tc>
                <w:tcPr>
                  <w:tcW w:w="3340" w:type="dxa"/>
                </w:tcPr>
                <w:p>
                  <w:pPr>
                    <w:spacing w:line="280" w:lineRule="exact"/>
                    <w:rPr>
                      <w:color w:val="auto"/>
                      <w:highlight w:val="none"/>
                    </w:rPr>
                  </w:pPr>
                  <w:r>
                    <w:rPr>
                      <w:rFonts w:hint="eastAsia"/>
                      <w:color w:val="auto"/>
                      <w:highlight w:val="none"/>
                    </w:rPr>
                    <w:t>本周期实际应抵扣的预付款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4.2</w:t>
                  </w:r>
                </w:p>
              </w:tc>
              <w:tc>
                <w:tcPr>
                  <w:tcW w:w="3340" w:type="dxa"/>
                </w:tcPr>
                <w:p>
                  <w:pPr>
                    <w:spacing w:line="280" w:lineRule="exact"/>
                    <w:rPr>
                      <w:color w:val="auto"/>
                      <w:highlight w:val="none"/>
                    </w:rPr>
                  </w:pPr>
                  <w:r>
                    <w:rPr>
                      <w:rFonts w:hint="eastAsia"/>
                      <w:color w:val="auto"/>
                      <w:highlight w:val="none"/>
                    </w:rPr>
                    <w:t>本周期应扣减的金额</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5</w:t>
                  </w:r>
                </w:p>
              </w:tc>
              <w:tc>
                <w:tcPr>
                  <w:tcW w:w="3340" w:type="dxa"/>
                </w:tcPr>
                <w:p>
                  <w:pPr>
                    <w:spacing w:line="280" w:lineRule="exact"/>
                    <w:rPr>
                      <w:color w:val="auto"/>
                      <w:highlight w:val="none"/>
                    </w:rPr>
                  </w:pPr>
                  <w:r>
                    <w:rPr>
                      <w:rFonts w:hint="eastAsia"/>
                      <w:color w:val="auto"/>
                      <w:highlight w:val="none"/>
                    </w:rPr>
                    <w:t>本周期应支付的合同价款</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340" w:type="dxa"/>
                </w:tcPr>
                <w:p>
                  <w:pPr>
                    <w:spacing w:line="280" w:lineRule="exact"/>
                    <w:rPr>
                      <w:color w:val="auto"/>
                      <w:highlight w:val="none"/>
                    </w:rPr>
                  </w:pPr>
                  <w:r>
                    <w:rPr>
                      <w:rFonts w:hint="eastAsia"/>
                      <w:color w:val="auto"/>
                      <w:highlight w:val="none"/>
                    </w:rPr>
                    <w:t>其中：人工费</w:t>
                  </w:r>
                </w:p>
              </w:tc>
              <w:tc>
                <w:tcPr>
                  <w:tcW w:w="1340" w:type="dxa"/>
                </w:tcPr>
                <w:p>
                  <w:pPr>
                    <w:spacing w:line="280" w:lineRule="exact"/>
                    <w:rPr>
                      <w:color w:val="auto"/>
                      <w:highlight w:val="none"/>
                    </w:rPr>
                  </w:pPr>
                </w:p>
              </w:tc>
              <w:tc>
                <w:tcPr>
                  <w:tcW w:w="1440" w:type="dxa"/>
                </w:tcPr>
                <w:p>
                  <w:pPr>
                    <w:spacing w:line="280" w:lineRule="exact"/>
                    <w:rPr>
                      <w:color w:val="auto"/>
                      <w:highlight w:val="none"/>
                    </w:rPr>
                  </w:pPr>
                </w:p>
              </w:tc>
              <w:tc>
                <w:tcPr>
                  <w:tcW w:w="1260" w:type="dxa"/>
                </w:tcPr>
                <w:p>
                  <w:pPr>
                    <w:spacing w:line="280" w:lineRule="exact"/>
                    <w:rPr>
                      <w:color w:val="auto"/>
                      <w:highlight w:val="none"/>
                    </w:rPr>
                  </w:pPr>
                </w:p>
              </w:tc>
              <w:tc>
                <w:tcPr>
                  <w:tcW w:w="931" w:type="dxa"/>
                </w:tcPr>
                <w:p>
                  <w:pPr>
                    <w:spacing w:line="280" w:lineRule="exact"/>
                    <w:rPr>
                      <w:color w:val="auto"/>
                      <w:highlight w:val="none"/>
                    </w:rPr>
                  </w:pPr>
                </w:p>
              </w:tc>
            </w:tr>
          </w:tbl>
          <w:p>
            <w:pPr>
              <w:wordWrap w:val="0"/>
              <w:spacing w:line="400" w:lineRule="exact"/>
              <w:ind w:right="420"/>
              <w:rPr>
                <w:color w:val="auto"/>
                <w:highlight w:val="none"/>
              </w:rPr>
            </w:pPr>
            <w:r>
              <w:rPr>
                <w:rFonts w:hint="eastAsia"/>
                <w:color w:val="auto"/>
                <w:highlight w:val="none"/>
              </w:rPr>
              <w:t>附：上述3、4详见附件清单。</w:t>
            </w:r>
          </w:p>
          <w:p>
            <w:pPr>
              <w:wordWrap w:val="0"/>
              <w:spacing w:line="400" w:lineRule="exact"/>
              <w:ind w:right="420"/>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jc w:val="center"/>
        </w:trPr>
        <w:tc>
          <w:tcPr>
            <w:tcW w:w="4711"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□与实际施工情况不相符，修改意见见附件。</w:t>
            </w:r>
          </w:p>
          <w:p>
            <w:pPr>
              <w:spacing w:line="360" w:lineRule="exact"/>
              <w:ind w:firstLine="312"/>
              <w:rPr>
                <w:color w:val="auto"/>
                <w:highlight w:val="none"/>
              </w:rPr>
            </w:pPr>
            <w:r>
              <w:rPr>
                <w:rFonts w:hint="eastAsia"/>
                <w:color w:val="auto"/>
                <w:highlight w:val="none"/>
              </w:rPr>
              <w:t>□与实际施工情况相符，具体金额由造价工程师复核。</w:t>
            </w:r>
          </w:p>
          <w:p>
            <w:pPr>
              <w:spacing w:line="360" w:lineRule="exact"/>
              <w:ind w:firstLine="435"/>
              <w:jc w:val="right"/>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711"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rPr>
            </w:pPr>
            <w:r>
              <w:rPr>
                <w:rFonts w:hint="eastAsia"/>
                <w:color w:val="auto"/>
                <w:highlight w:val="none"/>
              </w:rPr>
              <w:t>你方提出的支付申请经复核，本周期已完成工程价款为(大写)</w:t>
            </w:r>
            <w:r>
              <w:rPr>
                <w:rFonts w:hint="eastAsia"/>
                <w:color w:val="auto"/>
                <w:highlight w:val="none"/>
                <w:u w:val="single"/>
              </w:rPr>
              <w:t xml:space="preserve">                </w:t>
            </w:r>
            <w:r>
              <w:rPr>
                <w:rFonts w:hint="eastAsia"/>
                <w:color w:val="auto"/>
                <w:highlight w:val="none"/>
              </w:rPr>
              <w:t>元，（小写）</w:t>
            </w:r>
          </w:p>
          <w:p>
            <w:pPr>
              <w:spacing w:line="360" w:lineRule="exact"/>
              <w:rPr>
                <w:color w:val="auto"/>
                <w:highlight w:val="none"/>
              </w:rPr>
            </w:pPr>
            <w:r>
              <w:rPr>
                <w:rFonts w:hint="eastAsia"/>
                <w:color w:val="auto"/>
                <w:highlight w:val="none"/>
                <w:u w:val="single"/>
              </w:rPr>
              <w:t xml:space="preserve">          </w:t>
            </w:r>
            <w:r>
              <w:rPr>
                <w:rFonts w:hint="eastAsia"/>
                <w:color w:val="auto"/>
                <w:highlight w:val="none"/>
              </w:rPr>
              <w:t xml:space="preserve"> 元，本期间应支付金额为（大写）</w:t>
            </w:r>
          </w:p>
          <w:p>
            <w:pPr>
              <w:spacing w:line="360" w:lineRule="exact"/>
              <w:rPr>
                <w:color w:val="auto"/>
                <w:highlight w:val="none"/>
                <w:u w:val="single"/>
              </w:rPr>
            </w:pP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422"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rPr>
          <w:color w:val="auto"/>
          <w:sz w:val="30"/>
          <w:szCs w:val="30"/>
          <w:highlight w:val="none"/>
        </w:rPr>
      </w:pPr>
      <w:r>
        <w:rPr>
          <w:rFonts w:hint="eastAsia" w:ascii="宋体"/>
          <w:color w:val="auto"/>
          <w:highlight w:val="none"/>
        </w:rPr>
        <w:br w:type="page"/>
      </w:r>
      <w:bookmarkStart w:id="1301" w:name="_Toc1677"/>
      <w:bookmarkStart w:id="1302" w:name="_Toc10430"/>
    </w:p>
    <w:p>
      <w:pPr>
        <w:jc w:val="left"/>
        <w:outlineLvl w:val="0"/>
        <w:rPr>
          <w:color w:val="auto"/>
          <w:sz w:val="30"/>
          <w:szCs w:val="30"/>
          <w:highlight w:val="none"/>
        </w:rPr>
      </w:pPr>
      <w:r>
        <w:rPr>
          <w:rFonts w:hint="eastAsia"/>
          <w:color w:val="auto"/>
          <w:sz w:val="30"/>
          <w:szCs w:val="30"/>
          <w:highlight w:val="none"/>
        </w:rPr>
        <w:t>附件1</w:t>
      </w:r>
      <w:bookmarkEnd w:id="1301"/>
      <w:bookmarkEnd w:id="1302"/>
      <w:r>
        <w:rPr>
          <w:rFonts w:hint="eastAsia"/>
          <w:color w:val="auto"/>
          <w:sz w:val="30"/>
          <w:szCs w:val="30"/>
          <w:highlight w:val="none"/>
        </w:rPr>
        <w:t>2</w:t>
      </w:r>
    </w:p>
    <w:p>
      <w:pPr>
        <w:jc w:val="center"/>
        <w:rPr>
          <w:b/>
          <w:color w:val="auto"/>
          <w:sz w:val="36"/>
          <w:szCs w:val="36"/>
          <w:highlight w:val="none"/>
        </w:rPr>
      </w:pPr>
      <w:r>
        <w:rPr>
          <w:rFonts w:hint="eastAsia"/>
          <w:b/>
          <w:color w:val="auto"/>
          <w:sz w:val="36"/>
          <w:szCs w:val="36"/>
          <w:highlight w:val="none"/>
        </w:rPr>
        <w:t>竣工结算款支付申请（核准）表</w:t>
      </w:r>
    </w:p>
    <w:p>
      <w:pPr>
        <w:rPr>
          <w:color w:val="auto"/>
          <w:sz w:val="24"/>
          <w:highlight w:val="none"/>
        </w:rPr>
      </w:pPr>
      <w:r>
        <w:rPr>
          <w:rFonts w:hint="eastAsia"/>
          <w:color w:val="auto"/>
          <w:sz w:val="24"/>
          <w:highlight w:val="none"/>
        </w:rPr>
        <w:t>工程名称：                                              编号：</w:t>
      </w:r>
    </w:p>
    <w:tbl>
      <w:tblPr>
        <w:tblStyle w:val="43"/>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0" w:hRule="atLeast"/>
          <w:jc w:val="center"/>
        </w:trPr>
        <w:tc>
          <w:tcPr>
            <w:tcW w:w="9422"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43"/>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420" w:type="dxa"/>
                  <w:vAlign w:val="center"/>
                </w:tcPr>
                <w:p>
                  <w:pPr>
                    <w:spacing w:line="280" w:lineRule="exact"/>
                    <w:jc w:val="center"/>
                    <w:rPr>
                      <w:color w:val="auto"/>
                      <w:highlight w:val="none"/>
                    </w:rPr>
                  </w:pPr>
                  <w:r>
                    <w:rPr>
                      <w:rFonts w:hint="eastAsia"/>
                      <w:color w:val="auto"/>
                      <w:highlight w:val="none"/>
                    </w:rPr>
                    <w:t>名      称</w:t>
                  </w:r>
                </w:p>
              </w:tc>
              <w:tc>
                <w:tcPr>
                  <w:tcW w:w="1620" w:type="dxa"/>
                  <w:vAlign w:val="center"/>
                </w:tcPr>
                <w:p>
                  <w:pPr>
                    <w:spacing w:line="280" w:lineRule="exact"/>
                    <w:jc w:val="center"/>
                    <w:rPr>
                      <w:color w:val="auto"/>
                      <w:highlight w:val="none"/>
                    </w:rPr>
                  </w:pPr>
                  <w:r>
                    <w:rPr>
                      <w:rFonts w:hint="eastAsia"/>
                      <w:color w:val="auto"/>
                      <w:highlight w:val="none"/>
                    </w:rPr>
                    <w:t>申请金额（元）</w:t>
                  </w:r>
                </w:p>
              </w:tc>
              <w:tc>
                <w:tcPr>
                  <w:tcW w:w="1620" w:type="dxa"/>
                  <w:vAlign w:val="center"/>
                </w:tcPr>
                <w:p>
                  <w:pPr>
                    <w:spacing w:line="280" w:lineRule="exact"/>
                    <w:jc w:val="center"/>
                    <w:rPr>
                      <w:color w:val="auto"/>
                      <w:highlight w:val="none"/>
                    </w:rPr>
                  </w:pPr>
                  <w:r>
                    <w:rPr>
                      <w:rFonts w:hint="eastAsia"/>
                      <w:color w:val="auto"/>
                      <w:highlight w:val="none"/>
                    </w:rPr>
                    <w:t>复核金额（元）</w:t>
                  </w:r>
                </w:p>
              </w:tc>
              <w:tc>
                <w:tcPr>
                  <w:tcW w:w="1651"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420" w:type="dxa"/>
                </w:tcPr>
                <w:p>
                  <w:pPr>
                    <w:spacing w:line="280" w:lineRule="exact"/>
                    <w:rPr>
                      <w:color w:val="auto"/>
                      <w:highlight w:val="none"/>
                    </w:rPr>
                  </w:pPr>
                  <w:r>
                    <w:rPr>
                      <w:rFonts w:hint="eastAsia"/>
                      <w:color w:val="auto"/>
                      <w:highlight w:val="none"/>
                    </w:rPr>
                    <w:t>竣工结算合同价款总额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420" w:type="dxa"/>
                </w:tcPr>
                <w:p>
                  <w:pPr>
                    <w:spacing w:line="280" w:lineRule="exact"/>
                    <w:rPr>
                      <w:color w:val="auto"/>
                      <w:highlight w:val="none"/>
                    </w:rPr>
                  </w:pPr>
                  <w:r>
                    <w:rPr>
                      <w:rFonts w:hint="eastAsia"/>
                      <w:color w:val="auto"/>
                      <w:highlight w:val="none"/>
                    </w:rPr>
                    <w:t>累计已实际支付的合同价款</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420" w:type="dxa"/>
                </w:tcPr>
                <w:p>
                  <w:pPr>
                    <w:spacing w:line="280" w:lineRule="exact"/>
                    <w:rPr>
                      <w:color w:val="auto"/>
                      <w:highlight w:val="none"/>
                    </w:rPr>
                  </w:pPr>
                  <w:r>
                    <w:rPr>
                      <w:rFonts w:hint="eastAsia"/>
                      <w:color w:val="auto"/>
                      <w:highlight w:val="none"/>
                    </w:rPr>
                    <w:t>应预留的质量保证金</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420" w:type="dxa"/>
                </w:tcPr>
                <w:p>
                  <w:pPr>
                    <w:spacing w:line="280" w:lineRule="exact"/>
                    <w:rPr>
                      <w:color w:val="auto"/>
                      <w:highlight w:val="none"/>
                    </w:rPr>
                  </w:pPr>
                  <w:r>
                    <w:rPr>
                      <w:rFonts w:hint="eastAsia"/>
                      <w:color w:val="auto"/>
                      <w:highlight w:val="none"/>
                    </w:rPr>
                    <w:t>应支付的竣工结算款金额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bl>
          <w:p>
            <w:pPr>
              <w:spacing w:line="400" w:lineRule="exact"/>
              <w:ind w:right="420" w:firstLine="435"/>
              <w:jc w:val="center"/>
              <w:rPr>
                <w:color w:val="auto"/>
                <w:highlight w:val="none"/>
              </w:rPr>
            </w:pPr>
          </w:p>
          <w:p>
            <w:pPr>
              <w:spacing w:line="400" w:lineRule="exact"/>
              <w:ind w:right="420" w:firstLine="435"/>
              <w:jc w:val="center"/>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4711"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□与实际施工情况不相符，修改意见见附件。</w:t>
            </w:r>
          </w:p>
          <w:p>
            <w:pPr>
              <w:spacing w:line="360" w:lineRule="exact"/>
              <w:ind w:firstLine="312"/>
              <w:rPr>
                <w:color w:val="auto"/>
                <w:highlight w:val="none"/>
              </w:rPr>
            </w:pPr>
            <w:r>
              <w:rPr>
                <w:rFonts w:hint="eastAsia"/>
                <w:color w:val="auto"/>
                <w:highlight w:val="none"/>
              </w:rPr>
              <w:t>□与实际施工情况相符，具体金额由造价工程师复核。</w:t>
            </w:r>
          </w:p>
          <w:p>
            <w:pPr>
              <w:spacing w:line="360" w:lineRule="exact"/>
              <w:ind w:firstLine="435"/>
              <w:jc w:val="right"/>
              <w:rPr>
                <w:color w:val="auto"/>
                <w:highlight w:val="none"/>
              </w:rPr>
            </w:pPr>
          </w:p>
          <w:p>
            <w:pPr>
              <w:spacing w:line="360" w:lineRule="exact"/>
              <w:ind w:firstLine="435"/>
              <w:jc w:val="right"/>
              <w:rPr>
                <w:color w:val="auto"/>
                <w:highlight w:val="none"/>
              </w:rPr>
            </w:pPr>
          </w:p>
          <w:p>
            <w:pPr>
              <w:spacing w:line="360" w:lineRule="exact"/>
              <w:ind w:firstLine="435"/>
              <w:jc w:val="center"/>
              <w:rPr>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711"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color w:val="auto"/>
                <w:highlight w:val="none"/>
              </w:rPr>
            </w:pPr>
            <w:r>
              <w:rPr>
                <w:color w:val="auto"/>
                <w:highlight w:val="none"/>
              </w:rPr>
              <w:t xml:space="preserve">    </w:t>
            </w:r>
          </w:p>
          <w:p>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422"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 xml:space="preserve">注：1.在选择栏中的“□”内作标识“√”。 </w:t>
      </w:r>
    </w:p>
    <w:p>
      <w:pPr>
        <w:spacing w:before="120" w:beforeLines="50"/>
        <w:ind w:left="720" w:hanging="720" w:hangingChars="400"/>
        <w:rPr>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ind w:right="360"/>
        <w:rPr>
          <w:color w:val="auto"/>
          <w:sz w:val="18"/>
          <w:szCs w:val="18"/>
          <w:highlight w:val="none"/>
        </w:rPr>
      </w:pPr>
      <w:r>
        <w:rPr>
          <w:rFonts w:hint="eastAsia"/>
          <w:color w:val="auto"/>
          <w:sz w:val="18"/>
          <w:szCs w:val="18"/>
          <w:highlight w:val="none"/>
        </w:rPr>
        <w:t xml:space="preserve">                                                                                            </w:t>
      </w:r>
    </w:p>
    <w:p>
      <w:pPr>
        <w:jc w:val="center"/>
        <w:rPr>
          <w:rFonts w:hAnsi="宋体" w:cs="宋体"/>
          <w:color w:val="auto"/>
          <w:highlight w:val="none"/>
        </w:rPr>
      </w:pPr>
    </w:p>
    <w:p>
      <w:pPr>
        <w:rPr>
          <w:rFonts w:hAnsi="宋体" w:cs="宋体"/>
          <w:color w:val="auto"/>
          <w:sz w:val="30"/>
          <w:szCs w:val="30"/>
          <w:highlight w:val="none"/>
        </w:rPr>
      </w:pPr>
      <w:bookmarkStart w:id="1303" w:name="_Toc846"/>
      <w:bookmarkStart w:id="1304" w:name="_Toc19072"/>
      <w:r>
        <w:rPr>
          <w:rFonts w:hint="eastAsia" w:hAnsi="宋体" w:cs="宋体"/>
          <w:color w:val="auto"/>
          <w:sz w:val="30"/>
          <w:szCs w:val="30"/>
          <w:highlight w:val="none"/>
        </w:rPr>
        <w:br w:type="page"/>
      </w:r>
    </w:p>
    <w:p>
      <w:pPr>
        <w:jc w:val="left"/>
        <w:outlineLvl w:val="0"/>
        <w:rPr>
          <w:b/>
          <w:color w:val="auto"/>
          <w:sz w:val="30"/>
          <w:szCs w:val="30"/>
          <w:highlight w:val="none"/>
        </w:rPr>
      </w:pPr>
      <w:r>
        <w:rPr>
          <w:rFonts w:hint="eastAsia" w:hAnsi="宋体" w:cs="宋体"/>
          <w:color w:val="auto"/>
          <w:sz w:val="30"/>
          <w:szCs w:val="30"/>
          <w:highlight w:val="none"/>
        </w:rPr>
        <w:t>附件13：</w:t>
      </w:r>
      <w:bookmarkEnd w:id="1303"/>
      <w:bookmarkEnd w:id="1304"/>
    </w:p>
    <w:p>
      <w:pPr>
        <w:jc w:val="center"/>
        <w:rPr>
          <w:b/>
          <w:color w:val="auto"/>
          <w:sz w:val="36"/>
          <w:szCs w:val="36"/>
          <w:highlight w:val="none"/>
        </w:rPr>
      </w:pPr>
      <w:r>
        <w:rPr>
          <w:rFonts w:hint="eastAsia"/>
          <w:b/>
          <w:color w:val="auto"/>
          <w:sz w:val="36"/>
          <w:szCs w:val="36"/>
          <w:highlight w:val="none"/>
        </w:rPr>
        <w:t>最终结算款支付申请（核准）表</w:t>
      </w:r>
    </w:p>
    <w:p>
      <w:pPr>
        <w:rPr>
          <w:color w:val="auto"/>
          <w:sz w:val="24"/>
          <w:highlight w:val="none"/>
        </w:rPr>
      </w:pPr>
      <w:r>
        <w:rPr>
          <w:rFonts w:hint="eastAsia"/>
          <w:color w:val="auto"/>
          <w:sz w:val="24"/>
          <w:highlight w:val="none"/>
        </w:rPr>
        <w:t>工程名称：                                             编号：</w:t>
      </w:r>
    </w:p>
    <w:tbl>
      <w:tblPr>
        <w:tblStyle w:val="43"/>
        <w:tblW w:w="94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1"/>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4" w:hRule="atLeast"/>
          <w:jc w:val="center"/>
        </w:trPr>
        <w:tc>
          <w:tcPr>
            <w:tcW w:w="9422" w:type="dxa"/>
            <w:gridSpan w:val="2"/>
          </w:tcPr>
          <w:p>
            <w:pPr>
              <w:spacing w:line="480" w:lineRule="exact"/>
              <w:ind w:left="525" w:leftChars="149" w:hanging="212" w:hangingChars="101"/>
              <w:rPr>
                <w:color w:val="auto"/>
                <w:highlight w:val="none"/>
                <w:u w:val="single"/>
              </w:rPr>
            </w:pPr>
            <w:r>
              <w:rPr>
                <w:rFonts w:hint="eastAsia"/>
                <w:color w:val="auto"/>
                <w:highlight w:val="none"/>
              </w:rPr>
              <w:t>致：</w:t>
            </w:r>
            <w:r>
              <w:rPr>
                <w:rFonts w:hint="eastAsia"/>
                <w:color w:val="auto"/>
                <w:highlight w:val="none"/>
                <w:u w:val="single"/>
              </w:rPr>
              <w:t xml:space="preserve">                                   （发包人全称）</w:t>
            </w:r>
          </w:p>
          <w:p>
            <w:pPr>
              <w:spacing w:line="400" w:lineRule="exact"/>
              <w:ind w:left="-4" w:leftChars="-2" w:firstLine="315" w:firstLineChars="150"/>
              <w:rPr>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期间已完成了缺陷修复工作，根据施工合同的约定，现申请支付最终结清合同款额为(大写)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43"/>
              <w:tblpPr w:leftFromText="180" w:rightFromText="180" w:vertAnchor="page" w:horzAnchor="margin" w:tblpY="1309"/>
              <w:tblOverlap w:val="never"/>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535" w:type="dxa"/>
                  <w:vAlign w:val="center"/>
                </w:tcPr>
                <w:p>
                  <w:pPr>
                    <w:spacing w:line="280" w:lineRule="exact"/>
                    <w:jc w:val="center"/>
                    <w:rPr>
                      <w:color w:val="auto"/>
                      <w:highlight w:val="none"/>
                    </w:rPr>
                  </w:pPr>
                  <w:r>
                    <w:rPr>
                      <w:rFonts w:hint="eastAsia"/>
                      <w:color w:val="auto"/>
                      <w:highlight w:val="none"/>
                    </w:rPr>
                    <w:t>序号</w:t>
                  </w:r>
                </w:p>
              </w:tc>
              <w:tc>
                <w:tcPr>
                  <w:tcW w:w="3420" w:type="dxa"/>
                  <w:vAlign w:val="center"/>
                </w:tcPr>
                <w:p>
                  <w:pPr>
                    <w:spacing w:line="280" w:lineRule="exact"/>
                    <w:jc w:val="center"/>
                    <w:rPr>
                      <w:color w:val="auto"/>
                      <w:highlight w:val="none"/>
                    </w:rPr>
                  </w:pPr>
                  <w:r>
                    <w:rPr>
                      <w:rFonts w:hint="eastAsia"/>
                      <w:color w:val="auto"/>
                      <w:highlight w:val="none"/>
                    </w:rPr>
                    <w:t>名      称</w:t>
                  </w:r>
                </w:p>
              </w:tc>
              <w:tc>
                <w:tcPr>
                  <w:tcW w:w="1620" w:type="dxa"/>
                  <w:vAlign w:val="center"/>
                </w:tcPr>
                <w:p>
                  <w:pPr>
                    <w:spacing w:line="280" w:lineRule="exact"/>
                    <w:jc w:val="center"/>
                    <w:rPr>
                      <w:color w:val="auto"/>
                      <w:highlight w:val="none"/>
                    </w:rPr>
                  </w:pPr>
                  <w:r>
                    <w:rPr>
                      <w:rFonts w:hint="eastAsia"/>
                      <w:color w:val="auto"/>
                      <w:highlight w:val="none"/>
                    </w:rPr>
                    <w:t>申请金额（元）</w:t>
                  </w:r>
                </w:p>
              </w:tc>
              <w:tc>
                <w:tcPr>
                  <w:tcW w:w="1620" w:type="dxa"/>
                  <w:vAlign w:val="center"/>
                </w:tcPr>
                <w:p>
                  <w:pPr>
                    <w:spacing w:line="280" w:lineRule="exact"/>
                    <w:jc w:val="center"/>
                    <w:rPr>
                      <w:color w:val="auto"/>
                      <w:highlight w:val="none"/>
                    </w:rPr>
                  </w:pPr>
                  <w:r>
                    <w:rPr>
                      <w:rFonts w:hint="eastAsia"/>
                      <w:color w:val="auto"/>
                      <w:highlight w:val="none"/>
                    </w:rPr>
                    <w:t>复核金额（元）</w:t>
                  </w:r>
                </w:p>
              </w:tc>
              <w:tc>
                <w:tcPr>
                  <w:tcW w:w="1651" w:type="dxa"/>
                  <w:vAlign w:val="center"/>
                </w:tcPr>
                <w:p>
                  <w:pPr>
                    <w:spacing w:line="28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1</w:t>
                  </w:r>
                </w:p>
              </w:tc>
              <w:tc>
                <w:tcPr>
                  <w:tcW w:w="3420" w:type="dxa"/>
                </w:tcPr>
                <w:p>
                  <w:pPr>
                    <w:spacing w:line="280" w:lineRule="exact"/>
                    <w:rPr>
                      <w:color w:val="auto"/>
                      <w:highlight w:val="none"/>
                    </w:rPr>
                  </w:pPr>
                  <w:r>
                    <w:rPr>
                      <w:rFonts w:hint="eastAsia"/>
                      <w:color w:val="auto"/>
                      <w:highlight w:val="none"/>
                    </w:rPr>
                    <w:t>已预留的质量保证金</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2</w:t>
                  </w:r>
                </w:p>
              </w:tc>
              <w:tc>
                <w:tcPr>
                  <w:tcW w:w="3420" w:type="dxa"/>
                </w:tcPr>
                <w:p>
                  <w:pPr>
                    <w:spacing w:line="280" w:lineRule="exact"/>
                    <w:rPr>
                      <w:color w:val="auto"/>
                      <w:highlight w:val="none"/>
                    </w:rPr>
                  </w:pPr>
                  <w:r>
                    <w:rPr>
                      <w:rFonts w:hint="eastAsia"/>
                      <w:color w:val="auto"/>
                      <w:highlight w:val="none"/>
                    </w:rPr>
                    <w:t>应增加因发包人原因造成缺陷的修复金额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3</w:t>
                  </w:r>
                </w:p>
              </w:tc>
              <w:tc>
                <w:tcPr>
                  <w:tcW w:w="3420" w:type="dxa"/>
                </w:tcPr>
                <w:p>
                  <w:pPr>
                    <w:spacing w:line="280" w:lineRule="exact"/>
                    <w:rPr>
                      <w:color w:val="auto"/>
                      <w:highlight w:val="none"/>
                    </w:rPr>
                  </w:pPr>
                  <w:r>
                    <w:rPr>
                      <w:rFonts w:hint="eastAsia"/>
                      <w:color w:val="auto"/>
                      <w:highlight w:val="none"/>
                    </w:rPr>
                    <w:t>应扣减承包人不修复缺陷、发包人组织修复的金额</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r>
                    <w:rPr>
                      <w:rFonts w:hint="eastAsia"/>
                      <w:color w:val="auto"/>
                      <w:highlight w:val="none"/>
                    </w:rPr>
                    <w:t>4</w:t>
                  </w:r>
                </w:p>
              </w:tc>
              <w:tc>
                <w:tcPr>
                  <w:tcW w:w="3420" w:type="dxa"/>
                </w:tcPr>
                <w:p>
                  <w:pPr>
                    <w:spacing w:line="280" w:lineRule="exact"/>
                    <w:rPr>
                      <w:color w:val="auto"/>
                      <w:highlight w:val="none"/>
                    </w:rPr>
                  </w:pPr>
                  <w:r>
                    <w:rPr>
                      <w:rFonts w:hint="eastAsia"/>
                      <w:color w:val="auto"/>
                      <w:highlight w:val="none"/>
                    </w:rPr>
                    <w:t>最终应支付的合同价款</w:t>
                  </w: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tcPr>
                <w:p>
                  <w:pPr>
                    <w:spacing w:line="280" w:lineRule="exact"/>
                    <w:jc w:val="center"/>
                    <w:rPr>
                      <w:color w:val="auto"/>
                      <w:highlight w:val="none"/>
                    </w:rPr>
                  </w:pPr>
                </w:p>
              </w:tc>
              <w:tc>
                <w:tcPr>
                  <w:tcW w:w="3420" w:type="dxa"/>
                </w:tcPr>
                <w:p>
                  <w:pPr>
                    <w:spacing w:line="280" w:lineRule="exact"/>
                    <w:rPr>
                      <w:color w:val="auto"/>
                      <w:highlight w:val="none"/>
                    </w:rPr>
                  </w:pPr>
                </w:p>
              </w:tc>
              <w:tc>
                <w:tcPr>
                  <w:tcW w:w="1620" w:type="dxa"/>
                </w:tcPr>
                <w:p>
                  <w:pPr>
                    <w:spacing w:line="280" w:lineRule="exact"/>
                    <w:rPr>
                      <w:color w:val="auto"/>
                      <w:highlight w:val="none"/>
                    </w:rPr>
                  </w:pPr>
                </w:p>
              </w:tc>
              <w:tc>
                <w:tcPr>
                  <w:tcW w:w="1620" w:type="dxa"/>
                </w:tcPr>
                <w:p>
                  <w:pPr>
                    <w:spacing w:line="280" w:lineRule="exact"/>
                    <w:rPr>
                      <w:color w:val="auto"/>
                      <w:highlight w:val="none"/>
                    </w:rPr>
                  </w:pPr>
                </w:p>
              </w:tc>
              <w:tc>
                <w:tcPr>
                  <w:tcW w:w="1651" w:type="dxa"/>
                </w:tcPr>
                <w:p>
                  <w:pPr>
                    <w:spacing w:line="280" w:lineRule="exact"/>
                    <w:rPr>
                      <w:color w:val="auto"/>
                      <w:highlight w:val="none"/>
                    </w:rPr>
                  </w:pPr>
                </w:p>
              </w:tc>
            </w:tr>
          </w:tbl>
          <w:p>
            <w:pPr>
              <w:spacing w:line="400" w:lineRule="exact"/>
              <w:ind w:right="420" w:firstLine="435"/>
              <w:jc w:val="center"/>
              <w:rPr>
                <w:color w:val="auto"/>
                <w:highlight w:val="none"/>
              </w:rPr>
            </w:pPr>
            <w:r>
              <w:rPr>
                <w:rFonts w:hint="eastAsia"/>
                <w:color w:val="auto"/>
                <w:highlight w:val="none"/>
              </w:rPr>
              <w:t xml:space="preserve">                                            承包人（章）             </w:t>
            </w:r>
          </w:p>
          <w:p>
            <w:pPr>
              <w:spacing w:line="400" w:lineRule="exact"/>
              <w:ind w:right="420" w:firstLine="435"/>
              <w:rPr>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0" w:hRule="atLeast"/>
          <w:jc w:val="center"/>
        </w:trPr>
        <w:tc>
          <w:tcPr>
            <w:tcW w:w="4711" w:type="dxa"/>
          </w:tcPr>
          <w:p>
            <w:pPr>
              <w:spacing w:line="360" w:lineRule="exact"/>
              <w:rPr>
                <w:color w:val="auto"/>
                <w:highlight w:val="none"/>
              </w:rPr>
            </w:pPr>
            <w:r>
              <w:rPr>
                <w:rFonts w:hint="eastAsia"/>
                <w:color w:val="auto"/>
                <w:highlight w:val="none"/>
              </w:rPr>
              <w:t>复核意见：</w:t>
            </w:r>
          </w:p>
          <w:p>
            <w:pPr>
              <w:spacing w:line="360" w:lineRule="exact"/>
              <w:ind w:firstLine="312"/>
              <w:rPr>
                <w:color w:val="auto"/>
                <w:highlight w:val="none"/>
              </w:rPr>
            </w:pPr>
            <w:r>
              <w:rPr>
                <w:rFonts w:hint="eastAsia"/>
                <w:color w:val="auto"/>
                <w:highlight w:val="none"/>
              </w:rPr>
              <w:t>□与实际施工情况不相符，修改意见见附件。</w:t>
            </w:r>
          </w:p>
          <w:p>
            <w:pPr>
              <w:spacing w:line="360" w:lineRule="exact"/>
              <w:ind w:firstLine="312"/>
              <w:rPr>
                <w:color w:val="auto"/>
                <w:highlight w:val="none"/>
              </w:rPr>
            </w:pPr>
            <w:r>
              <w:rPr>
                <w:rFonts w:hint="eastAsia"/>
                <w:color w:val="auto"/>
                <w:highlight w:val="none"/>
              </w:rPr>
              <w:t>□与实际施工情况相符，具体金额由造价工程师复核。</w:t>
            </w:r>
          </w:p>
          <w:p>
            <w:pPr>
              <w:spacing w:line="360" w:lineRule="exact"/>
              <w:ind w:firstLine="435"/>
              <w:jc w:val="right"/>
              <w:rPr>
                <w:color w:val="auto"/>
                <w:highlight w:val="none"/>
              </w:rPr>
            </w:pPr>
          </w:p>
          <w:p>
            <w:pPr>
              <w:spacing w:line="360" w:lineRule="exact"/>
              <w:ind w:firstLine="435"/>
              <w:jc w:val="right"/>
              <w:rPr>
                <w:color w:val="auto"/>
                <w:highlight w:val="none"/>
              </w:rPr>
            </w:pPr>
          </w:p>
          <w:p>
            <w:pPr>
              <w:spacing w:line="360" w:lineRule="exact"/>
              <w:ind w:firstLine="435"/>
              <w:jc w:val="center"/>
              <w:rPr>
                <w:color w:val="auto"/>
                <w:highlight w:val="none"/>
              </w:rPr>
            </w:pPr>
            <w:r>
              <w:rPr>
                <w:color w:val="auto"/>
                <w:highlight w:val="none"/>
              </w:rPr>
              <w:t xml:space="preserve">    </w:t>
            </w:r>
            <w:r>
              <w:rPr>
                <w:rFonts w:hint="eastAsia"/>
                <w:color w:val="auto"/>
                <w:highlight w:val="none"/>
              </w:rPr>
              <w:t xml:space="preserve">     </w:t>
            </w:r>
          </w:p>
          <w:p>
            <w:pPr>
              <w:spacing w:line="360" w:lineRule="exact"/>
              <w:ind w:firstLine="435"/>
              <w:jc w:val="center"/>
              <w:rPr>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711" w:type="dxa"/>
          </w:tcPr>
          <w:p>
            <w:pPr>
              <w:spacing w:line="360" w:lineRule="exact"/>
              <w:rPr>
                <w:color w:val="auto"/>
                <w:highlight w:val="none"/>
              </w:rPr>
            </w:pPr>
            <w:r>
              <w:rPr>
                <w:rFonts w:hint="eastAsia"/>
                <w:color w:val="auto"/>
                <w:highlight w:val="none"/>
              </w:rPr>
              <w:t>复核意见：</w:t>
            </w:r>
          </w:p>
          <w:p>
            <w:pPr>
              <w:spacing w:line="360" w:lineRule="exact"/>
              <w:ind w:firstLine="435"/>
              <w:rPr>
                <w:color w:val="auto"/>
                <w:highlight w:val="none"/>
                <w:u w:val="single"/>
              </w:rPr>
            </w:pPr>
            <w:r>
              <w:rPr>
                <w:rFonts w:hint="eastAsia"/>
                <w:color w:val="auto"/>
                <w:highlight w:val="none"/>
              </w:rPr>
              <w:t>你方提出的支付申请经复核，最终应支付金额为（大写）</w:t>
            </w:r>
            <w:r>
              <w:rPr>
                <w:rFonts w:hint="eastAsia"/>
                <w:color w:val="auto"/>
                <w:highlight w:val="none"/>
                <w:u w:val="single"/>
              </w:rPr>
              <w:t xml:space="preserve">          </w:t>
            </w:r>
            <w:r>
              <w:rPr>
                <w:rFonts w:hint="eastAsia"/>
                <w:color w:val="auto"/>
                <w:highlight w:val="none"/>
              </w:rPr>
              <w:t xml:space="preserve">元，（小写）  </w:t>
            </w:r>
            <w:r>
              <w:rPr>
                <w:rFonts w:hint="eastAsia"/>
                <w:color w:val="auto"/>
                <w:highlight w:val="none"/>
                <w:u w:val="single"/>
              </w:rPr>
              <w:t xml:space="preserve">       </w:t>
            </w:r>
            <w:r>
              <w:rPr>
                <w:rFonts w:hint="eastAsia"/>
                <w:color w:val="auto"/>
                <w:highlight w:val="none"/>
              </w:rPr>
              <w:t>元。</w:t>
            </w:r>
          </w:p>
          <w:p>
            <w:pPr>
              <w:spacing w:line="360" w:lineRule="exact"/>
              <w:ind w:firstLine="435"/>
              <w:jc w:val="center"/>
              <w:rPr>
                <w:color w:val="auto"/>
                <w:highlight w:val="none"/>
              </w:rPr>
            </w:pPr>
            <w:r>
              <w:rPr>
                <w:color w:val="auto"/>
                <w:highlight w:val="none"/>
              </w:rPr>
              <w:t xml:space="preserve">    </w:t>
            </w:r>
          </w:p>
          <w:p>
            <w:pPr>
              <w:spacing w:line="360" w:lineRule="exact"/>
              <w:ind w:firstLine="435"/>
              <w:jc w:val="center"/>
              <w:rPr>
                <w:color w:val="auto"/>
                <w:highlight w:val="none"/>
              </w:rPr>
            </w:pPr>
          </w:p>
          <w:p>
            <w:pPr>
              <w:spacing w:line="360" w:lineRule="exact"/>
              <w:ind w:firstLine="435"/>
              <w:jc w:val="center"/>
              <w:rPr>
                <w:color w:val="auto"/>
                <w:highlight w:val="none"/>
              </w:rPr>
            </w:pPr>
          </w:p>
          <w:p>
            <w:pPr>
              <w:spacing w:line="360" w:lineRule="exact"/>
              <w:ind w:firstLine="435"/>
              <w:jc w:val="center"/>
              <w:rPr>
                <w:color w:val="auto"/>
                <w:highlight w:val="none"/>
              </w:rPr>
            </w:pPr>
          </w:p>
          <w:p>
            <w:pPr>
              <w:spacing w:line="360" w:lineRule="exact"/>
              <w:ind w:firstLine="435"/>
              <w:jc w:val="center"/>
              <w:rPr>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1" w:hRule="atLeast"/>
          <w:jc w:val="center"/>
        </w:trPr>
        <w:tc>
          <w:tcPr>
            <w:tcW w:w="9422" w:type="dxa"/>
            <w:gridSpan w:val="2"/>
          </w:tcPr>
          <w:p>
            <w:pPr>
              <w:spacing w:line="400" w:lineRule="exact"/>
              <w:rPr>
                <w:color w:val="auto"/>
                <w:highlight w:val="none"/>
              </w:rPr>
            </w:pPr>
            <w:r>
              <w:rPr>
                <w:rFonts w:hint="eastAsia"/>
                <w:color w:val="auto"/>
                <w:highlight w:val="none"/>
              </w:rPr>
              <w:t>审核意见：</w:t>
            </w:r>
          </w:p>
          <w:p>
            <w:pPr>
              <w:spacing w:line="400" w:lineRule="exact"/>
              <w:ind w:firstLine="435"/>
              <w:rPr>
                <w:color w:val="auto"/>
                <w:highlight w:val="none"/>
              </w:rPr>
            </w:pPr>
            <w:r>
              <w:rPr>
                <w:rFonts w:hint="eastAsia"/>
                <w:color w:val="auto"/>
                <w:highlight w:val="none"/>
              </w:rPr>
              <w:t>□不同意。</w:t>
            </w:r>
          </w:p>
          <w:p>
            <w:pPr>
              <w:spacing w:line="400" w:lineRule="exact"/>
              <w:ind w:firstLine="420" w:firstLineChars="200"/>
              <w:rPr>
                <w:color w:val="auto"/>
                <w:highlight w:val="none"/>
              </w:rPr>
            </w:pPr>
            <w:r>
              <w:rPr>
                <w:rFonts w:hint="eastAsia"/>
                <w:color w:val="auto"/>
                <w:highlight w:val="none"/>
              </w:rPr>
              <w:t>□同意，支付时间为本表签发后的15天内。</w:t>
            </w:r>
          </w:p>
          <w:p>
            <w:pPr>
              <w:wordWrap w:val="0"/>
              <w:spacing w:line="400" w:lineRule="exact"/>
              <w:ind w:firstLine="420" w:firstLineChars="200"/>
              <w:jc w:val="right"/>
              <w:rPr>
                <w:color w:val="auto"/>
                <w:highlight w:val="none"/>
              </w:rPr>
            </w:pPr>
            <w:r>
              <w:rPr>
                <w:rFonts w:hint="eastAsia"/>
                <w:color w:val="auto"/>
                <w:highlight w:val="none"/>
              </w:rPr>
              <w:t xml:space="preserve">发包人（章）           </w:t>
            </w:r>
          </w:p>
          <w:p>
            <w:pPr>
              <w:wordWrap w:val="0"/>
              <w:spacing w:line="400" w:lineRule="exact"/>
              <w:ind w:firstLine="420" w:firstLineChars="200"/>
              <w:jc w:val="right"/>
              <w:rPr>
                <w:color w:val="auto"/>
                <w:highlight w:val="none"/>
                <w:u w:val="single"/>
              </w:rPr>
            </w:pPr>
            <w:r>
              <w:rPr>
                <w:rFonts w:hint="eastAsia"/>
                <w:color w:val="auto"/>
                <w:highlight w:val="none"/>
              </w:rPr>
              <w:t>发包人代表</w:t>
            </w:r>
            <w:r>
              <w:rPr>
                <w:rFonts w:hint="eastAsia"/>
                <w:color w:val="auto"/>
                <w:highlight w:val="none"/>
                <w:u w:val="single"/>
              </w:rPr>
              <w:t xml:space="preserve">             </w:t>
            </w:r>
          </w:p>
          <w:p>
            <w:pPr>
              <w:wordWrap w:val="0"/>
              <w:spacing w:line="400" w:lineRule="exact"/>
              <w:ind w:firstLine="420" w:firstLineChars="200"/>
              <w:jc w:val="right"/>
              <w:rPr>
                <w:color w:val="auto"/>
                <w:highlight w:val="none"/>
                <w:u w:val="single"/>
              </w:rPr>
            </w:pPr>
            <w:r>
              <w:rPr>
                <w:rFonts w:hint="eastAsia"/>
                <w:color w:val="auto"/>
                <w:highlight w:val="none"/>
              </w:rPr>
              <w:t>日      期</w:t>
            </w:r>
            <w:r>
              <w:rPr>
                <w:rFonts w:hint="eastAsia"/>
                <w:color w:val="auto"/>
                <w:highlight w:val="none"/>
                <w:u w:val="single"/>
              </w:rPr>
              <w:t xml:space="preserve">             </w:t>
            </w:r>
          </w:p>
        </w:tc>
      </w:tr>
    </w:tbl>
    <w:p>
      <w:pPr>
        <w:spacing w:before="120" w:beforeLines="50"/>
        <w:ind w:firstLine="360" w:firstLineChars="200"/>
        <w:rPr>
          <w:color w:val="auto"/>
          <w:sz w:val="18"/>
          <w:szCs w:val="18"/>
          <w:highlight w:val="none"/>
        </w:rPr>
      </w:pPr>
      <w:r>
        <w:rPr>
          <w:rFonts w:hint="eastAsia"/>
          <w:color w:val="auto"/>
          <w:sz w:val="18"/>
          <w:szCs w:val="18"/>
          <w:highlight w:val="none"/>
        </w:rPr>
        <w:t>注：1.在选择栏中的“□”内作标识“√”。 如监理人已退场，监理工程师栏可空缺。</w:t>
      </w:r>
    </w:p>
    <w:p>
      <w:pPr>
        <w:spacing w:before="120" w:beforeLines="50"/>
        <w:ind w:left="720" w:hanging="720" w:hangingChars="400"/>
        <w:rPr>
          <w:rFonts w:ascii="宋体"/>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pPr>
        <w:rPr>
          <w:color w:val="auto"/>
          <w:sz w:val="30"/>
          <w:szCs w:val="30"/>
          <w:highlight w:val="none"/>
        </w:rPr>
      </w:pPr>
      <w:bookmarkStart w:id="1305" w:name="_Toc29608"/>
      <w:bookmarkStart w:id="1306" w:name="_Toc16088"/>
      <w:r>
        <w:rPr>
          <w:rFonts w:hint="eastAsia"/>
          <w:color w:val="auto"/>
          <w:sz w:val="30"/>
          <w:szCs w:val="30"/>
          <w:highlight w:val="none"/>
        </w:rPr>
        <w:br w:type="page"/>
      </w:r>
    </w:p>
    <w:p>
      <w:pPr>
        <w:spacing w:line="360" w:lineRule="auto"/>
        <w:jc w:val="left"/>
        <w:outlineLvl w:val="0"/>
        <w:rPr>
          <w:rFonts w:hAnsi="宋体" w:cs="宋体"/>
          <w:color w:val="auto"/>
          <w:sz w:val="30"/>
          <w:szCs w:val="30"/>
          <w:highlight w:val="none"/>
        </w:rPr>
      </w:pPr>
      <w:r>
        <w:rPr>
          <w:rFonts w:hint="eastAsia"/>
          <w:color w:val="auto"/>
          <w:sz w:val="30"/>
          <w:szCs w:val="30"/>
          <w:highlight w:val="none"/>
        </w:rPr>
        <w:t>附件14：</w:t>
      </w:r>
      <w:bookmarkEnd w:id="1305"/>
      <w:bookmarkEnd w:id="1306"/>
    </w:p>
    <w:p>
      <w:pPr>
        <w:spacing w:line="360" w:lineRule="auto"/>
        <w:ind w:firstLine="720" w:firstLineChars="200"/>
        <w:jc w:val="center"/>
        <w:outlineLvl w:val="0"/>
        <w:rPr>
          <w:rFonts w:ascii="宋体" w:hAnsi="宋体" w:cs="宋体"/>
          <w:color w:val="auto"/>
          <w:kern w:val="0"/>
          <w:sz w:val="36"/>
          <w:szCs w:val="36"/>
          <w:highlight w:val="none"/>
        </w:rPr>
      </w:pPr>
      <w:bookmarkStart w:id="1307" w:name="_Toc2870"/>
      <w:bookmarkStart w:id="1308" w:name="_Toc2338"/>
      <w:r>
        <w:rPr>
          <w:rFonts w:hint="eastAsia" w:ascii="宋体" w:hAnsi="宋体" w:cs="宋体"/>
          <w:color w:val="auto"/>
          <w:kern w:val="0"/>
          <w:sz w:val="36"/>
          <w:szCs w:val="36"/>
          <w:highlight w:val="none"/>
        </w:rPr>
        <w:t>总价合同进度款支付分解表</w:t>
      </w:r>
      <w:bookmarkEnd w:id="1307"/>
      <w:bookmarkEnd w:id="1308"/>
    </w:p>
    <w:p>
      <w:pPr>
        <w:spacing w:line="360" w:lineRule="auto"/>
        <w:rPr>
          <w:rFonts w:ascii="宋体" w:hAnsi="宋体" w:cs="宋体"/>
          <w:color w:val="auto"/>
          <w:kern w:val="0"/>
          <w:highlight w:val="none"/>
        </w:rPr>
      </w:pPr>
      <w:r>
        <w:rPr>
          <w:rFonts w:hint="eastAsia" w:ascii="宋体" w:hAnsi="宋体" w:cs="宋体"/>
          <w:color w:val="auto"/>
          <w:kern w:val="0"/>
          <w:highlight w:val="none"/>
        </w:rPr>
        <w:t>工程名称：</w:t>
      </w:r>
    </w:p>
    <w:tbl>
      <w:tblPr>
        <w:tblStyle w:val="43"/>
        <w:tblW w:w="886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
        <w:gridCol w:w="1417"/>
        <w:gridCol w:w="3119"/>
        <w:gridCol w:w="675"/>
        <w:gridCol w:w="2268"/>
        <w:gridCol w:w="1155"/>
        <w:gridCol w:w="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进度款期次</w:t>
            </w:r>
          </w:p>
        </w:tc>
        <w:tc>
          <w:tcPr>
            <w:tcW w:w="3794" w:type="dxa"/>
            <w:gridSpan w:val="2"/>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形象进度</w:t>
            </w:r>
          </w:p>
        </w:tc>
        <w:tc>
          <w:tcPr>
            <w:tcW w:w="2268"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进度款付款金额（元）</w:t>
            </w:r>
          </w:p>
        </w:tc>
        <w:tc>
          <w:tcPr>
            <w:tcW w:w="1276" w:type="dxa"/>
            <w:gridSpan w:val="2"/>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第一期</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gridSpan w:val="2"/>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第二期</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gridSpan w:val="2"/>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highlight w:val="none"/>
              </w:rPr>
            </w:pPr>
            <w:r>
              <w:rPr>
                <w:rFonts w:hint="eastAsia" w:ascii="宋体" w:hAnsi="宋体" w:cs="宋体"/>
                <w:color w:val="auto"/>
                <w:kern w:val="0"/>
                <w:highlight w:val="none"/>
              </w:rPr>
              <w:t>第三期</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gridSpan w:val="2"/>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12" w:type="dxa"/>
        </w:trPr>
        <w:tc>
          <w:tcPr>
            <w:tcW w:w="1417" w:type="dxa"/>
          </w:tcPr>
          <w:p>
            <w:pPr>
              <w:spacing w:line="360" w:lineRule="auto"/>
              <w:jc w:val="center"/>
              <w:rPr>
                <w:rFonts w:ascii="宋体" w:hAnsi="宋体" w:cs="宋体"/>
                <w:color w:val="auto"/>
                <w:kern w:val="0"/>
                <w:highlight w:val="none"/>
              </w:rPr>
            </w:pPr>
            <w:r>
              <w:rPr>
                <w:rFonts w:ascii="宋体" w:hAnsi="宋体" w:cs="宋体"/>
                <w:color w:val="auto"/>
                <w:kern w:val="0"/>
                <w:highlight w:val="none"/>
              </w:rPr>
              <w:t>……</w:t>
            </w:r>
          </w:p>
        </w:tc>
        <w:tc>
          <w:tcPr>
            <w:tcW w:w="3794" w:type="dxa"/>
            <w:gridSpan w:val="2"/>
          </w:tcPr>
          <w:p>
            <w:pPr>
              <w:spacing w:line="360" w:lineRule="auto"/>
              <w:jc w:val="center"/>
              <w:rPr>
                <w:rFonts w:ascii="宋体" w:hAnsi="宋体" w:cs="宋体"/>
                <w:color w:val="auto"/>
                <w:kern w:val="0"/>
                <w:highlight w:val="none"/>
              </w:rPr>
            </w:pPr>
          </w:p>
        </w:tc>
        <w:tc>
          <w:tcPr>
            <w:tcW w:w="2268" w:type="dxa"/>
          </w:tcPr>
          <w:p>
            <w:pPr>
              <w:spacing w:line="360" w:lineRule="auto"/>
              <w:jc w:val="center"/>
              <w:rPr>
                <w:rFonts w:ascii="宋体" w:hAnsi="宋体" w:cs="宋体"/>
                <w:color w:val="auto"/>
                <w:kern w:val="0"/>
                <w:highlight w:val="none"/>
              </w:rPr>
            </w:pPr>
          </w:p>
        </w:tc>
        <w:tc>
          <w:tcPr>
            <w:tcW w:w="1276" w:type="dxa"/>
            <w:gridSpan w:val="2"/>
          </w:tcPr>
          <w:p>
            <w:pPr>
              <w:spacing w:line="360" w:lineRule="auto"/>
              <w:jc w:val="cente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1" w:type="dxa"/>
          <w:trHeight w:val="2960" w:hRule="atLeast"/>
        </w:trPr>
        <w:tc>
          <w:tcPr>
            <w:tcW w:w="4648" w:type="dxa"/>
            <w:gridSpan w:val="3"/>
          </w:tcPr>
          <w:p>
            <w:pPr>
              <w:spacing w:line="360" w:lineRule="exact"/>
              <w:ind w:firstLine="435"/>
              <w:jc w:val="right"/>
              <w:rPr>
                <w:color w:val="auto"/>
                <w:highlight w:val="none"/>
              </w:rPr>
            </w:pPr>
          </w:p>
          <w:p>
            <w:pPr>
              <w:spacing w:line="360" w:lineRule="exact"/>
              <w:ind w:firstLine="435"/>
              <w:jc w:val="center"/>
              <w:rPr>
                <w:color w:val="auto"/>
                <w:highlight w:val="none"/>
              </w:rPr>
            </w:pPr>
          </w:p>
          <w:p>
            <w:pPr>
              <w:spacing w:line="360" w:lineRule="exact"/>
              <w:ind w:firstLine="435"/>
              <w:jc w:val="center"/>
              <w:rPr>
                <w:color w:val="auto"/>
                <w:highlight w:val="none"/>
              </w:rPr>
            </w:pPr>
            <w:r>
              <w:rPr>
                <w:rFonts w:hint="eastAsia"/>
                <w:color w:val="auto"/>
                <w:highlight w:val="none"/>
              </w:rPr>
              <w:t>发包人代表签字：</w:t>
            </w:r>
          </w:p>
          <w:p>
            <w:pPr>
              <w:spacing w:line="360" w:lineRule="exact"/>
              <w:ind w:firstLine="435"/>
              <w:jc w:val="center"/>
              <w:rPr>
                <w:color w:val="auto"/>
                <w:highlight w:val="none"/>
              </w:rPr>
            </w:pPr>
          </w:p>
          <w:p>
            <w:pPr>
              <w:spacing w:line="360" w:lineRule="exact"/>
              <w:ind w:firstLine="435"/>
              <w:jc w:val="center"/>
              <w:rPr>
                <w:color w:val="auto"/>
                <w:highlight w:val="none"/>
              </w:rPr>
            </w:pPr>
            <w:r>
              <w:rPr>
                <w:rFonts w:hint="eastAsia"/>
                <w:color w:val="auto"/>
                <w:highlight w:val="none"/>
              </w:rPr>
              <w:t>发包人（盖公章）</w:t>
            </w:r>
          </w:p>
          <w:p>
            <w:pPr>
              <w:spacing w:line="360" w:lineRule="exact"/>
              <w:ind w:firstLine="435"/>
              <w:jc w:val="center"/>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        </w:t>
            </w:r>
            <w:r>
              <w:rPr>
                <w:rFonts w:hint="eastAsia"/>
                <w:color w:val="auto"/>
                <w:highlight w:val="none"/>
                <w:u w:val="single"/>
              </w:rPr>
              <w:t xml:space="preserve">   </w:t>
            </w:r>
          </w:p>
        </w:tc>
        <w:tc>
          <w:tcPr>
            <w:tcW w:w="4098" w:type="dxa"/>
            <w:gridSpan w:val="3"/>
          </w:tcPr>
          <w:p>
            <w:pPr>
              <w:spacing w:line="360" w:lineRule="exact"/>
              <w:ind w:firstLine="435"/>
              <w:jc w:val="center"/>
              <w:rPr>
                <w:color w:val="auto"/>
                <w:highlight w:val="none"/>
              </w:rPr>
            </w:pPr>
          </w:p>
          <w:p>
            <w:pPr>
              <w:spacing w:line="360" w:lineRule="exact"/>
              <w:ind w:firstLine="435"/>
              <w:jc w:val="center"/>
              <w:rPr>
                <w:color w:val="auto"/>
                <w:highlight w:val="none"/>
                <w:u w:val="single"/>
              </w:rPr>
            </w:pPr>
          </w:p>
          <w:p>
            <w:pPr>
              <w:spacing w:line="360" w:lineRule="exact"/>
              <w:ind w:firstLine="435"/>
              <w:jc w:val="center"/>
              <w:rPr>
                <w:color w:val="auto"/>
                <w:highlight w:val="none"/>
              </w:rPr>
            </w:pPr>
            <w:r>
              <w:rPr>
                <w:rFonts w:hint="eastAsia"/>
                <w:color w:val="auto"/>
                <w:highlight w:val="none"/>
              </w:rPr>
              <w:t>承包人代表签字：</w:t>
            </w:r>
          </w:p>
          <w:p>
            <w:pPr>
              <w:spacing w:line="360" w:lineRule="exact"/>
              <w:ind w:firstLine="435"/>
              <w:jc w:val="center"/>
              <w:rPr>
                <w:color w:val="auto"/>
                <w:highlight w:val="none"/>
              </w:rPr>
            </w:pPr>
          </w:p>
          <w:p>
            <w:pPr>
              <w:spacing w:line="360" w:lineRule="exact"/>
              <w:ind w:firstLine="435"/>
              <w:jc w:val="center"/>
              <w:rPr>
                <w:color w:val="auto"/>
                <w:highlight w:val="none"/>
              </w:rPr>
            </w:pPr>
            <w:r>
              <w:rPr>
                <w:rFonts w:hint="eastAsia"/>
                <w:color w:val="auto"/>
                <w:highlight w:val="none"/>
              </w:rPr>
              <w:t>承包人（盖公章）</w:t>
            </w:r>
          </w:p>
          <w:p>
            <w:pPr>
              <w:spacing w:line="360" w:lineRule="exact"/>
              <w:ind w:firstLine="435"/>
              <w:jc w:val="center"/>
              <w:rPr>
                <w:color w:val="auto"/>
                <w:highlight w:val="none"/>
              </w:rPr>
            </w:pPr>
          </w:p>
          <w:p>
            <w:pPr>
              <w:spacing w:line="360" w:lineRule="exact"/>
              <w:ind w:firstLine="435"/>
              <w:jc w:val="center"/>
              <w:rPr>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bl>
    <w:p>
      <w:pPr>
        <w:rPr>
          <w:color w:val="auto"/>
          <w:highlight w:val="none"/>
        </w:rPr>
      </w:pPr>
    </w:p>
    <w:p>
      <w:pPr>
        <w:spacing w:line="360" w:lineRule="auto"/>
        <w:jc w:val="center"/>
        <w:rPr>
          <w:rFonts w:hAnsi="宋体"/>
          <w:b/>
          <w:color w:val="auto"/>
          <w:highlight w:val="none"/>
        </w:rPr>
      </w:pPr>
    </w:p>
    <w:p>
      <w:pPr>
        <w:pStyle w:val="2"/>
        <w:jc w:val="center"/>
        <w:rPr>
          <w:rFonts w:ascii="宋体" w:hAnsi="宋体" w:cs="仿宋_GB2312"/>
          <w:b w:val="0"/>
          <w:color w:val="auto"/>
          <w:highlight w:val="none"/>
        </w:rPr>
      </w:pPr>
      <w:r>
        <w:rPr>
          <w:color w:val="auto"/>
          <w:highlight w:val="none"/>
        </w:rPr>
        <w:br w:type="page"/>
      </w:r>
    </w:p>
    <w:p>
      <w:pPr>
        <w:spacing w:line="360" w:lineRule="auto"/>
        <w:jc w:val="left"/>
        <w:outlineLvl w:val="0"/>
        <w:rPr>
          <w:rFonts w:hAnsi="宋体" w:cs="宋体"/>
          <w:color w:val="auto"/>
          <w:sz w:val="30"/>
          <w:szCs w:val="30"/>
          <w:highlight w:val="none"/>
        </w:rPr>
      </w:pPr>
      <w:r>
        <w:rPr>
          <w:rFonts w:hint="eastAsia"/>
          <w:color w:val="auto"/>
          <w:sz w:val="30"/>
          <w:szCs w:val="30"/>
          <w:highlight w:val="none"/>
        </w:rPr>
        <w:t>附件15：</w:t>
      </w:r>
    </w:p>
    <w:p>
      <w:pPr>
        <w:rPr>
          <w:rFonts w:ascii="黑体" w:hAnsi="黑体" w:eastAsia="黑体" w:cs="黑体"/>
          <w:color w:val="auto"/>
          <w:sz w:val="44"/>
          <w:szCs w:val="44"/>
          <w:highlight w:val="none"/>
        </w:rPr>
      </w:pPr>
    </w:p>
    <w:p>
      <w:pPr>
        <w:jc w:val="center"/>
        <w:rPr>
          <w:rFonts w:ascii="黑体" w:hAnsi="黑体" w:eastAsia="黑体" w:cs="黑体"/>
          <w:color w:val="auto"/>
          <w:sz w:val="44"/>
          <w:szCs w:val="44"/>
          <w:highlight w:val="none"/>
        </w:rPr>
      </w:pPr>
      <w:r>
        <w:rPr>
          <w:rFonts w:hint="eastAsia" w:ascii="黑体" w:hAnsi="黑体" w:eastAsia="黑体" w:cs="黑体"/>
          <w:color w:val="auto"/>
          <w:sz w:val="44"/>
          <w:szCs w:val="44"/>
          <w:highlight w:val="none"/>
        </w:rPr>
        <w:t>安全生产协议书</w:t>
      </w:r>
    </w:p>
    <w:p>
      <w:pPr>
        <w:rPr>
          <w:color w:val="auto"/>
          <w:highlight w:val="none"/>
        </w:rPr>
      </w:pPr>
    </w:p>
    <w:p>
      <w:pPr>
        <w:spacing w:line="560" w:lineRule="exact"/>
        <w:rPr>
          <w:color w:val="auto"/>
          <w:sz w:val="28"/>
          <w:szCs w:val="28"/>
          <w:highlight w:val="none"/>
        </w:rPr>
      </w:pPr>
      <w:r>
        <w:rPr>
          <w:rFonts w:hint="eastAsia"/>
          <w:color w:val="auto"/>
          <w:sz w:val="28"/>
          <w:szCs w:val="28"/>
          <w:highlight w:val="none"/>
        </w:rPr>
        <w:t>甲方：________________</w:t>
      </w:r>
    </w:p>
    <w:p>
      <w:pPr>
        <w:spacing w:line="560" w:lineRule="exact"/>
        <w:rPr>
          <w:color w:val="auto"/>
          <w:sz w:val="28"/>
          <w:szCs w:val="28"/>
          <w:highlight w:val="none"/>
        </w:rPr>
      </w:pPr>
    </w:p>
    <w:p>
      <w:pPr>
        <w:spacing w:line="560" w:lineRule="exact"/>
        <w:rPr>
          <w:color w:val="auto"/>
          <w:sz w:val="28"/>
          <w:szCs w:val="28"/>
          <w:highlight w:val="none"/>
        </w:rPr>
      </w:pPr>
      <w:r>
        <w:rPr>
          <w:rFonts w:hint="eastAsia"/>
          <w:color w:val="auto"/>
          <w:sz w:val="28"/>
          <w:szCs w:val="28"/>
          <w:highlight w:val="none"/>
        </w:rPr>
        <w:t>乙方：________________</w:t>
      </w:r>
    </w:p>
    <w:p>
      <w:pPr>
        <w:spacing w:line="560" w:lineRule="exact"/>
        <w:rPr>
          <w:color w:val="auto"/>
          <w:sz w:val="28"/>
          <w:szCs w:val="28"/>
          <w:highlight w:val="none"/>
        </w:rPr>
      </w:pPr>
    </w:p>
    <w:p>
      <w:pPr>
        <w:spacing w:line="560" w:lineRule="exact"/>
        <w:ind w:firstLine="560" w:firstLineChars="200"/>
        <w:rPr>
          <w:color w:val="auto"/>
          <w:sz w:val="28"/>
          <w:szCs w:val="28"/>
          <w:highlight w:val="none"/>
        </w:rPr>
      </w:pPr>
      <w:r>
        <w:rPr>
          <w:rFonts w:hint="eastAsia"/>
          <w:color w:val="auto"/>
          <w:sz w:val="28"/>
          <w:szCs w:val="28"/>
          <w:highlight w:val="none"/>
        </w:rPr>
        <w:t>为了进一步贯彻落实“安全第一、预防为主、综合治理”的方针，全面落实双方在施工生产作业现场的安全管理责任，有效遏制各类事故的发生，确保施工生产作业现场的安全，经甲乙双方协商，现就</w:t>
      </w:r>
      <w:r>
        <w:rPr>
          <w:rFonts w:hint="eastAsia"/>
          <w:color w:val="auto"/>
          <w:sz w:val="28"/>
          <w:szCs w:val="28"/>
          <w:highlight w:val="none"/>
          <w:u w:val="single"/>
        </w:rPr>
        <w:t>******</w:t>
      </w:r>
      <w:r>
        <w:rPr>
          <w:rFonts w:hint="eastAsia"/>
          <w:color w:val="auto"/>
          <w:sz w:val="28"/>
          <w:szCs w:val="28"/>
          <w:highlight w:val="none"/>
        </w:rPr>
        <w:t>项目签订如下协议：</w:t>
      </w:r>
    </w:p>
    <w:p>
      <w:pPr>
        <w:spacing w:line="560" w:lineRule="exact"/>
        <w:ind w:firstLine="560" w:firstLineChars="200"/>
        <w:rPr>
          <w:color w:val="auto"/>
          <w:sz w:val="28"/>
          <w:szCs w:val="28"/>
          <w:highlight w:val="none"/>
        </w:rPr>
      </w:pPr>
      <w:r>
        <w:rPr>
          <w:rFonts w:hint="eastAsia"/>
          <w:color w:val="auto"/>
          <w:sz w:val="28"/>
          <w:szCs w:val="28"/>
          <w:highlight w:val="none"/>
        </w:rPr>
        <w:t>一、甲乙双方必须认真贯彻执行国家、市、区有关安全生产的法律、法规和政策，建立健全和落实安全生产责任制和管理制度，切实把“安全第一”方针落实到具体工作中去，确保人身、施工生产和作业现场的安全。</w:t>
      </w:r>
    </w:p>
    <w:p>
      <w:pPr>
        <w:spacing w:line="560" w:lineRule="exact"/>
        <w:ind w:firstLine="560" w:firstLineChars="200"/>
        <w:rPr>
          <w:color w:val="auto"/>
          <w:sz w:val="28"/>
          <w:szCs w:val="28"/>
          <w:highlight w:val="none"/>
        </w:rPr>
      </w:pPr>
      <w:r>
        <w:rPr>
          <w:rFonts w:hint="eastAsia"/>
          <w:color w:val="auto"/>
          <w:sz w:val="28"/>
          <w:szCs w:val="28"/>
          <w:highlight w:val="none"/>
        </w:rPr>
        <w:t>二、甲方对乙方施工安全生产工作负有监督、检查、考核、奖惩等管理职能。乙方必须接受甲方依法进行的安全生产监督检查和考核。</w:t>
      </w:r>
    </w:p>
    <w:p>
      <w:pPr>
        <w:spacing w:line="560" w:lineRule="exact"/>
        <w:ind w:firstLine="560" w:firstLineChars="200"/>
        <w:rPr>
          <w:color w:val="auto"/>
          <w:sz w:val="28"/>
          <w:szCs w:val="28"/>
          <w:highlight w:val="none"/>
        </w:rPr>
      </w:pPr>
      <w:r>
        <w:rPr>
          <w:rFonts w:hint="eastAsia"/>
          <w:color w:val="auto"/>
          <w:sz w:val="28"/>
          <w:szCs w:val="28"/>
          <w:highlight w:val="none"/>
        </w:rPr>
        <w:t>三、乙方要按照国家有关法律、法规和规定，结合本单位的实际，认真落实和执行甲方的各项安全生产要求。乙方要按照规定设置必要的安全管理机构和配置足够数量的合格安全管理人员，乙方应建立健全并严格执行安全生产的各项规章制度和操作规程，保证安全生产所必需的经费开支，不断改善安全施工条件，加强施工人员的安全生产教育和培训，提高安全生产意识和安全技术素质。乙方要认真做好骨干的安全责任制和事故追究制的落实工作。</w:t>
      </w:r>
    </w:p>
    <w:p>
      <w:pPr>
        <w:spacing w:line="560" w:lineRule="exact"/>
        <w:ind w:firstLine="560" w:firstLineChars="200"/>
        <w:rPr>
          <w:color w:val="auto"/>
          <w:sz w:val="28"/>
          <w:szCs w:val="28"/>
          <w:highlight w:val="none"/>
        </w:rPr>
      </w:pPr>
      <w:r>
        <w:rPr>
          <w:rFonts w:hint="eastAsia"/>
          <w:color w:val="auto"/>
          <w:sz w:val="28"/>
          <w:szCs w:val="28"/>
          <w:highlight w:val="none"/>
        </w:rPr>
        <w:t>四、乙方在施工生产作业现场必须做到：</w:t>
      </w:r>
    </w:p>
    <w:p>
      <w:pPr>
        <w:spacing w:line="560" w:lineRule="exact"/>
        <w:rPr>
          <w:color w:val="auto"/>
          <w:sz w:val="28"/>
          <w:szCs w:val="28"/>
          <w:highlight w:val="none"/>
        </w:rPr>
      </w:pPr>
    </w:p>
    <w:p>
      <w:pPr>
        <w:spacing w:line="560" w:lineRule="exact"/>
        <w:rPr>
          <w:color w:val="auto"/>
          <w:sz w:val="28"/>
          <w:szCs w:val="28"/>
          <w:highlight w:val="none"/>
        </w:rPr>
      </w:pPr>
      <w:r>
        <w:rPr>
          <w:rFonts w:hint="eastAsia"/>
          <w:color w:val="auto"/>
          <w:sz w:val="28"/>
          <w:szCs w:val="28"/>
          <w:highlight w:val="none"/>
        </w:rPr>
        <w:t>1. 遵守国家和百色市有关施工安全生产法律、法规和规定；</w:t>
      </w:r>
    </w:p>
    <w:p>
      <w:pPr>
        <w:spacing w:line="560" w:lineRule="exact"/>
        <w:rPr>
          <w:color w:val="auto"/>
          <w:sz w:val="28"/>
          <w:szCs w:val="28"/>
          <w:highlight w:val="none"/>
        </w:rPr>
      </w:pPr>
      <w:r>
        <w:rPr>
          <w:rFonts w:hint="eastAsia"/>
          <w:color w:val="auto"/>
          <w:sz w:val="28"/>
          <w:szCs w:val="28"/>
          <w:highlight w:val="none"/>
        </w:rPr>
        <w:t>2. 严禁违章作业、违章指挥；</w:t>
      </w:r>
    </w:p>
    <w:p>
      <w:pPr>
        <w:spacing w:line="560" w:lineRule="exact"/>
        <w:rPr>
          <w:color w:val="auto"/>
          <w:sz w:val="28"/>
          <w:szCs w:val="28"/>
          <w:highlight w:val="none"/>
        </w:rPr>
      </w:pPr>
      <w:r>
        <w:rPr>
          <w:rFonts w:hint="eastAsia"/>
          <w:color w:val="auto"/>
          <w:sz w:val="28"/>
          <w:szCs w:val="28"/>
          <w:highlight w:val="none"/>
        </w:rPr>
        <w:t>3. 严格遵守施工工作票、操作票制度和现场安全操作规定；</w:t>
      </w:r>
    </w:p>
    <w:p>
      <w:pPr>
        <w:spacing w:line="560" w:lineRule="exact"/>
        <w:rPr>
          <w:color w:val="auto"/>
          <w:sz w:val="28"/>
          <w:szCs w:val="28"/>
          <w:highlight w:val="none"/>
        </w:rPr>
      </w:pPr>
      <w:r>
        <w:rPr>
          <w:rFonts w:hint="eastAsia"/>
          <w:color w:val="auto"/>
          <w:sz w:val="28"/>
          <w:szCs w:val="28"/>
          <w:highlight w:val="none"/>
        </w:rPr>
        <w:t>4. 做好事故预防和危险点分析工作，隐患要及时消除；</w:t>
      </w:r>
    </w:p>
    <w:p>
      <w:pPr>
        <w:spacing w:line="560" w:lineRule="exact"/>
        <w:rPr>
          <w:color w:val="auto"/>
          <w:sz w:val="28"/>
          <w:szCs w:val="28"/>
          <w:highlight w:val="none"/>
        </w:rPr>
      </w:pPr>
      <w:r>
        <w:rPr>
          <w:rFonts w:hint="eastAsia"/>
          <w:color w:val="auto"/>
          <w:sz w:val="28"/>
          <w:szCs w:val="28"/>
          <w:highlight w:val="none"/>
        </w:rPr>
        <w:t>5. 做好施工生产作业现场的安全监督工作，发现问题及时报告；</w:t>
      </w:r>
    </w:p>
    <w:p>
      <w:pPr>
        <w:spacing w:line="560" w:lineRule="exact"/>
        <w:rPr>
          <w:color w:val="auto"/>
          <w:sz w:val="28"/>
          <w:szCs w:val="28"/>
          <w:highlight w:val="none"/>
        </w:rPr>
      </w:pPr>
      <w:r>
        <w:rPr>
          <w:rFonts w:hint="eastAsia"/>
          <w:color w:val="auto"/>
          <w:sz w:val="28"/>
          <w:szCs w:val="28"/>
          <w:highlight w:val="none"/>
        </w:rPr>
        <w:t>6. 严禁酒后进入施工生产作业现场；</w:t>
      </w:r>
    </w:p>
    <w:p>
      <w:pPr>
        <w:spacing w:line="560" w:lineRule="exact"/>
        <w:rPr>
          <w:color w:val="auto"/>
          <w:sz w:val="28"/>
          <w:szCs w:val="28"/>
          <w:highlight w:val="none"/>
        </w:rPr>
      </w:pPr>
      <w:r>
        <w:rPr>
          <w:rFonts w:hint="eastAsia"/>
          <w:color w:val="auto"/>
          <w:sz w:val="28"/>
          <w:szCs w:val="28"/>
          <w:highlight w:val="none"/>
        </w:rPr>
        <w:t>7. 严禁在施工生产作业现场吸烟。</w:t>
      </w:r>
    </w:p>
    <w:p>
      <w:pPr>
        <w:spacing w:line="560" w:lineRule="exact"/>
        <w:rPr>
          <w:color w:val="auto"/>
          <w:sz w:val="28"/>
          <w:szCs w:val="28"/>
          <w:highlight w:val="none"/>
        </w:rPr>
      </w:pPr>
      <w:r>
        <w:rPr>
          <w:rFonts w:hint="eastAsia"/>
          <w:color w:val="auto"/>
          <w:sz w:val="28"/>
          <w:szCs w:val="28"/>
          <w:highlight w:val="none"/>
        </w:rPr>
        <w:t>8. 杜绝其他可能引发安全问题的行为</w:t>
      </w:r>
    </w:p>
    <w:p>
      <w:pPr>
        <w:spacing w:line="560" w:lineRule="exact"/>
        <w:ind w:firstLine="560" w:firstLineChars="200"/>
        <w:rPr>
          <w:color w:val="auto"/>
          <w:sz w:val="28"/>
          <w:szCs w:val="28"/>
          <w:highlight w:val="none"/>
        </w:rPr>
      </w:pPr>
      <w:r>
        <w:rPr>
          <w:rFonts w:hint="eastAsia"/>
          <w:color w:val="auto"/>
          <w:sz w:val="28"/>
          <w:szCs w:val="28"/>
          <w:highlight w:val="none"/>
        </w:rPr>
        <w:t>五、甲方有权随时对乙方施工生产作业现场进行安全生产检查，对发现有违反施工安全生产规定或制度的，甲方有权予以制止、考核和奖惩。甲方有权对乙方在施工安全生产过程中存在的管理缺陷提出改进意见和建议。</w:t>
      </w:r>
    </w:p>
    <w:p>
      <w:pPr>
        <w:spacing w:line="560" w:lineRule="exact"/>
        <w:ind w:firstLine="560" w:firstLineChars="200"/>
        <w:rPr>
          <w:color w:val="auto"/>
          <w:sz w:val="28"/>
          <w:szCs w:val="28"/>
          <w:highlight w:val="none"/>
        </w:rPr>
      </w:pPr>
      <w:r>
        <w:rPr>
          <w:rFonts w:hint="eastAsia"/>
          <w:color w:val="auto"/>
          <w:sz w:val="28"/>
          <w:szCs w:val="28"/>
          <w:highlight w:val="none"/>
        </w:rPr>
        <w:t>六、本协议未尽事宜或需要更改的，双方应通过协商进行补充或修改。本协议一式两份，甲乙双方各执一份。本协议自签订之日起生效。</w:t>
      </w:r>
    </w:p>
    <w:p>
      <w:pPr>
        <w:spacing w:line="560" w:lineRule="exact"/>
        <w:ind w:firstLine="560" w:firstLineChars="200"/>
        <w:rPr>
          <w:color w:val="auto"/>
          <w:sz w:val="28"/>
          <w:szCs w:val="28"/>
          <w:highlight w:val="none"/>
        </w:rPr>
      </w:pPr>
      <w:r>
        <w:rPr>
          <w:rFonts w:hint="eastAsia"/>
          <w:color w:val="auto"/>
          <w:sz w:val="28"/>
          <w:szCs w:val="28"/>
          <w:highlight w:val="none"/>
        </w:rPr>
        <w:t>七、本协议如发生争议，由双方协商解决；协商不成时，任何一方均可向项目所在地区人民法院提起诉讼。</w:t>
      </w:r>
    </w:p>
    <w:p>
      <w:pPr>
        <w:spacing w:line="560" w:lineRule="exact"/>
        <w:rPr>
          <w:color w:val="auto"/>
          <w:sz w:val="28"/>
          <w:szCs w:val="28"/>
          <w:highlight w:val="none"/>
        </w:rPr>
      </w:pPr>
    </w:p>
    <w:p>
      <w:pPr>
        <w:spacing w:line="560" w:lineRule="exact"/>
        <w:rPr>
          <w:color w:val="auto"/>
          <w:sz w:val="28"/>
          <w:szCs w:val="28"/>
          <w:highlight w:val="none"/>
        </w:rPr>
      </w:pPr>
      <w:r>
        <w:rPr>
          <w:rFonts w:hint="eastAsia"/>
          <w:color w:val="auto"/>
          <w:sz w:val="28"/>
          <w:szCs w:val="28"/>
          <w:highlight w:val="none"/>
        </w:rPr>
        <w:t>甲方（盖章）：________               乙方（盖章）：________</w:t>
      </w:r>
    </w:p>
    <w:p>
      <w:pPr>
        <w:spacing w:line="560" w:lineRule="exact"/>
        <w:rPr>
          <w:color w:val="auto"/>
          <w:sz w:val="28"/>
          <w:szCs w:val="28"/>
          <w:highlight w:val="none"/>
        </w:rPr>
      </w:pPr>
    </w:p>
    <w:p>
      <w:pPr>
        <w:spacing w:line="560" w:lineRule="exact"/>
        <w:rPr>
          <w:color w:val="auto"/>
          <w:sz w:val="28"/>
          <w:szCs w:val="28"/>
          <w:highlight w:val="none"/>
        </w:rPr>
      </w:pPr>
      <w:r>
        <w:rPr>
          <w:rFonts w:hint="eastAsia"/>
          <w:color w:val="auto"/>
          <w:sz w:val="28"/>
          <w:szCs w:val="28"/>
          <w:highlight w:val="none"/>
        </w:rPr>
        <w:t xml:space="preserve"> _</w:t>
      </w:r>
      <w:r>
        <w:rPr>
          <w:rFonts w:hint="eastAsia"/>
          <w:color w:val="auto"/>
          <w:sz w:val="28"/>
          <w:szCs w:val="28"/>
          <w:highlight w:val="none"/>
          <w:u w:val="single"/>
        </w:rPr>
        <w:t>_  _</w:t>
      </w:r>
      <w:r>
        <w:rPr>
          <w:rFonts w:hint="eastAsia"/>
          <w:color w:val="auto"/>
          <w:sz w:val="28"/>
          <w:szCs w:val="28"/>
          <w:highlight w:val="none"/>
        </w:rPr>
        <w:t>_年____月____日                  __</w:t>
      </w:r>
      <w:r>
        <w:rPr>
          <w:rFonts w:hint="eastAsia"/>
          <w:color w:val="auto"/>
          <w:sz w:val="28"/>
          <w:szCs w:val="28"/>
          <w:highlight w:val="none"/>
          <w:u w:val="single"/>
        </w:rPr>
        <w:t xml:space="preserve">  _</w:t>
      </w:r>
      <w:r>
        <w:rPr>
          <w:rFonts w:hint="eastAsia"/>
          <w:color w:val="auto"/>
          <w:sz w:val="28"/>
          <w:szCs w:val="28"/>
          <w:highlight w:val="none"/>
        </w:rPr>
        <w:t>_年____月____日</w:t>
      </w:r>
    </w:p>
    <w:p>
      <w:pPr>
        <w:widowControl/>
        <w:jc w:val="center"/>
        <w:rPr>
          <w:color w:val="auto"/>
          <w:highlight w:val="none"/>
        </w:rPr>
      </w:pPr>
    </w:p>
    <w:sectPr>
      <w:footerReference r:id="rId11" w:type="first"/>
      <w:footerReference r:id="rId10" w:type="default"/>
      <w:pgSz w:w="11907" w:h="16840"/>
      <w:pgMar w:top="1440" w:right="1440" w:bottom="1440"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Times New Roman)">
    <w:altName w:val="微软雅黑"/>
    <w:panose1 w:val="00000000000000000000"/>
    <w:charset w:val="00"/>
    <w:family w:val="auto"/>
    <w:pitch w:val="default"/>
    <w:sig w:usb0="00000000" w:usb1="00000000" w:usb2="00000000" w:usb3="00000000" w:csb0="00000001" w:csb1="00000000"/>
  </w:font>
  <w:font w:name="宋体正文">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roman"/>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439"/>
        <w:tab w:val="clear" w:pos="4153"/>
      </w:tabs>
      <w:jc w:val="both"/>
    </w:pP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eSwKmsQEA&#10;AE4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85"/>
      <w:rPr>
        <w:rFonts w:ascii="宋体" w:hAnsi="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left"/>
      <w:rPr>
        <w:rFonts w:ascii="宋体" w:hAnsi="Courier New" w:eastAsia="仿宋" w:cs="仿宋"/>
        <w:sz w:val="18"/>
        <w:szCs w:val="20"/>
        <w:lang w:val="zh-CN" w:bidi="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109</w:t>
                    </w:r>
                    <w:r>
                      <w:fldChar w:fldCharType="end"/>
                    </w:r>
                  </w:p>
                </w:txbxContent>
              </v:textbox>
            </v:shape>
          </w:pict>
        </mc:Fallback>
      </mc:AlternateContent>
    </w:r>
  </w:p>
  <w:p>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117</w:t>
                          </w:r>
                          <w:r>
                            <w:fldChar w:fldCharType="end"/>
                          </w:r>
                        </w:p>
                      </w:txbxContent>
                    </wps:txbx>
                    <wps:bodyPr wrap="none" lIns="0" tIns="0" rIns="0" bIns="0" upright="1">
                      <a:spAutoFit/>
                    </wps:bodyPr>
                  </wps:wsp>
                </a:graphicData>
              </a:graphic>
            </wp:anchor>
          </w:drawing>
        </mc:Choice>
        <mc:Fallback>
          <w:pict>
            <v:shape id="文本框 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e7PtsQEA&#10;AE4DAAAOAAAAAAAAAAEAIAAAAB4BAABkcnMvZTJvRG9jLnhtbFBLBQYAAAAABgAGAFkBAABBBQAA&#10;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1"/>
      <w:numFmt w:val="decimal"/>
      <w:suff w:val="space"/>
      <w:lvlText w:val="%1."/>
      <w:lvlJc w:val="left"/>
    </w:lvl>
  </w:abstractNum>
  <w:abstractNum w:abstractNumId="1">
    <w:nsid w:val="324499CC"/>
    <w:multiLevelType w:val="singleLevel"/>
    <w:tmpl w:val="324499CC"/>
    <w:lvl w:ilvl="0" w:tentative="0">
      <w:start w:val="2"/>
      <w:numFmt w:val="decimal"/>
      <w:suff w:val="nothing"/>
      <w:lvlText w:val="（%1）"/>
      <w:lvlJc w:val="left"/>
    </w:lvl>
  </w:abstractNum>
  <w:abstractNum w:abstractNumId="2">
    <w:nsid w:val="408860E8"/>
    <w:multiLevelType w:val="singleLevel"/>
    <w:tmpl w:val="408860E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462D22F3"/>
    <w:multiLevelType w:val="singleLevel"/>
    <w:tmpl w:val="462D22F3"/>
    <w:lvl w:ilvl="0" w:tentative="0">
      <w:start w:val="2"/>
      <w:numFmt w:val="decimal"/>
      <w:suff w:val="space"/>
      <w:lvlText w:val="%1."/>
      <w:lvlJc w:val="left"/>
    </w:lvl>
  </w:abstractNum>
  <w:abstractNum w:abstractNumId="4">
    <w:nsid w:val="4B559DA8"/>
    <w:multiLevelType w:val="singleLevel"/>
    <w:tmpl w:val="4B559DA8"/>
    <w:lvl w:ilvl="0" w:tentative="0">
      <w:start w:val="1"/>
      <w:numFmt w:val="chineseCounting"/>
      <w:suff w:val="nothing"/>
      <w:lvlText w:val="%1、"/>
      <w:lvlJc w:val="left"/>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wYjIxOWUyZDdjZTRhNTM1ZmFiY2M1ZWI3Zjg2ODMifQ=="/>
  </w:docVars>
  <w:rsids>
    <w:rsidRoot w:val="00F34B14"/>
    <w:rsid w:val="000002E0"/>
    <w:rsid w:val="00000672"/>
    <w:rsid w:val="00000C53"/>
    <w:rsid w:val="00000E69"/>
    <w:rsid w:val="00000FD7"/>
    <w:rsid w:val="00001013"/>
    <w:rsid w:val="00001245"/>
    <w:rsid w:val="00001799"/>
    <w:rsid w:val="00001AF2"/>
    <w:rsid w:val="00001CA1"/>
    <w:rsid w:val="00001ECA"/>
    <w:rsid w:val="00002480"/>
    <w:rsid w:val="00002D29"/>
    <w:rsid w:val="0000347E"/>
    <w:rsid w:val="00003B93"/>
    <w:rsid w:val="0000474D"/>
    <w:rsid w:val="0000529E"/>
    <w:rsid w:val="000057F8"/>
    <w:rsid w:val="00005FDF"/>
    <w:rsid w:val="0000644A"/>
    <w:rsid w:val="00006D8A"/>
    <w:rsid w:val="00007081"/>
    <w:rsid w:val="000070B3"/>
    <w:rsid w:val="000076B8"/>
    <w:rsid w:val="00007AE6"/>
    <w:rsid w:val="0001010E"/>
    <w:rsid w:val="000109DC"/>
    <w:rsid w:val="00010D39"/>
    <w:rsid w:val="0001172C"/>
    <w:rsid w:val="00011BC9"/>
    <w:rsid w:val="00012854"/>
    <w:rsid w:val="00012D72"/>
    <w:rsid w:val="00012EA6"/>
    <w:rsid w:val="00013359"/>
    <w:rsid w:val="000139CF"/>
    <w:rsid w:val="00013AA4"/>
    <w:rsid w:val="00013DFE"/>
    <w:rsid w:val="000141EA"/>
    <w:rsid w:val="00015111"/>
    <w:rsid w:val="000151DB"/>
    <w:rsid w:val="00015239"/>
    <w:rsid w:val="00015C28"/>
    <w:rsid w:val="000163AB"/>
    <w:rsid w:val="0001657F"/>
    <w:rsid w:val="00016ABC"/>
    <w:rsid w:val="00016C68"/>
    <w:rsid w:val="000177DB"/>
    <w:rsid w:val="000179C9"/>
    <w:rsid w:val="00017CCC"/>
    <w:rsid w:val="00020227"/>
    <w:rsid w:val="00020263"/>
    <w:rsid w:val="000202AC"/>
    <w:rsid w:val="00020455"/>
    <w:rsid w:val="00020813"/>
    <w:rsid w:val="00020A9E"/>
    <w:rsid w:val="00020C36"/>
    <w:rsid w:val="000215D0"/>
    <w:rsid w:val="00021F52"/>
    <w:rsid w:val="00021FCF"/>
    <w:rsid w:val="000220B2"/>
    <w:rsid w:val="0002264C"/>
    <w:rsid w:val="00022731"/>
    <w:rsid w:val="00022792"/>
    <w:rsid w:val="00023287"/>
    <w:rsid w:val="00023A6D"/>
    <w:rsid w:val="00024292"/>
    <w:rsid w:val="00024463"/>
    <w:rsid w:val="00025461"/>
    <w:rsid w:val="00025636"/>
    <w:rsid w:val="00025E36"/>
    <w:rsid w:val="000260F7"/>
    <w:rsid w:val="000260FF"/>
    <w:rsid w:val="00026855"/>
    <w:rsid w:val="00026886"/>
    <w:rsid w:val="000273DE"/>
    <w:rsid w:val="0002754F"/>
    <w:rsid w:val="0002785D"/>
    <w:rsid w:val="00030544"/>
    <w:rsid w:val="000307BE"/>
    <w:rsid w:val="000321AB"/>
    <w:rsid w:val="00032633"/>
    <w:rsid w:val="000329E0"/>
    <w:rsid w:val="00033086"/>
    <w:rsid w:val="000336D0"/>
    <w:rsid w:val="000351A2"/>
    <w:rsid w:val="000352E9"/>
    <w:rsid w:val="00035494"/>
    <w:rsid w:val="00035ECF"/>
    <w:rsid w:val="00036125"/>
    <w:rsid w:val="00036A07"/>
    <w:rsid w:val="0003780B"/>
    <w:rsid w:val="00037C41"/>
    <w:rsid w:val="00040571"/>
    <w:rsid w:val="00040973"/>
    <w:rsid w:val="0004156E"/>
    <w:rsid w:val="00041713"/>
    <w:rsid w:val="0004212E"/>
    <w:rsid w:val="00042A19"/>
    <w:rsid w:val="00042B32"/>
    <w:rsid w:val="00042EE8"/>
    <w:rsid w:val="000434FD"/>
    <w:rsid w:val="000439AA"/>
    <w:rsid w:val="0004440C"/>
    <w:rsid w:val="00046B5E"/>
    <w:rsid w:val="000470CB"/>
    <w:rsid w:val="000479D5"/>
    <w:rsid w:val="000501AA"/>
    <w:rsid w:val="000504A6"/>
    <w:rsid w:val="000506DE"/>
    <w:rsid w:val="000509D9"/>
    <w:rsid w:val="00051006"/>
    <w:rsid w:val="00051165"/>
    <w:rsid w:val="000512AF"/>
    <w:rsid w:val="000516F3"/>
    <w:rsid w:val="00051ACB"/>
    <w:rsid w:val="00052E40"/>
    <w:rsid w:val="000533E7"/>
    <w:rsid w:val="00053B29"/>
    <w:rsid w:val="00054B4B"/>
    <w:rsid w:val="000550E8"/>
    <w:rsid w:val="00055519"/>
    <w:rsid w:val="00055D41"/>
    <w:rsid w:val="000560DE"/>
    <w:rsid w:val="00056EF6"/>
    <w:rsid w:val="000575CF"/>
    <w:rsid w:val="00057CD6"/>
    <w:rsid w:val="00060D7F"/>
    <w:rsid w:val="00060DCE"/>
    <w:rsid w:val="000610E3"/>
    <w:rsid w:val="00061143"/>
    <w:rsid w:val="000614F3"/>
    <w:rsid w:val="00061A1B"/>
    <w:rsid w:val="00061EB4"/>
    <w:rsid w:val="000623B4"/>
    <w:rsid w:val="00062405"/>
    <w:rsid w:val="00062EC2"/>
    <w:rsid w:val="0006347E"/>
    <w:rsid w:val="000634A7"/>
    <w:rsid w:val="00063B0B"/>
    <w:rsid w:val="00063F81"/>
    <w:rsid w:val="00064847"/>
    <w:rsid w:val="00065E08"/>
    <w:rsid w:val="00065E2D"/>
    <w:rsid w:val="00066AD9"/>
    <w:rsid w:val="00066D2E"/>
    <w:rsid w:val="000673E2"/>
    <w:rsid w:val="00067EF1"/>
    <w:rsid w:val="00070378"/>
    <w:rsid w:val="0007037E"/>
    <w:rsid w:val="0007063F"/>
    <w:rsid w:val="000707FD"/>
    <w:rsid w:val="00070949"/>
    <w:rsid w:val="00070C0E"/>
    <w:rsid w:val="000711E4"/>
    <w:rsid w:val="00071E9B"/>
    <w:rsid w:val="000720A1"/>
    <w:rsid w:val="000724D9"/>
    <w:rsid w:val="00072AED"/>
    <w:rsid w:val="00073F47"/>
    <w:rsid w:val="0007492F"/>
    <w:rsid w:val="00074B5B"/>
    <w:rsid w:val="00074BC7"/>
    <w:rsid w:val="00074ED8"/>
    <w:rsid w:val="00075B7E"/>
    <w:rsid w:val="00076852"/>
    <w:rsid w:val="00076D70"/>
    <w:rsid w:val="00077ACA"/>
    <w:rsid w:val="00077C70"/>
    <w:rsid w:val="00080C87"/>
    <w:rsid w:val="00080CFB"/>
    <w:rsid w:val="000813B5"/>
    <w:rsid w:val="000813E7"/>
    <w:rsid w:val="0008191E"/>
    <w:rsid w:val="00081BA3"/>
    <w:rsid w:val="00081D2E"/>
    <w:rsid w:val="00081F89"/>
    <w:rsid w:val="00082619"/>
    <w:rsid w:val="00082D02"/>
    <w:rsid w:val="0008381A"/>
    <w:rsid w:val="00083871"/>
    <w:rsid w:val="00083B91"/>
    <w:rsid w:val="0008473C"/>
    <w:rsid w:val="00084E4F"/>
    <w:rsid w:val="00085193"/>
    <w:rsid w:val="0008520B"/>
    <w:rsid w:val="0008527B"/>
    <w:rsid w:val="000857DE"/>
    <w:rsid w:val="000860BD"/>
    <w:rsid w:val="000871B8"/>
    <w:rsid w:val="00087B0A"/>
    <w:rsid w:val="00090339"/>
    <w:rsid w:val="00091373"/>
    <w:rsid w:val="000916DA"/>
    <w:rsid w:val="00091AAB"/>
    <w:rsid w:val="00092442"/>
    <w:rsid w:val="000929EF"/>
    <w:rsid w:val="00092C26"/>
    <w:rsid w:val="00092EC0"/>
    <w:rsid w:val="000933BE"/>
    <w:rsid w:val="00094428"/>
    <w:rsid w:val="000944FC"/>
    <w:rsid w:val="00094F71"/>
    <w:rsid w:val="0009560F"/>
    <w:rsid w:val="0009588E"/>
    <w:rsid w:val="000959ED"/>
    <w:rsid w:val="000959EE"/>
    <w:rsid w:val="00096C2E"/>
    <w:rsid w:val="00096DB9"/>
    <w:rsid w:val="00097183"/>
    <w:rsid w:val="000972CB"/>
    <w:rsid w:val="00097608"/>
    <w:rsid w:val="000A0928"/>
    <w:rsid w:val="000A0DFC"/>
    <w:rsid w:val="000A0F35"/>
    <w:rsid w:val="000A1175"/>
    <w:rsid w:val="000A13F3"/>
    <w:rsid w:val="000A165B"/>
    <w:rsid w:val="000A1963"/>
    <w:rsid w:val="000A1C18"/>
    <w:rsid w:val="000A23B1"/>
    <w:rsid w:val="000A2818"/>
    <w:rsid w:val="000A2B0E"/>
    <w:rsid w:val="000A2D1D"/>
    <w:rsid w:val="000A3095"/>
    <w:rsid w:val="000A392D"/>
    <w:rsid w:val="000A398F"/>
    <w:rsid w:val="000A448C"/>
    <w:rsid w:val="000A4E26"/>
    <w:rsid w:val="000A509C"/>
    <w:rsid w:val="000A545A"/>
    <w:rsid w:val="000A54A7"/>
    <w:rsid w:val="000A5A17"/>
    <w:rsid w:val="000A5CC8"/>
    <w:rsid w:val="000A6007"/>
    <w:rsid w:val="000A6564"/>
    <w:rsid w:val="000A65A6"/>
    <w:rsid w:val="000A69C2"/>
    <w:rsid w:val="000A70E3"/>
    <w:rsid w:val="000A7275"/>
    <w:rsid w:val="000A7408"/>
    <w:rsid w:val="000A7A12"/>
    <w:rsid w:val="000A7A72"/>
    <w:rsid w:val="000A7DE5"/>
    <w:rsid w:val="000A7EEA"/>
    <w:rsid w:val="000B0FE0"/>
    <w:rsid w:val="000B1202"/>
    <w:rsid w:val="000B12FF"/>
    <w:rsid w:val="000B1801"/>
    <w:rsid w:val="000B187E"/>
    <w:rsid w:val="000B1D0C"/>
    <w:rsid w:val="000B2273"/>
    <w:rsid w:val="000B2563"/>
    <w:rsid w:val="000B2BC6"/>
    <w:rsid w:val="000B2D03"/>
    <w:rsid w:val="000B37F2"/>
    <w:rsid w:val="000B3815"/>
    <w:rsid w:val="000B3C7B"/>
    <w:rsid w:val="000B3E68"/>
    <w:rsid w:val="000B4321"/>
    <w:rsid w:val="000B544A"/>
    <w:rsid w:val="000B5CCB"/>
    <w:rsid w:val="000B5F6B"/>
    <w:rsid w:val="000B613A"/>
    <w:rsid w:val="000B6A6B"/>
    <w:rsid w:val="000B6C95"/>
    <w:rsid w:val="000B6F80"/>
    <w:rsid w:val="000B79FC"/>
    <w:rsid w:val="000B7E0A"/>
    <w:rsid w:val="000C0CF9"/>
    <w:rsid w:val="000C144E"/>
    <w:rsid w:val="000C1679"/>
    <w:rsid w:val="000C190E"/>
    <w:rsid w:val="000C1953"/>
    <w:rsid w:val="000C1BFE"/>
    <w:rsid w:val="000C1EE3"/>
    <w:rsid w:val="000C35D0"/>
    <w:rsid w:val="000C3AE5"/>
    <w:rsid w:val="000C3AE7"/>
    <w:rsid w:val="000C3CC9"/>
    <w:rsid w:val="000C3DBC"/>
    <w:rsid w:val="000C5823"/>
    <w:rsid w:val="000C59C6"/>
    <w:rsid w:val="000C67C7"/>
    <w:rsid w:val="000C6DE4"/>
    <w:rsid w:val="000C7202"/>
    <w:rsid w:val="000C7432"/>
    <w:rsid w:val="000C7926"/>
    <w:rsid w:val="000C7FC6"/>
    <w:rsid w:val="000D0A89"/>
    <w:rsid w:val="000D10F1"/>
    <w:rsid w:val="000D1389"/>
    <w:rsid w:val="000D1798"/>
    <w:rsid w:val="000D2626"/>
    <w:rsid w:val="000D264F"/>
    <w:rsid w:val="000D285A"/>
    <w:rsid w:val="000D2CD3"/>
    <w:rsid w:val="000D4016"/>
    <w:rsid w:val="000D411D"/>
    <w:rsid w:val="000D4589"/>
    <w:rsid w:val="000D4809"/>
    <w:rsid w:val="000D4FB6"/>
    <w:rsid w:val="000D5304"/>
    <w:rsid w:val="000D5C29"/>
    <w:rsid w:val="000D6C31"/>
    <w:rsid w:val="000D6F6B"/>
    <w:rsid w:val="000D73DD"/>
    <w:rsid w:val="000D7761"/>
    <w:rsid w:val="000E02E8"/>
    <w:rsid w:val="000E0C67"/>
    <w:rsid w:val="000E1C38"/>
    <w:rsid w:val="000E1C51"/>
    <w:rsid w:val="000E1D3E"/>
    <w:rsid w:val="000E230A"/>
    <w:rsid w:val="000E28AB"/>
    <w:rsid w:val="000E2E3E"/>
    <w:rsid w:val="000E3583"/>
    <w:rsid w:val="000E3AF0"/>
    <w:rsid w:val="000E43EC"/>
    <w:rsid w:val="000E450F"/>
    <w:rsid w:val="000E4DC7"/>
    <w:rsid w:val="000E4E04"/>
    <w:rsid w:val="000E592E"/>
    <w:rsid w:val="000E5CCD"/>
    <w:rsid w:val="000E5D63"/>
    <w:rsid w:val="000E693B"/>
    <w:rsid w:val="000E6D5C"/>
    <w:rsid w:val="000E6DBC"/>
    <w:rsid w:val="000E6EC9"/>
    <w:rsid w:val="000E70B4"/>
    <w:rsid w:val="000E7B62"/>
    <w:rsid w:val="000E7EDC"/>
    <w:rsid w:val="000F0149"/>
    <w:rsid w:val="000F085D"/>
    <w:rsid w:val="000F0E1E"/>
    <w:rsid w:val="000F1129"/>
    <w:rsid w:val="000F1A1B"/>
    <w:rsid w:val="000F285F"/>
    <w:rsid w:val="000F2A95"/>
    <w:rsid w:val="000F2BB7"/>
    <w:rsid w:val="000F324A"/>
    <w:rsid w:val="000F3281"/>
    <w:rsid w:val="000F32FD"/>
    <w:rsid w:val="000F3733"/>
    <w:rsid w:val="000F3F1F"/>
    <w:rsid w:val="000F5B2B"/>
    <w:rsid w:val="000F5F8B"/>
    <w:rsid w:val="000F6153"/>
    <w:rsid w:val="000F649D"/>
    <w:rsid w:val="000F64AA"/>
    <w:rsid w:val="000F6C7B"/>
    <w:rsid w:val="000F7055"/>
    <w:rsid w:val="000F73AD"/>
    <w:rsid w:val="000F7AF4"/>
    <w:rsid w:val="000F7C33"/>
    <w:rsid w:val="000F7F0C"/>
    <w:rsid w:val="001004D6"/>
    <w:rsid w:val="0010176A"/>
    <w:rsid w:val="00101A30"/>
    <w:rsid w:val="00101D1B"/>
    <w:rsid w:val="00101E8E"/>
    <w:rsid w:val="00102676"/>
    <w:rsid w:val="00103646"/>
    <w:rsid w:val="00103918"/>
    <w:rsid w:val="00104897"/>
    <w:rsid w:val="00104EDE"/>
    <w:rsid w:val="00104F54"/>
    <w:rsid w:val="00105992"/>
    <w:rsid w:val="00105CDA"/>
    <w:rsid w:val="00105F97"/>
    <w:rsid w:val="00106BEE"/>
    <w:rsid w:val="0010711C"/>
    <w:rsid w:val="00107368"/>
    <w:rsid w:val="0010775D"/>
    <w:rsid w:val="001078E7"/>
    <w:rsid w:val="00107BDF"/>
    <w:rsid w:val="00107C74"/>
    <w:rsid w:val="0011091C"/>
    <w:rsid w:val="00111266"/>
    <w:rsid w:val="001112EB"/>
    <w:rsid w:val="00111FD1"/>
    <w:rsid w:val="00111FD7"/>
    <w:rsid w:val="0011220E"/>
    <w:rsid w:val="0011247D"/>
    <w:rsid w:val="0011351F"/>
    <w:rsid w:val="00113678"/>
    <w:rsid w:val="00113A7D"/>
    <w:rsid w:val="00113C3E"/>
    <w:rsid w:val="001142A8"/>
    <w:rsid w:val="00115375"/>
    <w:rsid w:val="001157F8"/>
    <w:rsid w:val="001159A5"/>
    <w:rsid w:val="00115E11"/>
    <w:rsid w:val="00115EEE"/>
    <w:rsid w:val="00115F56"/>
    <w:rsid w:val="001164ED"/>
    <w:rsid w:val="00116872"/>
    <w:rsid w:val="00116AF3"/>
    <w:rsid w:val="00116CA9"/>
    <w:rsid w:val="00116F38"/>
    <w:rsid w:val="001170A4"/>
    <w:rsid w:val="00117987"/>
    <w:rsid w:val="00117AE7"/>
    <w:rsid w:val="00117B85"/>
    <w:rsid w:val="00117CBD"/>
    <w:rsid w:val="0012006A"/>
    <w:rsid w:val="001217E7"/>
    <w:rsid w:val="00121979"/>
    <w:rsid w:val="00122064"/>
    <w:rsid w:val="0012277A"/>
    <w:rsid w:val="0012301B"/>
    <w:rsid w:val="00123428"/>
    <w:rsid w:val="00124341"/>
    <w:rsid w:val="00124492"/>
    <w:rsid w:val="00124B12"/>
    <w:rsid w:val="001250A0"/>
    <w:rsid w:val="0012535C"/>
    <w:rsid w:val="001263B8"/>
    <w:rsid w:val="001273C1"/>
    <w:rsid w:val="00127B1A"/>
    <w:rsid w:val="00127E3E"/>
    <w:rsid w:val="00130217"/>
    <w:rsid w:val="00130641"/>
    <w:rsid w:val="00130783"/>
    <w:rsid w:val="00130A47"/>
    <w:rsid w:val="00130FB0"/>
    <w:rsid w:val="00132B47"/>
    <w:rsid w:val="00132DDA"/>
    <w:rsid w:val="001331F1"/>
    <w:rsid w:val="0013346C"/>
    <w:rsid w:val="00133768"/>
    <w:rsid w:val="001337F8"/>
    <w:rsid w:val="001341B2"/>
    <w:rsid w:val="001348B4"/>
    <w:rsid w:val="001349F4"/>
    <w:rsid w:val="00134B1F"/>
    <w:rsid w:val="0013506E"/>
    <w:rsid w:val="001351CB"/>
    <w:rsid w:val="00135530"/>
    <w:rsid w:val="00135947"/>
    <w:rsid w:val="001359A2"/>
    <w:rsid w:val="00135F92"/>
    <w:rsid w:val="00136020"/>
    <w:rsid w:val="00136445"/>
    <w:rsid w:val="00136965"/>
    <w:rsid w:val="00136A9C"/>
    <w:rsid w:val="00136EA0"/>
    <w:rsid w:val="00137389"/>
    <w:rsid w:val="00140132"/>
    <w:rsid w:val="00141455"/>
    <w:rsid w:val="0014190C"/>
    <w:rsid w:val="00141C9C"/>
    <w:rsid w:val="0014277F"/>
    <w:rsid w:val="00142AD2"/>
    <w:rsid w:val="001434BE"/>
    <w:rsid w:val="00143AAD"/>
    <w:rsid w:val="00144050"/>
    <w:rsid w:val="00144369"/>
    <w:rsid w:val="0014438A"/>
    <w:rsid w:val="00144398"/>
    <w:rsid w:val="0014479F"/>
    <w:rsid w:val="00144806"/>
    <w:rsid w:val="001452B4"/>
    <w:rsid w:val="00145320"/>
    <w:rsid w:val="00145A8E"/>
    <w:rsid w:val="00145B3E"/>
    <w:rsid w:val="001476D3"/>
    <w:rsid w:val="00147999"/>
    <w:rsid w:val="00147D03"/>
    <w:rsid w:val="001505DA"/>
    <w:rsid w:val="001509CF"/>
    <w:rsid w:val="00150B99"/>
    <w:rsid w:val="00150D1D"/>
    <w:rsid w:val="0015119C"/>
    <w:rsid w:val="001525AA"/>
    <w:rsid w:val="00152A87"/>
    <w:rsid w:val="00152AC1"/>
    <w:rsid w:val="00153A84"/>
    <w:rsid w:val="00153BB5"/>
    <w:rsid w:val="00154518"/>
    <w:rsid w:val="0015567E"/>
    <w:rsid w:val="001556B8"/>
    <w:rsid w:val="00155944"/>
    <w:rsid w:val="00156320"/>
    <w:rsid w:val="00156359"/>
    <w:rsid w:val="00156DD6"/>
    <w:rsid w:val="00160238"/>
    <w:rsid w:val="0016086E"/>
    <w:rsid w:val="001609B9"/>
    <w:rsid w:val="00160D0C"/>
    <w:rsid w:val="00160DC9"/>
    <w:rsid w:val="00160DD1"/>
    <w:rsid w:val="00161172"/>
    <w:rsid w:val="00161998"/>
    <w:rsid w:val="00161E65"/>
    <w:rsid w:val="00161F0E"/>
    <w:rsid w:val="00162597"/>
    <w:rsid w:val="001629AF"/>
    <w:rsid w:val="001629FD"/>
    <w:rsid w:val="0016428A"/>
    <w:rsid w:val="001646D5"/>
    <w:rsid w:val="001647C9"/>
    <w:rsid w:val="00164C94"/>
    <w:rsid w:val="0016537E"/>
    <w:rsid w:val="00165627"/>
    <w:rsid w:val="001661A3"/>
    <w:rsid w:val="00166AD5"/>
    <w:rsid w:val="00166E81"/>
    <w:rsid w:val="00167226"/>
    <w:rsid w:val="0016782B"/>
    <w:rsid w:val="0016784D"/>
    <w:rsid w:val="00167853"/>
    <w:rsid w:val="00167887"/>
    <w:rsid w:val="00167AE7"/>
    <w:rsid w:val="00167CAA"/>
    <w:rsid w:val="00170613"/>
    <w:rsid w:val="00170F0C"/>
    <w:rsid w:val="00171319"/>
    <w:rsid w:val="0017131A"/>
    <w:rsid w:val="00171B8F"/>
    <w:rsid w:val="001721F8"/>
    <w:rsid w:val="0017267A"/>
    <w:rsid w:val="00172CA8"/>
    <w:rsid w:val="00173256"/>
    <w:rsid w:val="00173B0E"/>
    <w:rsid w:val="00173D86"/>
    <w:rsid w:val="00173E03"/>
    <w:rsid w:val="0017405A"/>
    <w:rsid w:val="001741C9"/>
    <w:rsid w:val="0017461E"/>
    <w:rsid w:val="00174704"/>
    <w:rsid w:val="0017512C"/>
    <w:rsid w:val="001756AF"/>
    <w:rsid w:val="0017586A"/>
    <w:rsid w:val="00175BA6"/>
    <w:rsid w:val="00175C6F"/>
    <w:rsid w:val="00176CA7"/>
    <w:rsid w:val="00176D0C"/>
    <w:rsid w:val="00176F8E"/>
    <w:rsid w:val="00177485"/>
    <w:rsid w:val="0017789A"/>
    <w:rsid w:val="001778C5"/>
    <w:rsid w:val="00177C07"/>
    <w:rsid w:val="00177E56"/>
    <w:rsid w:val="00177F0A"/>
    <w:rsid w:val="0018090D"/>
    <w:rsid w:val="00180DA0"/>
    <w:rsid w:val="00181813"/>
    <w:rsid w:val="00181EAD"/>
    <w:rsid w:val="00182862"/>
    <w:rsid w:val="00184F57"/>
    <w:rsid w:val="00185091"/>
    <w:rsid w:val="00185544"/>
    <w:rsid w:val="001855B2"/>
    <w:rsid w:val="00185617"/>
    <w:rsid w:val="00186FE1"/>
    <w:rsid w:val="00187A14"/>
    <w:rsid w:val="00190D50"/>
    <w:rsid w:val="00190E7C"/>
    <w:rsid w:val="00191177"/>
    <w:rsid w:val="0019171E"/>
    <w:rsid w:val="00192368"/>
    <w:rsid w:val="001923A0"/>
    <w:rsid w:val="001924F9"/>
    <w:rsid w:val="0019270F"/>
    <w:rsid w:val="001928B1"/>
    <w:rsid w:val="00192C38"/>
    <w:rsid w:val="00192CA1"/>
    <w:rsid w:val="00193537"/>
    <w:rsid w:val="00193808"/>
    <w:rsid w:val="00193846"/>
    <w:rsid w:val="00193F6A"/>
    <w:rsid w:val="00195117"/>
    <w:rsid w:val="00195424"/>
    <w:rsid w:val="001955FF"/>
    <w:rsid w:val="001972F8"/>
    <w:rsid w:val="00197EDD"/>
    <w:rsid w:val="001A02B3"/>
    <w:rsid w:val="001A04BB"/>
    <w:rsid w:val="001A06CC"/>
    <w:rsid w:val="001A0889"/>
    <w:rsid w:val="001A08D0"/>
    <w:rsid w:val="001A17B2"/>
    <w:rsid w:val="001A18EA"/>
    <w:rsid w:val="001A1B39"/>
    <w:rsid w:val="001A1D4A"/>
    <w:rsid w:val="001A2120"/>
    <w:rsid w:val="001A21DD"/>
    <w:rsid w:val="001A28C6"/>
    <w:rsid w:val="001A2E69"/>
    <w:rsid w:val="001A3C34"/>
    <w:rsid w:val="001A3EDE"/>
    <w:rsid w:val="001A41CD"/>
    <w:rsid w:val="001A4222"/>
    <w:rsid w:val="001A4235"/>
    <w:rsid w:val="001A43BE"/>
    <w:rsid w:val="001A48B2"/>
    <w:rsid w:val="001A4CFA"/>
    <w:rsid w:val="001A50EA"/>
    <w:rsid w:val="001A55A9"/>
    <w:rsid w:val="001A5BAA"/>
    <w:rsid w:val="001A5E24"/>
    <w:rsid w:val="001A661D"/>
    <w:rsid w:val="001A6795"/>
    <w:rsid w:val="001A6B27"/>
    <w:rsid w:val="001A6D8B"/>
    <w:rsid w:val="001A6DAA"/>
    <w:rsid w:val="001A7717"/>
    <w:rsid w:val="001A793A"/>
    <w:rsid w:val="001B035E"/>
    <w:rsid w:val="001B0464"/>
    <w:rsid w:val="001B125A"/>
    <w:rsid w:val="001B1EBA"/>
    <w:rsid w:val="001B2142"/>
    <w:rsid w:val="001B2F2B"/>
    <w:rsid w:val="001B31C2"/>
    <w:rsid w:val="001B327A"/>
    <w:rsid w:val="001B3379"/>
    <w:rsid w:val="001B35DE"/>
    <w:rsid w:val="001B3A13"/>
    <w:rsid w:val="001B3F5C"/>
    <w:rsid w:val="001B57C9"/>
    <w:rsid w:val="001B59FF"/>
    <w:rsid w:val="001B5D13"/>
    <w:rsid w:val="001B6512"/>
    <w:rsid w:val="001B65D7"/>
    <w:rsid w:val="001B6752"/>
    <w:rsid w:val="001B6768"/>
    <w:rsid w:val="001B6B39"/>
    <w:rsid w:val="001B6F1F"/>
    <w:rsid w:val="001B7ECC"/>
    <w:rsid w:val="001C025B"/>
    <w:rsid w:val="001C059D"/>
    <w:rsid w:val="001C0DD4"/>
    <w:rsid w:val="001C115F"/>
    <w:rsid w:val="001C1B1C"/>
    <w:rsid w:val="001C1DED"/>
    <w:rsid w:val="001C1EAB"/>
    <w:rsid w:val="001C25A7"/>
    <w:rsid w:val="001C2775"/>
    <w:rsid w:val="001C2895"/>
    <w:rsid w:val="001C2A1D"/>
    <w:rsid w:val="001C318C"/>
    <w:rsid w:val="001C35C4"/>
    <w:rsid w:val="001C4287"/>
    <w:rsid w:val="001C4479"/>
    <w:rsid w:val="001C4F79"/>
    <w:rsid w:val="001C5190"/>
    <w:rsid w:val="001C5951"/>
    <w:rsid w:val="001C5A1F"/>
    <w:rsid w:val="001C6081"/>
    <w:rsid w:val="001C7284"/>
    <w:rsid w:val="001C73EB"/>
    <w:rsid w:val="001C7781"/>
    <w:rsid w:val="001C7B48"/>
    <w:rsid w:val="001D0CFB"/>
    <w:rsid w:val="001D108A"/>
    <w:rsid w:val="001D16C5"/>
    <w:rsid w:val="001D1A0D"/>
    <w:rsid w:val="001D1DD1"/>
    <w:rsid w:val="001D22CB"/>
    <w:rsid w:val="001D23DA"/>
    <w:rsid w:val="001D266C"/>
    <w:rsid w:val="001D267C"/>
    <w:rsid w:val="001D2AB8"/>
    <w:rsid w:val="001D2F77"/>
    <w:rsid w:val="001D343C"/>
    <w:rsid w:val="001D56E2"/>
    <w:rsid w:val="001D58A1"/>
    <w:rsid w:val="001D58C2"/>
    <w:rsid w:val="001D5A8A"/>
    <w:rsid w:val="001D5B64"/>
    <w:rsid w:val="001D61CA"/>
    <w:rsid w:val="001D6210"/>
    <w:rsid w:val="001D62C9"/>
    <w:rsid w:val="001D654A"/>
    <w:rsid w:val="001D6E87"/>
    <w:rsid w:val="001D735E"/>
    <w:rsid w:val="001D73C8"/>
    <w:rsid w:val="001D7BC6"/>
    <w:rsid w:val="001D7CA4"/>
    <w:rsid w:val="001E0C72"/>
    <w:rsid w:val="001E129E"/>
    <w:rsid w:val="001E175C"/>
    <w:rsid w:val="001E1B0E"/>
    <w:rsid w:val="001E2A86"/>
    <w:rsid w:val="001E308A"/>
    <w:rsid w:val="001E38EC"/>
    <w:rsid w:val="001E3B63"/>
    <w:rsid w:val="001E4996"/>
    <w:rsid w:val="001E57B2"/>
    <w:rsid w:val="001E5A94"/>
    <w:rsid w:val="001E5CBB"/>
    <w:rsid w:val="001E5CDC"/>
    <w:rsid w:val="001E6B4B"/>
    <w:rsid w:val="001E6CE9"/>
    <w:rsid w:val="001F13FD"/>
    <w:rsid w:val="001F2A2E"/>
    <w:rsid w:val="001F3180"/>
    <w:rsid w:val="001F3356"/>
    <w:rsid w:val="001F3A99"/>
    <w:rsid w:val="001F3C63"/>
    <w:rsid w:val="001F3CBC"/>
    <w:rsid w:val="001F4141"/>
    <w:rsid w:val="001F4460"/>
    <w:rsid w:val="001F4833"/>
    <w:rsid w:val="001F5869"/>
    <w:rsid w:val="001F61A6"/>
    <w:rsid w:val="001F6398"/>
    <w:rsid w:val="001F6C96"/>
    <w:rsid w:val="001F711A"/>
    <w:rsid w:val="001F75B0"/>
    <w:rsid w:val="001F7CBE"/>
    <w:rsid w:val="0020057C"/>
    <w:rsid w:val="0020083C"/>
    <w:rsid w:val="00200CE5"/>
    <w:rsid w:val="00200F7C"/>
    <w:rsid w:val="002014DB"/>
    <w:rsid w:val="0020150B"/>
    <w:rsid w:val="00201815"/>
    <w:rsid w:val="00201D51"/>
    <w:rsid w:val="00201E12"/>
    <w:rsid w:val="00202295"/>
    <w:rsid w:val="002033B5"/>
    <w:rsid w:val="0020382C"/>
    <w:rsid w:val="0020390A"/>
    <w:rsid w:val="00203EDF"/>
    <w:rsid w:val="002042E9"/>
    <w:rsid w:val="0020437A"/>
    <w:rsid w:val="0020454C"/>
    <w:rsid w:val="00204740"/>
    <w:rsid w:val="00204942"/>
    <w:rsid w:val="00204C12"/>
    <w:rsid w:val="00205129"/>
    <w:rsid w:val="0020521F"/>
    <w:rsid w:val="0020532C"/>
    <w:rsid w:val="002065D6"/>
    <w:rsid w:val="00206AE8"/>
    <w:rsid w:val="002114C7"/>
    <w:rsid w:val="00211A7B"/>
    <w:rsid w:val="0021302C"/>
    <w:rsid w:val="002131AF"/>
    <w:rsid w:val="002139F1"/>
    <w:rsid w:val="00213B18"/>
    <w:rsid w:val="00213B1C"/>
    <w:rsid w:val="00213F1E"/>
    <w:rsid w:val="00214202"/>
    <w:rsid w:val="00214530"/>
    <w:rsid w:val="002148E3"/>
    <w:rsid w:val="002148E5"/>
    <w:rsid w:val="00214C1A"/>
    <w:rsid w:val="0021552D"/>
    <w:rsid w:val="002156AE"/>
    <w:rsid w:val="0021577B"/>
    <w:rsid w:val="00215DC7"/>
    <w:rsid w:val="00215E99"/>
    <w:rsid w:val="00217B07"/>
    <w:rsid w:val="00217C26"/>
    <w:rsid w:val="00220043"/>
    <w:rsid w:val="0022054D"/>
    <w:rsid w:val="0022107B"/>
    <w:rsid w:val="00221AFB"/>
    <w:rsid w:val="002223EB"/>
    <w:rsid w:val="002238DD"/>
    <w:rsid w:val="00223DDB"/>
    <w:rsid w:val="00223FA4"/>
    <w:rsid w:val="00223FB0"/>
    <w:rsid w:val="0022405A"/>
    <w:rsid w:val="00224067"/>
    <w:rsid w:val="0022421C"/>
    <w:rsid w:val="0022454F"/>
    <w:rsid w:val="002249D1"/>
    <w:rsid w:val="00224C4A"/>
    <w:rsid w:val="00224E83"/>
    <w:rsid w:val="00225664"/>
    <w:rsid w:val="00225F84"/>
    <w:rsid w:val="0022663D"/>
    <w:rsid w:val="00226995"/>
    <w:rsid w:val="0022755B"/>
    <w:rsid w:val="00227669"/>
    <w:rsid w:val="00227682"/>
    <w:rsid w:val="002276BA"/>
    <w:rsid w:val="00227896"/>
    <w:rsid w:val="00227C56"/>
    <w:rsid w:val="00227F2D"/>
    <w:rsid w:val="00227F52"/>
    <w:rsid w:val="00230EA4"/>
    <w:rsid w:val="00231851"/>
    <w:rsid w:val="002319FB"/>
    <w:rsid w:val="00231B89"/>
    <w:rsid w:val="00231F11"/>
    <w:rsid w:val="00231F5E"/>
    <w:rsid w:val="00232E5E"/>
    <w:rsid w:val="00233395"/>
    <w:rsid w:val="002346B4"/>
    <w:rsid w:val="00234CD9"/>
    <w:rsid w:val="00234F6E"/>
    <w:rsid w:val="002351FA"/>
    <w:rsid w:val="002355BE"/>
    <w:rsid w:val="002358EA"/>
    <w:rsid w:val="0023609B"/>
    <w:rsid w:val="00236578"/>
    <w:rsid w:val="00236A10"/>
    <w:rsid w:val="00236DE9"/>
    <w:rsid w:val="00237342"/>
    <w:rsid w:val="00237D5A"/>
    <w:rsid w:val="002401BC"/>
    <w:rsid w:val="002407BA"/>
    <w:rsid w:val="00240922"/>
    <w:rsid w:val="00240D75"/>
    <w:rsid w:val="00240F92"/>
    <w:rsid w:val="00241288"/>
    <w:rsid w:val="002412E4"/>
    <w:rsid w:val="002415AE"/>
    <w:rsid w:val="00241B38"/>
    <w:rsid w:val="00241BC7"/>
    <w:rsid w:val="00241D3C"/>
    <w:rsid w:val="00242109"/>
    <w:rsid w:val="00242B6B"/>
    <w:rsid w:val="00242F31"/>
    <w:rsid w:val="00243189"/>
    <w:rsid w:val="002439AB"/>
    <w:rsid w:val="00243C19"/>
    <w:rsid w:val="00244308"/>
    <w:rsid w:val="002448E7"/>
    <w:rsid w:val="00244AE8"/>
    <w:rsid w:val="00244DC9"/>
    <w:rsid w:val="00244EF3"/>
    <w:rsid w:val="0024531F"/>
    <w:rsid w:val="00245587"/>
    <w:rsid w:val="00245F2B"/>
    <w:rsid w:val="002460E2"/>
    <w:rsid w:val="002466CD"/>
    <w:rsid w:val="0024729B"/>
    <w:rsid w:val="00247F3A"/>
    <w:rsid w:val="00250122"/>
    <w:rsid w:val="0025024D"/>
    <w:rsid w:val="00250755"/>
    <w:rsid w:val="00251043"/>
    <w:rsid w:val="00251C4A"/>
    <w:rsid w:val="0025271C"/>
    <w:rsid w:val="0025277A"/>
    <w:rsid w:val="002533CD"/>
    <w:rsid w:val="002535EA"/>
    <w:rsid w:val="00253645"/>
    <w:rsid w:val="00253A8A"/>
    <w:rsid w:val="00254EAB"/>
    <w:rsid w:val="00255794"/>
    <w:rsid w:val="002557AF"/>
    <w:rsid w:val="0025589C"/>
    <w:rsid w:val="00255B62"/>
    <w:rsid w:val="002566B1"/>
    <w:rsid w:val="002575E3"/>
    <w:rsid w:val="00257A74"/>
    <w:rsid w:val="00257C5D"/>
    <w:rsid w:val="002603C1"/>
    <w:rsid w:val="002609A1"/>
    <w:rsid w:val="002612B1"/>
    <w:rsid w:val="00261997"/>
    <w:rsid w:val="00262B14"/>
    <w:rsid w:val="00264DF8"/>
    <w:rsid w:val="00265A12"/>
    <w:rsid w:val="00266165"/>
    <w:rsid w:val="00266A48"/>
    <w:rsid w:val="00266F2C"/>
    <w:rsid w:val="00267402"/>
    <w:rsid w:val="00267DAF"/>
    <w:rsid w:val="00270122"/>
    <w:rsid w:val="00270632"/>
    <w:rsid w:val="00270744"/>
    <w:rsid w:val="00270B87"/>
    <w:rsid w:val="0027125E"/>
    <w:rsid w:val="00271767"/>
    <w:rsid w:val="00272263"/>
    <w:rsid w:val="00272293"/>
    <w:rsid w:val="002723C8"/>
    <w:rsid w:val="00273633"/>
    <w:rsid w:val="00273C2A"/>
    <w:rsid w:val="00273CBE"/>
    <w:rsid w:val="002746B1"/>
    <w:rsid w:val="00274BAD"/>
    <w:rsid w:val="0027614E"/>
    <w:rsid w:val="002763A3"/>
    <w:rsid w:val="00276EB8"/>
    <w:rsid w:val="00277099"/>
    <w:rsid w:val="002775A6"/>
    <w:rsid w:val="002776FA"/>
    <w:rsid w:val="00277786"/>
    <w:rsid w:val="00277F6B"/>
    <w:rsid w:val="002807B0"/>
    <w:rsid w:val="00281B9B"/>
    <w:rsid w:val="00282446"/>
    <w:rsid w:val="002826C2"/>
    <w:rsid w:val="0028282C"/>
    <w:rsid w:val="00282D56"/>
    <w:rsid w:val="002835B0"/>
    <w:rsid w:val="00283C74"/>
    <w:rsid w:val="0028407E"/>
    <w:rsid w:val="0028410F"/>
    <w:rsid w:val="00284572"/>
    <w:rsid w:val="002850AA"/>
    <w:rsid w:val="00285221"/>
    <w:rsid w:val="002857F2"/>
    <w:rsid w:val="00285AB7"/>
    <w:rsid w:val="00286FB5"/>
    <w:rsid w:val="00287640"/>
    <w:rsid w:val="00287763"/>
    <w:rsid w:val="00290456"/>
    <w:rsid w:val="0029047D"/>
    <w:rsid w:val="00290606"/>
    <w:rsid w:val="002908D0"/>
    <w:rsid w:val="002909B2"/>
    <w:rsid w:val="00291263"/>
    <w:rsid w:val="00291D6D"/>
    <w:rsid w:val="00291E2B"/>
    <w:rsid w:val="00291FF1"/>
    <w:rsid w:val="00292AA2"/>
    <w:rsid w:val="00293361"/>
    <w:rsid w:val="00294F10"/>
    <w:rsid w:val="002952B1"/>
    <w:rsid w:val="002956E5"/>
    <w:rsid w:val="00295D11"/>
    <w:rsid w:val="0029667A"/>
    <w:rsid w:val="00296839"/>
    <w:rsid w:val="00296FB6"/>
    <w:rsid w:val="0029724C"/>
    <w:rsid w:val="00297FC7"/>
    <w:rsid w:val="002A0001"/>
    <w:rsid w:val="002A036C"/>
    <w:rsid w:val="002A09CC"/>
    <w:rsid w:val="002A0BD9"/>
    <w:rsid w:val="002A0BDB"/>
    <w:rsid w:val="002A0C3A"/>
    <w:rsid w:val="002A0DF8"/>
    <w:rsid w:val="002A0E0A"/>
    <w:rsid w:val="002A0F1C"/>
    <w:rsid w:val="002A1130"/>
    <w:rsid w:val="002A1557"/>
    <w:rsid w:val="002A1880"/>
    <w:rsid w:val="002A23B7"/>
    <w:rsid w:val="002A3950"/>
    <w:rsid w:val="002A3A57"/>
    <w:rsid w:val="002A4320"/>
    <w:rsid w:val="002A46D4"/>
    <w:rsid w:val="002A4B4F"/>
    <w:rsid w:val="002A57A8"/>
    <w:rsid w:val="002A5D75"/>
    <w:rsid w:val="002A6DEF"/>
    <w:rsid w:val="002A739E"/>
    <w:rsid w:val="002A770B"/>
    <w:rsid w:val="002A7893"/>
    <w:rsid w:val="002B013E"/>
    <w:rsid w:val="002B058D"/>
    <w:rsid w:val="002B0C16"/>
    <w:rsid w:val="002B1420"/>
    <w:rsid w:val="002B1E01"/>
    <w:rsid w:val="002B1F54"/>
    <w:rsid w:val="002B21BF"/>
    <w:rsid w:val="002B2456"/>
    <w:rsid w:val="002B2AC5"/>
    <w:rsid w:val="002B3528"/>
    <w:rsid w:val="002B3539"/>
    <w:rsid w:val="002B427F"/>
    <w:rsid w:val="002B4395"/>
    <w:rsid w:val="002B4532"/>
    <w:rsid w:val="002B4C9E"/>
    <w:rsid w:val="002B4DD9"/>
    <w:rsid w:val="002B5042"/>
    <w:rsid w:val="002B57C3"/>
    <w:rsid w:val="002B5832"/>
    <w:rsid w:val="002B612E"/>
    <w:rsid w:val="002B69CC"/>
    <w:rsid w:val="002B6D71"/>
    <w:rsid w:val="002B773F"/>
    <w:rsid w:val="002B7DC4"/>
    <w:rsid w:val="002C0389"/>
    <w:rsid w:val="002C03AE"/>
    <w:rsid w:val="002C0C1C"/>
    <w:rsid w:val="002C10A7"/>
    <w:rsid w:val="002C1190"/>
    <w:rsid w:val="002C2CC9"/>
    <w:rsid w:val="002C34F1"/>
    <w:rsid w:val="002C41BF"/>
    <w:rsid w:val="002C4B7E"/>
    <w:rsid w:val="002C5023"/>
    <w:rsid w:val="002C5424"/>
    <w:rsid w:val="002C54C2"/>
    <w:rsid w:val="002C5D34"/>
    <w:rsid w:val="002C60BB"/>
    <w:rsid w:val="002C661A"/>
    <w:rsid w:val="002D06EE"/>
    <w:rsid w:val="002D073E"/>
    <w:rsid w:val="002D0A40"/>
    <w:rsid w:val="002D0D6F"/>
    <w:rsid w:val="002D1E81"/>
    <w:rsid w:val="002D253D"/>
    <w:rsid w:val="002D25FC"/>
    <w:rsid w:val="002D3E71"/>
    <w:rsid w:val="002D4AC6"/>
    <w:rsid w:val="002D59BF"/>
    <w:rsid w:val="002D5B5A"/>
    <w:rsid w:val="002D5BF5"/>
    <w:rsid w:val="002D5C5C"/>
    <w:rsid w:val="002D5EE8"/>
    <w:rsid w:val="002D63F6"/>
    <w:rsid w:val="002D7360"/>
    <w:rsid w:val="002D750C"/>
    <w:rsid w:val="002D7648"/>
    <w:rsid w:val="002D7C80"/>
    <w:rsid w:val="002E0FCE"/>
    <w:rsid w:val="002E109C"/>
    <w:rsid w:val="002E1334"/>
    <w:rsid w:val="002E13FA"/>
    <w:rsid w:val="002E193E"/>
    <w:rsid w:val="002E1A94"/>
    <w:rsid w:val="002E1D55"/>
    <w:rsid w:val="002E25FB"/>
    <w:rsid w:val="002E26C4"/>
    <w:rsid w:val="002E2734"/>
    <w:rsid w:val="002E2AA6"/>
    <w:rsid w:val="002E30A5"/>
    <w:rsid w:val="002E34EA"/>
    <w:rsid w:val="002E3B96"/>
    <w:rsid w:val="002E4114"/>
    <w:rsid w:val="002E47E4"/>
    <w:rsid w:val="002E4BF9"/>
    <w:rsid w:val="002E4D61"/>
    <w:rsid w:val="002E5045"/>
    <w:rsid w:val="002E68A7"/>
    <w:rsid w:val="002E6E6C"/>
    <w:rsid w:val="002F016E"/>
    <w:rsid w:val="002F020D"/>
    <w:rsid w:val="002F03FD"/>
    <w:rsid w:val="002F0522"/>
    <w:rsid w:val="002F16DD"/>
    <w:rsid w:val="002F199D"/>
    <w:rsid w:val="002F213C"/>
    <w:rsid w:val="002F2453"/>
    <w:rsid w:val="002F2607"/>
    <w:rsid w:val="002F33D2"/>
    <w:rsid w:val="002F352D"/>
    <w:rsid w:val="002F381E"/>
    <w:rsid w:val="002F3C58"/>
    <w:rsid w:val="002F4084"/>
    <w:rsid w:val="002F4A08"/>
    <w:rsid w:val="002F4ADB"/>
    <w:rsid w:val="002F531E"/>
    <w:rsid w:val="002F548D"/>
    <w:rsid w:val="002F54FB"/>
    <w:rsid w:val="002F5ACC"/>
    <w:rsid w:val="002F66F9"/>
    <w:rsid w:val="002F6B6C"/>
    <w:rsid w:val="002F704B"/>
    <w:rsid w:val="002F72C3"/>
    <w:rsid w:val="002F768C"/>
    <w:rsid w:val="002F7D1E"/>
    <w:rsid w:val="002F7E89"/>
    <w:rsid w:val="00300201"/>
    <w:rsid w:val="0030025A"/>
    <w:rsid w:val="0030052F"/>
    <w:rsid w:val="00300A58"/>
    <w:rsid w:val="00300BF2"/>
    <w:rsid w:val="00302467"/>
    <w:rsid w:val="00302493"/>
    <w:rsid w:val="00302991"/>
    <w:rsid w:val="00302EFC"/>
    <w:rsid w:val="00303243"/>
    <w:rsid w:val="00303BCC"/>
    <w:rsid w:val="00303BEF"/>
    <w:rsid w:val="00303F2B"/>
    <w:rsid w:val="00303F8D"/>
    <w:rsid w:val="00304ACB"/>
    <w:rsid w:val="0030572D"/>
    <w:rsid w:val="0030586A"/>
    <w:rsid w:val="00305A5E"/>
    <w:rsid w:val="0030622D"/>
    <w:rsid w:val="00306811"/>
    <w:rsid w:val="00306F32"/>
    <w:rsid w:val="003074C5"/>
    <w:rsid w:val="00307A3C"/>
    <w:rsid w:val="00307FA4"/>
    <w:rsid w:val="00310178"/>
    <w:rsid w:val="00310290"/>
    <w:rsid w:val="003103B1"/>
    <w:rsid w:val="00310948"/>
    <w:rsid w:val="00310CC1"/>
    <w:rsid w:val="003118A8"/>
    <w:rsid w:val="00312504"/>
    <w:rsid w:val="00312B89"/>
    <w:rsid w:val="00313026"/>
    <w:rsid w:val="0031312C"/>
    <w:rsid w:val="00313913"/>
    <w:rsid w:val="00313DAA"/>
    <w:rsid w:val="0031421F"/>
    <w:rsid w:val="0031466A"/>
    <w:rsid w:val="00314B31"/>
    <w:rsid w:val="003151F4"/>
    <w:rsid w:val="00315569"/>
    <w:rsid w:val="00315A65"/>
    <w:rsid w:val="003165D7"/>
    <w:rsid w:val="0031666B"/>
    <w:rsid w:val="00316ABE"/>
    <w:rsid w:val="00317601"/>
    <w:rsid w:val="003179CC"/>
    <w:rsid w:val="00317BA7"/>
    <w:rsid w:val="00317EB1"/>
    <w:rsid w:val="003204AE"/>
    <w:rsid w:val="00320BE2"/>
    <w:rsid w:val="00321886"/>
    <w:rsid w:val="00321956"/>
    <w:rsid w:val="00321EDC"/>
    <w:rsid w:val="003226AC"/>
    <w:rsid w:val="003231DC"/>
    <w:rsid w:val="00323694"/>
    <w:rsid w:val="00323BE7"/>
    <w:rsid w:val="00324B26"/>
    <w:rsid w:val="00324C3A"/>
    <w:rsid w:val="00324D63"/>
    <w:rsid w:val="0032547C"/>
    <w:rsid w:val="003255AF"/>
    <w:rsid w:val="003256EB"/>
    <w:rsid w:val="003259DB"/>
    <w:rsid w:val="0032795B"/>
    <w:rsid w:val="003303CD"/>
    <w:rsid w:val="003307BE"/>
    <w:rsid w:val="003314D9"/>
    <w:rsid w:val="00331653"/>
    <w:rsid w:val="00331A48"/>
    <w:rsid w:val="00331BCC"/>
    <w:rsid w:val="00332311"/>
    <w:rsid w:val="003330C9"/>
    <w:rsid w:val="0033364C"/>
    <w:rsid w:val="00334415"/>
    <w:rsid w:val="003345DA"/>
    <w:rsid w:val="00334972"/>
    <w:rsid w:val="00335C1B"/>
    <w:rsid w:val="00335EA1"/>
    <w:rsid w:val="0033691E"/>
    <w:rsid w:val="00336A6A"/>
    <w:rsid w:val="00336CCB"/>
    <w:rsid w:val="00340B4B"/>
    <w:rsid w:val="003411D1"/>
    <w:rsid w:val="003416BA"/>
    <w:rsid w:val="00342148"/>
    <w:rsid w:val="00342658"/>
    <w:rsid w:val="003427BE"/>
    <w:rsid w:val="00342F99"/>
    <w:rsid w:val="00343016"/>
    <w:rsid w:val="003432EE"/>
    <w:rsid w:val="00343749"/>
    <w:rsid w:val="00343AEA"/>
    <w:rsid w:val="003444BF"/>
    <w:rsid w:val="00344D99"/>
    <w:rsid w:val="0034575A"/>
    <w:rsid w:val="00345F1D"/>
    <w:rsid w:val="00345F57"/>
    <w:rsid w:val="003461A7"/>
    <w:rsid w:val="00346CC8"/>
    <w:rsid w:val="00350458"/>
    <w:rsid w:val="00350E6C"/>
    <w:rsid w:val="00350F55"/>
    <w:rsid w:val="0035153C"/>
    <w:rsid w:val="003518A6"/>
    <w:rsid w:val="00351E7F"/>
    <w:rsid w:val="00352953"/>
    <w:rsid w:val="00353D83"/>
    <w:rsid w:val="00353D91"/>
    <w:rsid w:val="00354062"/>
    <w:rsid w:val="0035459E"/>
    <w:rsid w:val="00354AE9"/>
    <w:rsid w:val="00355527"/>
    <w:rsid w:val="00355C0D"/>
    <w:rsid w:val="003560A6"/>
    <w:rsid w:val="003566A9"/>
    <w:rsid w:val="00356988"/>
    <w:rsid w:val="003569D3"/>
    <w:rsid w:val="00356CE9"/>
    <w:rsid w:val="003570BB"/>
    <w:rsid w:val="00357128"/>
    <w:rsid w:val="00357377"/>
    <w:rsid w:val="0035755E"/>
    <w:rsid w:val="00357A80"/>
    <w:rsid w:val="00360116"/>
    <w:rsid w:val="00361441"/>
    <w:rsid w:val="00361B8B"/>
    <w:rsid w:val="00363F39"/>
    <w:rsid w:val="003640FC"/>
    <w:rsid w:val="0036445C"/>
    <w:rsid w:val="00364627"/>
    <w:rsid w:val="00364AB0"/>
    <w:rsid w:val="00364B13"/>
    <w:rsid w:val="00364D71"/>
    <w:rsid w:val="00365D7A"/>
    <w:rsid w:val="003667B0"/>
    <w:rsid w:val="003667DD"/>
    <w:rsid w:val="00366B48"/>
    <w:rsid w:val="00366D71"/>
    <w:rsid w:val="003674FB"/>
    <w:rsid w:val="0036774D"/>
    <w:rsid w:val="00367764"/>
    <w:rsid w:val="003678D7"/>
    <w:rsid w:val="00370316"/>
    <w:rsid w:val="003704EC"/>
    <w:rsid w:val="00370DC7"/>
    <w:rsid w:val="003713D7"/>
    <w:rsid w:val="003714AC"/>
    <w:rsid w:val="00371CBD"/>
    <w:rsid w:val="00371F20"/>
    <w:rsid w:val="003721E3"/>
    <w:rsid w:val="00372B98"/>
    <w:rsid w:val="003732DC"/>
    <w:rsid w:val="003737B7"/>
    <w:rsid w:val="003740CC"/>
    <w:rsid w:val="003745F4"/>
    <w:rsid w:val="0037491A"/>
    <w:rsid w:val="00374E79"/>
    <w:rsid w:val="0037529A"/>
    <w:rsid w:val="00375388"/>
    <w:rsid w:val="00375496"/>
    <w:rsid w:val="00375559"/>
    <w:rsid w:val="00375FB9"/>
    <w:rsid w:val="00376170"/>
    <w:rsid w:val="003762F9"/>
    <w:rsid w:val="003766DE"/>
    <w:rsid w:val="00376851"/>
    <w:rsid w:val="00376FA2"/>
    <w:rsid w:val="00377133"/>
    <w:rsid w:val="00377A3B"/>
    <w:rsid w:val="00377B8B"/>
    <w:rsid w:val="00377E3C"/>
    <w:rsid w:val="00377F89"/>
    <w:rsid w:val="00380874"/>
    <w:rsid w:val="00380878"/>
    <w:rsid w:val="003809D4"/>
    <w:rsid w:val="00380BBE"/>
    <w:rsid w:val="00380EA3"/>
    <w:rsid w:val="00381243"/>
    <w:rsid w:val="00381B1B"/>
    <w:rsid w:val="00381D70"/>
    <w:rsid w:val="00382144"/>
    <w:rsid w:val="0038235E"/>
    <w:rsid w:val="0038260A"/>
    <w:rsid w:val="003826AC"/>
    <w:rsid w:val="003829D0"/>
    <w:rsid w:val="0038326A"/>
    <w:rsid w:val="0038444F"/>
    <w:rsid w:val="00384BB9"/>
    <w:rsid w:val="0038519A"/>
    <w:rsid w:val="003861F0"/>
    <w:rsid w:val="00386EE5"/>
    <w:rsid w:val="00387051"/>
    <w:rsid w:val="003876F0"/>
    <w:rsid w:val="00387ECF"/>
    <w:rsid w:val="003901EA"/>
    <w:rsid w:val="0039021B"/>
    <w:rsid w:val="00390353"/>
    <w:rsid w:val="00390429"/>
    <w:rsid w:val="003906A0"/>
    <w:rsid w:val="00390D91"/>
    <w:rsid w:val="00390DBB"/>
    <w:rsid w:val="00390F1A"/>
    <w:rsid w:val="00391413"/>
    <w:rsid w:val="00391A48"/>
    <w:rsid w:val="003923D5"/>
    <w:rsid w:val="00392AF4"/>
    <w:rsid w:val="00392D1F"/>
    <w:rsid w:val="00392D35"/>
    <w:rsid w:val="003931AF"/>
    <w:rsid w:val="0039338D"/>
    <w:rsid w:val="0039366C"/>
    <w:rsid w:val="00393C4C"/>
    <w:rsid w:val="00393EC8"/>
    <w:rsid w:val="00394EC7"/>
    <w:rsid w:val="003951CB"/>
    <w:rsid w:val="00395E42"/>
    <w:rsid w:val="00396409"/>
    <w:rsid w:val="00396A2D"/>
    <w:rsid w:val="00396FC3"/>
    <w:rsid w:val="003972F3"/>
    <w:rsid w:val="0039779B"/>
    <w:rsid w:val="003A0291"/>
    <w:rsid w:val="003A13E2"/>
    <w:rsid w:val="003A1431"/>
    <w:rsid w:val="003A1A94"/>
    <w:rsid w:val="003A1B38"/>
    <w:rsid w:val="003A1FF5"/>
    <w:rsid w:val="003A204E"/>
    <w:rsid w:val="003A2B19"/>
    <w:rsid w:val="003A2D25"/>
    <w:rsid w:val="003A2DB1"/>
    <w:rsid w:val="003A5101"/>
    <w:rsid w:val="003A5265"/>
    <w:rsid w:val="003A5715"/>
    <w:rsid w:val="003A5728"/>
    <w:rsid w:val="003A60E7"/>
    <w:rsid w:val="003A6AE2"/>
    <w:rsid w:val="003A7092"/>
    <w:rsid w:val="003A72A1"/>
    <w:rsid w:val="003A7302"/>
    <w:rsid w:val="003A7566"/>
    <w:rsid w:val="003A7611"/>
    <w:rsid w:val="003A7A46"/>
    <w:rsid w:val="003A7D1F"/>
    <w:rsid w:val="003B0A4E"/>
    <w:rsid w:val="003B0B6A"/>
    <w:rsid w:val="003B0C41"/>
    <w:rsid w:val="003B129D"/>
    <w:rsid w:val="003B22F7"/>
    <w:rsid w:val="003B2518"/>
    <w:rsid w:val="003B29CF"/>
    <w:rsid w:val="003B2A86"/>
    <w:rsid w:val="003B3A90"/>
    <w:rsid w:val="003B3D01"/>
    <w:rsid w:val="003B4003"/>
    <w:rsid w:val="003B455A"/>
    <w:rsid w:val="003B534F"/>
    <w:rsid w:val="003B6C60"/>
    <w:rsid w:val="003B7A79"/>
    <w:rsid w:val="003C0FE1"/>
    <w:rsid w:val="003C1016"/>
    <w:rsid w:val="003C151A"/>
    <w:rsid w:val="003C17F0"/>
    <w:rsid w:val="003C1D27"/>
    <w:rsid w:val="003C2A23"/>
    <w:rsid w:val="003C33A0"/>
    <w:rsid w:val="003C350C"/>
    <w:rsid w:val="003C3733"/>
    <w:rsid w:val="003C3903"/>
    <w:rsid w:val="003C3BA0"/>
    <w:rsid w:val="003C4580"/>
    <w:rsid w:val="003C51C0"/>
    <w:rsid w:val="003C553C"/>
    <w:rsid w:val="003C5C5E"/>
    <w:rsid w:val="003C65C0"/>
    <w:rsid w:val="003C65D3"/>
    <w:rsid w:val="003C6692"/>
    <w:rsid w:val="003C6746"/>
    <w:rsid w:val="003C7555"/>
    <w:rsid w:val="003C7898"/>
    <w:rsid w:val="003C7A17"/>
    <w:rsid w:val="003D0FF5"/>
    <w:rsid w:val="003D11A3"/>
    <w:rsid w:val="003D1537"/>
    <w:rsid w:val="003D183C"/>
    <w:rsid w:val="003D2D1B"/>
    <w:rsid w:val="003D2F09"/>
    <w:rsid w:val="003D3558"/>
    <w:rsid w:val="003D36C0"/>
    <w:rsid w:val="003D40E5"/>
    <w:rsid w:val="003D48C7"/>
    <w:rsid w:val="003D4C27"/>
    <w:rsid w:val="003D572F"/>
    <w:rsid w:val="003D594C"/>
    <w:rsid w:val="003D6BEB"/>
    <w:rsid w:val="003D7109"/>
    <w:rsid w:val="003D71D7"/>
    <w:rsid w:val="003D7CE8"/>
    <w:rsid w:val="003E0514"/>
    <w:rsid w:val="003E0BAA"/>
    <w:rsid w:val="003E1032"/>
    <w:rsid w:val="003E1904"/>
    <w:rsid w:val="003E25B5"/>
    <w:rsid w:val="003E285E"/>
    <w:rsid w:val="003E2BD8"/>
    <w:rsid w:val="003E3124"/>
    <w:rsid w:val="003E3300"/>
    <w:rsid w:val="003E371E"/>
    <w:rsid w:val="003E3BC7"/>
    <w:rsid w:val="003E43D3"/>
    <w:rsid w:val="003E48E1"/>
    <w:rsid w:val="003E4F68"/>
    <w:rsid w:val="003E50F4"/>
    <w:rsid w:val="003E59BB"/>
    <w:rsid w:val="003E6225"/>
    <w:rsid w:val="003E65AC"/>
    <w:rsid w:val="003E66AE"/>
    <w:rsid w:val="003E6CFE"/>
    <w:rsid w:val="003E7160"/>
    <w:rsid w:val="003E72B9"/>
    <w:rsid w:val="003E7612"/>
    <w:rsid w:val="003E7ED4"/>
    <w:rsid w:val="003F0187"/>
    <w:rsid w:val="003F0CAA"/>
    <w:rsid w:val="003F0E52"/>
    <w:rsid w:val="003F0F6B"/>
    <w:rsid w:val="003F1DCD"/>
    <w:rsid w:val="003F1FC6"/>
    <w:rsid w:val="003F1FE3"/>
    <w:rsid w:val="003F2112"/>
    <w:rsid w:val="003F2359"/>
    <w:rsid w:val="003F2457"/>
    <w:rsid w:val="003F3232"/>
    <w:rsid w:val="003F3369"/>
    <w:rsid w:val="003F359A"/>
    <w:rsid w:val="003F3865"/>
    <w:rsid w:val="003F38AC"/>
    <w:rsid w:val="003F3D55"/>
    <w:rsid w:val="003F44E2"/>
    <w:rsid w:val="003F4632"/>
    <w:rsid w:val="003F47BA"/>
    <w:rsid w:val="003F49F3"/>
    <w:rsid w:val="003F4FE6"/>
    <w:rsid w:val="003F5638"/>
    <w:rsid w:val="003F5B7B"/>
    <w:rsid w:val="003F6617"/>
    <w:rsid w:val="003F7305"/>
    <w:rsid w:val="003F7F36"/>
    <w:rsid w:val="00400A58"/>
    <w:rsid w:val="00400E70"/>
    <w:rsid w:val="00402332"/>
    <w:rsid w:val="004025C2"/>
    <w:rsid w:val="00402887"/>
    <w:rsid w:val="00402FB7"/>
    <w:rsid w:val="00403195"/>
    <w:rsid w:val="004033A9"/>
    <w:rsid w:val="00403E55"/>
    <w:rsid w:val="0040407C"/>
    <w:rsid w:val="0040416C"/>
    <w:rsid w:val="004041CA"/>
    <w:rsid w:val="004044B4"/>
    <w:rsid w:val="00404681"/>
    <w:rsid w:val="004048F9"/>
    <w:rsid w:val="00404A80"/>
    <w:rsid w:val="00404B32"/>
    <w:rsid w:val="00405445"/>
    <w:rsid w:val="0040579D"/>
    <w:rsid w:val="00405AC1"/>
    <w:rsid w:val="0040675A"/>
    <w:rsid w:val="00406923"/>
    <w:rsid w:val="00406E1E"/>
    <w:rsid w:val="0040763D"/>
    <w:rsid w:val="0041038E"/>
    <w:rsid w:val="00410D17"/>
    <w:rsid w:val="0041183A"/>
    <w:rsid w:val="00412656"/>
    <w:rsid w:val="00412AA9"/>
    <w:rsid w:val="00413442"/>
    <w:rsid w:val="00413821"/>
    <w:rsid w:val="00413BA5"/>
    <w:rsid w:val="004141A3"/>
    <w:rsid w:val="00414909"/>
    <w:rsid w:val="0041582F"/>
    <w:rsid w:val="00415AC9"/>
    <w:rsid w:val="00415CF3"/>
    <w:rsid w:val="00416112"/>
    <w:rsid w:val="004167AD"/>
    <w:rsid w:val="0041716A"/>
    <w:rsid w:val="0041745E"/>
    <w:rsid w:val="00417A18"/>
    <w:rsid w:val="00417AE0"/>
    <w:rsid w:val="00417BAA"/>
    <w:rsid w:val="00417E8E"/>
    <w:rsid w:val="0042042B"/>
    <w:rsid w:val="00420B45"/>
    <w:rsid w:val="00420D7A"/>
    <w:rsid w:val="00421257"/>
    <w:rsid w:val="00421621"/>
    <w:rsid w:val="00422193"/>
    <w:rsid w:val="004223DE"/>
    <w:rsid w:val="00422645"/>
    <w:rsid w:val="00422A10"/>
    <w:rsid w:val="0042496A"/>
    <w:rsid w:val="00424D17"/>
    <w:rsid w:val="004259FC"/>
    <w:rsid w:val="00425DFD"/>
    <w:rsid w:val="00425EA9"/>
    <w:rsid w:val="004263A3"/>
    <w:rsid w:val="0042711B"/>
    <w:rsid w:val="00427713"/>
    <w:rsid w:val="00427C77"/>
    <w:rsid w:val="00427CCC"/>
    <w:rsid w:val="0043013A"/>
    <w:rsid w:val="00430421"/>
    <w:rsid w:val="00430A36"/>
    <w:rsid w:val="00430B4F"/>
    <w:rsid w:val="00431084"/>
    <w:rsid w:val="004310D7"/>
    <w:rsid w:val="0043180D"/>
    <w:rsid w:val="00431FF2"/>
    <w:rsid w:val="004322D6"/>
    <w:rsid w:val="0043254E"/>
    <w:rsid w:val="00432589"/>
    <w:rsid w:val="00432A94"/>
    <w:rsid w:val="00432C95"/>
    <w:rsid w:val="00433359"/>
    <w:rsid w:val="00433827"/>
    <w:rsid w:val="00433A40"/>
    <w:rsid w:val="00433AEA"/>
    <w:rsid w:val="00434B70"/>
    <w:rsid w:val="004355EF"/>
    <w:rsid w:val="004360C8"/>
    <w:rsid w:val="00436823"/>
    <w:rsid w:val="004371D5"/>
    <w:rsid w:val="0043773F"/>
    <w:rsid w:val="00437FBF"/>
    <w:rsid w:val="0044006B"/>
    <w:rsid w:val="0044033F"/>
    <w:rsid w:val="00440576"/>
    <w:rsid w:val="00440630"/>
    <w:rsid w:val="00440D6B"/>
    <w:rsid w:val="00440E07"/>
    <w:rsid w:val="0044142F"/>
    <w:rsid w:val="00441F0F"/>
    <w:rsid w:val="00442965"/>
    <w:rsid w:val="004432B6"/>
    <w:rsid w:val="00444081"/>
    <w:rsid w:val="00444157"/>
    <w:rsid w:val="0044417C"/>
    <w:rsid w:val="00444DB3"/>
    <w:rsid w:val="00445617"/>
    <w:rsid w:val="00445A2F"/>
    <w:rsid w:val="004463FF"/>
    <w:rsid w:val="0044648F"/>
    <w:rsid w:val="0044680A"/>
    <w:rsid w:val="0044684E"/>
    <w:rsid w:val="00446A4F"/>
    <w:rsid w:val="00446F22"/>
    <w:rsid w:val="00447C74"/>
    <w:rsid w:val="00447E41"/>
    <w:rsid w:val="0045019F"/>
    <w:rsid w:val="004503A4"/>
    <w:rsid w:val="00450555"/>
    <w:rsid w:val="004506FA"/>
    <w:rsid w:val="004507B6"/>
    <w:rsid w:val="00450BC8"/>
    <w:rsid w:val="00450DC6"/>
    <w:rsid w:val="004516A5"/>
    <w:rsid w:val="00451E9C"/>
    <w:rsid w:val="00452145"/>
    <w:rsid w:val="004522D0"/>
    <w:rsid w:val="0045280F"/>
    <w:rsid w:val="00452E73"/>
    <w:rsid w:val="004533F6"/>
    <w:rsid w:val="004535AE"/>
    <w:rsid w:val="004537F7"/>
    <w:rsid w:val="00453C53"/>
    <w:rsid w:val="0045444D"/>
    <w:rsid w:val="0045463A"/>
    <w:rsid w:val="00454AC9"/>
    <w:rsid w:val="00455050"/>
    <w:rsid w:val="004554A3"/>
    <w:rsid w:val="00455626"/>
    <w:rsid w:val="00455A6E"/>
    <w:rsid w:val="00455AC4"/>
    <w:rsid w:val="00455EAD"/>
    <w:rsid w:val="004578EB"/>
    <w:rsid w:val="00457F74"/>
    <w:rsid w:val="004604D5"/>
    <w:rsid w:val="004605C6"/>
    <w:rsid w:val="00460697"/>
    <w:rsid w:val="0046117B"/>
    <w:rsid w:val="004619A3"/>
    <w:rsid w:val="00461FC2"/>
    <w:rsid w:val="004632B9"/>
    <w:rsid w:val="004644A4"/>
    <w:rsid w:val="00464AB7"/>
    <w:rsid w:val="00465959"/>
    <w:rsid w:val="004659D0"/>
    <w:rsid w:val="00465DE5"/>
    <w:rsid w:val="00466103"/>
    <w:rsid w:val="004676DF"/>
    <w:rsid w:val="00467A83"/>
    <w:rsid w:val="00467EF8"/>
    <w:rsid w:val="00470006"/>
    <w:rsid w:val="00470611"/>
    <w:rsid w:val="00470848"/>
    <w:rsid w:val="00470CAB"/>
    <w:rsid w:val="00471796"/>
    <w:rsid w:val="00471AC3"/>
    <w:rsid w:val="00472429"/>
    <w:rsid w:val="004725E5"/>
    <w:rsid w:val="00472751"/>
    <w:rsid w:val="00473128"/>
    <w:rsid w:val="004748A5"/>
    <w:rsid w:val="00475078"/>
    <w:rsid w:val="00475767"/>
    <w:rsid w:val="00475A4F"/>
    <w:rsid w:val="0047611A"/>
    <w:rsid w:val="00476FC2"/>
    <w:rsid w:val="004779A0"/>
    <w:rsid w:val="00477F17"/>
    <w:rsid w:val="00480362"/>
    <w:rsid w:val="00480363"/>
    <w:rsid w:val="004808E3"/>
    <w:rsid w:val="00480B7E"/>
    <w:rsid w:val="00480CFE"/>
    <w:rsid w:val="00481016"/>
    <w:rsid w:val="0048124C"/>
    <w:rsid w:val="0048204C"/>
    <w:rsid w:val="004821BB"/>
    <w:rsid w:val="0048237A"/>
    <w:rsid w:val="004826FE"/>
    <w:rsid w:val="004827D5"/>
    <w:rsid w:val="00482AF2"/>
    <w:rsid w:val="004830C9"/>
    <w:rsid w:val="00483347"/>
    <w:rsid w:val="00483E2E"/>
    <w:rsid w:val="00484B69"/>
    <w:rsid w:val="0048529F"/>
    <w:rsid w:val="00485406"/>
    <w:rsid w:val="0048590F"/>
    <w:rsid w:val="004864D4"/>
    <w:rsid w:val="00486D60"/>
    <w:rsid w:val="00486DBC"/>
    <w:rsid w:val="00487180"/>
    <w:rsid w:val="00487BA1"/>
    <w:rsid w:val="0049155D"/>
    <w:rsid w:val="00491FA1"/>
    <w:rsid w:val="00492A25"/>
    <w:rsid w:val="004938A3"/>
    <w:rsid w:val="004950A6"/>
    <w:rsid w:val="0049558B"/>
    <w:rsid w:val="00496350"/>
    <w:rsid w:val="00496F9C"/>
    <w:rsid w:val="00497357"/>
    <w:rsid w:val="0049765E"/>
    <w:rsid w:val="00497843"/>
    <w:rsid w:val="0049797C"/>
    <w:rsid w:val="004A1405"/>
    <w:rsid w:val="004A15BD"/>
    <w:rsid w:val="004A1E28"/>
    <w:rsid w:val="004A1FC6"/>
    <w:rsid w:val="004A2E5F"/>
    <w:rsid w:val="004A38C2"/>
    <w:rsid w:val="004A3968"/>
    <w:rsid w:val="004A3C03"/>
    <w:rsid w:val="004A3DB7"/>
    <w:rsid w:val="004A463B"/>
    <w:rsid w:val="004A5088"/>
    <w:rsid w:val="004A50E5"/>
    <w:rsid w:val="004A5255"/>
    <w:rsid w:val="004A61CA"/>
    <w:rsid w:val="004A6B28"/>
    <w:rsid w:val="004A6CB0"/>
    <w:rsid w:val="004A70FF"/>
    <w:rsid w:val="004A76C3"/>
    <w:rsid w:val="004A77B5"/>
    <w:rsid w:val="004A7EDE"/>
    <w:rsid w:val="004B0283"/>
    <w:rsid w:val="004B0D93"/>
    <w:rsid w:val="004B19C8"/>
    <w:rsid w:val="004B1FA4"/>
    <w:rsid w:val="004B29AC"/>
    <w:rsid w:val="004B2AD4"/>
    <w:rsid w:val="004B35DF"/>
    <w:rsid w:val="004B3627"/>
    <w:rsid w:val="004B3837"/>
    <w:rsid w:val="004B3EEA"/>
    <w:rsid w:val="004B4922"/>
    <w:rsid w:val="004B52E0"/>
    <w:rsid w:val="004B57DF"/>
    <w:rsid w:val="004B5976"/>
    <w:rsid w:val="004B6E54"/>
    <w:rsid w:val="004B722E"/>
    <w:rsid w:val="004B72E8"/>
    <w:rsid w:val="004B7661"/>
    <w:rsid w:val="004B771A"/>
    <w:rsid w:val="004C01A5"/>
    <w:rsid w:val="004C0412"/>
    <w:rsid w:val="004C0882"/>
    <w:rsid w:val="004C2138"/>
    <w:rsid w:val="004C2B69"/>
    <w:rsid w:val="004C302E"/>
    <w:rsid w:val="004C3940"/>
    <w:rsid w:val="004C51FD"/>
    <w:rsid w:val="004C5ED7"/>
    <w:rsid w:val="004C64B8"/>
    <w:rsid w:val="004C65A8"/>
    <w:rsid w:val="004C6689"/>
    <w:rsid w:val="004C6BF3"/>
    <w:rsid w:val="004C7408"/>
    <w:rsid w:val="004C7850"/>
    <w:rsid w:val="004D0479"/>
    <w:rsid w:val="004D139A"/>
    <w:rsid w:val="004D14DC"/>
    <w:rsid w:val="004D17C6"/>
    <w:rsid w:val="004D1FB2"/>
    <w:rsid w:val="004D2858"/>
    <w:rsid w:val="004D2E49"/>
    <w:rsid w:val="004D35BA"/>
    <w:rsid w:val="004D36FC"/>
    <w:rsid w:val="004D38E5"/>
    <w:rsid w:val="004D3A48"/>
    <w:rsid w:val="004D3C5A"/>
    <w:rsid w:val="004D449A"/>
    <w:rsid w:val="004D4701"/>
    <w:rsid w:val="004D47C7"/>
    <w:rsid w:val="004D4B2B"/>
    <w:rsid w:val="004D4F35"/>
    <w:rsid w:val="004D51EE"/>
    <w:rsid w:val="004D5C03"/>
    <w:rsid w:val="004D5D45"/>
    <w:rsid w:val="004D618D"/>
    <w:rsid w:val="004D62A9"/>
    <w:rsid w:val="004D6FC3"/>
    <w:rsid w:val="004D7476"/>
    <w:rsid w:val="004D7716"/>
    <w:rsid w:val="004E0167"/>
    <w:rsid w:val="004E0306"/>
    <w:rsid w:val="004E0572"/>
    <w:rsid w:val="004E07BD"/>
    <w:rsid w:val="004E086D"/>
    <w:rsid w:val="004E1641"/>
    <w:rsid w:val="004E1818"/>
    <w:rsid w:val="004E1990"/>
    <w:rsid w:val="004E2186"/>
    <w:rsid w:val="004E25A8"/>
    <w:rsid w:val="004E299B"/>
    <w:rsid w:val="004E29E6"/>
    <w:rsid w:val="004E2A77"/>
    <w:rsid w:val="004E2B53"/>
    <w:rsid w:val="004E3672"/>
    <w:rsid w:val="004E3930"/>
    <w:rsid w:val="004E3A23"/>
    <w:rsid w:val="004E3ED9"/>
    <w:rsid w:val="004E4961"/>
    <w:rsid w:val="004E5866"/>
    <w:rsid w:val="004E6097"/>
    <w:rsid w:val="004E61EF"/>
    <w:rsid w:val="004E63C6"/>
    <w:rsid w:val="004E6805"/>
    <w:rsid w:val="004E76A7"/>
    <w:rsid w:val="004E7B03"/>
    <w:rsid w:val="004E7F95"/>
    <w:rsid w:val="004F0064"/>
    <w:rsid w:val="004F06AC"/>
    <w:rsid w:val="004F0E50"/>
    <w:rsid w:val="004F1D2A"/>
    <w:rsid w:val="004F243F"/>
    <w:rsid w:val="004F252C"/>
    <w:rsid w:val="004F36A3"/>
    <w:rsid w:val="004F3E0C"/>
    <w:rsid w:val="004F4036"/>
    <w:rsid w:val="004F4308"/>
    <w:rsid w:val="004F4892"/>
    <w:rsid w:val="004F4D2C"/>
    <w:rsid w:val="004F5C3B"/>
    <w:rsid w:val="004F5DA0"/>
    <w:rsid w:val="004F7160"/>
    <w:rsid w:val="00500258"/>
    <w:rsid w:val="00500B2D"/>
    <w:rsid w:val="00500EC6"/>
    <w:rsid w:val="0050130B"/>
    <w:rsid w:val="00501A99"/>
    <w:rsid w:val="00501F1D"/>
    <w:rsid w:val="005021EB"/>
    <w:rsid w:val="005021F2"/>
    <w:rsid w:val="00502219"/>
    <w:rsid w:val="00502456"/>
    <w:rsid w:val="00503180"/>
    <w:rsid w:val="0050336B"/>
    <w:rsid w:val="005038A4"/>
    <w:rsid w:val="00503DC4"/>
    <w:rsid w:val="00504AF6"/>
    <w:rsid w:val="00504C56"/>
    <w:rsid w:val="00504CD4"/>
    <w:rsid w:val="0050524B"/>
    <w:rsid w:val="00505450"/>
    <w:rsid w:val="00505FC6"/>
    <w:rsid w:val="00506DA6"/>
    <w:rsid w:val="00507170"/>
    <w:rsid w:val="005100B7"/>
    <w:rsid w:val="005105DE"/>
    <w:rsid w:val="005113C9"/>
    <w:rsid w:val="00511ACD"/>
    <w:rsid w:val="00512050"/>
    <w:rsid w:val="00512055"/>
    <w:rsid w:val="0051280C"/>
    <w:rsid w:val="00512842"/>
    <w:rsid w:val="005128BE"/>
    <w:rsid w:val="0051356F"/>
    <w:rsid w:val="00513DEC"/>
    <w:rsid w:val="00513E7C"/>
    <w:rsid w:val="005140BB"/>
    <w:rsid w:val="00514FBE"/>
    <w:rsid w:val="00514FD9"/>
    <w:rsid w:val="005154BB"/>
    <w:rsid w:val="0051550A"/>
    <w:rsid w:val="00515E31"/>
    <w:rsid w:val="0051608F"/>
    <w:rsid w:val="00516480"/>
    <w:rsid w:val="005171F4"/>
    <w:rsid w:val="005173D3"/>
    <w:rsid w:val="00517A4E"/>
    <w:rsid w:val="00520EF8"/>
    <w:rsid w:val="005210F7"/>
    <w:rsid w:val="00521753"/>
    <w:rsid w:val="00521C64"/>
    <w:rsid w:val="00522083"/>
    <w:rsid w:val="0052239D"/>
    <w:rsid w:val="005224EE"/>
    <w:rsid w:val="00522879"/>
    <w:rsid w:val="005229AD"/>
    <w:rsid w:val="00522FFE"/>
    <w:rsid w:val="0052363A"/>
    <w:rsid w:val="00523BB1"/>
    <w:rsid w:val="005241A0"/>
    <w:rsid w:val="00524B23"/>
    <w:rsid w:val="0052511C"/>
    <w:rsid w:val="00525235"/>
    <w:rsid w:val="0052570E"/>
    <w:rsid w:val="005260CD"/>
    <w:rsid w:val="00526265"/>
    <w:rsid w:val="00526332"/>
    <w:rsid w:val="0052655D"/>
    <w:rsid w:val="005265E0"/>
    <w:rsid w:val="00526BC3"/>
    <w:rsid w:val="00530064"/>
    <w:rsid w:val="00530440"/>
    <w:rsid w:val="005305D2"/>
    <w:rsid w:val="00530691"/>
    <w:rsid w:val="0053085C"/>
    <w:rsid w:val="00530FF0"/>
    <w:rsid w:val="005313CA"/>
    <w:rsid w:val="00531761"/>
    <w:rsid w:val="0053248F"/>
    <w:rsid w:val="005327AB"/>
    <w:rsid w:val="00532F9C"/>
    <w:rsid w:val="00533055"/>
    <w:rsid w:val="0053332A"/>
    <w:rsid w:val="0053358A"/>
    <w:rsid w:val="00534668"/>
    <w:rsid w:val="005348CA"/>
    <w:rsid w:val="00534B28"/>
    <w:rsid w:val="00534DDD"/>
    <w:rsid w:val="00535291"/>
    <w:rsid w:val="00535A94"/>
    <w:rsid w:val="00536A40"/>
    <w:rsid w:val="00537874"/>
    <w:rsid w:val="0053795F"/>
    <w:rsid w:val="00537D3D"/>
    <w:rsid w:val="00540511"/>
    <w:rsid w:val="00540578"/>
    <w:rsid w:val="00540808"/>
    <w:rsid w:val="0054080E"/>
    <w:rsid w:val="00540D1A"/>
    <w:rsid w:val="00540DE5"/>
    <w:rsid w:val="00540EA1"/>
    <w:rsid w:val="00541E5A"/>
    <w:rsid w:val="00542769"/>
    <w:rsid w:val="0054277D"/>
    <w:rsid w:val="0054298C"/>
    <w:rsid w:val="00543066"/>
    <w:rsid w:val="0054358E"/>
    <w:rsid w:val="00543AF4"/>
    <w:rsid w:val="00543CD2"/>
    <w:rsid w:val="00543F53"/>
    <w:rsid w:val="00544191"/>
    <w:rsid w:val="0054440C"/>
    <w:rsid w:val="005448EC"/>
    <w:rsid w:val="00544C0A"/>
    <w:rsid w:val="00544F39"/>
    <w:rsid w:val="005452DC"/>
    <w:rsid w:val="005457FB"/>
    <w:rsid w:val="00545C5B"/>
    <w:rsid w:val="00546B96"/>
    <w:rsid w:val="00546F90"/>
    <w:rsid w:val="005477F7"/>
    <w:rsid w:val="00547EFB"/>
    <w:rsid w:val="00550186"/>
    <w:rsid w:val="00550192"/>
    <w:rsid w:val="0055037E"/>
    <w:rsid w:val="00550BD9"/>
    <w:rsid w:val="005522F2"/>
    <w:rsid w:val="005531DF"/>
    <w:rsid w:val="00553874"/>
    <w:rsid w:val="00553DCE"/>
    <w:rsid w:val="00553F4B"/>
    <w:rsid w:val="005541E0"/>
    <w:rsid w:val="005543B3"/>
    <w:rsid w:val="00554577"/>
    <w:rsid w:val="005545A1"/>
    <w:rsid w:val="00554AD8"/>
    <w:rsid w:val="00554F78"/>
    <w:rsid w:val="00555DA1"/>
    <w:rsid w:val="005562FB"/>
    <w:rsid w:val="00556731"/>
    <w:rsid w:val="00556BF7"/>
    <w:rsid w:val="00556C70"/>
    <w:rsid w:val="00556E53"/>
    <w:rsid w:val="00556FF1"/>
    <w:rsid w:val="0055745C"/>
    <w:rsid w:val="00557F60"/>
    <w:rsid w:val="00560D81"/>
    <w:rsid w:val="00561730"/>
    <w:rsid w:val="00561913"/>
    <w:rsid w:val="00561B97"/>
    <w:rsid w:val="00562149"/>
    <w:rsid w:val="00562285"/>
    <w:rsid w:val="0056248C"/>
    <w:rsid w:val="005640EB"/>
    <w:rsid w:val="00565559"/>
    <w:rsid w:val="005666A4"/>
    <w:rsid w:val="00567B5D"/>
    <w:rsid w:val="00570593"/>
    <w:rsid w:val="00570757"/>
    <w:rsid w:val="0057257D"/>
    <w:rsid w:val="00572DBE"/>
    <w:rsid w:val="00573293"/>
    <w:rsid w:val="00573733"/>
    <w:rsid w:val="00573DBC"/>
    <w:rsid w:val="00573E08"/>
    <w:rsid w:val="00573F8B"/>
    <w:rsid w:val="005743E0"/>
    <w:rsid w:val="00574554"/>
    <w:rsid w:val="00574E06"/>
    <w:rsid w:val="005751BB"/>
    <w:rsid w:val="00575713"/>
    <w:rsid w:val="00575837"/>
    <w:rsid w:val="00576089"/>
    <w:rsid w:val="0057619F"/>
    <w:rsid w:val="005764B1"/>
    <w:rsid w:val="00576852"/>
    <w:rsid w:val="00576D06"/>
    <w:rsid w:val="005779E4"/>
    <w:rsid w:val="00577E82"/>
    <w:rsid w:val="00580B89"/>
    <w:rsid w:val="00580EC7"/>
    <w:rsid w:val="00581EA9"/>
    <w:rsid w:val="005826D2"/>
    <w:rsid w:val="0058289C"/>
    <w:rsid w:val="005836C7"/>
    <w:rsid w:val="00583A83"/>
    <w:rsid w:val="0058408E"/>
    <w:rsid w:val="005844C3"/>
    <w:rsid w:val="005847D9"/>
    <w:rsid w:val="00584909"/>
    <w:rsid w:val="00585374"/>
    <w:rsid w:val="005854CA"/>
    <w:rsid w:val="00585FAB"/>
    <w:rsid w:val="0058607D"/>
    <w:rsid w:val="00590B77"/>
    <w:rsid w:val="00590D9A"/>
    <w:rsid w:val="005913A3"/>
    <w:rsid w:val="005919E6"/>
    <w:rsid w:val="00591A5A"/>
    <w:rsid w:val="005929D8"/>
    <w:rsid w:val="00592C40"/>
    <w:rsid w:val="00593B28"/>
    <w:rsid w:val="00593C06"/>
    <w:rsid w:val="005940D4"/>
    <w:rsid w:val="00594A7B"/>
    <w:rsid w:val="0059580E"/>
    <w:rsid w:val="00595D90"/>
    <w:rsid w:val="00596A6F"/>
    <w:rsid w:val="00596D11"/>
    <w:rsid w:val="00596FCE"/>
    <w:rsid w:val="00597A4D"/>
    <w:rsid w:val="005A0300"/>
    <w:rsid w:val="005A11BC"/>
    <w:rsid w:val="005A1525"/>
    <w:rsid w:val="005A16F6"/>
    <w:rsid w:val="005A188D"/>
    <w:rsid w:val="005A1A61"/>
    <w:rsid w:val="005A1E17"/>
    <w:rsid w:val="005A252B"/>
    <w:rsid w:val="005A2A8F"/>
    <w:rsid w:val="005A3008"/>
    <w:rsid w:val="005A3204"/>
    <w:rsid w:val="005A3341"/>
    <w:rsid w:val="005A3C3D"/>
    <w:rsid w:val="005A46EC"/>
    <w:rsid w:val="005A5EAE"/>
    <w:rsid w:val="005A5EB8"/>
    <w:rsid w:val="005A6407"/>
    <w:rsid w:val="005A726C"/>
    <w:rsid w:val="005A79CF"/>
    <w:rsid w:val="005A7DDF"/>
    <w:rsid w:val="005B05D8"/>
    <w:rsid w:val="005B07EC"/>
    <w:rsid w:val="005B21B0"/>
    <w:rsid w:val="005B2899"/>
    <w:rsid w:val="005B2B11"/>
    <w:rsid w:val="005B32A4"/>
    <w:rsid w:val="005B3371"/>
    <w:rsid w:val="005B338D"/>
    <w:rsid w:val="005B33A1"/>
    <w:rsid w:val="005B3852"/>
    <w:rsid w:val="005B3BAF"/>
    <w:rsid w:val="005B43D5"/>
    <w:rsid w:val="005B4470"/>
    <w:rsid w:val="005B479B"/>
    <w:rsid w:val="005B4DA3"/>
    <w:rsid w:val="005B4E69"/>
    <w:rsid w:val="005B536A"/>
    <w:rsid w:val="005B5BEE"/>
    <w:rsid w:val="005B6AA9"/>
    <w:rsid w:val="005B6FD1"/>
    <w:rsid w:val="005B77D2"/>
    <w:rsid w:val="005B7BDA"/>
    <w:rsid w:val="005C0195"/>
    <w:rsid w:val="005C019B"/>
    <w:rsid w:val="005C08D0"/>
    <w:rsid w:val="005C14A0"/>
    <w:rsid w:val="005C15A1"/>
    <w:rsid w:val="005C1AED"/>
    <w:rsid w:val="005C1FCB"/>
    <w:rsid w:val="005C2136"/>
    <w:rsid w:val="005C290E"/>
    <w:rsid w:val="005C30F5"/>
    <w:rsid w:val="005C3571"/>
    <w:rsid w:val="005C3840"/>
    <w:rsid w:val="005C3AD8"/>
    <w:rsid w:val="005C426B"/>
    <w:rsid w:val="005C519C"/>
    <w:rsid w:val="005C51A5"/>
    <w:rsid w:val="005C557A"/>
    <w:rsid w:val="005C566F"/>
    <w:rsid w:val="005C5B5C"/>
    <w:rsid w:val="005C5BF5"/>
    <w:rsid w:val="005C5C47"/>
    <w:rsid w:val="005C5D2D"/>
    <w:rsid w:val="005C5EFA"/>
    <w:rsid w:val="005C61DD"/>
    <w:rsid w:val="005C6438"/>
    <w:rsid w:val="005C66AC"/>
    <w:rsid w:val="005C6B8B"/>
    <w:rsid w:val="005C6E67"/>
    <w:rsid w:val="005C727F"/>
    <w:rsid w:val="005C7B0E"/>
    <w:rsid w:val="005C7B20"/>
    <w:rsid w:val="005D02E3"/>
    <w:rsid w:val="005D1419"/>
    <w:rsid w:val="005D1F34"/>
    <w:rsid w:val="005D251B"/>
    <w:rsid w:val="005D284B"/>
    <w:rsid w:val="005D2C1F"/>
    <w:rsid w:val="005D34B2"/>
    <w:rsid w:val="005D3B54"/>
    <w:rsid w:val="005D3BB3"/>
    <w:rsid w:val="005D3E28"/>
    <w:rsid w:val="005D40CD"/>
    <w:rsid w:val="005D6B59"/>
    <w:rsid w:val="005D71C3"/>
    <w:rsid w:val="005D74D2"/>
    <w:rsid w:val="005D784B"/>
    <w:rsid w:val="005D7B90"/>
    <w:rsid w:val="005E00AF"/>
    <w:rsid w:val="005E03E4"/>
    <w:rsid w:val="005E0454"/>
    <w:rsid w:val="005E05F6"/>
    <w:rsid w:val="005E19CF"/>
    <w:rsid w:val="005E1B9D"/>
    <w:rsid w:val="005E1BDA"/>
    <w:rsid w:val="005E1FCB"/>
    <w:rsid w:val="005E1FE5"/>
    <w:rsid w:val="005E2442"/>
    <w:rsid w:val="005E2768"/>
    <w:rsid w:val="005E3111"/>
    <w:rsid w:val="005E3B1C"/>
    <w:rsid w:val="005E3CA0"/>
    <w:rsid w:val="005E3D11"/>
    <w:rsid w:val="005E3D25"/>
    <w:rsid w:val="005E3F85"/>
    <w:rsid w:val="005E4A5F"/>
    <w:rsid w:val="005E4D86"/>
    <w:rsid w:val="005E4F8C"/>
    <w:rsid w:val="005E516A"/>
    <w:rsid w:val="005E52F5"/>
    <w:rsid w:val="005E57B0"/>
    <w:rsid w:val="005E5A0F"/>
    <w:rsid w:val="005E5B01"/>
    <w:rsid w:val="005E648D"/>
    <w:rsid w:val="005E6D3B"/>
    <w:rsid w:val="005E7EDD"/>
    <w:rsid w:val="005F009E"/>
    <w:rsid w:val="005F06A3"/>
    <w:rsid w:val="005F0BF9"/>
    <w:rsid w:val="005F0DF1"/>
    <w:rsid w:val="005F1516"/>
    <w:rsid w:val="005F1A6F"/>
    <w:rsid w:val="005F229E"/>
    <w:rsid w:val="005F2564"/>
    <w:rsid w:val="005F3822"/>
    <w:rsid w:val="005F4635"/>
    <w:rsid w:val="005F46B7"/>
    <w:rsid w:val="005F4900"/>
    <w:rsid w:val="005F4B6B"/>
    <w:rsid w:val="005F4E52"/>
    <w:rsid w:val="005F4F34"/>
    <w:rsid w:val="005F5466"/>
    <w:rsid w:val="005F6D58"/>
    <w:rsid w:val="005F7060"/>
    <w:rsid w:val="005F7383"/>
    <w:rsid w:val="005F76BD"/>
    <w:rsid w:val="005F7858"/>
    <w:rsid w:val="005F7A58"/>
    <w:rsid w:val="0060058E"/>
    <w:rsid w:val="00602A3C"/>
    <w:rsid w:val="00602A54"/>
    <w:rsid w:val="00602A60"/>
    <w:rsid w:val="0060377B"/>
    <w:rsid w:val="00603B89"/>
    <w:rsid w:val="00603EFD"/>
    <w:rsid w:val="0060475B"/>
    <w:rsid w:val="00604BED"/>
    <w:rsid w:val="00604FB6"/>
    <w:rsid w:val="00605387"/>
    <w:rsid w:val="00606302"/>
    <w:rsid w:val="006076FD"/>
    <w:rsid w:val="0061036A"/>
    <w:rsid w:val="00610470"/>
    <w:rsid w:val="006107B1"/>
    <w:rsid w:val="00610811"/>
    <w:rsid w:val="0061143F"/>
    <w:rsid w:val="006114D8"/>
    <w:rsid w:val="00611800"/>
    <w:rsid w:val="00612685"/>
    <w:rsid w:val="00613553"/>
    <w:rsid w:val="00613601"/>
    <w:rsid w:val="00613791"/>
    <w:rsid w:val="006143F9"/>
    <w:rsid w:val="00614CD4"/>
    <w:rsid w:val="006150D6"/>
    <w:rsid w:val="00615245"/>
    <w:rsid w:val="0061525A"/>
    <w:rsid w:val="0061526D"/>
    <w:rsid w:val="00615788"/>
    <w:rsid w:val="0061590D"/>
    <w:rsid w:val="00615C84"/>
    <w:rsid w:val="00617EEE"/>
    <w:rsid w:val="00620A1F"/>
    <w:rsid w:val="0062169D"/>
    <w:rsid w:val="00621737"/>
    <w:rsid w:val="0062181E"/>
    <w:rsid w:val="0062197C"/>
    <w:rsid w:val="0062211B"/>
    <w:rsid w:val="0062227E"/>
    <w:rsid w:val="00622827"/>
    <w:rsid w:val="006228D3"/>
    <w:rsid w:val="00622BB7"/>
    <w:rsid w:val="00622C1E"/>
    <w:rsid w:val="00623389"/>
    <w:rsid w:val="00623DAA"/>
    <w:rsid w:val="00623FAF"/>
    <w:rsid w:val="0062460C"/>
    <w:rsid w:val="00624B3E"/>
    <w:rsid w:val="00624D82"/>
    <w:rsid w:val="00625337"/>
    <w:rsid w:val="0062578C"/>
    <w:rsid w:val="006259B6"/>
    <w:rsid w:val="00625A24"/>
    <w:rsid w:val="006265C4"/>
    <w:rsid w:val="0062678A"/>
    <w:rsid w:val="00626AF1"/>
    <w:rsid w:val="00626FCA"/>
    <w:rsid w:val="006270AF"/>
    <w:rsid w:val="00627237"/>
    <w:rsid w:val="00631184"/>
    <w:rsid w:val="00631864"/>
    <w:rsid w:val="00632F83"/>
    <w:rsid w:val="00634367"/>
    <w:rsid w:val="006360AD"/>
    <w:rsid w:val="006364D7"/>
    <w:rsid w:val="00636554"/>
    <w:rsid w:val="006367E9"/>
    <w:rsid w:val="00636CE3"/>
    <w:rsid w:val="00640082"/>
    <w:rsid w:val="00640291"/>
    <w:rsid w:val="0064058C"/>
    <w:rsid w:val="00640EFE"/>
    <w:rsid w:val="00641D6D"/>
    <w:rsid w:val="00641E5B"/>
    <w:rsid w:val="00641FAC"/>
    <w:rsid w:val="00643664"/>
    <w:rsid w:val="006437ED"/>
    <w:rsid w:val="00643A99"/>
    <w:rsid w:val="00643CAA"/>
    <w:rsid w:val="00644F16"/>
    <w:rsid w:val="006455EB"/>
    <w:rsid w:val="006456C2"/>
    <w:rsid w:val="00645A65"/>
    <w:rsid w:val="00646959"/>
    <w:rsid w:val="006477F0"/>
    <w:rsid w:val="006478E4"/>
    <w:rsid w:val="00647FD1"/>
    <w:rsid w:val="006509EA"/>
    <w:rsid w:val="0065164D"/>
    <w:rsid w:val="0065171A"/>
    <w:rsid w:val="00652680"/>
    <w:rsid w:val="00653CDE"/>
    <w:rsid w:val="00653EDB"/>
    <w:rsid w:val="00654585"/>
    <w:rsid w:val="006548E4"/>
    <w:rsid w:val="00654AC8"/>
    <w:rsid w:val="0065566E"/>
    <w:rsid w:val="00655999"/>
    <w:rsid w:val="00655AB6"/>
    <w:rsid w:val="00655C67"/>
    <w:rsid w:val="00655E2B"/>
    <w:rsid w:val="00655EFA"/>
    <w:rsid w:val="00656061"/>
    <w:rsid w:val="00656281"/>
    <w:rsid w:val="0065636A"/>
    <w:rsid w:val="00656BFC"/>
    <w:rsid w:val="00657003"/>
    <w:rsid w:val="00657428"/>
    <w:rsid w:val="00657CE2"/>
    <w:rsid w:val="00660238"/>
    <w:rsid w:val="006602EF"/>
    <w:rsid w:val="00661277"/>
    <w:rsid w:val="006619E0"/>
    <w:rsid w:val="00662CC3"/>
    <w:rsid w:val="00663FEA"/>
    <w:rsid w:val="00664803"/>
    <w:rsid w:val="00664934"/>
    <w:rsid w:val="00664D53"/>
    <w:rsid w:val="00664EB7"/>
    <w:rsid w:val="006657C5"/>
    <w:rsid w:val="00665874"/>
    <w:rsid w:val="00665D75"/>
    <w:rsid w:val="00666186"/>
    <w:rsid w:val="006661A4"/>
    <w:rsid w:val="00666433"/>
    <w:rsid w:val="00666AC0"/>
    <w:rsid w:val="006670E0"/>
    <w:rsid w:val="006671B8"/>
    <w:rsid w:val="00667275"/>
    <w:rsid w:val="00667532"/>
    <w:rsid w:val="0066783E"/>
    <w:rsid w:val="00667E53"/>
    <w:rsid w:val="006704DF"/>
    <w:rsid w:val="00670A64"/>
    <w:rsid w:val="00670D03"/>
    <w:rsid w:val="006711C4"/>
    <w:rsid w:val="006713AB"/>
    <w:rsid w:val="00672680"/>
    <w:rsid w:val="00672A3A"/>
    <w:rsid w:val="00672CA5"/>
    <w:rsid w:val="00673711"/>
    <w:rsid w:val="00673CDA"/>
    <w:rsid w:val="00673F82"/>
    <w:rsid w:val="00674F74"/>
    <w:rsid w:val="0067508F"/>
    <w:rsid w:val="006752B2"/>
    <w:rsid w:val="00676B25"/>
    <w:rsid w:val="00676B3E"/>
    <w:rsid w:val="0067704E"/>
    <w:rsid w:val="00677576"/>
    <w:rsid w:val="0068051E"/>
    <w:rsid w:val="00680B9D"/>
    <w:rsid w:val="00680DF1"/>
    <w:rsid w:val="00681F13"/>
    <w:rsid w:val="0068231C"/>
    <w:rsid w:val="00682344"/>
    <w:rsid w:val="00682C87"/>
    <w:rsid w:val="00682F28"/>
    <w:rsid w:val="006834F9"/>
    <w:rsid w:val="00683515"/>
    <w:rsid w:val="00683AB2"/>
    <w:rsid w:val="00684842"/>
    <w:rsid w:val="006856CA"/>
    <w:rsid w:val="00685789"/>
    <w:rsid w:val="006859AA"/>
    <w:rsid w:val="00685BD6"/>
    <w:rsid w:val="00686A20"/>
    <w:rsid w:val="00687116"/>
    <w:rsid w:val="006872D2"/>
    <w:rsid w:val="006878A6"/>
    <w:rsid w:val="00687D5F"/>
    <w:rsid w:val="00687F2E"/>
    <w:rsid w:val="00690437"/>
    <w:rsid w:val="00690623"/>
    <w:rsid w:val="00690DC3"/>
    <w:rsid w:val="00690E65"/>
    <w:rsid w:val="006911B7"/>
    <w:rsid w:val="00691387"/>
    <w:rsid w:val="006915C2"/>
    <w:rsid w:val="0069188E"/>
    <w:rsid w:val="00691974"/>
    <w:rsid w:val="00692584"/>
    <w:rsid w:val="00692BF6"/>
    <w:rsid w:val="00692C92"/>
    <w:rsid w:val="00692CA6"/>
    <w:rsid w:val="00692CE6"/>
    <w:rsid w:val="00693186"/>
    <w:rsid w:val="00693381"/>
    <w:rsid w:val="006936E4"/>
    <w:rsid w:val="00693B6C"/>
    <w:rsid w:val="006942AE"/>
    <w:rsid w:val="0069464B"/>
    <w:rsid w:val="006947A1"/>
    <w:rsid w:val="00695421"/>
    <w:rsid w:val="00696A9C"/>
    <w:rsid w:val="00697BD3"/>
    <w:rsid w:val="00697DFA"/>
    <w:rsid w:val="006A12BA"/>
    <w:rsid w:val="006A16D5"/>
    <w:rsid w:val="006A1772"/>
    <w:rsid w:val="006A1780"/>
    <w:rsid w:val="006A1851"/>
    <w:rsid w:val="006A21DD"/>
    <w:rsid w:val="006A234F"/>
    <w:rsid w:val="006A26C6"/>
    <w:rsid w:val="006A2DCC"/>
    <w:rsid w:val="006A3302"/>
    <w:rsid w:val="006A34AF"/>
    <w:rsid w:val="006A38DA"/>
    <w:rsid w:val="006A3B28"/>
    <w:rsid w:val="006A47DC"/>
    <w:rsid w:val="006A4868"/>
    <w:rsid w:val="006A4A4B"/>
    <w:rsid w:val="006A4FEE"/>
    <w:rsid w:val="006A5522"/>
    <w:rsid w:val="006A5549"/>
    <w:rsid w:val="006A59CC"/>
    <w:rsid w:val="006A6182"/>
    <w:rsid w:val="006A6574"/>
    <w:rsid w:val="006A703E"/>
    <w:rsid w:val="006A7BE3"/>
    <w:rsid w:val="006A7D32"/>
    <w:rsid w:val="006A7E1A"/>
    <w:rsid w:val="006B01D1"/>
    <w:rsid w:val="006B0C04"/>
    <w:rsid w:val="006B0DF4"/>
    <w:rsid w:val="006B1214"/>
    <w:rsid w:val="006B16EA"/>
    <w:rsid w:val="006B1780"/>
    <w:rsid w:val="006B1B60"/>
    <w:rsid w:val="006B1C80"/>
    <w:rsid w:val="006B21DC"/>
    <w:rsid w:val="006B224E"/>
    <w:rsid w:val="006B2349"/>
    <w:rsid w:val="006B25FA"/>
    <w:rsid w:val="006B2943"/>
    <w:rsid w:val="006B2C00"/>
    <w:rsid w:val="006B351F"/>
    <w:rsid w:val="006B376E"/>
    <w:rsid w:val="006B4128"/>
    <w:rsid w:val="006B4589"/>
    <w:rsid w:val="006B4CFA"/>
    <w:rsid w:val="006B5157"/>
    <w:rsid w:val="006B5E49"/>
    <w:rsid w:val="006B610E"/>
    <w:rsid w:val="006B6805"/>
    <w:rsid w:val="006B6C07"/>
    <w:rsid w:val="006B6DE0"/>
    <w:rsid w:val="006B723D"/>
    <w:rsid w:val="006B7DEE"/>
    <w:rsid w:val="006C1337"/>
    <w:rsid w:val="006C16C3"/>
    <w:rsid w:val="006C1FA6"/>
    <w:rsid w:val="006C2187"/>
    <w:rsid w:val="006C2588"/>
    <w:rsid w:val="006C27D9"/>
    <w:rsid w:val="006C32F4"/>
    <w:rsid w:val="006C3C54"/>
    <w:rsid w:val="006C3CA5"/>
    <w:rsid w:val="006C3CAA"/>
    <w:rsid w:val="006C4B6B"/>
    <w:rsid w:val="006C4CE1"/>
    <w:rsid w:val="006C4F9F"/>
    <w:rsid w:val="006C54B1"/>
    <w:rsid w:val="006C71A2"/>
    <w:rsid w:val="006C73EC"/>
    <w:rsid w:val="006D0997"/>
    <w:rsid w:val="006D0C1D"/>
    <w:rsid w:val="006D1BB1"/>
    <w:rsid w:val="006D2519"/>
    <w:rsid w:val="006D28F3"/>
    <w:rsid w:val="006D2E9D"/>
    <w:rsid w:val="006D3B48"/>
    <w:rsid w:val="006D4305"/>
    <w:rsid w:val="006D4A4E"/>
    <w:rsid w:val="006D4C42"/>
    <w:rsid w:val="006D4CF3"/>
    <w:rsid w:val="006D5067"/>
    <w:rsid w:val="006D5389"/>
    <w:rsid w:val="006D53A2"/>
    <w:rsid w:val="006D5809"/>
    <w:rsid w:val="006D607E"/>
    <w:rsid w:val="006D6E12"/>
    <w:rsid w:val="006D70CB"/>
    <w:rsid w:val="006D715C"/>
    <w:rsid w:val="006D7363"/>
    <w:rsid w:val="006D774E"/>
    <w:rsid w:val="006D7F08"/>
    <w:rsid w:val="006E0754"/>
    <w:rsid w:val="006E1481"/>
    <w:rsid w:val="006E19A4"/>
    <w:rsid w:val="006E1D1D"/>
    <w:rsid w:val="006E2668"/>
    <w:rsid w:val="006E2C88"/>
    <w:rsid w:val="006E2D39"/>
    <w:rsid w:val="006E2FE9"/>
    <w:rsid w:val="006E30A2"/>
    <w:rsid w:val="006E32B0"/>
    <w:rsid w:val="006E348E"/>
    <w:rsid w:val="006E396A"/>
    <w:rsid w:val="006E3D63"/>
    <w:rsid w:val="006E445C"/>
    <w:rsid w:val="006E4632"/>
    <w:rsid w:val="006E4998"/>
    <w:rsid w:val="006E4B31"/>
    <w:rsid w:val="006E58BF"/>
    <w:rsid w:val="006E5CE6"/>
    <w:rsid w:val="006E5DD8"/>
    <w:rsid w:val="006E5EA1"/>
    <w:rsid w:val="006E6BE5"/>
    <w:rsid w:val="006E6DEE"/>
    <w:rsid w:val="006E6F44"/>
    <w:rsid w:val="006E7D4B"/>
    <w:rsid w:val="006E7F32"/>
    <w:rsid w:val="006F018A"/>
    <w:rsid w:val="006F0760"/>
    <w:rsid w:val="006F0D30"/>
    <w:rsid w:val="006F11E2"/>
    <w:rsid w:val="006F1A50"/>
    <w:rsid w:val="006F1A67"/>
    <w:rsid w:val="006F2574"/>
    <w:rsid w:val="006F292D"/>
    <w:rsid w:val="006F3231"/>
    <w:rsid w:val="006F3DE3"/>
    <w:rsid w:val="006F4787"/>
    <w:rsid w:val="006F4B8F"/>
    <w:rsid w:val="006F57E6"/>
    <w:rsid w:val="006F5E2E"/>
    <w:rsid w:val="006F61D8"/>
    <w:rsid w:val="006F62B7"/>
    <w:rsid w:val="006F63E7"/>
    <w:rsid w:val="006F70BC"/>
    <w:rsid w:val="006F726C"/>
    <w:rsid w:val="006F7A22"/>
    <w:rsid w:val="006F7E7C"/>
    <w:rsid w:val="006F7FEA"/>
    <w:rsid w:val="00700C5B"/>
    <w:rsid w:val="0070101F"/>
    <w:rsid w:val="00701329"/>
    <w:rsid w:val="0070174E"/>
    <w:rsid w:val="007018DB"/>
    <w:rsid w:val="00701DE6"/>
    <w:rsid w:val="00702740"/>
    <w:rsid w:val="007028E3"/>
    <w:rsid w:val="00703407"/>
    <w:rsid w:val="0070381B"/>
    <w:rsid w:val="00703F81"/>
    <w:rsid w:val="007041BC"/>
    <w:rsid w:val="00704CC8"/>
    <w:rsid w:val="00706759"/>
    <w:rsid w:val="0070796C"/>
    <w:rsid w:val="007109BB"/>
    <w:rsid w:val="00710B2D"/>
    <w:rsid w:val="00710EBF"/>
    <w:rsid w:val="007110B8"/>
    <w:rsid w:val="00711A7A"/>
    <w:rsid w:val="00711CD1"/>
    <w:rsid w:val="0071209F"/>
    <w:rsid w:val="007123F0"/>
    <w:rsid w:val="007125A2"/>
    <w:rsid w:val="00712A68"/>
    <w:rsid w:val="00713DD9"/>
    <w:rsid w:val="00713F79"/>
    <w:rsid w:val="0071477B"/>
    <w:rsid w:val="007148A8"/>
    <w:rsid w:val="00714A29"/>
    <w:rsid w:val="00715C70"/>
    <w:rsid w:val="00715E44"/>
    <w:rsid w:val="007164B0"/>
    <w:rsid w:val="00716AC8"/>
    <w:rsid w:val="00716E54"/>
    <w:rsid w:val="00717280"/>
    <w:rsid w:val="007202D2"/>
    <w:rsid w:val="0072033C"/>
    <w:rsid w:val="00720B1B"/>
    <w:rsid w:val="00721062"/>
    <w:rsid w:val="00721366"/>
    <w:rsid w:val="00721454"/>
    <w:rsid w:val="00721D3D"/>
    <w:rsid w:val="00721E5D"/>
    <w:rsid w:val="007229D4"/>
    <w:rsid w:val="00722C42"/>
    <w:rsid w:val="00722E35"/>
    <w:rsid w:val="007230F8"/>
    <w:rsid w:val="007233F4"/>
    <w:rsid w:val="007235E3"/>
    <w:rsid w:val="0072381D"/>
    <w:rsid w:val="00724044"/>
    <w:rsid w:val="007240DB"/>
    <w:rsid w:val="00724120"/>
    <w:rsid w:val="007243F2"/>
    <w:rsid w:val="007248D3"/>
    <w:rsid w:val="00724B75"/>
    <w:rsid w:val="00724DF8"/>
    <w:rsid w:val="00725137"/>
    <w:rsid w:val="00725378"/>
    <w:rsid w:val="00725C31"/>
    <w:rsid w:val="00727795"/>
    <w:rsid w:val="00727A43"/>
    <w:rsid w:val="00727DBF"/>
    <w:rsid w:val="00727FF2"/>
    <w:rsid w:val="00727FFD"/>
    <w:rsid w:val="00730550"/>
    <w:rsid w:val="00730C2A"/>
    <w:rsid w:val="00730DF1"/>
    <w:rsid w:val="00731125"/>
    <w:rsid w:val="00731434"/>
    <w:rsid w:val="0073165D"/>
    <w:rsid w:val="00731E59"/>
    <w:rsid w:val="007323E0"/>
    <w:rsid w:val="00732911"/>
    <w:rsid w:val="00733721"/>
    <w:rsid w:val="00733965"/>
    <w:rsid w:val="00733DE2"/>
    <w:rsid w:val="00734142"/>
    <w:rsid w:val="00734358"/>
    <w:rsid w:val="007352AB"/>
    <w:rsid w:val="007352EA"/>
    <w:rsid w:val="007362CC"/>
    <w:rsid w:val="0073792F"/>
    <w:rsid w:val="00737CB3"/>
    <w:rsid w:val="00740C81"/>
    <w:rsid w:val="00740DA6"/>
    <w:rsid w:val="0074197B"/>
    <w:rsid w:val="00741B4B"/>
    <w:rsid w:val="00741D1E"/>
    <w:rsid w:val="00741DD6"/>
    <w:rsid w:val="00741EE2"/>
    <w:rsid w:val="0074207F"/>
    <w:rsid w:val="00742118"/>
    <w:rsid w:val="00742367"/>
    <w:rsid w:val="00742CBD"/>
    <w:rsid w:val="00742EAA"/>
    <w:rsid w:val="00743360"/>
    <w:rsid w:val="00743818"/>
    <w:rsid w:val="00743857"/>
    <w:rsid w:val="0074411D"/>
    <w:rsid w:val="007441FB"/>
    <w:rsid w:val="007444D7"/>
    <w:rsid w:val="00744517"/>
    <w:rsid w:val="0074522A"/>
    <w:rsid w:val="00745D90"/>
    <w:rsid w:val="007465D3"/>
    <w:rsid w:val="00746AED"/>
    <w:rsid w:val="00747295"/>
    <w:rsid w:val="00747346"/>
    <w:rsid w:val="00747829"/>
    <w:rsid w:val="0074789C"/>
    <w:rsid w:val="00747D46"/>
    <w:rsid w:val="00747DE2"/>
    <w:rsid w:val="00747E6D"/>
    <w:rsid w:val="007502D0"/>
    <w:rsid w:val="007504BF"/>
    <w:rsid w:val="007506CD"/>
    <w:rsid w:val="0075267F"/>
    <w:rsid w:val="007526EC"/>
    <w:rsid w:val="00753B8A"/>
    <w:rsid w:val="00753C48"/>
    <w:rsid w:val="00754250"/>
    <w:rsid w:val="00754FE4"/>
    <w:rsid w:val="00755216"/>
    <w:rsid w:val="00756236"/>
    <w:rsid w:val="00756271"/>
    <w:rsid w:val="00756348"/>
    <w:rsid w:val="00756521"/>
    <w:rsid w:val="00756AB7"/>
    <w:rsid w:val="00757975"/>
    <w:rsid w:val="00760B3A"/>
    <w:rsid w:val="0076106D"/>
    <w:rsid w:val="007610DA"/>
    <w:rsid w:val="007623FB"/>
    <w:rsid w:val="00762517"/>
    <w:rsid w:val="0076289C"/>
    <w:rsid w:val="00763191"/>
    <w:rsid w:val="00763240"/>
    <w:rsid w:val="0076376A"/>
    <w:rsid w:val="0076413A"/>
    <w:rsid w:val="007643A1"/>
    <w:rsid w:val="007648AD"/>
    <w:rsid w:val="0076504E"/>
    <w:rsid w:val="00765E8F"/>
    <w:rsid w:val="0076767E"/>
    <w:rsid w:val="00767BFD"/>
    <w:rsid w:val="00767EA0"/>
    <w:rsid w:val="0077068F"/>
    <w:rsid w:val="00771C16"/>
    <w:rsid w:val="00771CB0"/>
    <w:rsid w:val="00771EDF"/>
    <w:rsid w:val="00772530"/>
    <w:rsid w:val="00772A90"/>
    <w:rsid w:val="00772F8D"/>
    <w:rsid w:val="0077408D"/>
    <w:rsid w:val="00774270"/>
    <w:rsid w:val="007743F6"/>
    <w:rsid w:val="00775679"/>
    <w:rsid w:val="0077574F"/>
    <w:rsid w:val="00775823"/>
    <w:rsid w:val="00775AB0"/>
    <w:rsid w:val="00775B63"/>
    <w:rsid w:val="00776206"/>
    <w:rsid w:val="00777153"/>
    <w:rsid w:val="007777CC"/>
    <w:rsid w:val="00777B32"/>
    <w:rsid w:val="0078010C"/>
    <w:rsid w:val="00780250"/>
    <w:rsid w:val="0078051E"/>
    <w:rsid w:val="00780A3E"/>
    <w:rsid w:val="00781089"/>
    <w:rsid w:val="007814DD"/>
    <w:rsid w:val="00781AC3"/>
    <w:rsid w:val="00781CB6"/>
    <w:rsid w:val="00782715"/>
    <w:rsid w:val="007838F3"/>
    <w:rsid w:val="0078419B"/>
    <w:rsid w:val="007853D6"/>
    <w:rsid w:val="00785612"/>
    <w:rsid w:val="007856FE"/>
    <w:rsid w:val="00785A15"/>
    <w:rsid w:val="00785F46"/>
    <w:rsid w:val="007865F4"/>
    <w:rsid w:val="00786D5C"/>
    <w:rsid w:val="00786E96"/>
    <w:rsid w:val="00787BB6"/>
    <w:rsid w:val="00787DFF"/>
    <w:rsid w:val="00787F17"/>
    <w:rsid w:val="00787F93"/>
    <w:rsid w:val="00791E6D"/>
    <w:rsid w:val="00791EB5"/>
    <w:rsid w:val="00792377"/>
    <w:rsid w:val="0079343F"/>
    <w:rsid w:val="00793696"/>
    <w:rsid w:val="00793B8C"/>
    <w:rsid w:val="00793F13"/>
    <w:rsid w:val="007955DA"/>
    <w:rsid w:val="0079676B"/>
    <w:rsid w:val="00796A49"/>
    <w:rsid w:val="00796F65"/>
    <w:rsid w:val="007A11C2"/>
    <w:rsid w:val="007A1781"/>
    <w:rsid w:val="007A18BB"/>
    <w:rsid w:val="007A23CC"/>
    <w:rsid w:val="007A2489"/>
    <w:rsid w:val="007A27DD"/>
    <w:rsid w:val="007A2D2A"/>
    <w:rsid w:val="007A3C3F"/>
    <w:rsid w:val="007A41BF"/>
    <w:rsid w:val="007A490A"/>
    <w:rsid w:val="007A4F24"/>
    <w:rsid w:val="007A549E"/>
    <w:rsid w:val="007A54DC"/>
    <w:rsid w:val="007A5D50"/>
    <w:rsid w:val="007A6811"/>
    <w:rsid w:val="007A7289"/>
    <w:rsid w:val="007A7A78"/>
    <w:rsid w:val="007A7B95"/>
    <w:rsid w:val="007B0297"/>
    <w:rsid w:val="007B02FA"/>
    <w:rsid w:val="007B0F53"/>
    <w:rsid w:val="007B110A"/>
    <w:rsid w:val="007B1A4D"/>
    <w:rsid w:val="007B2027"/>
    <w:rsid w:val="007B21AE"/>
    <w:rsid w:val="007B2570"/>
    <w:rsid w:val="007B3113"/>
    <w:rsid w:val="007B3304"/>
    <w:rsid w:val="007B3BF0"/>
    <w:rsid w:val="007B6927"/>
    <w:rsid w:val="007B6B18"/>
    <w:rsid w:val="007B6D80"/>
    <w:rsid w:val="007B7490"/>
    <w:rsid w:val="007B7C17"/>
    <w:rsid w:val="007B7C61"/>
    <w:rsid w:val="007C00B9"/>
    <w:rsid w:val="007C0525"/>
    <w:rsid w:val="007C06DB"/>
    <w:rsid w:val="007C13F7"/>
    <w:rsid w:val="007C1D77"/>
    <w:rsid w:val="007C218D"/>
    <w:rsid w:val="007C2590"/>
    <w:rsid w:val="007C2C5B"/>
    <w:rsid w:val="007C2D28"/>
    <w:rsid w:val="007C3875"/>
    <w:rsid w:val="007C3E22"/>
    <w:rsid w:val="007C58C1"/>
    <w:rsid w:val="007C5B39"/>
    <w:rsid w:val="007C6218"/>
    <w:rsid w:val="007C6484"/>
    <w:rsid w:val="007C67C6"/>
    <w:rsid w:val="007C7356"/>
    <w:rsid w:val="007C78BE"/>
    <w:rsid w:val="007C7A5D"/>
    <w:rsid w:val="007C7E59"/>
    <w:rsid w:val="007D0476"/>
    <w:rsid w:val="007D0B91"/>
    <w:rsid w:val="007D0F24"/>
    <w:rsid w:val="007D0FE7"/>
    <w:rsid w:val="007D1197"/>
    <w:rsid w:val="007D1452"/>
    <w:rsid w:val="007D1563"/>
    <w:rsid w:val="007D1FC6"/>
    <w:rsid w:val="007D26DC"/>
    <w:rsid w:val="007D2BFE"/>
    <w:rsid w:val="007D3983"/>
    <w:rsid w:val="007D3DCB"/>
    <w:rsid w:val="007D4601"/>
    <w:rsid w:val="007D460C"/>
    <w:rsid w:val="007D4996"/>
    <w:rsid w:val="007D4AD3"/>
    <w:rsid w:val="007D4E63"/>
    <w:rsid w:val="007D5C58"/>
    <w:rsid w:val="007D5D19"/>
    <w:rsid w:val="007D5FDC"/>
    <w:rsid w:val="007D6176"/>
    <w:rsid w:val="007D641C"/>
    <w:rsid w:val="007D69CD"/>
    <w:rsid w:val="007D6D68"/>
    <w:rsid w:val="007D715E"/>
    <w:rsid w:val="007D7A0D"/>
    <w:rsid w:val="007E03B4"/>
    <w:rsid w:val="007E066C"/>
    <w:rsid w:val="007E194F"/>
    <w:rsid w:val="007E201B"/>
    <w:rsid w:val="007E250B"/>
    <w:rsid w:val="007E2724"/>
    <w:rsid w:val="007E2EE9"/>
    <w:rsid w:val="007E32DA"/>
    <w:rsid w:val="007E3B12"/>
    <w:rsid w:val="007E3B29"/>
    <w:rsid w:val="007E3B6D"/>
    <w:rsid w:val="007E4998"/>
    <w:rsid w:val="007E4A9C"/>
    <w:rsid w:val="007E4B9D"/>
    <w:rsid w:val="007E5248"/>
    <w:rsid w:val="007E5C4F"/>
    <w:rsid w:val="007E6914"/>
    <w:rsid w:val="007E70FD"/>
    <w:rsid w:val="007E7F78"/>
    <w:rsid w:val="007F0179"/>
    <w:rsid w:val="007F0FF8"/>
    <w:rsid w:val="007F148A"/>
    <w:rsid w:val="007F159F"/>
    <w:rsid w:val="007F2640"/>
    <w:rsid w:val="007F2C13"/>
    <w:rsid w:val="007F2CEC"/>
    <w:rsid w:val="007F2ED1"/>
    <w:rsid w:val="007F3435"/>
    <w:rsid w:val="007F4D57"/>
    <w:rsid w:val="007F503A"/>
    <w:rsid w:val="007F505D"/>
    <w:rsid w:val="007F531B"/>
    <w:rsid w:val="007F54CF"/>
    <w:rsid w:val="007F55DE"/>
    <w:rsid w:val="007F5BAC"/>
    <w:rsid w:val="007F6153"/>
    <w:rsid w:val="007F6ACC"/>
    <w:rsid w:val="007F718F"/>
    <w:rsid w:val="007F762D"/>
    <w:rsid w:val="007F78B8"/>
    <w:rsid w:val="007F78F0"/>
    <w:rsid w:val="007F78FF"/>
    <w:rsid w:val="008001C5"/>
    <w:rsid w:val="00800F6C"/>
    <w:rsid w:val="00801065"/>
    <w:rsid w:val="008024CA"/>
    <w:rsid w:val="00802C0B"/>
    <w:rsid w:val="00802D83"/>
    <w:rsid w:val="0080319D"/>
    <w:rsid w:val="00803ADF"/>
    <w:rsid w:val="00804206"/>
    <w:rsid w:val="0080425E"/>
    <w:rsid w:val="00805040"/>
    <w:rsid w:val="008051FC"/>
    <w:rsid w:val="008055A9"/>
    <w:rsid w:val="008056C4"/>
    <w:rsid w:val="008057FD"/>
    <w:rsid w:val="00805D8B"/>
    <w:rsid w:val="00806C33"/>
    <w:rsid w:val="00806F21"/>
    <w:rsid w:val="00807BF7"/>
    <w:rsid w:val="0081010F"/>
    <w:rsid w:val="00810BB6"/>
    <w:rsid w:val="00810E8E"/>
    <w:rsid w:val="00812C44"/>
    <w:rsid w:val="008135E1"/>
    <w:rsid w:val="00813779"/>
    <w:rsid w:val="00813792"/>
    <w:rsid w:val="00813AA2"/>
    <w:rsid w:val="00813E26"/>
    <w:rsid w:val="00813EAD"/>
    <w:rsid w:val="00814321"/>
    <w:rsid w:val="0081481D"/>
    <w:rsid w:val="00814B60"/>
    <w:rsid w:val="00814BE8"/>
    <w:rsid w:val="00814D94"/>
    <w:rsid w:val="00814F6E"/>
    <w:rsid w:val="00815B84"/>
    <w:rsid w:val="00816342"/>
    <w:rsid w:val="008166F6"/>
    <w:rsid w:val="00816897"/>
    <w:rsid w:val="00816BE9"/>
    <w:rsid w:val="00817A39"/>
    <w:rsid w:val="00817D10"/>
    <w:rsid w:val="00821191"/>
    <w:rsid w:val="00822518"/>
    <w:rsid w:val="008226F5"/>
    <w:rsid w:val="00823FC6"/>
    <w:rsid w:val="00824306"/>
    <w:rsid w:val="00824B1F"/>
    <w:rsid w:val="00825C74"/>
    <w:rsid w:val="00825CFA"/>
    <w:rsid w:val="00825F10"/>
    <w:rsid w:val="00826AB9"/>
    <w:rsid w:val="00826E0E"/>
    <w:rsid w:val="00826EB7"/>
    <w:rsid w:val="00827D11"/>
    <w:rsid w:val="00827E0F"/>
    <w:rsid w:val="00827F6E"/>
    <w:rsid w:val="0083077E"/>
    <w:rsid w:val="00830E66"/>
    <w:rsid w:val="00831758"/>
    <w:rsid w:val="008317D9"/>
    <w:rsid w:val="00831AEC"/>
    <w:rsid w:val="0083279F"/>
    <w:rsid w:val="00832CE9"/>
    <w:rsid w:val="008334DB"/>
    <w:rsid w:val="00833B7F"/>
    <w:rsid w:val="00833B82"/>
    <w:rsid w:val="00833E8E"/>
    <w:rsid w:val="0083407B"/>
    <w:rsid w:val="00834906"/>
    <w:rsid w:val="00835202"/>
    <w:rsid w:val="00836075"/>
    <w:rsid w:val="00836417"/>
    <w:rsid w:val="00836BC6"/>
    <w:rsid w:val="00836D47"/>
    <w:rsid w:val="008373B7"/>
    <w:rsid w:val="00837526"/>
    <w:rsid w:val="00837BB1"/>
    <w:rsid w:val="008407A7"/>
    <w:rsid w:val="00842275"/>
    <w:rsid w:val="0084322B"/>
    <w:rsid w:val="008433A0"/>
    <w:rsid w:val="00843F81"/>
    <w:rsid w:val="00844087"/>
    <w:rsid w:val="008448F1"/>
    <w:rsid w:val="00844A56"/>
    <w:rsid w:val="0084519E"/>
    <w:rsid w:val="00845CAE"/>
    <w:rsid w:val="008462C5"/>
    <w:rsid w:val="008462FA"/>
    <w:rsid w:val="00846370"/>
    <w:rsid w:val="00846873"/>
    <w:rsid w:val="00846D33"/>
    <w:rsid w:val="00847366"/>
    <w:rsid w:val="008474A6"/>
    <w:rsid w:val="00847544"/>
    <w:rsid w:val="008477E7"/>
    <w:rsid w:val="00847C2B"/>
    <w:rsid w:val="0085020C"/>
    <w:rsid w:val="00850272"/>
    <w:rsid w:val="008506B9"/>
    <w:rsid w:val="0085086F"/>
    <w:rsid w:val="00850B42"/>
    <w:rsid w:val="00851822"/>
    <w:rsid w:val="00851C16"/>
    <w:rsid w:val="00851E20"/>
    <w:rsid w:val="00852744"/>
    <w:rsid w:val="008532BF"/>
    <w:rsid w:val="008539B2"/>
    <w:rsid w:val="00853BF4"/>
    <w:rsid w:val="00853F94"/>
    <w:rsid w:val="00854294"/>
    <w:rsid w:val="00854295"/>
    <w:rsid w:val="008545CE"/>
    <w:rsid w:val="0085572E"/>
    <w:rsid w:val="008577C8"/>
    <w:rsid w:val="0085788B"/>
    <w:rsid w:val="00857A9E"/>
    <w:rsid w:val="00857D1F"/>
    <w:rsid w:val="00857DE2"/>
    <w:rsid w:val="00857EEE"/>
    <w:rsid w:val="00857F1A"/>
    <w:rsid w:val="0086003D"/>
    <w:rsid w:val="00861D63"/>
    <w:rsid w:val="0086358C"/>
    <w:rsid w:val="00863A8E"/>
    <w:rsid w:val="0086407F"/>
    <w:rsid w:val="008640BE"/>
    <w:rsid w:val="008644DD"/>
    <w:rsid w:val="008645E3"/>
    <w:rsid w:val="0086486A"/>
    <w:rsid w:val="00864E79"/>
    <w:rsid w:val="00864EC0"/>
    <w:rsid w:val="0086542D"/>
    <w:rsid w:val="0086572B"/>
    <w:rsid w:val="008665BF"/>
    <w:rsid w:val="00866615"/>
    <w:rsid w:val="0086661F"/>
    <w:rsid w:val="00866A0D"/>
    <w:rsid w:val="00866DB5"/>
    <w:rsid w:val="0086701D"/>
    <w:rsid w:val="0086702B"/>
    <w:rsid w:val="008672E2"/>
    <w:rsid w:val="0086784E"/>
    <w:rsid w:val="0087110C"/>
    <w:rsid w:val="0087121C"/>
    <w:rsid w:val="00871225"/>
    <w:rsid w:val="00871EB0"/>
    <w:rsid w:val="00871FD2"/>
    <w:rsid w:val="00872084"/>
    <w:rsid w:val="00872827"/>
    <w:rsid w:val="00872A32"/>
    <w:rsid w:val="0087321D"/>
    <w:rsid w:val="00873653"/>
    <w:rsid w:val="00873D25"/>
    <w:rsid w:val="00873E90"/>
    <w:rsid w:val="00874911"/>
    <w:rsid w:val="008754E4"/>
    <w:rsid w:val="00876EAE"/>
    <w:rsid w:val="00877305"/>
    <w:rsid w:val="0087778B"/>
    <w:rsid w:val="00877983"/>
    <w:rsid w:val="00877A02"/>
    <w:rsid w:val="00880106"/>
    <w:rsid w:val="00880F95"/>
    <w:rsid w:val="00881EE2"/>
    <w:rsid w:val="00882910"/>
    <w:rsid w:val="00882B44"/>
    <w:rsid w:val="008838AD"/>
    <w:rsid w:val="008841D3"/>
    <w:rsid w:val="008847DB"/>
    <w:rsid w:val="00884940"/>
    <w:rsid w:val="00885381"/>
    <w:rsid w:val="0088572B"/>
    <w:rsid w:val="00885BC9"/>
    <w:rsid w:val="008864B3"/>
    <w:rsid w:val="008865E5"/>
    <w:rsid w:val="0088682F"/>
    <w:rsid w:val="008871B0"/>
    <w:rsid w:val="00887A0B"/>
    <w:rsid w:val="008905A6"/>
    <w:rsid w:val="00890B57"/>
    <w:rsid w:val="008916BA"/>
    <w:rsid w:val="0089217C"/>
    <w:rsid w:val="00892476"/>
    <w:rsid w:val="00892790"/>
    <w:rsid w:val="00893671"/>
    <w:rsid w:val="0089445B"/>
    <w:rsid w:val="008945B9"/>
    <w:rsid w:val="0089493F"/>
    <w:rsid w:val="00894979"/>
    <w:rsid w:val="00895838"/>
    <w:rsid w:val="00895A1E"/>
    <w:rsid w:val="00895A72"/>
    <w:rsid w:val="00895CDF"/>
    <w:rsid w:val="00895EE3"/>
    <w:rsid w:val="00896046"/>
    <w:rsid w:val="00896679"/>
    <w:rsid w:val="00896D8C"/>
    <w:rsid w:val="00897184"/>
    <w:rsid w:val="008A0717"/>
    <w:rsid w:val="008A0FAC"/>
    <w:rsid w:val="008A0FC9"/>
    <w:rsid w:val="008A14C8"/>
    <w:rsid w:val="008A1956"/>
    <w:rsid w:val="008A1A7C"/>
    <w:rsid w:val="008A2CE2"/>
    <w:rsid w:val="008A3F0C"/>
    <w:rsid w:val="008A40D3"/>
    <w:rsid w:val="008A413F"/>
    <w:rsid w:val="008A451F"/>
    <w:rsid w:val="008A469C"/>
    <w:rsid w:val="008A50FB"/>
    <w:rsid w:val="008A51D1"/>
    <w:rsid w:val="008A5C90"/>
    <w:rsid w:val="008A5DCE"/>
    <w:rsid w:val="008A75D3"/>
    <w:rsid w:val="008A7F09"/>
    <w:rsid w:val="008B00D6"/>
    <w:rsid w:val="008B05DD"/>
    <w:rsid w:val="008B062C"/>
    <w:rsid w:val="008B07B8"/>
    <w:rsid w:val="008B17E8"/>
    <w:rsid w:val="008B1D32"/>
    <w:rsid w:val="008B2C45"/>
    <w:rsid w:val="008B2E7C"/>
    <w:rsid w:val="008B399A"/>
    <w:rsid w:val="008B3C16"/>
    <w:rsid w:val="008B45F0"/>
    <w:rsid w:val="008B4A70"/>
    <w:rsid w:val="008B502F"/>
    <w:rsid w:val="008B54FD"/>
    <w:rsid w:val="008B5692"/>
    <w:rsid w:val="008B5F31"/>
    <w:rsid w:val="008B6CE5"/>
    <w:rsid w:val="008B6DFC"/>
    <w:rsid w:val="008B7227"/>
    <w:rsid w:val="008C02FB"/>
    <w:rsid w:val="008C04E0"/>
    <w:rsid w:val="008C191C"/>
    <w:rsid w:val="008C1DA4"/>
    <w:rsid w:val="008C2138"/>
    <w:rsid w:val="008C2608"/>
    <w:rsid w:val="008C29B0"/>
    <w:rsid w:val="008C2CD5"/>
    <w:rsid w:val="008C33AE"/>
    <w:rsid w:val="008C3618"/>
    <w:rsid w:val="008C39E7"/>
    <w:rsid w:val="008C43AD"/>
    <w:rsid w:val="008C49A3"/>
    <w:rsid w:val="008C4C1E"/>
    <w:rsid w:val="008C5A63"/>
    <w:rsid w:val="008C602A"/>
    <w:rsid w:val="008C6118"/>
    <w:rsid w:val="008C6341"/>
    <w:rsid w:val="008C653D"/>
    <w:rsid w:val="008C731F"/>
    <w:rsid w:val="008C74D9"/>
    <w:rsid w:val="008C7569"/>
    <w:rsid w:val="008C7726"/>
    <w:rsid w:val="008D06EC"/>
    <w:rsid w:val="008D2050"/>
    <w:rsid w:val="008D21DD"/>
    <w:rsid w:val="008D2D79"/>
    <w:rsid w:val="008D35CA"/>
    <w:rsid w:val="008D3B2D"/>
    <w:rsid w:val="008D5433"/>
    <w:rsid w:val="008D58D9"/>
    <w:rsid w:val="008D5AD4"/>
    <w:rsid w:val="008D5E4E"/>
    <w:rsid w:val="008D5E9D"/>
    <w:rsid w:val="008D5F65"/>
    <w:rsid w:val="008D62B3"/>
    <w:rsid w:val="008D695E"/>
    <w:rsid w:val="008D6DD5"/>
    <w:rsid w:val="008D6E59"/>
    <w:rsid w:val="008D7155"/>
    <w:rsid w:val="008D76E0"/>
    <w:rsid w:val="008E03A3"/>
    <w:rsid w:val="008E079C"/>
    <w:rsid w:val="008E0B29"/>
    <w:rsid w:val="008E141A"/>
    <w:rsid w:val="008E1810"/>
    <w:rsid w:val="008E1A44"/>
    <w:rsid w:val="008E1EED"/>
    <w:rsid w:val="008E244B"/>
    <w:rsid w:val="008E26CA"/>
    <w:rsid w:val="008E2859"/>
    <w:rsid w:val="008E28E6"/>
    <w:rsid w:val="008E2C57"/>
    <w:rsid w:val="008E3232"/>
    <w:rsid w:val="008E3674"/>
    <w:rsid w:val="008E3B6C"/>
    <w:rsid w:val="008E3DE7"/>
    <w:rsid w:val="008E5227"/>
    <w:rsid w:val="008E562C"/>
    <w:rsid w:val="008E5FB9"/>
    <w:rsid w:val="008E611D"/>
    <w:rsid w:val="008E6540"/>
    <w:rsid w:val="008E6758"/>
    <w:rsid w:val="008E6A1C"/>
    <w:rsid w:val="008E6FBE"/>
    <w:rsid w:val="008E77D4"/>
    <w:rsid w:val="008E7ADD"/>
    <w:rsid w:val="008F091F"/>
    <w:rsid w:val="008F1548"/>
    <w:rsid w:val="008F17B2"/>
    <w:rsid w:val="008F22B3"/>
    <w:rsid w:val="008F241E"/>
    <w:rsid w:val="008F2F1F"/>
    <w:rsid w:val="008F312B"/>
    <w:rsid w:val="008F357B"/>
    <w:rsid w:val="008F366E"/>
    <w:rsid w:val="008F36DE"/>
    <w:rsid w:val="008F3B56"/>
    <w:rsid w:val="008F44CA"/>
    <w:rsid w:val="008F4547"/>
    <w:rsid w:val="008F49D3"/>
    <w:rsid w:val="008F51D3"/>
    <w:rsid w:val="008F5B69"/>
    <w:rsid w:val="008F6519"/>
    <w:rsid w:val="008F68C5"/>
    <w:rsid w:val="008F694F"/>
    <w:rsid w:val="008F6AC1"/>
    <w:rsid w:val="008F6B67"/>
    <w:rsid w:val="008F6F4C"/>
    <w:rsid w:val="008F7012"/>
    <w:rsid w:val="008F7576"/>
    <w:rsid w:val="008F7ADA"/>
    <w:rsid w:val="008F7B17"/>
    <w:rsid w:val="00900042"/>
    <w:rsid w:val="0090034B"/>
    <w:rsid w:val="009005D7"/>
    <w:rsid w:val="0090087C"/>
    <w:rsid w:val="00900D2F"/>
    <w:rsid w:val="00901121"/>
    <w:rsid w:val="00901B50"/>
    <w:rsid w:val="00902623"/>
    <w:rsid w:val="009029CF"/>
    <w:rsid w:val="00902A67"/>
    <w:rsid w:val="00902C5E"/>
    <w:rsid w:val="009032F7"/>
    <w:rsid w:val="009035FA"/>
    <w:rsid w:val="00904BE4"/>
    <w:rsid w:val="0090504A"/>
    <w:rsid w:val="009051F5"/>
    <w:rsid w:val="00905221"/>
    <w:rsid w:val="0090530B"/>
    <w:rsid w:val="00905664"/>
    <w:rsid w:val="009058FC"/>
    <w:rsid w:val="00905A7C"/>
    <w:rsid w:val="00905D7E"/>
    <w:rsid w:val="00907037"/>
    <w:rsid w:val="00907259"/>
    <w:rsid w:val="00907929"/>
    <w:rsid w:val="00910577"/>
    <w:rsid w:val="00910C5D"/>
    <w:rsid w:val="0091112C"/>
    <w:rsid w:val="009113F2"/>
    <w:rsid w:val="0091160A"/>
    <w:rsid w:val="00911A41"/>
    <w:rsid w:val="00912A06"/>
    <w:rsid w:val="00912E04"/>
    <w:rsid w:val="00913258"/>
    <w:rsid w:val="00913851"/>
    <w:rsid w:val="00913BB0"/>
    <w:rsid w:val="0091456C"/>
    <w:rsid w:val="009145DE"/>
    <w:rsid w:val="00914C58"/>
    <w:rsid w:val="00914D78"/>
    <w:rsid w:val="009151FC"/>
    <w:rsid w:val="009153D3"/>
    <w:rsid w:val="0091564D"/>
    <w:rsid w:val="009156DA"/>
    <w:rsid w:val="00915774"/>
    <w:rsid w:val="00916BC5"/>
    <w:rsid w:val="0091726A"/>
    <w:rsid w:val="0091733B"/>
    <w:rsid w:val="00917C01"/>
    <w:rsid w:val="00920184"/>
    <w:rsid w:val="00920421"/>
    <w:rsid w:val="00920EA4"/>
    <w:rsid w:val="00921792"/>
    <w:rsid w:val="00921BEA"/>
    <w:rsid w:val="009227BE"/>
    <w:rsid w:val="00922C83"/>
    <w:rsid w:val="009238FD"/>
    <w:rsid w:val="00923998"/>
    <w:rsid w:val="00923DB4"/>
    <w:rsid w:val="0092420B"/>
    <w:rsid w:val="0092430E"/>
    <w:rsid w:val="00924451"/>
    <w:rsid w:val="00926112"/>
    <w:rsid w:val="0092625F"/>
    <w:rsid w:val="00926B28"/>
    <w:rsid w:val="00926D9C"/>
    <w:rsid w:val="00927028"/>
    <w:rsid w:val="0092708F"/>
    <w:rsid w:val="0092734A"/>
    <w:rsid w:val="00927763"/>
    <w:rsid w:val="0092798A"/>
    <w:rsid w:val="00927A2D"/>
    <w:rsid w:val="00927B37"/>
    <w:rsid w:val="009307CD"/>
    <w:rsid w:val="00930CC5"/>
    <w:rsid w:val="009314B1"/>
    <w:rsid w:val="009321B1"/>
    <w:rsid w:val="0093236E"/>
    <w:rsid w:val="009327F0"/>
    <w:rsid w:val="00932A42"/>
    <w:rsid w:val="00932ECE"/>
    <w:rsid w:val="00932ED7"/>
    <w:rsid w:val="00933278"/>
    <w:rsid w:val="00933E30"/>
    <w:rsid w:val="0093422D"/>
    <w:rsid w:val="0093483B"/>
    <w:rsid w:val="00934CF9"/>
    <w:rsid w:val="00934DD7"/>
    <w:rsid w:val="00934F9C"/>
    <w:rsid w:val="00934FEB"/>
    <w:rsid w:val="009357C9"/>
    <w:rsid w:val="00935CB2"/>
    <w:rsid w:val="00936898"/>
    <w:rsid w:val="009369A9"/>
    <w:rsid w:val="00936CF7"/>
    <w:rsid w:val="00937783"/>
    <w:rsid w:val="00937EAD"/>
    <w:rsid w:val="00937F28"/>
    <w:rsid w:val="009401F5"/>
    <w:rsid w:val="00940FE1"/>
    <w:rsid w:val="0094117A"/>
    <w:rsid w:val="00941474"/>
    <w:rsid w:val="00942306"/>
    <w:rsid w:val="009424B8"/>
    <w:rsid w:val="0094286B"/>
    <w:rsid w:val="009432E2"/>
    <w:rsid w:val="009440DD"/>
    <w:rsid w:val="00944668"/>
    <w:rsid w:val="00944DC6"/>
    <w:rsid w:val="00945829"/>
    <w:rsid w:val="009458B0"/>
    <w:rsid w:val="00945B52"/>
    <w:rsid w:val="00945B7A"/>
    <w:rsid w:val="00945F05"/>
    <w:rsid w:val="00945FE0"/>
    <w:rsid w:val="00946348"/>
    <w:rsid w:val="00946B10"/>
    <w:rsid w:val="0094708D"/>
    <w:rsid w:val="009471C2"/>
    <w:rsid w:val="00947224"/>
    <w:rsid w:val="00947797"/>
    <w:rsid w:val="009478A2"/>
    <w:rsid w:val="00947942"/>
    <w:rsid w:val="00950181"/>
    <w:rsid w:val="00950402"/>
    <w:rsid w:val="00950865"/>
    <w:rsid w:val="009533BD"/>
    <w:rsid w:val="00953557"/>
    <w:rsid w:val="009536FB"/>
    <w:rsid w:val="00953808"/>
    <w:rsid w:val="009539A6"/>
    <w:rsid w:val="00953C3A"/>
    <w:rsid w:val="00954032"/>
    <w:rsid w:val="00954537"/>
    <w:rsid w:val="0095472D"/>
    <w:rsid w:val="00954F0F"/>
    <w:rsid w:val="00955342"/>
    <w:rsid w:val="00955D57"/>
    <w:rsid w:val="00955FBB"/>
    <w:rsid w:val="00956705"/>
    <w:rsid w:val="0095694B"/>
    <w:rsid w:val="00956BD5"/>
    <w:rsid w:val="00956D84"/>
    <w:rsid w:val="00956F1E"/>
    <w:rsid w:val="009577B5"/>
    <w:rsid w:val="00957D66"/>
    <w:rsid w:val="00960491"/>
    <w:rsid w:val="009608E6"/>
    <w:rsid w:val="00960F57"/>
    <w:rsid w:val="00961669"/>
    <w:rsid w:val="009618AF"/>
    <w:rsid w:val="00961C90"/>
    <w:rsid w:val="00962A26"/>
    <w:rsid w:val="00965186"/>
    <w:rsid w:val="00965443"/>
    <w:rsid w:val="00965954"/>
    <w:rsid w:val="00965A21"/>
    <w:rsid w:val="00965C3A"/>
    <w:rsid w:val="00965E55"/>
    <w:rsid w:val="0096608E"/>
    <w:rsid w:val="00966522"/>
    <w:rsid w:val="00966926"/>
    <w:rsid w:val="00966C33"/>
    <w:rsid w:val="00967288"/>
    <w:rsid w:val="009678D3"/>
    <w:rsid w:val="00970F18"/>
    <w:rsid w:val="00971CF1"/>
    <w:rsid w:val="00971F5D"/>
    <w:rsid w:val="009721E9"/>
    <w:rsid w:val="009722B5"/>
    <w:rsid w:val="00972C2E"/>
    <w:rsid w:val="00973330"/>
    <w:rsid w:val="009733D3"/>
    <w:rsid w:val="00973772"/>
    <w:rsid w:val="00974240"/>
    <w:rsid w:val="00974610"/>
    <w:rsid w:val="00975499"/>
    <w:rsid w:val="0097560A"/>
    <w:rsid w:val="0097598F"/>
    <w:rsid w:val="00975E1E"/>
    <w:rsid w:val="00975E70"/>
    <w:rsid w:val="009761DE"/>
    <w:rsid w:val="009766D4"/>
    <w:rsid w:val="009766FA"/>
    <w:rsid w:val="00976E80"/>
    <w:rsid w:val="00977714"/>
    <w:rsid w:val="00977944"/>
    <w:rsid w:val="00977CD6"/>
    <w:rsid w:val="009803E3"/>
    <w:rsid w:val="0098048B"/>
    <w:rsid w:val="00980908"/>
    <w:rsid w:val="00980DF9"/>
    <w:rsid w:val="00981CD8"/>
    <w:rsid w:val="0098243D"/>
    <w:rsid w:val="009825EF"/>
    <w:rsid w:val="00982C19"/>
    <w:rsid w:val="00982D26"/>
    <w:rsid w:val="00983B6E"/>
    <w:rsid w:val="00983FE5"/>
    <w:rsid w:val="00984544"/>
    <w:rsid w:val="009849E9"/>
    <w:rsid w:val="00984AFF"/>
    <w:rsid w:val="00985048"/>
    <w:rsid w:val="009855AC"/>
    <w:rsid w:val="009859E4"/>
    <w:rsid w:val="00985D7F"/>
    <w:rsid w:val="00987812"/>
    <w:rsid w:val="00987A48"/>
    <w:rsid w:val="00987B39"/>
    <w:rsid w:val="009900FE"/>
    <w:rsid w:val="00990225"/>
    <w:rsid w:val="00990678"/>
    <w:rsid w:val="00991307"/>
    <w:rsid w:val="0099157D"/>
    <w:rsid w:val="00991FAA"/>
    <w:rsid w:val="00991FD2"/>
    <w:rsid w:val="00992A13"/>
    <w:rsid w:val="00993DB1"/>
    <w:rsid w:val="00994AAD"/>
    <w:rsid w:val="00995150"/>
    <w:rsid w:val="009957A6"/>
    <w:rsid w:val="00995D67"/>
    <w:rsid w:val="009968C5"/>
    <w:rsid w:val="00997613"/>
    <w:rsid w:val="009A013B"/>
    <w:rsid w:val="009A02F4"/>
    <w:rsid w:val="009A0617"/>
    <w:rsid w:val="009A06BF"/>
    <w:rsid w:val="009A09C5"/>
    <w:rsid w:val="009A0D17"/>
    <w:rsid w:val="009A2494"/>
    <w:rsid w:val="009A32B1"/>
    <w:rsid w:val="009A33A3"/>
    <w:rsid w:val="009A36F2"/>
    <w:rsid w:val="009A40C3"/>
    <w:rsid w:val="009A40D5"/>
    <w:rsid w:val="009A5268"/>
    <w:rsid w:val="009A57D0"/>
    <w:rsid w:val="009A6559"/>
    <w:rsid w:val="009A68FC"/>
    <w:rsid w:val="009A6AE6"/>
    <w:rsid w:val="009A6CE4"/>
    <w:rsid w:val="009A7514"/>
    <w:rsid w:val="009A7665"/>
    <w:rsid w:val="009A7E7A"/>
    <w:rsid w:val="009B021B"/>
    <w:rsid w:val="009B0925"/>
    <w:rsid w:val="009B1584"/>
    <w:rsid w:val="009B18F0"/>
    <w:rsid w:val="009B194E"/>
    <w:rsid w:val="009B1F4C"/>
    <w:rsid w:val="009B2203"/>
    <w:rsid w:val="009B2471"/>
    <w:rsid w:val="009B314F"/>
    <w:rsid w:val="009B439C"/>
    <w:rsid w:val="009B49A1"/>
    <w:rsid w:val="009B4A6C"/>
    <w:rsid w:val="009B4DA8"/>
    <w:rsid w:val="009B4FA6"/>
    <w:rsid w:val="009B519A"/>
    <w:rsid w:val="009B53E6"/>
    <w:rsid w:val="009B620C"/>
    <w:rsid w:val="009B6454"/>
    <w:rsid w:val="009B64CC"/>
    <w:rsid w:val="009B6753"/>
    <w:rsid w:val="009B676C"/>
    <w:rsid w:val="009B6A26"/>
    <w:rsid w:val="009C079D"/>
    <w:rsid w:val="009C0C12"/>
    <w:rsid w:val="009C0D70"/>
    <w:rsid w:val="009C1282"/>
    <w:rsid w:val="009C13D1"/>
    <w:rsid w:val="009C14A3"/>
    <w:rsid w:val="009C2913"/>
    <w:rsid w:val="009C2BD4"/>
    <w:rsid w:val="009C32F0"/>
    <w:rsid w:val="009C334C"/>
    <w:rsid w:val="009C3EED"/>
    <w:rsid w:val="009C4596"/>
    <w:rsid w:val="009C52FB"/>
    <w:rsid w:val="009C5314"/>
    <w:rsid w:val="009C5AFE"/>
    <w:rsid w:val="009C6606"/>
    <w:rsid w:val="009C6CE5"/>
    <w:rsid w:val="009C6D50"/>
    <w:rsid w:val="009C72B2"/>
    <w:rsid w:val="009C7547"/>
    <w:rsid w:val="009D05EC"/>
    <w:rsid w:val="009D18D4"/>
    <w:rsid w:val="009D1E82"/>
    <w:rsid w:val="009D1FCF"/>
    <w:rsid w:val="009D2F60"/>
    <w:rsid w:val="009D3A2E"/>
    <w:rsid w:val="009D3E61"/>
    <w:rsid w:val="009D4C2E"/>
    <w:rsid w:val="009D53C0"/>
    <w:rsid w:val="009D5912"/>
    <w:rsid w:val="009D5ADE"/>
    <w:rsid w:val="009D5BAC"/>
    <w:rsid w:val="009D5C56"/>
    <w:rsid w:val="009D6265"/>
    <w:rsid w:val="009D64BD"/>
    <w:rsid w:val="009D6CB1"/>
    <w:rsid w:val="009D799C"/>
    <w:rsid w:val="009E0286"/>
    <w:rsid w:val="009E0A4B"/>
    <w:rsid w:val="009E153F"/>
    <w:rsid w:val="009E18C5"/>
    <w:rsid w:val="009E2758"/>
    <w:rsid w:val="009E2B98"/>
    <w:rsid w:val="009E322A"/>
    <w:rsid w:val="009E32F4"/>
    <w:rsid w:val="009E3483"/>
    <w:rsid w:val="009E393E"/>
    <w:rsid w:val="009E42FD"/>
    <w:rsid w:val="009E444E"/>
    <w:rsid w:val="009E454D"/>
    <w:rsid w:val="009E4968"/>
    <w:rsid w:val="009E4E01"/>
    <w:rsid w:val="009E5676"/>
    <w:rsid w:val="009E663C"/>
    <w:rsid w:val="009E684A"/>
    <w:rsid w:val="009E6BB1"/>
    <w:rsid w:val="009E6E14"/>
    <w:rsid w:val="009E794A"/>
    <w:rsid w:val="009E7B26"/>
    <w:rsid w:val="009E7C14"/>
    <w:rsid w:val="009F0494"/>
    <w:rsid w:val="009F0CD9"/>
    <w:rsid w:val="009F1A79"/>
    <w:rsid w:val="009F1F57"/>
    <w:rsid w:val="009F249F"/>
    <w:rsid w:val="009F2DDD"/>
    <w:rsid w:val="009F32B4"/>
    <w:rsid w:val="009F3447"/>
    <w:rsid w:val="009F5847"/>
    <w:rsid w:val="009F65F4"/>
    <w:rsid w:val="009F6763"/>
    <w:rsid w:val="009F676B"/>
    <w:rsid w:val="009F6D2D"/>
    <w:rsid w:val="009F6D54"/>
    <w:rsid w:val="00A004DF"/>
    <w:rsid w:val="00A00A52"/>
    <w:rsid w:val="00A00EE6"/>
    <w:rsid w:val="00A00FD5"/>
    <w:rsid w:val="00A012C0"/>
    <w:rsid w:val="00A019A8"/>
    <w:rsid w:val="00A01B03"/>
    <w:rsid w:val="00A01B89"/>
    <w:rsid w:val="00A02C66"/>
    <w:rsid w:val="00A02C84"/>
    <w:rsid w:val="00A035E1"/>
    <w:rsid w:val="00A03842"/>
    <w:rsid w:val="00A04394"/>
    <w:rsid w:val="00A0464C"/>
    <w:rsid w:val="00A04F3F"/>
    <w:rsid w:val="00A050BB"/>
    <w:rsid w:val="00A05128"/>
    <w:rsid w:val="00A0521B"/>
    <w:rsid w:val="00A05262"/>
    <w:rsid w:val="00A054E0"/>
    <w:rsid w:val="00A05D91"/>
    <w:rsid w:val="00A06972"/>
    <w:rsid w:val="00A0734B"/>
    <w:rsid w:val="00A0740B"/>
    <w:rsid w:val="00A07ED3"/>
    <w:rsid w:val="00A10162"/>
    <w:rsid w:val="00A10CA8"/>
    <w:rsid w:val="00A10D5A"/>
    <w:rsid w:val="00A11042"/>
    <w:rsid w:val="00A12579"/>
    <w:rsid w:val="00A12CDC"/>
    <w:rsid w:val="00A12E1D"/>
    <w:rsid w:val="00A1304B"/>
    <w:rsid w:val="00A133D8"/>
    <w:rsid w:val="00A13464"/>
    <w:rsid w:val="00A13553"/>
    <w:rsid w:val="00A13F58"/>
    <w:rsid w:val="00A14382"/>
    <w:rsid w:val="00A15480"/>
    <w:rsid w:val="00A15655"/>
    <w:rsid w:val="00A160B0"/>
    <w:rsid w:val="00A1740C"/>
    <w:rsid w:val="00A17904"/>
    <w:rsid w:val="00A20069"/>
    <w:rsid w:val="00A2244D"/>
    <w:rsid w:val="00A2253D"/>
    <w:rsid w:val="00A2267F"/>
    <w:rsid w:val="00A22CDB"/>
    <w:rsid w:val="00A22D95"/>
    <w:rsid w:val="00A247B8"/>
    <w:rsid w:val="00A24914"/>
    <w:rsid w:val="00A2495A"/>
    <w:rsid w:val="00A24C7A"/>
    <w:rsid w:val="00A24D8F"/>
    <w:rsid w:val="00A25366"/>
    <w:rsid w:val="00A25B8B"/>
    <w:rsid w:val="00A2689F"/>
    <w:rsid w:val="00A26ECA"/>
    <w:rsid w:val="00A272C6"/>
    <w:rsid w:val="00A2734E"/>
    <w:rsid w:val="00A27461"/>
    <w:rsid w:val="00A27AE5"/>
    <w:rsid w:val="00A27D67"/>
    <w:rsid w:val="00A27EE9"/>
    <w:rsid w:val="00A27F23"/>
    <w:rsid w:val="00A30ABC"/>
    <w:rsid w:val="00A30D1F"/>
    <w:rsid w:val="00A310FB"/>
    <w:rsid w:val="00A320F4"/>
    <w:rsid w:val="00A3267D"/>
    <w:rsid w:val="00A3354D"/>
    <w:rsid w:val="00A33B74"/>
    <w:rsid w:val="00A3467F"/>
    <w:rsid w:val="00A34B4C"/>
    <w:rsid w:val="00A35030"/>
    <w:rsid w:val="00A3551A"/>
    <w:rsid w:val="00A3588F"/>
    <w:rsid w:val="00A36015"/>
    <w:rsid w:val="00A366A0"/>
    <w:rsid w:val="00A36952"/>
    <w:rsid w:val="00A37196"/>
    <w:rsid w:val="00A37209"/>
    <w:rsid w:val="00A37381"/>
    <w:rsid w:val="00A37584"/>
    <w:rsid w:val="00A376E8"/>
    <w:rsid w:val="00A37F8E"/>
    <w:rsid w:val="00A4103C"/>
    <w:rsid w:val="00A411DA"/>
    <w:rsid w:val="00A41537"/>
    <w:rsid w:val="00A41678"/>
    <w:rsid w:val="00A41737"/>
    <w:rsid w:val="00A42AD4"/>
    <w:rsid w:val="00A42B8F"/>
    <w:rsid w:val="00A42D8E"/>
    <w:rsid w:val="00A43254"/>
    <w:rsid w:val="00A43896"/>
    <w:rsid w:val="00A43951"/>
    <w:rsid w:val="00A43A26"/>
    <w:rsid w:val="00A4429D"/>
    <w:rsid w:val="00A447A0"/>
    <w:rsid w:val="00A4505E"/>
    <w:rsid w:val="00A459F5"/>
    <w:rsid w:val="00A45FC0"/>
    <w:rsid w:val="00A467AF"/>
    <w:rsid w:val="00A468C7"/>
    <w:rsid w:val="00A46B74"/>
    <w:rsid w:val="00A47BF7"/>
    <w:rsid w:val="00A47ECC"/>
    <w:rsid w:val="00A50171"/>
    <w:rsid w:val="00A50418"/>
    <w:rsid w:val="00A504FA"/>
    <w:rsid w:val="00A50E40"/>
    <w:rsid w:val="00A5102E"/>
    <w:rsid w:val="00A5132E"/>
    <w:rsid w:val="00A51375"/>
    <w:rsid w:val="00A51533"/>
    <w:rsid w:val="00A516D4"/>
    <w:rsid w:val="00A51F1A"/>
    <w:rsid w:val="00A52E32"/>
    <w:rsid w:val="00A531D4"/>
    <w:rsid w:val="00A53622"/>
    <w:rsid w:val="00A53736"/>
    <w:rsid w:val="00A53C42"/>
    <w:rsid w:val="00A54572"/>
    <w:rsid w:val="00A559D8"/>
    <w:rsid w:val="00A575B8"/>
    <w:rsid w:val="00A6020A"/>
    <w:rsid w:val="00A60CE7"/>
    <w:rsid w:val="00A60CF8"/>
    <w:rsid w:val="00A619BB"/>
    <w:rsid w:val="00A61C60"/>
    <w:rsid w:val="00A61ECB"/>
    <w:rsid w:val="00A63D58"/>
    <w:rsid w:val="00A63FE9"/>
    <w:rsid w:val="00A6410C"/>
    <w:rsid w:val="00A647B1"/>
    <w:rsid w:val="00A64DEF"/>
    <w:rsid w:val="00A65311"/>
    <w:rsid w:val="00A654D2"/>
    <w:rsid w:val="00A665DF"/>
    <w:rsid w:val="00A67331"/>
    <w:rsid w:val="00A673F1"/>
    <w:rsid w:val="00A674DB"/>
    <w:rsid w:val="00A67625"/>
    <w:rsid w:val="00A67FCC"/>
    <w:rsid w:val="00A702C3"/>
    <w:rsid w:val="00A70AA5"/>
    <w:rsid w:val="00A70C03"/>
    <w:rsid w:val="00A70C34"/>
    <w:rsid w:val="00A71256"/>
    <w:rsid w:val="00A7147C"/>
    <w:rsid w:val="00A71CB8"/>
    <w:rsid w:val="00A72172"/>
    <w:rsid w:val="00A7217B"/>
    <w:rsid w:val="00A722D7"/>
    <w:rsid w:val="00A723A3"/>
    <w:rsid w:val="00A73861"/>
    <w:rsid w:val="00A738EE"/>
    <w:rsid w:val="00A739A6"/>
    <w:rsid w:val="00A73C97"/>
    <w:rsid w:val="00A740ED"/>
    <w:rsid w:val="00A74229"/>
    <w:rsid w:val="00A746C7"/>
    <w:rsid w:val="00A74C29"/>
    <w:rsid w:val="00A74C62"/>
    <w:rsid w:val="00A75A70"/>
    <w:rsid w:val="00A75EF9"/>
    <w:rsid w:val="00A7642C"/>
    <w:rsid w:val="00A7657C"/>
    <w:rsid w:val="00A76B5E"/>
    <w:rsid w:val="00A76BD8"/>
    <w:rsid w:val="00A76E4E"/>
    <w:rsid w:val="00A7744F"/>
    <w:rsid w:val="00A80018"/>
    <w:rsid w:val="00A80A5D"/>
    <w:rsid w:val="00A81E9C"/>
    <w:rsid w:val="00A81ECA"/>
    <w:rsid w:val="00A821D4"/>
    <w:rsid w:val="00A82764"/>
    <w:rsid w:val="00A8311C"/>
    <w:rsid w:val="00A835D0"/>
    <w:rsid w:val="00A83821"/>
    <w:rsid w:val="00A84150"/>
    <w:rsid w:val="00A84761"/>
    <w:rsid w:val="00A84C5F"/>
    <w:rsid w:val="00A85240"/>
    <w:rsid w:val="00A85930"/>
    <w:rsid w:val="00A86116"/>
    <w:rsid w:val="00A863F7"/>
    <w:rsid w:val="00A86604"/>
    <w:rsid w:val="00A86ACC"/>
    <w:rsid w:val="00A87519"/>
    <w:rsid w:val="00A90213"/>
    <w:rsid w:val="00A90870"/>
    <w:rsid w:val="00A90C73"/>
    <w:rsid w:val="00A914DA"/>
    <w:rsid w:val="00A91E71"/>
    <w:rsid w:val="00A9246D"/>
    <w:rsid w:val="00A92C64"/>
    <w:rsid w:val="00A92CCA"/>
    <w:rsid w:val="00A93BD0"/>
    <w:rsid w:val="00A93CC2"/>
    <w:rsid w:val="00A9451D"/>
    <w:rsid w:val="00A94D4B"/>
    <w:rsid w:val="00A951EE"/>
    <w:rsid w:val="00A95320"/>
    <w:rsid w:val="00A956AC"/>
    <w:rsid w:val="00A9592C"/>
    <w:rsid w:val="00A95A90"/>
    <w:rsid w:val="00A974CC"/>
    <w:rsid w:val="00A97EE7"/>
    <w:rsid w:val="00A97FC3"/>
    <w:rsid w:val="00AA0A68"/>
    <w:rsid w:val="00AA1F34"/>
    <w:rsid w:val="00AA2001"/>
    <w:rsid w:val="00AA217C"/>
    <w:rsid w:val="00AA2B5C"/>
    <w:rsid w:val="00AA32D2"/>
    <w:rsid w:val="00AA33AA"/>
    <w:rsid w:val="00AA3A5C"/>
    <w:rsid w:val="00AA3AA4"/>
    <w:rsid w:val="00AA3B8B"/>
    <w:rsid w:val="00AA4016"/>
    <w:rsid w:val="00AA416D"/>
    <w:rsid w:val="00AA4976"/>
    <w:rsid w:val="00AA4C1F"/>
    <w:rsid w:val="00AA4F0C"/>
    <w:rsid w:val="00AA5328"/>
    <w:rsid w:val="00AA5393"/>
    <w:rsid w:val="00AA5881"/>
    <w:rsid w:val="00AA63D4"/>
    <w:rsid w:val="00AA7931"/>
    <w:rsid w:val="00AA7BE1"/>
    <w:rsid w:val="00AB03FD"/>
    <w:rsid w:val="00AB09B8"/>
    <w:rsid w:val="00AB1678"/>
    <w:rsid w:val="00AB199F"/>
    <w:rsid w:val="00AB1C40"/>
    <w:rsid w:val="00AB2000"/>
    <w:rsid w:val="00AB21CC"/>
    <w:rsid w:val="00AB2C06"/>
    <w:rsid w:val="00AB38CB"/>
    <w:rsid w:val="00AB3BEC"/>
    <w:rsid w:val="00AB4080"/>
    <w:rsid w:val="00AB44E4"/>
    <w:rsid w:val="00AB46D1"/>
    <w:rsid w:val="00AB4AEB"/>
    <w:rsid w:val="00AB4E5F"/>
    <w:rsid w:val="00AB5352"/>
    <w:rsid w:val="00AB56AE"/>
    <w:rsid w:val="00AB62D5"/>
    <w:rsid w:val="00AB65B5"/>
    <w:rsid w:val="00AB6DCD"/>
    <w:rsid w:val="00AB6EE0"/>
    <w:rsid w:val="00AB7240"/>
    <w:rsid w:val="00AB780C"/>
    <w:rsid w:val="00AB7D43"/>
    <w:rsid w:val="00AB7ECC"/>
    <w:rsid w:val="00AC1325"/>
    <w:rsid w:val="00AC17A2"/>
    <w:rsid w:val="00AC3096"/>
    <w:rsid w:val="00AC33F3"/>
    <w:rsid w:val="00AC40B7"/>
    <w:rsid w:val="00AC49E2"/>
    <w:rsid w:val="00AC4EAC"/>
    <w:rsid w:val="00AC531F"/>
    <w:rsid w:val="00AC5448"/>
    <w:rsid w:val="00AC5459"/>
    <w:rsid w:val="00AC5B36"/>
    <w:rsid w:val="00AC5FFE"/>
    <w:rsid w:val="00AC6377"/>
    <w:rsid w:val="00AC651A"/>
    <w:rsid w:val="00AC66A4"/>
    <w:rsid w:val="00AC6CB1"/>
    <w:rsid w:val="00AC75E9"/>
    <w:rsid w:val="00AC7965"/>
    <w:rsid w:val="00AC7D6D"/>
    <w:rsid w:val="00AC7D76"/>
    <w:rsid w:val="00AD0091"/>
    <w:rsid w:val="00AD046F"/>
    <w:rsid w:val="00AD04C1"/>
    <w:rsid w:val="00AD1119"/>
    <w:rsid w:val="00AD1315"/>
    <w:rsid w:val="00AD21D4"/>
    <w:rsid w:val="00AD23EF"/>
    <w:rsid w:val="00AD2662"/>
    <w:rsid w:val="00AD307B"/>
    <w:rsid w:val="00AD355F"/>
    <w:rsid w:val="00AD36D2"/>
    <w:rsid w:val="00AD3992"/>
    <w:rsid w:val="00AD4014"/>
    <w:rsid w:val="00AD41B3"/>
    <w:rsid w:val="00AD5721"/>
    <w:rsid w:val="00AD69F0"/>
    <w:rsid w:val="00AD7127"/>
    <w:rsid w:val="00AD730C"/>
    <w:rsid w:val="00AE04FD"/>
    <w:rsid w:val="00AE0F90"/>
    <w:rsid w:val="00AE123A"/>
    <w:rsid w:val="00AE1539"/>
    <w:rsid w:val="00AE1FB8"/>
    <w:rsid w:val="00AE28A7"/>
    <w:rsid w:val="00AE2A98"/>
    <w:rsid w:val="00AE2CF2"/>
    <w:rsid w:val="00AE2F19"/>
    <w:rsid w:val="00AE3012"/>
    <w:rsid w:val="00AE3297"/>
    <w:rsid w:val="00AE33A6"/>
    <w:rsid w:val="00AE34EE"/>
    <w:rsid w:val="00AE3513"/>
    <w:rsid w:val="00AE3729"/>
    <w:rsid w:val="00AE3C81"/>
    <w:rsid w:val="00AE4A3E"/>
    <w:rsid w:val="00AE4CCE"/>
    <w:rsid w:val="00AE59DB"/>
    <w:rsid w:val="00AE5C6A"/>
    <w:rsid w:val="00AE6358"/>
    <w:rsid w:val="00AE7058"/>
    <w:rsid w:val="00AE7280"/>
    <w:rsid w:val="00AE7B5F"/>
    <w:rsid w:val="00AF01FA"/>
    <w:rsid w:val="00AF033A"/>
    <w:rsid w:val="00AF0D26"/>
    <w:rsid w:val="00AF118E"/>
    <w:rsid w:val="00AF1658"/>
    <w:rsid w:val="00AF1699"/>
    <w:rsid w:val="00AF18D1"/>
    <w:rsid w:val="00AF1BA4"/>
    <w:rsid w:val="00AF1FD3"/>
    <w:rsid w:val="00AF2910"/>
    <w:rsid w:val="00AF34B8"/>
    <w:rsid w:val="00AF3896"/>
    <w:rsid w:val="00AF39C9"/>
    <w:rsid w:val="00AF3F97"/>
    <w:rsid w:val="00AF3FC2"/>
    <w:rsid w:val="00AF4DEC"/>
    <w:rsid w:val="00AF62F0"/>
    <w:rsid w:val="00AF6B57"/>
    <w:rsid w:val="00AF6BB9"/>
    <w:rsid w:val="00B003FF"/>
    <w:rsid w:val="00B0098A"/>
    <w:rsid w:val="00B00A5F"/>
    <w:rsid w:val="00B0116A"/>
    <w:rsid w:val="00B0139C"/>
    <w:rsid w:val="00B029B8"/>
    <w:rsid w:val="00B02F60"/>
    <w:rsid w:val="00B02F94"/>
    <w:rsid w:val="00B032B8"/>
    <w:rsid w:val="00B0396A"/>
    <w:rsid w:val="00B04074"/>
    <w:rsid w:val="00B04721"/>
    <w:rsid w:val="00B04B15"/>
    <w:rsid w:val="00B04B46"/>
    <w:rsid w:val="00B0534D"/>
    <w:rsid w:val="00B05685"/>
    <w:rsid w:val="00B05F9F"/>
    <w:rsid w:val="00B06070"/>
    <w:rsid w:val="00B062BE"/>
    <w:rsid w:val="00B06368"/>
    <w:rsid w:val="00B065EB"/>
    <w:rsid w:val="00B068DA"/>
    <w:rsid w:val="00B06A00"/>
    <w:rsid w:val="00B06FC6"/>
    <w:rsid w:val="00B0710D"/>
    <w:rsid w:val="00B074C9"/>
    <w:rsid w:val="00B07A70"/>
    <w:rsid w:val="00B07D9D"/>
    <w:rsid w:val="00B11AE5"/>
    <w:rsid w:val="00B12263"/>
    <w:rsid w:val="00B12ECA"/>
    <w:rsid w:val="00B12FE6"/>
    <w:rsid w:val="00B1303F"/>
    <w:rsid w:val="00B1364A"/>
    <w:rsid w:val="00B13859"/>
    <w:rsid w:val="00B13EC9"/>
    <w:rsid w:val="00B14319"/>
    <w:rsid w:val="00B14A06"/>
    <w:rsid w:val="00B14CF8"/>
    <w:rsid w:val="00B158E1"/>
    <w:rsid w:val="00B1599B"/>
    <w:rsid w:val="00B15C0E"/>
    <w:rsid w:val="00B15CCD"/>
    <w:rsid w:val="00B16715"/>
    <w:rsid w:val="00B16FFA"/>
    <w:rsid w:val="00B1768E"/>
    <w:rsid w:val="00B17910"/>
    <w:rsid w:val="00B20F18"/>
    <w:rsid w:val="00B20FB7"/>
    <w:rsid w:val="00B21516"/>
    <w:rsid w:val="00B21723"/>
    <w:rsid w:val="00B219D9"/>
    <w:rsid w:val="00B21A37"/>
    <w:rsid w:val="00B21D23"/>
    <w:rsid w:val="00B21F62"/>
    <w:rsid w:val="00B223A4"/>
    <w:rsid w:val="00B22CE0"/>
    <w:rsid w:val="00B22F2E"/>
    <w:rsid w:val="00B232BF"/>
    <w:rsid w:val="00B23738"/>
    <w:rsid w:val="00B23BEF"/>
    <w:rsid w:val="00B247BB"/>
    <w:rsid w:val="00B2504A"/>
    <w:rsid w:val="00B25EE6"/>
    <w:rsid w:val="00B27365"/>
    <w:rsid w:val="00B3043F"/>
    <w:rsid w:val="00B3115A"/>
    <w:rsid w:val="00B3178B"/>
    <w:rsid w:val="00B31825"/>
    <w:rsid w:val="00B31A5C"/>
    <w:rsid w:val="00B32265"/>
    <w:rsid w:val="00B325CC"/>
    <w:rsid w:val="00B3276D"/>
    <w:rsid w:val="00B33331"/>
    <w:rsid w:val="00B333C8"/>
    <w:rsid w:val="00B33B06"/>
    <w:rsid w:val="00B33C19"/>
    <w:rsid w:val="00B33E0B"/>
    <w:rsid w:val="00B3462E"/>
    <w:rsid w:val="00B353A7"/>
    <w:rsid w:val="00B35A15"/>
    <w:rsid w:val="00B35B45"/>
    <w:rsid w:val="00B36165"/>
    <w:rsid w:val="00B36A99"/>
    <w:rsid w:val="00B37395"/>
    <w:rsid w:val="00B40385"/>
    <w:rsid w:val="00B40C29"/>
    <w:rsid w:val="00B42264"/>
    <w:rsid w:val="00B434B2"/>
    <w:rsid w:val="00B43B9E"/>
    <w:rsid w:val="00B43CA0"/>
    <w:rsid w:val="00B43D45"/>
    <w:rsid w:val="00B448C4"/>
    <w:rsid w:val="00B459AF"/>
    <w:rsid w:val="00B468F2"/>
    <w:rsid w:val="00B469DE"/>
    <w:rsid w:val="00B47286"/>
    <w:rsid w:val="00B4772A"/>
    <w:rsid w:val="00B47EB4"/>
    <w:rsid w:val="00B50234"/>
    <w:rsid w:val="00B5052F"/>
    <w:rsid w:val="00B51641"/>
    <w:rsid w:val="00B51BF4"/>
    <w:rsid w:val="00B521A2"/>
    <w:rsid w:val="00B52279"/>
    <w:rsid w:val="00B522D7"/>
    <w:rsid w:val="00B5235E"/>
    <w:rsid w:val="00B527AD"/>
    <w:rsid w:val="00B52C68"/>
    <w:rsid w:val="00B5324B"/>
    <w:rsid w:val="00B5372B"/>
    <w:rsid w:val="00B542FE"/>
    <w:rsid w:val="00B54360"/>
    <w:rsid w:val="00B546D2"/>
    <w:rsid w:val="00B5525E"/>
    <w:rsid w:val="00B55A1B"/>
    <w:rsid w:val="00B561DB"/>
    <w:rsid w:val="00B5645C"/>
    <w:rsid w:val="00B568A1"/>
    <w:rsid w:val="00B56DF9"/>
    <w:rsid w:val="00B56E80"/>
    <w:rsid w:val="00B570EC"/>
    <w:rsid w:val="00B571F1"/>
    <w:rsid w:val="00B5770A"/>
    <w:rsid w:val="00B600BD"/>
    <w:rsid w:val="00B60CB4"/>
    <w:rsid w:val="00B60E4E"/>
    <w:rsid w:val="00B61274"/>
    <w:rsid w:val="00B613F6"/>
    <w:rsid w:val="00B6141E"/>
    <w:rsid w:val="00B61DCE"/>
    <w:rsid w:val="00B62188"/>
    <w:rsid w:val="00B621D6"/>
    <w:rsid w:val="00B622E3"/>
    <w:rsid w:val="00B62F79"/>
    <w:rsid w:val="00B62F82"/>
    <w:rsid w:val="00B63028"/>
    <w:rsid w:val="00B6306A"/>
    <w:rsid w:val="00B635E3"/>
    <w:rsid w:val="00B64388"/>
    <w:rsid w:val="00B64B9A"/>
    <w:rsid w:val="00B662FF"/>
    <w:rsid w:val="00B665B8"/>
    <w:rsid w:val="00B665F6"/>
    <w:rsid w:val="00B66679"/>
    <w:rsid w:val="00B66C87"/>
    <w:rsid w:val="00B70139"/>
    <w:rsid w:val="00B70145"/>
    <w:rsid w:val="00B701C9"/>
    <w:rsid w:val="00B7035F"/>
    <w:rsid w:val="00B710AD"/>
    <w:rsid w:val="00B71A92"/>
    <w:rsid w:val="00B721D8"/>
    <w:rsid w:val="00B730CA"/>
    <w:rsid w:val="00B732EA"/>
    <w:rsid w:val="00B73747"/>
    <w:rsid w:val="00B747C5"/>
    <w:rsid w:val="00B74F2F"/>
    <w:rsid w:val="00B753ED"/>
    <w:rsid w:val="00B75C6D"/>
    <w:rsid w:val="00B7665F"/>
    <w:rsid w:val="00B769BC"/>
    <w:rsid w:val="00B770F7"/>
    <w:rsid w:val="00B77349"/>
    <w:rsid w:val="00B7761E"/>
    <w:rsid w:val="00B8020C"/>
    <w:rsid w:val="00B80A3D"/>
    <w:rsid w:val="00B80B04"/>
    <w:rsid w:val="00B821E4"/>
    <w:rsid w:val="00B823E0"/>
    <w:rsid w:val="00B8260D"/>
    <w:rsid w:val="00B82694"/>
    <w:rsid w:val="00B8286F"/>
    <w:rsid w:val="00B82B78"/>
    <w:rsid w:val="00B82FD9"/>
    <w:rsid w:val="00B845A8"/>
    <w:rsid w:val="00B845B4"/>
    <w:rsid w:val="00B84662"/>
    <w:rsid w:val="00B84C74"/>
    <w:rsid w:val="00B84CE9"/>
    <w:rsid w:val="00B84F6E"/>
    <w:rsid w:val="00B85191"/>
    <w:rsid w:val="00B85412"/>
    <w:rsid w:val="00B858A1"/>
    <w:rsid w:val="00B85FEC"/>
    <w:rsid w:val="00B864A3"/>
    <w:rsid w:val="00B867B8"/>
    <w:rsid w:val="00B86C2A"/>
    <w:rsid w:val="00B87575"/>
    <w:rsid w:val="00B902A5"/>
    <w:rsid w:val="00B90420"/>
    <w:rsid w:val="00B90848"/>
    <w:rsid w:val="00B91146"/>
    <w:rsid w:val="00B913E4"/>
    <w:rsid w:val="00B91DB9"/>
    <w:rsid w:val="00B91FF3"/>
    <w:rsid w:val="00B925F8"/>
    <w:rsid w:val="00B9330A"/>
    <w:rsid w:val="00B93EFE"/>
    <w:rsid w:val="00B944B9"/>
    <w:rsid w:val="00B94602"/>
    <w:rsid w:val="00B94956"/>
    <w:rsid w:val="00B94C7F"/>
    <w:rsid w:val="00B94E93"/>
    <w:rsid w:val="00B956B5"/>
    <w:rsid w:val="00B95956"/>
    <w:rsid w:val="00B96DF2"/>
    <w:rsid w:val="00B96E18"/>
    <w:rsid w:val="00B96F5A"/>
    <w:rsid w:val="00B97AF7"/>
    <w:rsid w:val="00BA02CF"/>
    <w:rsid w:val="00BA0A69"/>
    <w:rsid w:val="00BA0B39"/>
    <w:rsid w:val="00BA0CB2"/>
    <w:rsid w:val="00BA0E26"/>
    <w:rsid w:val="00BA138B"/>
    <w:rsid w:val="00BA207E"/>
    <w:rsid w:val="00BA238F"/>
    <w:rsid w:val="00BA2471"/>
    <w:rsid w:val="00BA305B"/>
    <w:rsid w:val="00BA31BF"/>
    <w:rsid w:val="00BA3C0F"/>
    <w:rsid w:val="00BA3FC7"/>
    <w:rsid w:val="00BA478B"/>
    <w:rsid w:val="00BA5224"/>
    <w:rsid w:val="00BA575E"/>
    <w:rsid w:val="00BA67B1"/>
    <w:rsid w:val="00BA69D5"/>
    <w:rsid w:val="00BA7524"/>
    <w:rsid w:val="00BA756D"/>
    <w:rsid w:val="00BA76B7"/>
    <w:rsid w:val="00BA7E3B"/>
    <w:rsid w:val="00BB078D"/>
    <w:rsid w:val="00BB079C"/>
    <w:rsid w:val="00BB0C0D"/>
    <w:rsid w:val="00BB0D7A"/>
    <w:rsid w:val="00BB10E1"/>
    <w:rsid w:val="00BB23BF"/>
    <w:rsid w:val="00BB2471"/>
    <w:rsid w:val="00BB3035"/>
    <w:rsid w:val="00BB39C1"/>
    <w:rsid w:val="00BB3DF5"/>
    <w:rsid w:val="00BB3EA7"/>
    <w:rsid w:val="00BB45BC"/>
    <w:rsid w:val="00BB4653"/>
    <w:rsid w:val="00BB5D16"/>
    <w:rsid w:val="00BB5E55"/>
    <w:rsid w:val="00BB6180"/>
    <w:rsid w:val="00BB6290"/>
    <w:rsid w:val="00BB69DC"/>
    <w:rsid w:val="00BB69E6"/>
    <w:rsid w:val="00BB7323"/>
    <w:rsid w:val="00BB73CA"/>
    <w:rsid w:val="00BB7BE5"/>
    <w:rsid w:val="00BB7C6D"/>
    <w:rsid w:val="00BC08BD"/>
    <w:rsid w:val="00BC1002"/>
    <w:rsid w:val="00BC11E8"/>
    <w:rsid w:val="00BC1418"/>
    <w:rsid w:val="00BC1B7A"/>
    <w:rsid w:val="00BC2C17"/>
    <w:rsid w:val="00BC3149"/>
    <w:rsid w:val="00BC3ACD"/>
    <w:rsid w:val="00BC3B20"/>
    <w:rsid w:val="00BC3EE4"/>
    <w:rsid w:val="00BC4A6C"/>
    <w:rsid w:val="00BC577D"/>
    <w:rsid w:val="00BC588C"/>
    <w:rsid w:val="00BC6E73"/>
    <w:rsid w:val="00BC74D3"/>
    <w:rsid w:val="00BC7ACA"/>
    <w:rsid w:val="00BC7E6E"/>
    <w:rsid w:val="00BD0014"/>
    <w:rsid w:val="00BD01D8"/>
    <w:rsid w:val="00BD1C96"/>
    <w:rsid w:val="00BD1E3A"/>
    <w:rsid w:val="00BD1F36"/>
    <w:rsid w:val="00BD255F"/>
    <w:rsid w:val="00BD2895"/>
    <w:rsid w:val="00BD4236"/>
    <w:rsid w:val="00BD4400"/>
    <w:rsid w:val="00BD483B"/>
    <w:rsid w:val="00BD4FBA"/>
    <w:rsid w:val="00BD51F9"/>
    <w:rsid w:val="00BD5BD8"/>
    <w:rsid w:val="00BD5CD4"/>
    <w:rsid w:val="00BD65D9"/>
    <w:rsid w:val="00BD6922"/>
    <w:rsid w:val="00BD6DF3"/>
    <w:rsid w:val="00BD6E09"/>
    <w:rsid w:val="00BD6EF9"/>
    <w:rsid w:val="00BE045C"/>
    <w:rsid w:val="00BE0ACB"/>
    <w:rsid w:val="00BE11F3"/>
    <w:rsid w:val="00BE1843"/>
    <w:rsid w:val="00BE2260"/>
    <w:rsid w:val="00BE25DA"/>
    <w:rsid w:val="00BE2826"/>
    <w:rsid w:val="00BE2D95"/>
    <w:rsid w:val="00BE2F75"/>
    <w:rsid w:val="00BE3917"/>
    <w:rsid w:val="00BE3D7E"/>
    <w:rsid w:val="00BE4A76"/>
    <w:rsid w:val="00BE4E87"/>
    <w:rsid w:val="00BE50FD"/>
    <w:rsid w:val="00BE51CA"/>
    <w:rsid w:val="00BE537F"/>
    <w:rsid w:val="00BE5B73"/>
    <w:rsid w:val="00BE5D77"/>
    <w:rsid w:val="00BE630A"/>
    <w:rsid w:val="00BE638C"/>
    <w:rsid w:val="00BE6914"/>
    <w:rsid w:val="00BE6BA1"/>
    <w:rsid w:val="00BE6D47"/>
    <w:rsid w:val="00BE6F9B"/>
    <w:rsid w:val="00BE6FBF"/>
    <w:rsid w:val="00BE7032"/>
    <w:rsid w:val="00BE7330"/>
    <w:rsid w:val="00BE77A7"/>
    <w:rsid w:val="00BE7AB5"/>
    <w:rsid w:val="00BF01C5"/>
    <w:rsid w:val="00BF061A"/>
    <w:rsid w:val="00BF066A"/>
    <w:rsid w:val="00BF0771"/>
    <w:rsid w:val="00BF0EDE"/>
    <w:rsid w:val="00BF14CC"/>
    <w:rsid w:val="00BF1821"/>
    <w:rsid w:val="00BF214F"/>
    <w:rsid w:val="00BF22E9"/>
    <w:rsid w:val="00BF3FE4"/>
    <w:rsid w:val="00BF4342"/>
    <w:rsid w:val="00BF4704"/>
    <w:rsid w:val="00BF4FFC"/>
    <w:rsid w:val="00BF5050"/>
    <w:rsid w:val="00BF50D1"/>
    <w:rsid w:val="00BF5422"/>
    <w:rsid w:val="00BF59B1"/>
    <w:rsid w:val="00BF5C4D"/>
    <w:rsid w:val="00BF6625"/>
    <w:rsid w:val="00BF6A78"/>
    <w:rsid w:val="00BF6B3F"/>
    <w:rsid w:val="00BF7118"/>
    <w:rsid w:val="00BF7695"/>
    <w:rsid w:val="00BF775D"/>
    <w:rsid w:val="00BF79B4"/>
    <w:rsid w:val="00BF7C61"/>
    <w:rsid w:val="00C00366"/>
    <w:rsid w:val="00C00686"/>
    <w:rsid w:val="00C013AC"/>
    <w:rsid w:val="00C01427"/>
    <w:rsid w:val="00C014C7"/>
    <w:rsid w:val="00C031CF"/>
    <w:rsid w:val="00C04172"/>
    <w:rsid w:val="00C047AB"/>
    <w:rsid w:val="00C053CF"/>
    <w:rsid w:val="00C058AF"/>
    <w:rsid w:val="00C069E5"/>
    <w:rsid w:val="00C06EAB"/>
    <w:rsid w:val="00C0709D"/>
    <w:rsid w:val="00C07136"/>
    <w:rsid w:val="00C075B6"/>
    <w:rsid w:val="00C10027"/>
    <w:rsid w:val="00C1118B"/>
    <w:rsid w:val="00C124C1"/>
    <w:rsid w:val="00C128AE"/>
    <w:rsid w:val="00C12BA8"/>
    <w:rsid w:val="00C13094"/>
    <w:rsid w:val="00C1359F"/>
    <w:rsid w:val="00C136D6"/>
    <w:rsid w:val="00C13D5B"/>
    <w:rsid w:val="00C141D7"/>
    <w:rsid w:val="00C16074"/>
    <w:rsid w:val="00C16F9E"/>
    <w:rsid w:val="00C1711B"/>
    <w:rsid w:val="00C17526"/>
    <w:rsid w:val="00C17AE2"/>
    <w:rsid w:val="00C20140"/>
    <w:rsid w:val="00C20CD6"/>
    <w:rsid w:val="00C20F27"/>
    <w:rsid w:val="00C215CF"/>
    <w:rsid w:val="00C21A89"/>
    <w:rsid w:val="00C21C6D"/>
    <w:rsid w:val="00C2244B"/>
    <w:rsid w:val="00C22711"/>
    <w:rsid w:val="00C2280A"/>
    <w:rsid w:val="00C22B0D"/>
    <w:rsid w:val="00C22BFF"/>
    <w:rsid w:val="00C23522"/>
    <w:rsid w:val="00C23581"/>
    <w:rsid w:val="00C23E71"/>
    <w:rsid w:val="00C24015"/>
    <w:rsid w:val="00C240C1"/>
    <w:rsid w:val="00C241CD"/>
    <w:rsid w:val="00C244A1"/>
    <w:rsid w:val="00C24AED"/>
    <w:rsid w:val="00C250D0"/>
    <w:rsid w:val="00C252AC"/>
    <w:rsid w:val="00C25C0F"/>
    <w:rsid w:val="00C26567"/>
    <w:rsid w:val="00C26923"/>
    <w:rsid w:val="00C271C9"/>
    <w:rsid w:val="00C27214"/>
    <w:rsid w:val="00C27597"/>
    <w:rsid w:val="00C27E5E"/>
    <w:rsid w:val="00C30382"/>
    <w:rsid w:val="00C30772"/>
    <w:rsid w:val="00C30D6F"/>
    <w:rsid w:val="00C31063"/>
    <w:rsid w:val="00C311E7"/>
    <w:rsid w:val="00C31492"/>
    <w:rsid w:val="00C31B7E"/>
    <w:rsid w:val="00C320D1"/>
    <w:rsid w:val="00C320E8"/>
    <w:rsid w:val="00C322D1"/>
    <w:rsid w:val="00C323E6"/>
    <w:rsid w:val="00C3242A"/>
    <w:rsid w:val="00C33201"/>
    <w:rsid w:val="00C3328B"/>
    <w:rsid w:val="00C33A39"/>
    <w:rsid w:val="00C33F55"/>
    <w:rsid w:val="00C34619"/>
    <w:rsid w:val="00C348D9"/>
    <w:rsid w:val="00C35D01"/>
    <w:rsid w:val="00C360B3"/>
    <w:rsid w:val="00C36451"/>
    <w:rsid w:val="00C365EA"/>
    <w:rsid w:val="00C367F0"/>
    <w:rsid w:val="00C37027"/>
    <w:rsid w:val="00C373BF"/>
    <w:rsid w:val="00C37B15"/>
    <w:rsid w:val="00C37B19"/>
    <w:rsid w:val="00C37B38"/>
    <w:rsid w:val="00C40B87"/>
    <w:rsid w:val="00C41318"/>
    <w:rsid w:val="00C41349"/>
    <w:rsid w:val="00C413CB"/>
    <w:rsid w:val="00C41429"/>
    <w:rsid w:val="00C41558"/>
    <w:rsid w:val="00C41F9F"/>
    <w:rsid w:val="00C42752"/>
    <w:rsid w:val="00C42973"/>
    <w:rsid w:val="00C43426"/>
    <w:rsid w:val="00C45267"/>
    <w:rsid w:val="00C4542D"/>
    <w:rsid w:val="00C46A3D"/>
    <w:rsid w:val="00C46B95"/>
    <w:rsid w:val="00C4712A"/>
    <w:rsid w:val="00C476B5"/>
    <w:rsid w:val="00C478F8"/>
    <w:rsid w:val="00C47E99"/>
    <w:rsid w:val="00C5001E"/>
    <w:rsid w:val="00C5034F"/>
    <w:rsid w:val="00C505D2"/>
    <w:rsid w:val="00C50830"/>
    <w:rsid w:val="00C52436"/>
    <w:rsid w:val="00C52479"/>
    <w:rsid w:val="00C5266E"/>
    <w:rsid w:val="00C52C59"/>
    <w:rsid w:val="00C5349E"/>
    <w:rsid w:val="00C539FF"/>
    <w:rsid w:val="00C54215"/>
    <w:rsid w:val="00C544BD"/>
    <w:rsid w:val="00C54D3D"/>
    <w:rsid w:val="00C55A30"/>
    <w:rsid w:val="00C55E1C"/>
    <w:rsid w:val="00C56076"/>
    <w:rsid w:val="00C561FB"/>
    <w:rsid w:val="00C56384"/>
    <w:rsid w:val="00C567E9"/>
    <w:rsid w:val="00C56ED2"/>
    <w:rsid w:val="00C5715A"/>
    <w:rsid w:val="00C60F8C"/>
    <w:rsid w:val="00C61424"/>
    <w:rsid w:val="00C61794"/>
    <w:rsid w:val="00C617AE"/>
    <w:rsid w:val="00C623E3"/>
    <w:rsid w:val="00C62A48"/>
    <w:rsid w:val="00C62AC4"/>
    <w:rsid w:val="00C62B59"/>
    <w:rsid w:val="00C62F96"/>
    <w:rsid w:val="00C631E1"/>
    <w:rsid w:val="00C638D8"/>
    <w:rsid w:val="00C63A43"/>
    <w:rsid w:val="00C63AE7"/>
    <w:rsid w:val="00C63D26"/>
    <w:rsid w:val="00C64127"/>
    <w:rsid w:val="00C6540A"/>
    <w:rsid w:val="00C65CF7"/>
    <w:rsid w:val="00C668A1"/>
    <w:rsid w:val="00C67223"/>
    <w:rsid w:val="00C67F42"/>
    <w:rsid w:val="00C707B8"/>
    <w:rsid w:val="00C712AC"/>
    <w:rsid w:val="00C7158C"/>
    <w:rsid w:val="00C71C15"/>
    <w:rsid w:val="00C71F3D"/>
    <w:rsid w:val="00C72767"/>
    <w:rsid w:val="00C72AA4"/>
    <w:rsid w:val="00C72F53"/>
    <w:rsid w:val="00C74035"/>
    <w:rsid w:val="00C748EA"/>
    <w:rsid w:val="00C74921"/>
    <w:rsid w:val="00C76FB0"/>
    <w:rsid w:val="00C77818"/>
    <w:rsid w:val="00C8063F"/>
    <w:rsid w:val="00C808BE"/>
    <w:rsid w:val="00C8121A"/>
    <w:rsid w:val="00C81282"/>
    <w:rsid w:val="00C8155F"/>
    <w:rsid w:val="00C8198D"/>
    <w:rsid w:val="00C82167"/>
    <w:rsid w:val="00C827B4"/>
    <w:rsid w:val="00C83214"/>
    <w:rsid w:val="00C8329F"/>
    <w:rsid w:val="00C84E65"/>
    <w:rsid w:val="00C84F8A"/>
    <w:rsid w:val="00C85743"/>
    <w:rsid w:val="00C85846"/>
    <w:rsid w:val="00C85BA4"/>
    <w:rsid w:val="00C8618F"/>
    <w:rsid w:val="00C8625D"/>
    <w:rsid w:val="00C863FA"/>
    <w:rsid w:val="00C865AD"/>
    <w:rsid w:val="00C86612"/>
    <w:rsid w:val="00C87402"/>
    <w:rsid w:val="00C90372"/>
    <w:rsid w:val="00C9041F"/>
    <w:rsid w:val="00C9166B"/>
    <w:rsid w:val="00C91945"/>
    <w:rsid w:val="00C91A45"/>
    <w:rsid w:val="00C91BA5"/>
    <w:rsid w:val="00C91FB4"/>
    <w:rsid w:val="00C92150"/>
    <w:rsid w:val="00C92328"/>
    <w:rsid w:val="00C928D6"/>
    <w:rsid w:val="00C9292F"/>
    <w:rsid w:val="00C92D42"/>
    <w:rsid w:val="00C938C2"/>
    <w:rsid w:val="00C9397B"/>
    <w:rsid w:val="00C93F8A"/>
    <w:rsid w:val="00C942C2"/>
    <w:rsid w:val="00C94EA1"/>
    <w:rsid w:val="00C95745"/>
    <w:rsid w:val="00C95813"/>
    <w:rsid w:val="00C95902"/>
    <w:rsid w:val="00C95999"/>
    <w:rsid w:val="00C95CCD"/>
    <w:rsid w:val="00C962E3"/>
    <w:rsid w:val="00C968C9"/>
    <w:rsid w:val="00C978E2"/>
    <w:rsid w:val="00C97997"/>
    <w:rsid w:val="00CA10A2"/>
    <w:rsid w:val="00CA1D83"/>
    <w:rsid w:val="00CA1FEB"/>
    <w:rsid w:val="00CA25C0"/>
    <w:rsid w:val="00CA2BFB"/>
    <w:rsid w:val="00CA3451"/>
    <w:rsid w:val="00CA35C6"/>
    <w:rsid w:val="00CA475F"/>
    <w:rsid w:val="00CA4948"/>
    <w:rsid w:val="00CA52F9"/>
    <w:rsid w:val="00CA5368"/>
    <w:rsid w:val="00CA547B"/>
    <w:rsid w:val="00CA568B"/>
    <w:rsid w:val="00CA573A"/>
    <w:rsid w:val="00CA58E0"/>
    <w:rsid w:val="00CA5C58"/>
    <w:rsid w:val="00CA68B2"/>
    <w:rsid w:val="00CA73A1"/>
    <w:rsid w:val="00CA7656"/>
    <w:rsid w:val="00CA7FB0"/>
    <w:rsid w:val="00CB0CC1"/>
    <w:rsid w:val="00CB160B"/>
    <w:rsid w:val="00CB17D8"/>
    <w:rsid w:val="00CB19D7"/>
    <w:rsid w:val="00CB19FE"/>
    <w:rsid w:val="00CB1AAE"/>
    <w:rsid w:val="00CB1C3F"/>
    <w:rsid w:val="00CB1FCA"/>
    <w:rsid w:val="00CB2364"/>
    <w:rsid w:val="00CB24C5"/>
    <w:rsid w:val="00CB2FEE"/>
    <w:rsid w:val="00CB304C"/>
    <w:rsid w:val="00CB3933"/>
    <w:rsid w:val="00CB5010"/>
    <w:rsid w:val="00CB53E8"/>
    <w:rsid w:val="00CB594A"/>
    <w:rsid w:val="00CB5CB2"/>
    <w:rsid w:val="00CB6979"/>
    <w:rsid w:val="00CB7A04"/>
    <w:rsid w:val="00CB7DDE"/>
    <w:rsid w:val="00CB7F55"/>
    <w:rsid w:val="00CC01D8"/>
    <w:rsid w:val="00CC043E"/>
    <w:rsid w:val="00CC04F2"/>
    <w:rsid w:val="00CC0A3D"/>
    <w:rsid w:val="00CC22B8"/>
    <w:rsid w:val="00CC2FF0"/>
    <w:rsid w:val="00CC33B8"/>
    <w:rsid w:val="00CC3A84"/>
    <w:rsid w:val="00CC3C53"/>
    <w:rsid w:val="00CC3D24"/>
    <w:rsid w:val="00CC3F91"/>
    <w:rsid w:val="00CC405D"/>
    <w:rsid w:val="00CC47EE"/>
    <w:rsid w:val="00CC4ACD"/>
    <w:rsid w:val="00CC4B0A"/>
    <w:rsid w:val="00CC5387"/>
    <w:rsid w:val="00CC544A"/>
    <w:rsid w:val="00CC57EA"/>
    <w:rsid w:val="00CC5954"/>
    <w:rsid w:val="00CC5CF8"/>
    <w:rsid w:val="00CC5F4B"/>
    <w:rsid w:val="00CC629B"/>
    <w:rsid w:val="00CC66A2"/>
    <w:rsid w:val="00CC6C4E"/>
    <w:rsid w:val="00CC7709"/>
    <w:rsid w:val="00CC770A"/>
    <w:rsid w:val="00CC7B1F"/>
    <w:rsid w:val="00CD009D"/>
    <w:rsid w:val="00CD05A2"/>
    <w:rsid w:val="00CD1049"/>
    <w:rsid w:val="00CD29D4"/>
    <w:rsid w:val="00CD2B5C"/>
    <w:rsid w:val="00CD2FF3"/>
    <w:rsid w:val="00CD3323"/>
    <w:rsid w:val="00CD3324"/>
    <w:rsid w:val="00CD356A"/>
    <w:rsid w:val="00CD37AE"/>
    <w:rsid w:val="00CD38F5"/>
    <w:rsid w:val="00CD3BF2"/>
    <w:rsid w:val="00CD437E"/>
    <w:rsid w:val="00CD4AAF"/>
    <w:rsid w:val="00CD5DAD"/>
    <w:rsid w:val="00CD5FFB"/>
    <w:rsid w:val="00CD72C5"/>
    <w:rsid w:val="00CD74E3"/>
    <w:rsid w:val="00CD79A7"/>
    <w:rsid w:val="00CD7B44"/>
    <w:rsid w:val="00CD7FAD"/>
    <w:rsid w:val="00CE074B"/>
    <w:rsid w:val="00CE0789"/>
    <w:rsid w:val="00CE0E8D"/>
    <w:rsid w:val="00CE1A03"/>
    <w:rsid w:val="00CE233E"/>
    <w:rsid w:val="00CE2346"/>
    <w:rsid w:val="00CE25B2"/>
    <w:rsid w:val="00CE312F"/>
    <w:rsid w:val="00CE3529"/>
    <w:rsid w:val="00CE35C8"/>
    <w:rsid w:val="00CE3962"/>
    <w:rsid w:val="00CE43FA"/>
    <w:rsid w:val="00CE4D0A"/>
    <w:rsid w:val="00CE4D1A"/>
    <w:rsid w:val="00CE4E8A"/>
    <w:rsid w:val="00CE5105"/>
    <w:rsid w:val="00CE5525"/>
    <w:rsid w:val="00CE56BD"/>
    <w:rsid w:val="00CE5EC0"/>
    <w:rsid w:val="00CE68AD"/>
    <w:rsid w:val="00CE6BA5"/>
    <w:rsid w:val="00CE6EA4"/>
    <w:rsid w:val="00CE6F15"/>
    <w:rsid w:val="00CE6F9F"/>
    <w:rsid w:val="00CE781A"/>
    <w:rsid w:val="00CE7B08"/>
    <w:rsid w:val="00CE7B7A"/>
    <w:rsid w:val="00CE7CF1"/>
    <w:rsid w:val="00CE7D52"/>
    <w:rsid w:val="00CF0AAA"/>
    <w:rsid w:val="00CF0AB7"/>
    <w:rsid w:val="00CF1D74"/>
    <w:rsid w:val="00CF1F8D"/>
    <w:rsid w:val="00CF2BE2"/>
    <w:rsid w:val="00CF371A"/>
    <w:rsid w:val="00CF37C2"/>
    <w:rsid w:val="00CF3DE4"/>
    <w:rsid w:val="00CF3DEB"/>
    <w:rsid w:val="00CF42C9"/>
    <w:rsid w:val="00CF4363"/>
    <w:rsid w:val="00CF4626"/>
    <w:rsid w:val="00CF55F9"/>
    <w:rsid w:val="00CF578D"/>
    <w:rsid w:val="00CF7074"/>
    <w:rsid w:val="00CF7495"/>
    <w:rsid w:val="00CF76D6"/>
    <w:rsid w:val="00D01CF9"/>
    <w:rsid w:val="00D01F93"/>
    <w:rsid w:val="00D021E8"/>
    <w:rsid w:val="00D0334D"/>
    <w:rsid w:val="00D0374D"/>
    <w:rsid w:val="00D0411B"/>
    <w:rsid w:val="00D05614"/>
    <w:rsid w:val="00D06312"/>
    <w:rsid w:val="00D06B62"/>
    <w:rsid w:val="00D06D7B"/>
    <w:rsid w:val="00D06DA5"/>
    <w:rsid w:val="00D07191"/>
    <w:rsid w:val="00D07319"/>
    <w:rsid w:val="00D07813"/>
    <w:rsid w:val="00D07F1D"/>
    <w:rsid w:val="00D10558"/>
    <w:rsid w:val="00D10AA3"/>
    <w:rsid w:val="00D10EE8"/>
    <w:rsid w:val="00D11140"/>
    <w:rsid w:val="00D11739"/>
    <w:rsid w:val="00D119A6"/>
    <w:rsid w:val="00D11D4D"/>
    <w:rsid w:val="00D11DB1"/>
    <w:rsid w:val="00D126DC"/>
    <w:rsid w:val="00D12B03"/>
    <w:rsid w:val="00D13E70"/>
    <w:rsid w:val="00D13EE7"/>
    <w:rsid w:val="00D147BE"/>
    <w:rsid w:val="00D148A0"/>
    <w:rsid w:val="00D158D5"/>
    <w:rsid w:val="00D15ECD"/>
    <w:rsid w:val="00D15FCD"/>
    <w:rsid w:val="00D16C58"/>
    <w:rsid w:val="00D17019"/>
    <w:rsid w:val="00D1705A"/>
    <w:rsid w:val="00D17ABA"/>
    <w:rsid w:val="00D17D34"/>
    <w:rsid w:val="00D17FC8"/>
    <w:rsid w:val="00D2015B"/>
    <w:rsid w:val="00D202B2"/>
    <w:rsid w:val="00D207E7"/>
    <w:rsid w:val="00D20B44"/>
    <w:rsid w:val="00D21168"/>
    <w:rsid w:val="00D21A90"/>
    <w:rsid w:val="00D21C3A"/>
    <w:rsid w:val="00D2224A"/>
    <w:rsid w:val="00D22700"/>
    <w:rsid w:val="00D2385D"/>
    <w:rsid w:val="00D23AAD"/>
    <w:rsid w:val="00D23FF4"/>
    <w:rsid w:val="00D2438C"/>
    <w:rsid w:val="00D247E0"/>
    <w:rsid w:val="00D2585A"/>
    <w:rsid w:val="00D25920"/>
    <w:rsid w:val="00D259B0"/>
    <w:rsid w:val="00D259C2"/>
    <w:rsid w:val="00D26586"/>
    <w:rsid w:val="00D26C3F"/>
    <w:rsid w:val="00D27185"/>
    <w:rsid w:val="00D3028A"/>
    <w:rsid w:val="00D30E98"/>
    <w:rsid w:val="00D3125C"/>
    <w:rsid w:val="00D3214D"/>
    <w:rsid w:val="00D32A92"/>
    <w:rsid w:val="00D32CF5"/>
    <w:rsid w:val="00D33488"/>
    <w:rsid w:val="00D33AB3"/>
    <w:rsid w:val="00D33F24"/>
    <w:rsid w:val="00D34160"/>
    <w:rsid w:val="00D343BA"/>
    <w:rsid w:val="00D346B8"/>
    <w:rsid w:val="00D34DCA"/>
    <w:rsid w:val="00D35AC8"/>
    <w:rsid w:val="00D36F05"/>
    <w:rsid w:val="00D36F87"/>
    <w:rsid w:val="00D37DF9"/>
    <w:rsid w:val="00D37E4E"/>
    <w:rsid w:val="00D40672"/>
    <w:rsid w:val="00D417D8"/>
    <w:rsid w:val="00D41F78"/>
    <w:rsid w:val="00D42687"/>
    <w:rsid w:val="00D42ABC"/>
    <w:rsid w:val="00D42E6C"/>
    <w:rsid w:val="00D430A5"/>
    <w:rsid w:val="00D4351C"/>
    <w:rsid w:val="00D43B80"/>
    <w:rsid w:val="00D44348"/>
    <w:rsid w:val="00D4485C"/>
    <w:rsid w:val="00D44988"/>
    <w:rsid w:val="00D45828"/>
    <w:rsid w:val="00D45B4C"/>
    <w:rsid w:val="00D45BA4"/>
    <w:rsid w:val="00D45C8D"/>
    <w:rsid w:val="00D471AF"/>
    <w:rsid w:val="00D471E2"/>
    <w:rsid w:val="00D4724F"/>
    <w:rsid w:val="00D47A34"/>
    <w:rsid w:val="00D50252"/>
    <w:rsid w:val="00D50519"/>
    <w:rsid w:val="00D50702"/>
    <w:rsid w:val="00D50779"/>
    <w:rsid w:val="00D50D4C"/>
    <w:rsid w:val="00D51601"/>
    <w:rsid w:val="00D51EC3"/>
    <w:rsid w:val="00D51ECB"/>
    <w:rsid w:val="00D520DE"/>
    <w:rsid w:val="00D5264C"/>
    <w:rsid w:val="00D52BBC"/>
    <w:rsid w:val="00D537FE"/>
    <w:rsid w:val="00D53CC9"/>
    <w:rsid w:val="00D54A6A"/>
    <w:rsid w:val="00D54B8F"/>
    <w:rsid w:val="00D55848"/>
    <w:rsid w:val="00D55951"/>
    <w:rsid w:val="00D559F0"/>
    <w:rsid w:val="00D56455"/>
    <w:rsid w:val="00D5650F"/>
    <w:rsid w:val="00D56594"/>
    <w:rsid w:val="00D576A4"/>
    <w:rsid w:val="00D57EB6"/>
    <w:rsid w:val="00D608C0"/>
    <w:rsid w:val="00D60D6D"/>
    <w:rsid w:val="00D6128C"/>
    <w:rsid w:val="00D63B22"/>
    <w:rsid w:val="00D63DF9"/>
    <w:rsid w:val="00D66009"/>
    <w:rsid w:val="00D66A9F"/>
    <w:rsid w:val="00D66D8B"/>
    <w:rsid w:val="00D66F72"/>
    <w:rsid w:val="00D671B2"/>
    <w:rsid w:val="00D674BE"/>
    <w:rsid w:val="00D67863"/>
    <w:rsid w:val="00D70849"/>
    <w:rsid w:val="00D70DFA"/>
    <w:rsid w:val="00D72297"/>
    <w:rsid w:val="00D72A1C"/>
    <w:rsid w:val="00D72CC0"/>
    <w:rsid w:val="00D7308F"/>
    <w:rsid w:val="00D7313E"/>
    <w:rsid w:val="00D73396"/>
    <w:rsid w:val="00D73580"/>
    <w:rsid w:val="00D73802"/>
    <w:rsid w:val="00D73883"/>
    <w:rsid w:val="00D73C2C"/>
    <w:rsid w:val="00D73D52"/>
    <w:rsid w:val="00D73E70"/>
    <w:rsid w:val="00D745E7"/>
    <w:rsid w:val="00D74C25"/>
    <w:rsid w:val="00D75296"/>
    <w:rsid w:val="00D75FDA"/>
    <w:rsid w:val="00D774ED"/>
    <w:rsid w:val="00D776AD"/>
    <w:rsid w:val="00D777C3"/>
    <w:rsid w:val="00D7797C"/>
    <w:rsid w:val="00D77C44"/>
    <w:rsid w:val="00D77F88"/>
    <w:rsid w:val="00D8131B"/>
    <w:rsid w:val="00D81AFA"/>
    <w:rsid w:val="00D81EAA"/>
    <w:rsid w:val="00D81FE2"/>
    <w:rsid w:val="00D8259F"/>
    <w:rsid w:val="00D825F2"/>
    <w:rsid w:val="00D8285C"/>
    <w:rsid w:val="00D828B1"/>
    <w:rsid w:val="00D82A55"/>
    <w:rsid w:val="00D830F8"/>
    <w:rsid w:val="00D83174"/>
    <w:rsid w:val="00D83D49"/>
    <w:rsid w:val="00D84181"/>
    <w:rsid w:val="00D846AD"/>
    <w:rsid w:val="00D84754"/>
    <w:rsid w:val="00D84F27"/>
    <w:rsid w:val="00D853F0"/>
    <w:rsid w:val="00D85862"/>
    <w:rsid w:val="00D85892"/>
    <w:rsid w:val="00D85B03"/>
    <w:rsid w:val="00D86D47"/>
    <w:rsid w:val="00D8710C"/>
    <w:rsid w:val="00D871CE"/>
    <w:rsid w:val="00D873C6"/>
    <w:rsid w:val="00D87819"/>
    <w:rsid w:val="00D878A3"/>
    <w:rsid w:val="00D87FA5"/>
    <w:rsid w:val="00D9074A"/>
    <w:rsid w:val="00D9099E"/>
    <w:rsid w:val="00D9193A"/>
    <w:rsid w:val="00D91D05"/>
    <w:rsid w:val="00D923B2"/>
    <w:rsid w:val="00D92463"/>
    <w:rsid w:val="00D924E7"/>
    <w:rsid w:val="00D927B5"/>
    <w:rsid w:val="00D92981"/>
    <w:rsid w:val="00D92C81"/>
    <w:rsid w:val="00D93037"/>
    <w:rsid w:val="00D93E64"/>
    <w:rsid w:val="00D93F64"/>
    <w:rsid w:val="00D94CA4"/>
    <w:rsid w:val="00D95E99"/>
    <w:rsid w:val="00D965D5"/>
    <w:rsid w:val="00D96F7C"/>
    <w:rsid w:val="00D9714B"/>
    <w:rsid w:val="00D97DA2"/>
    <w:rsid w:val="00DA0485"/>
    <w:rsid w:val="00DA1A3A"/>
    <w:rsid w:val="00DA1FC3"/>
    <w:rsid w:val="00DA2351"/>
    <w:rsid w:val="00DA249E"/>
    <w:rsid w:val="00DA2D3D"/>
    <w:rsid w:val="00DA35D9"/>
    <w:rsid w:val="00DA3855"/>
    <w:rsid w:val="00DA39BA"/>
    <w:rsid w:val="00DA4C30"/>
    <w:rsid w:val="00DA52B3"/>
    <w:rsid w:val="00DA538E"/>
    <w:rsid w:val="00DA5FB3"/>
    <w:rsid w:val="00DA6980"/>
    <w:rsid w:val="00DA6A44"/>
    <w:rsid w:val="00DA7A3C"/>
    <w:rsid w:val="00DB145E"/>
    <w:rsid w:val="00DB1A94"/>
    <w:rsid w:val="00DB1D52"/>
    <w:rsid w:val="00DB1E2B"/>
    <w:rsid w:val="00DB1F62"/>
    <w:rsid w:val="00DB21E7"/>
    <w:rsid w:val="00DB2E03"/>
    <w:rsid w:val="00DB3742"/>
    <w:rsid w:val="00DB38F2"/>
    <w:rsid w:val="00DB3C5A"/>
    <w:rsid w:val="00DB3E9B"/>
    <w:rsid w:val="00DB3F4B"/>
    <w:rsid w:val="00DB495F"/>
    <w:rsid w:val="00DB4A80"/>
    <w:rsid w:val="00DB5375"/>
    <w:rsid w:val="00DB6003"/>
    <w:rsid w:val="00DB6103"/>
    <w:rsid w:val="00DB6769"/>
    <w:rsid w:val="00DB67C1"/>
    <w:rsid w:val="00DB6C0B"/>
    <w:rsid w:val="00DB70F4"/>
    <w:rsid w:val="00DB748A"/>
    <w:rsid w:val="00DB7CB7"/>
    <w:rsid w:val="00DC1056"/>
    <w:rsid w:val="00DC1442"/>
    <w:rsid w:val="00DC1781"/>
    <w:rsid w:val="00DC21D8"/>
    <w:rsid w:val="00DC282A"/>
    <w:rsid w:val="00DC2DE8"/>
    <w:rsid w:val="00DC3054"/>
    <w:rsid w:val="00DC34DC"/>
    <w:rsid w:val="00DC3780"/>
    <w:rsid w:val="00DC3ADA"/>
    <w:rsid w:val="00DC3CC6"/>
    <w:rsid w:val="00DC3F55"/>
    <w:rsid w:val="00DC4782"/>
    <w:rsid w:val="00DC4B02"/>
    <w:rsid w:val="00DC514A"/>
    <w:rsid w:val="00DC67B1"/>
    <w:rsid w:val="00DC7EAE"/>
    <w:rsid w:val="00DC7FBC"/>
    <w:rsid w:val="00DD0019"/>
    <w:rsid w:val="00DD132B"/>
    <w:rsid w:val="00DD1571"/>
    <w:rsid w:val="00DD1725"/>
    <w:rsid w:val="00DD2159"/>
    <w:rsid w:val="00DD218B"/>
    <w:rsid w:val="00DD28BA"/>
    <w:rsid w:val="00DD2A18"/>
    <w:rsid w:val="00DD3044"/>
    <w:rsid w:val="00DD33D1"/>
    <w:rsid w:val="00DD360C"/>
    <w:rsid w:val="00DD3985"/>
    <w:rsid w:val="00DD5A55"/>
    <w:rsid w:val="00DD61E8"/>
    <w:rsid w:val="00DD62C0"/>
    <w:rsid w:val="00DD63F8"/>
    <w:rsid w:val="00DD64DE"/>
    <w:rsid w:val="00DD66DE"/>
    <w:rsid w:val="00DD7197"/>
    <w:rsid w:val="00DD76DA"/>
    <w:rsid w:val="00DD7859"/>
    <w:rsid w:val="00DD7B41"/>
    <w:rsid w:val="00DE0784"/>
    <w:rsid w:val="00DE0A1D"/>
    <w:rsid w:val="00DE1584"/>
    <w:rsid w:val="00DE15B2"/>
    <w:rsid w:val="00DE1A9A"/>
    <w:rsid w:val="00DE3D2C"/>
    <w:rsid w:val="00DE57D0"/>
    <w:rsid w:val="00DE5E82"/>
    <w:rsid w:val="00DE5EC5"/>
    <w:rsid w:val="00DE5F7F"/>
    <w:rsid w:val="00DE5FA6"/>
    <w:rsid w:val="00DE5FC9"/>
    <w:rsid w:val="00DE6792"/>
    <w:rsid w:val="00DE6AA1"/>
    <w:rsid w:val="00DE77A3"/>
    <w:rsid w:val="00DE7EF7"/>
    <w:rsid w:val="00DF015B"/>
    <w:rsid w:val="00DF023D"/>
    <w:rsid w:val="00DF02EC"/>
    <w:rsid w:val="00DF10FC"/>
    <w:rsid w:val="00DF1185"/>
    <w:rsid w:val="00DF1299"/>
    <w:rsid w:val="00DF132C"/>
    <w:rsid w:val="00DF1620"/>
    <w:rsid w:val="00DF1A70"/>
    <w:rsid w:val="00DF1E5F"/>
    <w:rsid w:val="00DF224B"/>
    <w:rsid w:val="00DF23A8"/>
    <w:rsid w:val="00DF2EE1"/>
    <w:rsid w:val="00DF2F27"/>
    <w:rsid w:val="00DF36B6"/>
    <w:rsid w:val="00DF4296"/>
    <w:rsid w:val="00DF4E8F"/>
    <w:rsid w:val="00DF5267"/>
    <w:rsid w:val="00DF53F0"/>
    <w:rsid w:val="00DF5700"/>
    <w:rsid w:val="00DF5F38"/>
    <w:rsid w:val="00DF604C"/>
    <w:rsid w:val="00DF6075"/>
    <w:rsid w:val="00DF6608"/>
    <w:rsid w:val="00DF6CCC"/>
    <w:rsid w:val="00DF6D0C"/>
    <w:rsid w:val="00DF6F64"/>
    <w:rsid w:val="00DF721E"/>
    <w:rsid w:val="00DF72F3"/>
    <w:rsid w:val="00DF73CD"/>
    <w:rsid w:val="00DF7549"/>
    <w:rsid w:val="00DF78D0"/>
    <w:rsid w:val="00DF7B8A"/>
    <w:rsid w:val="00DF7C87"/>
    <w:rsid w:val="00E009B0"/>
    <w:rsid w:val="00E00A12"/>
    <w:rsid w:val="00E00B39"/>
    <w:rsid w:val="00E00C49"/>
    <w:rsid w:val="00E01C9C"/>
    <w:rsid w:val="00E01D7A"/>
    <w:rsid w:val="00E01FF4"/>
    <w:rsid w:val="00E0219D"/>
    <w:rsid w:val="00E030D1"/>
    <w:rsid w:val="00E032D9"/>
    <w:rsid w:val="00E03D4C"/>
    <w:rsid w:val="00E04482"/>
    <w:rsid w:val="00E04C0F"/>
    <w:rsid w:val="00E05510"/>
    <w:rsid w:val="00E0570B"/>
    <w:rsid w:val="00E05B1D"/>
    <w:rsid w:val="00E069C5"/>
    <w:rsid w:val="00E102E1"/>
    <w:rsid w:val="00E1065D"/>
    <w:rsid w:val="00E10913"/>
    <w:rsid w:val="00E10B87"/>
    <w:rsid w:val="00E121CE"/>
    <w:rsid w:val="00E12209"/>
    <w:rsid w:val="00E12FE9"/>
    <w:rsid w:val="00E1362E"/>
    <w:rsid w:val="00E144C4"/>
    <w:rsid w:val="00E14585"/>
    <w:rsid w:val="00E1478B"/>
    <w:rsid w:val="00E14FAC"/>
    <w:rsid w:val="00E15007"/>
    <w:rsid w:val="00E15102"/>
    <w:rsid w:val="00E15DC6"/>
    <w:rsid w:val="00E16277"/>
    <w:rsid w:val="00E16EC7"/>
    <w:rsid w:val="00E17DCC"/>
    <w:rsid w:val="00E20627"/>
    <w:rsid w:val="00E219CE"/>
    <w:rsid w:val="00E21D93"/>
    <w:rsid w:val="00E22A86"/>
    <w:rsid w:val="00E22D2A"/>
    <w:rsid w:val="00E24071"/>
    <w:rsid w:val="00E24142"/>
    <w:rsid w:val="00E24DCA"/>
    <w:rsid w:val="00E24EBC"/>
    <w:rsid w:val="00E2522C"/>
    <w:rsid w:val="00E2552F"/>
    <w:rsid w:val="00E2599B"/>
    <w:rsid w:val="00E2656E"/>
    <w:rsid w:val="00E2710C"/>
    <w:rsid w:val="00E272BD"/>
    <w:rsid w:val="00E27428"/>
    <w:rsid w:val="00E305B4"/>
    <w:rsid w:val="00E305DE"/>
    <w:rsid w:val="00E31AFA"/>
    <w:rsid w:val="00E31CB7"/>
    <w:rsid w:val="00E32463"/>
    <w:rsid w:val="00E324EE"/>
    <w:rsid w:val="00E3367B"/>
    <w:rsid w:val="00E34D2F"/>
    <w:rsid w:val="00E34DB1"/>
    <w:rsid w:val="00E35931"/>
    <w:rsid w:val="00E359FF"/>
    <w:rsid w:val="00E36337"/>
    <w:rsid w:val="00E3699A"/>
    <w:rsid w:val="00E371E1"/>
    <w:rsid w:val="00E37BFE"/>
    <w:rsid w:val="00E402C5"/>
    <w:rsid w:val="00E402F4"/>
    <w:rsid w:val="00E405F1"/>
    <w:rsid w:val="00E4076D"/>
    <w:rsid w:val="00E40913"/>
    <w:rsid w:val="00E417DB"/>
    <w:rsid w:val="00E41998"/>
    <w:rsid w:val="00E423C5"/>
    <w:rsid w:val="00E427A0"/>
    <w:rsid w:val="00E43054"/>
    <w:rsid w:val="00E432D1"/>
    <w:rsid w:val="00E433B4"/>
    <w:rsid w:val="00E43655"/>
    <w:rsid w:val="00E44440"/>
    <w:rsid w:val="00E44A8B"/>
    <w:rsid w:val="00E45958"/>
    <w:rsid w:val="00E46013"/>
    <w:rsid w:val="00E4673F"/>
    <w:rsid w:val="00E46839"/>
    <w:rsid w:val="00E46DAD"/>
    <w:rsid w:val="00E47099"/>
    <w:rsid w:val="00E47284"/>
    <w:rsid w:val="00E477C3"/>
    <w:rsid w:val="00E5017E"/>
    <w:rsid w:val="00E50734"/>
    <w:rsid w:val="00E5140B"/>
    <w:rsid w:val="00E51E16"/>
    <w:rsid w:val="00E52990"/>
    <w:rsid w:val="00E52DED"/>
    <w:rsid w:val="00E53593"/>
    <w:rsid w:val="00E53730"/>
    <w:rsid w:val="00E5410A"/>
    <w:rsid w:val="00E5438D"/>
    <w:rsid w:val="00E54511"/>
    <w:rsid w:val="00E54E50"/>
    <w:rsid w:val="00E55288"/>
    <w:rsid w:val="00E56429"/>
    <w:rsid w:val="00E5682A"/>
    <w:rsid w:val="00E57577"/>
    <w:rsid w:val="00E57CDA"/>
    <w:rsid w:val="00E600E5"/>
    <w:rsid w:val="00E60F05"/>
    <w:rsid w:val="00E62043"/>
    <w:rsid w:val="00E626B9"/>
    <w:rsid w:val="00E627C9"/>
    <w:rsid w:val="00E630F3"/>
    <w:rsid w:val="00E6332F"/>
    <w:rsid w:val="00E637A5"/>
    <w:rsid w:val="00E637C9"/>
    <w:rsid w:val="00E6402D"/>
    <w:rsid w:val="00E64322"/>
    <w:rsid w:val="00E64A19"/>
    <w:rsid w:val="00E6680A"/>
    <w:rsid w:val="00E66960"/>
    <w:rsid w:val="00E669E3"/>
    <w:rsid w:val="00E66D44"/>
    <w:rsid w:val="00E66F0D"/>
    <w:rsid w:val="00E679F6"/>
    <w:rsid w:val="00E67BFA"/>
    <w:rsid w:val="00E7004F"/>
    <w:rsid w:val="00E70615"/>
    <w:rsid w:val="00E7159E"/>
    <w:rsid w:val="00E7161E"/>
    <w:rsid w:val="00E71BE3"/>
    <w:rsid w:val="00E72004"/>
    <w:rsid w:val="00E7207B"/>
    <w:rsid w:val="00E722CF"/>
    <w:rsid w:val="00E72880"/>
    <w:rsid w:val="00E7347A"/>
    <w:rsid w:val="00E73798"/>
    <w:rsid w:val="00E7384D"/>
    <w:rsid w:val="00E75A47"/>
    <w:rsid w:val="00E75BB6"/>
    <w:rsid w:val="00E75C2B"/>
    <w:rsid w:val="00E75D8C"/>
    <w:rsid w:val="00E7719C"/>
    <w:rsid w:val="00E7757E"/>
    <w:rsid w:val="00E777F2"/>
    <w:rsid w:val="00E802C9"/>
    <w:rsid w:val="00E80BFB"/>
    <w:rsid w:val="00E80EC2"/>
    <w:rsid w:val="00E80F0A"/>
    <w:rsid w:val="00E81334"/>
    <w:rsid w:val="00E815D4"/>
    <w:rsid w:val="00E818FD"/>
    <w:rsid w:val="00E819BA"/>
    <w:rsid w:val="00E8291B"/>
    <w:rsid w:val="00E82E70"/>
    <w:rsid w:val="00E82F92"/>
    <w:rsid w:val="00E8395F"/>
    <w:rsid w:val="00E83C3D"/>
    <w:rsid w:val="00E83ECB"/>
    <w:rsid w:val="00E8408E"/>
    <w:rsid w:val="00E8410F"/>
    <w:rsid w:val="00E84358"/>
    <w:rsid w:val="00E84650"/>
    <w:rsid w:val="00E849D7"/>
    <w:rsid w:val="00E8559B"/>
    <w:rsid w:val="00E85868"/>
    <w:rsid w:val="00E85E41"/>
    <w:rsid w:val="00E85EA1"/>
    <w:rsid w:val="00E86703"/>
    <w:rsid w:val="00E86C01"/>
    <w:rsid w:val="00E87F57"/>
    <w:rsid w:val="00E900DA"/>
    <w:rsid w:val="00E91044"/>
    <w:rsid w:val="00E910D3"/>
    <w:rsid w:val="00E91CBA"/>
    <w:rsid w:val="00E92097"/>
    <w:rsid w:val="00E92154"/>
    <w:rsid w:val="00E923CF"/>
    <w:rsid w:val="00E93685"/>
    <w:rsid w:val="00E93B65"/>
    <w:rsid w:val="00E93C8C"/>
    <w:rsid w:val="00E93FED"/>
    <w:rsid w:val="00E944AB"/>
    <w:rsid w:val="00E95111"/>
    <w:rsid w:val="00E95D57"/>
    <w:rsid w:val="00E95FDF"/>
    <w:rsid w:val="00E960AD"/>
    <w:rsid w:val="00E9677F"/>
    <w:rsid w:val="00E96898"/>
    <w:rsid w:val="00E97043"/>
    <w:rsid w:val="00E97A16"/>
    <w:rsid w:val="00EA0185"/>
    <w:rsid w:val="00EA02A8"/>
    <w:rsid w:val="00EA14C8"/>
    <w:rsid w:val="00EA2110"/>
    <w:rsid w:val="00EA24AF"/>
    <w:rsid w:val="00EA283A"/>
    <w:rsid w:val="00EA2C90"/>
    <w:rsid w:val="00EA2E07"/>
    <w:rsid w:val="00EA383B"/>
    <w:rsid w:val="00EA44ED"/>
    <w:rsid w:val="00EA48F3"/>
    <w:rsid w:val="00EA4D46"/>
    <w:rsid w:val="00EA526B"/>
    <w:rsid w:val="00EA60BF"/>
    <w:rsid w:val="00EA6C71"/>
    <w:rsid w:val="00EA71B5"/>
    <w:rsid w:val="00EA7365"/>
    <w:rsid w:val="00EA763F"/>
    <w:rsid w:val="00EA77E9"/>
    <w:rsid w:val="00EA7BBA"/>
    <w:rsid w:val="00EA7E61"/>
    <w:rsid w:val="00EB0548"/>
    <w:rsid w:val="00EB05D0"/>
    <w:rsid w:val="00EB1151"/>
    <w:rsid w:val="00EB1D49"/>
    <w:rsid w:val="00EB23D9"/>
    <w:rsid w:val="00EB39A0"/>
    <w:rsid w:val="00EB430A"/>
    <w:rsid w:val="00EB4CB9"/>
    <w:rsid w:val="00EB4EF7"/>
    <w:rsid w:val="00EB559F"/>
    <w:rsid w:val="00EB566C"/>
    <w:rsid w:val="00EB5A18"/>
    <w:rsid w:val="00EB5D09"/>
    <w:rsid w:val="00EB5F3D"/>
    <w:rsid w:val="00EB6C97"/>
    <w:rsid w:val="00EB7E87"/>
    <w:rsid w:val="00EC0317"/>
    <w:rsid w:val="00EC1CEB"/>
    <w:rsid w:val="00EC1DC0"/>
    <w:rsid w:val="00EC1DC2"/>
    <w:rsid w:val="00EC1E09"/>
    <w:rsid w:val="00EC210E"/>
    <w:rsid w:val="00EC21EC"/>
    <w:rsid w:val="00EC24B8"/>
    <w:rsid w:val="00EC268C"/>
    <w:rsid w:val="00EC3753"/>
    <w:rsid w:val="00EC3FB6"/>
    <w:rsid w:val="00EC4E71"/>
    <w:rsid w:val="00EC5409"/>
    <w:rsid w:val="00EC5B29"/>
    <w:rsid w:val="00EC5BC4"/>
    <w:rsid w:val="00EC5F1C"/>
    <w:rsid w:val="00EC7AEB"/>
    <w:rsid w:val="00ED0365"/>
    <w:rsid w:val="00ED0512"/>
    <w:rsid w:val="00ED0865"/>
    <w:rsid w:val="00ED0C1C"/>
    <w:rsid w:val="00ED1353"/>
    <w:rsid w:val="00ED1C60"/>
    <w:rsid w:val="00ED2EB9"/>
    <w:rsid w:val="00ED3722"/>
    <w:rsid w:val="00ED3A31"/>
    <w:rsid w:val="00ED4214"/>
    <w:rsid w:val="00ED4469"/>
    <w:rsid w:val="00ED5424"/>
    <w:rsid w:val="00ED5F23"/>
    <w:rsid w:val="00ED6DC0"/>
    <w:rsid w:val="00ED7A7A"/>
    <w:rsid w:val="00ED7F9C"/>
    <w:rsid w:val="00EE0327"/>
    <w:rsid w:val="00EE038C"/>
    <w:rsid w:val="00EE060A"/>
    <w:rsid w:val="00EE105A"/>
    <w:rsid w:val="00EE187A"/>
    <w:rsid w:val="00EE1D00"/>
    <w:rsid w:val="00EE1F23"/>
    <w:rsid w:val="00EE21F9"/>
    <w:rsid w:val="00EE259E"/>
    <w:rsid w:val="00EE25C8"/>
    <w:rsid w:val="00EE28C5"/>
    <w:rsid w:val="00EE2F09"/>
    <w:rsid w:val="00EE3244"/>
    <w:rsid w:val="00EE3FB2"/>
    <w:rsid w:val="00EE47C5"/>
    <w:rsid w:val="00EE490C"/>
    <w:rsid w:val="00EE4E57"/>
    <w:rsid w:val="00EE5738"/>
    <w:rsid w:val="00EE58BD"/>
    <w:rsid w:val="00EE5DDB"/>
    <w:rsid w:val="00EE5E59"/>
    <w:rsid w:val="00EE6108"/>
    <w:rsid w:val="00EE73D0"/>
    <w:rsid w:val="00EE7CB0"/>
    <w:rsid w:val="00EE7CD1"/>
    <w:rsid w:val="00EF08A8"/>
    <w:rsid w:val="00EF167B"/>
    <w:rsid w:val="00EF1C90"/>
    <w:rsid w:val="00EF2496"/>
    <w:rsid w:val="00EF2647"/>
    <w:rsid w:val="00EF270A"/>
    <w:rsid w:val="00EF41A8"/>
    <w:rsid w:val="00EF44FB"/>
    <w:rsid w:val="00EF474F"/>
    <w:rsid w:val="00EF5122"/>
    <w:rsid w:val="00EF5554"/>
    <w:rsid w:val="00EF5AD8"/>
    <w:rsid w:val="00EF687F"/>
    <w:rsid w:val="00EF6B90"/>
    <w:rsid w:val="00EF70C9"/>
    <w:rsid w:val="00EF741E"/>
    <w:rsid w:val="00EF7807"/>
    <w:rsid w:val="00EF79F7"/>
    <w:rsid w:val="00F006C0"/>
    <w:rsid w:val="00F00EB1"/>
    <w:rsid w:val="00F0125F"/>
    <w:rsid w:val="00F0176A"/>
    <w:rsid w:val="00F019AA"/>
    <w:rsid w:val="00F01C1B"/>
    <w:rsid w:val="00F0267E"/>
    <w:rsid w:val="00F02686"/>
    <w:rsid w:val="00F030C0"/>
    <w:rsid w:val="00F03114"/>
    <w:rsid w:val="00F03291"/>
    <w:rsid w:val="00F03A85"/>
    <w:rsid w:val="00F04052"/>
    <w:rsid w:val="00F04314"/>
    <w:rsid w:val="00F0459B"/>
    <w:rsid w:val="00F04E15"/>
    <w:rsid w:val="00F056EC"/>
    <w:rsid w:val="00F05DF3"/>
    <w:rsid w:val="00F06829"/>
    <w:rsid w:val="00F069EA"/>
    <w:rsid w:val="00F06A4B"/>
    <w:rsid w:val="00F06A69"/>
    <w:rsid w:val="00F070E5"/>
    <w:rsid w:val="00F07D5E"/>
    <w:rsid w:val="00F07DDE"/>
    <w:rsid w:val="00F10396"/>
    <w:rsid w:val="00F10F30"/>
    <w:rsid w:val="00F11675"/>
    <w:rsid w:val="00F123DA"/>
    <w:rsid w:val="00F12557"/>
    <w:rsid w:val="00F1268D"/>
    <w:rsid w:val="00F127C8"/>
    <w:rsid w:val="00F12881"/>
    <w:rsid w:val="00F12C62"/>
    <w:rsid w:val="00F13321"/>
    <w:rsid w:val="00F134BA"/>
    <w:rsid w:val="00F13599"/>
    <w:rsid w:val="00F13A71"/>
    <w:rsid w:val="00F13B28"/>
    <w:rsid w:val="00F14DCD"/>
    <w:rsid w:val="00F151AB"/>
    <w:rsid w:val="00F156A0"/>
    <w:rsid w:val="00F15730"/>
    <w:rsid w:val="00F15AB9"/>
    <w:rsid w:val="00F16B7A"/>
    <w:rsid w:val="00F16CE3"/>
    <w:rsid w:val="00F176A6"/>
    <w:rsid w:val="00F17A24"/>
    <w:rsid w:val="00F202C2"/>
    <w:rsid w:val="00F204B3"/>
    <w:rsid w:val="00F20C3D"/>
    <w:rsid w:val="00F2124C"/>
    <w:rsid w:val="00F212F6"/>
    <w:rsid w:val="00F217F8"/>
    <w:rsid w:val="00F2190F"/>
    <w:rsid w:val="00F22756"/>
    <w:rsid w:val="00F23248"/>
    <w:rsid w:val="00F23700"/>
    <w:rsid w:val="00F23890"/>
    <w:rsid w:val="00F249A1"/>
    <w:rsid w:val="00F24FBA"/>
    <w:rsid w:val="00F2504D"/>
    <w:rsid w:val="00F2595D"/>
    <w:rsid w:val="00F25B26"/>
    <w:rsid w:val="00F2637F"/>
    <w:rsid w:val="00F268F7"/>
    <w:rsid w:val="00F30B83"/>
    <w:rsid w:val="00F30BDB"/>
    <w:rsid w:val="00F30CF8"/>
    <w:rsid w:val="00F31402"/>
    <w:rsid w:val="00F31EDF"/>
    <w:rsid w:val="00F32507"/>
    <w:rsid w:val="00F327D9"/>
    <w:rsid w:val="00F32CDE"/>
    <w:rsid w:val="00F32D4C"/>
    <w:rsid w:val="00F3327E"/>
    <w:rsid w:val="00F338C3"/>
    <w:rsid w:val="00F3401D"/>
    <w:rsid w:val="00F34B14"/>
    <w:rsid w:val="00F34CF1"/>
    <w:rsid w:val="00F34E35"/>
    <w:rsid w:val="00F34F58"/>
    <w:rsid w:val="00F3572F"/>
    <w:rsid w:val="00F35750"/>
    <w:rsid w:val="00F35DA7"/>
    <w:rsid w:val="00F35E35"/>
    <w:rsid w:val="00F36A6A"/>
    <w:rsid w:val="00F40101"/>
    <w:rsid w:val="00F404F7"/>
    <w:rsid w:val="00F40CCA"/>
    <w:rsid w:val="00F41968"/>
    <w:rsid w:val="00F41E02"/>
    <w:rsid w:val="00F42AA4"/>
    <w:rsid w:val="00F42D97"/>
    <w:rsid w:val="00F42F0E"/>
    <w:rsid w:val="00F42FCF"/>
    <w:rsid w:val="00F436B2"/>
    <w:rsid w:val="00F43813"/>
    <w:rsid w:val="00F43FEE"/>
    <w:rsid w:val="00F440B0"/>
    <w:rsid w:val="00F44114"/>
    <w:rsid w:val="00F4492F"/>
    <w:rsid w:val="00F44D46"/>
    <w:rsid w:val="00F45030"/>
    <w:rsid w:val="00F45A72"/>
    <w:rsid w:val="00F46723"/>
    <w:rsid w:val="00F46A81"/>
    <w:rsid w:val="00F4706D"/>
    <w:rsid w:val="00F47309"/>
    <w:rsid w:val="00F476E1"/>
    <w:rsid w:val="00F47855"/>
    <w:rsid w:val="00F47D1D"/>
    <w:rsid w:val="00F47F29"/>
    <w:rsid w:val="00F50016"/>
    <w:rsid w:val="00F5118A"/>
    <w:rsid w:val="00F515F3"/>
    <w:rsid w:val="00F51A21"/>
    <w:rsid w:val="00F51A35"/>
    <w:rsid w:val="00F523B9"/>
    <w:rsid w:val="00F52614"/>
    <w:rsid w:val="00F5276E"/>
    <w:rsid w:val="00F52E9F"/>
    <w:rsid w:val="00F532B2"/>
    <w:rsid w:val="00F53304"/>
    <w:rsid w:val="00F534C0"/>
    <w:rsid w:val="00F53B81"/>
    <w:rsid w:val="00F53C15"/>
    <w:rsid w:val="00F540FE"/>
    <w:rsid w:val="00F542F3"/>
    <w:rsid w:val="00F5459A"/>
    <w:rsid w:val="00F556FF"/>
    <w:rsid w:val="00F55D12"/>
    <w:rsid w:val="00F56836"/>
    <w:rsid w:val="00F5687F"/>
    <w:rsid w:val="00F56A02"/>
    <w:rsid w:val="00F56D3F"/>
    <w:rsid w:val="00F571AD"/>
    <w:rsid w:val="00F5725B"/>
    <w:rsid w:val="00F575C7"/>
    <w:rsid w:val="00F57CC1"/>
    <w:rsid w:val="00F57DF7"/>
    <w:rsid w:val="00F57FD0"/>
    <w:rsid w:val="00F60305"/>
    <w:rsid w:val="00F61B12"/>
    <w:rsid w:val="00F61C70"/>
    <w:rsid w:val="00F627D8"/>
    <w:rsid w:val="00F62869"/>
    <w:rsid w:val="00F62ED4"/>
    <w:rsid w:val="00F63264"/>
    <w:rsid w:val="00F634E4"/>
    <w:rsid w:val="00F6379E"/>
    <w:rsid w:val="00F64047"/>
    <w:rsid w:val="00F65171"/>
    <w:rsid w:val="00F6533A"/>
    <w:rsid w:val="00F6560D"/>
    <w:rsid w:val="00F669BD"/>
    <w:rsid w:val="00F67844"/>
    <w:rsid w:val="00F67B09"/>
    <w:rsid w:val="00F70221"/>
    <w:rsid w:val="00F705B3"/>
    <w:rsid w:val="00F705F6"/>
    <w:rsid w:val="00F70795"/>
    <w:rsid w:val="00F70799"/>
    <w:rsid w:val="00F709BA"/>
    <w:rsid w:val="00F70A8B"/>
    <w:rsid w:val="00F70B8D"/>
    <w:rsid w:val="00F70F0F"/>
    <w:rsid w:val="00F71936"/>
    <w:rsid w:val="00F71F81"/>
    <w:rsid w:val="00F724FB"/>
    <w:rsid w:val="00F726B8"/>
    <w:rsid w:val="00F72A26"/>
    <w:rsid w:val="00F733C3"/>
    <w:rsid w:val="00F73E15"/>
    <w:rsid w:val="00F746A1"/>
    <w:rsid w:val="00F74820"/>
    <w:rsid w:val="00F74F08"/>
    <w:rsid w:val="00F7506D"/>
    <w:rsid w:val="00F755DD"/>
    <w:rsid w:val="00F756DD"/>
    <w:rsid w:val="00F77F4E"/>
    <w:rsid w:val="00F80047"/>
    <w:rsid w:val="00F800C7"/>
    <w:rsid w:val="00F8010B"/>
    <w:rsid w:val="00F80361"/>
    <w:rsid w:val="00F8104D"/>
    <w:rsid w:val="00F8153F"/>
    <w:rsid w:val="00F81587"/>
    <w:rsid w:val="00F819C3"/>
    <w:rsid w:val="00F81B2A"/>
    <w:rsid w:val="00F81B4C"/>
    <w:rsid w:val="00F81C12"/>
    <w:rsid w:val="00F81D9A"/>
    <w:rsid w:val="00F81DE7"/>
    <w:rsid w:val="00F8263C"/>
    <w:rsid w:val="00F8288F"/>
    <w:rsid w:val="00F82DD3"/>
    <w:rsid w:val="00F8376E"/>
    <w:rsid w:val="00F83C52"/>
    <w:rsid w:val="00F840EC"/>
    <w:rsid w:val="00F84802"/>
    <w:rsid w:val="00F84B25"/>
    <w:rsid w:val="00F85B72"/>
    <w:rsid w:val="00F86540"/>
    <w:rsid w:val="00F865CE"/>
    <w:rsid w:val="00F8690D"/>
    <w:rsid w:val="00F8766F"/>
    <w:rsid w:val="00F901B3"/>
    <w:rsid w:val="00F90282"/>
    <w:rsid w:val="00F90BC8"/>
    <w:rsid w:val="00F91082"/>
    <w:rsid w:val="00F9116D"/>
    <w:rsid w:val="00F91171"/>
    <w:rsid w:val="00F91342"/>
    <w:rsid w:val="00F91A9A"/>
    <w:rsid w:val="00F923AF"/>
    <w:rsid w:val="00F92634"/>
    <w:rsid w:val="00F933F3"/>
    <w:rsid w:val="00F93ABB"/>
    <w:rsid w:val="00F94D79"/>
    <w:rsid w:val="00F95AEF"/>
    <w:rsid w:val="00F9658C"/>
    <w:rsid w:val="00F96EEB"/>
    <w:rsid w:val="00F9775D"/>
    <w:rsid w:val="00F97A7F"/>
    <w:rsid w:val="00F97CD0"/>
    <w:rsid w:val="00F97D7A"/>
    <w:rsid w:val="00FA0152"/>
    <w:rsid w:val="00FA0889"/>
    <w:rsid w:val="00FA16E7"/>
    <w:rsid w:val="00FA1D69"/>
    <w:rsid w:val="00FA2897"/>
    <w:rsid w:val="00FA31C7"/>
    <w:rsid w:val="00FA4394"/>
    <w:rsid w:val="00FA472D"/>
    <w:rsid w:val="00FA4A82"/>
    <w:rsid w:val="00FA5A92"/>
    <w:rsid w:val="00FA681F"/>
    <w:rsid w:val="00FA7373"/>
    <w:rsid w:val="00FB0261"/>
    <w:rsid w:val="00FB0CBF"/>
    <w:rsid w:val="00FB18F6"/>
    <w:rsid w:val="00FB2A52"/>
    <w:rsid w:val="00FB3961"/>
    <w:rsid w:val="00FB39E0"/>
    <w:rsid w:val="00FB3F92"/>
    <w:rsid w:val="00FB52C7"/>
    <w:rsid w:val="00FB57DC"/>
    <w:rsid w:val="00FB5915"/>
    <w:rsid w:val="00FB6E19"/>
    <w:rsid w:val="00FB71F6"/>
    <w:rsid w:val="00FB74F1"/>
    <w:rsid w:val="00FC0670"/>
    <w:rsid w:val="00FC07AF"/>
    <w:rsid w:val="00FC0AF8"/>
    <w:rsid w:val="00FC0B69"/>
    <w:rsid w:val="00FC1055"/>
    <w:rsid w:val="00FC1238"/>
    <w:rsid w:val="00FC1483"/>
    <w:rsid w:val="00FC1BEF"/>
    <w:rsid w:val="00FC1C47"/>
    <w:rsid w:val="00FC1EA7"/>
    <w:rsid w:val="00FC26DB"/>
    <w:rsid w:val="00FC2866"/>
    <w:rsid w:val="00FC2869"/>
    <w:rsid w:val="00FC2F9E"/>
    <w:rsid w:val="00FC3102"/>
    <w:rsid w:val="00FC3848"/>
    <w:rsid w:val="00FC39ED"/>
    <w:rsid w:val="00FC3D40"/>
    <w:rsid w:val="00FC4419"/>
    <w:rsid w:val="00FC47E2"/>
    <w:rsid w:val="00FC4AA5"/>
    <w:rsid w:val="00FC4B88"/>
    <w:rsid w:val="00FC4BB8"/>
    <w:rsid w:val="00FC4DD8"/>
    <w:rsid w:val="00FC5148"/>
    <w:rsid w:val="00FC56F0"/>
    <w:rsid w:val="00FC6524"/>
    <w:rsid w:val="00FC6B58"/>
    <w:rsid w:val="00FC6DE3"/>
    <w:rsid w:val="00FC711D"/>
    <w:rsid w:val="00FC75AC"/>
    <w:rsid w:val="00FC7984"/>
    <w:rsid w:val="00FD01BF"/>
    <w:rsid w:val="00FD0525"/>
    <w:rsid w:val="00FD0AB7"/>
    <w:rsid w:val="00FD1000"/>
    <w:rsid w:val="00FD15F8"/>
    <w:rsid w:val="00FD297D"/>
    <w:rsid w:val="00FD29A8"/>
    <w:rsid w:val="00FD2D13"/>
    <w:rsid w:val="00FD374D"/>
    <w:rsid w:val="00FD40F7"/>
    <w:rsid w:val="00FD4D2A"/>
    <w:rsid w:val="00FD5FA5"/>
    <w:rsid w:val="00FD6071"/>
    <w:rsid w:val="00FD633B"/>
    <w:rsid w:val="00FD66ED"/>
    <w:rsid w:val="00FD6ABA"/>
    <w:rsid w:val="00FD7AAD"/>
    <w:rsid w:val="00FE0794"/>
    <w:rsid w:val="00FE1041"/>
    <w:rsid w:val="00FE1614"/>
    <w:rsid w:val="00FE1D32"/>
    <w:rsid w:val="00FE24CB"/>
    <w:rsid w:val="00FE323F"/>
    <w:rsid w:val="00FE3473"/>
    <w:rsid w:val="00FE38E5"/>
    <w:rsid w:val="00FE4049"/>
    <w:rsid w:val="00FE4794"/>
    <w:rsid w:val="00FE480F"/>
    <w:rsid w:val="00FE4998"/>
    <w:rsid w:val="00FE4CA2"/>
    <w:rsid w:val="00FE5382"/>
    <w:rsid w:val="00FE57DE"/>
    <w:rsid w:val="00FE6715"/>
    <w:rsid w:val="00FE719F"/>
    <w:rsid w:val="00FE795F"/>
    <w:rsid w:val="00FE7A68"/>
    <w:rsid w:val="00FF00A3"/>
    <w:rsid w:val="00FF0231"/>
    <w:rsid w:val="00FF056D"/>
    <w:rsid w:val="00FF0F87"/>
    <w:rsid w:val="00FF1C9B"/>
    <w:rsid w:val="00FF1D49"/>
    <w:rsid w:val="00FF203B"/>
    <w:rsid w:val="00FF204D"/>
    <w:rsid w:val="00FF2562"/>
    <w:rsid w:val="00FF3A41"/>
    <w:rsid w:val="00FF3E5B"/>
    <w:rsid w:val="00FF5183"/>
    <w:rsid w:val="00FF57E4"/>
    <w:rsid w:val="00FF5E26"/>
    <w:rsid w:val="00FF5ECD"/>
    <w:rsid w:val="00FF6D57"/>
    <w:rsid w:val="00FF78E5"/>
    <w:rsid w:val="011E3D92"/>
    <w:rsid w:val="012C5FAF"/>
    <w:rsid w:val="0194674A"/>
    <w:rsid w:val="01AF3D99"/>
    <w:rsid w:val="021D06BE"/>
    <w:rsid w:val="02493090"/>
    <w:rsid w:val="02511F9D"/>
    <w:rsid w:val="036952C5"/>
    <w:rsid w:val="03800D34"/>
    <w:rsid w:val="03A314B8"/>
    <w:rsid w:val="03D42E2E"/>
    <w:rsid w:val="03D8291E"/>
    <w:rsid w:val="03D82B98"/>
    <w:rsid w:val="03F83E8B"/>
    <w:rsid w:val="0422003D"/>
    <w:rsid w:val="050B287F"/>
    <w:rsid w:val="05C56868"/>
    <w:rsid w:val="060077E8"/>
    <w:rsid w:val="0620235A"/>
    <w:rsid w:val="0709241E"/>
    <w:rsid w:val="07A539BD"/>
    <w:rsid w:val="07B72767"/>
    <w:rsid w:val="08077E72"/>
    <w:rsid w:val="08882DD0"/>
    <w:rsid w:val="09063A89"/>
    <w:rsid w:val="093700E7"/>
    <w:rsid w:val="09816C5A"/>
    <w:rsid w:val="09CC2AAC"/>
    <w:rsid w:val="0A460241"/>
    <w:rsid w:val="0A652D3E"/>
    <w:rsid w:val="0B326F2A"/>
    <w:rsid w:val="0B5F4799"/>
    <w:rsid w:val="0C1E2888"/>
    <w:rsid w:val="0C3B6140"/>
    <w:rsid w:val="0C92213C"/>
    <w:rsid w:val="0CC2027E"/>
    <w:rsid w:val="0CD36378"/>
    <w:rsid w:val="0D84032B"/>
    <w:rsid w:val="0ECD6DF7"/>
    <w:rsid w:val="0F1F58A5"/>
    <w:rsid w:val="0F2A74C4"/>
    <w:rsid w:val="0F7B02CB"/>
    <w:rsid w:val="0FC44EB4"/>
    <w:rsid w:val="10466E61"/>
    <w:rsid w:val="10A27F31"/>
    <w:rsid w:val="10BB15FD"/>
    <w:rsid w:val="11927058"/>
    <w:rsid w:val="120E171E"/>
    <w:rsid w:val="12977E48"/>
    <w:rsid w:val="131E40C5"/>
    <w:rsid w:val="13AF4F03"/>
    <w:rsid w:val="14736E66"/>
    <w:rsid w:val="147F458F"/>
    <w:rsid w:val="1534169A"/>
    <w:rsid w:val="15C03E03"/>
    <w:rsid w:val="162A25EB"/>
    <w:rsid w:val="16353C00"/>
    <w:rsid w:val="16735895"/>
    <w:rsid w:val="16E14BA7"/>
    <w:rsid w:val="16FD2A55"/>
    <w:rsid w:val="17067C1A"/>
    <w:rsid w:val="17366761"/>
    <w:rsid w:val="177C01F0"/>
    <w:rsid w:val="179E3EFA"/>
    <w:rsid w:val="17CE6630"/>
    <w:rsid w:val="18F27B86"/>
    <w:rsid w:val="194A1770"/>
    <w:rsid w:val="1A7A6085"/>
    <w:rsid w:val="1AFF0AFE"/>
    <w:rsid w:val="1B4F19F8"/>
    <w:rsid w:val="1C54006F"/>
    <w:rsid w:val="1CAB69CA"/>
    <w:rsid w:val="1D9D5CBF"/>
    <w:rsid w:val="1DCB4E4A"/>
    <w:rsid w:val="1E94348E"/>
    <w:rsid w:val="1ECC44FA"/>
    <w:rsid w:val="1ECE699F"/>
    <w:rsid w:val="1ED65DE0"/>
    <w:rsid w:val="1F063325"/>
    <w:rsid w:val="1F86727A"/>
    <w:rsid w:val="1FBC5DF5"/>
    <w:rsid w:val="1FF90588"/>
    <w:rsid w:val="20AE6A88"/>
    <w:rsid w:val="20C3623F"/>
    <w:rsid w:val="21781212"/>
    <w:rsid w:val="21AB746C"/>
    <w:rsid w:val="21B83F86"/>
    <w:rsid w:val="21BE719F"/>
    <w:rsid w:val="221178A8"/>
    <w:rsid w:val="221213CF"/>
    <w:rsid w:val="22327A92"/>
    <w:rsid w:val="2248168E"/>
    <w:rsid w:val="22BD5BF4"/>
    <w:rsid w:val="231D53A2"/>
    <w:rsid w:val="23244DE0"/>
    <w:rsid w:val="236D4D3A"/>
    <w:rsid w:val="236D5383"/>
    <w:rsid w:val="23B7504C"/>
    <w:rsid w:val="24571307"/>
    <w:rsid w:val="246104BA"/>
    <w:rsid w:val="24DE5462"/>
    <w:rsid w:val="25110A2A"/>
    <w:rsid w:val="256C0944"/>
    <w:rsid w:val="264439EB"/>
    <w:rsid w:val="26446DE3"/>
    <w:rsid w:val="265274BF"/>
    <w:rsid w:val="26877DFE"/>
    <w:rsid w:val="269669E7"/>
    <w:rsid w:val="26A270C1"/>
    <w:rsid w:val="26D7699F"/>
    <w:rsid w:val="276500BD"/>
    <w:rsid w:val="28782A37"/>
    <w:rsid w:val="28B46C06"/>
    <w:rsid w:val="28DC43AF"/>
    <w:rsid w:val="28E13773"/>
    <w:rsid w:val="28EF570F"/>
    <w:rsid w:val="28F74D45"/>
    <w:rsid w:val="29A273A6"/>
    <w:rsid w:val="29D75F7F"/>
    <w:rsid w:val="2B774624"/>
    <w:rsid w:val="2C7A72BE"/>
    <w:rsid w:val="2C9A7D75"/>
    <w:rsid w:val="2CC17412"/>
    <w:rsid w:val="2D7C1E99"/>
    <w:rsid w:val="2DB640F0"/>
    <w:rsid w:val="2DDC3C52"/>
    <w:rsid w:val="2E0917A2"/>
    <w:rsid w:val="2E2B796A"/>
    <w:rsid w:val="2E9976CE"/>
    <w:rsid w:val="2EF01DEE"/>
    <w:rsid w:val="2F401D3C"/>
    <w:rsid w:val="2F5B24E1"/>
    <w:rsid w:val="2F860BD0"/>
    <w:rsid w:val="2FA95C88"/>
    <w:rsid w:val="2FF13F61"/>
    <w:rsid w:val="3041370F"/>
    <w:rsid w:val="30B87FED"/>
    <w:rsid w:val="312B50A3"/>
    <w:rsid w:val="31894FD2"/>
    <w:rsid w:val="32453A27"/>
    <w:rsid w:val="3263064A"/>
    <w:rsid w:val="32A43132"/>
    <w:rsid w:val="32AC0C06"/>
    <w:rsid w:val="331A1D5C"/>
    <w:rsid w:val="33344EF5"/>
    <w:rsid w:val="33730173"/>
    <w:rsid w:val="34CA77B1"/>
    <w:rsid w:val="35020CF9"/>
    <w:rsid w:val="3537750C"/>
    <w:rsid w:val="3537798C"/>
    <w:rsid w:val="35C13FC9"/>
    <w:rsid w:val="35FF41CE"/>
    <w:rsid w:val="36372B05"/>
    <w:rsid w:val="364257B6"/>
    <w:rsid w:val="37EA5922"/>
    <w:rsid w:val="38276B93"/>
    <w:rsid w:val="382E58B8"/>
    <w:rsid w:val="38AC3431"/>
    <w:rsid w:val="392F2E16"/>
    <w:rsid w:val="39E00529"/>
    <w:rsid w:val="3A0B64A7"/>
    <w:rsid w:val="3A574DDA"/>
    <w:rsid w:val="3ACD1DA9"/>
    <w:rsid w:val="3AD3075A"/>
    <w:rsid w:val="3AEA64B7"/>
    <w:rsid w:val="3AF74C02"/>
    <w:rsid w:val="3B146A06"/>
    <w:rsid w:val="3C0059A5"/>
    <w:rsid w:val="3C134E78"/>
    <w:rsid w:val="3D583BAC"/>
    <w:rsid w:val="3D5E2B26"/>
    <w:rsid w:val="3DA0781E"/>
    <w:rsid w:val="3DF6345D"/>
    <w:rsid w:val="3E2B5515"/>
    <w:rsid w:val="3E4D4F28"/>
    <w:rsid w:val="3EA11583"/>
    <w:rsid w:val="3ED92EC4"/>
    <w:rsid w:val="3EE13701"/>
    <w:rsid w:val="3F174BBC"/>
    <w:rsid w:val="3F1A4BB3"/>
    <w:rsid w:val="40192BA6"/>
    <w:rsid w:val="40735A43"/>
    <w:rsid w:val="41766EA9"/>
    <w:rsid w:val="41870F04"/>
    <w:rsid w:val="422229DB"/>
    <w:rsid w:val="42550A18"/>
    <w:rsid w:val="429D496A"/>
    <w:rsid w:val="42BF46CD"/>
    <w:rsid w:val="42F473A1"/>
    <w:rsid w:val="437217EA"/>
    <w:rsid w:val="43AB7156"/>
    <w:rsid w:val="43FF60DE"/>
    <w:rsid w:val="441E62C0"/>
    <w:rsid w:val="44401BAD"/>
    <w:rsid w:val="44F40AAD"/>
    <w:rsid w:val="45325D14"/>
    <w:rsid w:val="45575091"/>
    <w:rsid w:val="45811C7C"/>
    <w:rsid w:val="45906116"/>
    <w:rsid w:val="45931B8C"/>
    <w:rsid w:val="45DB42AF"/>
    <w:rsid w:val="45EF2552"/>
    <w:rsid w:val="468B3EFB"/>
    <w:rsid w:val="470A6193"/>
    <w:rsid w:val="47385210"/>
    <w:rsid w:val="475510F8"/>
    <w:rsid w:val="47993E2E"/>
    <w:rsid w:val="47DC4F5C"/>
    <w:rsid w:val="47E30E5E"/>
    <w:rsid w:val="48B40671"/>
    <w:rsid w:val="48EC137A"/>
    <w:rsid w:val="48EC789E"/>
    <w:rsid w:val="499B5738"/>
    <w:rsid w:val="499F244D"/>
    <w:rsid w:val="4A19757B"/>
    <w:rsid w:val="4A973F3F"/>
    <w:rsid w:val="4AF96BC7"/>
    <w:rsid w:val="4B315A3D"/>
    <w:rsid w:val="4B62209A"/>
    <w:rsid w:val="4B862A85"/>
    <w:rsid w:val="4B8D35BB"/>
    <w:rsid w:val="4CEF36E2"/>
    <w:rsid w:val="4CEF4DC5"/>
    <w:rsid w:val="4D1D271C"/>
    <w:rsid w:val="4D476321"/>
    <w:rsid w:val="4D6D78F9"/>
    <w:rsid w:val="4E257655"/>
    <w:rsid w:val="4E645459"/>
    <w:rsid w:val="4F0C5D1C"/>
    <w:rsid w:val="4F372380"/>
    <w:rsid w:val="4F372FFB"/>
    <w:rsid w:val="4FB1539E"/>
    <w:rsid w:val="4FDA66A3"/>
    <w:rsid w:val="5025116D"/>
    <w:rsid w:val="50F47C38"/>
    <w:rsid w:val="52395ECD"/>
    <w:rsid w:val="52A31394"/>
    <w:rsid w:val="52B26988"/>
    <w:rsid w:val="52C10D75"/>
    <w:rsid w:val="53C27FF8"/>
    <w:rsid w:val="541A653C"/>
    <w:rsid w:val="54806794"/>
    <w:rsid w:val="5492579E"/>
    <w:rsid w:val="549E1A80"/>
    <w:rsid w:val="54C658F4"/>
    <w:rsid w:val="550C4BD7"/>
    <w:rsid w:val="554C1D56"/>
    <w:rsid w:val="55572986"/>
    <w:rsid w:val="562C577E"/>
    <w:rsid w:val="565340FA"/>
    <w:rsid w:val="569C6DA8"/>
    <w:rsid w:val="56AD5F59"/>
    <w:rsid w:val="56C60774"/>
    <w:rsid w:val="56E542AB"/>
    <w:rsid w:val="573D4D40"/>
    <w:rsid w:val="57B12A52"/>
    <w:rsid w:val="580544D9"/>
    <w:rsid w:val="58931AE5"/>
    <w:rsid w:val="5A2F2CC8"/>
    <w:rsid w:val="5BD112A2"/>
    <w:rsid w:val="5C10702D"/>
    <w:rsid w:val="5C152601"/>
    <w:rsid w:val="5C1C1A17"/>
    <w:rsid w:val="5C591F03"/>
    <w:rsid w:val="5C8A1B2F"/>
    <w:rsid w:val="5E341674"/>
    <w:rsid w:val="5F561B72"/>
    <w:rsid w:val="605E5565"/>
    <w:rsid w:val="606007BB"/>
    <w:rsid w:val="60AC7F66"/>
    <w:rsid w:val="614A3BE6"/>
    <w:rsid w:val="61BF10D9"/>
    <w:rsid w:val="62261C1B"/>
    <w:rsid w:val="626C1660"/>
    <w:rsid w:val="62774225"/>
    <w:rsid w:val="628726BA"/>
    <w:rsid w:val="62AC22DC"/>
    <w:rsid w:val="62BF00A6"/>
    <w:rsid w:val="63464323"/>
    <w:rsid w:val="63A22BFD"/>
    <w:rsid w:val="64983FA9"/>
    <w:rsid w:val="64DD1E43"/>
    <w:rsid w:val="64E45EF7"/>
    <w:rsid w:val="667F3EFA"/>
    <w:rsid w:val="66803B32"/>
    <w:rsid w:val="6691014E"/>
    <w:rsid w:val="66C87CCE"/>
    <w:rsid w:val="66ED7028"/>
    <w:rsid w:val="677435B2"/>
    <w:rsid w:val="677F6056"/>
    <w:rsid w:val="67C223E6"/>
    <w:rsid w:val="67EF75F1"/>
    <w:rsid w:val="683E7CBF"/>
    <w:rsid w:val="684F4F11"/>
    <w:rsid w:val="69124F16"/>
    <w:rsid w:val="69CD5C14"/>
    <w:rsid w:val="69CF0D33"/>
    <w:rsid w:val="6AC47BFE"/>
    <w:rsid w:val="6B142F59"/>
    <w:rsid w:val="6B9946B3"/>
    <w:rsid w:val="6BB42357"/>
    <w:rsid w:val="6BE518DA"/>
    <w:rsid w:val="6C276F3A"/>
    <w:rsid w:val="6C6B4DFB"/>
    <w:rsid w:val="6C7007C7"/>
    <w:rsid w:val="6CA97559"/>
    <w:rsid w:val="6D723F67"/>
    <w:rsid w:val="6DE76850"/>
    <w:rsid w:val="6EBD6E0F"/>
    <w:rsid w:val="6EF52990"/>
    <w:rsid w:val="6FB20BD4"/>
    <w:rsid w:val="6FBA59BE"/>
    <w:rsid w:val="70296B3E"/>
    <w:rsid w:val="7047792D"/>
    <w:rsid w:val="70611204"/>
    <w:rsid w:val="70BB1A3F"/>
    <w:rsid w:val="7165620F"/>
    <w:rsid w:val="717039F8"/>
    <w:rsid w:val="72E7624D"/>
    <w:rsid w:val="739534EB"/>
    <w:rsid w:val="739F35DC"/>
    <w:rsid w:val="740A0E7D"/>
    <w:rsid w:val="74443CE7"/>
    <w:rsid w:val="745F3497"/>
    <w:rsid w:val="74D13AD5"/>
    <w:rsid w:val="74FA2C30"/>
    <w:rsid w:val="754D5C4B"/>
    <w:rsid w:val="758331B5"/>
    <w:rsid w:val="76C240A7"/>
    <w:rsid w:val="76DA416A"/>
    <w:rsid w:val="7725204A"/>
    <w:rsid w:val="775246B7"/>
    <w:rsid w:val="779C67B0"/>
    <w:rsid w:val="781E69D1"/>
    <w:rsid w:val="789631FF"/>
    <w:rsid w:val="78EA354B"/>
    <w:rsid w:val="7901747F"/>
    <w:rsid w:val="791B4953"/>
    <w:rsid w:val="79C30024"/>
    <w:rsid w:val="7A263B6B"/>
    <w:rsid w:val="7A2A00A3"/>
    <w:rsid w:val="7AF46346"/>
    <w:rsid w:val="7B0F5EBF"/>
    <w:rsid w:val="7B130FB9"/>
    <w:rsid w:val="7BD71E38"/>
    <w:rsid w:val="7BF64EDE"/>
    <w:rsid w:val="7C400C1E"/>
    <w:rsid w:val="7CE17A52"/>
    <w:rsid w:val="7DD11708"/>
    <w:rsid w:val="7DEE4A4F"/>
    <w:rsid w:val="7E1D4C4C"/>
    <w:rsid w:val="7E521976"/>
    <w:rsid w:val="7EAE6230"/>
    <w:rsid w:val="7EBD579E"/>
    <w:rsid w:val="7EC167BD"/>
    <w:rsid w:val="7F272D9E"/>
    <w:rsid w:val="7F477001"/>
    <w:rsid w:val="979F7D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0" w:semiHidden="0" w:name="Table Grid"/>
    <w:lsdException w:unhideWhenUsed="0" w:uiPriority="99" w:semiHidden="0"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64"/>
    <w:qFormat/>
    <w:uiPriority w:val="99"/>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spacing w:line="360" w:lineRule="auto"/>
      <w:outlineLvl w:val="3"/>
    </w:pPr>
    <w:rPr>
      <w:rFonts w:ascii="Arial" w:hAnsi="Arial"/>
      <w:b/>
      <w:bCs/>
      <w:sz w:val="28"/>
      <w:szCs w:val="28"/>
    </w:rPr>
  </w:style>
  <w:style w:type="paragraph" w:styleId="6">
    <w:name w:val="heading 5"/>
    <w:basedOn w:val="1"/>
    <w:next w:val="7"/>
    <w:link w:val="66"/>
    <w:qFormat/>
    <w:uiPriority w:val="99"/>
    <w:pPr>
      <w:keepNext/>
      <w:keepLines/>
      <w:spacing w:before="280" w:after="290" w:line="376" w:lineRule="auto"/>
      <w:outlineLvl w:val="4"/>
    </w:pPr>
    <w:rPr>
      <w:b/>
      <w:bCs/>
      <w:sz w:val="28"/>
      <w:szCs w:val="28"/>
    </w:rPr>
  </w:style>
  <w:style w:type="paragraph" w:styleId="8">
    <w:name w:val="heading 6"/>
    <w:basedOn w:val="1"/>
    <w:next w:val="1"/>
    <w:link w:val="68"/>
    <w:qFormat/>
    <w:uiPriority w:val="9"/>
    <w:pPr>
      <w:keepNext/>
      <w:keepLines/>
      <w:spacing w:before="240" w:after="64" w:line="317" w:lineRule="auto"/>
      <w:outlineLvl w:val="5"/>
    </w:pPr>
    <w:rPr>
      <w:rFonts w:ascii="Cambria" w:hAnsi="Cambria"/>
      <w:b/>
      <w:bCs/>
      <w:kern w:val="0"/>
      <w:sz w:val="24"/>
    </w:rPr>
  </w:style>
  <w:style w:type="paragraph" w:styleId="9">
    <w:name w:val="heading 7"/>
    <w:basedOn w:val="1"/>
    <w:next w:val="1"/>
    <w:link w:val="69"/>
    <w:qFormat/>
    <w:uiPriority w:val="9"/>
    <w:pPr>
      <w:keepNext/>
      <w:keepLines/>
      <w:spacing w:before="240" w:after="64" w:line="317" w:lineRule="auto"/>
      <w:outlineLvl w:val="6"/>
    </w:pPr>
    <w:rPr>
      <w:b/>
      <w:bCs/>
      <w:kern w:val="0"/>
      <w:sz w:val="24"/>
    </w:rPr>
  </w:style>
  <w:style w:type="paragraph" w:styleId="10">
    <w:name w:val="heading 8"/>
    <w:basedOn w:val="1"/>
    <w:next w:val="1"/>
    <w:link w:val="70"/>
    <w:qFormat/>
    <w:uiPriority w:val="9"/>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1"/>
    <w:qFormat/>
    <w:uiPriority w:val="9"/>
    <w:pPr>
      <w:keepNext/>
      <w:keepLines/>
      <w:spacing w:before="240" w:after="64" w:line="317" w:lineRule="auto"/>
      <w:outlineLvl w:val="8"/>
    </w:pPr>
    <w:rPr>
      <w:rFonts w:ascii="Cambria" w:hAnsi="Cambria"/>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7">
    <w:name w:val="Normal Indent"/>
    <w:basedOn w:val="1"/>
    <w:link w:val="67"/>
    <w:qFormat/>
    <w:uiPriority w:val="99"/>
    <w:pPr>
      <w:ind w:firstLine="420"/>
    </w:pPr>
    <w:rPr>
      <w:szCs w:val="20"/>
    </w:rPr>
  </w:style>
  <w:style w:type="paragraph" w:styleId="12">
    <w:name w:val="toc 7"/>
    <w:basedOn w:val="1"/>
    <w:next w:val="1"/>
    <w:qFormat/>
    <w:uiPriority w:val="39"/>
    <w:pPr>
      <w:ind w:left="2520" w:leftChars="1200"/>
    </w:pPr>
    <w:rPr>
      <w:rFonts w:ascii="Calibri" w:hAnsi="Calibri" w:cs="Calibri"/>
      <w:szCs w:val="21"/>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99"/>
    <w:rPr>
      <w:rFonts w:ascii="Cambria" w:hAnsi="Cambria" w:eastAsia="黑体" w:cs="Cambria"/>
      <w:sz w:val="20"/>
      <w:szCs w:val="20"/>
    </w:rPr>
  </w:style>
  <w:style w:type="paragraph" w:styleId="15">
    <w:name w:val="Document Map"/>
    <w:basedOn w:val="1"/>
    <w:link w:val="72"/>
    <w:qFormat/>
    <w:uiPriority w:val="99"/>
    <w:pPr>
      <w:shd w:val="clear" w:color="auto" w:fill="000080"/>
    </w:pPr>
    <w:rPr>
      <w:sz w:val="24"/>
      <w:shd w:val="clear" w:color="auto" w:fill="000080"/>
    </w:rPr>
  </w:style>
  <w:style w:type="paragraph" w:styleId="16">
    <w:name w:val="annotation text"/>
    <w:basedOn w:val="1"/>
    <w:link w:val="73"/>
    <w:qFormat/>
    <w:uiPriority w:val="0"/>
    <w:pPr>
      <w:jc w:val="left"/>
    </w:pPr>
  </w:style>
  <w:style w:type="paragraph" w:styleId="17">
    <w:name w:val="Body Text 3"/>
    <w:basedOn w:val="1"/>
    <w:link w:val="74"/>
    <w:unhideWhenUsed/>
    <w:qFormat/>
    <w:uiPriority w:val="99"/>
    <w:pPr>
      <w:spacing w:after="120"/>
    </w:pPr>
    <w:rPr>
      <w:sz w:val="16"/>
      <w:szCs w:val="16"/>
    </w:rPr>
  </w:style>
  <w:style w:type="paragraph" w:styleId="18">
    <w:name w:val="Body Text"/>
    <w:basedOn w:val="1"/>
    <w:link w:val="75"/>
    <w:unhideWhenUsed/>
    <w:qFormat/>
    <w:uiPriority w:val="99"/>
    <w:pPr>
      <w:spacing w:after="120"/>
    </w:pPr>
  </w:style>
  <w:style w:type="paragraph" w:styleId="19">
    <w:name w:val="Body Text Indent"/>
    <w:basedOn w:val="1"/>
    <w:next w:val="1"/>
    <w:link w:val="76"/>
    <w:qFormat/>
    <w:uiPriority w:val="99"/>
    <w:pPr>
      <w:ind w:firstLine="830" w:firstLineChars="352"/>
    </w:pPr>
    <w:rPr>
      <w:rFonts w:ascii="仿宋_GB2312" w:eastAsia="仿宋_GB2312"/>
      <w:kern w:val="0"/>
      <w:sz w:val="32"/>
      <w:szCs w:val="20"/>
    </w:rPr>
  </w:style>
  <w:style w:type="paragraph" w:styleId="20">
    <w:name w:val="List 2"/>
    <w:basedOn w:val="1"/>
    <w:unhideWhenUsed/>
    <w:qFormat/>
    <w:uiPriority w:val="99"/>
    <w:pPr>
      <w:ind w:left="100" w:leftChars="200" w:hanging="200" w:hangingChars="200"/>
      <w:contextualSpacing/>
    </w:pPr>
  </w:style>
  <w:style w:type="paragraph" w:styleId="21">
    <w:name w:val="index 4"/>
    <w:basedOn w:val="1"/>
    <w:next w:val="1"/>
    <w:semiHidden/>
    <w:qFormat/>
    <w:uiPriority w:val="99"/>
    <w:pPr>
      <w:ind w:left="600" w:leftChars="600"/>
    </w:pPr>
    <w:rPr>
      <w:szCs w:val="21"/>
    </w:rPr>
  </w:style>
  <w:style w:type="paragraph" w:styleId="22">
    <w:name w:val="toc 5"/>
    <w:basedOn w:val="1"/>
    <w:next w:val="1"/>
    <w:qFormat/>
    <w:uiPriority w:val="39"/>
    <w:pPr>
      <w:ind w:left="1680" w:leftChars="800"/>
    </w:pPr>
    <w:rPr>
      <w:rFonts w:ascii="Calibri" w:hAnsi="Calibri" w:cs="Calibri"/>
      <w:szCs w:val="21"/>
    </w:rPr>
  </w:style>
  <w:style w:type="paragraph" w:styleId="23">
    <w:name w:val="toc 3"/>
    <w:basedOn w:val="1"/>
    <w:next w:val="1"/>
    <w:qFormat/>
    <w:uiPriority w:val="39"/>
    <w:pPr>
      <w:ind w:left="840" w:leftChars="400"/>
    </w:pPr>
    <w:rPr>
      <w:szCs w:val="21"/>
    </w:rPr>
  </w:style>
  <w:style w:type="paragraph" w:styleId="24">
    <w:name w:val="Plain Text"/>
    <w:basedOn w:val="1"/>
    <w:link w:val="77"/>
    <w:qFormat/>
    <w:uiPriority w:val="0"/>
    <w:rPr>
      <w:rFonts w:ascii="宋体" w:hAnsi="Courier New"/>
      <w:kern w:val="0"/>
      <w:sz w:val="20"/>
      <w:szCs w:val="21"/>
    </w:rPr>
  </w:style>
  <w:style w:type="paragraph" w:styleId="25">
    <w:name w:val="toc 8"/>
    <w:basedOn w:val="1"/>
    <w:next w:val="1"/>
    <w:qFormat/>
    <w:uiPriority w:val="39"/>
    <w:pPr>
      <w:ind w:left="2940" w:leftChars="1400"/>
    </w:pPr>
    <w:rPr>
      <w:rFonts w:ascii="Calibri" w:hAnsi="Calibri" w:cs="Calibri"/>
      <w:szCs w:val="21"/>
    </w:rPr>
  </w:style>
  <w:style w:type="paragraph" w:styleId="26">
    <w:name w:val="Date"/>
    <w:basedOn w:val="1"/>
    <w:next w:val="1"/>
    <w:link w:val="78"/>
    <w:unhideWhenUsed/>
    <w:qFormat/>
    <w:uiPriority w:val="99"/>
    <w:pPr>
      <w:ind w:left="100" w:leftChars="2500"/>
    </w:pPr>
  </w:style>
  <w:style w:type="paragraph" w:styleId="27">
    <w:name w:val="Body Text Indent 2"/>
    <w:basedOn w:val="1"/>
    <w:link w:val="79"/>
    <w:qFormat/>
    <w:uiPriority w:val="99"/>
    <w:pPr>
      <w:spacing w:after="120" w:line="480" w:lineRule="auto"/>
      <w:ind w:left="420" w:leftChars="200"/>
    </w:pPr>
    <w:rPr>
      <w:sz w:val="24"/>
    </w:rPr>
  </w:style>
  <w:style w:type="paragraph" w:styleId="28">
    <w:name w:val="Balloon Text"/>
    <w:basedOn w:val="1"/>
    <w:link w:val="80"/>
    <w:qFormat/>
    <w:uiPriority w:val="99"/>
    <w:rPr>
      <w:sz w:val="18"/>
      <w:szCs w:val="18"/>
    </w:rPr>
  </w:style>
  <w:style w:type="paragraph" w:styleId="29">
    <w:name w:val="footer"/>
    <w:basedOn w:val="1"/>
    <w:link w:val="81"/>
    <w:unhideWhenUsed/>
    <w:qFormat/>
    <w:uiPriority w:val="99"/>
    <w:pPr>
      <w:tabs>
        <w:tab w:val="center" w:pos="4153"/>
        <w:tab w:val="right" w:pos="8306"/>
      </w:tabs>
      <w:snapToGrid w:val="0"/>
      <w:jc w:val="left"/>
    </w:pPr>
    <w:rPr>
      <w:kern w:val="0"/>
      <w:sz w:val="18"/>
      <w:szCs w:val="18"/>
    </w:rPr>
  </w:style>
  <w:style w:type="paragraph" w:styleId="30">
    <w:name w:val="header"/>
    <w:basedOn w:val="1"/>
    <w:link w:val="8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style>
  <w:style w:type="paragraph" w:styleId="32">
    <w:name w:val="toc 4"/>
    <w:basedOn w:val="1"/>
    <w:next w:val="1"/>
    <w:qFormat/>
    <w:uiPriority w:val="39"/>
    <w:pPr>
      <w:ind w:left="1260" w:leftChars="600"/>
    </w:pPr>
    <w:rPr>
      <w:rFonts w:ascii="Calibri" w:hAnsi="Calibri" w:cs="Calibri"/>
      <w:szCs w:val="21"/>
    </w:rPr>
  </w:style>
  <w:style w:type="paragraph" w:styleId="33">
    <w:name w:val="Subtitle"/>
    <w:basedOn w:val="1"/>
    <w:next w:val="1"/>
    <w:link w:val="83"/>
    <w:qFormat/>
    <w:uiPriority w:val="11"/>
    <w:pPr>
      <w:spacing w:before="240" w:after="60" w:line="312" w:lineRule="auto"/>
      <w:jc w:val="center"/>
      <w:outlineLvl w:val="1"/>
    </w:pPr>
    <w:rPr>
      <w:rFonts w:ascii="Cambria" w:hAnsi="Cambria"/>
      <w:b/>
      <w:bCs/>
      <w:kern w:val="28"/>
      <w:sz w:val="32"/>
      <w:szCs w:val="32"/>
    </w:rPr>
  </w:style>
  <w:style w:type="paragraph" w:styleId="34">
    <w:name w:val="footnote text"/>
    <w:basedOn w:val="1"/>
    <w:link w:val="84"/>
    <w:qFormat/>
    <w:uiPriority w:val="99"/>
    <w:pPr>
      <w:adjustRightInd w:val="0"/>
      <w:spacing w:line="312" w:lineRule="atLeast"/>
      <w:jc w:val="left"/>
      <w:textAlignment w:val="baseline"/>
    </w:pPr>
    <w:rPr>
      <w:kern w:val="0"/>
      <w:sz w:val="18"/>
      <w:szCs w:val="18"/>
    </w:rPr>
  </w:style>
  <w:style w:type="paragraph" w:styleId="35">
    <w:name w:val="toc 6"/>
    <w:basedOn w:val="1"/>
    <w:next w:val="1"/>
    <w:qFormat/>
    <w:uiPriority w:val="39"/>
    <w:pPr>
      <w:ind w:left="2100" w:leftChars="1000"/>
    </w:pPr>
    <w:rPr>
      <w:rFonts w:ascii="Calibri" w:hAnsi="Calibri" w:cs="Calibri"/>
      <w:szCs w:val="21"/>
    </w:rPr>
  </w:style>
  <w:style w:type="paragraph" w:styleId="36">
    <w:name w:val="toc 2"/>
    <w:basedOn w:val="1"/>
    <w:next w:val="1"/>
    <w:unhideWhenUsed/>
    <w:qFormat/>
    <w:uiPriority w:val="39"/>
    <w:pPr>
      <w:tabs>
        <w:tab w:val="right" w:leader="dot" w:pos="8296"/>
      </w:tabs>
      <w:ind w:left="420" w:leftChars="200"/>
    </w:pPr>
  </w:style>
  <w:style w:type="paragraph" w:styleId="37">
    <w:name w:val="toc 9"/>
    <w:basedOn w:val="1"/>
    <w:next w:val="1"/>
    <w:qFormat/>
    <w:uiPriority w:val="39"/>
    <w:pPr>
      <w:ind w:left="3360" w:leftChars="1600"/>
    </w:pPr>
    <w:rPr>
      <w:rFonts w:ascii="Calibri" w:hAnsi="Calibri" w:cs="Calibri"/>
      <w:szCs w:val="21"/>
    </w:rPr>
  </w:style>
  <w:style w:type="paragraph" w:styleId="38">
    <w:name w:val="HTML Preformatted"/>
    <w:basedOn w:val="1"/>
    <w:link w:val="8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unhideWhenUsed/>
    <w:qFormat/>
    <w:uiPriority w:val="0"/>
    <w:rPr>
      <w:rFonts w:ascii="Calibri" w:hAnsi="Calibri"/>
      <w:kern w:val="0"/>
      <w:sz w:val="24"/>
    </w:rPr>
  </w:style>
  <w:style w:type="paragraph" w:styleId="40">
    <w:name w:val="Title"/>
    <w:basedOn w:val="1"/>
    <w:next w:val="1"/>
    <w:link w:val="86"/>
    <w:qFormat/>
    <w:uiPriority w:val="99"/>
    <w:pPr>
      <w:spacing w:before="240" w:after="60"/>
      <w:jc w:val="center"/>
      <w:outlineLvl w:val="0"/>
    </w:pPr>
    <w:rPr>
      <w:rFonts w:ascii="Cambria" w:hAnsi="Cambria"/>
      <w:b/>
      <w:bCs/>
      <w:sz w:val="32"/>
      <w:szCs w:val="32"/>
    </w:rPr>
  </w:style>
  <w:style w:type="paragraph" w:styleId="41">
    <w:name w:val="annotation subject"/>
    <w:basedOn w:val="16"/>
    <w:next w:val="16"/>
    <w:link w:val="87"/>
    <w:qFormat/>
    <w:uiPriority w:val="99"/>
    <w:rPr>
      <w:b/>
      <w:bCs/>
    </w:rPr>
  </w:style>
  <w:style w:type="paragraph" w:styleId="42">
    <w:name w:val="Body Text First Indent 2"/>
    <w:basedOn w:val="19"/>
    <w:unhideWhenUsed/>
    <w:qFormat/>
    <w:uiPriority w:val="99"/>
    <w:pPr>
      <w:ind w:firstLine="420" w:firstLineChars="200"/>
    </w:pPr>
  </w:style>
  <w:style w:type="table" w:styleId="44">
    <w:name w:val="Table Grid"/>
    <w:basedOn w:val="4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46">
    <w:name w:val="Strong"/>
    <w:qFormat/>
    <w:uiPriority w:val="22"/>
    <w:rPr>
      <w:b/>
      <w:bCs/>
    </w:rPr>
  </w:style>
  <w:style w:type="character" w:styleId="47">
    <w:name w:val="endnote reference"/>
    <w:unhideWhenUsed/>
    <w:qFormat/>
    <w:uiPriority w:val="99"/>
    <w:rPr>
      <w:vertAlign w:val="superscript"/>
    </w:rPr>
  </w:style>
  <w:style w:type="character" w:styleId="48">
    <w:name w:val="page number"/>
    <w:qFormat/>
    <w:uiPriority w:val="99"/>
  </w:style>
  <w:style w:type="character" w:styleId="49">
    <w:name w:val="Emphasis"/>
    <w:qFormat/>
    <w:uiPriority w:val="99"/>
    <w:rPr>
      <w:i/>
      <w:iCs/>
    </w:rPr>
  </w:style>
  <w:style w:type="character" w:styleId="50">
    <w:name w:val="HTML Definition"/>
    <w:basedOn w:val="45"/>
    <w:unhideWhenUsed/>
    <w:qFormat/>
    <w:uiPriority w:val="99"/>
  </w:style>
  <w:style w:type="character" w:styleId="51">
    <w:name w:val="HTML Typewriter"/>
    <w:basedOn w:val="45"/>
    <w:unhideWhenUsed/>
    <w:qFormat/>
    <w:uiPriority w:val="99"/>
    <w:rPr>
      <w:rFonts w:hint="default" w:ascii="monospace" w:hAnsi="monospace" w:eastAsia="monospace" w:cs="monospace"/>
      <w:sz w:val="20"/>
    </w:rPr>
  </w:style>
  <w:style w:type="character" w:styleId="52">
    <w:name w:val="HTML Acronym"/>
    <w:basedOn w:val="45"/>
    <w:unhideWhenUsed/>
    <w:qFormat/>
    <w:uiPriority w:val="99"/>
  </w:style>
  <w:style w:type="character" w:styleId="53">
    <w:name w:val="HTML Variable"/>
    <w:basedOn w:val="45"/>
    <w:unhideWhenUsed/>
    <w:qFormat/>
    <w:uiPriority w:val="99"/>
  </w:style>
  <w:style w:type="character" w:styleId="54">
    <w:name w:val="Hyperlink"/>
    <w:unhideWhenUsed/>
    <w:qFormat/>
    <w:uiPriority w:val="99"/>
    <w:rPr>
      <w:color w:val="0000FF"/>
      <w:u w:val="single"/>
    </w:rPr>
  </w:style>
  <w:style w:type="character" w:styleId="55">
    <w:name w:val="HTML Code"/>
    <w:basedOn w:val="45"/>
    <w:unhideWhenUsed/>
    <w:qFormat/>
    <w:uiPriority w:val="99"/>
    <w:rPr>
      <w:rFonts w:hint="default" w:ascii="monospace" w:hAnsi="monospace" w:eastAsia="monospace" w:cs="monospace"/>
      <w:sz w:val="20"/>
    </w:rPr>
  </w:style>
  <w:style w:type="character" w:styleId="56">
    <w:name w:val="annotation reference"/>
    <w:qFormat/>
    <w:uiPriority w:val="0"/>
    <w:rPr>
      <w:sz w:val="21"/>
      <w:szCs w:val="21"/>
    </w:rPr>
  </w:style>
  <w:style w:type="character" w:styleId="57">
    <w:name w:val="HTML Cite"/>
    <w:basedOn w:val="45"/>
    <w:unhideWhenUsed/>
    <w:qFormat/>
    <w:uiPriority w:val="99"/>
  </w:style>
  <w:style w:type="character" w:styleId="58">
    <w:name w:val="footnote reference"/>
    <w:unhideWhenUsed/>
    <w:qFormat/>
    <w:uiPriority w:val="0"/>
    <w:rPr>
      <w:vertAlign w:val="superscript"/>
    </w:rPr>
  </w:style>
  <w:style w:type="character" w:styleId="59">
    <w:name w:val="HTML Keyboard"/>
    <w:basedOn w:val="45"/>
    <w:unhideWhenUsed/>
    <w:qFormat/>
    <w:uiPriority w:val="99"/>
    <w:rPr>
      <w:rFonts w:hint="default" w:ascii="monospace" w:hAnsi="monospace" w:eastAsia="monospace" w:cs="monospace"/>
      <w:sz w:val="20"/>
    </w:rPr>
  </w:style>
  <w:style w:type="character" w:styleId="60">
    <w:name w:val="HTML Sample"/>
    <w:basedOn w:val="45"/>
    <w:unhideWhenUsed/>
    <w:qFormat/>
    <w:uiPriority w:val="99"/>
    <w:rPr>
      <w:rFonts w:ascii="monospace" w:hAnsi="monospace" w:eastAsia="monospace" w:cs="monospace"/>
    </w:rPr>
  </w:style>
  <w:style w:type="paragraph" w:customStyle="1" w:styleId="61">
    <w:name w:val="正文1"/>
    <w:basedOn w:val="1"/>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character" w:customStyle="1" w:styleId="62">
    <w:name w:val="标题 1 字符"/>
    <w:link w:val="2"/>
    <w:qFormat/>
    <w:uiPriority w:val="99"/>
    <w:rPr>
      <w:b/>
      <w:bCs/>
      <w:kern w:val="44"/>
      <w:sz w:val="44"/>
      <w:szCs w:val="44"/>
    </w:rPr>
  </w:style>
  <w:style w:type="character" w:customStyle="1" w:styleId="63">
    <w:name w:val="标题 2 字符"/>
    <w:link w:val="3"/>
    <w:qFormat/>
    <w:uiPriority w:val="9"/>
    <w:rPr>
      <w:rFonts w:ascii="Cambria" w:hAnsi="Cambria" w:eastAsia="宋体" w:cs="Times New Roman"/>
      <w:b/>
      <w:bCs/>
      <w:kern w:val="2"/>
      <w:sz w:val="32"/>
      <w:szCs w:val="32"/>
    </w:rPr>
  </w:style>
  <w:style w:type="character" w:customStyle="1" w:styleId="64">
    <w:name w:val="标题 3 字符"/>
    <w:link w:val="4"/>
    <w:qFormat/>
    <w:uiPriority w:val="99"/>
    <w:rPr>
      <w:b/>
      <w:bCs/>
      <w:kern w:val="2"/>
      <w:sz w:val="32"/>
      <w:szCs w:val="32"/>
    </w:rPr>
  </w:style>
  <w:style w:type="character" w:customStyle="1" w:styleId="65">
    <w:name w:val="标题 4 字符"/>
    <w:link w:val="5"/>
    <w:qFormat/>
    <w:uiPriority w:val="99"/>
    <w:rPr>
      <w:rFonts w:ascii="Arial" w:hAnsi="Arial"/>
      <w:b/>
      <w:bCs/>
      <w:kern w:val="2"/>
      <w:sz w:val="28"/>
      <w:szCs w:val="28"/>
    </w:rPr>
  </w:style>
  <w:style w:type="character" w:customStyle="1" w:styleId="66">
    <w:name w:val="标题 5 字符"/>
    <w:link w:val="6"/>
    <w:qFormat/>
    <w:uiPriority w:val="99"/>
    <w:rPr>
      <w:rFonts w:ascii="Times New Roman" w:hAnsi="Times New Roman"/>
      <w:b/>
      <w:bCs/>
      <w:kern w:val="2"/>
      <w:sz w:val="28"/>
      <w:szCs w:val="28"/>
    </w:rPr>
  </w:style>
  <w:style w:type="character" w:customStyle="1" w:styleId="67">
    <w:name w:val="正文缩进 字符"/>
    <w:link w:val="7"/>
    <w:qFormat/>
    <w:uiPriority w:val="99"/>
    <w:rPr>
      <w:kern w:val="2"/>
      <w:sz w:val="21"/>
    </w:rPr>
  </w:style>
  <w:style w:type="character" w:customStyle="1" w:styleId="68">
    <w:name w:val="标题 6 字符"/>
    <w:link w:val="8"/>
    <w:qFormat/>
    <w:uiPriority w:val="9"/>
    <w:rPr>
      <w:rFonts w:ascii="Cambria" w:hAnsi="Cambria"/>
      <w:b/>
      <w:bCs/>
      <w:sz w:val="24"/>
      <w:szCs w:val="24"/>
    </w:rPr>
  </w:style>
  <w:style w:type="character" w:customStyle="1" w:styleId="69">
    <w:name w:val="标题 7 字符"/>
    <w:link w:val="9"/>
    <w:qFormat/>
    <w:uiPriority w:val="9"/>
    <w:rPr>
      <w:b/>
      <w:bCs/>
      <w:sz w:val="24"/>
      <w:szCs w:val="24"/>
    </w:rPr>
  </w:style>
  <w:style w:type="character" w:customStyle="1" w:styleId="70">
    <w:name w:val="标题 8 字符"/>
    <w:link w:val="10"/>
    <w:semiHidden/>
    <w:qFormat/>
    <w:uiPriority w:val="9"/>
    <w:rPr>
      <w:rFonts w:ascii="等线 Light" w:hAnsi="等线 Light" w:eastAsia="等线 Light" w:cs="Times New Roman"/>
      <w:kern w:val="2"/>
      <w:sz w:val="24"/>
      <w:szCs w:val="24"/>
    </w:rPr>
  </w:style>
  <w:style w:type="character" w:customStyle="1" w:styleId="71">
    <w:name w:val="标题 9 字符"/>
    <w:link w:val="11"/>
    <w:qFormat/>
    <w:uiPriority w:val="9"/>
    <w:rPr>
      <w:rFonts w:ascii="Cambria" w:hAnsi="Cambria"/>
      <w:szCs w:val="21"/>
    </w:rPr>
  </w:style>
  <w:style w:type="character" w:customStyle="1" w:styleId="72">
    <w:name w:val="文档结构图 字符"/>
    <w:link w:val="15"/>
    <w:qFormat/>
    <w:uiPriority w:val="99"/>
    <w:rPr>
      <w:kern w:val="2"/>
      <w:sz w:val="24"/>
      <w:szCs w:val="24"/>
      <w:shd w:val="clear" w:color="auto" w:fill="000080"/>
    </w:rPr>
  </w:style>
  <w:style w:type="character" w:customStyle="1" w:styleId="73">
    <w:name w:val="批注文字 字符2"/>
    <w:link w:val="16"/>
    <w:qFormat/>
    <w:uiPriority w:val="99"/>
    <w:rPr>
      <w:rFonts w:ascii="Times New Roman" w:hAnsi="Times New Roman"/>
      <w:kern w:val="2"/>
      <w:sz w:val="21"/>
      <w:szCs w:val="24"/>
    </w:rPr>
  </w:style>
  <w:style w:type="character" w:customStyle="1" w:styleId="74">
    <w:name w:val="正文文本 3 字符"/>
    <w:link w:val="17"/>
    <w:semiHidden/>
    <w:qFormat/>
    <w:uiPriority w:val="99"/>
    <w:rPr>
      <w:kern w:val="2"/>
      <w:sz w:val="16"/>
      <w:szCs w:val="16"/>
    </w:rPr>
  </w:style>
  <w:style w:type="character" w:customStyle="1" w:styleId="75">
    <w:name w:val="正文文本 字符1"/>
    <w:link w:val="18"/>
    <w:qFormat/>
    <w:uiPriority w:val="99"/>
    <w:rPr>
      <w:rFonts w:ascii="Times New Roman" w:hAnsi="Times New Roman"/>
      <w:kern w:val="2"/>
      <w:sz w:val="21"/>
      <w:szCs w:val="24"/>
    </w:rPr>
  </w:style>
  <w:style w:type="character" w:customStyle="1" w:styleId="76">
    <w:name w:val="正文文本缩进 字符"/>
    <w:link w:val="19"/>
    <w:qFormat/>
    <w:uiPriority w:val="99"/>
    <w:rPr>
      <w:rFonts w:ascii="仿宋_GB2312" w:hAnsi="Times New Roman" w:eastAsia="仿宋_GB2312" w:cs="Times New Roman"/>
      <w:sz w:val="32"/>
      <w:szCs w:val="20"/>
    </w:rPr>
  </w:style>
  <w:style w:type="character" w:customStyle="1" w:styleId="77">
    <w:name w:val="纯文本 字符3"/>
    <w:link w:val="24"/>
    <w:qFormat/>
    <w:uiPriority w:val="99"/>
    <w:rPr>
      <w:rFonts w:ascii="宋体" w:hAnsi="Courier New" w:eastAsia="宋体" w:cs="Courier New"/>
      <w:szCs w:val="21"/>
    </w:rPr>
  </w:style>
  <w:style w:type="character" w:customStyle="1" w:styleId="78">
    <w:name w:val="日期 字符"/>
    <w:link w:val="26"/>
    <w:qFormat/>
    <w:uiPriority w:val="99"/>
    <w:rPr>
      <w:rFonts w:ascii="Times New Roman" w:hAnsi="Times New Roman"/>
      <w:kern w:val="2"/>
      <w:sz w:val="21"/>
      <w:szCs w:val="24"/>
    </w:rPr>
  </w:style>
  <w:style w:type="character" w:customStyle="1" w:styleId="79">
    <w:name w:val="正文文本缩进 2 字符"/>
    <w:link w:val="27"/>
    <w:qFormat/>
    <w:uiPriority w:val="99"/>
    <w:rPr>
      <w:kern w:val="2"/>
      <w:sz w:val="24"/>
      <w:szCs w:val="24"/>
    </w:rPr>
  </w:style>
  <w:style w:type="character" w:customStyle="1" w:styleId="80">
    <w:name w:val="批注框文本 字符"/>
    <w:link w:val="28"/>
    <w:qFormat/>
    <w:locked/>
    <w:uiPriority w:val="99"/>
    <w:rPr>
      <w:kern w:val="2"/>
      <w:sz w:val="18"/>
      <w:szCs w:val="18"/>
    </w:rPr>
  </w:style>
  <w:style w:type="character" w:customStyle="1" w:styleId="81">
    <w:name w:val="页脚 字符"/>
    <w:link w:val="29"/>
    <w:qFormat/>
    <w:uiPriority w:val="99"/>
    <w:rPr>
      <w:sz w:val="18"/>
      <w:szCs w:val="18"/>
    </w:rPr>
  </w:style>
  <w:style w:type="character" w:customStyle="1" w:styleId="82">
    <w:name w:val="页眉 字符"/>
    <w:link w:val="30"/>
    <w:qFormat/>
    <w:uiPriority w:val="99"/>
    <w:rPr>
      <w:sz w:val="18"/>
      <w:szCs w:val="18"/>
    </w:rPr>
  </w:style>
  <w:style w:type="character" w:customStyle="1" w:styleId="83">
    <w:name w:val="副标题 字符"/>
    <w:link w:val="33"/>
    <w:qFormat/>
    <w:uiPriority w:val="11"/>
    <w:rPr>
      <w:rFonts w:ascii="Cambria" w:hAnsi="Cambria"/>
      <w:b/>
      <w:bCs/>
      <w:kern w:val="28"/>
      <w:sz w:val="32"/>
      <w:szCs w:val="32"/>
    </w:rPr>
  </w:style>
  <w:style w:type="character" w:customStyle="1" w:styleId="84">
    <w:name w:val="脚注文本 字符"/>
    <w:link w:val="34"/>
    <w:qFormat/>
    <w:uiPriority w:val="99"/>
    <w:rPr>
      <w:sz w:val="18"/>
      <w:szCs w:val="18"/>
    </w:rPr>
  </w:style>
  <w:style w:type="character" w:customStyle="1" w:styleId="85">
    <w:name w:val="HTML 预设格式 字符"/>
    <w:link w:val="38"/>
    <w:qFormat/>
    <w:uiPriority w:val="99"/>
    <w:rPr>
      <w:rFonts w:ascii="宋体" w:hAnsi="宋体"/>
      <w:sz w:val="24"/>
      <w:szCs w:val="24"/>
    </w:rPr>
  </w:style>
  <w:style w:type="character" w:customStyle="1" w:styleId="86">
    <w:name w:val="标题 字符"/>
    <w:link w:val="40"/>
    <w:qFormat/>
    <w:uiPriority w:val="99"/>
    <w:rPr>
      <w:rFonts w:ascii="Cambria" w:hAnsi="Cambria"/>
      <w:b/>
      <w:bCs/>
      <w:kern w:val="2"/>
      <w:sz w:val="32"/>
      <w:szCs w:val="32"/>
    </w:rPr>
  </w:style>
  <w:style w:type="character" w:customStyle="1" w:styleId="87">
    <w:name w:val="批注主题 字符"/>
    <w:link w:val="41"/>
    <w:qFormat/>
    <w:uiPriority w:val="99"/>
    <w:rPr>
      <w:rFonts w:ascii="Times New Roman" w:hAnsi="Times New Roman"/>
      <w:b/>
      <w:bCs/>
      <w:kern w:val="2"/>
      <w:sz w:val="21"/>
      <w:szCs w:val="24"/>
    </w:rPr>
  </w:style>
  <w:style w:type="character" w:customStyle="1" w:styleId="88">
    <w:name w:val="访问过的超链接1"/>
    <w:qFormat/>
    <w:uiPriority w:val="99"/>
    <w:rPr>
      <w:color w:val="800080"/>
      <w:u w:val="single"/>
    </w:rPr>
  </w:style>
  <w:style w:type="character" w:customStyle="1" w:styleId="89">
    <w:name w:val="书籍标题1"/>
    <w:qFormat/>
    <w:uiPriority w:val="99"/>
    <w:rPr>
      <w:b/>
      <w:bCs/>
      <w:smallCaps/>
      <w:spacing w:val="5"/>
    </w:rPr>
  </w:style>
  <w:style w:type="character" w:customStyle="1" w:styleId="90">
    <w:name w:val="Body text|5_"/>
    <w:link w:val="91"/>
    <w:qFormat/>
    <w:uiPriority w:val="0"/>
    <w:rPr>
      <w:rFonts w:ascii="宋体" w:hAnsi="宋体" w:cs="宋体"/>
      <w:sz w:val="52"/>
      <w:szCs w:val="52"/>
      <w:lang w:val="zh-CN" w:bidi="zh-CN"/>
    </w:rPr>
  </w:style>
  <w:style w:type="paragraph" w:customStyle="1" w:styleId="91">
    <w:name w:val="Body text|5"/>
    <w:basedOn w:val="1"/>
    <w:link w:val="90"/>
    <w:qFormat/>
    <w:uiPriority w:val="0"/>
    <w:pPr>
      <w:jc w:val="center"/>
    </w:pPr>
    <w:rPr>
      <w:rFonts w:ascii="宋体" w:hAnsi="宋体" w:cs="宋体"/>
      <w:kern w:val="0"/>
      <w:sz w:val="52"/>
      <w:szCs w:val="52"/>
      <w:lang w:val="zh-CN" w:bidi="zh-CN"/>
    </w:rPr>
  </w:style>
  <w:style w:type="character" w:customStyle="1" w:styleId="92">
    <w:name w:val="Body text|1_"/>
    <w:link w:val="93"/>
    <w:qFormat/>
    <w:uiPriority w:val="0"/>
    <w:rPr>
      <w:rFonts w:ascii="宋体" w:hAnsi="宋体" w:cs="宋体"/>
      <w:kern w:val="2"/>
      <w:sz w:val="21"/>
      <w:lang w:val="zh-CN" w:bidi="zh-CN"/>
    </w:rPr>
  </w:style>
  <w:style w:type="paragraph" w:customStyle="1" w:styleId="93">
    <w:name w:val="Body text|1"/>
    <w:basedOn w:val="1"/>
    <w:link w:val="92"/>
    <w:qFormat/>
    <w:uiPriority w:val="0"/>
    <w:pPr>
      <w:spacing w:line="360" w:lineRule="auto"/>
      <w:ind w:firstLine="400"/>
    </w:pPr>
    <w:rPr>
      <w:rFonts w:ascii="宋体" w:hAnsi="宋体" w:cs="宋体"/>
      <w:szCs w:val="20"/>
      <w:lang w:val="zh-CN" w:bidi="zh-CN"/>
    </w:rPr>
  </w:style>
  <w:style w:type="character" w:customStyle="1" w:styleId="94">
    <w:name w:val="Table caption|1_"/>
    <w:link w:val="95"/>
    <w:qFormat/>
    <w:uiPriority w:val="0"/>
    <w:rPr>
      <w:rFonts w:ascii="宋体" w:hAnsi="宋体" w:cs="宋体"/>
      <w:lang w:val="zh-CN" w:bidi="zh-CN"/>
    </w:rPr>
  </w:style>
  <w:style w:type="paragraph" w:customStyle="1" w:styleId="95">
    <w:name w:val="Table caption|1"/>
    <w:basedOn w:val="1"/>
    <w:link w:val="94"/>
    <w:qFormat/>
    <w:uiPriority w:val="0"/>
    <w:pPr>
      <w:jc w:val="left"/>
    </w:pPr>
    <w:rPr>
      <w:rFonts w:ascii="宋体" w:hAnsi="宋体" w:cs="宋体"/>
      <w:kern w:val="0"/>
      <w:sz w:val="20"/>
      <w:szCs w:val="20"/>
      <w:lang w:val="zh-CN" w:bidi="zh-CN"/>
    </w:rPr>
  </w:style>
  <w:style w:type="character" w:customStyle="1" w:styleId="96">
    <w:name w:val="Heading #4|1_"/>
    <w:link w:val="97"/>
    <w:qFormat/>
    <w:uiPriority w:val="0"/>
    <w:rPr>
      <w:rFonts w:ascii="宋体" w:hAnsi="宋体" w:cs="宋体"/>
      <w:lang w:val="zh-CN" w:bidi="zh-CN"/>
    </w:rPr>
  </w:style>
  <w:style w:type="paragraph" w:customStyle="1" w:styleId="97">
    <w:name w:val="Heading #4|1"/>
    <w:basedOn w:val="1"/>
    <w:link w:val="96"/>
    <w:qFormat/>
    <w:uiPriority w:val="0"/>
    <w:pPr>
      <w:spacing w:after="120"/>
      <w:jc w:val="left"/>
      <w:outlineLvl w:val="3"/>
    </w:pPr>
    <w:rPr>
      <w:rFonts w:ascii="宋体" w:hAnsi="宋体" w:cs="宋体"/>
      <w:kern w:val="0"/>
      <w:sz w:val="20"/>
      <w:szCs w:val="20"/>
      <w:lang w:val="zh-CN" w:bidi="zh-CN"/>
    </w:rPr>
  </w:style>
  <w:style w:type="character" w:customStyle="1" w:styleId="98">
    <w:name w:val="Body text|2_"/>
    <w:link w:val="99"/>
    <w:qFormat/>
    <w:uiPriority w:val="0"/>
    <w:rPr>
      <w:sz w:val="21"/>
    </w:rPr>
  </w:style>
  <w:style w:type="paragraph" w:customStyle="1" w:styleId="99">
    <w:name w:val="Body text|2"/>
    <w:basedOn w:val="1"/>
    <w:link w:val="98"/>
    <w:qFormat/>
    <w:uiPriority w:val="0"/>
    <w:pPr>
      <w:spacing w:after="30"/>
      <w:ind w:firstLine="420"/>
      <w:jc w:val="left"/>
    </w:pPr>
    <w:rPr>
      <w:kern w:val="0"/>
      <w:szCs w:val="20"/>
    </w:rPr>
  </w:style>
  <w:style w:type="character" w:customStyle="1" w:styleId="100">
    <w:name w:val="Heading #1|1_"/>
    <w:link w:val="101"/>
    <w:qFormat/>
    <w:uiPriority w:val="0"/>
    <w:rPr>
      <w:rFonts w:ascii="宋体" w:hAnsi="宋体" w:cs="宋体"/>
      <w:sz w:val="38"/>
      <w:szCs w:val="38"/>
      <w:lang w:val="zh-CN" w:bidi="zh-CN"/>
    </w:rPr>
  </w:style>
  <w:style w:type="paragraph" w:customStyle="1" w:styleId="101">
    <w:name w:val="Heading #1|1"/>
    <w:basedOn w:val="1"/>
    <w:link w:val="100"/>
    <w:qFormat/>
    <w:uiPriority w:val="0"/>
    <w:pPr>
      <w:spacing w:after="440" w:line="564" w:lineRule="exact"/>
      <w:jc w:val="center"/>
      <w:outlineLvl w:val="0"/>
    </w:pPr>
    <w:rPr>
      <w:rFonts w:ascii="宋体" w:hAnsi="宋体" w:cs="宋体"/>
      <w:kern w:val="0"/>
      <w:sz w:val="38"/>
      <w:szCs w:val="38"/>
      <w:lang w:val="zh-CN" w:bidi="zh-CN"/>
    </w:rPr>
  </w:style>
  <w:style w:type="character" w:customStyle="1" w:styleId="102">
    <w:name w:val="Header or footer|2_"/>
    <w:link w:val="103"/>
    <w:qFormat/>
    <w:uiPriority w:val="0"/>
    <w:rPr>
      <w:lang w:val="zh-CN" w:bidi="zh-CN"/>
    </w:rPr>
  </w:style>
  <w:style w:type="paragraph" w:customStyle="1" w:styleId="103">
    <w:name w:val="Header or footer|2"/>
    <w:basedOn w:val="1"/>
    <w:link w:val="102"/>
    <w:qFormat/>
    <w:uiPriority w:val="0"/>
    <w:pPr>
      <w:jc w:val="left"/>
    </w:pPr>
    <w:rPr>
      <w:kern w:val="0"/>
      <w:sz w:val="20"/>
      <w:szCs w:val="20"/>
      <w:lang w:val="zh-CN" w:bidi="zh-CN"/>
    </w:rPr>
  </w:style>
  <w:style w:type="character" w:customStyle="1" w:styleId="104">
    <w:name w:val="Title Char"/>
    <w:qFormat/>
    <w:uiPriority w:val="99"/>
    <w:rPr>
      <w:rFonts w:ascii="Cambria" w:hAnsi="Cambria" w:cs="Cambria"/>
      <w:b/>
      <w:bCs/>
      <w:sz w:val="32"/>
      <w:szCs w:val="32"/>
    </w:rPr>
  </w:style>
  <w:style w:type="character" w:customStyle="1" w:styleId="105">
    <w:name w:val="Body text|3_"/>
    <w:link w:val="106"/>
    <w:qFormat/>
    <w:uiPriority w:val="0"/>
    <w:rPr>
      <w:rFonts w:ascii="宋体" w:hAnsi="宋体" w:cs="宋体"/>
      <w:lang w:val="zh-CN" w:bidi="zh-CN"/>
    </w:rPr>
  </w:style>
  <w:style w:type="paragraph" w:customStyle="1" w:styleId="106">
    <w:name w:val="Body text|3"/>
    <w:basedOn w:val="1"/>
    <w:link w:val="105"/>
    <w:qFormat/>
    <w:uiPriority w:val="0"/>
    <w:pPr>
      <w:spacing w:after="340"/>
      <w:jc w:val="left"/>
    </w:pPr>
    <w:rPr>
      <w:rFonts w:ascii="宋体" w:hAnsi="宋体" w:cs="宋体"/>
      <w:kern w:val="0"/>
      <w:sz w:val="20"/>
      <w:szCs w:val="20"/>
      <w:lang w:val="zh-CN" w:bidi="zh-CN"/>
    </w:rPr>
  </w:style>
  <w:style w:type="character" w:customStyle="1" w:styleId="107">
    <w:name w:val="Table of contents|1_"/>
    <w:link w:val="108"/>
    <w:qFormat/>
    <w:uiPriority w:val="0"/>
    <w:rPr>
      <w:rFonts w:ascii="宋体" w:hAnsi="宋体" w:cs="宋体"/>
      <w:lang w:val="zh-CN" w:bidi="zh-CN"/>
    </w:rPr>
  </w:style>
  <w:style w:type="paragraph" w:customStyle="1" w:styleId="108">
    <w:name w:val="Table of contents|1"/>
    <w:basedOn w:val="1"/>
    <w:link w:val="107"/>
    <w:qFormat/>
    <w:uiPriority w:val="0"/>
    <w:pPr>
      <w:spacing w:after="100"/>
      <w:ind w:firstLine="600"/>
      <w:jc w:val="left"/>
    </w:pPr>
    <w:rPr>
      <w:rFonts w:ascii="宋体" w:hAnsi="宋体" w:cs="宋体"/>
      <w:kern w:val="0"/>
      <w:sz w:val="20"/>
      <w:szCs w:val="20"/>
      <w:lang w:val="zh-CN" w:bidi="zh-CN"/>
    </w:rPr>
  </w:style>
  <w:style w:type="character" w:customStyle="1" w:styleId="109">
    <w:name w:val="Date Char"/>
    <w:qFormat/>
    <w:uiPriority w:val="99"/>
    <w:rPr>
      <w:rFonts w:eastAsia="宋体"/>
      <w:kern w:val="2"/>
      <w:sz w:val="24"/>
      <w:szCs w:val="24"/>
      <w:lang w:val="en-US" w:eastAsia="zh-CN"/>
    </w:rPr>
  </w:style>
  <w:style w:type="character" w:customStyle="1" w:styleId="110">
    <w:name w:val="Char Char9"/>
    <w:qFormat/>
    <w:uiPriority w:val="99"/>
    <w:rPr>
      <w:rFonts w:eastAsia="宋体"/>
      <w:b/>
      <w:bCs/>
      <w:kern w:val="44"/>
      <w:sz w:val="44"/>
      <w:szCs w:val="44"/>
      <w:lang w:val="en-US" w:eastAsia="zh-CN"/>
    </w:rPr>
  </w:style>
  <w:style w:type="character" w:customStyle="1" w:styleId="111">
    <w:name w:val="Document Map Char"/>
    <w:qFormat/>
    <w:uiPriority w:val="99"/>
    <w:rPr>
      <w:rFonts w:eastAsia="宋体"/>
      <w:kern w:val="2"/>
      <w:sz w:val="24"/>
      <w:szCs w:val="24"/>
      <w:lang w:val="en-US" w:eastAsia="zh-CN"/>
    </w:rPr>
  </w:style>
  <w:style w:type="character" w:customStyle="1" w:styleId="112">
    <w:name w:val="Header Char"/>
    <w:qFormat/>
    <w:uiPriority w:val="99"/>
    <w:rPr>
      <w:rFonts w:eastAsia="宋体"/>
      <w:kern w:val="2"/>
      <w:sz w:val="18"/>
      <w:szCs w:val="18"/>
      <w:lang w:val="en-US" w:eastAsia="zh-CN"/>
    </w:rPr>
  </w:style>
  <w:style w:type="character" w:customStyle="1" w:styleId="113">
    <w:name w:val="明显参考1"/>
    <w:qFormat/>
    <w:uiPriority w:val="99"/>
    <w:rPr>
      <w:b/>
      <w:bCs/>
      <w:smallCaps/>
      <w:color w:val="auto"/>
      <w:spacing w:val="5"/>
      <w:u w:val="single"/>
    </w:rPr>
  </w:style>
  <w:style w:type="character" w:customStyle="1" w:styleId="114">
    <w:name w:val="Heading 1 Char"/>
    <w:qFormat/>
    <w:uiPriority w:val="99"/>
    <w:rPr>
      <w:rFonts w:eastAsia="宋体"/>
      <w:b/>
      <w:bCs/>
      <w:kern w:val="44"/>
      <w:sz w:val="44"/>
      <w:szCs w:val="44"/>
      <w:lang w:val="en-US" w:eastAsia="zh-CN"/>
    </w:rPr>
  </w:style>
  <w:style w:type="character" w:customStyle="1" w:styleId="115">
    <w:name w:val="Comment Text Char"/>
    <w:qFormat/>
    <w:uiPriority w:val="99"/>
    <w:rPr>
      <w:sz w:val="24"/>
      <w:szCs w:val="24"/>
    </w:rPr>
  </w:style>
  <w:style w:type="character" w:customStyle="1" w:styleId="116">
    <w:name w:val="Char Char23"/>
    <w:qFormat/>
    <w:uiPriority w:val="99"/>
    <w:rPr>
      <w:rFonts w:eastAsia="宋体"/>
      <w:b/>
      <w:bCs/>
      <w:kern w:val="44"/>
      <w:sz w:val="44"/>
      <w:szCs w:val="44"/>
      <w:lang w:val="en-US" w:eastAsia="zh-CN"/>
    </w:rPr>
  </w:style>
  <w:style w:type="character" w:customStyle="1" w:styleId="117">
    <w:name w:val="Char Char181"/>
    <w:qFormat/>
    <w:uiPriority w:val="99"/>
    <w:rPr>
      <w:b/>
      <w:bCs/>
      <w:kern w:val="44"/>
      <w:sz w:val="44"/>
      <w:szCs w:val="44"/>
    </w:rPr>
  </w:style>
  <w:style w:type="character" w:customStyle="1" w:styleId="118">
    <w:name w:val="Char Char22"/>
    <w:qFormat/>
    <w:uiPriority w:val="99"/>
    <w:rPr>
      <w:rFonts w:ascii="Times New Roman" w:hAnsi="Times New Roman" w:eastAsia="宋体" w:cs="Times New Roman"/>
      <w:b/>
      <w:bCs/>
      <w:kern w:val="44"/>
      <w:sz w:val="44"/>
      <w:szCs w:val="44"/>
    </w:rPr>
  </w:style>
  <w:style w:type="character" w:customStyle="1" w:styleId="119">
    <w:name w:val="引用 Char1"/>
    <w:qFormat/>
    <w:uiPriority w:val="99"/>
    <w:rPr>
      <w:rFonts w:ascii="Times New Roman" w:hAnsi="Times New Roman" w:eastAsia="宋体" w:cs="Times New Roman"/>
      <w:i/>
      <w:iCs/>
      <w:color w:val="000000"/>
      <w:sz w:val="24"/>
      <w:szCs w:val="24"/>
    </w:rPr>
  </w:style>
  <w:style w:type="character" w:customStyle="1" w:styleId="120">
    <w:name w:val="Heading 3 Char1"/>
    <w:qFormat/>
    <w:uiPriority w:val="99"/>
    <w:rPr>
      <w:rFonts w:eastAsia="宋体"/>
      <w:b/>
      <w:bCs/>
      <w:kern w:val="2"/>
      <w:sz w:val="32"/>
      <w:szCs w:val="32"/>
      <w:lang w:val="en-US" w:eastAsia="zh-CN"/>
    </w:rPr>
  </w:style>
  <w:style w:type="character" w:customStyle="1" w:styleId="121">
    <w:name w:val="明显强调1"/>
    <w:qFormat/>
    <w:uiPriority w:val="99"/>
    <w:rPr>
      <w:b/>
      <w:bCs/>
      <w:i/>
      <w:iCs/>
      <w:color w:val="4F81BD"/>
    </w:rPr>
  </w:style>
  <w:style w:type="character" w:customStyle="1" w:styleId="122">
    <w:name w:val="明显引用 Char1"/>
    <w:qFormat/>
    <w:uiPriority w:val="99"/>
    <w:rPr>
      <w:rFonts w:ascii="Times New Roman" w:hAnsi="Times New Roman" w:eastAsia="宋体" w:cs="Times New Roman"/>
      <w:b/>
      <w:bCs/>
      <w:i/>
      <w:iCs/>
      <w:color w:val="4F81BD"/>
      <w:sz w:val="24"/>
      <w:szCs w:val="24"/>
    </w:rPr>
  </w:style>
  <w:style w:type="character" w:customStyle="1" w:styleId="123">
    <w:name w:val="标题 Char2"/>
    <w:qFormat/>
    <w:uiPriority w:val="99"/>
    <w:rPr>
      <w:rFonts w:ascii="Cambria" w:hAnsi="Cambria" w:eastAsia="宋体" w:cs="Cambria"/>
      <w:b/>
      <w:bCs/>
      <w:sz w:val="32"/>
      <w:szCs w:val="32"/>
    </w:rPr>
  </w:style>
  <w:style w:type="character" w:customStyle="1" w:styleId="124">
    <w:name w:val="标题 Char1"/>
    <w:qFormat/>
    <w:uiPriority w:val="99"/>
    <w:rPr>
      <w:rFonts w:ascii="Cambria" w:hAnsi="Cambria" w:eastAsia="宋体" w:cs="Cambria"/>
      <w:b/>
      <w:bCs/>
      <w:sz w:val="32"/>
      <w:szCs w:val="32"/>
    </w:rPr>
  </w:style>
  <w:style w:type="character" w:customStyle="1" w:styleId="125">
    <w:name w:val="Heading 5 Char"/>
    <w:qFormat/>
    <w:uiPriority w:val="99"/>
    <w:rPr>
      <w:rFonts w:eastAsia="宋体"/>
      <w:b/>
      <w:bCs/>
      <w:kern w:val="2"/>
      <w:sz w:val="28"/>
      <w:szCs w:val="28"/>
      <w:lang w:val="en-US" w:eastAsia="zh-CN"/>
    </w:rPr>
  </w:style>
  <w:style w:type="character" w:customStyle="1" w:styleId="126">
    <w:name w:val="标题 1 字符1"/>
    <w:qFormat/>
    <w:uiPriority w:val="0"/>
    <w:rPr>
      <w:b/>
      <w:bCs/>
      <w:kern w:val="44"/>
      <w:sz w:val="44"/>
      <w:szCs w:val="44"/>
    </w:rPr>
  </w:style>
  <w:style w:type="character" w:customStyle="1" w:styleId="127">
    <w:name w:val="明显引用 Char"/>
    <w:link w:val="128"/>
    <w:qFormat/>
    <w:locked/>
    <w:uiPriority w:val="99"/>
    <w:rPr>
      <w:b/>
      <w:bCs/>
      <w:i/>
      <w:iCs/>
      <w:color w:val="4F81BD"/>
    </w:rPr>
  </w:style>
  <w:style w:type="paragraph" w:customStyle="1" w:styleId="128">
    <w:name w:val="明显引用1"/>
    <w:basedOn w:val="1"/>
    <w:next w:val="1"/>
    <w:link w:val="127"/>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29">
    <w:name w:val="textcontents"/>
    <w:qFormat/>
    <w:uiPriority w:val="99"/>
  </w:style>
  <w:style w:type="character" w:customStyle="1" w:styleId="130">
    <w:name w:val="Char Char19"/>
    <w:qFormat/>
    <w:uiPriority w:val="99"/>
    <w:rPr>
      <w:rFonts w:ascii="Arial" w:hAnsi="Arial" w:eastAsia="宋体" w:cs="Arial"/>
      <w:b/>
      <w:bCs/>
      <w:sz w:val="28"/>
      <w:szCs w:val="28"/>
    </w:rPr>
  </w:style>
  <w:style w:type="character" w:customStyle="1" w:styleId="131">
    <w:name w:val="批注文字 Char"/>
    <w:qFormat/>
    <w:uiPriority w:val="99"/>
    <w:rPr>
      <w:rFonts w:ascii="Times New Roman" w:hAnsi="Times New Roman"/>
      <w:kern w:val="2"/>
      <w:sz w:val="21"/>
      <w:szCs w:val="24"/>
    </w:rPr>
  </w:style>
  <w:style w:type="character" w:customStyle="1" w:styleId="132">
    <w:name w:val="标题5 Char Char"/>
    <w:link w:val="133"/>
    <w:qFormat/>
    <w:locked/>
    <w:uiPriority w:val="99"/>
    <w:rPr>
      <w:rFonts w:ascii="Arial" w:hAnsi="Arial" w:cs="Arial"/>
      <w:b/>
      <w:bCs/>
      <w:sz w:val="32"/>
      <w:szCs w:val="32"/>
    </w:rPr>
  </w:style>
  <w:style w:type="paragraph" w:customStyle="1" w:styleId="133">
    <w:name w:val="标题5"/>
    <w:basedOn w:val="4"/>
    <w:link w:val="132"/>
    <w:qFormat/>
    <w:uiPriority w:val="99"/>
    <w:pPr>
      <w:spacing w:line="413" w:lineRule="auto"/>
    </w:pPr>
    <w:rPr>
      <w:rFonts w:ascii="Arial" w:hAnsi="Arial"/>
      <w:kern w:val="0"/>
    </w:rPr>
  </w:style>
  <w:style w:type="character" w:customStyle="1" w:styleId="134">
    <w:name w:val="纯文本 字符"/>
    <w:qFormat/>
    <w:uiPriority w:val="0"/>
    <w:rPr>
      <w:rFonts w:ascii="宋体" w:hAnsi="Courier New" w:eastAsia="宋体" w:cs="Courier New"/>
      <w:szCs w:val="21"/>
    </w:rPr>
  </w:style>
  <w:style w:type="character" w:customStyle="1" w:styleId="135">
    <w:name w:val="引用 Char"/>
    <w:link w:val="136"/>
    <w:qFormat/>
    <w:locked/>
    <w:uiPriority w:val="99"/>
    <w:rPr>
      <w:i/>
      <w:iCs/>
      <w:color w:val="000000"/>
    </w:rPr>
  </w:style>
  <w:style w:type="paragraph" w:customStyle="1" w:styleId="136">
    <w:name w:val="引用1"/>
    <w:basedOn w:val="1"/>
    <w:next w:val="1"/>
    <w:link w:val="135"/>
    <w:qFormat/>
    <w:uiPriority w:val="99"/>
    <w:rPr>
      <w:i/>
      <w:iCs/>
      <w:color w:val="000000"/>
      <w:kern w:val="0"/>
      <w:sz w:val="20"/>
      <w:szCs w:val="20"/>
    </w:rPr>
  </w:style>
  <w:style w:type="character" w:customStyle="1" w:styleId="137">
    <w:name w:val="纯文本 Char"/>
    <w:qFormat/>
    <w:uiPriority w:val="0"/>
    <w:rPr>
      <w:rFonts w:ascii="宋体" w:hAnsi="Courier New" w:eastAsia="宋体" w:cs="Courier New"/>
      <w:szCs w:val="21"/>
    </w:rPr>
  </w:style>
  <w:style w:type="character" w:customStyle="1" w:styleId="138">
    <w:name w:val="日期 Char1"/>
    <w:qFormat/>
    <w:uiPriority w:val="99"/>
    <w:rPr>
      <w:rFonts w:ascii="Times New Roman" w:hAnsi="Times New Roman" w:eastAsia="宋体" w:cs="Times New Roman"/>
      <w:sz w:val="24"/>
      <w:szCs w:val="24"/>
    </w:rPr>
  </w:style>
  <w:style w:type="character" w:customStyle="1" w:styleId="139">
    <w:name w:val="纯文本 字符2"/>
    <w:qFormat/>
    <w:uiPriority w:val="0"/>
    <w:rPr>
      <w:rFonts w:ascii="宋体" w:hAnsi="Courier New" w:eastAsia="宋体" w:cs="Courier New"/>
      <w:szCs w:val="21"/>
    </w:rPr>
  </w:style>
  <w:style w:type="character" w:customStyle="1" w:styleId="140">
    <w:name w:val="Char Char91"/>
    <w:qFormat/>
    <w:uiPriority w:val="99"/>
    <w:rPr>
      <w:rFonts w:eastAsia="宋体"/>
      <w:b/>
      <w:bCs/>
      <w:kern w:val="44"/>
      <w:sz w:val="44"/>
      <w:szCs w:val="44"/>
      <w:lang w:val="en-US" w:eastAsia="zh-CN"/>
    </w:rPr>
  </w:style>
  <w:style w:type="character" w:customStyle="1" w:styleId="141">
    <w:name w:val="批注文字 字符1"/>
    <w:qFormat/>
    <w:uiPriority w:val="0"/>
    <w:rPr>
      <w:rFonts w:ascii="Times New Roman" w:hAnsi="Times New Roman"/>
      <w:kern w:val="2"/>
      <w:sz w:val="21"/>
      <w:szCs w:val="24"/>
    </w:rPr>
  </w:style>
  <w:style w:type="character" w:customStyle="1" w:styleId="142">
    <w:name w:val="Char Char6"/>
    <w:qFormat/>
    <w:uiPriority w:val="99"/>
    <w:rPr>
      <w:rFonts w:eastAsia="宋体"/>
      <w:b/>
      <w:bCs/>
      <w:kern w:val="44"/>
      <w:sz w:val="44"/>
      <w:szCs w:val="44"/>
      <w:lang w:val="en-US" w:eastAsia="zh-CN"/>
    </w:rPr>
  </w:style>
  <w:style w:type="character" w:customStyle="1" w:styleId="14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44">
    <w:name w:val="Comment Text Char1"/>
    <w:qFormat/>
    <w:uiPriority w:val="99"/>
    <w:rPr>
      <w:sz w:val="24"/>
      <w:szCs w:val="24"/>
    </w:rPr>
  </w:style>
  <w:style w:type="character" w:customStyle="1" w:styleId="145">
    <w:name w:val="纯文本 字符1"/>
    <w:qFormat/>
    <w:uiPriority w:val="0"/>
    <w:rPr>
      <w:rFonts w:ascii="宋体" w:hAnsi="Courier New"/>
    </w:rPr>
  </w:style>
  <w:style w:type="character" w:customStyle="1" w:styleId="146">
    <w:name w:val="Footer Char"/>
    <w:qFormat/>
    <w:uiPriority w:val="99"/>
    <w:rPr>
      <w:rFonts w:eastAsia="宋体"/>
      <w:kern w:val="2"/>
      <w:sz w:val="18"/>
      <w:szCs w:val="18"/>
      <w:lang w:val="en-US" w:eastAsia="zh-CN"/>
    </w:rPr>
  </w:style>
  <w:style w:type="character" w:customStyle="1" w:styleId="147">
    <w:name w:val="正文文本 Char"/>
    <w:qFormat/>
    <w:uiPriority w:val="99"/>
    <w:rPr>
      <w:rFonts w:ascii="Times New Roman" w:hAnsi="Times New Roman"/>
      <w:kern w:val="2"/>
      <w:sz w:val="21"/>
      <w:szCs w:val="24"/>
    </w:rPr>
  </w:style>
  <w:style w:type="character" w:customStyle="1" w:styleId="148">
    <w:name w:val="Body Text Indent 2 Char"/>
    <w:qFormat/>
    <w:uiPriority w:val="99"/>
    <w:rPr>
      <w:rFonts w:eastAsia="宋体"/>
      <w:kern w:val="2"/>
      <w:sz w:val="24"/>
      <w:szCs w:val="24"/>
      <w:lang w:val="en-US" w:eastAsia="zh-CN"/>
    </w:rPr>
  </w:style>
  <w:style w:type="character" w:customStyle="1" w:styleId="149">
    <w:name w:val="批注文字 字符"/>
    <w:qFormat/>
    <w:uiPriority w:val="0"/>
    <w:rPr>
      <w:rFonts w:ascii="Times New Roman" w:hAnsi="Times New Roman"/>
      <w:kern w:val="2"/>
      <w:sz w:val="21"/>
      <w:szCs w:val="24"/>
    </w:rPr>
  </w:style>
  <w:style w:type="character" w:customStyle="1" w:styleId="150">
    <w:name w:val="标题 2 Char"/>
    <w:qFormat/>
    <w:uiPriority w:val="99"/>
    <w:rPr>
      <w:rFonts w:ascii="Cambria" w:hAnsi="Cambria" w:eastAsia="宋体" w:cs="Times New Roman"/>
      <w:b/>
      <w:bCs/>
      <w:kern w:val="2"/>
      <w:sz w:val="32"/>
      <w:szCs w:val="32"/>
    </w:rPr>
  </w:style>
  <w:style w:type="character" w:customStyle="1" w:styleId="151">
    <w:name w:val="标题 8 Char"/>
    <w:qFormat/>
    <w:uiPriority w:val="9"/>
    <w:rPr>
      <w:rFonts w:ascii="Arial" w:hAnsi="Arial" w:eastAsia="黑体"/>
      <w:kern w:val="2"/>
      <w:sz w:val="24"/>
      <w:szCs w:val="24"/>
    </w:rPr>
  </w:style>
  <w:style w:type="character" w:customStyle="1" w:styleId="152">
    <w:name w:val="apple-style-span"/>
    <w:qFormat/>
    <w:uiPriority w:val="0"/>
  </w:style>
  <w:style w:type="character" w:customStyle="1" w:styleId="153">
    <w:name w:val="正文文本 字符"/>
    <w:qFormat/>
    <w:uiPriority w:val="0"/>
    <w:rPr>
      <w:rFonts w:ascii="Times New Roman" w:hAnsi="Times New Roman"/>
      <w:kern w:val="2"/>
      <w:sz w:val="21"/>
      <w:szCs w:val="24"/>
    </w:rPr>
  </w:style>
  <w:style w:type="character" w:customStyle="1" w:styleId="154">
    <w:name w:val="批注文字 Char2"/>
    <w:qFormat/>
    <w:uiPriority w:val="0"/>
    <w:rPr>
      <w:rFonts w:ascii="Times New Roman" w:hAnsi="Times New Roman"/>
      <w:kern w:val="2"/>
      <w:sz w:val="21"/>
      <w:szCs w:val="24"/>
    </w:rPr>
  </w:style>
  <w:style w:type="character" w:customStyle="1" w:styleId="155">
    <w:name w:val="正文2 Char Char"/>
    <w:link w:val="156"/>
    <w:qFormat/>
    <w:uiPriority w:val="0"/>
    <w:rPr>
      <w:kern w:val="2"/>
      <w:sz w:val="24"/>
    </w:rPr>
  </w:style>
  <w:style w:type="paragraph" w:customStyle="1" w:styleId="156">
    <w:name w:val="正文2"/>
    <w:basedOn w:val="1"/>
    <w:link w:val="155"/>
    <w:qFormat/>
    <w:uiPriority w:val="0"/>
    <w:pPr>
      <w:adjustRightInd w:val="0"/>
      <w:spacing w:before="156" w:line="360" w:lineRule="auto"/>
      <w:ind w:firstLine="510" w:firstLineChars="200"/>
    </w:pPr>
    <w:rPr>
      <w:sz w:val="24"/>
      <w:szCs w:val="20"/>
    </w:rPr>
  </w:style>
  <w:style w:type="character" w:customStyle="1" w:styleId="157">
    <w:name w:val="不明显强调1"/>
    <w:qFormat/>
    <w:uiPriority w:val="99"/>
    <w:rPr>
      <w:i/>
      <w:iCs/>
      <w:color w:val="808080"/>
    </w:rPr>
  </w:style>
  <w:style w:type="character" w:customStyle="1" w:styleId="158">
    <w:name w:val="Body text|6_"/>
    <w:link w:val="159"/>
    <w:qFormat/>
    <w:uiPriority w:val="0"/>
    <w:rPr>
      <w:rFonts w:ascii="Arial" w:hAnsi="Arial" w:eastAsia="Arial" w:cs="Arial"/>
      <w:lang w:val="zh-CN"/>
    </w:rPr>
  </w:style>
  <w:style w:type="paragraph" w:customStyle="1" w:styleId="159">
    <w:name w:val="Body text|6"/>
    <w:basedOn w:val="1"/>
    <w:link w:val="158"/>
    <w:qFormat/>
    <w:uiPriority w:val="0"/>
    <w:pPr>
      <w:ind w:hanging="2220"/>
      <w:jc w:val="left"/>
    </w:pPr>
    <w:rPr>
      <w:rFonts w:ascii="Arial" w:hAnsi="Arial" w:eastAsia="Arial"/>
      <w:kern w:val="0"/>
      <w:sz w:val="20"/>
      <w:szCs w:val="20"/>
      <w:lang w:val="zh-CN"/>
    </w:rPr>
  </w:style>
  <w:style w:type="character" w:customStyle="1" w:styleId="160">
    <w:name w:val="批注文字 Char Char"/>
    <w:qFormat/>
    <w:uiPriority w:val="99"/>
    <w:rPr>
      <w:rFonts w:ascii="宋体" w:hAnsi="Times New Roman" w:eastAsia="宋体" w:cs="宋体"/>
      <w:sz w:val="20"/>
      <w:szCs w:val="20"/>
    </w:rPr>
  </w:style>
  <w:style w:type="character" w:customStyle="1" w:styleId="161">
    <w:name w:val="Heading 3 Char"/>
    <w:qFormat/>
    <w:uiPriority w:val="99"/>
    <w:rPr>
      <w:b/>
      <w:bCs/>
      <w:kern w:val="2"/>
      <w:sz w:val="32"/>
      <w:szCs w:val="32"/>
    </w:rPr>
  </w:style>
  <w:style w:type="character" w:customStyle="1" w:styleId="162">
    <w:name w:val="Heading 2 Char"/>
    <w:qFormat/>
    <w:uiPriority w:val="99"/>
    <w:rPr>
      <w:rFonts w:ascii="Arial" w:hAnsi="Arial" w:eastAsia="黑体" w:cs="Arial"/>
      <w:b/>
      <w:bCs/>
      <w:kern w:val="2"/>
      <w:sz w:val="32"/>
      <w:szCs w:val="32"/>
      <w:lang w:val="en-US" w:eastAsia="zh-CN"/>
    </w:rPr>
  </w:style>
  <w:style w:type="character" w:customStyle="1" w:styleId="163">
    <w:name w:val="Balloon Text Char"/>
    <w:qFormat/>
    <w:uiPriority w:val="99"/>
    <w:rPr>
      <w:sz w:val="18"/>
      <w:szCs w:val="18"/>
    </w:rPr>
  </w:style>
  <w:style w:type="character" w:customStyle="1" w:styleId="164">
    <w:name w:val="文档结构图 Char1"/>
    <w:qFormat/>
    <w:uiPriority w:val="99"/>
    <w:rPr>
      <w:rFonts w:ascii="宋体" w:hAnsi="Times New Roman" w:eastAsia="宋体" w:cs="宋体"/>
      <w:sz w:val="18"/>
      <w:szCs w:val="18"/>
    </w:rPr>
  </w:style>
  <w:style w:type="character" w:customStyle="1" w:styleId="165">
    <w:name w:val="Footnote Text Char"/>
    <w:qFormat/>
    <w:uiPriority w:val="99"/>
    <w:rPr>
      <w:rFonts w:eastAsia="宋体"/>
      <w:sz w:val="18"/>
      <w:szCs w:val="18"/>
      <w:lang w:val="en-US" w:eastAsia="zh-CN"/>
    </w:rPr>
  </w:style>
  <w:style w:type="character" w:customStyle="1" w:styleId="166">
    <w:name w:val="Char Char21"/>
    <w:qFormat/>
    <w:uiPriority w:val="99"/>
    <w:rPr>
      <w:rFonts w:ascii="Arial" w:hAnsi="Arial" w:eastAsia="黑体" w:cs="Arial"/>
      <w:b/>
      <w:bCs/>
      <w:sz w:val="32"/>
      <w:szCs w:val="32"/>
    </w:rPr>
  </w:style>
  <w:style w:type="character" w:customStyle="1" w:styleId="167">
    <w:name w:val="Other|1_"/>
    <w:link w:val="168"/>
    <w:qFormat/>
    <w:uiPriority w:val="0"/>
    <w:rPr>
      <w:rFonts w:ascii="宋体" w:hAnsi="宋体" w:cs="宋体"/>
      <w:lang w:val="zh-CN" w:bidi="zh-CN"/>
    </w:rPr>
  </w:style>
  <w:style w:type="paragraph" w:customStyle="1" w:styleId="168">
    <w:name w:val="Other|1"/>
    <w:basedOn w:val="1"/>
    <w:link w:val="167"/>
    <w:qFormat/>
    <w:uiPriority w:val="0"/>
    <w:pPr>
      <w:spacing w:line="360" w:lineRule="auto"/>
      <w:ind w:firstLine="400"/>
      <w:jc w:val="left"/>
    </w:pPr>
    <w:rPr>
      <w:rFonts w:ascii="宋体" w:hAnsi="宋体" w:cs="宋体"/>
      <w:kern w:val="0"/>
      <w:sz w:val="20"/>
      <w:szCs w:val="20"/>
      <w:lang w:val="zh-CN" w:bidi="zh-CN"/>
    </w:rPr>
  </w:style>
  <w:style w:type="character" w:customStyle="1" w:styleId="169">
    <w:name w:val="Body Text Indent Char"/>
    <w:qFormat/>
    <w:uiPriority w:val="99"/>
    <w:rPr>
      <w:rFonts w:ascii="宋体" w:hAnsi="宋体" w:eastAsia="宋体" w:cs="宋体"/>
      <w:kern w:val="2"/>
      <w:sz w:val="21"/>
      <w:szCs w:val="21"/>
      <w:lang w:val="en-US" w:eastAsia="zh-CN"/>
    </w:rPr>
  </w:style>
  <w:style w:type="character" w:customStyle="1" w:styleId="170">
    <w:name w:val="不明显参考1"/>
    <w:qFormat/>
    <w:uiPriority w:val="99"/>
    <w:rPr>
      <w:smallCaps/>
      <w:color w:val="auto"/>
      <w:u w:val="single"/>
    </w:rPr>
  </w:style>
  <w:style w:type="character" w:customStyle="1" w:styleId="171">
    <w:name w:val="Heading 4 Char"/>
    <w:qFormat/>
    <w:uiPriority w:val="99"/>
    <w:rPr>
      <w:rFonts w:ascii="Arial" w:hAnsi="Arial" w:eastAsia="宋体" w:cs="Arial"/>
      <w:b/>
      <w:bCs/>
      <w:kern w:val="2"/>
      <w:sz w:val="28"/>
      <w:szCs w:val="28"/>
      <w:lang w:val="en-US" w:eastAsia="zh-CN"/>
    </w:rPr>
  </w:style>
  <w:style w:type="character" w:customStyle="1" w:styleId="172">
    <w:name w:val="Body text|7_"/>
    <w:link w:val="173"/>
    <w:qFormat/>
    <w:uiPriority w:val="0"/>
    <w:rPr>
      <w:rFonts w:ascii="Courier New" w:hAnsi="Courier New" w:eastAsia="Courier New" w:cs="Courier New"/>
      <w:b/>
      <w:bCs/>
      <w:sz w:val="8"/>
      <w:szCs w:val="8"/>
      <w:lang w:val="zh-CN"/>
    </w:rPr>
  </w:style>
  <w:style w:type="paragraph" w:customStyle="1" w:styleId="173">
    <w:name w:val="Body text|7"/>
    <w:basedOn w:val="1"/>
    <w:link w:val="172"/>
    <w:qFormat/>
    <w:uiPriority w:val="0"/>
    <w:pPr>
      <w:ind w:hanging="1760"/>
      <w:jc w:val="left"/>
    </w:pPr>
    <w:rPr>
      <w:rFonts w:ascii="Courier New" w:hAnsi="Courier New" w:eastAsia="Courier New"/>
      <w:b/>
      <w:bCs/>
      <w:kern w:val="0"/>
      <w:sz w:val="8"/>
      <w:szCs w:val="8"/>
      <w:lang w:val="zh-CN"/>
    </w:rPr>
  </w:style>
  <w:style w:type="character" w:customStyle="1" w:styleId="174">
    <w:name w:val="Char Char20"/>
    <w:qFormat/>
    <w:uiPriority w:val="99"/>
    <w:rPr>
      <w:rFonts w:ascii="Times New Roman" w:hAnsi="Times New Roman" w:eastAsia="宋体" w:cs="Times New Roman"/>
      <w:b/>
      <w:bCs/>
      <w:sz w:val="32"/>
      <w:szCs w:val="32"/>
    </w:rPr>
  </w:style>
  <w:style w:type="character" w:customStyle="1" w:styleId="175">
    <w:name w:val="Body text|4_"/>
    <w:link w:val="176"/>
    <w:qFormat/>
    <w:uiPriority w:val="0"/>
    <w:rPr>
      <w:rFonts w:ascii="宋体" w:hAnsi="宋体" w:cs="宋体"/>
      <w:b/>
      <w:bCs/>
      <w:sz w:val="17"/>
      <w:szCs w:val="17"/>
      <w:lang w:val="zh-CN" w:bidi="zh-CN"/>
    </w:rPr>
  </w:style>
  <w:style w:type="paragraph" w:customStyle="1" w:styleId="176">
    <w:name w:val="Body text|4"/>
    <w:basedOn w:val="1"/>
    <w:link w:val="175"/>
    <w:qFormat/>
    <w:uiPriority w:val="0"/>
    <w:pPr>
      <w:spacing w:line="281" w:lineRule="exact"/>
      <w:jc w:val="center"/>
    </w:pPr>
    <w:rPr>
      <w:rFonts w:ascii="宋体" w:hAnsi="宋体" w:cs="宋体"/>
      <w:b/>
      <w:bCs/>
      <w:kern w:val="0"/>
      <w:sz w:val="17"/>
      <w:szCs w:val="17"/>
      <w:lang w:val="zh-CN" w:bidi="zh-CN"/>
    </w:rPr>
  </w:style>
  <w:style w:type="character" w:customStyle="1" w:styleId="177">
    <w:name w:val="Comment Subject Char"/>
    <w:qFormat/>
    <w:uiPriority w:val="99"/>
    <w:rPr>
      <w:b/>
      <w:bCs/>
      <w:sz w:val="24"/>
      <w:szCs w:val="24"/>
    </w:rPr>
  </w:style>
  <w:style w:type="character" w:customStyle="1" w:styleId="178">
    <w:name w:val="Heading #2|1_"/>
    <w:link w:val="179"/>
    <w:qFormat/>
    <w:uiPriority w:val="0"/>
    <w:rPr>
      <w:rFonts w:ascii="宋体" w:hAnsi="宋体" w:cs="宋体"/>
      <w:sz w:val="34"/>
      <w:szCs w:val="34"/>
      <w:lang w:val="zh-CN" w:bidi="zh-CN"/>
    </w:rPr>
  </w:style>
  <w:style w:type="paragraph" w:customStyle="1" w:styleId="179">
    <w:name w:val="Heading #2|1"/>
    <w:basedOn w:val="1"/>
    <w:link w:val="178"/>
    <w:qFormat/>
    <w:uiPriority w:val="0"/>
    <w:pPr>
      <w:spacing w:after="900"/>
      <w:jc w:val="center"/>
      <w:outlineLvl w:val="1"/>
    </w:pPr>
    <w:rPr>
      <w:rFonts w:ascii="宋体" w:hAnsi="宋体" w:cs="宋体"/>
      <w:kern w:val="0"/>
      <w:sz w:val="34"/>
      <w:szCs w:val="34"/>
      <w:lang w:val="zh-CN" w:bidi="zh-CN"/>
    </w:rPr>
  </w:style>
  <w:style w:type="character" w:customStyle="1" w:styleId="180">
    <w:name w:val="批注框文本 Char1"/>
    <w:qFormat/>
    <w:uiPriority w:val="99"/>
    <w:rPr>
      <w:rFonts w:ascii="Times New Roman" w:hAnsi="Times New Roman" w:eastAsia="宋体" w:cs="Times New Roman"/>
      <w:sz w:val="18"/>
      <w:szCs w:val="18"/>
    </w:rPr>
  </w:style>
  <w:style w:type="character" w:customStyle="1" w:styleId="181">
    <w:name w:val="Char Char18"/>
    <w:qFormat/>
    <w:uiPriority w:val="99"/>
    <w:rPr>
      <w:rFonts w:ascii="Times New Roman" w:hAnsi="Times New Roman" w:eastAsia="宋体" w:cs="Times New Roman"/>
      <w:b/>
      <w:bCs/>
      <w:sz w:val="28"/>
      <w:szCs w:val="28"/>
    </w:rPr>
  </w:style>
  <w:style w:type="character" w:customStyle="1" w:styleId="182">
    <w:name w:val="批注主题 Char1"/>
    <w:qFormat/>
    <w:uiPriority w:val="99"/>
    <w:rPr>
      <w:rFonts w:ascii="Times New Roman" w:hAnsi="Times New Roman" w:eastAsia="宋体" w:cs="Times New Roman"/>
      <w:b/>
      <w:bCs/>
      <w:sz w:val="24"/>
      <w:szCs w:val="24"/>
    </w:rPr>
  </w:style>
  <w:style w:type="character" w:customStyle="1" w:styleId="183">
    <w:name w:val="Char Char24"/>
    <w:qFormat/>
    <w:uiPriority w:val="99"/>
    <w:rPr>
      <w:rFonts w:eastAsia="宋体"/>
      <w:b/>
      <w:bCs/>
      <w:kern w:val="44"/>
      <w:sz w:val="44"/>
      <w:szCs w:val="44"/>
      <w:lang w:val="en-US" w:eastAsia="zh-CN"/>
    </w:rPr>
  </w:style>
  <w:style w:type="character" w:customStyle="1" w:styleId="184">
    <w:name w:val="标题4 Char Char"/>
    <w:link w:val="185"/>
    <w:qFormat/>
    <w:locked/>
    <w:uiPriority w:val="99"/>
    <w:rPr>
      <w:rFonts w:ascii="Arial" w:hAnsi="Arial" w:cs="Arial"/>
      <w:b/>
      <w:bCs/>
      <w:sz w:val="32"/>
      <w:szCs w:val="32"/>
    </w:rPr>
  </w:style>
  <w:style w:type="paragraph" w:customStyle="1" w:styleId="185">
    <w:name w:val="标题4"/>
    <w:basedOn w:val="3"/>
    <w:next w:val="21"/>
    <w:link w:val="184"/>
    <w:qFormat/>
    <w:uiPriority w:val="99"/>
    <w:pPr>
      <w:spacing w:before="60" w:after="60" w:line="413" w:lineRule="auto"/>
    </w:pPr>
    <w:rPr>
      <w:rFonts w:ascii="Arial" w:hAnsi="Arial"/>
      <w:kern w:val="0"/>
    </w:rPr>
  </w:style>
  <w:style w:type="character" w:customStyle="1" w:styleId="186">
    <w:name w:val="Plain Text Char"/>
    <w:qFormat/>
    <w:uiPriority w:val="99"/>
    <w:rPr>
      <w:rFonts w:ascii="宋体" w:hAnsi="Courier New" w:eastAsia="宋体" w:cs="宋体"/>
      <w:sz w:val="24"/>
      <w:szCs w:val="24"/>
    </w:rPr>
  </w:style>
  <w:style w:type="character" w:customStyle="1" w:styleId="187">
    <w:name w:val="Header or footer|1_"/>
    <w:link w:val="188"/>
    <w:qFormat/>
    <w:uiPriority w:val="0"/>
    <w:rPr>
      <w:sz w:val="17"/>
      <w:szCs w:val="17"/>
      <w:lang w:val="zh-CN" w:bidi="zh-CN"/>
    </w:rPr>
  </w:style>
  <w:style w:type="paragraph" w:customStyle="1" w:styleId="188">
    <w:name w:val="Header or footer|1"/>
    <w:basedOn w:val="1"/>
    <w:link w:val="187"/>
    <w:qFormat/>
    <w:uiPriority w:val="0"/>
    <w:pPr>
      <w:jc w:val="center"/>
    </w:pPr>
    <w:rPr>
      <w:kern w:val="0"/>
      <w:sz w:val="17"/>
      <w:szCs w:val="17"/>
      <w:lang w:val="zh-CN" w:bidi="zh-CN"/>
    </w:rPr>
  </w:style>
  <w:style w:type="character" w:customStyle="1" w:styleId="189">
    <w:name w:val="Heading #3|1_"/>
    <w:link w:val="190"/>
    <w:qFormat/>
    <w:uiPriority w:val="0"/>
    <w:rPr>
      <w:rFonts w:ascii="宋体" w:hAnsi="宋体" w:cs="宋体"/>
      <w:sz w:val="28"/>
      <w:szCs w:val="28"/>
      <w:lang w:val="zh-CN" w:bidi="zh-CN"/>
    </w:rPr>
  </w:style>
  <w:style w:type="paragraph" w:customStyle="1" w:styleId="190">
    <w:name w:val="Heading #3|1"/>
    <w:basedOn w:val="1"/>
    <w:link w:val="189"/>
    <w:qFormat/>
    <w:uiPriority w:val="0"/>
    <w:pPr>
      <w:spacing w:after="570"/>
      <w:jc w:val="center"/>
      <w:outlineLvl w:val="2"/>
    </w:pPr>
    <w:rPr>
      <w:rFonts w:ascii="宋体" w:hAnsi="宋体" w:cs="宋体"/>
      <w:kern w:val="0"/>
      <w:sz w:val="28"/>
      <w:szCs w:val="28"/>
      <w:lang w:val="zh-CN" w:bidi="zh-CN"/>
    </w:rPr>
  </w:style>
  <w:style w:type="character" w:styleId="191">
    <w:name w:val="Placeholder Text"/>
    <w:unhideWhenUsed/>
    <w:qFormat/>
    <w:uiPriority w:val="99"/>
    <w:rPr>
      <w:color w:val="808080"/>
    </w:rPr>
  </w:style>
  <w:style w:type="paragraph" w:customStyle="1" w:styleId="192">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styleId="193">
    <w:name w:val="List Paragraph"/>
    <w:basedOn w:val="1"/>
    <w:qFormat/>
    <w:uiPriority w:val="34"/>
    <w:pPr>
      <w:ind w:firstLine="420" w:firstLineChars="200"/>
    </w:pPr>
  </w:style>
  <w:style w:type="paragraph" w:customStyle="1" w:styleId="194">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b w:val="0"/>
      <w:bCs w:val="0"/>
      <w:kern w:val="0"/>
      <w:sz w:val="28"/>
      <w:szCs w:val="28"/>
      <w:lang w:val="zh-CN"/>
    </w:rPr>
  </w:style>
  <w:style w:type="paragraph" w:customStyle="1" w:styleId="195">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96">
    <w:name w:val="Char Char Char Char Char Char Char"/>
    <w:basedOn w:val="1"/>
    <w:qFormat/>
    <w:uiPriority w:val="99"/>
    <w:pPr>
      <w:widowControl/>
      <w:spacing w:after="160" w:line="240" w:lineRule="exact"/>
      <w:jc w:val="left"/>
    </w:pPr>
    <w:rPr>
      <w:szCs w:val="21"/>
    </w:rPr>
  </w:style>
  <w:style w:type="paragraph" w:customStyle="1" w:styleId="197">
    <w:name w:val="Char"/>
    <w:basedOn w:val="1"/>
    <w:qFormat/>
    <w:uiPriority w:val="99"/>
    <w:pPr>
      <w:widowControl/>
      <w:spacing w:after="160" w:line="240" w:lineRule="exact"/>
      <w:jc w:val="left"/>
    </w:pPr>
    <w:rPr>
      <w:szCs w:val="21"/>
    </w:rPr>
  </w:style>
  <w:style w:type="paragraph" w:customStyle="1" w:styleId="198">
    <w:name w:val="默认段落字体 Para Char Char Char Char Char Char Char Char Char1 Char Char Char Char"/>
    <w:basedOn w:val="1"/>
    <w:qFormat/>
    <w:uiPriority w:val="0"/>
    <w:rPr>
      <w:rFonts w:ascii="Tahoma" w:hAnsi="Tahoma"/>
      <w:sz w:val="24"/>
      <w:szCs w:val="20"/>
    </w:rPr>
  </w:style>
  <w:style w:type="paragraph" w:customStyle="1" w:styleId="199">
    <w:name w:val="Table Paragraph"/>
    <w:basedOn w:val="1"/>
    <w:qFormat/>
    <w:uiPriority w:val="1"/>
    <w:pPr>
      <w:jc w:val="left"/>
    </w:pPr>
    <w:rPr>
      <w:rFonts w:ascii="Calibri" w:hAnsi="Calibri"/>
      <w:kern w:val="0"/>
      <w:sz w:val="22"/>
      <w:szCs w:val="22"/>
      <w:lang w:eastAsia="en-US"/>
    </w:rPr>
  </w:style>
  <w:style w:type="paragraph" w:customStyle="1" w:styleId="20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01">
    <w:name w:val="样式1"/>
    <w:basedOn w:val="1"/>
    <w:next w:val="5"/>
    <w:qFormat/>
    <w:uiPriority w:val="99"/>
    <w:pPr>
      <w:spacing w:line="360" w:lineRule="auto"/>
      <w:ind w:firstLine="420" w:firstLineChars="200"/>
    </w:pPr>
    <w:rPr>
      <w:rFonts w:ascii="宋体" w:hAnsi="宋体" w:cs="宋体"/>
      <w:szCs w:val="21"/>
    </w:rPr>
  </w:style>
  <w:style w:type="paragraph" w:customStyle="1" w:styleId="202">
    <w:name w:val="列出段落1"/>
    <w:basedOn w:val="1"/>
    <w:qFormat/>
    <w:uiPriority w:val="99"/>
    <w:pPr>
      <w:ind w:firstLine="420" w:firstLineChars="200"/>
    </w:pPr>
    <w:rPr>
      <w:rFonts w:ascii="Calibri" w:hAnsi="Calibri" w:cs="Calibri"/>
      <w:szCs w:val="21"/>
    </w:rPr>
  </w:style>
  <w:style w:type="paragraph" w:customStyle="1" w:styleId="203">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05">
    <w:name w:val="TOC 标题1"/>
    <w:basedOn w:val="2"/>
    <w:next w:val="1"/>
    <w:qFormat/>
    <w:uiPriority w:val="99"/>
    <w:pPr>
      <w:spacing w:line="576" w:lineRule="auto"/>
      <w:outlineLvl w:val="9"/>
    </w:pPr>
    <w:rPr>
      <w:rFonts w:ascii="Calibri" w:hAnsi="Calibri" w:eastAsia="黑体" w:cs="Calibri"/>
      <w:lang w:val="zh-CN"/>
    </w:rPr>
  </w:style>
  <w:style w:type="paragraph" w:customStyle="1" w:styleId="206">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207">
    <w:name w:val="p0"/>
    <w:basedOn w:val="1"/>
    <w:qFormat/>
    <w:uiPriority w:val="99"/>
    <w:pPr>
      <w:widowControl/>
    </w:pPr>
    <w:rPr>
      <w:rFonts w:ascii="Calibri" w:hAnsi="Calibri" w:cs="Calibri"/>
      <w:kern w:val="0"/>
      <w:szCs w:val="21"/>
    </w:rPr>
  </w:style>
  <w:style w:type="paragraph" w:customStyle="1" w:styleId="208">
    <w:name w:val="1"/>
    <w:basedOn w:val="1"/>
    <w:next w:val="1"/>
    <w:qFormat/>
    <w:uiPriority w:val="99"/>
    <w:rPr>
      <w:szCs w:val="21"/>
    </w:rPr>
  </w:style>
  <w:style w:type="paragraph" w:customStyle="1" w:styleId="209">
    <w:name w:val="列出段落2"/>
    <w:basedOn w:val="1"/>
    <w:qFormat/>
    <w:uiPriority w:val="99"/>
    <w:pPr>
      <w:ind w:firstLine="420" w:firstLineChars="200"/>
    </w:pPr>
    <w:rPr>
      <w:rFonts w:ascii="Calibri" w:hAnsi="Calibri" w:cs="Calibri"/>
      <w:szCs w:val="21"/>
    </w:rPr>
  </w:style>
  <w:style w:type="paragraph" w:customStyle="1" w:styleId="210">
    <w:name w:val="修订1"/>
    <w:qFormat/>
    <w:uiPriority w:val="99"/>
    <w:rPr>
      <w:rFonts w:ascii="Times New Roman" w:hAnsi="Times New Roman" w:eastAsia="宋体" w:cs="Times New Roman"/>
      <w:kern w:val="2"/>
      <w:sz w:val="21"/>
      <w:szCs w:val="21"/>
      <w:lang w:val="en-US" w:eastAsia="zh-CN" w:bidi="ar-SA"/>
    </w:rPr>
  </w:style>
  <w:style w:type="paragraph" w:customStyle="1" w:styleId="21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2">
    <w:name w:val="修订11"/>
    <w:qFormat/>
    <w:uiPriority w:val="99"/>
    <w:rPr>
      <w:rFonts w:ascii="Times New Roman" w:hAnsi="Times New Roman" w:eastAsia="宋体" w:cs="Times New Roman"/>
      <w:kern w:val="2"/>
      <w:sz w:val="21"/>
      <w:szCs w:val="21"/>
      <w:lang w:val="en-US" w:eastAsia="zh-CN" w:bidi="ar-SA"/>
    </w:rPr>
  </w:style>
  <w:style w:type="paragraph" w:customStyle="1" w:styleId="213">
    <w:name w:val="2-2ji"/>
    <w:basedOn w:val="3"/>
    <w:qFormat/>
    <w:uiPriority w:val="99"/>
    <w:pPr>
      <w:spacing w:before="0" w:after="0" w:line="360" w:lineRule="auto"/>
      <w:jc w:val="center"/>
    </w:pPr>
    <w:rPr>
      <w:rFonts w:ascii="宋体" w:hAnsi="宋体" w:cs="宋体"/>
      <w:sz w:val="36"/>
      <w:szCs w:val="36"/>
      <w:lang w:val="zh-CN"/>
    </w:rPr>
  </w:style>
  <w:style w:type="paragraph" w:customStyle="1" w:styleId="21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1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16">
    <w:name w:val="Char1"/>
    <w:basedOn w:val="1"/>
    <w:qFormat/>
    <w:uiPriority w:val="99"/>
    <w:pPr>
      <w:widowControl/>
      <w:spacing w:after="160" w:line="240" w:lineRule="exact"/>
      <w:jc w:val="left"/>
    </w:pPr>
    <w:rPr>
      <w:szCs w:val="21"/>
    </w:rPr>
  </w:style>
  <w:style w:type="paragraph" w:customStyle="1" w:styleId="217">
    <w:name w:val="_Style 37"/>
    <w:basedOn w:val="1"/>
    <w:next w:val="1"/>
    <w:qFormat/>
    <w:uiPriority w:val="99"/>
    <w:rPr>
      <w:szCs w:val="21"/>
    </w:rPr>
  </w:style>
  <w:style w:type="paragraph" w:customStyle="1" w:styleId="218">
    <w:name w:val="样式 标题 3 + (中文) 黑体 小四 非加粗 段前: 7.8 磅 段后: 0 磅 行距: 固定值 20 磅"/>
    <w:basedOn w:val="4"/>
    <w:qFormat/>
    <w:uiPriority w:val="99"/>
    <w:pPr>
      <w:spacing w:before="0" w:after="0" w:line="400" w:lineRule="exact"/>
    </w:pPr>
    <w:rPr>
      <w:rFonts w:eastAsia="黑体"/>
      <w:b w:val="0"/>
      <w:bCs w:val="0"/>
      <w:lang w:val="zh-CN"/>
    </w:rPr>
  </w:style>
  <w:style w:type="paragraph" w:styleId="2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正正正"/>
    <w:basedOn w:val="18"/>
    <w:qFormat/>
    <w:uiPriority w:val="1"/>
    <w:pPr>
      <w:tabs>
        <w:tab w:val="left" w:pos="2812"/>
        <w:tab w:val="left" w:pos="3986"/>
      </w:tabs>
      <w:spacing w:after="0" w:line="360" w:lineRule="exact"/>
      <w:ind w:firstLine="200" w:firstLineChars="200"/>
    </w:pPr>
    <w:rPr>
      <w:rFonts w:ascii="Calibri" w:hAnsi="Calibri"/>
      <w:sz w:val="20"/>
      <w:szCs w:val="21"/>
      <w:lang w:eastAsia="en-US"/>
    </w:rPr>
  </w:style>
  <w:style w:type="paragraph" w:customStyle="1" w:styleId="221">
    <w:name w:val="_Style 1"/>
    <w:basedOn w:val="1"/>
    <w:qFormat/>
    <w:uiPriority w:val="99"/>
    <w:pPr>
      <w:ind w:firstLine="420" w:firstLineChars="200"/>
      <w:jc w:val="left"/>
    </w:pPr>
    <w:rPr>
      <w:rFonts w:ascii="Times New Roman)" w:hAnsi="Times New Roman)" w:eastAsia="宋体正文"/>
      <w:color w:val="000000"/>
      <w:kern w:val="0"/>
      <w:lang w:eastAsia="en-US" w:bidi="en-US"/>
    </w:rPr>
  </w:style>
  <w:style w:type="character" w:customStyle="1" w:styleId="222">
    <w:name w:val="bookmark-item"/>
    <w:qFormat/>
    <w:uiPriority w:val="0"/>
  </w:style>
  <w:style w:type="character" w:customStyle="1" w:styleId="223">
    <w:name w:val="纯文本 Char2"/>
    <w:qFormat/>
    <w:uiPriority w:val="0"/>
    <w:rPr>
      <w:rFonts w:ascii="宋体" w:hAnsi="Courier New" w:eastAsia="宋体" w:cs="Courier New"/>
      <w:szCs w:val="21"/>
    </w:rPr>
  </w:style>
  <w:style w:type="character" w:customStyle="1" w:styleId="224">
    <w:name w:val="页脚 Char1"/>
    <w:qFormat/>
    <w:uiPriority w:val="99"/>
    <w:rPr>
      <w:rFonts w:ascii="Times New Roman" w:hAnsi="Times New Roman" w:eastAsia="宋体" w:cs="Times New Roman"/>
      <w:sz w:val="18"/>
      <w:szCs w:val="18"/>
    </w:rPr>
  </w:style>
  <w:style w:type="paragraph" w:customStyle="1" w:styleId="225">
    <w:name w:val="正文_3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_3_1"/>
    <w:basedOn w:val="2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_3"/>
    <w:basedOn w:val="228"/>
    <w:next w:val="2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首行缩进 2_0"/>
    <w:basedOn w:val="230"/>
    <w:qFormat/>
    <w:uiPriority w:val="0"/>
    <w:pPr>
      <w:ind w:firstLine="210"/>
    </w:pPr>
    <w:rPr>
      <w:rFonts w:ascii="Times New Roman" w:hAnsi="Times New Roman"/>
    </w:rPr>
  </w:style>
  <w:style w:type="paragraph" w:customStyle="1" w:styleId="230">
    <w:name w:val="正文文本缩进_1"/>
    <w:basedOn w:val="227"/>
    <w:qFormat/>
    <w:uiPriority w:val="0"/>
    <w:pPr>
      <w:spacing w:before="240" w:line="360" w:lineRule="auto"/>
      <w:ind w:firstLine="552" w:firstLineChars="263"/>
    </w:pPr>
    <w:rPr>
      <w:rFonts w:ascii="宋体" w:hAnsi="宋体"/>
    </w:rPr>
  </w:style>
  <w:style w:type="paragraph" w:customStyle="1" w:styleId="231">
    <w:name w:val="标题 4_1"/>
    <w:basedOn w:val="227"/>
    <w:next w:val="227"/>
    <w:qFormat/>
    <w:uiPriority w:val="0"/>
    <w:pPr>
      <w:keepNext/>
      <w:keepLines/>
      <w:spacing w:before="280" w:after="290" w:line="372" w:lineRule="auto"/>
      <w:outlineLvl w:val="3"/>
    </w:pPr>
    <w:rPr>
      <w:rFonts w:ascii="Cambria" w:hAnsi="Cambria"/>
      <w:b/>
      <w:bCs/>
      <w:sz w:val="28"/>
      <w:szCs w:val="28"/>
    </w:rPr>
  </w:style>
  <w:style w:type="paragraph" w:customStyle="1" w:styleId="232">
    <w:name w:val="正文_3_0"/>
    <w:basedOn w:val="226"/>
    <w:next w:val="229"/>
    <w:qFormat/>
    <w:uiPriority w:val="0"/>
    <w:pPr>
      <w:widowControl w:val="0"/>
      <w:jc w:val="both"/>
    </w:pPr>
    <w:rPr>
      <w:rFonts w:ascii="Calibri" w:hAnsi="Calibri" w:eastAsia="宋体" w:cs="Times New Roman"/>
      <w:kern w:val="2"/>
      <w:sz w:val="21"/>
      <w:szCs w:val="22"/>
      <w:lang w:val="en-US" w:eastAsia="zh-CN" w:bidi="ar-SA"/>
    </w:rPr>
  </w:style>
  <w:style w:type="character" w:customStyle="1" w:styleId="233">
    <w:name w:val="first-child"/>
    <w:basedOn w:val="45"/>
    <w:qFormat/>
    <w:uiPriority w:val="0"/>
  </w:style>
  <w:style w:type="character" w:customStyle="1" w:styleId="234">
    <w:name w:val="NormalCharacter"/>
    <w:qFormat/>
    <w:uiPriority w:val="0"/>
  </w:style>
  <w:style w:type="character" w:customStyle="1" w:styleId="235">
    <w:name w:val="layui-layer-tabnow"/>
    <w:basedOn w:val="45"/>
    <w:qFormat/>
    <w:uiPriority w:val="0"/>
    <w:rPr>
      <w:bdr w:val="single" w:color="CCCCCC" w:sz="6" w:space="0"/>
      <w:shd w:val="clear" w:color="auto" w:fill="FFFFFF"/>
    </w:rPr>
  </w:style>
  <w:style w:type="paragraph" w:customStyle="1" w:styleId="236">
    <w:name w:val="Normal_0"/>
    <w:qFormat/>
    <w:uiPriority w:val="0"/>
    <w:rPr>
      <w:rFonts w:ascii="Times New Roman" w:hAnsi="Times New Roman" w:eastAsia="Times New Roman" w:cs="Times New Roman"/>
      <w:sz w:val="24"/>
      <w:szCs w:val="24"/>
      <w:lang w:val="en-US" w:eastAsia="zh-CN" w:bidi="ar-SA"/>
    </w:rPr>
  </w:style>
  <w:style w:type="paragraph" w:customStyle="1" w:styleId="23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正文3"/>
    <w:qFormat/>
    <w:uiPriority w:val="0"/>
    <w:rPr>
      <w:rFonts w:ascii="Times New Roman" w:hAnsi="Times New Roman" w:eastAsia="Times New Roman" w:cs="Times New Roman"/>
      <w:sz w:val="24"/>
      <w:szCs w:val="24"/>
      <w:lang w:val="en-US" w:eastAsia="zh-CN" w:bidi="ar-SA"/>
    </w:rPr>
  </w:style>
  <w:style w:type="paragraph" w:customStyle="1" w:styleId="239">
    <w:name w:val="正文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240">
    <w:name w:val="纯文本 Char3"/>
    <w:qFormat/>
    <w:uiPriority w:val="99"/>
    <w:rPr>
      <w:rFonts w:ascii="宋体" w:hAnsi="Courier New" w:eastAsia="宋体" w:cs="Courier New"/>
      <w:szCs w:val="21"/>
    </w:rPr>
  </w:style>
  <w:style w:type="paragraph" w:customStyle="1" w:styleId="241">
    <w:name w:val="正文_2_0"/>
    <w:basedOn w:val="242"/>
    <w:qFormat/>
    <w:uiPriority w:val="0"/>
    <w:rPr>
      <w:rFonts w:cs="宋体"/>
    </w:rPr>
  </w:style>
  <w:style w:type="paragraph" w:customStyle="1" w:styleId="24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3">
    <w:name w:val="正文_2"/>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_1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正文_2_0_0"/>
    <w:basedOn w:val="232"/>
    <w:qFormat/>
    <w:uiPriority w:val="0"/>
  </w:style>
  <w:style w:type="paragraph" w:customStyle="1" w:styleId="246">
    <w:name w:val="正文_4_0"/>
    <w:next w:val="247"/>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7">
    <w:name w:val="标题 2_1"/>
    <w:basedOn w:val="232"/>
    <w:next w:val="227"/>
    <w:qFormat/>
    <w:uiPriority w:val="0"/>
    <w:pPr>
      <w:keepNext/>
      <w:keepLines/>
      <w:spacing w:before="60" w:after="60" w:line="412" w:lineRule="auto"/>
      <w:outlineLvl w:val="1"/>
    </w:pPr>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120</Pages>
  <Words>6406</Words>
  <Characters>36516</Characters>
  <Lines>304</Lines>
  <Paragraphs>85</Paragraphs>
  <TotalTime>5</TotalTime>
  <ScaleCrop>false</ScaleCrop>
  <LinksUpToDate>false</LinksUpToDate>
  <CharactersWithSpaces>42837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2024-03-04T09:03:00Z</dcterms:created>
  <dc:creator>唐冰</dc:creator>
  <cp:lastModifiedBy>Administrator</cp:lastModifiedBy>
  <cp:lastPrinted>2024-05-22T07:45:00Z</cp:lastPrinted>
  <dcterms:modified xsi:type="dcterms:W3CDTF">2024-05-22T08:19:04Z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2D5172597B17425AA852931164838D8D</vt:lpwstr>
  </property>
</Properties>
</file>