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AB0DECC">
      <w:pPr>
        <w:spacing w:line="720" w:lineRule="exact"/>
        <w:ind w:right="-577" w:rightChars="-275"/>
        <w:jc w:val="center"/>
        <w:outlineLvl w:val="0"/>
        <w:rPr>
          <w:rFonts w:hint="eastAsia" w:ascii="宋体" w:hAnsi="宋体" w:eastAsia="宋体" w:cs="宋体"/>
          <w:b/>
          <w:bCs/>
          <w:color w:val="auto"/>
          <w:spacing w:val="80"/>
          <w:sz w:val="40"/>
          <w:szCs w:val="40"/>
          <w:highlight w:val="none"/>
        </w:rPr>
      </w:pPr>
      <w:bookmarkStart w:id="0" w:name="_Toc28684"/>
      <w:bookmarkStart w:id="1" w:name="_Toc7014_WPSOffice_Level1"/>
      <w:bookmarkStart w:id="2" w:name="_Toc10319"/>
    </w:p>
    <w:bookmarkEnd w:id="0"/>
    <w:p w14:paraId="0553F955">
      <w:pPr>
        <w:spacing w:line="720" w:lineRule="exact"/>
        <w:jc w:val="center"/>
        <w:rPr>
          <w:rFonts w:hint="eastAsia" w:ascii="宋体" w:hAnsi="宋体" w:eastAsia="宋体" w:cs="宋体"/>
          <w:color w:val="auto"/>
          <w:sz w:val="60"/>
          <w:szCs w:val="60"/>
          <w:highlight w:val="none"/>
          <w:lang w:eastAsia="zh-CN"/>
        </w:rPr>
      </w:pPr>
      <w:r>
        <w:rPr>
          <w:rFonts w:hint="eastAsia" w:ascii="楷体" w:hAnsi="楷体" w:eastAsia="楷体" w:cs="楷体"/>
          <w:b/>
          <w:bCs/>
          <w:color w:val="auto"/>
          <w:spacing w:val="80"/>
          <w:sz w:val="52"/>
          <w:szCs w:val="52"/>
          <w:highlight w:val="none"/>
          <w:lang w:eastAsia="zh-CN"/>
        </w:rPr>
        <w:t>广西鼎誉工程咨询有限公司</w:t>
      </w:r>
    </w:p>
    <w:p w14:paraId="50C225DA">
      <w:pPr>
        <w:jc w:val="center"/>
        <w:rPr>
          <w:rFonts w:hint="eastAsia" w:ascii="宋体" w:hAnsi="宋体" w:eastAsia="宋体" w:cs="宋体"/>
          <w:color w:val="auto"/>
          <w:highlight w:val="none"/>
        </w:rPr>
      </w:pPr>
    </w:p>
    <w:p w14:paraId="1BB852E1">
      <w:pPr>
        <w:pStyle w:val="2"/>
        <w:rPr>
          <w:rFonts w:hint="eastAsia" w:ascii="宋体" w:hAnsi="宋体" w:eastAsia="宋体" w:cs="宋体"/>
          <w:color w:val="auto"/>
          <w:highlight w:val="none"/>
        </w:rPr>
      </w:pPr>
    </w:p>
    <w:p w14:paraId="227A2299">
      <w:pPr>
        <w:rPr>
          <w:rFonts w:hint="eastAsia" w:ascii="宋体" w:hAnsi="宋体" w:eastAsia="宋体" w:cs="宋体"/>
          <w:color w:val="auto"/>
          <w:highlight w:val="none"/>
        </w:rPr>
      </w:pPr>
    </w:p>
    <w:p w14:paraId="02028BCA">
      <w:pPr>
        <w:jc w:val="center"/>
        <w:rPr>
          <w:rFonts w:hint="eastAsia"/>
          <w:color w:val="000000"/>
          <w:spacing w:val="6"/>
          <w:sz w:val="28"/>
        </w:rPr>
      </w:pPr>
    </w:p>
    <w:p w14:paraId="12C5C311">
      <w:pPr>
        <w:jc w:val="center"/>
        <w:rPr>
          <w:rFonts w:hint="eastAsia"/>
          <w:color w:val="000000"/>
          <w:spacing w:val="6"/>
          <w:sz w:val="28"/>
        </w:rPr>
      </w:pPr>
    </w:p>
    <w:p w14:paraId="687BA14F">
      <w:pPr>
        <w:jc w:val="center"/>
        <w:rPr>
          <w:rFonts w:hint="eastAsia"/>
          <w:color w:val="000000"/>
          <w:spacing w:val="6"/>
          <w:sz w:val="28"/>
        </w:rPr>
      </w:pPr>
    </w:p>
    <w:p w14:paraId="333A20B6">
      <w:pPr>
        <w:jc w:val="center"/>
        <w:rPr>
          <w:rFonts w:hint="eastAsia"/>
          <w:color w:val="000000"/>
          <w:spacing w:val="6"/>
          <w:sz w:val="28"/>
        </w:rPr>
      </w:pPr>
    </w:p>
    <w:p w14:paraId="78284326">
      <w:pPr>
        <w:jc w:val="center"/>
        <w:rPr>
          <w:rFonts w:hint="eastAsia"/>
          <w:color w:val="000000"/>
          <w:spacing w:val="6"/>
          <w:sz w:val="28"/>
        </w:rPr>
      </w:pPr>
    </w:p>
    <w:p w14:paraId="4622D1DD">
      <w:pPr>
        <w:rPr>
          <w:rFonts w:hint="eastAsia" w:ascii="宋体" w:hAnsi="宋体" w:eastAsia="宋体" w:cs="宋体"/>
          <w:color w:val="auto"/>
          <w:highlight w:val="none"/>
        </w:rPr>
      </w:pPr>
    </w:p>
    <w:p w14:paraId="446F4623">
      <w:pPr>
        <w:rPr>
          <w:rFonts w:hint="eastAsia" w:ascii="宋体" w:hAnsi="宋体" w:eastAsia="宋体" w:cs="宋体"/>
          <w:color w:val="auto"/>
          <w:highlight w:val="none"/>
        </w:rPr>
      </w:pPr>
    </w:p>
    <w:p w14:paraId="4B4CD40C">
      <w:pPr>
        <w:spacing w:line="1000" w:lineRule="exact"/>
        <w:ind w:right="-294" w:rightChars="-140"/>
        <w:jc w:val="center"/>
        <w:outlineLvl w:val="0"/>
        <w:rPr>
          <w:rFonts w:hint="eastAsia" w:ascii="宋体" w:hAnsi="宋体" w:eastAsia="宋体" w:cs="宋体"/>
          <w:b/>
          <w:color w:val="auto"/>
          <w:sz w:val="84"/>
          <w:szCs w:val="84"/>
          <w:highlight w:val="none"/>
        </w:rPr>
      </w:pPr>
      <w:bookmarkStart w:id="3" w:name="_Toc26961"/>
      <w:r>
        <w:rPr>
          <w:rFonts w:hint="eastAsia" w:ascii="宋体" w:hAnsi="宋体" w:eastAsia="宋体" w:cs="宋体"/>
          <w:b/>
          <w:color w:val="auto"/>
          <w:sz w:val="84"/>
          <w:szCs w:val="84"/>
          <w:highlight w:val="none"/>
        </w:rPr>
        <w:t>竞争性磋商文件</w:t>
      </w:r>
      <w:bookmarkEnd w:id="3"/>
    </w:p>
    <w:p w14:paraId="0E6B607D">
      <w:pPr>
        <w:pStyle w:val="38"/>
        <w:ind w:left="0" w:leftChars="0" w:firstLine="0" w:firstLineChars="0"/>
        <w:jc w:val="both"/>
        <w:rPr>
          <w:rFonts w:hint="eastAsia" w:ascii="宋体" w:hAnsi="宋体" w:eastAsia="宋体" w:cs="宋体"/>
          <w:color w:val="auto"/>
          <w:highlight w:val="none"/>
        </w:rPr>
      </w:pPr>
    </w:p>
    <w:p w14:paraId="1E9C580F">
      <w:pPr>
        <w:keepNext w:val="0"/>
        <w:keepLines w:val="0"/>
        <w:pageBreakBefore w:val="0"/>
        <w:widowControl w:val="0"/>
        <w:kinsoku/>
        <w:wordWrap/>
        <w:overflowPunct/>
        <w:topLinePunct w:val="0"/>
        <w:autoSpaceDE/>
        <w:autoSpaceDN/>
        <w:bidi w:val="0"/>
        <w:adjustRightInd/>
        <w:snapToGrid/>
        <w:ind w:left="3280" w:leftChars="800" w:hanging="1600" w:hangingChars="500"/>
        <w:textAlignment w:val="auto"/>
        <w:rPr>
          <w:rFonts w:hint="eastAsia" w:ascii="宋体" w:hAnsi="宋体" w:eastAsia="宋体" w:cs="宋体"/>
          <w:color w:val="auto"/>
          <w:sz w:val="32"/>
          <w:szCs w:val="32"/>
          <w:highlight w:val="none"/>
        </w:rPr>
      </w:pPr>
      <w:bookmarkStart w:id="4" w:name="_Toc28391"/>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桂林市漓江活动壅水科学试验坝专项维修(一期）</w:t>
      </w:r>
    </w:p>
    <w:p w14:paraId="11AAE48D">
      <w:pPr>
        <w:ind w:left="0" w:leftChars="0" w:firstLine="1680" w:firstLineChars="525"/>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项目编号：</w:t>
      </w:r>
      <w:r>
        <w:rPr>
          <w:rFonts w:hint="eastAsia" w:ascii="宋体" w:hAnsi="宋体" w:cs="宋体"/>
          <w:color w:val="auto"/>
          <w:sz w:val="32"/>
          <w:highlight w:val="none"/>
          <w:lang w:eastAsia="zh-CN"/>
        </w:rPr>
        <w:t>GLZC2025-C3-990336-DYGS</w:t>
      </w:r>
    </w:p>
    <w:bookmarkEnd w:id="4"/>
    <w:p w14:paraId="5472CB3B">
      <w:pPr>
        <w:pStyle w:val="37"/>
        <w:rPr>
          <w:rFonts w:hint="eastAsia" w:ascii="宋体" w:hAnsi="宋体" w:eastAsia="宋体" w:cs="宋体"/>
          <w:color w:val="auto"/>
          <w:sz w:val="28"/>
          <w:szCs w:val="28"/>
          <w:highlight w:val="none"/>
        </w:rPr>
      </w:pPr>
    </w:p>
    <w:p w14:paraId="2D8486FB">
      <w:pPr>
        <w:rPr>
          <w:rFonts w:hint="eastAsia" w:ascii="宋体" w:hAnsi="宋体" w:eastAsia="宋体" w:cs="宋体"/>
          <w:color w:val="auto"/>
          <w:highlight w:val="none"/>
        </w:rPr>
      </w:pPr>
    </w:p>
    <w:p w14:paraId="0AD94BAE">
      <w:pPr>
        <w:rPr>
          <w:rFonts w:hint="eastAsia" w:ascii="宋体" w:hAnsi="宋体" w:eastAsia="宋体" w:cs="宋体"/>
          <w:color w:val="auto"/>
          <w:highlight w:val="none"/>
        </w:rPr>
      </w:pPr>
    </w:p>
    <w:p w14:paraId="08784699">
      <w:pPr>
        <w:rPr>
          <w:rFonts w:hint="eastAsia" w:ascii="宋体" w:hAnsi="宋体" w:eastAsia="宋体" w:cs="宋体"/>
          <w:color w:val="auto"/>
          <w:highlight w:val="none"/>
        </w:rPr>
      </w:pPr>
    </w:p>
    <w:p w14:paraId="3B9DD28D">
      <w:pPr>
        <w:rPr>
          <w:rFonts w:hint="eastAsia" w:ascii="宋体" w:hAnsi="宋体" w:eastAsia="宋体" w:cs="宋体"/>
          <w:color w:val="auto"/>
          <w:highlight w:val="none"/>
        </w:rPr>
      </w:pPr>
    </w:p>
    <w:p w14:paraId="47B9B85C">
      <w:pPr>
        <w:rPr>
          <w:rFonts w:hint="eastAsia" w:ascii="宋体" w:hAnsi="宋体" w:eastAsia="宋体" w:cs="宋体"/>
          <w:color w:val="auto"/>
          <w:highlight w:val="none"/>
        </w:rPr>
      </w:pPr>
    </w:p>
    <w:p w14:paraId="3569EF46">
      <w:pPr>
        <w:rPr>
          <w:rFonts w:hint="eastAsia" w:ascii="宋体" w:hAnsi="宋体" w:eastAsia="宋体" w:cs="宋体"/>
          <w:color w:val="auto"/>
          <w:highlight w:val="none"/>
        </w:rPr>
      </w:pPr>
    </w:p>
    <w:p w14:paraId="33F095C0">
      <w:pPr>
        <w:rPr>
          <w:rFonts w:hint="eastAsia" w:ascii="宋体" w:hAnsi="宋体" w:eastAsia="宋体" w:cs="宋体"/>
          <w:color w:val="auto"/>
          <w:highlight w:val="none"/>
        </w:rPr>
      </w:pPr>
    </w:p>
    <w:p w14:paraId="769F9A12">
      <w:pPr>
        <w:ind w:firstLine="960" w:firstLineChars="300"/>
        <w:jc w:val="both"/>
        <w:rPr>
          <w:rFonts w:hint="eastAsia" w:ascii="宋体" w:hAnsi="宋体" w:eastAsia="宋体" w:cs="宋体"/>
          <w:color w:val="auto"/>
          <w:spacing w:val="6"/>
          <w:kern w:val="0"/>
          <w:sz w:val="32"/>
          <w:highlight w:val="none"/>
          <w:lang w:eastAsia="zh-CN"/>
        </w:rPr>
      </w:pPr>
      <w:r>
        <w:rPr>
          <w:rFonts w:hint="eastAsia" w:ascii="宋体" w:hAnsi="宋体" w:eastAsia="宋体" w:cs="宋体"/>
          <w:color w:val="auto"/>
          <w:kern w:val="0"/>
          <w:sz w:val="32"/>
          <w:highlight w:val="none"/>
        </w:rPr>
        <w:t>采购代理机构：</w:t>
      </w:r>
      <w:r>
        <w:rPr>
          <w:rFonts w:hint="eastAsia" w:ascii="宋体" w:hAnsi="宋体" w:cs="宋体"/>
          <w:color w:val="auto"/>
          <w:spacing w:val="6"/>
          <w:kern w:val="0"/>
          <w:sz w:val="32"/>
          <w:highlight w:val="none"/>
          <w:lang w:eastAsia="zh-CN"/>
        </w:rPr>
        <w:t>广西鼎誉工程咨询有限公司</w:t>
      </w:r>
    </w:p>
    <w:p w14:paraId="70DC330C">
      <w:pPr>
        <w:jc w:val="center"/>
        <w:rPr>
          <w:rFonts w:hint="eastAsia" w:ascii="宋体" w:hAnsi="宋体" w:eastAsia="宋体" w:cs="宋体"/>
          <w:color w:val="auto"/>
          <w:sz w:val="48"/>
          <w:szCs w:val="48"/>
          <w:highlight w:val="none"/>
        </w:rPr>
        <w:sectPr>
          <w:headerReference r:id="rId3" w:type="default"/>
          <w:footerReference r:id="rId4" w:type="default"/>
          <w:pgSz w:w="11906" w:h="16838"/>
          <w:pgMar w:top="1417" w:right="1304" w:bottom="1134" w:left="1417" w:header="851" w:footer="992" w:gutter="0"/>
          <w:pgNumType w:fmt="decimal" w:start="0"/>
          <w:cols w:space="0" w:num="1"/>
          <w:rtlGutter w:val="0"/>
          <w:docGrid w:type="linesAndChars" w:linePitch="312" w:charSpace="0"/>
        </w:sectPr>
      </w:pPr>
      <w:r>
        <w:rPr>
          <w:rFonts w:hint="eastAsia" w:ascii="宋体" w:hAnsi="宋体" w:cs="宋体"/>
          <w:color w:val="auto"/>
          <w:spacing w:val="6"/>
          <w:kern w:val="0"/>
          <w:sz w:val="32"/>
          <w:highlight w:val="none"/>
          <w:lang w:eastAsia="zh-CN"/>
        </w:rPr>
        <w:t>2025年</w:t>
      </w:r>
      <w:r>
        <w:rPr>
          <w:rFonts w:hint="eastAsia" w:ascii="宋体" w:hAnsi="宋体" w:cs="宋体"/>
          <w:color w:val="auto"/>
          <w:spacing w:val="6"/>
          <w:kern w:val="0"/>
          <w:sz w:val="32"/>
          <w:highlight w:val="none"/>
          <w:lang w:val="en-US" w:eastAsia="zh-CN"/>
        </w:rPr>
        <w:t>7</w:t>
      </w:r>
      <w:r>
        <w:rPr>
          <w:rFonts w:hint="eastAsia" w:ascii="宋体" w:hAnsi="宋体" w:cs="宋体"/>
          <w:color w:val="auto"/>
          <w:spacing w:val="6"/>
          <w:kern w:val="0"/>
          <w:sz w:val="32"/>
          <w:highlight w:val="none"/>
          <w:lang w:eastAsia="zh-CN"/>
        </w:rPr>
        <w:t>月2</w:t>
      </w:r>
      <w:r>
        <w:rPr>
          <w:rFonts w:hint="eastAsia" w:ascii="宋体" w:hAnsi="宋体" w:cs="宋体"/>
          <w:color w:val="auto"/>
          <w:spacing w:val="6"/>
          <w:kern w:val="0"/>
          <w:sz w:val="32"/>
          <w:highlight w:val="none"/>
          <w:lang w:val="en-US" w:eastAsia="zh-CN"/>
        </w:rPr>
        <w:t>4</w:t>
      </w:r>
      <w:r>
        <w:rPr>
          <w:rFonts w:hint="eastAsia" w:ascii="宋体" w:hAnsi="宋体" w:cs="宋体"/>
          <w:color w:val="auto"/>
          <w:spacing w:val="6"/>
          <w:kern w:val="0"/>
          <w:sz w:val="32"/>
          <w:highlight w:val="none"/>
          <w:lang w:eastAsia="zh-CN"/>
        </w:rPr>
        <w:t>日</w:t>
      </w:r>
    </w:p>
    <w:p w14:paraId="028FA351">
      <w:pPr>
        <w:jc w:val="center"/>
        <w:rPr>
          <w:rFonts w:hint="eastAsia" w:ascii="宋体" w:hAnsi="宋体" w:eastAsia="宋体" w:cs="宋体"/>
          <w:b/>
          <w:bCs/>
          <w:color w:val="auto"/>
          <w:highlight w:val="none"/>
        </w:rPr>
      </w:pPr>
      <w:bookmarkStart w:id="5" w:name="_Toc35393797"/>
      <w:bookmarkStart w:id="6" w:name="_Toc29067"/>
      <w:bookmarkStart w:id="7" w:name="_Toc30170"/>
      <w:bookmarkStart w:id="8" w:name="_Toc28359011"/>
      <w:bookmarkStart w:id="9" w:name="_Toc26809"/>
    </w:p>
    <w:p w14:paraId="467729E2">
      <w:pPr>
        <w:jc w:val="center"/>
        <w:rPr>
          <w:rFonts w:hint="eastAsia" w:ascii="宋体" w:hAnsi="宋体" w:eastAsia="宋体" w:cs="宋体"/>
          <w:color w:val="auto"/>
          <w:sz w:val="30"/>
          <w:szCs w:val="30"/>
          <w:highlight w:val="none"/>
        </w:rPr>
      </w:pPr>
      <w:r>
        <w:rPr>
          <w:rFonts w:hint="eastAsia" w:ascii="宋体" w:hAnsi="宋体" w:eastAsia="宋体" w:cs="宋体"/>
          <w:b w:val="0"/>
          <w:bCs w:val="0"/>
          <w:color w:val="auto"/>
          <w:sz w:val="36"/>
          <w:szCs w:val="36"/>
          <w:highlight w:val="none"/>
        </w:rPr>
        <w:t>目</w:t>
      </w:r>
      <w:r>
        <w:rPr>
          <w:rFonts w:hint="eastAsia" w:ascii="宋体" w:hAnsi="宋体" w:eastAsia="宋体" w:cs="宋体"/>
          <w:b w:val="0"/>
          <w:bCs w:val="0"/>
          <w:color w:val="auto"/>
          <w:sz w:val="36"/>
          <w:szCs w:val="36"/>
          <w:highlight w:val="none"/>
          <w:lang w:val="en-US" w:eastAsia="zh-CN"/>
        </w:rPr>
        <w:t xml:space="preserve">  </w:t>
      </w:r>
      <w:r>
        <w:rPr>
          <w:rFonts w:hint="eastAsia" w:ascii="宋体" w:hAnsi="宋体" w:eastAsia="宋体" w:cs="宋体"/>
          <w:b w:val="0"/>
          <w:bCs w:val="0"/>
          <w:color w:val="auto"/>
          <w:sz w:val="36"/>
          <w:szCs w:val="36"/>
          <w:highlight w:val="none"/>
        </w:rPr>
        <w:t>录</w:t>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"1-1" \h \u </w:instrText>
      </w:r>
      <w:r>
        <w:rPr>
          <w:rFonts w:hint="eastAsia" w:ascii="宋体" w:hAnsi="宋体" w:eastAsia="宋体" w:cs="宋体"/>
          <w:color w:val="auto"/>
          <w:sz w:val="30"/>
          <w:szCs w:val="30"/>
          <w:highlight w:val="none"/>
        </w:rPr>
        <w:fldChar w:fldCharType="separate"/>
      </w:r>
    </w:p>
    <w:p w14:paraId="0C2018B8">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"_Toc10691"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第一章 竞争性磋商公告</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_Toc10691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56982D09">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"_Toc12292"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第二章 供应商须知</w:t>
      </w:r>
      <w:r>
        <w:rPr>
          <w:rFonts w:hint="eastAsia" w:ascii="宋体" w:hAnsi="宋体" w:eastAsia="宋体" w:cs="宋体"/>
          <w:color w:val="auto"/>
          <w:sz w:val="30"/>
          <w:szCs w:val="30"/>
          <w:highlight w:val="none"/>
        </w:rPr>
        <w:tab/>
      </w:r>
      <w:r>
        <w:rPr>
          <w:rFonts w:hint="eastAsia" w:ascii="宋体" w:hAnsi="宋体" w:cs="宋体"/>
          <w:color w:val="auto"/>
          <w:sz w:val="30"/>
          <w:szCs w:val="30"/>
          <w:highlight w:val="none"/>
          <w:lang w:val="en-US" w:eastAsia="zh-CN"/>
        </w:rPr>
        <w:t>4</w:t>
      </w:r>
      <w:r>
        <w:rPr>
          <w:rFonts w:hint="eastAsia" w:ascii="宋体" w:hAnsi="宋体" w:eastAsia="宋体" w:cs="宋体"/>
          <w:color w:val="auto"/>
          <w:sz w:val="30"/>
          <w:szCs w:val="30"/>
          <w:highlight w:val="none"/>
        </w:rPr>
        <w:fldChar w:fldCharType="end"/>
      </w:r>
    </w:p>
    <w:p w14:paraId="1D81CC66">
      <w:pPr>
        <w:pStyle w:val="99"/>
        <w:tabs>
          <w:tab w:val="right" w:leader="dot" w:pos="9354"/>
        </w:tabs>
        <w:spacing w:line="800" w:lineRule="exact"/>
        <w:rPr>
          <w:rFonts w:hint="eastAsia" w:ascii="宋体" w:hAnsi="宋体" w:eastAsia="宋体" w:cs="宋体"/>
          <w:color w:val="auto"/>
          <w:sz w:val="30"/>
          <w:szCs w:val="30"/>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"_Toc15642"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第三章 采购需求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_Toc15642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w:t>
      </w:r>
      <w:r>
        <w:rPr>
          <w:rFonts w:hint="eastAsia" w:ascii="宋体" w:hAnsi="宋体" w:cs="宋体"/>
          <w:color w:val="auto"/>
          <w:sz w:val="30"/>
          <w:szCs w:val="30"/>
          <w:highlight w:val="none"/>
          <w:lang w:val="en-US" w:eastAsia="zh-CN"/>
        </w:rPr>
        <w:t>5</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14:paraId="6718FA75">
      <w:pPr>
        <w:pStyle w:val="99"/>
        <w:tabs>
          <w:tab w:val="right" w:leader="dot" w:pos="9354"/>
        </w:tabs>
        <w:spacing w:line="800" w:lineRule="exact"/>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"_Toc15942"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第四章 评审办法</w:t>
      </w:r>
      <w:r>
        <w:rPr>
          <w:rFonts w:hint="eastAsia" w:ascii="宋体" w:hAnsi="宋体" w:eastAsia="宋体" w:cs="宋体"/>
          <w:color w:val="auto"/>
          <w:sz w:val="30"/>
          <w:szCs w:val="30"/>
          <w:highlight w:val="none"/>
        </w:rPr>
        <w:tab/>
      </w:r>
      <w:r>
        <w:rPr>
          <w:rFonts w:hint="eastAsia" w:ascii="宋体" w:hAnsi="宋体" w:cs="宋体"/>
          <w:color w:val="auto"/>
          <w:sz w:val="30"/>
          <w:szCs w:val="30"/>
          <w:highlight w:val="none"/>
          <w:lang w:val="en-US" w:eastAsia="zh-CN"/>
        </w:rPr>
        <w:t>2</w:t>
      </w:r>
      <w:r>
        <w:rPr>
          <w:rFonts w:hint="eastAsia" w:ascii="宋体" w:hAnsi="宋体" w:eastAsia="宋体" w:cs="宋体"/>
          <w:color w:val="auto"/>
          <w:sz w:val="30"/>
          <w:szCs w:val="30"/>
          <w:highlight w:val="none"/>
        </w:rPr>
        <w:fldChar w:fldCharType="end"/>
      </w:r>
      <w:r>
        <w:rPr>
          <w:rFonts w:hint="eastAsia" w:ascii="宋体" w:hAnsi="宋体" w:cs="宋体"/>
          <w:color w:val="auto"/>
          <w:sz w:val="30"/>
          <w:szCs w:val="30"/>
          <w:highlight w:val="none"/>
          <w:lang w:val="en-US" w:eastAsia="zh-CN"/>
        </w:rPr>
        <w:t>7</w:t>
      </w:r>
    </w:p>
    <w:p w14:paraId="49ED6E55">
      <w:pPr>
        <w:pStyle w:val="99"/>
        <w:tabs>
          <w:tab w:val="right" w:leader="dot" w:pos="9354"/>
        </w:tabs>
        <w:spacing w:line="800" w:lineRule="exact"/>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"_Toc17956"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第五章 采购合同（合同主要条款及格式）</w:t>
      </w:r>
      <w:r>
        <w:rPr>
          <w:rFonts w:hint="eastAsia" w:ascii="宋体" w:hAnsi="宋体" w:eastAsia="宋体" w:cs="宋体"/>
          <w:color w:val="auto"/>
          <w:sz w:val="30"/>
          <w:szCs w:val="30"/>
          <w:highlight w:val="none"/>
        </w:rPr>
        <w:tab/>
      </w:r>
      <w:r>
        <w:rPr>
          <w:rFonts w:hint="eastAsia" w:ascii="宋体" w:hAnsi="宋体" w:cs="宋体"/>
          <w:color w:val="auto"/>
          <w:sz w:val="30"/>
          <w:szCs w:val="30"/>
          <w:highlight w:val="none"/>
          <w:lang w:val="en-US" w:eastAsia="zh-CN"/>
        </w:rPr>
        <w:t>3</w:t>
      </w:r>
      <w:r>
        <w:rPr>
          <w:rFonts w:hint="eastAsia" w:ascii="宋体" w:hAnsi="宋体" w:eastAsia="宋体" w:cs="宋体"/>
          <w:color w:val="auto"/>
          <w:sz w:val="30"/>
          <w:szCs w:val="30"/>
          <w:highlight w:val="none"/>
        </w:rPr>
        <w:fldChar w:fldCharType="end"/>
      </w:r>
      <w:r>
        <w:rPr>
          <w:rFonts w:hint="eastAsia" w:ascii="宋体" w:hAnsi="宋体" w:cs="宋体"/>
          <w:color w:val="auto"/>
          <w:sz w:val="30"/>
          <w:szCs w:val="30"/>
          <w:highlight w:val="none"/>
          <w:lang w:val="en-US" w:eastAsia="zh-CN"/>
        </w:rPr>
        <w:t>0</w:t>
      </w:r>
    </w:p>
    <w:p w14:paraId="5CEB5267">
      <w:pPr>
        <w:pStyle w:val="99"/>
        <w:tabs>
          <w:tab w:val="right" w:leader="dot" w:pos="9354"/>
        </w:tabs>
        <w:spacing w:line="800" w:lineRule="exact"/>
        <w:rPr>
          <w:rFonts w:hint="eastAsia" w:ascii="宋体" w:hAnsi="宋体" w:eastAsia="宋体" w:cs="宋体"/>
          <w:color w:val="auto"/>
          <w:sz w:val="30"/>
          <w:szCs w:val="30"/>
          <w:highlight w:val="none"/>
          <w:lang w:val="en-US"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"_Toc11224" </w:instrText>
      </w:r>
      <w:r>
        <w:rPr>
          <w:rFonts w:hint="eastAsia" w:ascii="宋体" w:hAnsi="宋体" w:eastAsia="宋体" w:cs="宋体"/>
          <w:color w:val="auto"/>
          <w:highlight w:val="none"/>
        </w:rPr>
        <w:fldChar w:fldCharType="separate"/>
      </w:r>
      <w:r>
        <w:rPr>
          <w:rFonts w:hint="eastAsia" w:ascii="宋体" w:hAnsi="宋体" w:eastAsia="宋体" w:cs="宋体"/>
          <w:color w:val="auto"/>
          <w:sz w:val="30"/>
          <w:szCs w:val="30"/>
          <w:highlight w:val="none"/>
        </w:rPr>
        <w:t>第六章 响应文件（格式）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end"/>
      </w:r>
      <w:r>
        <w:rPr>
          <w:rFonts w:hint="eastAsia" w:ascii="宋体" w:hAnsi="宋体" w:cs="宋体"/>
          <w:color w:val="auto"/>
          <w:sz w:val="30"/>
          <w:szCs w:val="30"/>
          <w:highlight w:val="none"/>
          <w:lang w:val="en-US" w:eastAsia="zh-CN"/>
        </w:rPr>
        <w:t>33</w:t>
      </w:r>
      <w:bookmarkStart w:id="175" w:name="_GoBack"/>
      <w:bookmarkEnd w:id="175"/>
    </w:p>
    <w:p w14:paraId="4F7E92E0">
      <w:pPr>
        <w:pStyle w:val="99"/>
        <w:tabs>
          <w:tab w:val="right" w:leader="dot" w:pos="9354"/>
        </w:tabs>
        <w:spacing w:line="800" w:lineRule="exact"/>
        <w:rPr>
          <w:rFonts w:hint="eastAsia" w:ascii="宋体" w:hAnsi="宋体" w:eastAsia="宋体" w:cs="宋体"/>
          <w:color w:val="auto"/>
          <w:sz w:val="30"/>
          <w:szCs w:val="30"/>
          <w:highlight w:val="none"/>
        </w:rPr>
      </w:pPr>
    </w:p>
    <w:p w14:paraId="31D19E9D">
      <w:pPr>
        <w:pStyle w:val="99"/>
        <w:tabs>
          <w:tab w:val="right" w:leader="dot" w:pos="9354"/>
        </w:tabs>
        <w:spacing w:line="800" w:lineRule="exact"/>
        <w:rPr>
          <w:rFonts w:hint="eastAsia" w:ascii="宋体" w:hAnsi="宋体" w:eastAsia="宋体" w:cs="宋体"/>
          <w:color w:val="auto"/>
          <w:sz w:val="30"/>
          <w:szCs w:val="30"/>
          <w:highlight w:val="none"/>
        </w:rPr>
      </w:pPr>
    </w:p>
    <w:p w14:paraId="42BB0FF3">
      <w:pPr>
        <w:pStyle w:val="99"/>
        <w:tabs>
          <w:tab w:val="right" w:leader="dot" w:pos="9354"/>
        </w:tabs>
        <w:spacing w:line="800" w:lineRule="exact"/>
        <w:rPr>
          <w:rFonts w:hint="eastAsia" w:ascii="宋体" w:hAnsi="宋体" w:eastAsia="宋体" w:cs="宋体"/>
          <w:color w:val="auto"/>
          <w:sz w:val="30"/>
          <w:szCs w:val="30"/>
          <w:highlight w:val="none"/>
        </w:rPr>
      </w:pPr>
    </w:p>
    <w:p w14:paraId="5B82FC19">
      <w:pPr>
        <w:pStyle w:val="99"/>
        <w:tabs>
          <w:tab w:val="right" w:leader="dot" w:pos="9354"/>
        </w:tabs>
        <w:spacing w:line="800" w:lineRule="exact"/>
        <w:rPr>
          <w:rFonts w:hint="eastAsia" w:ascii="宋体" w:hAnsi="宋体" w:eastAsia="宋体" w:cs="宋体"/>
          <w:color w:val="auto"/>
          <w:sz w:val="30"/>
          <w:szCs w:val="30"/>
          <w:highlight w:val="none"/>
        </w:rPr>
      </w:pPr>
    </w:p>
    <w:p w14:paraId="36D98BE7">
      <w:pPr>
        <w:pStyle w:val="99"/>
        <w:tabs>
          <w:tab w:val="right" w:leader="dot" w:pos="9354"/>
        </w:tabs>
        <w:spacing w:line="800" w:lineRule="exact"/>
        <w:rPr>
          <w:rFonts w:hint="eastAsia" w:ascii="宋体" w:hAnsi="宋体" w:eastAsia="宋体" w:cs="宋体"/>
          <w:color w:val="auto"/>
          <w:sz w:val="30"/>
          <w:szCs w:val="30"/>
          <w:highlight w:val="none"/>
        </w:rPr>
      </w:pPr>
    </w:p>
    <w:p w14:paraId="3F96DA65">
      <w:pPr>
        <w:pStyle w:val="99"/>
        <w:tabs>
          <w:tab w:val="right" w:leader="dot" w:pos="9354"/>
        </w:tabs>
        <w:spacing w:line="800" w:lineRule="exact"/>
        <w:rPr>
          <w:rFonts w:hint="eastAsia" w:ascii="宋体" w:hAnsi="宋体" w:eastAsia="宋体" w:cs="宋体"/>
          <w:color w:val="auto"/>
          <w:sz w:val="30"/>
          <w:szCs w:val="30"/>
          <w:highlight w:val="none"/>
        </w:rPr>
      </w:pPr>
    </w:p>
    <w:p w14:paraId="0D19ABD5">
      <w:pPr>
        <w:pStyle w:val="99"/>
        <w:tabs>
          <w:tab w:val="right" w:leader="dot" w:pos="9354"/>
        </w:tabs>
        <w:spacing w:line="800" w:lineRule="exact"/>
        <w:rPr>
          <w:rFonts w:hint="eastAsia" w:ascii="宋体" w:hAnsi="宋体" w:eastAsia="宋体" w:cs="宋体"/>
          <w:color w:val="auto"/>
          <w:sz w:val="30"/>
          <w:szCs w:val="30"/>
          <w:highlight w:val="none"/>
        </w:rPr>
      </w:pPr>
    </w:p>
    <w:p w14:paraId="012FB5E6">
      <w:pPr>
        <w:pStyle w:val="99"/>
        <w:tabs>
          <w:tab w:val="right" w:leader="dot" w:pos="9354"/>
        </w:tabs>
        <w:spacing w:line="800" w:lineRule="exact"/>
        <w:rPr>
          <w:rFonts w:hint="eastAsia" w:ascii="宋体" w:hAnsi="宋体" w:eastAsia="宋体" w:cs="宋体"/>
          <w:color w:val="auto"/>
          <w:sz w:val="30"/>
          <w:szCs w:val="30"/>
          <w:highlight w:val="none"/>
        </w:rPr>
      </w:pPr>
    </w:p>
    <w:p w14:paraId="751A1117">
      <w:pPr>
        <w:pStyle w:val="99"/>
        <w:tabs>
          <w:tab w:val="right" w:leader="dot" w:pos="9354"/>
        </w:tabs>
        <w:spacing w:line="800" w:lineRule="exact"/>
        <w:rPr>
          <w:rFonts w:hint="eastAsia" w:ascii="宋体" w:hAnsi="宋体" w:eastAsia="宋体" w:cs="宋体"/>
          <w:color w:val="auto"/>
          <w:sz w:val="30"/>
          <w:szCs w:val="30"/>
          <w:highlight w:val="none"/>
        </w:rPr>
      </w:pPr>
    </w:p>
    <w:p w14:paraId="6C37D34B">
      <w:pPr>
        <w:rPr>
          <w:rFonts w:hint="eastAsia" w:ascii="宋体" w:hAnsi="宋体" w:eastAsia="宋体" w:cs="宋体"/>
          <w:color w:val="auto"/>
          <w:highlight w:val="none"/>
        </w:rPr>
      </w:pPr>
      <w:r>
        <w:rPr>
          <w:rFonts w:hint="eastAsia" w:ascii="宋体" w:hAnsi="宋体" w:eastAsia="宋体" w:cs="宋体"/>
          <w:color w:val="auto"/>
          <w:sz w:val="30"/>
          <w:szCs w:val="30"/>
          <w:highlight w:val="none"/>
        </w:rPr>
        <w:fldChar w:fldCharType="end"/>
      </w:r>
    </w:p>
    <w:p w14:paraId="6BD4165B">
      <w:pPr>
        <w:pStyle w:val="3"/>
        <w:numPr>
          <w:ilvl w:val="0"/>
          <w:numId w:val="5"/>
        </w:numPr>
        <w:spacing w:before="0" w:after="0" w:line="360" w:lineRule="auto"/>
        <w:ind w:left="0" w:firstLine="403"/>
        <w:jc w:val="center"/>
        <w:rPr>
          <w:rFonts w:hint="eastAsia" w:ascii="宋体" w:hAnsi="宋体" w:eastAsia="宋体" w:cs="宋体"/>
          <w:color w:val="auto"/>
          <w:sz w:val="28"/>
          <w:szCs w:val="28"/>
          <w:highlight w:val="none"/>
        </w:rPr>
        <w:sectPr>
          <w:headerReference r:id="rId5" w:type="default"/>
          <w:footerReference r:id="rId6" w:type="default"/>
          <w:pgSz w:w="11906" w:h="16838"/>
          <w:pgMar w:top="1417" w:right="1304" w:bottom="1134" w:left="1417" w:header="851" w:footer="992" w:gutter="0"/>
          <w:pgNumType w:fmt="decimal" w:start="1"/>
          <w:cols w:space="0" w:num="1"/>
          <w:rtlGutter w:val="0"/>
          <w:docGrid w:type="linesAndChars" w:linePitch="312" w:charSpace="0"/>
        </w:sectPr>
      </w:pPr>
      <w:bookmarkStart w:id="10" w:name="_Toc10691"/>
    </w:p>
    <w:p w14:paraId="1CFFD905">
      <w:pPr>
        <w:pStyle w:val="3"/>
        <w:numPr>
          <w:ilvl w:val="0"/>
          <w:numId w:val="5"/>
        </w:numPr>
        <w:spacing w:before="0" w:after="0" w:line="360" w:lineRule="auto"/>
        <w:ind w:left="0" w:firstLine="403"/>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竞争性磋商公告</w:t>
      </w:r>
      <w:bookmarkEnd w:id="5"/>
      <w:bookmarkEnd w:id="6"/>
      <w:bookmarkEnd w:id="7"/>
      <w:bookmarkEnd w:id="8"/>
      <w:bookmarkEnd w:id="9"/>
      <w:bookmarkEnd w:id="10"/>
    </w:p>
    <w:p w14:paraId="477AAB0C">
      <w:pPr>
        <w:rPr>
          <w:rFonts w:hint="eastAsia" w:ascii="宋体" w:hAnsi="宋体" w:eastAsia="宋体" w:cs="宋体"/>
          <w:color w:val="auto"/>
          <w:highlight w:val="none"/>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1"/>
      </w:tblGrid>
      <w:tr w14:paraId="460B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14:paraId="75416755">
            <w:pPr>
              <w:spacing w:line="400" w:lineRule="exact"/>
              <w:rPr>
                <w:rFonts w:hint="eastAsia" w:ascii="宋体" w:hAnsi="宋体" w:eastAsia="宋体" w:cs="宋体"/>
                <w:color w:val="auto"/>
                <w:highlight w:val="none"/>
              </w:rPr>
            </w:pPr>
            <w:bookmarkStart w:id="11" w:name="_Toc10668"/>
            <w:r>
              <w:rPr>
                <w:rFonts w:hint="eastAsia" w:ascii="宋体" w:hAnsi="宋体" w:eastAsia="宋体" w:cs="宋体"/>
                <w:color w:val="auto"/>
                <w:highlight w:val="none"/>
              </w:rPr>
              <w:t>项目概况</w:t>
            </w:r>
          </w:p>
          <w:p w14:paraId="4DDA4B86">
            <w:pPr>
              <w:spacing w:line="400" w:lineRule="exact"/>
              <w:ind w:firstLine="420" w:firstLineChars="200"/>
              <w:rPr>
                <w:rStyle w:val="32"/>
                <w:rFonts w:hint="eastAsia" w:ascii="宋体" w:hAnsi="宋体" w:eastAsia="宋体" w:cs="宋体"/>
                <w:color w:val="auto"/>
                <w:sz w:val="21"/>
                <w:szCs w:val="21"/>
                <w:highlight w:val="none"/>
                <w:vertAlign w:val="baseline"/>
              </w:rPr>
            </w:pPr>
            <w:r>
              <w:rPr>
                <w:rFonts w:hint="eastAsia" w:ascii="宋体" w:hAnsi="宋体" w:cs="宋体"/>
                <w:color w:val="auto"/>
                <w:sz w:val="21"/>
                <w:szCs w:val="24"/>
                <w:highlight w:val="none"/>
                <w:u w:val="single"/>
                <w:lang w:eastAsia="zh-CN"/>
              </w:rPr>
              <w:t>桂林市漓江活动壅水科学试验坝专项维修(一期）</w:t>
            </w:r>
            <w:r>
              <w:rPr>
                <w:rFonts w:hint="eastAsia" w:ascii="宋体" w:hAnsi="宋体" w:eastAsia="宋体" w:cs="宋体"/>
                <w:color w:val="auto"/>
                <w:sz w:val="21"/>
                <w:szCs w:val="24"/>
                <w:highlight w:val="none"/>
                <w:lang w:eastAsia="zh-CN"/>
              </w:rPr>
              <w:t>采购项目</w:t>
            </w:r>
            <w:r>
              <w:rPr>
                <w:rFonts w:hint="eastAsia" w:ascii="宋体" w:hAnsi="宋体" w:eastAsia="宋体" w:cs="宋体"/>
                <w:color w:val="auto"/>
                <w:sz w:val="21"/>
                <w:szCs w:val="24"/>
                <w:highlight w:val="none"/>
              </w:rPr>
              <w:t>的潜在供应商应在</w:t>
            </w:r>
            <w:r>
              <w:rPr>
                <w:rFonts w:hint="eastAsia" w:ascii="宋体" w:hAnsi="宋体" w:cs="宋体"/>
                <w:color w:val="auto"/>
                <w:sz w:val="21"/>
                <w:szCs w:val="24"/>
                <w:highlight w:val="none"/>
                <w:lang w:eastAsia="zh-CN"/>
              </w:rPr>
              <w:t>“广西政府采购云平台”</w:t>
            </w:r>
            <w:r>
              <w:rPr>
                <w:rStyle w:val="102"/>
                <w:rFonts w:hint="eastAsia" w:ascii="宋体" w:hAnsi="宋体" w:cs="宋体"/>
                <w:color w:val="auto"/>
                <w:szCs w:val="21"/>
                <w:highlight w:val="none"/>
                <w:u w:val="none"/>
                <w:lang w:eastAsia="zh-CN"/>
              </w:rPr>
              <w:t>（https://www.gcy.zfcg.gxzf.gov.cn/）</w:t>
            </w:r>
            <w:r>
              <w:rPr>
                <w:rFonts w:hint="eastAsia" w:ascii="宋体" w:hAnsi="宋体" w:eastAsia="宋体" w:cs="宋体"/>
                <w:color w:val="auto"/>
                <w:sz w:val="21"/>
                <w:szCs w:val="24"/>
                <w:highlight w:val="none"/>
              </w:rPr>
              <w:t>获取竞争性磋商文件，并于</w:t>
            </w:r>
            <w:r>
              <w:rPr>
                <w:rFonts w:hint="eastAsia" w:ascii="宋体" w:hAnsi="宋体" w:cs="宋体"/>
                <w:color w:val="auto"/>
                <w:sz w:val="21"/>
                <w:szCs w:val="21"/>
                <w:highlight w:val="none"/>
                <w:u w:val="single"/>
                <w:lang w:eastAsia="zh-CN"/>
              </w:rPr>
              <w:t>202</w:t>
            </w:r>
            <w:r>
              <w:rPr>
                <w:rFonts w:hint="eastAsia" w:ascii="宋体" w:hAnsi="宋体" w:cs="宋体"/>
                <w:color w:val="auto"/>
                <w:sz w:val="21"/>
                <w:szCs w:val="21"/>
                <w:highlight w:val="none"/>
                <w:u w:val="single"/>
                <w:lang w:val="en-US" w:eastAsia="zh-CN"/>
              </w:rPr>
              <w:t>5</w:t>
            </w:r>
            <w:r>
              <w:rPr>
                <w:rFonts w:hint="eastAsia" w:ascii="宋体" w:hAnsi="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6</w:t>
            </w:r>
            <w:r>
              <w:rPr>
                <w:rFonts w:hint="eastAsia" w:ascii="宋体" w:hAnsi="宋体" w:cs="宋体"/>
                <w:color w:val="auto"/>
                <w:sz w:val="21"/>
                <w:szCs w:val="21"/>
                <w:highlight w:val="none"/>
                <w:u w:val="single"/>
                <w:lang w:eastAsia="zh-CN"/>
              </w:rPr>
              <w:t>日</w:t>
            </w:r>
            <w:r>
              <w:rPr>
                <w:rFonts w:hint="eastAsia" w:ascii="宋体" w:hAnsi="宋体" w:eastAsia="宋体" w:cs="宋体"/>
                <w:color w:val="auto"/>
                <w:sz w:val="21"/>
                <w:szCs w:val="24"/>
                <w:highlight w:val="none"/>
                <w:u w:val="single"/>
                <w:lang w:val="en-US" w:eastAsia="zh-CN"/>
              </w:rPr>
              <w:t>09:</w:t>
            </w:r>
            <w:r>
              <w:rPr>
                <w:rFonts w:hint="eastAsia" w:ascii="宋体" w:hAnsi="宋体" w:eastAsia="宋体" w:cs="宋体"/>
                <w:color w:val="auto"/>
                <w:sz w:val="21"/>
                <w:szCs w:val="24"/>
                <w:highlight w:val="none"/>
                <w:u w:val="single"/>
              </w:rPr>
              <w:t>30分</w:t>
            </w:r>
            <w:r>
              <w:rPr>
                <w:rFonts w:hint="eastAsia" w:ascii="宋体" w:hAnsi="宋体" w:eastAsia="宋体" w:cs="宋体"/>
                <w:color w:val="auto"/>
                <w:sz w:val="21"/>
                <w:szCs w:val="24"/>
                <w:highlight w:val="none"/>
              </w:rPr>
              <w:t>（北京时间）前递交</w:t>
            </w:r>
            <w:r>
              <w:rPr>
                <w:rFonts w:hint="eastAsia" w:ascii="宋体" w:hAnsi="宋体" w:eastAsia="宋体" w:cs="宋体"/>
                <w:color w:val="auto"/>
                <w:sz w:val="21"/>
                <w:szCs w:val="24"/>
                <w:highlight w:val="none"/>
                <w:lang w:eastAsia="zh-CN"/>
              </w:rPr>
              <w:t>响应</w:t>
            </w:r>
            <w:r>
              <w:rPr>
                <w:rFonts w:hint="eastAsia" w:ascii="宋体" w:hAnsi="宋体" w:eastAsia="宋体" w:cs="宋体"/>
                <w:color w:val="auto"/>
                <w:sz w:val="21"/>
                <w:szCs w:val="24"/>
                <w:highlight w:val="none"/>
              </w:rPr>
              <w:t>文件。</w:t>
            </w:r>
          </w:p>
        </w:tc>
      </w:tr>
    </w:tbl>
    <w:p w14:paraId="09A6D485">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一、项目基本情况</w:t>
      </w:r>
    </w:p>
    <w:p w14:paraId="217003EC">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cs="宋体"/>
          <w:color w:val="auto"/>
          <w:sz w:val="21"/>
          <w:szCs w:val="21"/>
          <w:highlight w:val="none"/>
          <w:lang w:eastAsia="zh-CN"/>
        </w:rPr>
        <w:t>GLZC2025-C3-990336-DYGS</w:t>
      </w:r>
    </w:p>
    <w:p w14:paraId="39450D04">
      <w:pPr>
        <w:pStyle w:val="25"/>
        <w:spacing w:before="0" w:beforeAutospacing="0" w:after="0" w:afterAutospacing="0" w:line="400" w:lineRule="exact"/>
        <w:ind w:left="0" w:leftChars="0" w:firstLine="420" w:firstLineChars="200"/>
        <w:rPr>
          <w:rFonts w:hint="eastAsia"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cs="宋体"/>
          <w:color w:val="auto"/>
          <w:sz w:val="21"/>
          <w:szCs w:val="21"/>
          <w:highlight w:val="none"/>
          <w:lang w:eastAsia="zh-CN"/>
        </w:rPr>
        <w:t>桂林市漓江活动壅水科学试验坝专项维修(一期）</w:t>
      </w:r>
    </w:p>
    <w:p w14:paraId="56A06032">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 </w:t>
      </w:r>
    </w:p>
    <w:p w14:paraId="469C9FB9">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预算金额（元）</w:t>
      </w:r>
      <w:r>
        <w:rPr>
          <w:rFonts w:hint="eastAsia" w:cs="宋体"/>
          <w:color w:val="auto"/>
          <w:sz w:val="21"/>
          <w:szCs w:val="21"/>
          <w:highlight w:val="none"/>
          <w:lang w:eastAsia="zh-CN"/>
        </w:rPr>
        <w:t>：</w:t>
      </w:r>
      <w:r>
        <w:rPr>
          <w:rFonts w:hint="eastAsia" w:cs="宋体"/>
          <w:color w:val="auto"/>
          <w:sz w:val="21"/>
          <w:szCs w:val="21"/>
          <w:highlight w:val="none"/>
          <w:lang w:val="en-US" w:eastAsia="zh-CN"/>
        </w:rPr>
        <w:t>1620000</w:t>
      </w:r>
      <w:r>
        <w:rPr>
          <w:rFonts w:hint="eastAsia" w:cs="宋体"/>
          <w:color w:val="auto"/>
          <w:sz w:val="21"/>
          <w:szCs w:val="21"/>
          <w:highlight w:val="none"/>
          <w:lang w:eastAsia="zh-CN"/>
        </w:rPr>
        <w:t>.00</w:t>
      </w:r>
    </w:p>
    <w:p w14:paraId="6842BC89">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p w14:paraId="0324DCDE">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简要规格描述或项目基本概况介绍、用途：</w:t>
      </w:r>
      <w:r>
        <w:rPr>
          <w:rFonts w:hint="eastAsia" w:cs="宋体"/>
          <w:color w:val="auto"/>
          <w:sz w:val="21"/>
          <w:szCs w:val="21"/>
          <w:highlight w:val="none"/>
          <w:lang w:eastAsia="zh-CN"/>
        </w:rPr>
        <w:t>完成桂林市漓江活动壅水科学试验坝专项维修(一期）</w:t>
      </w:r>
      <w:r>
        <w:rPr>
          <w:rFonts w:hint="eastAsia" w:cs="宋体"/>
          <w:color w:val="auto"/>
          <w:sz w:val="21"/>
          <w:szCs w:val="21"/>
          <w:highlight w:val="none"/>
          <w:lang w:val="en-US" w:eastAsia="zh-CN"/>
        </w:rPr>
        <w:t>工作</w:t>
      </w:r>
      <w:r>
        <w:rPr>
          <w:rFonts w:hint="eastAsia" w:ascii="宋体" w:hAnsi="宋体" w:eastAsia="宋体" w:cs="宋体"/>
          <w:color w:val="auto"/>
          <w:sz w:val="21"/>
          <w:szCs w:val="21"/>
          <w:highlight w:val="none"/>
          <w:lang w:eastAsia="zh-CN"/>
        </w:rPr>
        <w:t>，</w:t>
      </w:r>
      <w:r>
        <w:rPr>
          <w:rFonts w:hint="eastAsia" w:cs="宋体"/>
          <w:color w:val="auto"/>
          <w:sz w:val="21"/>
          <w:szCs w:val="21"/>
          <w:highlight w:val="none"/>
          <w:lang w:eastAsia="zh-CN"/>
        </w:rPr>
        <w:t>包含</w:t>
      </w:r>
      <w:r>
        <w:rPr>
          <w:rFonts w:hint="eastAsia" w:ascii="宋体" w:hAnsi="宋体" w:eastAsia="宋体" w:cs="宋体"/>
          <w:color w:val="auto"/>
          <w:sz w:val="21"/>
          <w:szCs w:val="21"/>
          <w:highlight w:val="none"/>
          <w:lang w:eastAsia="zh-CN"/>
        </w:rPr>
        <w:t>38块液压坝连接锁定装置制作安装、</w:t>
      </w:r>
      <w:r>
        <w:rPr>
          <w:rFonts w:hint="eastAsia"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支旧液压坝油</w:t>
      </w:r>
      <w:r>
        <w:rPr>
          <w:rFonts w:hint="eastAsia" w:cs="宋体"/>
          <w:color w:val="auto"/>
          <w:sz w:val="21"/>
          <w:szCs w:val="21"/>
          <w:highlight w:val="none"/>
          <w:lang w:eastAsia="zh-CN"/>
        </w:rPr>
        <w:t>缸拆卸、</w:t>
      </w:r>
      <w:r>
        <w:rPr>
          <w:rFonts w:hint="eastAsia" w:ascii="宋体" w:hAnsi="宋体" w:eastAsia="宋体" w:cs="宋体"/>
          <w:color w:val="auto"/>
          <w:sz w:val="21"/>
          <w:szCs w:val="21"/>
          <w:highlight w:val="none"/>
          <w:lang w:eastAsia="zh-CN"/>
        </w:rPr>
        <w:t>6支</w:t>
      </w:r>
      <w:r>
        <w:rPr>
          <w:rFonts w:hint="eastAsia" w:cs="宋体"/>
          <w:color w:val="auto"/>
          <w:sz w:val="21"/>
          <w:szCs w:val="21"/>
          <w:highlight w:val="none"/>
          <w:lang w:eastAsia="zh-CN"/>
        </w:rPr>
        <w:t>新</w:t>
      </w:r>
      <w:r>
        <w:rPr>
          <w:rFonts w:hint="eastAsia" w:ascii="宋体" w:hAnsi="宋体" w:eastAsia="宋体" w:cs="宋体"/>
          <w:color w:val="auto"/>
          <w:sz w:val="21"/>
          <w:szCs w:val="21"/>
          <w:highlight w:val="none"/>
          <w:lang w:eastAsia="zh-CN"/>
        </w:rPr>
        <w:t>液压坝油缸制作安装、6支旧液压坝油缸返厂维修</w:t>
      </w:r>
      <w:r>
        <w:rPr>
          <w:rFonts w:hint="eastAsia" w:cs="宋体"/>
          <w:color w:val="auto"/>
          <w:sz w:val="21"/>
          <w:szCs w:val="21"/>
          <w:highlight w:val="none"/>
          <w:lang w:eastAsia="zh-CN"/>
        </w:rPr>
        <w:t>及安装</w:t>
      </w:r>
      <w:r>
        <w:rPr>
          <w:rFonts w:hint="eastAsia" w:ascii="宋体" w:hAnsi="宋体" w:eastAsia="宋体" w:cs="宋体"/>
          <w:color w:val="auto"/>
          <w:sz w:val="21"/>
          <w:szCs w:val="21"/>
          <w:highlight w:val="none"/>
          <w:lang w:eastAsia="zh-CN"/>
        </w:rPr>
        <w:t>、2根锁定杆制作安装、76个锁定杆轴销改造，保障漓江活动壅水科学试验坝安全稳定运行</w:t>
      </w:r>
      <w:r>
        <w:rPr>
          <w:rFonts w:hint="eastAsia"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达到采购人的使用要求</w:t>
      </w:r>
      <w:r>
        <w:rPr>
          <w:rFonts w:hint="eastAsia" w:cs="宋体"/>
          <w:color w:val="auto"/>
          <w:sz w:val="21"/>
          <w:szCs w:val="21"/>
          <w:highlight w:val="none"/>
          <w:lang w:eastAsia="zh-CN"/>
        </w:rPr>
        <w:t>，如需进一步了解详细内容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详见竞争性磋商文件。</w:t>
      </w:r>
    </w:p>
    <w:p w14:paraId="425E1ECE">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最高限价（如有）：</w:t>
      </w:r>
      <w:r>
        <w:rPr>
          <w:rFonts w:hint="eastAsia" w:cs="宋体"/>
          <w:color w:val="auto"/>
          <w:sz w:val="21"/>
          <w:szCs w:val="21"/>
          <w:highlight w:val="none"/>
          <w:lang w:val="en-US" w:eastAsia="zh-CN"/>
        </w:rPr>
        <w:t>/</w:t>
      </w:r>
    </w:p>
    <w:p w14:paraId="59AD8E56">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w:t>
      </w:r>
      <w:r>
        <w:rPr>
          <w:rFonts w:hint="eastAsia" w:cs="宋体"/>
          <w:color w:val="auto"/>
          <w:sz w:val="21"/>
          <w:szCs w:val="21"/>
          <w:highlight w:val="none"/>
          <w:lang w:eastAsia="zh-CN"/>
        </w:rPr>
        <w:t>行</w:t>
      </w:r>
      <w:r>
        <w:rPr>
          <w:rFonts w:hint="eastAsia" w:ascii="宋体" w:hAnsi="宋体" w:eastAsia="宋体" w:cs="宋体"/>
          <w:color w:val="auto"/>
          <w:sz w:val="21"/>
          <w:szCs w:val="21"/>
          <w:highlight w:val="none"/>
        </w:rPr>
        <w:t>期限：</w:t>
      </w:r>
    </w:p>
    <w:p w14:paraId="317558A2">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cs="宋体"/>
          <w:color w:val="auto"/>
          <w:sz w:val="21"/>
          <w:szCs w:val="21"/>
          <w:highlight w:val="none"/>
          <w:lang w:val="en-US" w:eastAsia="zh-CN"/>
        </w:rPr>
        <w:t>11</w:t>
      </w:r>
      <w:r>
        <w:rPr>
          <w:rFonts w:hint="eastAsia" w:ascii="宋体" w:hAnsi="宋体" w:eastAsia="宋体" w:cs="宋体"/>
          <w:color w:val="auto"/>
          <w:sz w:val="21"/>
          <w:szCs w:val="21"/>
          <w:highlight w:val="none"/>
        </w:rPr>
        <w:t>月20日前修复完成，并交付使用。</w:t>
      </w:r>
    </w:p>
    <w:p w14:paraId="0C1EFFCF">
      <w:pPr>
        <w:pStyle w:val="25"/>
        <w:spacing w:before="0" w:beforeAutospacing="0" w:after="0" w:afterAutospacing="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本标项</w:t>
      </w:r>
      <w:r>
        <w:rPr>
          <w:rFonts w:hint="eastAsia" w:cs="宋体"/>
          <w:color w:val="auto"/>
          <w:sz w:val="21"/>
          <w:szCs w:val="21"/>
          <w:highlight w:val="none"/>
          <w:lang w:eastAsia="zh-CN"/>
        </w:rPr>
        <w:t>不</w:t>
      </w:r>
      <w:r>
        <w:rPr>
          <w:rFonts w:hint="eastAsia" w:ascii="宋体" w:hAnsi="宋体" w:eastAsia="宋体" w:cs="宋体"/>
          <w:color w:val="auto"/>
          <w:sz w:val="21"/>
          <w:szCs w:val="21"/>
          <w:highlight w:val="none"/>
        </w:rPr>
        <w:t>接受联合体投标</w:t>
      </w:r>
    </w:p>
    <w:p w14:paraId="4747E16F">
      <w:pPr>
        <w:keepNext w:val="0"/>
        <w:keepLines w:val="0"/>
        <w:pageBreakBefore w:val="0"/>
        <w:kinsoku/>
        <w:wordWrap/>
        <w:overflowPunct/>
        <w:topLinePunct w:val="0"/>
        <w:bidi w:val="0"/>
        <w:snapToGrid/>
        <w:spacing w:line="400" w:lineRule="exact"/>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p>
    <w:p w14:paraId="46AB4F2B">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bookmarkStart w:id="12" w:name="_Toc35393623"/>
      <w:bookmarkStart w:id="13" w:name="_Toc35393792"/>
      <w:bookmarkStart w:id="14" w:name="_Toc23376"/>
      <w:bookmarkStart w:id="15" w:name="_Toc11683"/>
      <w:bookmarkStart w:id="16" w:name="_Toc6128"/>
      <w:bookmarkStart w:id="17" w:name="_Toc28359018"/>
      <w:bookmarkStart w:id="18" w:name="_Toc28359095"/>
      <w:bookmarkStart w:id="19" w:name="_Toc35393636"/>
      <w:bookmarkStart w:id="20" w:name="_Toc35393805"/>
      <w:r>
        <w:rPr>
          <w:rFonts w:hint="eastAsia" w:ascii="宋体" w:hAnsi="宋体" w:eastAsia="宋体" w:cs="宋体"/>
          <w:color w:val="auto"/>
          <w:sz w:val="21"/>
          <w:szCs w:val="21"/>
          <w:highlight w:val="none"/>
        </w:rPr>
        <w:t>1、满足《中华人民共和国政府采购法》第二十二条规定；</w:t>
      </w:r>
    </w:p>
    <w:p w14:paraId="54E43316">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为专门面向中小企业项目，按照《政府采购促进中小企业发展管理办法》（财库〔2020〕46号）规定，小微企业、监狱企业、残疾人福利性单位不再执行价格评审优惠的扶持政策</w:t>
      </w:r>
      <w:r>
        <w:rPr>
          <w:rFonts w:hint="eastAsia" w:ascii="宋体" w:hAnsi="宋体" w:eastAsia="宋体" w:cs="宋体"/>
          <w:color w:val="auto"/>
          <w:sz w:val="21"/>
          <w:szCs w:val="21"/>
          <w:highlight w:val="none"/>
          <w:u w:val="none"/>
        </w:rPr>
        <w:t>；</w:t>
      </w:r>
    </w:p>
    <w:p w14:paraId="64C711B0">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3、本项目的特定资格要求：</w:t>
      </w:r>
      <w:bookmarkStart w:id="21" w:name="_Hlk137751602"/>
      <w:r>
        <w:rPr>
          <w:rFonts w:hint="eastAsia" w:ascii="宋体" w:hAnsi="宋体" w:cs="宋体"/>
          <w:color w:val="auto"/>
          <w:sz w:val="21"/>
          <w:szCs w:val="21"/>
          <w:highlight w:val="none"/>
          <w:u w:val="single"/>
          <w:lang w:val="en-US" w:eastAsia="zh-CN"/>
        </w:rPr>
        <w:t xml:space="preserve"> 无 </w:t>
      </w:r>
      <w:r>
        <w:rPr>
          <w:rFonts w:hint="eastAsia" w:ascii="宋体" w:hAnsi="宋体" w:cs="宋体"/>
          <w:color w:val="auto"/>
          <w:sz w:val="21"/>
          <w:szCs w:val="21"/>
          <w:highlight w:val="none"/>
          <w:lang w:eastAsia="zh-CN"/>
        </w:rPr>
        <w:t>。</w:t>
      </w:r>
    </w:p>
    <w:bookmarkEnd w:id="21"/>
    <w:p w14:paraId="0FFCDEEB">
      <w:pPr>
        <w:keepNext w:val="0"/>
        <w:keepLines w:val="0"/>
        <w:pageBreakBefore w:val="0"/>
        <w:kinsoku/>
        <w:wordWrap/>
        <w:overflowPunct/>
        <w:topLinePunct w:val="0"/>
        <w:bidi w:val="0"/>
        <w:snapToGrid/>
        <w:spacing w:line="400" w:lineRule="exact"/>
        <w:ind w:firstLine="420" w:firstLineChars="0"/>
        <w:textAlignment w:val="auto"/>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三、获取采购文件</w:t>
      </w:r>
      <w:bookmarkEnd w:id="12"/>
      <w:bookmarkEnd w:id="13"/>
      <w:r>
        <w:rPr>
          <w:rFonts w:hint="eastAsia" w:ascii="宋体" w:hAnsi="宋体" w:eastAsia="宋体" w:cs="宋体"/>
          <w:b/>
          <w:bCs/>
          <w:color w:val="auto"/>
          <w:sz w:val="21"/>
          <w:szCs w:val="21"/>
          <w:highlight w:val="none"/>
        </w:rPr>
        <w:t>：</w:t>
      </w:r>
      <w:bookmarkEnd w:id="14"/>
      <w:bookmarkEnd w:id="15"/>
      <w:bookmarkEnd w:id="16"/>
    </w:p>
    <w:bookmarkEnd w:id="17"/>
    <w:bookmarkEnd w:id="18"/>
    <w:bookmarkEnd w:id="19"/>
    <w:bookmarkEnd w:id="20"/>
    <w:p w14:paraId="5191E6BA">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sz w:val="21"/>
          <w:szCs w:val="21"/>
          <w:highlight w:val="none"/>
        </w:rPr>
      </w:pPr>
      <w:bookmarkStart w:id="22" w:name="_Toc35393793"/>
      <w:bookmarkStart w:id="23" w:name="_Toc35393624"/>
      <w:bookmarkStart w:id="24" w:name="_Toc28359082"/>
      <w:bookmarkStart w:id="25" w:name="_Toc28359005"/>
      <w:r>
        <w:rPr>
          <w:rFonts w:hint="eastAsia" w:ascii="宋体" w:hAnsi="宋体" w:eastAsia="宋体" w:cs="宋体"/>
          <w:color w:val="000000"/>
          <w:sz w:val="21"/>
          <w:szCs w:val="21"/>
          <w:highlight w:val="none"/>
        </w:rPr>
        <w:t>时间：自发布公告之时至磋商截止时间止。</w:t>
      </w:r>
    </w:p>
    <w:p w14:paraId="39DD7452">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地点（网址）：广西政府采购云平台（https://www.gcy.zfcg.gxzf.gov.cn/）。</w:t>
      </w:r>
    </w:p>
    <w:p w14:paraId="366B39C6">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方式：潜在供应商应登录广西政府采购云平台https://www.gcy.zfcg.gxzf.gov.cn/在线申请获取采购文件（进入“项目采购”应用，在获取采购文件菜单中选择项目，申请获取采购文件）。</w:t>
      </w:r>
    </w:p>
    <w:p w14:paraId="22C7C718">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售价（元）：0。</w:t>
      </w:r>
    </w:p>
    <w:p w14:paraId="4D8A7E92">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四、</w:t>
      </w:r>
      <w:bookmarkEnd w:id="22"/>
      <w:bookmarkEnd w:id="23"/>
      <w:bookmarkEnd w:id="24"/>
      <w:bookmarkEnd w:id="25"/>
      <w:r>
        <w:rPr>
          <w:rFonts w:hint="eastAsia" w:ascii="宋体" w:hAnsi="宋体" w:eastAsia="宋体" w:cs="宋体"/>
          <w:b/>
          <w:bCs/>
          <w:color w:val="000000"/>
          <w:sz w:val="21"/>
          <w:szCs w:val="21"/>
          <w:highlight w:val="none"/>
        </w:rPr>
        <w:t>响应文件递交</w:t>
      </w:r>
    </w:p>
    <w:p w14:paraId="6B8935AA">
      <w:pPr>
        <w:spacing w:line="440" w:lineRule="exact"/>
        <w:ind w:firstLine="420" w:firstLineChars="200"/>
        <w:rPr>
          <w:rFonts w:hint="eastAsia" w:ascii="宋体" w:hAnsi="宋体" w:cs="宋体"/>
          <w:color w:val="000000"/>
          <w:szCs w:val="21"/>
          <w:highlight w:val="none"/>
          <w:shd w:val="clear" w:color="auto" w:fill="FFFFFF"/>
        </w:rPr>
      </w:pPr>
      <w:bookmarkStart w:id="26" w:name="_Toc35393625"/>
      <w:bookmarkStart w:id="27" w:name="_Toc35393794"/>
      <w:bookmarkStart w:id="28" w:name="_Toc28359084"/>
      <w:bookmarkStart w:id="29" w:name="_Toc28359007"/>
      <w:r>
        <w:rPr>
          <w:rFonts w:hint="eastAsia" w:ascii="宋体" w:hAnsi="宋体" w:cs="宋体"/>
          <w:color w:val="000000"/>
          <w:szCs w:val="21"/>
          <w:highlight w:val="none"/>
          <w:shd w:val="clear" w:color="auto" w:fill="FFFFFF"/>
        </w:rPr>
        <w:t>截止时间：</w:t>
      </w:r>
      <w:r>
        <w:rPr>
          <w:rFonts w:hint="eastAsia" w:ascii="宋体" w:hAnsi="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8</w:t>
      </w:r>
      <w:r>
        <w:rPr>
          <w:rFonts w:hint="eastAsia" w:ascii="宋体" w:hAnsi="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6</w:t>
      </w:r>
      <w:r>
        <w:rPr>
          <w:rFonts w:hint="eastAsia" w:ascii="宋体" w:hAnsi="宋体" w:cs="宋体"/>
          <w:color w:val="auto"/>
          <w:sz w:val="21"/>
          <w:szCs w:val="21"/>
          <w:highlight w:val="none"/>
          <w:u w:val="none"/>
          <w:lang w:eastAsia="zh-CN"/>
        </w:rPr>
        <w:t>日</w:t>
      </w:r>
      <w:r>
        <w:rPr>
          <w:rFonts w:hint="eastAsia" w:ascii="宋体" w:hAnsi="宋体" w:cs="宋体"/>
          <w:color w:val="auto"/>
          <w:sz w:val="21"/>
          <w:szCs w:val="21"/>
          <w:highlight w:val="none"/>
          <w:u w:val="none"/>
          <w:lang w:val="en-US" w:eastAsia="zh-CN"/>
        </w:rPr>
        <w:t>09:30</w:t>
      </w:r>
      <w:r>
        <w:rPr>
          <w:rFonts w:hint="eastAsia" w:ascii="宋体" w:hAnsi="宋体" w:cs="宋体"/>
          <w:color w:val="000000"/>
          <w:szCs w:val="21"/>
          <w:highlight w:val="none"/>
          <w:shd w:val="clear" w:color="auto" w:fill="FFFFFF"/>
        </w:rPr>
        <w:t>（北京时间）</w:t>
      </w:r>
    </w:p>
    <w:p w14:paraId="034C47EF">
      <w:pPr>
        <w:spacing w:line="440" w:lineRule="exact"/>
        <w:ind w:firstLine="420" w:firstLineChars="200"/>
        <w:rPr>
          <w:rFonts w:hint="eastAsia"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地点（网址）：通过广西政府采购云平台实行在线响应。</w:t>
      </w:r>
    </w:p>
    <w:p w14:paraId="394A6A51">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五、响应文件开启</w:t>
      </w:r>
    </w:p>
    <w:p w14:paraId="0E717203">
      <w:pPr>
        <w:spacing w:line="440" w:lineRule="exact"/>
        <w:ind w:firstLine="420" w:firstLineChars="200"/>
        <w:rPr>
          <w:rFonts w:hint="eastAsia" w:ascii="宋体" w:hAnsi="宋体" w:cs="宋体"/>
          <w:color w:val="000000"/>
          <w:szCs w:val="21"/>
          <w:highlight w:val="none"/>
          <w:shd w:val="clear" w:color="auto" w:fill="FFFFFF"/>
        </w:rPr>
      </w:pPr>
      <w:r>
        <w:rPr>
          <w:rFonts w:hint="eastAsia" w:ascii="宋体" w:hAnsi="宋体" w:cs="宋体"/>
          <w:color w:val="000000"/>
          <w:szCs w:val="21"/>
          <w:highlight w:val="none"/>
          <w:shd w:val="clear" w:color="auto" w:fill="FFFFFF"/>
        </w:rPr>
        <w:t>开启时间：</w:t>
      </w:r>
      <w:r>
        <w:rPr>
          <w:rFonts w:hint="eastAsia" w:ascii="宋体" w:hAnsi="宋体" w:cs="宋体"/>
          <w:color w:val="auto"/>
          <w:sz w:val="21"/>
          <w:szCs w:val="21"/>
          <w:highlight w:val="none"/>
          <w:u w:val="none"/>
          <w:lang w:eastAsia="zh-CN"/>
        </w:rPr>
        <w:t>202</w:t>
      </w:r>
      <w:r>
        <w:rPr>
          <w:rFonts w:hint="eastAsia" w:ascii="宋体" w:hAnsi="宋体" w:cs="宋体"/>
          <w:color w:val="auto"/>
          <w:sz w:val="21"/>
          <w:szCs w:val="21"/>
          <w:highlight w:val="none"/>
          <w:u w:val="none"/>
          <w:lang w:val="en-US" w:eastAsia="zh-CN"/>
        </w:rPr>
        <w:t>5</w:t>
      </w:r>
      <w:r>
        <w:rPr>
          <w:rFonts w:hint="eastAsia" w:ascii="宋体" w:hAnsi="宋体" w:cs="宋体"/>
          <w:color w:val="auto"/>
          <w:sz w:val="21"/>
          <w:szCs w:val="21"/>
          <w:highlight w:val="none"/>
          <w:u w:val="none"/>
          <w:lang w:eastAsia="zh-CN"/>
        </w:rPr>
        <w:t>年</w:t>
      </w:r>
      <w:r>
        <w:rPr>
          <w:rFonts w:hint="eastAsia" w:ascii="宋体" w:hAnsi="宋体" w:cs="宋体"/>
          <w:color w:val="auto"/>
          <w:sz w:val="21"/>
          <w:szCs w:val="21"/>
          <w:highlight w:val="none"/>
          <w:u w:val="none"/>
          <w:lang w:val="en-US" w:eastAsia="zh-CN"/>
        </w:rPr>
        <w:t>8</w:t>
      </w:r>
      <w:r>
        <w:rPr>
          <w:rFonts w:hint="eastAsia" w:ascii="宋体" w:hAnsi="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6</w:t>
      </w:r>
      <w:r>
        <w:rPr>
          <w:rFonts w:hint="eastAsia" w:ascii="宋体" w:hAnsi="宋体" w:cs="宋体"/>
          <w:color w:val="auto"/>
          <w:sz w:val="21"/>
          <w:szCs w:val="21"/>
          <w:highlight w:val="none"/>
          <w:u w:val="none"/>
          <w:lang w:eastAsia="zh-CN"/>
        </w:rPr>
        <w:t>日</w:t>
      </w:r>
      <w:r>
        <w:rPr>
          <w:rFonts w:hint="eastAsia" w:ascii="宋体" w:hAnsi="宋体" w:cs="宋体"/>
          <w:color w:val="auto"/>
          <w:sz w:val="21"/>
          <w:szCs w:val="21"/>
          <w:highlight w:val="none"/>
          <w:u w:val="none"/>
          <w:lang w:val="en-US" w:eastAsia="zh-CN"/>
        </w:rPr>
        <w:t>09:30（</w:t>
      </w:r>
      <w:r>
        <w:rPr>
          <w:rFonts w:hint="eastAsia" w:ascii="宋体" w:hAnsi="宋体" w:cs="宋体"/>
          <w:color w:val="000000"/>
          <w:szCs w:val="21"/>
          <w:highlight w:val="none"/>
          <w:shd w:val="clear" w:color="auto" w:fill="FFFFFF"/>
        </w:rPr>
        <w:t>北京时间）</w:t>
      </w:r>
    </w:p>
    <w:p w14:paraId="7DFE9EF1">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cs="宋体"/>
          <w:color w:val="000000"/>
          <w:szCs w:val="21"/>
          <w:highlight w:val="none"/>
          <w:shd w:val="clear" w:color="auto" w:fill="FFFFFF"/>
        </w:rPr>
        <w:t>地点：通过</w:t>
      </w:r>
      <w:r>
        <w:rPr>
          <w:rFonts w:hint="eastAsia" w:ascii="宋体" w:hAnsi="宋体" w:cs="宋体"/>
          <w:color w:val="000000"/>
          <w:szCs w:val="21"/>
          <w:highlight w:val="none"/>
          <w:lang w:val="en-US" w:eastAsia="zh-CN"/>
        </w:rPr>
        <w:t>广西政府采购云</w:t>
      </w:r>
      <w:r>
        <w:rPr>
          <w:rFonts w:hint="eastAsia" w:ascii="宋体" w:hAnsi="宋体" w:cs="宋体"/>
          <w:color w:val="000000"/>
          <w:szCs w:val="21"/>
          <w:highlight w:val="none"/>
          <w:shd w:val="clear" w:color="auto" w:fill="FFFFFF"/>
        </w:rPr>
        <w:t>平台实行在线解密开启</w:t>
      </w:r>
      <w:r>
        <w:rPr>
          <w:rFonts w:hint="eastAsia" w:ascii="宋体" w:hAnsi="宋体" w:eastAsia="宋体" w:cs="宋体"/>
          <w:color w:val="000000"/>
          <w:sz w:val="21"/>
          <w:szCs w:val="21"/>
          <w:highlight w:val="none"/>
          <w:shd w:val="clear" w:color="auto" w:fill="FFFFFF"/>
        </w:rPr>
        <w:t>。</w:t>
      </w:r>
    </w:p>
    <w:p w14:paraId="7D04495C">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六、公告期限</w:t>
      </w:r>
      <w:bookmarkEnd w:id="26"/>
      <w:bookmarkEnd w:id="27"/>
      <w:bookmarkEnd w:id="28"/>
      <w:bookmarkEnd w:id="29"/>
    </w:p>
    <w:p w14:paraId="0E14D5B0">
      <w:pPr>
        <w:keepNext w:val="0"/>
        <w:keepLines w:val="0"/>
        <w:pageBreakBefore w:val="0"/>
        <w:kinsoku/>
        <w:wordWrap/>
        <w:overflowPunct/>
        <w:topLinePunct w:val="0"/>
        <w:bidi w:val="0"/>
        <w:snapToGrid/>
        <w:spacing w:line="400" w:lineRule="exact"/>
        <w:ind w:firstLine="420" w:firstLineChars="200"/>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自本公告发布之日起</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个工作日。</w:t>
      </w:r>
    </w:p>
    <w:p w14:paraId="38CB03BF">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color w:val="000000"/>
          <w:sz w:val="21"/>
          <w:szCs w:val="21"/>
          <w:highlight w:val="none"/>
        </w:rPr>
      </w:pPr>
      <w:bookmarkStart w:id="30" w:name="_Toc35393626"/>
      <w:bookmarkStart w:id="31" w:name="_Toc35393795"/>
      <w:r>
        <w:rPr>
          <w:rFonts w:hint="eastAsia" w:ascii="宋体" w:hAnsi="宋体" w:eastAsia="宋体" w:cs="宋体"/>
          <w:b/>
          <w:bCs/>
          <w:color w:val="000000"/>
          <w:sz w:val="21"/>
          <w:szCs w:val="21"/>
          <w:highlight w:val="none"/>
        </w:rPr>
        <w:t>七、其他补充事宜</w:t>
      </w:r>
      <w:bookmarkEnd w:id="30"/>
      <w:bookmarkEnd w:id="31"/>
    </w:p>
    <w:p w14:paraId="782A6F40">
      <w:pPr>
        <w:keepNext w:val="0"/>
        <w:keepLines w:val="0"/>
        <w:pageBreakBefore w:val="0"/>
        <w:widowControl w:val="0"/>
        <w:kinsoku/>
        <w:wordWrap/>
        <w:overflowPunct/>
        <w:topLinePunct w:val="0"/>
        <w:bidi w:val="0"/>
        <w:snapToGrid/>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1、本项目无需交纳磋商保证金。</w:t>
      </w:r>
    </w:p>
    <w:p w14:paraId="27AE3F13">
      <w:pPr>
        <w:keepNext w:val="0"/>
        <w:keepLines w:val="0"/>
        <w:pageBreakBefore w:val="0"/>
        <w:widowControl w:val="0"/>
        <w:kinsoku/>
        <w:wordWrap/>
        <w:overflowPunct/>
        <w:topLinePunct w:val="0"/>
        <w:bidi w:val="0"/>
        <w:snapToGrid/>
        <w:spacing w:line="360" w:lineRule="exact"/>
        <w:ind w:firstLine="420" w:firstLineChars="200"/>
        <w:textAlignment w:val="auto"/>
        <w:rPr>
          <w:rFonts w:ascii="宋体" w:hAnsi="宋体" w:cs="宋体"/>
          <w:color w:val="auto"/>
          <w:szCs w:val="21"/>
          <w:highlight w:val="none"/>
        </w:rPr>
      </w:pPr>
      <w:r>
        <w:rPr>
          <w:rFonts w:hint="eastAsia"/>
          <w:color w:val="auto"/>
          <w:highlight w:val="none"/>
        </w:rPr>
        <w:t>2、</w:t>
      </w:r>
      <w:r>
        <w:rPr>
          <w:rFonts w:ascii="宋体" w:hAnsi="宋体" w:cs="宋体"/>
          <w:color w:val="auto"/>
          <w:szCs w:val="21"/>
          <w:highlight w:val="none"/>
        </w:rPr>
        <w:t>单位负责人为同一人或者存在直接控股、管理关系的不同供应商，不得参加同一合同项下的政府采购活动。</w:t>
      </w:r>
      <w:r>
        <w:rPr>
          <w:rFonts w:hint="eastAsia" w:ascii="宋体" w:hAnsi="宋体" w:cs="宋体"/>
          <w:color w:val="auto"/>
          <w:highlight w:val="none"/>
        </w:rPr>
        <w:t>除单一来源采购项目外，</w:t>
      </w:r>
      <w:r>
        <w:rPr>
          <w:rFonts w:ascii="宋体" w:hAnsi="宋体" w:cs="宋体"/>
          <w:color w:val="auto"/>
          <w:szCs w:val="21"/>
          <w:highlight w:val="none"/>
        </w:rPr>
        <w:t>为本项目提供过整体设计、规范编制或者项目管理、监理等服务的供应商，</w:t>
      </w:r>
      <w:r>
        <w:rPr>
          <w:rFonts w:hint="eastAsia" w:ascii="宋体" w:hAnsi="宋体" w:cs="宋体"/>
          <w:color w:val="auto"/>
          <w:szCs w:val="21"/>
          <w:highlight w:val="none"/>
        </w:rPr>
        <w:t>不得再参加本次采购活动</w:t>
      </w:r>
      <w:r>
        <w:rPr>
          <w:rFonts w:ascii="宋体" w:hAnsi="宋体" w:cs="宋体"/>
          <w:color w:val="auto"/>
          <w:szCs w:val="21"/>
          <w:highlight w:val="none"/>
        </w:rPr>
        <w:t>。</w:t>
      </w:r>
    </w:p>
    <w:p w14:paraId="582BDCF3">
      <w:pPr>
        <w:keepNext w:val="0"/>
        <w:keepLines w:val="0"/>
        <w:pageBreakBefore w:val="0"/>
        <w:widowControl w:val="0"/>
        <w:kinsoku/>
        <w:wordWrap/>
        <w:overflowPunct/>
        <w:topLinePunct w:val="0"/>
        <w:bidi w:val="0"/>
        <w:snapToGrid/>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7D1AFC90">
      <w:pPr>
        <w:keepNext w:val="0"/>
        <w:keepLines w:val="0"/>
        <w:pageBreakBefore w:val="0"/>
        <w:widowControl w:val="0"/>
        <w:kinsoku/>
        <w:wordWrap/>
        <w:overflowPunct/>
        <w:topLinePunct w:val="0"/>
        <w:bidi w:val="0"/>
        <w:snapToGrid/>
        <w:spacing w:line="360" w:lineRule="exact"/>
        <w:ind w:firstLine="420" w:firstLineChars="200"/>
        <w:textAlignment w:val="auto"/>
        <w:rPr>
          <w:color w:val="auto"/>
          <w:highlight w:val="none"/>
        </w:rPr>
      </w:pPr>
      <w:r>
        <w:rPr>
          <w:rFonts w:hint="eastAsia" w:ascii="宋体" w:hAnsi="宋体" w:cs="宋体"/>
          <w:color w:val="auto"/>
          <w:szCs w:val="21"/>
          <w:highlight w:val="none"/>
        </w:rPr>
        <w:t>4、本项目信息发布媒体：http://www.ccgp.gov.cn（中国政府采购网）、http://</w:t>
      </w:r>
      <w:r>
        <w:rPr>
          <w:rFonts w:hint="eastAsia" w:ascii="宋体" w:hAnsi="宋体" w:cs="宋体"/>
          <w:color w:val="auto"/>
          <w:szCs w:val="21"/>
          <w:highlight w:val="none"/>
          <w:lang w:eastAsia="zh-CN"/>
        </w:rPr>
        <w:t>zfcg.gxzf.gov.cn</w:t>
      </w:r>
      <w:r>
        <w:rPr>
          <w:rFonts w:hint="eastAsia" w:ascii="宋体" w:hAnsi="宋体" w:cs="宋体"/>
          <w:color w:val="auto"/>
          <w:szCs w:val="21"/>
          <w:highlight w:val="none"/>
        </w:rPr>
        <w:t>/（广西壮族自治区政府采购网）、http://zfcg.czj.guilin.gov.cn/（桂林市政府采购网）。</w:t>
      </w:r>
    </w:p>
    <w:p w14:paraId="60865F20">
      <w:pPr>
        <w:pStyle w:val="57"/>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textAlignment w:val="auto"/>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、本项目需要落实的政府采购政策：</w:t>
      </w:r>
    </w:p>
    <w:p w14:paraId="631CF850">
      <w:pPr>
        <w:pStyle w:val="57"/>
        <w:keepNext w:val="0"/>
        <w:keepLines w:val="0"/>
        <w:pageBreakBefore w:val="0"/>
        <w:widowControl w:val="0"/>
        <w:kinsoku/>
        <w:wordWrap/>
        <w:overflowPunct/>
        <w:topLinePunct w:val="0"/>
        <w:autoSpaceDE w:val="0"/>
        <w:autoSpaceDN w:val="0"/>
        <w:bidi w:val="0"/>
        <w:adjustRightInd w:val="0"/>
        <w:snapToGrid/>
        <w:spacing w:line="360" w:lineRule="exact"/>
        <w:ind w:left="420" w:leftChars="20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（1）《政府采购促进中小企业发展管理办法》（财库[2020]46号）。</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（2）《关于政府采购支持监狱企业发展有关问题的通知》（财库[2014]68号）。</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（3）《关于促进残疾人就业政府采购政策的通知》（财库[2017]141号）。</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（4）《关于我区政府采购支持监狱企业发展有关问题的通知》（桂财采[2015]24号）。</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（5）本项目为专门面向中小企业采购的项目。</w:t>
      </w:r>
      <w:r>
        <w:rPr>
          <w:rFonts w:hint="eastAsia" w:ascii="宋体" w:hAnsi="宋体" w:cs="宋体"/>
          <w:color w:val="auto"/>
          <w:sz w:val="21"/>
          <w:szCs w:val="21"/>
          <w:highlight w:val="none"/>
        </w:rPr>
        <w:br w:type="textWrapping"/>
      </w:r>
      <w:r>
        <w:rPr>
          <w:rFonts w:hint="eastAsia" w:ascii="宋体" w:hAnsi="宋体" w:cs="宋体"/>
          <w:color w:val="auto"/>
          <w:sz w:val="21"/>
          <w:szCs w:val="21"/>
          <w:highlight w:val="none"/>
        </w:rPr>
        <w:t>（6）本项目中小微企业划分标准所属行业：建筑业。</w:t>
      </w:r>
    </w:p>
    <w:p w14:paraId="2A49DFBD">
      <w:pPr>
        <w:keepNext w:val="0"/>
        <w:keepLines w:val="0"/>
        <w:pageBreakBefore w:val="0"/>
        <w:widowControl w:val="0"/>
        <w:kinsoku/>
        <w:wordWrap/>
        <w:overflowPunct/>
        <w:topLinePunct w:val="0"/>
        <w:bidi w:val="0"/>
        <w:snapToGrid/>
        <w:spacing w:line="360" w:lineRule="exact"/>
        <w:ind w:firstLine="420" w:firstLineChars="200"/>
        <w:textAlignment w:val="auto"/>
        <w:outlineLvl w:val="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bookmarkStart w:id="32" w:name="_Toc10383"/>
      <w:bookmarkStart w:id="33" w:name="_Toc19499"/>
      <w:bookmarkStart w:id="34" w:name="_Toc29913"/>
      <w:r>
        <w:rPr>
          <w:rFonts w:hint="eastAsia" w:ascii="宋体" w:hAnsi="宋体" w:cs="宋体"/>
          <w:color w:val="auto"/>
          <w:szCs w:val="21"/>
          <w:highlight w:val="none"/>
        </w:rPr>
        <w:t>响应文件解密时间：提交响应文件截止时间，广西政府采购云平台自动提取所有供应商响应文件，各供应商须在提交响应文件截止后30分钟内，登录广西政府采购云平台，通过“项目采购-开标评标”功能解密电子响应文件。若供应商在规定时间内无法解密或解密失败或超时解密的，系统默认自动放弃，响应文件按无效响应处理。</w:t>
      </w:r>
    </w:p>
    <w:bookmarkEnd w:id="32"/>
    <w:bookmarkEnd w:id="33"/>
    <w:bookmarkEnd w:id="34"/>
    <w:p w14:paraId="4064B764">
      <w:pPr>
        <w:pStyle w:val="25"/>
        <w:spacing w:before="0" w:beforeAutospacing="0" w:after="0" w:afterAutospacing="0" w:line="400" w:lineRule="exact"/>
        <w:ind w:firstLine="420" w:firstLineChars="200"/>
        <w:jc w:val="both"/>
        <w:rPr>
          <w:rStyle w:val="32"/>
          <w:rFonts w:hint="eastAsia" w:ascii="宋体" w:hAnsi="宋体" w:eastAsia="宋体" w:cs="宋体"/>
          <w:color w:val="auto"/>
          <w:sz w:val="21"/>
          <w:szCs w:val="21"/>
          <w:highlight w:val="none"/>
        </w:rPr>
      </w:pPr>
      <w:r>
        <w:rPr>
          <w:rStyle w:val="32"/>
          <w:rFonts w:hint="eastAsia" w:ascii="宋体" w:hAnsi="宋体" w:eastAsia="宋体" w:cs="宋体"/>
          <w:b w:val="0"/>
          <w:bCs w:val="0"/>
          <w:color w:val="auto"/>
          <w:sz w:val="21"/>
          <w:szCs w:val="21"/>
          <w:highlight w:val="none"/>
        </w:rPr>
        <w:t>7.“广西政府采购云平台”电子投标相关事宜说明：</w:t>
      </w:r>
      <w:r>
        <w:rPr>
          <w:rStyle w:val="32"/>
          <w:rFonts w:hint="eastAsia" w:ascii="宋体" w:hAnsi="宋体" w:eastAsia="宋体" w:cs="宋体"/>
          <w:b w:val="0"/>
          <w:bCs w:val="0"/>
          <w:color w:val="auto"/>
          <w:sz w:val="21"/>
          <w:szCs w:val="21"/>
          <w:highlight w:val="none"/>
        </w:rPr>
        <w:br w:type="textWrapping"/>
      </w:r>
      <w:r>
        <w:rPr>
          <w:rStyle w:val="32"/>
          <w:rFonts w:hint="eastAsia" w:ascii="宋体" w:hAnsi="宋体" w:eastAsia="宋体" w:cs="宋体"/>
          <w:b w:val="0"/>
          <w:bCs w:val="0"/>
          <w:color w:val="auto"/>
          <w:sz w:val="21"/>
          <w:szCs w:val="21"/>
          <w:highlight w:val="none"/>
        </w:rPr>
        <w:t xml:space="preserve"> </w:t>
      </w:r>
      <w:r>
        <w:rPr>
          <w:rStyle w:val="32"/>
          <w:rFonts w:hint="eastAsia" w:cs="宋体"/>
          <w:b w:val="0"/>
          <w:bCs w:val="0"/>
          <w:color w:val="auto"/>
          <w:sz w:val="21"/>
          <w:szCs w:val="21"/>
          <w:highlight w:val="none"/>
          <w:lang w:val="en-US" w:eastAsia="zh-CN"/>
        </w:rPr>
        <w:t xml:space="preserve">   7.1</w:t>
      </w:r>
      <w:r>
        <w:rPr>
          <w:rStyle w:val="32"/>
          <w:rFonts w:hint="eastAsia" w:ascii="宋体" w:hAnsi="宋体" w:eastAsia="宋体" w:cs="宋体"/>
          <w:b w:val="0"/>
          <w:bCs w:val="0"/>
          <w:color w:val="auto"/>
          <w:sz w:val="21"/>
          <w:szCs w:val="21"/>
          <w:highlight w:val="none"/>
        </w:rPr>
        <w:t>本项目实行全流程电子化采购，供应商通过“广西政府采购云平台”参与电子投标，并应做好以下相关准备工作：①在“广西政府采购云平台”注册成为正式供应商（操作方法详见广西政府采购网—办事服务—办事指南）；②完成CA认证证书申领和绑定（费用由供应商自行承担，办理流程详见广西政府采购网—办事服务—办事指南，完成CA认证证书办理预计一周左右，建议供应商尽快办理）；③下载“广西政府采购云平台新版客户端”（新版客户端下载路径：广西政府采购网（访问地址http://zfcg.gxzf.gov.cn/）—办事服务—下载专区）并安装成功，供应商应当在响应文件提交截止时间前在“广西政府采购云平台”完成身份认证，确保能够对相关数据电子文件进行加密和使用电子签章；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r>
        <w:rPr>
          <w:rStyle w:val="32"/>
          <w:rFonts w:hint="eastAsia" w:ascii="宋体" w:hAnsi="宋体" w:eastAsia="宋体" w:cs="宋体"/>
          <w:b w:val="0"/>
          <w:bCs w:val="0"/>
          <w:color w:val="auto"/>
          <w:sz w:val="21"/>
          <w:szCs w:val="21"/>
          <w:highlight w:val="none"/>
        </w:rPr>
        <w:br w:type="textWrapping"/>
      </w:r>
      <w:r>
        <w:rPr>
          <w:rStyle w:val="32"/>
          <w:rFonts w:hint="eastAsia" w:cs="宋体"/>
          <w:b w:val="0"/>
          <w:bCs w:val="0"/>
          <w:color w:val="auto"/>
          <w:sz w:val="21"/>
          <w:szCs w:val="21"/>
          <w:highlight w:val="none"/>
          <w:lang w:val="en-US" w:eastAsia="zh-CN"/>
        </w:rPr>
        <w:t xml:space="preserve">    </w:t>
      </w:r>
      <w:r>
        <w:rPr>
          <w:rStyle w:val="32"/>
          <w:rFonts w:hint="eastAsia" w:ascii="宋体" w:hAnsi="宋体" w:eastAsia="宋体" w:cs="宋体"/>
          <w:b w:val="0"/>
          <w:bCs w:val="0"/>
          <w:color w:val="auto"/>
          <w:sz w:val="21"/>
          <w:szCs w:val="21"/>
          <w:highlight w:val="none"/>
        </w:rPr>
        <w:t>7.2电子投标具体操作流程参考《政府采购项目电子交易管理操作指南-供应商》，如遇平台技术问题详询95763。</w:t>
      </w:r>
      <w:r>
        <w:rPr>
          <w:rStyle w:val="32"/>
          <w:rFonts w:hint="eastAsia" w:ascii="宋体" w:hAnsi="宋体" w:eastAsia="宋体" w:cs="宋体"/>
          <w:b w:val="0"/>
          <w:bCs w:val="0"/>
          <w:color w:val="auto"/>
          <w:sz w:val="21"/>
          <w:szCs w:val="21"/>
          <w:highlight w:val="none"/>
        </w:rPr>
        <w:br w:type="textWrapping"/>
      </w:r>
      <w:r>
        <w:rPr>
          <w:rStyle w:val="32"/>
          <w:rFonts w:hint="eastAsia" w:cs="宋体"/>
          <w:b w:val="0"/>
          <w:bCs w:val="0"/>
          <w:color w:val="auto"/>
          <w:sz w:val="21"/>
          <w:szCs w:val="21"/>
          <w:highlight w:val="none"/>
          <w:lang w:val="en-US" w:eastAsia="zh-CN"/>
        </w:rPr>
        <w:t xml:space="preserve">    </w:t>
      </w:r>
      <w:r>
        <w:rPr>
          <w:rStyle w:val="32"/>
          <w:rFonts w:hint="eastAsia" w:ascii="宋体" w:hAnsi="宋体" w:eastAsia="宋体" w:cs="宋体"/>
          <w:b w:val="0"/>
          <w:bCs w:val="0"/>
          <w:color w:val="auto"/>
          <w:sz w:val="21"/>
          <w:szCs w:val="21"/>
          <w:highlight w:val="none"/>
        </w:rPr>
        <w:t>7.3电子响应文件的制作、加密、提交等相关事宜详见第二章“</w:t>
      </w:r>
      <w:r>
        <w:rPr>
          <w:rStyle w:val="32"/>
          <w:rFonts w:hint="eastAsia" w:cs="宋体"/>
          <w:b w:val="0"/>
          <w:bCs w:val="0"/>
          <w:color w:val="auto"/>
          <w:sz w:val="21"/>
          <w:szCs w:val="21"/>
          <w:highlight w:val="none"/>
          <w:lang w:eastAsia="zh-CN"/>
        </w:rPr>
        <w:t>供应商</w:t>
      </w:r>
      <w:r>
        <w:rPr>
          <w:rStyle w:val="32"/>
          <w:rFonts w:hint="eastAsia" w:ascii="宋体" w:hAnsi="宋体" w:eastAsia="宋体" w:cs="宋体"/>
          <w:b w:val="0"/>
          <w:bCs w:val="0"/>
          <w:color w:val="auto"/>
          <w:sz w:val="21"/>
          <w:szCs w:val="21"/>
          <w:highlight w:val="none"/>
        </w:rPr>
        <w:t>须知”。</w:t>
      </w:r>
      <w:r>
        <w:rPr>
          <w:rStyle w:val="32"/>
          <w:rFonts w:hint="eastAsia" w:ascii="宋体" w:hAnsi="宋体" w:eastAsia="宋体" w:cs="宋体"/>
          <w:color w:val="auto"/>
          <w:sz w:val="21"/>
          <w:szCs w:val="21"/>
          <w:highlight w:val="none"/>
        </w:rPr>
        <w:t> </w:t>
      </w:r>
    </w:p>
    <w:p w14:paraId="254084DA">
      <w:pPr>
        <w:pStyle w:val="25"/>
        <w:spacing w:before="0" w:beforeAutospacing="0" w:after="0" w:afterAutospacing="0" w:line="400" w:lineRule="exact"/>
        <w:jc w:val="both"/>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八、凡对本次招标提出询问，请按以下方式联系</w:t>
      </w:r>
    </w:p>
    <w:p w14:paraId="000B0EF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07DD166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r>
        <w:rPr>
          <w:rFonts w:hint="eastAsia" w:cs="宋体"/>
          <w:color w:val="auto"/>
          <w:sz w:val="21"/>
          <w:szCs w:val="21"/>
          <w:highlight w:val="none"/>
          <w:lang w:eastAsia="zh-CN"/>
        </w:rPr>
        <w:t>桂林市防洪排涝工程管理处</w:t>
      </w:r>
    </w:p>
    <w:p w14:paraId="35C3AF8B">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w:t>
      </w:r>
      <w:r>
        <w:rPr>
          <w:rFonts w:hint="eastAsia" w:cs="宋体"/>
          <w:color w:val="auto"/>
          <w:sz w:val="21"/>
          <w:szCs w:val="21"/>
          <w:highlight w:val="none"/>
          <w:lang w:eastAsia="zh-CN"/>
        </w:rPr>
        <w:t>桂林市七星区</w:t>
      </w:r>
    </w:p>
    <w:p w14:paraId="0A90DE73">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w:t>
      </w:r>
      <w:r>
        <w:rPr>
          <w:rFonts w:hint="eastAsia" w:cs="宋体"/>
          <w:color w:val="auto"/>
          <w:sz w:val="21"/>
          <w:szCs w:val="21"/>
          <w:highlight w:val="none"/>
          <w:lang w:val="en-US" w:eastAsia="zh-CN"/>
        </w:rPr>
        <w:t xml:space="preserve">人：雷工  </w:t>
      </w:r>
    </w:p>
    <w:p w14:paraId="2704E192">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联系电话：</w:t>
      </w:r>
      <w:r>
        <w:rPr>
          <w:rFonts w:hint="eastAsia" w:cs="宋体"/>
          <w:color w:val="auto"/>
          <w:sz w:val="21"/>
          <w:szCs w:val="21"/>
          <w:highlight w:val="none"/>
          <w:lang w:eastAsia="zh-CN"/>
        </w:rPr>
        <w:t>0773-3811012</w:t>
      </w:r>
      <w:r>
        <w:rPr>
          <w:rFonts w:hint="eastAsia" w:ascii="宋体" w:hAnsi="宋体" w:eastAsia="宋体" w:cs="宋体"/>
          <w:color w:val="auto"/>
          <w:sz w:val="21"/>
          <w:szCs w:val="21"/>
          <w:highlight w:val="none"/>
          <w:lang w:val="en-US" w:eastAsia="zh-CN"/>
        </w:rPr>
        <w:t xml:space="preserve"> </w:t>
      </w:r>
    </w:p>
    <w:p w14:paraId="302FCC74">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64B4A04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eastAsia="zh-CN"/>
        </w:rPr>
      </w:pPr>
      <w:bookmarkStart w:id="35" w:name="_Toc28359087"/>
      <w:bookmarkStart w:id="36" w:name="_Toc28359010"/>
      <w:r>
        <w:rPr>
          <w:rFonts w:hint="eastAsia" w:ascii="宋体" w:hAnsi="宋体" w:eastAsia="宋体" w:cs="宋体"/>
          <w:color w:val="auto"/>
          <w:sz w:val="21"/>
          <w:szCs w:val="21"/>
          <w:highlight w:val="none"/>
        </w:rPr>
        <w:t>名称：</w:t>
      </w:r>
      <w:r>
        <w:rPr>
          <w:rFonts w:hint="eastAsia" w:cs="宋体"/>
          <w:color w:val="auto"/>
          <w:sz w:val="21"/>
          <w:szCs w:val="21"/>
          <w:highlight w:val="none"/>
          <w:lang w:eastAsia="zh-CN"/>
        </w:rPr>
        <w:t>广西鼎誉工程咨询有限公司</w:t>
      </w:r>
    </w:p>
    <w:p w14:paraId="28960216">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cs="宋体"/>
          <w:color w:val="auto"/>
          <w:sz w:val="21"/>
          <w:szCs w:val="21"/>
          <w:highlight w:val="none"/>
          <w:lang w:eastAsia="zh-CN"/>
        </w:rPr>
        <w:t>桂林市临桂区小律住民安置特色街区内小律三组安置点5号位</w:t>
      </w:r>
    </w:p>
    <w:p w14:paraId="57171FA5">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w:t>
      </w:r>
      <w:r>
        <w:rPr>
          <w:rFonts w:hint="eastAsia" w:cs="宋体"/>
          <w:color w:val="auto"/>
          <w:sz w:val="21"/>
          <w:szCs w:val="21"/>
          <w:highlight w:val="none"/>
          <w:lang w:val="en-US" w:eastAsia="zh-CN"/>
        </w:rPr>
        <w:t>人</w:t>
      </w:r>
      <w:r>
        <w:rPr>
          <w:rFonts w:hint="eastAsia" w:ascii="宋体" w:hAnsi="宋体" w:eastAsia="宋体" w:cs="宋体"/>
          <w:color w:val="auto"/>
          <w:sz w:val="21"/>
          <w:szCs w:val="21"/>
          <w:highlight w:val="none"/>
        </w:rPr>
        <w:t>：</w:t>
      </w:r>
      <w:bookmarkEnd w:id="35"/>
      <w:bookmarkEnd w:id="36"/>
      <w:r>
        <w:rPr>
          <w:rFonts w:hint="eastAsia" w:ascii="宋体" w:hAnsi="宋体" w:cs="宋体"/>
          <w:color w:val="auto"/>
          <w:sz w:val="21"/>
          <w:szCs w:val="21"/>
          <w:highlight w:val="none"/>
          <w:lang w:eastAsia="zh-CN"/>
        </w:rPr>
        <w:t>周</w:t>
      </w:r>
      <w:r>
        <w:rPr>
          <w:rFonts w:hint="eastAsia" w:cs="宋体"/>
          <w:color w:val="auto"/>
          <w:sz w:val="21"/>
          <w:szCs w:val="21"/>
          <w:highlight w:val="none"/>
          <w:lang w:val="en-US" w:eastAsia="zh-CN"/>
        </w:rPr>
        <w:t>工</w:t>
      </w:r>
    </w:p>
    <w:p w14:paraId="371A40D7">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联系电话：</w:t>
      </w:r>
      <w:r>
        <w:rPr>
          <w:rFonts w:hint="eastAsia" w:cs="宋体"/>
          <w:color w:val="auto"/>
          <w:sz w:val="21"/>
          <w:szCs w:val="21"/>
          <w:highlight w:val="none"/>
          <w:lang w:eastAsia="zh-CN"/>
        </w:rPr>
        <w:t>0773-3694998</w:t>
      </w:r>
      <w:r>
        <w:rPr>
          <w:rFonts w:hint="eastAsia" w:ascii="宋体" w:hAnsi="宋体" w:eastAsia="宋体" w:cs="宋体"/>
          <w:color w:val="auto"/>
          <w:sz w:val="21"/>
          <w:szCs w:val="21"/>
          <w:highlight w:val="none"/>
        </w:rPr>
        <w:t>　　　　　　　　　　　</w:t>
      </w:r>
    </w:p>
    <w:p w14:paraId="54A8DABC">
      <w:pPr>
        <w:pStyle w:val="25"/>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638" w:firstLineChars="304"/>
        <w:textAlignment w:val="auto"/>
        <w:rPr>
          <w:rFonts w:hint="eastAsia" w:ascii="宋体" w:hAnsi="宋体" w:eastAsia="宋体" w:cs="宋体"/>
          <w:color w:val="auto"/>
          <w:sz w:val="21"/>
          <w:szCs w:val="21"/>
          <w:highlight w:val="none"/>
        </w:rPr>
      </w:pPr>
    </w:p>
    <w:p w14:paraId="05620E9D">
      <w:pPr>
        <w:pStyle w:val="3"/>
        <w:spacing w:before="0" w:after="0" w:line="360" w:lineRule="auto"/>
        <w:jc w:val="center"/>
        <w:rPr>
          <w:rFonts w:hint="eastAsia" w:ascii="宋体" w:hAnsi="宋体" w:eastAsia="宋体" w:cs="宋体"/>
          <w:b w:val="0"/>
          <w:bCs w:val="0"/>
          <w:color w:val="auto"/>
          <w:sz w:val="32"/>
          <w:szCs w:val="32"/>
          <w:highlight w:val="none"/>
        </w:rPr>
      </w:pPr>
      <w:bookmarkStart w:id="37" w:name="_Toc12292"/>
      <w:r>
        <w:rPr>
          <w:rFonts w:hint="eastAsia" w:ascii="宋体" w:hAnsi="宋体" w:eastAsia="宋体" w:cs="宋体"/>
          <w:color w:val="auto"/>
          <w:sz w:val="28"/>
          <w:szCs w:val="28"/>
          <w:highlight w:val="none"/>
        </w:rPr>
        <w:br w:type="page"/>
      </w:r>
      <w:r>
        <w:rPr>
          <w:rFonts w:hint="eastAsia" w:ascii="宋体" w:hAnsi="宋体" w:eastAsia="宋体" w:cs="宋体"/>
          <w:b w:val="0"/>
          <w:bCs w:val="0"/>
          <w:color w:val="auto"/>
          <w:sz w:val="32"/>
          <w:szCs w:val="32"/>
          <w:highlight w:val="none"/>
        </w:rPr>
        <w:t>第二章 供应商须知</w:t>
      </w:r>
      <w:bookmarkEnd w:id="1"/>
      <w:bookmarkEnd w:id="2"/>
      <w:bookmarkEnd w:id="11"/>
      <w:bookmarkEnd w:id="37"/>
    </w:p>
    <w:p w14:paraId="561EBFBF">
      <w:pPr>
        <w:pStyle w:val="4"/>
        <w:spacing w:line="500" w:lineRule="exact"/>
        <w:ind w:left="0"/>
        <w:jc w:val="center"/>
        <w:rPr>
          <w:rFonts w:hint="eastAsia" w:ascii="宋体" w:hAnsi="宋体" w:eastAsia="宋体" w:cs="宋体"/>
          <w:b/>
          <w:bCs w:val="0"/>
          <w:color w:val="auto"/>
          <w:szCs w:val="28"/>
          <w:highlight w:val="none"/>
        </w:rPr>
      </w:pPr>
      <w:bookmarkStart w:id="38" w:name="_Toc25063"/>
      <w:bookmarkStart w:id="39" w:name="_Toc13547"/>
      <w:bookmarkStart w:id="40" w:name="_Toc9508"/>
      <w:r>
        <w:rPr>
          <w:rFonts w:hint="eastAsia" w:ascii="宋体" w:hAnsi="宋体" w:eastAsia="宋体" w:cs="宋体"/>
          <w:b/>
          <w:bCs w:val="0"/>
          <w:color w:val="auto"/>
          <w:szCs w:val="28"/>
          <w:highlight w:val="none"/>
          <w:lang w:val="en-US"/>
        </w:rPr>
        <w:t xml:space="preserve">   </w:t>
      </w:r>
      <w:r>
        <w:rPr>
          <w:rFonts w:hint="eastAsia" w:ascii="宋体" w:hAnsi="宋体" w:eastAsia="宋体" w:cs="宋体"/>
          <w:b/>
          <w:bCs w:val="0"/>
          <w:color w:val="auto"/>
          <w:szCs w:val="28"/>
          <w:highlight w:val="none"/>
        </w:rPr>
        <w:t>供 应 商 须 知 前 附 表</w:t>
      </w:r>
      <w:bookmarkEnd w:id="38"/>
      <w:bookmarkEnd w:id="39"/>
      <w:bookmarkEnd w:id="40"/>
    </w:p>
    <w:tbl>
      <w:tblPr>
        <w:tblStyle w:val="29"/>
        <w:tblW w:w="10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7160"/>
      </w:tblGrid>
      <w:tr w14:paraId="25A2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14:paraId="4111DC2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2BBB5A5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408BC5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7160" w:type="dxa"/>
            <w:vAlign w:val="center"/>
          </w:tcPr>
          <w:p w14:paraId="644CAC1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6009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4E88EE4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5A03B5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71CE099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7160" w:type="dxa"/>
          </w:tcPr>
          <w:p w14:paraId="29A72A4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桂林市漓江活动壅水科学试验坝专项维修(一期）</w:t>
            </w:r>
            <w:r>
              <w:rPr>
                <w:rFonts w:hint="eastAsia" w:ascii="宋体" w:hAnsi="宋体" w:eastAsia="宋体" w:cs="宋体"/>
                <w:color w:val="auto"/>
                <w:szCs w:val="21"/>
                <w:highlight w:val="none"/>
              </w:rPr>
              <w:t xml:space="preserve">      </w:t>
            </w:r>
          </w:p>
          <w:p w14:paraId="35F3FF6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GLZC2025-C3-990336-DYGS</w:t>
            </w:r>
          </w:p>
        </w:tc>
      </w:tr>
      <w:tr w14:paraId="1B0E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1E31D0D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7C24454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657E0B8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7160" w:type="dxa"/>
            <w:vAlign w:val="center"/>
          </w:tcPr>
          <w:p w14:paraId="116B98DB">
            <w:pPr>
              <w:pStyle w:val="25"/>
              <w:spacing w:before="0" w:beforeAutospacing="0" w:after="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436B72AF">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落实政府采购政策需满足的资格要求：本项目为专门面向中小企业项目，按照《政府采购促进中小企业发展管理办法》（财库〔2020〕46号）规定，小微企业、监狱企业、残疾人福利性单位不再执行价格评审优惠的扶持政策；</w:t>
            </w:r>
          </w:p>
          <w:p w14:paraId="7DB6FA55">
            <w:pPr>
              <w:pStyle w:val="25"/>
              <w:spacing w:before="0" w:beforeAutospacing="0" w:after="0" w:afterAutospacing="0" w:line="40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rPr>
              <w:t>3、本项目的特定资格要求：</w:t>
            </w:r>
            <w:r>
              <w:rPr>
                <w:rFonts w:hint="eastAsia" w:cs="宋体"/>
                <w:color w:val="auto"/>
                <w:sz w:val="21"/>
                <w:szCs w:val="21"/>
                <w:highlight w:val="none"/>
                <w:lang w:eastAsia="zh-CN"/>
              </w:rPr>
              <w:t>无</w:t>
            </w:r>
          </w:p>
        </w:tc>
      </w:tr>
      <w:tr w14:paraId="4845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282CC8B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6E5335B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7DD14074">
            <w:pPr>
              <w:spacing w:line="440" w:lineRule="exact"/>
              <w:jc w:val="center"/>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szCs w:val="21"/>
                <w:highlight w:val="none"/>
              </w:rPr>
              <w:t>磋商费用</w:t>
            </w:r>
          </w:p>
        </w:tc>
        <w:tc>
          <w:tcPr>
            <w:tcW w:w="7160" w:type="dxa"/>
            <w:vAlign w:val="center"/>
          </w:tcPr>
          <w:p w14:paraId="080831BC">
            <w:pPr>
              <w:spacing w:line="4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50D5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176CE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7DB43DF4">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2ACF13E5">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磋商报价及采购预算金额</w:t>
            </w:r>
          </w:p>
        </w:tc>
        <w:tc>
          <w:tcPr>
            <w:tcW w:w="7160" w:type="dxa"/>
            <w:vAlign w:val="center"/>
          </w:tcPr>
          <w:p w14:paraId="2200EB30">
            <w:pPr>
              <w:spacing w:line="380" w:lineRule="exact"/>
              <w:rPr>
                <w:color w:val="auto"/>
                <w:highlight w:val="none"/>
              </w:rPr>
            </w:pPr>
            <w:r>
              <w:rPr>
                <w:rFonts w:hint="eastAsia" w:ascii="宋体" w:hAnsi="宋体"/>
                <w:color w:val="auto"/>
                <w:highlight w:val="none"/>
              </w:rPr>
              <w:t>13.1预算采购金额</w:t>
            </w:r>
            <w:r>
              <w:rPr>
                <w:rFonts w:ascii="宋体" w:hAnsi="宋体"/>
                <w:color w:val="auto"/>
                <w:highlight w:val="none"/>
              </w:rPr>
              <w:t>：</w:t>
            </w:r>
            <w:r>
              <w:rPr>
                <w:rFonts w:hint="eastAsia" w:ascii="宋体" w:hAnsi="宋体"/>
                <w:color w:val="auto"/>
                <w:highlight w:val="none"/>
              </w:rPr>
              <w:t>本</w:t>
            </w:r>
            <w:r>
              <w:rPr>
                <w:rFonts w:ascii="宋体" w:hAnsi="宋体"/>
                <w:color w:val="auto"/>
                <w:highlight w:val="none"/>
              </w:rPr>
              <w:t>项目</w:t>
            </w:r>
            <w:r>
              <w:rPr>
                <w:rFonts w:hint="eastAsia" w:ascii="宋体" w:hAnsi="宋体"/>
                <w:color w:val="auto"/>
                <w:highlight w:val="none"/>
                <w:lang w:eastAsia="zh-CN"/>
              </w:rPr>
              <w:t>预算金额为</w:t>
            </w:r>
            <w:r>
              <w:rPr>
                <w:rFonts w:hint="eastAsia" w:ascii="宋体" w:hAnsi="宋体" w:cs="宋体"/>
                <w:bCs/>
                <w:color w:val="auto"/>
                <w:kern w:val="0"/>
                <w:szCs w:val="21"/>
                <w:highlight w:val="none"/>
              </w:rPr>
              <w:t>人民币（大写）</w:t>
            </w:r>
            <w:r>
              <w:rPr>
                <w:rFonts w:hint="eastAsia" w:ascii="宋体" w:hAnsi="宋体" w:eastAsia="宋体" w:cs="宋体"/>
                <w:bCs/>
                <w:color w:val="auto"/>
                <w:kern w:val="0"/>
                <w:szCs w:val="21"/>
                <w:highlight w:val="none"/>
                <w:lang w:eastAsia="zh-CN"/>
              </w:rPr>
              <w:t>：</w:t>
            </w:r>
            <w:r>
              <w:rPr>
                <w:rFonts w:hint="eastAsia" w:ascii="宋体" w:hAnsi="宋体" w:cs="宋体"/>
                <w:b/>
                <w:bCs/>
                <w:color w:val="auto"/>
                <w:kern w:val="0"/>
                <w:highlight w:val="none"/>
                <w:lang w:eastAsia="zh-CN"/>
              </w:rPr>
              <w:t>壹佰陆拾贰万元</w:t>
            </w:r>
            <w:r>
              <w:rPr>
                <w:rFonts w:hint="eastAsia" w:ascii="宋体" w:hAnsi="宋体" w:cs="宋体"/>
                <w:b/>
                <w:bCs/>
                <w:color w:val="auto"/>
                <w:kern w:val="0"/>
                <w:highlight w:val="none"/>
              </w:rPr>
              <w:t>整（￥</w:t>
            </w:r>
            <w:r>
              <w:rPr>
                <w:rFonts w:hint="eastAsia" w:ascii="宋体" w:hAnsi="宋体" w:cs="宋体"/>
                <w:b/>
                <w:bCs/>
                <w:color w:val="auto"/>
                <w:kern w:val="0"/>
                <w:highlight w:val="none"/>
                <w:lang w:eastAsia="zh-CN"/>
              </w:rPr>
              <w:t>16</w:t>
            </w:r>
            <w:r>
              <w:rPr>
                <w:rFonts w:hint="eastAsia" w:ascii="宋体" w:hAnsi="宋体" w:cs="宋体"/>
                <w:b/>
                <w:bCs/>
                <w:color w:val="auto"/>
                <w:kern w:val="0"/>
                <w:highlight w:val="none"/>
                <w:lang w:val="en-US" w:eastAsia="zh-CN"/>
              </w:rPr>
              <w:t>20000</w:t>
            </w:r>
            <w:r>
              <w:rPr>
                <w:rFonts w:hint="eastAsia" w:ascii="宋体" w:hAnsi="宋体" w:cs="宋体"/>
                <w:b/>
                <w:bCs/>
                <w:color w:val="auto"/>
                <w:kern w:val="0"/>
                <w:highlight w:val="none"/>
                <w:lang w:eastAsia="zh-CN"/>
              </w:rPr>
              <w:t>.00</w:t>
            </w:r>
            <w:r>
              <w:rPr>
                <w:rFonts w:hint="eastAsia" w:ascii="宋体" w:hAnsi="宋体" w:cs="宋体"/>
                <w:b/>
                <w:bCs/>
                <w:color w:val="auto"/>
                <w:kern w:val="0"/>
                <w:highlight w:val="none"/>
              </w:rPr>
              <w:t>元）</w:t>
            </w:r>
            <w:bookmarkStart w:id="41" w:name="_Toc31586"/>
            <w:bookmarkStart w:id="42" w:name="_Toc29597"/>
            <w:r>
              <w:rPr>
                <w:rFonts w:hint="eastAsia" w:ascii="宋体" w:hAnsi="宋体" w:eastAsia="宋体" w:cs="宋体"/>
                <w:color w:val="auto"/>
                <w:kern w:val="0"/>
                <w:szCs w:val="21"/>
                <w:highlight w:val="none"/>
              </w:rPr>
              <w:t>，</w:t>
            </w:r>
            <w:r>
              <w:rPr>
                <w:rFonts w:hint="eastAsia" w:ascii="宋体" w:hAnsi="宋体"/>
                <w:color w:val="auto"/>
                <w:highlight w:val="none"/>
              </w:rPr>
              <w:t>供应商磋商总报价不得高于本</w:t>
            </w:r>
            <w:r>
              <w:rPr>
                <w:rFonts w:hint="eastAsia" w:ascii="宋体" w:hAnsi="宋体"/>
                <w:color w:val="auto"/>
                <w:highlight w:val="none"/>
                <w:lang w:eastAsia="zh-CN"/>
              </w:rPr>
              <w:t>项目</w:t>
            </w:r>
            <w:r>
              <w:rPr>
                <w:rFonts w:hint="eastAsia" w:ascii="宋体" w:hAnsi="宋体"/>
                <w:color w:val="auto"/>
                <w:highlight w:val="none"/>
              </w:rPr>
              <w:t>最高磋商限价，否则被视为无效报价，无效报价将不予评审。</w:t>
            </w:r>
            <w:bookmarkEnd w:id="41"/>
            <w:bookmarkEnd w:id="42"/>
          </w:p>
          <w:p w14:paraId="1A087A2A">
            <w:pPr>
              <w:snapToGrid w:val="0"/>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13.2供应商必须就“采购需求”中所有内容作完整唯一报价，否则，其响应文件无效；响应文件只允许有一个报价，有选择的或有条件的报价将不予接受。</w:t>
            </w:r>
          </w:p>
          <w:p w14:paraId="3B981FBF">
            <w:pPr>
              <w:snapToGrid w:val="0"/>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广西政府采购</w:t>
            </w:r>
            <w:r>
              <w:rPr>
                <w:rFonts w:hint="eastAsia" w:ascii="宋体" w:hAnsi="宋体" w:eastAsia="宋体" w:cs="宋体"/>
                <w:color w:val="auto"/>
                <w:szCs w:val="21"/>
                <w:highlight w:val="none"/>
              </w:rPr>
              <w:t>云</w:t>
            </w:r>
            <w:r>
              <w:rPr>
                <w:rFonts w:hint="eastAsia" w:ascii="宋体" w:hAnsi="宋体" w:eastAsia="宋体" w:cs="宋体"/>
                <w:color w:val="auto"/>
                <w:szCs w:val="21"/>
                <w:highlight w:val="none"/>
                <w:lang w:eastAsia="zh-CN"/>
              </w:rPr>
              <w:t>平台</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w:t>
            </w:r>
            <w:r>
              <w:rPr>
                <w:rFonts w:hint="eastAsia" w:ascii="宋体" w:hAnsi="宋体" w:cs="宋体"/>
                <w:color w:val="auto"/>
                <w:kern w:val="0"/>
                <w:sz w:val="21"/>
                <w:szCs w:val="21"/>
                <w:highlight w:val="none"/>
                <w:lang w:val="en-US" w:eastAsia="zh-CN"/>
              </w:rPr>
              <w:t>最高限价</w:t>
            </w:r>
            <w:r>
              <w:rPr>
                <w:rFonts w:hint="eastAsia" w:ascii="宋体" w:hAnsi="宋体" w:eastAsia="宋体" w:cs="宋体"/>
                <w:color w:val="auto"/>
                <w:kern w:val="0"/>
                <w:sz w:val="21"/>
                <w:szCs w:val="21"/>
                <w:highlight w:val="none"/>
              </w:rPr>
              <w:t>；磋商过程中磋商文件未作实质性变动的，</w:t>
            </w:r>
            <w:r>
              <w:rPr>
                <w:rFonts w:hint="eastAsia" w:ascii="宋体" w:hAnsi="宋体" w:eastAsia="宋体" w:cs="宋体"/>
                <w:b/>
                <w:color w:val="auto"/>
                <w:kern w:val="0"/>
                <w:sz w:val="21"/>
                <w:szCs w:val="21"/>
                <w:highlight w:val="none"/>
              </w:rPr>
              <w:t>最后报价不得超过首次报价。</w:t>
            </w:r>
          </w:p>
        </w:tc>
      </w:tr>
      <w:tr w14:paraId="444E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649F93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0D9FA988">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0C065024">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7160" w:type="dxa"/>
          </w:tcPr>
          <w:p w14:paraId="1275BE6B">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6149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550407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5CC02799">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451D2452">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7160" w:type="dxa"/>
          </w:tcPr>
          <w:p w14:paraId="2FB38F24">
            <w:pPr>
              <w:tabs>
                <w:tab w:val="left" w:pos="1305"/>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124D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5208BB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942" w:type="dxa"/>
            <w:vAlign w:val="center"/>
          </w:tcPr>
          <w:p w14:paraId="42F3A7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775" w:type="dxa"/>
            <w:vAlign w:val="center"/>
          </w:tcPr>
          <w:p w14:paraId="364E3547">
            <w:pPr>
              <w:pStyle w:val="5"/>
              <w:spacing w:before="0" w:after="0" w:line="440" w:lineRule="exact"/>
              <w:jc w:val="center"/>
              <w:rPr>
                <w:rFonts w:hint="eastAsia" w:ascii="宋体" w:hAnsi="宋体" w:eastAsia="宋体" w:cs="宋体"/>
                <w:b w:val="0"/>
                <w:bCs/>
                <w:color w:val="auto"/>
                <w:kern w:val="2"/>
                <w:sz w:val="21"/>
                <w:szCs w:val="21"/>
                <w:highlight w:val="none"/>
              </w:rPr>
            </w:pPr>
            <w:bookmarkStart w:id="43" w:name="_Toc27452"/>
            <w:bookmarkStart w:id="44" w:name="_Toc19911"/>
            <w:r>
              <w:rPr>
                <w:rFonts w:hint="eastAsia" w:ascii="宋体" w:hAnsi="宋体" w:eastAsia="宋体" w:cs="宋体"/>
                <w:b w:val="0"/>
                <w:bCs/>
                <w:color w:val="auto"/>
                <w:kern w:val="2"/>
                <w:sz w:val="21"/>
                <w:szCs w:val="21"/>
                <w:highlight w:val="none"/>
              </w:rPr>
              <w:t>竞争性磋商响应文件的制作</w:t>
            </w:r>
            <w:bookmarkEnd w:id="43"/>
            <w:bookmarkEnd w:id="44"/>
          </w:p>
          <w:p w14:paraId="47D83FF9">
            <w:pPr>
              <w:spacing w:line="440" w:lineRule="exact"/>
              <w:jc w:val="center"/>
              <w:rPr>
                <w:rFonts w:hint="eastAsia" w:ascii="宋体" w:hAnsi="宋体" w:eastAsia="宋体" w:cs="宋体"/>
                <w:color w:val="auto"/>
                <w:szCs w:val="21"/>
                <w:highlight w:val="none"/>
              </w:rPr>
            </w:pPr>
          </w:p>
        </w:tc>
        <w:tc>
          <w:tcPr>
            <w:tcW w:w="7160" w:type="dxa"/>
            <w:vAlign w:val="center"/>
          </w:tcPr>
          <w:p w14:paraId="325769D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16.1磋商供应商制作电子响应文件前，应登</w:t>
            </w:r>
            <w:r>
              <w:rPr>
                <w:rFonts w:hint="eastAsia" w:ascii="宋体" w:hAnsi="宋体" w:eastAsia="宋体" w:cs="宋体"/>
                <w:color w:val="auto"/>
                <w:szCs w:val="21"/>
                <w:highlight w:val="none"/>
                <w:lang w:val="en-US" w:eastAsia="zh-CN"/>
              </w:rPr>
              <w:t>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平台”进行“申请获取采购文件”操作，否则，有可能导致无法在线编制响应文件并参与投标，其不利后果由投标人自行承担。</w:t>
            </w:r>
          </w:p>
          <w:p w14:paraId="1FF25D8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8B4174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435031F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432A37C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2C7D76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214A640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正式注册入库供应商，并完成 CA数字证书申领。因未注册入库、未办理 CA 数字证书等原因造成无法磋商或磋商失败等后果由供应商自行承担。 </w:t>
            </w:r>
          </w:p>
          <w:p w14:paraId="065025B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电子交易客户端下载、安装完成后，可通过账号密码或CA登录客户端进行响应文件制作。客户端请至网站下载专区查看，如有问题可拨打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tc>
      </w:tr>
      <w:tr w14:paraId="7E22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5DD20F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942" w:type="dxa"/>
            <w:vAlign w:val="center"/>
          </w:tcPr>
          <w:p w14:paraId="3765F29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2994205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7160" w:type="dxa"/>
            <w:vAlign w:val="center"/>
          </w:tcPr>
          <w:p w14:paraId="02BEBDC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tc>
      </w:tr>
      <w:tr w14:paraId="29B1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6B822010">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9</w:t>
            </w:r>
          </w:p>
        </w:tc>
        <w:tc>
          <w:tcPr>
            <w:tcW w:w="942" w:type="dxa"/>
            <w:vAlign w:val="center"/>
          </w:tcPr>
          <w:p w14:paraId="4AB27326">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7EE3E97D">
            <w:pPr>
              <w:spacing w:line="440" w:lineRule="exact"/>
              <w:jc w:val="center"/>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rPr>
              <w:t>磋商响应文件解密时间</w:t>
            </w:r>
          </w:p>
        </w:tc>
        <w:tc>
          <w:tcPr>
            <w:tcW w:w="7160" w:type="dxa"/>
            <w:vAlign w:val="center"/>
          </w:tcPr>
          <w:p w14:paraId="26E45286">
            <w:pPr>
              <w:pStyle w:val="13"/>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磋商响应文件解密时间：截标时间后30分钟内磋商供应商可以登录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【在接到无法解密或解密失败的通知后，磋商供应商可根据自身实际情况按通知时要求的时间到桂林市公共资源交易中心</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号开标仓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，若磋商供应商在规定时间内无法解密或解密失败且未提供电子备份磋商响应文件的(包含提供的电子备份文件无效或无法解密的情况)，视为无效响应。</w:t>
            </w:r>
          </w:p>
        </w:tc>
      </w:tr>
      <w:tr w14:paraId="5E53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36ADF60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42" w:type="dxa"/>
            <w:vAlign w:val="center"/>
          </w:tcPr>
          <w:p w14:paraId="69BBFD09">
            <w:pPr>
              <w:spacing w:line="440" w:lineRule="exact"/>
              <w:ind w:firstLine="105" w:firstLineChars="50"/>
              <w:jc w:val="center"/>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0192EF2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7160" w:type="dxa"/>
            <w:vAlign w:val="center"/>
          </w:tcPr>
          <w:p w14:paraId="70A944A4">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tc>
      </w:tr>
      <w:tr w14:paraId="5F56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3946EE8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942" w:type="dxa"/>
            <w:vAlign w:val="center"/>
          </w:tcPr>
          <w:p w14:paraId="6024FAC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24F14C4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7160" w:type="dxa"/>
          </w:tcPr>
          <w:p w14:paraId="53472BA9">
            <w:pPr>
              <w:spacing w:line="440" w:lineRule="exact"/>
              <w:ind w:left="31680" w:hanging="315" w:hangingChars="1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59124488">
            <w:pPr>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19.2.2磋商地点：本项目需要磋商供应商代表在截标当天截标后，按磋商小组要求及时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p>
          <w:p w14:paraId="0425F1C9">
            <w:pPr>
              <w:spacing w:line="440" w:lineRule="exact"/>
              <w:ind w:left="31680" w:hanging="14" w:hangingChars="7"/>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19.2.3磋商参加人员：供应商法定代表人、负责人、自然人或相应的委托代理人持有效身份证原件和供应商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CA数字证书参加磋商。请供应商按时到达指定地点等候磋商。</w:t>
            </w:r>
          </w:p>
          <w:p w14:paraId="32CB3836">
            <w:pPr>
              <w:tabs>
                <w:tab w:val="left" w:pos="1140"/>
              </w:tabs>
              <w:spacing w:line="44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19.2.4响应文件递交截止时间后，由磋商小组在评标室内线上开启响应文件。</w:t>
            </w:r>
          </w:p>
        </w:tc>
      </w:tr>
      <w:tr w14:paraId="0ECE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07478C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12</w:t>
            </w:r>
          </w:p>
        </w:tc>
        <w:tc>
          <w:tcPr>
            <w:tcW w:w="942" w:type="dxa"/>
            <w:vAlign w:val="center"/>
          </w:tcPr>
          <w:p w14:paraId="6E58A2A4">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01521869">
            <w:pPr>
              <w:pStyle w:val="17"/>
              <w:spacing w:line="44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7160" w:type="dxa"/>
            <w:vAlign w:val="center"/>
          </w:tcPr>
          <w:p w14:paraId="17B7E053">
            <w:pPr>
              <w:tabs>
                <w:tab w:val="left" w:pos="1140"/>
              </w:tabs>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7918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A3802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942" w:type="dxa"/>
            <w:vAlign w:val="center"/>
          </w:tcPr>
          <w:p w14:paraId="4C82B92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4F79E0A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7160" w:type="dxa"/>
            <w:vAlign w:val="center"/>
          </w:tcPr>
          <w:p w14:paraId="2C85B54D">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66D44911">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45649BAE">
            <w:pPr>
              <w:spacing w:line="440" w:lineRule="exact"/>
              <w:ind w:left="31680" w:hanging="315" w:hanging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9505532">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68D8A06C">
            <w:pPr>
              <w:spacing w:line="440" w:lineRule="exact"/>
              <w:ind w:left="31680" w:hanging="14" w:hangingChars="7"/>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1A66EF6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51A7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5895A02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42" w:type="dxa"/>
            <w:vAlign w:val="center"/>
          </w:tcPr>
          <w:p w14:paraId="72A4C7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1693C5C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2A65B3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7160" w:type="dxa"/>
          </w:tcPr>
          <w:p w14:paraId="5A95485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33F5A2C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482E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62" w:type="dxa"/>
            <w:vAlign w:val="center"/>
          </w:tcPr>
          <w:p w14:paraId="3EE6B18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42" w:type="dxa"/>
            <w:vAlign w:val="center"/>
          </w:tcPr>
          <w:p w14:paraId="476F177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1D1798B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160" w:type="dxa"/>
            <w:vAlign w:val="center"/>
          </w:tcPr>
          <w:p w14:paraId="5C12115E">
            <w:pPr>
              <w:spacing w:line="440" w:lineRule="exact"/>
              <w:rPr>
                <w:rFonts w:hint="eastAsia" w:ascii="宋体" w:hAnsi="宋体" w:eastAsia="宋体" w:cs="宋体"/>
                <w:color w:val="auto"/>
                <w:szCs w:val="21"/>
                <w:highlight w:val="none"/>
              </w:rPr>
            </w:pPr>
            <w:r>
              <w:rPr>
                <w:rStyle w:val="102"/>
                <w:rFonts w:hint="eastAsia" w:hAnsi="宋体" w:cs="宋体"/>
                <w:color w:val="auto"/>
                <w:sz w:val="21"/>
                <w:szCs w:val="21"/>
                <w:highlight w:val="none"/>
                <w:lang w:val="en-US" w:eastAsia="zh-CN"/>
              </w:rPr>
              <w:t>本项目无需履约保证金</w:t>
            </w:r>
            <w:r>
              <w:rPr>
                <w:rStyle w:val="102"/>
                <w:rFonts w:hint="eastAsia" w:ascii="宋体" w:hAnsi="宋体" w:eastAsia="宋体" w:cs="宋体"/>
                <w:color w:val="auto"/>
                <w:sz w:val="21"/>
                <w:szCs w:val="21"/>
                <w:highlight w:val="none"/>
                <w:lang w:val="en-US" w:eastAsia="zh-CN"/>
              </w:rPr>
              <w:t>。</w:t>
            </w:r>
          </w:p>
        </w:tc>
      </w:tr>
      <w:tr w14:paraId="434E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1D1D76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942" w:type="dxa"/>
            <w:vAlign w:val="center"/>
          </w:tcPr>
          <w:p w14:paraId="0D42FDC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6345071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7160" w:type="dxa"/>
          </w:tcPr>
          <w:p w14:paraId="3606D3BE">
            <w:pPr>
              <w:spacing w:line="440" w:lineRule="exac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成交通知书发出之日起</w:t>
            </w:r>
            <w:r>
              <w:rPr>
                <w:rFonts w:hint="eastAsia" w:ascii="宋体" w:hAnsi="宋体" w:eastAsia="宋体" w:cs="宋体"/>
                <w:bCs/>
                <w:color w:val="auto"/>
                <w:kern w:val="0"/>
                <w:szCs w:val="21"/>
                <w:highlight w:val="none"/>
                <w:lang w:val="en-US" w:eastAsia="zh-CN"/>
              </w:rPr>
              <w:t>8个工作</w:t>
            </w:r>
            <w:r>
              <w:rPr>
                <w:rFonts w:hint="eastAsia" w:ascii="宋体" w:hAnsi="宋体" w:eastAsia="宋体" w:cs="宋体"/>
                <w:bCs/>
                <w:color w:val="auto"/>
                <w:kern w:val="0"/>
                <w:szCs w:val="21"/>
                <w:highlight w:val="none"/>
              </w:rPr>
              <w:t>日内签订合同</w:t>
            </w:r>
            <w:r>
              <w:rPr>
                <w:rFonts w:hint="eastAsia" w:ascii="宋体" w:hAnsi="宋体" w:eastAsia="宋体" w:cs="宋体"/>
                <w:color w:val="auto"/>
                <w:szCs w:val="21"/>
                <w:highlight w:val="none"/>
              </w:rPr>
              <w:t>。成交供应商领取成交通知书后，应按规定与采购人签订合同。</w:t>
            </w:r>
          </w:p>
        </w:tc>
      </w:tr>
      <w:tr w14:paraId="2C6D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6D0A71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942" w:type="dxa"/>
            <w:vAlign w:val="center"/>
          </w:tcPr>
          <w:p w14:paraId="1E57E88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5C8A82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7160" w:type="dxa"/>
            <w:vAlign w:val="center"/>
          </w:tcPr>
          <w:p w14:paraId="6F3ADD3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tc>
      </w:tr>
      <w:tr w14:paraId="6FD8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559C5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942" w:type="dxa"/>
            <w:vAlign w:val="center"/>
          </w:tcPr>
          <w:p w14:paraId="10755F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75F8607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7160" w:type="dxa"/>
          </w:tcPr>
          <w:p w14:paraId="0568A0A0">
            <w:pPr>
              <w:pStyle w:val="17"/>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30.1成交供应商</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领取成交通知书</w:t>
            </w:r>
            <w:r>
              <w:rPr>
                <w:rFonts w:hint="eastAsia" w:ascii="宋体" w:hAnsi="宋体" w:eastAsia="宋体" w:cs="宋体"/>
                <w:color w:val="auto"/>
                <w:szCs w:val="21"/>
                <w:highlight w:val="none"/>
                <w:lang w:val="en-US" w:eastAsia="zh-CN"/>
              </w:rPr>
              <w:t>时</w:t>
            </w:r>
            <w:r>
              <w:rPr>
                <w:rFonts w:hint="eastAsia" w:ascii="宋体" w:hAnsi="宋体" w:eastAsia="宋体" w:cs="宋体"/>
                <w:color w:val="auto"/>
                <w:szCs w:val="21"/>
                <w:highlight w:val="none"/>
              </w:rPr>
              <w:t>，向</w:t>
            </w:r>
            <w:r>
              <w:rPr>
                <w:rFonts w:hint="eastAsia" w:hAnsi="宋体" w:cs="宋体"/>
                <w:color w:val="auto"/>
                <w:szCs w:val="21"/>
                <w:highlight w:val="none"/>
                <w:lang w:val="en-US" w:eastAsia="zh-CN"/>
              </w:rPr>
              <w:t>采购代理机构</w:t>
            </w:r>
            <w:r>
              <w:rPr>
                <w:rFonts w:hint="eastAsia" w:ascii="宋体" w:hAnsi="宋体" w:eastAsia="宋体" w:cs="宋体"/>
                <w:color w:val="auto"/>
                <w:szCs w:val="21"/>
                <w:highlight w:val="none"/>
              </w:rPr>
              <w:t>一次性付清</w:t>
            </w: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代理服务费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本项目参照</w:t>
            </w:r>
            <w:r>
              <w:rPr>
                <w:rFonts w:hint="eastAsia" w:ascii="宋体" w:hAnsi="宋体" w:eastAsia="宋体" w:cs="宋体"/>
                <w:color w:val="auto"/>
                <w:szCs w:val="21"/>
                <w:highlight w:val="none"/>
              </w:rPr>
              <w:t>计价格[2002]1980号《招标代理服务收费管理暂行办法》服务类收费标准</w:t>
            </w:r>
            <w:r>
              <w:rPr>
                <w:rFonts w:hint="eastAsia" w:ascii="宋体" w:hAnsi="宋体" w:eastAsia="宋体" w:cs="宋体"/>
                <w:color w:val="auto"/>
                <w:szCs w:val="21"/>
                <w:highlight w:val="none"/>
                <w:lang w:val="en-US" w:eastAsia="zh-CN"/>
              </w:rPr>
              <w:t>向成交供应商收取。</w:t>
            </w:r>
          </w:p>
        </w:tc>
      </w:tr>
      <w:tr w14:paraId="4738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1E845F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942" w:type="dxa"/>
            <w:vAlign w:val="center"/>
          </w:tcPr>
          <w:p w14:paraId="3197E89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480126A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7160" w:type="dxa"/>
          </w:tcPr>
          <w:p w14:paraId="620D48D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02C1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7249213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942" w:type="dxa"/>
            <w:vAlign w:val="center"/>
          </w:tcPr>
          <w:p w14:paraId="46FF326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1488914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7160" w:type="dxa"/>
            <w:vAlign w:val="center"/>
          </w:tcPr>
          <w:p w14:paraId="44741F00">
            <w:pPr>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 xml:space="preserve"> 桂林市财政局</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eastAsia="zh-CN"/>
              </w:rPr>
              <w:t xml:space="preserve">  电话：0773-2829504</w:t>
            </w:r>
          </w:p>
        </w:tc>
      </w:tr>
    </w:tbl>
    <w:p w14:paraId="4FB84925">
      <w:pPr>
        <w:widowControl/>
        <w:spacing w:line="440" w:lineRule="exact"/>
        <w:jc w:val="left"/>
        <w:rPr>
          <w:rFonts w:hint="eastAsia" w:ascii="宋体" w:hAnsi="宋体" w:eastAsia="宋体" w:cs="宋体"/>
          <w:b/>
          <w:color w:val="auto"/>
          <w:szCs w:val="21"/>
          <w:highlight w:val="none"/>
          <w:lang w:val="pt-BR"/>
        </w:rPr>
      </w:pPr>
      <w:bookmarkStart w:id="45" w:name="_Toc10058"/>
      <w:bookmarkStart w:id="46" w:name="_Toc22792"/>
    </w:p>
    <w:p w14:paraId="57A90864">
      <w:pPr>
        <w:pStyle w:val="38"/>
        <w:rPr>
          <w:rFonts w:hint="eastAsia" w:ascii="宋体" w:hAnsi="宋体" w:eastAsia="宋体" w:cs="宋体"/>
          <w:color w:val="auto"/>
          <w:highlight w:val="none"/>
          <w:lang w:val="pt-BR"/>
        </w:rPr>
      </w:pPr>
    </w:p>
    <w:p w14:paraId="29306ABA">
      <w:pPr>
        <w:pStyle w:val="4"/>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br w:type="page"/>
      </w:r>
      <w:r>
        <w:rPr>
          <w:rFonts w:hint="eastAsia" w:ascii="宋体" w:hAnsi="宋体" w:eastAsia="宋体" w:cs="宋体"/>
          <w:b/>
          <w:bCs w:val="0"/>
          <w:color w:val="auto"/>
          <w:sz w:val="21"/>
          <w:szCs w:val="21"/>
          <w:highlight w:val="none"/>
        </w:rPr>
        <w:t>一、总则</w:t>
      </w:r>
      <w:bookmarkEnd w:id="45"/>
      <w:bookmarkEnd w:id="46"/>
    </w:p>
    <w:p w14:paraId="2C393064">
      <w:pPr>
        <w:pStyle w:val="5"/>
        <w:spacing w:before="0" w:after="0" w:line="400" w:lineRule="exact"/>
        <w:ind w:firstLine="420" w:firstLineChars="200"/>
        <w:rPr>
          <w:rFonts w:hint="eastAsia" w:ascii="宋体" w:hAnsi="宋体" w:eastAsia="宋体" w:cs="宋体"/>
          <w:color w:val="auto"/>
          <w:sz w:val="21"/>
          <w:szCs w:val="21"/>
          <w:highlight w:val="none"/>
        </w:rPr>
      </w:pPr>
      <w:bookmarkStart w:id="47" w:name="_Toc6626"/>
      <w:bookmarkStart w:id="48" w:name="_Toc24721"/>
      <w:r>
        <w:rPr>
          <w:rFonts w:hint="eastAsia" w:ascii="宋体" w:hAnsi="宋体" w:eastAsia="宋体" w:cs="宋体"/>
          <w:color w:val="auto"/>
          <w:sz w:val="21"/>
          <w:szCs w:val="21"/>
          <w:highlight w:val="none"/>
        </w:rPr>
        <w:t>1. 适应范围</w:t>
      </w:r>
      <w:bookmarkEnd w:id="47"/>
      <w:bookmarkEnd w:id="48"/>
    </w:p>
    <w:p w14:paraId="0D13DE06">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项目名称及项目编号：</w:t>
      </w:r>
    </w:p>
    <w:p w14:paraId="1704D29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桂林市漓江活动壅水科学试验坝专项维修(一期）</w:t>
      </w:r>
      <w:r>
        <w:rPr>
          <w:rFonts w:hint="eastAsia" w:ascii="宋体" w:hAnsi="宋体" w:eastAsia="宋体" w:cs="宋体"/>
          <w:color w:val="auto"/>
          <w:szCs w:val="21"/>
          <w:highlight w:val="none"/>
        </w:rPr>
        <w:t xml:space="preserve"> </w:t>
      </w:r>
    </w:p>
    <w:p w14:paraId="427BA5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GLZC2025-C3-990336-DYGS</w:t>
      </w:r>
    </w:p>
    <w:p w14:paraId="369AE7F0">
      <w:pPr>
        <w:spacing w:line="400" w:lineRule="exact"/>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09A0832D">
      <w:pPr>
        <w:pStyle w:val="5"/>
        <w:spacing w:before="0" w:after="0" w:line="400" w:lineRule="exact"/>
        <w:ind w:firstLine="420" w:firstLineChars="200"/>
        <w:rPr>
          <w:rFonts w:hint="eastAsia" w:ascii="宋体" w:hAnsi="宋体" w:eastAsia="宋体" w:cs="宋体"/>
          <w:color w:val="auto"/>
          <w:sz w:val="21"/>
          <w:szCs w:val="21"/>
          <w:highlight w:val="none"/>
        </w:rPr>
      </w:pPr>
      <w:bookmarkStart w:id="49" w:name="_Toc28336"/>
      <w:bookmarkStart w:id="50" w:name="_Toc3355"/>
      <w:r>
        <w:rPr>
          <w:rFonts w:hint="eastAsia" w:ascii="宋体" w:hAnsi="宋体" w:eastAsia="宋体" w:cs="宋体"/>
          <w:color w:val="auto"/>
          <w:sz w:val="21"/>
          <w:szCs w:val="21"/>
          <w:highlight w:val="none"/>
        </w:rPr>
        <w:t>2. 定义</w:t>
      </w:r>
      <w:bookmarkEnd w:id="49"/>
      <w:bookmarkEnd w:id="50"/>
    </w:p>
    <w:p w14:paraId="442F5D4D">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7D170941">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633EAEF2">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7B637848">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2B3BEA0B">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4CD23C88">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2.6“响应文件”：本项目实行全流程电子化采购，供应商通过“</w:t>
      </w:r>
      <w:r>
        <w:rPr>
          <w:rFonts w:hint="eastAsia" w:ascii="宋体" w:hAnsi="宋体" w:cs="宋体"/>
          <w:color w:val="auto"/>
          <w:szCs w:val="21"/>
          <w:highlight w:val="none"/>
          <w:lang w:eastAsia="zh-CN"/>
        </w:rPr>
        <w:t>广西政府采购云</w:t>
      </w:r>
      <w:r>
        <w:rPr>
          <w:rFonts w:hint="eastAsia" w:ascii="宋体" w:hAnsi="宋体" w:eastAsia="宋体" w:cs="宋体"/>
          <w:color w:val="auto"/>
          <w:szCs w:val="21"/>
          <w:highlight w:val="none"/>
        </w:rPr>
        <w:t>平台”参与电子竞标。响应文件特指供应商按本磋商文件规定提交的电子响应文件（包括因特殊情况无法解密或解密失败提交的电子备份响应文件）。</w:t>
      </w:r>
    </w:p>
    <w:p w14:paraId="716A3CC6">
      <w:pPr>
        <w:pStyle w:val="15"/>
        <w:ind w:left="0" w:leftChars="0" w:firstLine="420" w:firstLineChars="200"/>
        <w:rPr>
          <w:rFonts w:hint="eastAsia"/>
          <w:color w:val="auto"/>
          <w:highlight w:val="none"/>
        </w:rPr>
      </w:pPr>
      <w:r>
        <w:rPr>
          <w:rFonts w:hint="eastAsia" w:ascii="新宋体" w:hAnsi="新宋体" w:eastAsia="新宋体" w:cs="新宋体"/>
          <w:color w:val="auto"/>
          <w:szCs w:val="21"/>
          <w:highlight w:val="none"/>
          <w:lang w:val="en-US" w:eastAsia="zh-CN"/>
        </w:rPr>
        <w:t>2</w:t>
      </w:r>
      <w:r>
        <w:rPr>
          <w:rFonts w:hint="eastAsia" w:ascii="新宋体" w:hAnsi="新宋体" w:eastAsia="新宋体" w:cs="新宋体"/>
          <w:color w:val="auto"/>
          <w:szCs w:val="21"/>
          <w:highlight w:val="none"/>
        </w:rPr>
        <w:t>.7实质性要求：</w:t>
      </w:r>
      <w:r>
        <w:rPr>
          <w:rFonts w:hint="eastAsia" w:ascii="新宋体" w:hAnsi="新宋体" w:eastAsia="新宋体" w:cs="新宋体"/>
          <w:b/>
          <w:bCs/>
          <w:color w:val="auto"/>
          <w:szCs w:val="21"/>
          <w:highlight w:val="none"/>
        </w:rPr>
        <w:t>“采购需求”中所有条款以及</w:t>
      </w:r>
      <w:r>
        <w:rPr>
          <w:rFonts w:hint="eastAsia" w:ascii="新宋体" w:hAnsi="新宋体" w:eastAsia="新宋体" w:cs="新宋体"/>
          <w:b/>
          <w:bCs/>
          <w:color w:val="auto"/>
          <w:szCs w:val="21"/>
          <w:highlight w:val="none"/>
          <w:lang w:val="en-US" w:eastAsia="zh-CN"/>
        </w:rPr>
        <w:t>磋商</w:t>
      </w:r>
      <w:r>
        <w:rPr>
          <w:rFonts w:hint="eastAsia" w:ascii="新宋体" w:hAnsi="新宋体" w:eastAsia="新宋体" w:cs="新宋体"/>
          <w:b/>
          <w:bCs/>
          <w:color w:val="auto"/>
          <w:szCs w:val="21"/>
          <w:highlight w:val="none"/>
        </w:rPr>
        <w:t>文件中要求“必须提供”的条款均属于实质性要求，投标人对实质性要求若有任意一项不满足，</w:t>
      </w:r>
      <w:r>
        <w:rPr>
          <w:rFonts w:hint="eastAsia" w:ascii="新宋体" w:hAnsi="新宋体" w:eastAsia="新宋体" w:cs="新宋体"/>
          <w:b/>
          <w:bCs/>
          <w:color w:val="auto"/>
          <w:szCs w:val="21"/>
          <w:highlight w:val="none"/>
          <w:lang w:val="en-US" w:eastAsia="zh-CN"/>
        </w:rPr>
        <w:t>响应</w:t>
      </w:r>
      <w:r>
        <w:rPr>
          <w:rFonts w:hint="eastAsia" w:ascii="新宋体" w:hAnsi="新宋体" w:eastAsia="新宋体" w:cs="新宋体"/>
          <w:b/>
          <w:bCs/>
          <w:color w:val="auto"/>
          <w:szCs w:val="21"/>
          <w:highlight w:val="none"/>
        </w:rPr>
        <w:t>文件作无效处理。</w:t>
      </w:r>
    </w:p>
    <w:p w14:paraId="7CC91956">
      <w:pPr>
        <w:pStyle w:val="5"/>
        <w:spacing w:before="0" w:after="0" w:line="400" w:lineRule="exact"/>
        <w:ind w:firstLine="420" w:firstLineChars="200"/>
        <w:rPr>
          <w:rFonts w:hint="eastAsia" w:ascii="宋体" w:hAnsi="宋体" w:eastAsia="宋体" w:cs="宋体"/>
          <w:color w:val="auto"/>
          <w:sz w:val="21"/>
          <w:szCs w:val="21"/>
          <w:highlight w:val="none"/>
        </w:rPr>
      </w:pPr>
      <w:bookmarkStart w:id="51" w:name="_Toc25441"/>
      <w:bookmarkStart w:id="52" w:name="_Toc23631"/>
      <w:r>
        <w:rPr>
          <w:rFonts w:hint="eastAsia" w:ascii="宋体" w:hAnsi="宋体" w:eastAsia="宋体" w:cs="宋体"/>
          <w:color w:val="auto"/>
          <w:sz w:val="21"/>
          <w:szCs w:val="21"/>
          <w:highlight w:val="none"/>
        </w:rPr>
        <w:t>3. 供应商资格</w:t>
      </w:r>
      <w:bookmarkEnd w:id="51"/>
      <w:bookmarkEnd w:id="52"/>
    </w:p>
    <w:p w14:paraId="4E2D7AE0">
      <w:pPr>
        <w:pageBreakBefore w:val="0"/>
        <w:widowControl w:val="0"/>
        <w:tabs>
          <w:tab w:val="left" w:pos="1635"/>
        </w:tabs>
        <w:kinsoku/>
        <w:wordWrap/>
        <w:overflowPunct/>
        <w:topLinePunct w:val="0"/>
        <w:autoSpaceDE/>
        <w:autoSpaceDN/>
        <w:bidi w:val="0"/>
        <w:adjustRightInd/>
        <w:spacing w:line="400" w:lineRule="exact"/>
        <w:ind w:left="0" w:leftChars="0" w:firstLine="435"/>
        <w:textAlignment w:val="auto"/>
        <w:rPr>
          <w:rFonts w:hint="eastAsia" w:ascii="宋体" w:hAnsi="宋体" w:eastAsia="宋体" w:cs="宋体"/>
          <w:color w:val="auto"/>
          <w:sz w:val="21"/>
          <w:szCs w:val="21"/>
          <w:highlight w:val="none"/>
          <w:lang w:val="en-US" w:eastAsia="zh-CN"/>
        </w:rPr>
      </w:pPr>
      <w:bookmarkStart w:id="53" w:name="_Toc16496"/>
      <w:bookmarkStart w:id="54" w:name="_Toc15983"/>
      <w:r>
        <w:rPr>
          <w:rFonts w:hint="eastAsia" w:ascii="宋体" w:hAnsi="宋体" w:eastAsia="宋体" w:cs="宋体"/>
          <w:color w:val="auto"/>
          <w:sz w:val="21"/>
          <w:szCs w:val="21"/>
          <w:highlight w:val="none"/>
          <w:lang w:val="en-US" w:eastAsia="zh-CN"/>
        </w:rPr>
        <w:t>具体详见“供应商须知前附表”</w:t>
      </w:r>
    </w:p>
    <w:p w14:paraId="14018213">
      <w:pPr>
        <w:pStyle w:val="5"/>
        <w:numPr>
          <w:ilvl w:val="0"/>
          <w:numId w:val="0"/>
        </w:numPr>
        <w:spacing w:before="0" w:after="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4. </w:t>
      </w:r>
      <w:bookmarkEnd w:id="53"/>
      <w:bookmarkEnd w:id="54"/>
      <w:r>
        <w:rPr>
          <w:rFonts w:hint="eastAsia" w:ascii="宋体" w:hAnsi="宋体" w:eastAsia="宋体" w:cs="宋体"/>
          <w:color w:val="auto"/>
          <w:kern w:val="0"/>
          <w:sz w:val="21"/>
          <w:szCs w:val="21"/>
          <w:highlight w:val="none"/>
          <w:lang w:eastAsia="zh-CN"/>
        </w:rPr>
        <w:t>磋商费用</w:t>
      </w:r>
    </w:p>
    <w:p w14:paraId="10516FD2">
      <w:pPr>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p w14:paraId="181A31D0">
      <w:pPr>
        <w:pStyle w:val="5"/>
        <w:numPr>
          <w:ilvl w:val="0"/>
          <w:numId w:val="6"/>
        </w:numPr>
        <w:spacing w:before="0" w:after="0" w:line="400" w:lineRule="exact"/>
        <w:ind w:firstLine="420" w:firstLineChars="200"/>
        <w:rPr>
          <w:rFonts w:hint="eastAsia" w:ascii="宋体" w:hAnsi="宋体" w:eastAsia="宋体" w:cs="宋体"/>
          <w:color w:val="auto"/>
          <w:sz w:val="21"/>
          <w:szCs w:val="21"/>
          <w:highlight w:val="none"/>
        </w:rPr>
      </w:pPr>
      <w:bookmarkStart w:id="55" w:name="_Toc31376"/>
      <w:bookmarkStart w:id="56" w:name="_Toc6933"/>
      <w:r>
        <w:rPr>
          <w:rFonts w:hint="eastAsia" w:ascii="宋体" w:hAnsi="宋体" w:eastAsia="宋体" w:cs="宋体"/>
          <w:color w:val="auto"/>
          <w:sz w:val="21"/>
          <w:szCs w:val="21"/>
          <w:highlight w:val="none"/>
        </w:rPr>
        <w:t>联合体要求</w:t>
      </w:r>
      <w:bookmarkEnd w:id="55"/>
      <w:bookmarkEnd w:id="56"/>
    </w:p>
    <w:p w14:paraId="0BEA3B54">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09229942">
      <w:pPr>
        <w:pStyle w:val="5"/>
        <w:spacing w:before="0" w:after="0" w:line="400" w:lineRule="exact"/>
        <w:ind w:firstLine="420" w:firstLineChars="200"/>
        <w:rPr>
          <w:rFonts w:hint="eastAsia" w:ascii="宋体" w:hAnsi="宋体" w:eastAsia="宋体" w:cs="宋体"/>
          <w:color w:val="auto"/>
          <w:sz w:val="21"/>
          <w:szCs w:val="21"/>
          <w:highlight w:val="none"/>
        </w:rPr>
      </w:pPr>
      <w:bookmarkStart w:id="57" w:name="_Toc4152"/>
      <w:bookmarkStart w:id="58" w:name="_Toc16359"/>
      <w:r>
        <w:rPr>
          <w:rFonts w:hint="eastAsia" w:ascii="宋体" w:hAnsi="宋体" w:eastAsia="宋体" w:cs="宋体"/>
          <w:color w:val="auto"/>
          <w:sz w:val="21"/>
          <w:szCs w:val="21"/>
          <w:highlight w:val="none"/>
        </w:rPr>
        <w:t>6. 质疑和投诉</w:t>
      </w:r>
      <w:bookmarkEnd w:id="57"/>
      <w:bookmarkEnd w:id="58"/>
      <w:r>
        <w:rPr>
          <w:rFonts w:hint="eastAsia" w:ascii="宋体" w:hAnsi="宋体" w:eastAsia="宋体" w:cs="宋体"/>
          <w:color w:val="auto"/>
          <w:sz w:val="21"/>
          <w:szCs w:val="21"/>
          <w:highlight w:val="none"/>
        </w:rPr>
        <w:tab/>
      </w:r>
    </w:p>
    <w:p w14:paraId="4AA784B2">
      <w:pPr>
        <w:tabs>
          <w:tab w:val="left" w:pos="2190"/>
        </w:tabs>
        <w:spacing w:line="400" w:lineRule="exact"/>
        <w:ind w:firstLine="435"/>
        <w:rPr>
          <w:rFonts w:hint="eastAsia" w:ascii="宋体" w:hAnsi="宋体" w:eastAsia="宋体" w:cs="宋体"/>
          <w:color w:val="auto"/>
          <w:szCs w:val="21"/>
          <w:highlight w:val="none"/>
        </w:rPr>
      </w:pPr>
      <w:bookmarkStart w:id="59" w:name="_Toc26087"/>
      <w:bookmarkStart w:id="60" w:name="_Toc8195"/>
      <w:r>
        <w:rPr>
          <w:rFonts w:hint="eastAsia" w:ascii="宋体" w:hAnsi="宋体" w:eastAsia="宋体" w:cs="宋体"/>
          <w:color w:val="auto"/>
          <w:szCs w:val="21"/>
          <w:highlight w:val="none"/>
        </w:rPr>
        <w:t>6.1供应对政府采购活动事项有疑问的，可以向采购人提出询问。</w:t>
      </w:r>
    </w:p>
    <w:p w14:paraId="3F54B836">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质疑函格式详见附件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。采购代理机构应认真做好质疑处理工作。</w:t>
      </w:r>
      <w:r>
        <w:rPr>
          <w:rFonts w:hint="eastAsia" w:ascii="宋体" w:hAnsi="宋体" w:eastAsia="宋体" w:cs="宋体"/>
          <w:color w:val="auto"/>
          <w:szCs w:val="20"/>
          <w:highlight w:val="none"/>
        </w:rPr>
        <w:t>接收质疑函方式</w:t>
      </w:r>
      <w:r>
        <w:rPr>
          <w:rFonts w:hint="eastAsia" w:ascii="宋体" w:hAnsi="宋体" w:eastAsia="宋体" w:cs="宋体"/>
          <w:color w:val="auto"/>
          <w:szCs w:val="20"/>
          <w:highlight w:val="none"/>
          <w:lang w:eastAsia="zh-CN"/>
        </w:rPr>
        <w:t>为</w:t>
      </w:r>
      <w:r>
        <w:rPr>
          <w:rFonts w:hint="eastAsia" w:ascii="宋体" w:hAnsi="宋体" w:eastAsia="宋体" w:cs="宋体"/>
          <w:color w:val="auto"/>
          <w:szCs w:val="20"/>
          <w:highlight w:val="none"/>
        </w:rPr>
        <w:t>以书面形式（原件）提交</w:t>
      </w:r>
      <w:r>
        <w:rPr>
          <w:rFonts w:hint="eastAsia" w:ascii="宋体" w:hAnsi="宋体" w:eastAsia="宋体" w:cs="宋体"/>
          <w:color w:val="auto"/>
          <w:szCs w:val="20"/>
          <w:highlight w:val="none"/>
          <w:lang w:eastAsia="zh-CN"/>
        </w:rPr>
        <w:t>。</w:t>
      </w:r>
    </w:p>
    <w:p w14:paraId="3A73487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6.3供应商对采购代理机构的质疑答复不满意或者采购代理机构未在规定的时间内作出答复的，可以在答复期满后十五个工作日内向本级财政部门投诉（“投诉书”格式见附表2）。</w:t>
      </w:r>
    </w:p>
    <w:p w14:paraId="7A9BFA2A">
      <w:pPr>
        <w:tabs>
          <w:tab w:val="left" w:pos="2190"/>
        </w:tabs>
        <w:spacing w:line="400" w:lineRule="exact"/>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6.4质疑、投诉应当采用书面形式，质疑书、投诉书实行实名制，均应明确阐述磋商文件、采购过程或成交结果中使自己合法权益受到损害的实质性内容，提供相关事实、明确的请求，并提供必要的证明材料</w:t>
      </w:r>
      <w:r>
        <w:rPr>
          <w:rFonts w:hint="eastAsia" w:ascii="宋体" w:hAnsi="宋体" w:eastAsia="宋体" w:cs="宋体"/>
          <w:color w:val="auto"/>
          <w:szCs w:val="21"/>
          <w:highlight w:val="none"/>
          <w:lang w:eastAsia="zh-CN"/>
        </w:rPr>
        <w:t>。</w:t>
      </w:r>
    </w:p>
    <w:p w14:paraId="6D51E0DA">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6.5质疑联系部门：</w:t>
      </w:r>
      <w:r>
        <w:rPr>
          <w:rFonts w:hint="eastAsia" w:ascii="宋体" w:hAnsi="宋体" w:cs="宋体"/>
          <w:color w:val="auto"/>
          <w:szCs w:val="21"/>
          <w:highlight w:val="none"/>
          <w:lang w:eastAsia="zh-CN"/>
        </w:rPr>
        <w:t>广西鼎誉工程咨询有限公司</w:t>
      </w:r>
    </w:p>
    <w:p w14:paraId="5FA48FEB">
      <w:pPr>
        <w:tabs>
          <w:tab w:val="left" w:pos="2190"/>
        </w:tabs>
        <w:spacing w:line="400" w:lineRule="exact"/>
        <w:ind w:firstLine="840" w:firstLineChars="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0773-3694998</w:t>
      </w:r>
    </w:p>
    <w:p w14:paraId="708FC69C">
      <w:pPr>
        <w:tabs>
          <w:tab w:val="left" w:pos="2190"/>
        </w:tabs>
        <w:spacing w:line="400" w:lineRule="exact"/>
        <w:ind w:firstLine="840" w:firstLineChars="4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w:t>
      </w:r>
      <w:r>
        <w:rPr>
          <w:rFonts w:hint="eastAsia" w:ascii="宋体" w:hAnsi="宋体" w:cs="宋体"/>
          <w:color w:val="auto"/>
          <w:szCs w:val="21"/>
          <w:highlight w:val="none"/>
          <w:lang w:val="en-US" w:eastAsia="zh-CN"/>
        </w:rPr>
        <w:t>周工</w:t>
      </w:r>
    </w:p>
    <w:p w14:paraId="2E963074">
      <w:pPr>
        <w:tabs>
          <w:tab w:val="left" w:pos="2190"/>
        </w:tabs>
        <w:spacing w:line="400" w:lineRule="exact"/>
        <w:ind w:firstLine="840" w:firstLineChars="4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 w:val="21"/>
          <w:szCs w:val="21"/>
          <w:highlight w:val="none"/>
          <w:lang w:eastAsia="zh-CN"/>
        </w:rPr>
        <w:t>桂林市临桂区小律住民安置特色街区内小律三组安置点5号位</w:t>
      </w:r>
    </w:p>
    <w:p w14:paraId="32BF4FAF">
      <w:pPr>
        <w:tabs>
          <w:tab w:val="left" w:pos="2190"/>
        </w:tabs>
        <w:spacing w:line="400" w:lineRule="exact"/>
        <w:ind w:firstLine="4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6.6 投诉联系部门：</w:t>
      </w:r>
      <w:r>
        <w:rPr>
          <w:rFonts w:hint="eastAsia" w:cs="Times New Roman"/>
          <w:b w:val="0"/>
          <w:bCs w:val="0"/>
          <w:color w:val="auto"/>
          <w:spacing w:val="-1"/>
          <w:w w:val="100"/>
          <w:highlight w:val="none"/>
          <w:lang w:eastAsia="zh-CN"/>
        </w:rPr>
        <w:t xml:space="preserve"> 桂林市财政局</w:t>
      </w:r>
      <w:r>
        <w:rPr>
          <w:rFonts w:hint="eastAsia" w:ascii="Times New Roman" w:hAnsi="Times New Roman" w:cs="Times New Roman"/>
          <w:b w:val="0"/>
          <w:bCs w:val="0"/>
          <w:color w:val="auto"/>
          <w:spacing w:val="-1"/>
          <w:w w:val="100"/>
          <w:highlight w:val="none"/>
        </w:rPr>
        <w:t>；</w:t>
      </w:r>
      <w:r>
        <w:rPr>
          <w:rFonts w:hint="eastAsia" w:ascii="Times New Roman" w:hAnsi="Times New Roman" w:cs="Times New Roman"/>
          <w:b w:val="0"/>
          <w:bCs w:val="0"/>
          <w:color w:val="auto"/>
          <w:spacing w:val="-1"/>
          <w:w w:val="100"/>
          <w:highlight w:val="none"/>
          <w:lang w:val="en-US" w:eastAsia="zh-CN"/>
        </w:rPr>
        <w:t xml:space="preserve"> </w:t>
      </w:r>
      <w:r>
        <w:rPr>
          <w:rFonts w:hint="eastAsia" w:ascii="Times New Roman" w:hAnsi="Times New Roman" w:cs="Times New Roman"/>
          <w:b w:val="0"/>
          <w:bCs w:val="0"/>
          <w:color w:val="auto"/>
          <w:spacing w:val="-1"/>
          <w:w w:val="100"/>
          <w:highlight w:val="none"/>
        </w:rPr>
        <w:t>联系电话：</w:t>
      </w:r>
      <w:bookmarkEnd w:id="59"/>
      <w:bookmarkEnd w:id="60"/>
      <w:r>
        <w:rPr>
          <w:rFonts w:hint="eastAsia" w:cs="Times New Roman"/>
          <w:b w:val="0"/>
          <w:bCs w:val="0"/>
          <w:color w:val="auto"/>
          <w:spacing w:val="-1"/>
          <w:w w:val="100"/>
          <w:highlight w:val="none"/>
          <w:lang w:eastAsia="zh-CN"/>
        </w:rPr>
        <w:t>0773-2829504</w:t>
      </w:r>
    </w:p>
    <w:p w14:paraId="7664258F">
      <w:pPr>
        <w:pStyle w:val="5"/>
        <w:spacing w:before="0" w:after="0" w:line="400" w:lineRule="exact"/>
        <w:ind w:firstLine="420" w:firstLineChars="200"/>
        <w:rPr>
          <w:rFonts w:hint="eastAsia" w:ascii="宋体" w:hAnsi="宋体" w:eastAsia="宋体" w:cs="宋体"/>
          <w:color w:val="auto"/>
          <w:sz w:val="21"/>
          <w:szCs w:val="21"/>
          <w:highlight w:val="none"/>
        </w:rPr>
      </w:pPr>
      <w:bookmarkStart w:id="61" w:name="_Toc13910"/>
      <w:bookmarkStart w:id="62" w:name="_Toc6998"/>
      <w:r>
        <w:rPr>
          <w:rFonts w:hint="eastAsia" w:ascii="宋体" w:hAnsi="宋体" w:eastAsia="宋体" w:cs="宋体"/>
          <w:color w:val="auto"/>
          <w:sz w:val="21"/>
          <w:szCs w:val="21"/>
          <w:highlight w:val="none"/>
        </w:rPr>
        <w:t>7. 转包与分包</w:t>
      </w:r>
      <w:bookmarkEnd w:id="61"/>
      <w:bookmarkEnd w:id="62"/>
    </w:p>
    <w:p w14:paraId="6F1000D5">
      <w:pPr>
        <w:pStyle w:val="5"/>
        <w:spacing w:before="0" w:after="0" w:line="400" w:lineRule="exact"/>
        <w:ind w:firstLine="420" w:firstLineChars="200"/>
        <w:rPr>
          <w:rFonts w:hint="eastAsia" w:ascii="宋体" w:hAnsi="宋体" w:eastAsia="宋体" w:cs="宋体"/>
          <w:b w:val="0"/>
          <w:bCs/>
          <w:color w:val="auto"/>
          <w:sz w:val="21"/>
          <w:szCs w:val="21"/>
          <w:highlight w:val="none"/>
        </w:rPr>
      </w:pPr>
      <w:bookmarkStart w:id="63" w:name="_Toc3368"/>
      <w:bookmarkStart w:id="64" w:name="_Toc9415"/>
      <w:r>
        <w:rPr>
          <w:rFonts w:hint="eastAsia" w:ascii="宋体" w:hAnsi="宋体" w:eastAsia="宋体" w:cs="宋体"/>
          <w:b w:val="0"/>
          <w:bCs/>
          <w:color w:val="auto"/>
          <w:sz w:val="21"/>
          <w:szCs w:val="21"/>
          <w:highlight w:val="none"/>
        </w:rPr>
        <w:t>7.1 本项目不允许转包。</w:t>
      </w:r>
    </w:p>
    <w:p w14:paraId="43913FCB">
      <w:pPr>
        <w:pStyle w:val="5"/>
        <w:spacing w:before="0" w:after="0" w:line="4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7.2 本项目如有分包，需书面征得采购人同意。</w:t>
      </w:r>
    </w:p>
    <w:p w14:paraId="341011C7">
      <w:pPr>
        <w:pStyle w:val="5"/>
        <w:spacing w:before="0"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 特别说明</w:t>
      </w:r>
      <w:bookmarkEnd w:id="63"/>
      <w:bookmarkEnd w:id="64"/>
    </w:p>
    <w:p w14:paraId="36EEC8ED">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8.1关联供应商不得参加同一合同项下政府采购活动，否则响应文件将被视为无效：</w:t>
      </w:r>
    </w:p>
    <w:p w14:paraId="01721D22">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1979FB00">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（2）为本采购项目提供整体设计、规范编制或者项目管理、监理、检测等服务的供应商，不得再参加本次采购活动。</w:t>
      </w:r>
    </w:p>
    <w:p w14:paraId="423746F8">
      <w:pPr>
        <w:tabs>
          <w:tab w:val="left" w:pos="163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8.2供应商应仔细阅读竞争性磋商文件的所有内容，按照竞争性磋商文件的要求提交响应文件，并对所提供 的全部资料的真实性承担法律责任。</w:t>
      </w:r>
    </w:p>
    <w:p w14:paraId="642A0A29">
      <w:pPr>
        <w:tabs>
          <w:tab w:val="left" w:pos="1635"/>
        </w:tabs>
        <w:spacing w:line="400" w:lineRule="exact"/>
        <w:ind w:firstLine="420" w:firstLineChars="200"/>
        <w:rPr>
          <w:rFonts w:hint="eastAsia" w:ascii="宋体" w:hAnsi="宋体" w:eastAsia="宋体" w:cs="宋体"/>
          <w:color w:val="auto"/>
          <w:szCs w:val="21"/>
          <w:highlight w:val="none"/>
        </w:rPr>
      </w:pPr>
    </w:p>
    <w:p w14:paraId="7B5BB342">
      <w:pPr>
        <w:pStyle w:val="4"/>
        <w:spacing w:line="400" w:lineRule="exact"/>
        <w:ind w:left="0"/>
        <w:jc w:val="center"/>
        <w:rPr>
          <w:rFonts w:hint="eastAsia" w:ascii="宋体" w:hAnsi="宋体" w:eastAsia="宋体" w:cs="宋体"/>
          <w:b/>
          <w:bCs w:val="0"/>
          <w:color w:val="auto"/>
          <w:szCs w:val="28"/>
          <w:highlight w:val="none"/>
        </w:rPr>
      </w:pPr>
      <w:bookmarkStart w:id="65" w:name="_Toc8933"/>
      <w:bookmarkStart w:id="66" w:name="_Toc22498"/>
      <w:r>
        <w:rPr>
          <w:rFonts w:hint="eastAsia" w:ascii="宋体" w:hAnsi="宋体" w:eastAsia="宋体" w:cs="宋体"/>
          <w:b/>
          <w:bCs w:val="0"/>
          <w:color w:val="auto"/>
          <w:szCs w:val="28"/>
          <w:highlight w:val="none"/>
        </w:rPr>
        <w:t>二、磋商文件</w:t>
      </w:r>
      <w:bookmarkEnd w:id="65"/>
      <w:bookmarkEnd w:id="66"/>
    </w:p>
    <w:p w14:paraId="632716F5">
      <w:pPr>
        <w:pStyle w:val="5"/>
        <w:spacing w:before="0" w:after="0" w:line="400" w:lineRule="exact"/>
        <w:ind w:firstLine="420" w:firstLineChars="200"/>
        <w:rPr>
          <w:rFonts w:hint="eastAsia" w:ascii="宋体" w:hAnsi="宋体" w:eastAsia="宋体" w:cs="宋体"/>
          <w:color w:val="auto"/>
          <w:sz w:val="21"/>
          <w:szCs w:val="21"/>
          <w:highlight w:val="none"/>
          <w:lang w:val="pt-BR"/>
        </w:rPr>
      </w:pPr>
      <w:bookmarkStart w:id="67" w:name="_Toc20523"/>
      <w:bookmarkStart w:id="68"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67"/>
      <w:bookmarkEnd w:id="68"/>
    </w:p>
    <w:p w14:paraId="4AFD206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21045A7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0A3EFA05">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（3）采购需求</w:t>
      </w:r>
      <w:r>
        <w:rPr>
          <w:rFonts w:hint="eastAsia" w:ascii="宋体" w:hAnsi="宋体" w:eastAsia="宋体" w:cs="宋体"/>
          <w:bCs/>
          <w:color w:val="auto"/>
          <w:szCs w:val="21"/>
          <w:highlight w:val="none"/>
        </w:rPr>
        <w:t>；</w:t>
      </w:r>
    </w:p>
    <w:p w14:paraId="2B0DE7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7B393B6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0BE01E1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14:paraId="416A2F79">
      <w:pPr>
        <w:pStyle w:val="5"/>
        <w:spacing w:before="0" w:after="0" w:line="400" w:lineRule="exact"/>
        <w:ind w:firstLine="420" w:firstLineChars="200"/>
        <w:rPr>
          <w:rFonts w:hint="eastAsia" w:ascii="宋体" w:hAnsi="宋体" w:eastAsia="宋体" w:cs="宋体"/>
          <w:color w:val="auto"/>
          <w:sz w:val="21"/>
          <w:szCs w:val="21"/>
          <w:highlight w:val="none"/>
        </w:rPr>
      </w:pPr>
      <w:bookmarkStart w:id="69" w:name="_Toc9103"/>
      <w:bookmarkStart w:id="70" w:name="_Toc1452"/>
      <w:r>
        <w:rPr>
          <w:rFonts w:hint="eastAsia" w:ascii="宋体" w:hAnsi="宋体" w:eastAsia="宋体" w:cs="宋体"/>
          <w:color w:val="auto"/>
          <w:sz w:val="21"/>
          <w:szCs w:val="21"/>
          <w:highlight w:val="none"/>
        </w:rPr>
        <w:t>10. 磋商文件的澄清与修改</w:t>
      </w:r>
      <w:bookmarkEnd w:id="69"/>
      <w:bookmarkEnd w:id="70"/>
    </w:p>
    <w:p w14:paraId="2AF327D9">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w:t>
      </w:r>
      <w:r>
        <w:rPr>
          <w:rFonts w:hint="eastAsia" w:ascii="宋体" w:hAnsi="宋体" w:eastAsia="宋体" w:cs="宋体"/>
          <w:b w:val="0"/>
          <w:bCs w:val="0"/>
          <w:color w:val="auto"/>
          <w:szCs w:val="21"/>
          <w:highlight w:val="none"/>
        </w:rPr>
        <w:t>不足五日的</w:t>
      </w:r>
      <w:r>
        <w:rPr>
          <w:rFonts w:hint="eastAsia" w:ascii="宋体" w:hAnsi="宋体" w:eastAsia="宋体" w:cs="宋体"/>
          <w:color w:val="auto"/>
          <w:szCs w:val="21"/>
          <w:highlight w:val="none"/>
        </w:rPr>
        <w:t>，应当顺延首次响应文件递交截止时间。</w:t>
      </w:r>
    </w:p>
    <w:p w14:paraId="79A13416">
      <w:pPr>
        <w:spacing w:line="40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2753841F">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10.3澄清或者修改的内容为磋商文件的组成部分。当澄清或者修改通知就同一内容的表述不一致时，以最后发出的文件为准。</w:t>
      </w:r>
    </w:p>
    <w:p w14:paraId="3DF7E949">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磋商文件的澄清或者修改都应该通过本项目采购代理机构以法定形式发布，采购人非通过本机构，不得擅自澄清或者修改磋商文件。</w:t>
      </w:r>
    </w:p>
    <w:p w14:paraId="41C3ED00">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10.5采购单位可以视采购具体情况，延长响应文件截止时间和磋商时间，在本项目竞争性磋商公告发布的同一媒体上发布变更公告。</w:t>
      </w:r>
    </w:p>
    <w:p w14:paraId="157C5767">
      <w:pPr>
        <w:pStyle w:val="57"/>
        <w:spacing w:line="400" w:lineRule="exact"/>
        <w:rPr>
          <w:rFonts w:hint="eastAsia" w:ascii="宋体" w:hAnsi="宋体" w:eastAsia="宋体" w:cs="宋体"/>
          <w:color w:val="auto"/>
          <w:highlight w:val="none"/>
        </w:rPr>
      </w:pPr>
    </w:p>
    <w:p w14:paraId="7A0F0890">
      <w:pPr>
        <w:pStyle w:val="4"/>
        <w:spacing w:line="400" w:lineRule="exact"/>
        <w:ind w:left="0"/>
        <w:jc w:val="center"/>
        <w:rPr>
          <w:rFonts w:hint="eastAsia" w:ascii="宋体" w:hAnsi="宋体" w:eastAsia="宋体" w:cs="宋体"/>
          <w:b/>
          <w:bCs w:val="0"/>
          <w:color w:val="auto"/>
          <w:szCs w:val="28"/>
          <w:highlight w:val="none"/>
        </w:rPr>
      </w:pPr>
      <w:bookmarkStart w:id="71" w:name="_Toc20641"/>
      <w:bookmarkStart w:id="72" w:name="_Toc20830"/>
      <w:r>
        <w:rPr>
          <w:rFonts w:hint="eastAsia" w:ascii="宋体" w:hAnsi="宋体" w:eastAsia="宋体" w:cs="宋体"/>
          <w:b/>
          <w:bCs w:val="0"/>
          <w:color w:val="auto"/>
          <w:szCs w:val="28"/>
          <w:highlight w:val="none"/>
        </w:rPr>
        <w:t>三、竞争性磋商响应文件的编制</w:t>
      </w:r>
      <w:bookmarkEnd w:id="71"/>
      <w:bookmarkEnd w:id="72"/>
    </w:p>
    <w:p w14:paraId="182E581A">
      <w:pPr>
        <w:pStyle w:val="5"/>
        <w:spacing w:before="0" w:after="0" w:line="400" w:lineRule="exact"/>
        <w:ind w:firstLine="420" w:firstLineChars="200"/>
        <w:rPr>
          <w:rFonts w:hint="eastAsia" w:ascii="宋体" w:hAnsi="宋体" w:eastAsia="宋体" w:cs="宋体"/>
          <w:color w:val="auto"/>
          <w:sz w:val="21"/>
          <w:szCs w:val="21"/>
          <w:highlight w:val="none"/>
        </w:rPr>
      </w:pPr>
      <w:bookmarkStart w:id="73" w:name="_Toc772"/>
      <w:r>
        <w:rPr>
          <w:rFonts w:hint="eastAsia" w:ascii="宋体" w:hAnsi="宋体" w:eastAsia="宋体" w:cs="宋体"/>
          <w:color w:val="auto"/>
          <w:sz w:val="21"/>
          <w:szCs w:val="21"/>
          <w:highlight w:val="none"/>
        </w:rPr>
        <w:t>11.竞争性磋商响应文件编制基本要求</w:t>
      </w:r>
      <w:bookmarkEnd w:id="73"/>
    </w:p>
    <w:p w14:paraId="4A462321">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 本项目实行电子投标，供应商应准备电子磋商响应文件：</w:t>
      </w:r>
    </w:p>
    <w:p w14:paraId="382B8C7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11.1.1 电子响应文件按</w:t>
      </w:r>
      <w:r>
        <w:rPr>
          <w:rFonts w:hint="eastAsia" w:ascii="宋体" w:hAnsi="宋体" w:cs="宋体"/>
          <w:b/>
          <w:bCs/>
          <w:color w:val="auto"/>
          <w:szCs w:val="21"/>
          <w:highlight w:val="none"/>
          <w:lang w:eastAsia="zh-CN"/>
        </w:rPr>
        <w:t>广西政府采购云平台</w:t>
      </w:r>
      <w:r>
        <w:rPr>
          <w:rFonts w:hint="eastAsia" w:ascii="宋体" w:hAnsi="宋体" w:eastAsia="宋体" w:cs="宋体"/>
          <w:b/>
          <w:bCs/>
          <w:color w:val="auto"/>
          <w:szCs w:val="21"/>
          <w:highlight w:val="none"/>
        </w:rPr>
        <w:t>要求及本磋商文件要求制作、加密并递交。具体操作流程可参考《政府采购项目电子交易管理操作指南-供应商》，指南可在 “http://</w:t>
      </w:r>
      <w:r>
        <w:rPr>
          <w:rFonts w:hint="eastAsia" w:ascii="宋体" w:hAnsi="宋体" w:cs="宋体"/>
          <w:b/>
          <w:bCs/>
          <w:color w:val="auto"/>
          <w:szCs w:val="21"/>
          <w:highlight w:val="none"/>
          <w:lang w:eastAsia="zh-CN"/>
        </w:rPr>
        <w:t>zfcg.gxzf.gov.cn</w:t>
      </w:r>
      <w:r>
        <w:rPr>
          <w:rFonts w:hint="eastAsia" w:ascii="宋体" w:hAnsi="宋体" w:eastAsia="宋体" w:cs="宋体"/>
          <w:b/>
          <w:bCs/>
          <w:color w:val="auto"/>
          <w:szCs w:val="21"/>
          <w:highlight w:val="none"/>
        </w:rPr>
        <w:t xml:space="preserve">/PurchaseAdvisory/ImportantNotice/2866753.html”下载。 </w:t>
      </w:r>
    </w:p>
    <w:p w14:paraId="05B2BFEE">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11.2竞争性磋商响应文件（以下简称响应文件）的组成及要求</w:t>
      </w:r>
    </w:p>
    <w:p w14:paraId="31EB271E">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11.2.1响应文件组成【格式见第六章“响应文件（格式）”】</w:t>
      </w:r>
    </w:p>
    <w:p w14:paraId="5BD6DE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11.2.1.1资格性响应证明材料：</w:t>
      </w:r>
    </w:p>
    <w:p w14:paraId="1D41B8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19F018A">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w:t>
      </w:r>
      <w:r>
        <w:rPr>
          <w:rFonts w:hint="eastAsia" w:ascii="宋体" w:hAnsi="宋体" w:cs="宋体"/>
          <w:b/>
          <w:bCs/>
          <w:color w:val="auto"/>
          <w:szCs w:val="21"/>
          <w:highlight w:val="none"/>
          <w:lang w:val="en-US" w:eastAsia="zh-CN"/>
        </w:rPr>
        <w:t>2025年1月以来</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个月社保证明复印件</w:t>
      </w:r>
      <w:r>
        <w:rPr>
          <w:rFonts w:hint="eastAsia" w:ascii="宋体" w:hAnsi="宋体" w:cs="宋体"/>
          <w:color w:val="auto"/>
          <w:szCs w:val="21"/>
          <w:highlight w:val="none"/>
        </w:rPr>
        <w:t>，除供应商为以下三种情形的：</w:t>
      </w:r>
    </w:p>
    <w:p w14:paraId="6AFCAE1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5D33135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4D38001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513721A2">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w:t>
      </w:r>
      <w:r>
        <w:rPr>
          <w:rFonts w:hint="eastAsia" w:ascii="宋体" w:hAnsi="宋体" w:cs="宋体"/>
          <w:b/>
          <w:bCs/>
          <w:color w:val="auto"/>
          <w:szCs w:val="21"/>
          <w:highlight w:val="none"/>
          <w:lang w:val="en-US" w:eastAsia="zh-CN"/>
        </w:rPr>
        <w:t>2025年1月以来</w:t>
      </w:r>
      <w:r>
        <w:rPr>
          <w:rFonts w:hint="eastAsia" w:ascii="宋体" w:hAnsi="宋体" w:eastAsia="宋体" w:cs="宋体"/>
          <w:b/>
          <w:bCs/>
          <w:color w:val="auto"/>
          <w:szCs w:val="21"/>
          <w:highlight w:val="none"/>
        </w:rPr>
        <w:t>连续</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p>
    <w:p w14:paraId="0BD693C5">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6E87265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（4）供应商的法人或者其他组织营业执照等证明文件复印件</w:t>
      </w:r>
      <w:r>
        <w:rPr>
          <w:rFonts w:hint="eastAsia" w:ascii="宋体" w:hAnsi="宋体" w:eastAsia="宋体" w:cs="宋体"/>
          <w:b/>
          <w:bCs/>
          <w:color w:val="auto"/>
          <w:szCs w:val="21"/>
          <w:highlight w:val="none"/>
        </w:rPr>
        <w:t>（必须提供，自然人除外）；</w:t>
      </w:r>
    </w:p>
    <w:p w14:paraId="7B5B0B8B">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B91C452">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（5）供应商2024年度的财务状况报告（或银行出具的资信证明）复印件</w:t>
      </w:r>
      <w:r>
        <w:rPr>
          <w:rFonts w:hint="eastAsia" w:ascii="宋体" w:hAnsi="宋体" w:cs="宋体"/>
          <w:b/>
          <w:bCs/>
          <w:color w:val="auto"/>
          <w:szCs w:val="21"/>
          <w:highlight w:val="none"/>
          <w:lang w:val="en-US" w:eastAsia="zh-CN"/>
        </w:rPr>
        <w:t>（必须提供，若为新成立的企业，请根据实际情况提供）；</w:t>
      </w:r>
    </w:p>
    <w:p w14:paraId="07850DD3">
      <w:pPr>
        <w:tabs>
          <w:tab w:val="left" w:pos="1305"/>
        </w:tabs>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 w:val="21"/>
          <w:szCs w:val="21"/>
          <w:highlight w:val="none"/>
        </w:rPr>
        <w:t>供应商符合《政府采购促进中小企业发展管理办法》(财库〔2020〕46号)第二条规定。监狱企业、残疾人福利单位视同小型、微型企业。供应商根据自身情况，提供以下任一证明材料</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w:t>
      </w:r>
    </w:p>
    <w:p w14:paraId="41160E1E">
      <w:pPr>
        <w:tabs>
          <w:tab w:val="left" w:pos="1305"/>
        </w:tabs>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①供应商如为符合政策要求的中小企业且承接本项目全部服务的，提供《中小企业声明函》。</w:t>
      </w:r>
    </w:p>
    <w:p w14:paraId="41A1C329">
      <w:pPr>
        <w:tabs>
          <w:tab w:val="left" w:pos="1305"/>
        </w:tabs>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②供应商如属于监狱企业且承接本项目全部服务的，提供由省级以上监狱管理局、戒毒管理局(含新疆生产建设兵团)出具的属于监狱企业的证明文件。</w:t>
      </w:r>
    </w:p>
    <w:p w14:paraId="4699D1B7">
      <w:pPr>
        <w:tabs>
          <w:tab w:val="left" w:pos="1305"/>
        </w:tabs>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kern w:val="0"/>
          <w:szCs w:val="21"/>
        </w:rPr>
        <w:t>③供应商如属于符合条件的残疾人福利性单位且承接本项目全部服务的，提供《残疾人福利性单位声明函》（并对声明的真实性负责）。</w:t>
      </w:r>
    </w:p>
    <w:p w14:paraId="1CA37AE2">
      <w:pPr>
        <w:pStyle w:val="15"/>
        <w:spacing w:line="400" w:lineRule="exact"/>
        <w:ind w:left="0" w:leftChars="0" w:firstLine="31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11.2.1.2符合性响应证明材料：</w:t>
      </w:r>
      <w:bookmarkStart w:id="74" w:name="_Toc16312"/>
      <w:bookmarkStart w:id="75" w:name="_Toc28932"/>
      <w:bookmarkStart w:id="76" w:name="_Toc647"/>
      <w:bookmarkStart w:id="77" w:name="_Toc2809"/>
    </w:p>
    <w:p w14:paraId="16319626">
      <w:pPr>
        <w:pStyle w:val="4"/>
        <w:spacing w:line="400" w:lineRule="exact"/>
        <w:ind w:left="10" w:leftChars="0" w:firstLine="262" w:firstLineChars="125"/>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74"/>
      <w:r>
        <w:rPr>
          <w:rFonts w:hint="eastAsia" w:ascii="宋体" w:hAnsi="宋体" w:eastAsia="宋体" w:cs="宋体"/>
          <w:b/>
          <w:bCs/>
          <w:color w:val="auto"/>
          <w:sz w:val="21"/>
          <w:szCs w:val="21"/>
          <w:highlight w:val="none"/>
          <w:lang w:val="en-US"/>
        </w:rPr>
        <w:t>；</w:t>
      </w:r>
      <w:bookmarkEnd w:id="75"/>
      <w:bookmarkEnd w:id="76"/>
      <w:bookmarkEnd w:id="77"/>
    </w:p>
    <w:p w14:paraId="60518852">
      <w:pPr>
        <w:pStyle w:val="4"/>
        <w:spacing w:line="400" w:lineRule="exact"/>
        <w:ind w:left="10" w:leftChars="0" w:firstLine="262" w:firstLineChars="125"/>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（2）</w:t>
      </w:r>
      <w:r>
        <w:rPr>
          <w:rFonts w:hint="eastAsia" w:ascii="宋体" w:hAnsi="宋体" w:eastAsia="宋体" w:cs="宋体"/>
          <w:bCs w:val="0"/>
          <w:color w:val="auto"/>
          <w:sz w:val="21"/>
          <w:szCs w:val="21"/>
          <w:highlight w:val="none"/>
          <w:lang w:val="en-US" w:eastAsia="zh-CN"/>
        </w:rPr>
        <w:t>磋商报价表（格式见附件）</w:t>
      </w:r>
      <w:r>
        <w:rPr>
          <w:rFonts w:hint="eastAsia" w:ascii="宋体" w:hAnsi="宋体" w:eastAsia="宋体" w:cs="宋体"/>
          <w:b/>
          <w:bCs/>
          <w:color w:val="auto"/>
          <w:sz w:val="21"/>
          <w:szCs w:val="21"/>
          <w:highlight w:val="none"/>
          <w:lang w:val="en-US"/>
        </w:rPr>
        <w:t>（必须提供）；</w:t>
      </w:r>
    </w:p>
    <w:p w14:paraId="4150501E">
      <w:pPr>
        <w:pStyle w:val="4"/>
        <w:spacing w:line="400" w:lineRule="exact"/>
        <w:ind w:left="10" w:leftChars="0" w:firstLine="262" w:firstLineChars="125"/>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w:t>
      </w:r>
      <w:r>
        <w:rPr>
          <w:rFonts w:hint="eastAsia" w:ascii="宋体" w:hAnsi="宋体" w:eastAsia="宋体" w:cs="宋体"/>
          <w:bCs w:val="0"/>
          <w:color w:val="auto"/>
          <w:sz w:val="21"/>
          <w:szCs w:val="21"/>
          <w:highlight w:val="none"/>
          <w:lang w:val="en-US"/>
        </w:rPr>
        <w:t>项目实施方案（格式自拟）（</w:t>
      </w:r>
      <w:r>
        <w:rPr>
          <w:rFonts w:hint="eastAsia" w:ascii="宋体" w:hAnsi="宋体" w:cs="宋体"/>
          <w:b/>
          <w:color w:val="auto"/>
          <w:sz w:val="21"/>
          <w:szCs w:val="21"/>
          <w:highlight w:val="none"/>
          <w:lang w:val="en-US" w:eastAsia="zh-CN"/>
        </w:rPr>
        <w:t>如有，请</w:t>
      </w:r>
      <w:r>
        <w:rPr>
          <w:rFonts w:hint="eastAsia" w:ascii="宋体" w:hAnsi="宋体" w:eastAsia="宋体" w:cs="宋体"/>
          <w:b/>
          <w:color w:val="auto"/>
          <w:sz w:val="21"/>
          <w:szCs w:val="21"/>
          <w:highlight w:val="none"/>
          <w:lang w:val="en-US"/>
        </w:rPr>
        <w:t>提供</w:t>
      </w:r>
      <w:r>
        <w:rPr>
          <w:rFonts w:hint="eastAsia" w:ascii="宋体" w:hAnsi="宋体" w:eastAsia="宋体" w:cs="宋体"/>
          <w:bCs w:val="0"/>
          <w:color w:val="auto"/>
          <w:sz w:val="21"/>
          <w:szCs w:val="21"/>
          <w:highlight w:val="none"/>
          <w:lang w:val="en-US"/>
        </w:rPr>
        <w:t>）</w:t>
      </w:r>
      <w:r>
        <w:rPr>
          <w:rFonts w:hint="eastAsia" w:ascii="宋体" w:hAnsi="宋体" w:eastAsia="宋体" w:cs="宋体"/>
          <w:bCs w:val="0"/>
          <w:color w:val="auto"/>
          <w:sz w:val="21"/>
          <w:szCs w:val="21"/>
          <w:highlight w:val="none"/>
          <w:lang w:val="en-US" w:eastAsia="zh-CN"/>
        </w:rPr>
        <w:t>；</w:t>
      </w:r>
    </w:p>
    <w:p w14:paraId="048E2585">
      <w:pPr>
        <w:pStyle w:val="15"/>
        <w:spacing w:line="400" w:lineRule="exact"/>
        <w:ind w:left="0" w:leftChars="0" w:firstLine="3168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11.2.1.3其他有效证明材料</w:t>
      </w:r>
    </w:p>
    <w:p w14:paraId="1230D9CD">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color w:val="auto"/>
          <w:kern w:val="2"/>
          <w:sz w:val="21"/>
          <w:szCs w:val="20"/>
          <w:highlight w:val="none"/>
          <w:lang w:val="en-US" w:eastAsia="zh-CN" w:bidi="ar"/>
        </w:rPr>
        <w:t>供应商20</w:t>
      </w:r>
      <w:r>
        <w:rPr>
          <w:rFonts w:hint="eastAsia" w:ascii="宋体" w:hAnsi="宋体" w:cs="Times New Roman"/>
          <w:color w:val="auto"/>
          <w:kern w:val="2"/>
          <w:sz w:val="21"/>
          <w:szCs w:val="20"/>
          <w:highlight w:val="none"/>
          <w:lang w:val="en-US" w:eastAsia="zh-CN" w:bidi="ar"/>
        </w:rPr>
        <w:t>19</w:t>
      </w:r>
      <w:r>
        <w:rPr>
          <w:rFonts w:hint="eastAsia" w:ascii="宋体" w:hAnsi="宋体" w:eastAsia="宋体" w:cs="Times New Roman"/>
          <w:color w:val="auto"/>
          <w:kern w:val="2"/>
          <w:sz w:val="21"/>
          <w:szCs w:val="20"/>
          <w:highlight w:val="none"/>
          <w:lang w:val="en-US" w:eastAsia="zh-CN" w:bidi="ar"/>
        </w:rPr>
        <w:t>年以来</w:t>
      </w:r>
      <w:r>
        <w:rPr>
          <w:rFonts w:hint="eastAsia" w:ascii="宋体" w:hAnsi="宋体" w:cs="Times New Roman"/>
          <w:color w:val="auto"/>
          <w:kern w:val="2"/>
          <w:sz w:val="21"/>
          <w:szCs w:val="20"/>
          <w:highlight w:val="none"/>
          <w:lang w:val="en-US" w:eastAsia="zh-CN" w:bidi="ar"/>
        </w:rPr>
        <w:t>相关</w:t>
      </w:r>
      <w:r>
        <w:rPr>
          <w:rFonts w:hint="eastAsia" w:ascii="宋体" w:hAnsi="宋体" w:eastAsia="宋体" w:cs="Times New Roman"/>
          <w:color w:val="auto"/>
          <w:kern w:val="2"/>
          <w:sz w:val="21"/>
          <w:szCs w:val="20"/>
          <w:highlight w:val="none"/>
          <w:lang w:val="en-US" w:eastAsia="zh-CN" w:bidi="ar"/>
        </w:rPr>
        <w:t>业绩的证明材料复印件</w:t>
      </w:r>
      <w:r>
        <w:rPr>
          <w:rFonts w:hint="eastAsia" w:ascii="宋体" w:hAnsi="宋体" w:eastAsia="宋体" w:cs="Times New Roman"/>
          <w:b/>
          <w:bCs/>
          <w:color w:val="auto"/>
          <w:kern w:val="2"/>
          <w:sz w:val="21"/>
          <w:szCs w:val="20"/>
          <w:highlight w:val="none"/>
          <w:lang w:val="en-US" w:eastAsia="zh-CN" w:bidi="ar"/>
        </w:rPr>
        <w:t>（如有，请提供）；</w:t>
      </w:r>
    </w:p>
    <w:p w14:paraId="382BB7A0">
      <w:pPr>
        <w:spacing w:line="400" w:lineRule="exact"/>
        <w:ind w:firstLine="420" w:firstLineChars="200"/>
        <w:rPr>
          <w:rFonts w:hint="eastAsia" w:ascii="宋体" w:hAnsi="宋体"/>
          <w:b/>
          <w:color w:val="auto"/>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olor w:val="auto"/>
          <w:szCs w:val="20"/>
          <w:highlight w:val="none"/>
          <w:lang w:eastAsia="zh-CN"/>
        </w:rPr>
        <w:t>供应商</w:t>
      </w:r>
      <w:r>
        <w:rPr>
          <w:rFonts w:hint="eastAsia" w:ascii="宋体" w:hAnsi="宋体"/>
          <w:color w:val="auto"/>
          <w:szCs w:val="20"/>
          <w:highlight w:val="none"/>
        </w:rPr>
        <w:t>相关获奖证书、认证证书等复印件</w:t>
      </w:r>
      <w:r>
        <w:rPr>
          <w:rFonts w:hint="eastAsia" w:ascii="宋体" w:hAnsi="宋体"/>
          <w:b/>
          <w:color w:val="auto"/>
          <w:highlight w:val="none"/>
        </w:rPr>
        <w:t>（如有，请提供）</w:t>
      </w:r>
      <w:r>
        <w:rPr>
          <w:rFonts w:hint="eastAsia" w:ascii="宋体" w:hAnsi="宋体"/>
          <w:b/>
          <w:color w:val="auto"/>
          <w:highlight w:val="none"/>
          <w:lang w:eastAsia="zh-CN"/>
        </w:rPr>
        <w:t>；</w:t>
      </w:r>
    </w:p>
    <w:p w14:paraId="0329A92D">
      <w:pPr>
        <w:spacing w:line="400" w:lineRule="exact"/>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宋体"/>
          <w:b/>
          <w:color w:val="auto"/>
          <w:kern w:val="0"/>
          <w:sz w:val="21"/>
          <w:szCs w:val="24"/>
          <w:highlight w:val="none"/>
        </w:rPr>
        <w:t>（如有，请提供）</w:t>
      </w:r>
      <w:r>
        <w:rPr>
          <w:rFonts w:hint="eastAsia" w:ascii="宋体" w:hAnsi="宋体" w:eastAsia="宋体" w:cs="宋体"/>
          <w:color w:val="auto"/>
          <w:szCs w:val="21"/>
          <w:highlight w:val="none"/>
        </w:rPr>
        <w:t>。</w:t>
      </w:r>
    </w:p>
    <w:p w14:paraId="43C350C3">
      <w:pPr>
        <w:spacing w:line="400" w:lineRule="exact"/>
        <w:ind w:firstLine="42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提供的以上相关证明材料属于“必须提供”的文件应加盖磋商供应商公章（CA签章）/自然人签字或个人CA签章，否则响应无效。</w:t>
      </w:r>
    </w:p>
    <w:p w14:paraId="784968F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供应商应按竞争性磋商文件第六章“响应文件（格式）”编制响应文件。</w:t>
      </w:r>
    </w:p>
    <w:p w14:paraId="4794D087">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7A34B674">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4F3F8472">
      <w:pPr>
        <w:numPr>
          <w:ilvl w:val="0"/>
          <w:numId w:val="7"/>
        </w:numPr>
        <w:spacing w:line="400" w:lineRule="exact"/>
        <w:ind w:firstLine="420" w:firstLineChars="200"/>
        <w:rPr>
          <w:rFonts w:hint="eastAsia" w:ascii="宋体" w:hAnsi="宋体" w:eastAsia="宋体" w:cs="宋体"/>
          <w:b/>
          <w:color w:val="auto"/>
          <w:highlight w:val="none"/>
          <w:u w:val="single"/>
        </w:rPr>
      </w:pPr>
      <w:r>
        <w:rPr>
          <w:rFonts w:hint="eastAsia" w:ascii="宋体" w:hAnsi="宋体" w:eastAsia="宋体" w:cs="宋体"/>
          <w:b/>
          <w:bCs/>
          <w:color w:val="auto"/>
          <w:szCs w:val="21"/>
          <w:highlight w:val="none"/>
        </w:rPr>
        <w:t>磋商文件要求法定代表人（负责人）或委托代理人签字的部分必须签字然后扫描或者拍照做成 pdf 格式上传（或加盖个人CA签章），无签字的视为响应无效。</w:t>
      </w:r>
    </w:p>
    <w:p w14:paraId="4361F3A4">
      <w:pPr>
        <w:pStyle w:val="5"/>
        <w:spacing w:before="0" w:after="0" w:line="400" w:lineRule="exact"/>
        <w:ind w:firstLine="420" w:firstLineChars="200"/>
        <w:rPr>
          <w:rFonts w:hint="eastAsia" w:ascii="宋体" w:hAnsi="宋体" w:eastAsia="宋体" w:cs="宋体"/>
          <w:color w:val="auto"/>
          <w:sz w:val="21"/>
          <w:szCs w:val="21"/>
          <w:highlight w:val="none"/>
        </w:rPr>
      </w:pPr>
      <w:bookmarkStart w:id="78" w:name="_Toc6845"/>
      <w:bookmarkStart w:id="79" w:name="_Toc2180"/>
      <w:r>
        <w:rPr>
          <w:rFonts w:hint="eastAsia" w:ascii="宋体" w:hAnsi="宋体" w:eastAsia="宋体" w:cs="宋体"/>
          <w:color w:val="auto"/>
          <w:sz w:val="21"/>
          <w:szCs w:val="21"/>
          <w:highlight w:val="none"/>
        </w:rPr>
        <w:t>12. 响应文件的语言及计量</w:t>
      </w:r>
      <w:bookmarkEnd w:id="78"/>
      <w:bookmarkEnd w:id="79"/>
    </w:p>
    <w:p w14:paraId="6E0FED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0F39BFF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4CB244EC">
      <w:pPr>
        <w:pStyle w:val="5"/>
        <w:spacing w:before="0" w:after="0" w:line="400" w:lineRule="exact"/>
        <w:ind w:firstLine="420" w:firstLineChars="200"/>
        <w:rPr>
          <w:rFonts w:hint="eastAsia" w:ascii="宋体" w:hAnsi="宋体" w:eastAsia="宋体" w:cs="宋体"/>
          <w:color w:val="auto"/>
          <w:sz w:val="21"/>
          <w:szCs w:val="21"/>
          <w:highlight w:val="none"/>
        </w:rPr>
      </w:pPr>
      <w:bookmarkStart w:id="80" w:name="_Toc10838"/>
      <w:bookmarkStart w:id="81" w:name="_Toc30930"/>
      <w:r>
        <w:rPr>
          <w:rFonts w:hint="eastAsia" w:ascii="宋体" w:hAnsi="宋体" w:eastAsia="宋体" w:cs="宋体"/>
          <w:color w:val="auto"/>
          <w:sz w:val="21"/>
          <w:szCs w:val="21"/>
          <w:highlight w:val="none"/>
        </w:rPr>
        <w:t>13. 磋商报价及采购预算金额</w:t>
      </w:r>
      <w:bookmarkEnd w:id="80"/>
      <w:bookmarkEnd w:id="81"/>
    </w:p>
    <w:p w14:paraId="398F290B">
      <w:pPr>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b w:val="0"/>
          <w:bCs w:val="0"/>
          <w:color w:val="auto"/>
          <w:spacing w:val="2"/>
          <w:w w:val="100"/>
          <w:sz w:val="21"/>
          <w:szCs w:val="21"/>
          <w:highlight w:val="none"/>
        </w:rPr>
      </w:pPr>
      <w:r>
        <w:rPr>
          <w:rFonts w:hint="eastAsia" w:ascii="宋体" w:hAnsi="宋体" w:cs="宋体"/>
          <w:color w:val="auto"/>
          <w:szCs w:val="21"/>
          <w:highlight w:val="none"/>
          <w:lang w:val="en-US" w:eastAsia="zh-CN"/>
        </w:rPr>
        <w:t>13.1</w:t>
      </w:r>
      <w:r>
        <w:rPr>
          <w:rFonts w:hint="eastAsia" w:ascii="宋体" w:hAnsi="宋体" w:eastAsia="宋体" w:cs="宋体"/>
          <w:color w:val="auto"/>
          <w:szCs w:val="21"/>
          <w:highlight w:val="none"/>
        </w:rPr>
        <w:t>磋商报价应按磋商文件中相关附表格式填写。</w:t>
      </w:r>
      <w:r>
        <w:rPr>
          <w:rFonts w:hint="eastAsia" w:ascii="宋体" w:hAnsi="宋体" w:eastAsia="宋体" w:cs="宋体"/>
          <w:color w:val="auto"/>
          <w:sz w:val="21"/>
          <w:szCs w:val="21"/>
          <w:highlight w:val="none"/>
        </w:rPr>
        <w:t>详见供应商须知前附表。本</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最高磋商限价详见供应商须知前附表</w:t>
      </w:r>
      <w:r>
        <w:rPr>
          <w:rFonts w:hint="eastAsia" w:ascii="宋体" w:hAnsi="宋体" w:eastAsia="宋体" w:cs="宋体"/>
          <w:b w:val="0"/>
          <w:bCs w:val="0"/>
          <w:color w:val="auto"/>
          <w:spacing w:val="2"/>
          <w:w w:val="100"/>
          <w:sz w:val="21"/>
          <w:szCs w:val="21"/>
          <w:highlight w:val="none"/>
        </w:rPr>
        <w:t>。</w:t>
      </w:r>
    </w:p>
    <w:p w14:paraId="26D03AD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13.2供应商必须就“采购需求”中所竞所有内容作完整唯一报价，否则，其响应文件无效。响应文件只允许有一个报价，有选择的或有条件的报价将不予接受。</w:t>
      </w:r>
    </w:p>
    <w:p w14:paraId="28AE06E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13.3 </w:t>
      </w:r>
      <w:r>
        <w:rPr>
          <w:rFonts w:hint="eastAsia" w:ascii="宋体" w:hAnsi="宋体" w:eastAsia="宋体" w:cs="宋体"/>
          <w:color w:val="auto"/>
          <w:highlight w:val="none"/>
        </w:rPr>
        <w:t>磋商报价应包括本次采购范围内组织协调、邀请所有嘉宾、差旅、翻译、设备、人工、培训、运输、保险、利润、各项税金、政策性文件规定及合同包含的所有风险、责任等完成本项目的各项应有费用等全部费用；投标人综合考虑在报价中。</w:t>
      </w:r>
    </w:p>
    <w:p w14:paraId="5F057549">
      <w:pPr>
        <w:tabs>
          <w:tab w:val="left" w:pos="1305"/>
        </w:tabs>
        <w:spacing w:line="380" w:lineRule="exact"/>
        <w:ind w:firstLine="4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13.4供应商应在规定时间内在</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”在线</w:t>
      </w:r>
      <w:r>
        <w:rPr>
          <w:rFonts w:hint="eastAsia" w:ascii="宋体" w:hAnsi="宋体" w:eastAsia="宋体" w:cs="宋体"/>
          <w:color w:val="auto"/>
          <w:szCs w:val="21"/>
          <w:highlight w:val="none"/>
        </w:rPr>
        <w:t>提交最后报价，</w:t>
      </w:r>
      <w:r>
        <w:rPr>
          <w:rFonts w:hint="eastAsia" w:ascii="宋体" w:hAnsi="宋体" w:eastAsia="宋体" w:cs="宋体"/>
          <w:color w:val="auto"/>
          <w:kern w:val="0"/>
          <w:sz w:val="21"/>
          <w:szCs w:val="21"/>
          <w:highlight w:val="none"/>
        </w:rPr>
        <w:t>其最后报价不得超出</w:t>
      </w:r>
      <w:r>
        <w:rPr>
          <w:rFonts w:hint="eastAsia" w:ascii="宋体" w:hAnsi="宋体" w:cs="宋体"/>
          <w:color w:val="auto"/>
          <w:kern w:val="0"/>
          <w:sz w:val="21"/>
          <w:szCs w:val="21"/>
          <w:highlight w:val="none"/>
          <w:lang w:val="en-US" w:eastAsia="zh-CN"/>
        </w:rPr>
        <w:t>最高限价</w:t>
      </w:r>
      <w:r>
        <w:rPr>
          <w:rFonts w:hint="eastAsia" w:ascii="宋体" w:hAnsi="宋体" w:eastAsia="宋体" w:cs="宋体"/>
          <w:color w:val="auto"/>
          <w:kern w:val="0"/>
          <w:sz w:val="21"/>
          <w:szCs w:val="21"/>
          <w:highlight w:val="none"/>
        </w:rPr>
        <w:t>；磋商过程中磋商文件未作实质性变动的，</w:t>
      </w:r>
      <w:r>
        <w:rPr>
          <w:rFonts w:hint="eastAsia" w:ascii="宋体" w:hAnsi="宋体" w:eastAsia="宋体" w:cs="宋体"/>
          <w:b/>
          <w:color w:val="auto"/>
          <w:kern w:val="0"/>
          <w:sz w:val="21"/>
          <w:szCs w:val="21"/>
          <w:highlight w:val="none"/>
        </w:rPr>
        <w:t>最后报价不得超过首次报价。</w:t>
      </w:r>
    </w:p>
    <w:p w14:paraId="55A4CECA">
      <w:pPr>
        <w:pStyle w:val="5"/>
        <w:spacing w:before="0" w:after="0" w:line="400" w:lineRule="exact"/>
        <w:ind w:firstLine="420" w:firstLineChars="200"/>
        <w:rPr>
          <w:rFonts w:hint="eastAsia" w:ascii="宋体" w:hAnsi="宋体" w:eastAsia="宋体" w:cs="宋体"/>
          <w:color w:val="auto"/>
          <w:sz w:val="21"/>
          <w:szCs w:val="21"/>
          <w:highlight w:val="none"/>
        </w:rPr>
      </w:pPr>
      <w:bookmarkStart w:id="82" w:name="_Toc27015"/>
      <w:bookmarkStart w:id="83" w:name="_Toc26881"/>
      <w:r>
        <w:rPr>
          <w:rFonts w:hint="eastAsia" w:ascii="宋体" w:hAnsi="宋体" w:eastAsia="宋体" w:cs="宋体"/>
          <w:color w:val="auto"/>
          <w:sz w:val="21"/>
          <w:szCs w:val="21"/>
          <w:highlight w:val="none"/>
        </w:rPr>
        <w:t>14. 响应文件有效期</w:t>
      </w:r>
      <w:bookmarkEnd w:id="82"/>
      <w:bookmarkEnd w:id="83"/>
    </w:p>
    <w:p w14:paraId="577321C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7C67E30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出现特殊情况下，需要延长响应文件有效期的，采购代理机构书面通知供应商延长响应文件有效期。供应商同意延长的，但不能修改响应文件。供应商拒绝延长的，其响应文件无效。</w:t>
      </w:r>
    </w:p>
    <w:p w14:paraId="234D63FA">
      <w:pPr>
        <w:pStyle w:val="5"/>
        <w:spacing w:before="0" w:after="0" w:line="400" w:lineRule="exact"/>
        <w:ind w:firstLine="420" w:firstLineChars="200"/>
        <w:rPr>
          <w:rFonts w:hint="eastAsia" w:ascii="宋体" w:hAnsi="宋体" w:eastAsia="宋体" w:cs="宋体"/>
          <w:color w:val="auto"/>
          <w:sz w:val="21"/>
          <w:szCs w:val="21"/>
          <w:highlight w:val="none"/>
        </w:rPr>
      </w:pPr>
      <w:bookmarkStart w:id="84" w:name="_Toc24706"/>
      <w:bookmarkStart w:id="85" w:name="_Toc22602"/>
      <w:r>
        <w:rPr>
          <w:rFonts w:hint="eastAsia" w:ascii="宋体" w:hAnsi="宋体" w:eastAsia="宋体" w:cs="宋体"/>
          <w:color w:val="auto"/>
          <w:sz w:val="21"/>
          <w:szCs w:val="21"/>
          <w:highlight w:val="none"/>
        </w:rPr>
        <w:t>15. 保证金</w:t>
      </w:r>
      <w:bookmarkEnd w:id="84"/>
      <w:bookmarkEnd w:id="85"/>
    </w:p>
    <w:p w14:paraId="2C25C1EF">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119C72C1">
      <w:pPr>
        <w:pStyle w:val="5"/>
        <w:spacing w:before="0" w:after="0" w:line="400" w:lineRule="exact"/>
        <w:ind w:firstLine="420" w:firstLineChars="200"/>
        <w:rPr>
          <w:rFonts w:hint="eastAsia" w:ascii="宋体" w:hAnsi="宋体" w:eastAsia="宋体" w:cs="宋体"/>
          <w:color w:val="auto"/>
          <w:sz w:val="21"/>
          <w:szCs w:val="21"/>
          <w:highlight w:val="none"/>
        </w:rPr>
      </w:pPr>
      <w:bookmarkStart w:id="86" w:name="_Toc387"/>
      <w:bookmarkStart w:id="87" w:name="_Toc8815"/>
      <w:r>
        <w:rPr>
          <w:rFonts w:hint="eastAsia" w:ascii="宋体" w:hAnsi="宋体" w:eastAsia="宋体" w:cs="宋体"/>
          <w:color w:val="auto"/>
          <w:sz w:val="21"/>
          <w:szCs w:val="21"/>
          <w:highlight w:val="none"/>
        </w:rPr>
        <w:t>16. 竞争性磋商响应文件的</w:t>
      </w:r>
      <w:bookmarkEnd w:id="86"/>
      <w:r>
        <w:rPr>
          <w:rFonts w:hint="eastAsia" w:ascii="宋体" w:hAnsi="宋体" w:eastAsia="宋体" w:cs="宋体"/>
          <w:color w:val="auto"/>
          <w:sz w:val="21"/>
          <w:szCs w:val="21"/>
          <w:highlight w:val="none"/>
        </w:rPr>
        <w:t>制作</w:t>
      </w:r>
      <w:bookmarkEnd w:id="87"/>
    </w:p>
    <w:p w14:paraId="1623FA1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16.1磋商供应商制作电子响应文件前，应</w:t>
      </w:r>
      <w:r>
        <w:rPr>
          <w:rFonts w:hint="eastAsia" w:ascii="宋体" w:hAnsi="宋体" w:eastAsia="宋体" w:cs="宋体"/>
          <w:color w:val="auto"/>
          <w:szCs w:val="21"/>
          <w:highlight w:val="none"/>
          <w:lang w:eastAsia="zh-CN"/>
        </w:rPr>
        <w:t>登录</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”进行“申请获取采购文件”操作，否则，有可能导致无法在线编制响应文件并参与投标，其不利后果由投标人自行承担。</w:t>
      </w:r>
    </w:p>
    <w:p w14:paraId="6871761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55DCFF4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16.3供应商法人（负责人）或授权代表持有</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个人CA签章的，应在响应文件中涉及到签字的位置使用个人CA签章，没有办理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个人CA签章的可在响应文件中涉及到签字的位置手写签字后扫描或者拍照做成 PDF 的格式上传即可。</w:t>
      </w:r>
    </w:p>
    <w:p w14:paraId="5641012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磋商响应文件不得涂改，若有修改错漏处，须法定代表人（负责人）或授权委托人签字（或个人CA签章）。磋商响应文件因字迹潦草或表达不清所引起的后果由供应商负责。</w:t>
      </w:r>
    </w:p>
    <w:p w14:paraId="476E3F7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16.5磋商前准备 </w:t>
      </w:r>
    </w:p>
    <w:p w14:paraId="55E4BC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16.5.1本项目实行在线磋商，采用电子磋商响应文件。若供应商参与磋商，自行承担磋商一切费用。 </w:t>
      </w:r>
    </w:p>
    <w:p w14:paraId="1B52EEC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16.5.2各供应商应在截标前应确保成为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正式注册入库供应商，并完成 CA 数字证书申领。因未注册入库、未办理 CA 数字证书等原因造成无法磋商或磋商失败等后果由供应商自行承担。 </w:t>
      </w:r>
    </w:p>
    <w:p w14:paraId="7F0921D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16.5.3供应商将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电子交易客户端下载、安装完成后，可通过账号密码或 CA 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客户服务热线</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进行咨询。</w:t>
      </w:r>
    </w:p>
    <w:p w14:paraId="5E0FAC9E">
      <w:pPr>
        <w:pStyle w:val="5"/>
        <w:spacing w:before="0" w:after="0" w:line="400" w:lineRule="exact"/>
        <w:ind w:firstLine="420" w:firstLineChars="200"/>
        <w:rPr>
          <w:rFonts w:hint="eastAsia" w:ascii="宋体" w:hAnsi="宋体" w:eastAsia="宋体" w:cs="宋体"/>
          <w:color w:val="auto"/>
          <w:sz w:val="21"/>
          <w:szCs w:val="21"/>
          <w:highlight w:val="none"/>
        </w:rPr>
      </w:pPr>
      <w:bookmarkStart w:id="88" w:name="_Toc8570"/>
      <w:r>
        <w:rPr>
          <w:rFonts w:hint="eastAsia" w:ascii="宋体" w:hAnsi="宋体" w:eastAsia="宋体" w:cs="宋体"/>
          <w:color w:val="auto"/>
          <w:sz w:val="21"/>
          <w:szCs w:val="21"/>
          <w:highlight w:val="none"/>
        </w:rPr>
        <w:t>17. 响应文件的修改和撤回</w:t>
      </w:r>
      <w:bookmarkEnd w:id="88"/>
    </w:p>
    <w:p w14:paraId="1E23E2C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71E5F2C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5529BAA3">
      <w:pPr>
        <w:pStyle w:val="5"/>
        <w:spacing w:before="0" w:after="0" w:line="400" w:lineRule="exact"/>
        <w:ind w:firstLine="420" w:firstLineChars="200"/>
        <w:rPr>
          <w:rFonts w:hint="eastAsia" w:ascii="宋体" w:hAnsi="宋体" w:eastAsia="宋体" w:cs="宋体"/>
          <w:color w:val="auto"/>
          <w:sz w:val="21"/>
          <w:szCs w:val="21"/>
          <w:highlight w:val="none"/>
        </w:rPr>
      </w:pPr>
      <w:bookmarkStart w:id="89" w:name="_Toc30156"/>
      <w:bookmarkStart w:id="90" w:name="_Toc27030"/>
      <w:r>
        <w:rPr>
          <w:rFonts w:hint="eastAsia" w:ascii="宋体" w:hAnsi="宋体" w:eastAsia="宋体" w:cs="宋体"/>
          <w:color w:val="auto"/>
          <w:sz w:val="21"/>
          <w:szCs w:val="21"/>
          <w:highlight w:val="none"/>
        </w:rPr>
        <w:t>18. 响应文件的递交和解密</w:t>
      </w:r>
      <w:bookmarkEnd w:id="89"/>
      <w:bookmarkEnd w:id="90"/>
    </w:p>
    <w:p w14:paraId="514F071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18.1响应文件递交截止时间：于</w:t>
      </w:r>
      <w:r>
        <w:rPr>
          <w:rFonts w:hint="eastAsia" w:ascii="宋体" w:hAnsi="宋体" w:cs="宋体"/>
          <w:color w:val="auto"/>
          <w:szCs w:val="21"/>
          <w:highlight w:val="none"/>
          <w:u w:val="single"/>
          <w:lang w:eastAsia="zh-CN"/>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lang w:eastAsia="zh-CN"/>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eastAsia="zh-CN"/>
        </w:rPr>
        <w:t>日</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u w:val="single"/>
        </w:rPr>
        <w:t>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的要求编制、加密传输磋商响应文件。供应商在使用系统进行投标的过程中遇到涉及平台使用的任何问题，可致电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749775A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18.2磋商响应文件解密时间：截标时间后</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分钟内磋商供应商可以登录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【在接到无法解密或解密失败的通知后，磋商供应商可根据自身实际情况按通知时要求的时间到桂林市公共资源交易中心</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lang w:eastAsia="zh-CN"/>
        </w:rPr>
        <w:t>号开标仓</w:t>
      </w:r>
      <w:r>
        <w:rPr>
          <w:rFonts w:hint="eastAsia" w:ascii="宋体" w:hAnsi="宋体" w:eastAsia="宋体" w:cs="宋体"/>
          <w:b/>
          <w:bCs/>
          <w:color w:val="auto"/>
          <w:szCs w:val="21"/>
          <w:highlight w:val="none"/>
        </w:rPr>
        <w:t>现场提交或以电子邮件的形式（以通知时所告知的电子邮箱地址为准）提交电子备份磋商响应文件】</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3A4C189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6F7AA9F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 电子响应文件的相关说明</w:t>
      </w:r>
    </w:p>
    <w:p w14:paraId="04C39B5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14C35912">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793417AE">
      <w:pPr>
        <w:pStyle w:val="4"/>
        <w:spacing w:line="400" w:lineRule="exact"/>
        <w:ind w:left="0"/>
        <w:jc w:val="center"/>
        <w:rPr>
          <w:rFonts w:hint="eastAsia" w:ascii="宋体" w:hAnsi="宋体" w:eastAsia="宋体" w:cs="宋体"/>
          <w:b/>
          <w:bCs w:val="0"/>
          <w:color w:val="auto"/>
          <w:szCs w:val="28"/>
          <w:highlight w:val="none"/>
        </w:rPr>
      </w:pPr>
      <w:bookmarkStart w:id="91" w:name="_Toc18044"/>
      <w:bookmarkStart w:id="92" w:name="_Toc2433"/>
      <w:r>
        <w:rPr>
          <w:rFonts w:hint="eastAsia" w:ascii="宋体" w:hAnsi="宋体" w:eastAsia="宋体" w:cs="宋体"/>
          <w:b/>
          <w:bCs w:val="0"/>
          <w:color w:val="auto"/>
          <w:szCs w:val="28"/>
          <w:highlight w:val="none"/>
        </w:rPr>
        <w:t>四、竞争性磋商（简称磋商）与评审</w:t>
      </w:r>
      <w:bookmarkEnd w:id="91"/>
      <w:bookmarkEnd w:id="92"/>
    </w:p>
    <w:p w14:paraId="56E1D43D">
      <w:pPr>
        <w:pStyle w:val="5"/>
        <w:spacing w:before="0" w:after="0" w:line="400" w:lineRule="exact"/>
        <w:ind w:firstLine="420" w:firstLineChars="200"/>
        <w:rPr>
          <w:rFonts w:hint="eastAsia" w:ascii="宋体" w:hAnsi="宋体" w:eastAsia="宋体" w:cs="宋体"/>
          <w:color w:val="auto"/>
          <w:sz w:val="21"/>
          <w:szCs w:val="21"/>
          <w:highlight w:val="none"/>
        </w:rPr>
      </w:pPr>
      <w:bookmarkStart w:id="93" w:name="_Toc16714"/>
      <w:bookmarkStart w:id="94" w:name="_Toc31588"/>
      <w:r>
        <w:rPr>
          <w:rFonts w:hint="eastAsia" w:ascii="宋体" w:hAnsi="宋体" w:eastAsia="宋体" w:cs="宋体"/>
          <w:color w:val="auto"/>
          <w:sz w:val="21"/>
          <w:szCs w:val="21"/>
          <w:highlight w:val="none"/>
        </w:rPr>
        <w:t>19. 磋商小组组成及磋商时间、地点、人员</w:t>
      </w:r>
      <w:bookmarkEnd w:id="93"/>
      <w:bookmarkEnd w:id="94"/>
    </w:p>
    <w:p w14:paraId="584862E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 磋商小组组成：</w:t>
      </w:r>
    </w:p>
    <w:p w14:paraId="2B0E818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人， 专家</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人。</w:t>
      </w:r>
    </w:p>
    <w:p w14:paraId="02C7125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 磋商时间、地点、人员：</w:t>
      </w:r>
    </w:p>
    <w:p w14:paraId="1A2DB1CF">
      <w:pPr>
        <w:spacing w:line="400" w:lineRule="exact"/>
        <w:ind w:firstLine="420" w:firstLineChars="200"/>
        <w:rPr>
          <w:rFonts w:hint="eastAsia" w:ascii="宋体" w:hAnsi="宋体" w:eastAsia="宋体" w:cs="宋体"/>
          <w:color w:val="auto"/>
          <w:szCs w:val="21"/>
          <w:highlight w:val="none"/>
        </w:rPr>
      </w:pPr>
      <w:bookmarkStart w:id="95" w:name="_Toc9878"/>
      <w:r>
        <w:rPr>
          <w:rFonts w:hint="eastAsia" w:ascii="宋体" w:hAnsi="宋体" w:eastAsia="宋体" w:cs="宋体"/>
          <w:color w:val="auto"/>
          <w:szCs w:val="21"/>
          <w:highlight w:val="none"/>
        </w:rPr>
        <w:t>19.2.1磋商时间：响应文件递交截止时间后。</w:t>
      </w:r>
      <w:bookmarkEnd w:id="95"/>
    </w:p>
    <w:p w14:paraId="6C64DB5A">
      <w:pPr>
        <w:spacing w:line="400" w:lineRule="exact"/>
        <w:ind w:firstLine="420" w:firstLineChars="200"/>
        <w:rPr>
          <w:rFonts w:hint="eastAsia" w:ascii="宋体" w:hAnsi="宋体" w:eastAsia="宋体" w:cs="宋体"/>
          <w:color w:val="auto"/>
          <w:szCs w:val="21"/>
          <w:highlight w:val="none"/>
        </w:rPr>
      </w:pPr>
      <w:bookmarkStart w:id="96" w:name="_Toc29268"/>
      <w:r>
        <w:rPr>
          <w:rFonts w:hint="eastAsia" w:ascii="宋体" w:hAnsi="宋体" w:eastAsia="宋体" w:cs="宋体"/>
          <w:color w:val="auto"/>
          <w:szCs w:val="21"/>
          <w:highlight w:val="none"/>
        </w:rPr>
        <w:t>19.2.2磋商地点：</w:t>
      </w:r>
      <w:bookmarkEnd w:id="96"/>
      <w:r>
        <w:rPr>
          <w:rFonts w:hint="eastAsia" w:ascii="宋体" w:hAnsi="宋体" w:eastAsia="宋体" w:cs="宋体"/>
          <w:color w:val="auto"/>
          <w:szCs w:val="21"/>
          <w:highlight w:val="none"/>
        </w:rPr>
        <w:t>本项目需要磋商供应商代表在截标当天截标后，按磋商小组要求及时</w:t>
      </w:r>
      <w:r>
        <w:rPr>
          <w:rFonts w:hint="eastAsia" w:ascii="宋体" w:hAnsi="宋体" w:eastAsia="宋体" w:cs="宋体"/>
          <w:color w:val="auto"/>
          <w:szCs w:val="21"/>
          <w:highlight w:val="none"/>
          <w:lang w:eastAsia="zh-CN"/>
        </w:rPr>
        <w:t>登录</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等候在线磋商。</w:t>
      </w:r>
    </w:p>
    <w:p w14:paraId="427EB18D">
      <w:pPr>
        <w:spacing w:line="400" w:lineRule="exact"/>
        <w:ind w:firstLine="420" w:firstLineChars="200"/>
        <w:rPr>
          <w:rFonts w:hint="eastAsia" w:ascii="宋体" w:hAnsi="宋体" w:eastAsia="宋体" w:cs="宋体"/>
          <w:bCs/>
          <w:color w:val="auto"/>
          <w:szCs w:val="21"/>
          <w:highlight w:val="none"/>
        </w:rPr>
      </w:pPr>
      <w:bookmarkStart w:id="97" w:name="_Toc21307"/>
      <w:r>
        <w:rPr>
          <w:rFonts w:hint="eastAsia" w:ascii="宋体" w:hAnsi="宋体" w:eastAsia="宋体" w:cs="宋体"/>
          <w:color w:val="auto"/>
          <w:szCs w:val="21"/>
          <w:highlight w:val="none"/>
        </w:rPr>
        <w:t>19</w:t>
      </w:r>
      <w:r>
        <w:rPr>
          <w:rFonts w:hint="eastAsia" w:ascii="宋体" w:hAnsi="宋体" w:eastAsia="宋体" w:cs="宋体"/>
          <w:bCs/>
          <w:color w:val="auto"/>
          <w:szCs w:val="21"/>
          <w:highlight w:val="none"/>
        </w:rPr>
        <w:t>.2.3磋商参加人员：供应商法定代表人、负责人、自然人或相应的委托代理人持</w:t>
      </w:r>
      <w:r>
        <w:rPr>
          <w:rFonts w:hint="eastAsia" w:ascii="宋体" w:hAnsi="宋体" w:eastAsia="宋体" w:cs="宋体"/>
          <w:bCs/>
          <w:color w:val="auto"/>
          <w:szCs w:val="21"/>
          <w:highlight w:val="none"/>
          <w:u w:val="single"/>
        </w:rPr>
        <w:t>有效身份证原件</w:t>
      </w:r>
      <w:r>
        <w:rPr>
          <w:rFonts w:hint="eastAsia" w:ascii="宋体" w:hAnsi="宋体" w:eastAsia="宋体" w:cs="宋体"/>
          <w:bCs/>
          <w:color w:val="auto"/>
          <w:szCs w:val="21"/>
          <w:highlight w:val="none"/>
        </w:rPr>
        <w:t>和供应商</w:t>
      </w:r>
      <w:r>
        <w:rPr>
          <w:rFonts w:hint="eastAsia" w:ascii="宋体" w:hAnsi="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CA数字证书</w:t>
      </w:r>
      <w:r>
        <w:rPr>
          <w:rFonts w:hint="eastAsia" w:ascii="宋体" w:hAnsi="宋体" w:eastAsia="宋体" w:cs="宋体"/>
          <w:bCs/>
          <w:color w:val="auto"/>
          <w:szCs w:val="21"/>
          <w:highlight w:val="none"/>
        </w:rPr>
        <w:t>参加磋商。请供应商按时到达指定地点等候磋商。</w:t>
      </w:r>
      <w:bookmarkEnd w:id="97"/>
    </w:p>
    <w:p w14:paraId="22492E41">
      <w:pPr>
        <w:spacing w:line="400" w:lineRule="exact"/>
        <w:ind w:firstLine="420" w:firstLineChars="200"/>
        <w:rPr>
          <w:rFonts w:hint="eastAsia" w:ascii="宋体" w:hAnsi="宋体" w:eastAsia="宋体" w:cs="宋体"/>
          <w:bCs/>
          <w:color w:val="auto"/>
          <w:szCs w:val="21"/>
          <w:highlight w:val="none"/>
        </w:rPr>
      </w:pPr>
      <w:bookmarkStart w:id="98" w:name="_Toc6288"/>
      <w:r>
        <w:rPr>
          <w:rFonts w:hint="eastAsia" w:ascii="宋体" w:hAnsi="宋体" w:eastAsia="宋体" w:cs="宋体"/>
          <w:bCs/>
          <w:color w:val="auto"/>
          <w:szCs w:val="21"/>
          <w:highlight w:val="none"/>
        </w:rPr>
        <w:t>19.2.4响应文件递交截止时间后，由磋商小组在评标室内线上开启响应文件。</w:t>
      </w:r>
      <w:bookmarkEnd w:id="98"/>
    </w:p>
    <w:p w14:paraId="362BCDEE">
      <w:pPr>
        <w:pStyle w:val="5"/>
        <w:spacing w:before="0" w:after="0" w:line="400" w:lineRule="exact"/>
        <w:ind w:firstLine="420" w:firstLineChars="200"/>
        <w:rPr>
          <w:rFonts w:hint="eastAsia" w:ascii="宋体" w:hAnsi="宋体" w:eastAsia="宋体" w:cs="宋体"/>
          <w:color w:val="auto"/>
          <w:sz w:val="21"/>
          <w:szCs w:val="21"/>
          <w:highlight w:val="none"/>
        </w:rPr>
      </w:pPr>
      <w:bookmarkStart w:id="99" w:name="_Toc18640"/>
      <w:bookmarkStart w:id="100" w:name="_Toc25258"/>
      <w:r>
        <w:rPr>
          <w:rFonts w:hint="eastAsia" w:ascii="宋体" w:hAnsi="宋体" w:eastAsia="宋体" w:cs="宋体"/>
          <w:color w:val="auto"/>
          <w:sz w:val="21"/>
          <w:szCs w:val="21"/>
          <w:highlight w:val="none"/>
        </w:rPr>
        <w:t>20. 评审原则</w:t>
      </w:r>
      <w:bookmarkEnd w:id="99"/>
      <w:bookmarkEnd w:id="100"/>
    </w:p>
    <w:p w14:paraId="35152D3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 磋商小组必须坚持公平、公正、科学和择优的原则。</w:t>
      </w:r>
    </w:p>
    <w:p w14:paraId="23D3B4A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评审办法：综合评分法，具体详见第四章评审办法。</w:t>
      </w:r>
    </w:p>
    <w:p w14:paraId="2955B0F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磋商小组应按磋商文件进行评审，不得擅自更改评审办法。</w:t>
      </w:r>
    </w:p>
    <w:p w14:paraId="37C9C30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在评审过程中，磋商小组任何人不得对某个供应商发表任何倾向性意见，不得向其他磋商小组成员明示或者暗示自己的评审意见。</w:t>
      </w:r>
    </w:p>
    <w:p w14:paraId="61FBC0F6">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0E6203F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 响应文件最后报价出现前后不一致的，除竞争性磋商文件另有规定外，按照下列规定修正：</w:t>
      </w:r>
    </w:p>
    <w:p w14:paraId="56927F60">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highlight w:val="none"/>
        </w:rPr>
        <w:t>响应文件中磋商报价表内容与响应文件中相应内容不一致的，以最后磋商报价表为准；</w:t>
      </w:r>
    </w:p>
    <w:p w14:paraId="08C9C6DB">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 xml:space="preserve"> 大写金额和小写金额不一致的，以大写金额为准；</w:t>
      </w:r>
    </w:p>
    <w:p w14:paraId="034BEFE1">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eastAsia="宋体" w:cs="宋体"/>
          <w:color w:val="auto"/>
          <w:highlight w:val="none"/>
        </w:rPr>
        <w:t xml:space="preserve"> 单价金额小数点或者百分比有明显错位的，以报价表的总价为准，并修改单价；</w:t>
      </w:r>
    </w:p>
    <w:p w14:paraId="41123A69">
      <w:pPr>
        <w:pStyle w:val="58"/>
        <w:keepNext w:val="0"/>
        <w:keepLines w:val="0"/>
        <w:pageBreakBefore w:val="0"/>
        <w:widowControl w:val="0"/>
        <w:tabs>
          <w:tab w:val="left" w:pos="1099"/>
        </w:tabs>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(4) </w:t>
      </w:r>
      <w:r>
        <w:rPr>
          <w:rFonts w:hint="eastAsia" w:ascii="宋体" w:hAnsi="宋体" w:eastAsia="宋体" w:cs="宋体"/>
          <w:color w:val="auto"/>
          <w:highlight w:val="none"/>
        </w:rPr>
        <w:t>总价金额与按单价汇总金额不一致的，以单价金额计算结果为准。</w:t>
      </w:r>
    </w:p>
    <w:p w14:paraId="1EC2D34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327BE7D7">
      <w:pPr>
        <w:pStyle w:val="5"/>
        <w:spacing w:before="0" w:after="0" w:line="400" w:lineRule="exact"/>
        <w:ind w:firstLine="420" w:firstLineChars="200"/>
        <w:rPr>
          <w:rFonts w:hint="eastAsia" w:ascii="宋体" w:hAnsi="宋体" w:eastAsia="宋体" w:cs="宋体"/>
          <w:color w:val="auto"/>
          <w:sz w:val="21"/>
          <w:szCs w:val="21"/>
          <w:highlight w:val="none"/>
        </w:rPr>
      </w:pPr>
      <w:bookmarkStart w:id="101" w:name="_Toc27193"/>
      <w:bookmarkStart w:id="102" w:name="_Toc1312"/>
      <w:r>
        <w:rPr>
          <w:rFonts w:hint="eastAsia" w:ascii="宋体" w:hAnsi="宋体" w:eastAsia="宋体" w:cs="宋体"/>
          <w:color w:val="auto"/>
          <w:sz w:val="21"/>
          <w:szCs w:val="21"/>
          <w:highlight w:val="none"/>
        </w:rPr>
        <w:t>21. 评审程序及磋商要求</w:t>
      </w:r>
      <w:bookmarkEnd w:id="101"/>
      <w:bookmarkEnd w:id="102"/>
    </w:p>
    <w:p w14:paraId="391D1F5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21.1采购代理机构核实磋商小组成员身份，告知回避要求，宣布评审工作纪律和程序，统一保管通讯工具或相关电子设备，推选磋商小组组长。</w:t>
      </w:r>
    </w:p>
    <w:p w14:paraId="1C96901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4F044BD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434CD506">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21.4 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14:paraId="5D44D45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21.4.1 查询渠道：《国家企业信用信息公示系统》（网址：www.gsxt.gov.cn/index.html）</w:t>
      </w:r>
    </w:p>
    <w:p w14:paraId="2F45F5B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21.4.2 审查流程：</w:t>
      </w:r>
    </w:p>
    <w:p w14:paraId="376E9C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（1）进入《国家企业信用信息公示系统》（网址：www.gsxt.gov.cn/index.html），输入企业名称，进入企业信息主页面；</w:t>
      </w:r>
    </w:p>
    <w:p w14:paraId="0CF93F8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（2）查看主页“股东及出资信息”栏，或年报中的“股东及出资信息”栏信息；</w:t>
      </w:r>
    </w:p>
    <w:p w14:paraId="6B3E49C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（3）将各供应商的股东及出资信息进行比对，得出审查结论；</w:t>
      </w:r>
    </w:p>
    <w:p w14:paraId="1D2708E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（4）将相关资料作为评审资料打印存档。</w:t>
      </w:r>
    </w:p>
    <w:p w14:paraId="3DB0D68C">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09985EB2">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21.5 磋商小组如发现供应商提供的证明文件不齐全或不符合规定格式的，应一次性告知供应商，供应商应在规定的时间内线上补正或更正。</w:t>
      </w:r>
    </w:p>
    <w:p w14:paraId="1F2C544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highlight w:val="none"/>
        </w:rPr>
        <w:t>个人CA签章)</w:t>
      </w:r>
      <w:r>
        <w:rPr>
          <w:rFonts w:hint="eastAsia" w:ascii="宋体" w:hAnsi="宋体" w:eastAsia="宋体" w:cs="宋体"/>
          <w:color w:val="auto"/>
          <w:szCs w:val="21"/>
          <w:highlight w:val="none"/>
        </w:rPr>
        <w:t>或者加盖供应商公章(CA签章)。</w:t>
      </w:r>
    </w:p>
    <w:p w14:paraId="477FEE1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根据磋商文件规定的程序、评定成交的标准等事项与实质性响应竞争性磋商文件要求的供应商进行磋商。未实质性响应磋商文件的响应文件按无效处理，磋商小组应当告知有关供应商。 </w:t>
      </w:r>
    </w:p>
    <w:p w14:paraId="04B6C5C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磋商小组所有成员应当按已确定的磋商顺序集中与单一供应商分别进行磋商，并给予所有实质性响应竞争性磋商文件要求的供应商平等的磋商机会。 </w:t>
      </w:r>
    </w:p>
    <w:p w14:paraId="562C6DD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磋商中，磋商小组不得透露与磋商有关的其他供应商的技术资料、价格和其他信息。 </w:t>
      </w:r>
    </w:p>
    <w:p w14:paraId="4F0E01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磋商小组对磋商过程和重要磋商内容进行记录，磋商双方在记录上签字确认。 </w:t>
      </w:r>
    </w:p>
    <w:p w14:paraId="22D017BF">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78B1124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6218149F">
      <w:pPr>
        <w:spacing w:line="40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对磋商文件作出的实质性变动是磋商文件的有效组成部分，磋商小组应当及时通过</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 xml:space="preserve">同时通知所有参加磋商的供应商。 </w:t>
      </w:r>
    </w:p>
    <w:p w14:paraId="145F162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7531917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21.9 第二轮磋商</w:t>
      </w:r>
    </w:p>
    <w:p w14:paraId="6D0A927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磋商小组集中就重新提交的响应文件或磋商小组提出的磋商意见与单一响应供应商分别进行磋商。磋商小组对磋商过程和重要磋商内容进行记录，磋商双方在记录上签字确认（CA签章确认）。</w:t>
      </w:r>
    </w:p>
    <w:p w14:paraId="3AE04E4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磋商后，供应商根据磋商小组统一整理的书面磋商记录要求做出书面承诺，并由其法定代表人或授权代表签字或者加盖公章（CA签章）后按时线上提交。</w:t>
      </w:r>
    </w:p>
    <w:p w14:paraId="2F6B461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4F988BA4">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21.10 在采购过程中符合竞争要求的供应商或者报价未超过采购预算的供应商不足 3 家的，采购人或者采购代理机构应当终止竞争性磋商采购活动。 </w:t>
      </w:r>
    </w:p>
    <w:p w14:paraId="3F996CB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 最后报价 </w:t>
      </w:r>
    </w:p>
    <w:p w14:paraId="0FFBBB6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42D9C88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3E23441A">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 </w:t>
      </w:r>
    </w:p>
    <w:p w14:paraId="2D0F2B84">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21.11.4</w:t>
      </w:r>
      <w:r>
        <w:rPr>
          <w:rFonts w:hint="eastAsia" w:ascii="宋体" w:hAnsi="宋体" w:cs="宋体"/>
          <w:color w:val="auto"/>
          <w:kern w:val="0"/>
          <w:sz w:val="21"/>
          <w:szCs w:val="21"/>
        </w:rPr>
        <w:t>最后报价是供应商响应文件的有效组成部分。</w:t>
      </w:r>
    </w:p>
    <w:p w14:paraId="4EE213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21.12 已提交响应文件的供应商，在提交最后报价之前，可以根据磋商情况书面退出磋商。 </w:t>
      </w:r>
    </w:p>
    <w:p w14:paraId="2E4003E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未书面退出磋商的供应商在规定时间内线上提交最后报价，其最后报价超出采购预算导致已通过评审的响应文件无效的，按供应商在提交响应文件截止时间后撤回响应文件处理。 </w:t>
      </w:r>
    </w:p>
    <w:p w14:paraId="5402792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21.13 评审报告 </w:t>
      </w:r>
    </w:p>
    <w:p w14:paraId="5F9FC4A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磋商小组应当从质量和服务均能满足磋商文件全部实质性响应要求的供应商中，按照最后综合得分由高到低的顺序提出 3 名以上（含 3 名）成交候选人，并编写评审报告。</w:t>
      </w:r>
    </w:p>
    <w:p w14:paraId="5114984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4F0E138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21.15 采购代理机构发现磋商小组有明显的违规倾向或歧视现象，或不按评审办法进行，或其他不正常行为的，应当及时制止。如制止无效，应及时向</w:t>
      </w:r>
      <w:r>
        <w:rPr>
          <w:rFonts w:hint="eastAsia" w:ascii="宋体" w:hAnsi="宋体" w:cs="宋体"/>
          <w:color w:val="auto"/>
          <w:szCs w:val="21"/>
          <w:highlight w:val="none"/>
          <w:lang w:val="en-US" w:eastAsia="zh-CN"/>
        </w:rPr>
        <w:t xml:space="preserve"> 桂林市财政局</w:t>
      </w:r>
      <w:r>
        <w:rPr>
          <w:rFonts w:hint="eastAsia" w:ascii="宋体" w:hAnsi="宋体" w:eastAsia="宋体" w:cs="宋体"/>
          <w:color w:val="auto"/>
          <w:szCs w:val="21"/>
          <w:highlight w:val="none"/>
        </w:rPr>
        <w:t>报告。</w:t>
      </w:r>
    </w:p>
    <w:p w14:paraId="6E66B644">
      <w:pPr>
        <w:spacing w:line="400" w:lineRule="exact"/>
        <w:ind w:firstLine="420" w:firstLineChars="200"/>
        <w:rPr>
          <w:rFonts w:hint="eastAsia" w:ascii="宋体" w:hAnsi="宋体" w:eastAsia="宋体" w:cs="宋体"/>
          <w:b/>
          <w:bCs/>
          <w:color w:val="auto"/>
          <w:highlight w:val="none"/>
        </w:rPr>
      </w:pPr>
      <w:r>
        <w:rPr>
          <w:rFonts w:hint="eastAsia" w:ascii="宋体" w:hAnsi="宋体" w:eastAsia="宋体" w:cs="宋体"/>
          <w:color w:val="auto"/>
          <w:szCs w:val="21"/>
          <w:highlight w:val="none"/>
        </w:rPr>
        <w:t>21.16 本采购项目的评审依据为竞争性磋商文件和竞争性磋商响应文件，采用的评审方法为</w:t>
      </w:r>
      <w:r>
        <w:rPr>
          <w:rFonts w:hint="eastAsia" w:ascii="宋体" w:hAnsi="宋体" w:eastAsia="宋体" w:cs="宋体"/>
          <w:b/>
          <w:bCs/>
          <w:color w:val="auto"/>
          <w:szCs w:val="21"/>
          <w:highlight w:val="none"/>
        </w:rPr>
        <w:t>综合评分法。</w:t>
      </w:r>
    </w:p>
    <w:p w14:paraId="2A1F0101">
      <w:pPr>
        <w:pStyle w:val="5"/>
        <w:spacing w:before="0" w:after="0" w:line="400" w:lineRule="exact"/>
        <w:ind w:firstLine="420" w:firstLineChars="200"/>
        <w:rPr>
          <w:rFonts w:hint="eastAsia" w:ascii="宋体" w:hAnsi="宋体" w:eastAsia="宋体" w:cs="宋体"/>
          <w:color w:val="auto"/>
          <w:sz w:val="21"/>
          <w:szCs w:val="21"/>
          <w:highlight w:val="none"/>
        </w:rPr>
      </w:pPr>
      <w:bookmarkStart w:id="103" w:name="_Toc26487"/>
      <w:bookmarkStart w:id="104" w:name="_Toc32470"/>
      <w:r>
        <w:rPr>
          <w:rFonts w:hint="eastAsia" w:ascii="宋体" w:hAnsi="宋体" w:eastAsia="宋体" w:cs="宋体"/>
          <w:color w:val="auto"/>
          <w:sz w:val="21"/>
          <w:szCs w:val="21"/>
          <w:highlight w:val="none"/>
        </w:rPr>
        <w:t>22. 确定成交供应商</w:t>
      </w:r>
      <w:bookmarkEnd w:id="103"/>
      <w:bookmarkEnd w:id="104"/>
    </w:p>
    <w:p w14:paraId="39D3624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r>
        <w:rPr>
          <w:b w:val="0"/>
          <w:bCs w:val="0"/>
          <w:color w:val="auto"/>
          <w:spacing w:val="2"/>
          <w:w w:val="100"/>
          <w:highlight w:val="none"/>
        </w:rPr>
        <w:t>；</w:t>
      </w:r>
      <w:r>
        <w:rPr>
          <w:b w:val="0"/>
          <w:bCs w:val="0"/>
          <w:color w:val="auto"/>
          <w:spacing w:val="-1"/>
          <w:w w:val="100"/>
          <w:highlight w:val="none"/>
        </w:rPr>
        <w:t>若</w:t>
      </w:r>
      <w:r>
        <w:rPr>
          <w:b w:val="0"/>
          <w:bCs w:val="0"/>
          <w:color w:val="auto"/>
          <w:spacing w:val="2"/>
          <w:w w:val="100"/>
          <w:highlight w:val="none"/>
        </w:rPr>
        <w:t>仍</w:t>
      </w:r>
      <w:r>
        <w:rPr>
          <w:b w:val="0"/>
          <w:bCs w:val="0"/>
          <w:color w:val="auto"/>
          <w:spacing w:val="-1"/>
          <w:w w:val="100"/>
          <w:highlight w:val="none"/>
        </w:rPr>
        <w:t>相</w:t>
      </w:r>
      <w:r>
        <w:rPr>
          <w:b w:val="0"/>
          <w:bCs w:val="0"/>
          <w:color w:val="auto"/>
          <w:spacing w:val="2"/>
          <w:w w:val="100"/>
          <w:highlight w:val="none"/>
        </w:rPr>
        <w:t>同</w:t>
      </w:r>
      <w:r>
        <w:rPr>
          <w:b w:val="0"/>
          <w:bCs w:val="0"/>
          <w:color w:val="auto"/>
          <w:spacing w:val="-1"/>
          <w:w w:val="100"/>
          <w:highlight w:val="none"/>
        </w:rPr>
        <w:t>的</w:t>
      </w:r>
      <w:r>
        <w:rPr>
          <w:b w:val="0"/>
          <w:bCs w:val="0"/>
          <w:color w:val="auto"/>
          <w:spacing w:val="2"/>
          <w:w w:val="100"/>
          <w:highlight w:val="none"/>
        </w:rPr>
        <w:t>，</w:t>
      </w:r>
      <w:r>
        <w:rPr>
          <w:b w:val="0"/>
          <w:bCs w:val="0"/>
          <w:color w:val="auto"/>
          <w:spacing w:val="-1"/>
          <w:w w:val="100"/>
          <w:highlight w:val="none"/>
        </w:rPr>
        <w:t>以</w:t>
      </w:r>
      <w:r>
        <w:rPr>
          <w:b w:val="0"/>
          <w:bCs w:val="0"/>
          <w:color w:val="auto"/>
          <w:spacing w:val="2"/>
          <w:w w:val="100"/>
          <w:highlight w:val="none"/>
        </w:rPr>
        <w:t>项</w:t>
      </w:r>
      <w:r>
        <w:rPr>
          <w:b w:val="0"/>
          <w:bCs w:val="0"/>
          <w:color w:val="auto"/>
          <w:spacing w:val="-1"/>
          <w:w w:val="100"/>
          <w:highlight w:val="none"/>
        </w:rPr>
        <w:t>目</w:t>
      </w:r>
      <w:r>
        <w:rPr>
          <w:rFonts w:hint="eastAsia"/>
          <w:b w:val="0"/>
          <w:bCs w:val="0"/>
          <w:color w:val="auto"/>
          <w:spacing w:val="-1"/>
          <w:w w:val="100"/>
          <w:highlight w:val="none"/>
          <w:lang w:eastAsia="zh-CN"/>
        </w:rPr>
        <w:t>实施及服务</w:t>
      </w:r>
      <w:r>
        <w:rPr>
          <w:b w:val="0"/>
          <w:bCs w:val="0"/>
          <w:color w:val="auto"/>
          <w:spacing w:val="2"/>
          <w:w w:val="100"/>
          <w:highlight w:val="none"/>
        </w:rPr>
        <w:t>方</w:t>
      </w:r>
      <w:r>
        <w:rPr>
          <w:b w:val="0"/>
          <w:bCs w:val="0"/>
          <w:color w:val="auto"/>
          <w:spacing w:val="-1"/>
          <w:w w:val="100"/>
          <w:highlight w:val="none"/>
        </w:rPr>
        <w:t>案</w:t>
      </w:r>
      <w:r>
        <w:rPr>
          <w:b w:val="0"/>
          <w:bCs w:val="0"/>
          <w:color w:val="auto"/>
          <w:spacing w:val="2"/>
          <w:w w:val="100"/>
          <w:highlight w:val="none"/>
        </w:rPr>
        <w:t>分</w:t>
      </w:r>
      <w:r>
        <w:rPr>
          <w:b w:val="0"/>
          <w:bCs w:val="0"/>
          <w:color w:val="auto"/>
          <w:spacing w:val="-1"/>
          <w:w w:val="100"/>
          <w:highlight w:val="none"/>
        </w:rPr>
        <w:t>由</w:t>
      </w:r>
      <w:r>
        <w:rPr>
          <w:rFonts w:hint="eastAsia"/>
          <w:b w:val="0"/>
          <w:bCs w:val="0"/>
          <w:color w:val="auto"/>
          <w:spacing w:val="-1"/>
          <w:w w:val="100"/>
          <w:highlight w:val="none"/>
          <w:lang w:eastAsia="zh-CN"/>
        </w:rPr>
        <w:t>高</w:t>
      </w:r>
      <w:r>
        <w:rPr>
          <w:b w:val="0"/>
          <w:bCs w:val="0"/>
          <w:color w:val="auto"/>
          <w:spacing w:val="-1"/>
          <w:w w:val="100"/>
          <w:highlight w:val="none"/>
        </w:rPr>
        <w:t>到</w:t>
      </w:r>
      <w:r>
        <w:rPr>
          <w:rFonts w:hint="eastAsia"/>
          <w:b w:val="0"/>
          <w:bCs w:val="0"/>
          <w:color w:val="auto"/>
          <w:spacing w:val="-1"/>
          <w:w w:val="100"/>
          <w:highlight w:val="none"/>
          <w:lang w:eastAsia="zh-CN"/>
        </w:rPr>
        <w:t>低</w:t>
      </w:r>
      <w:r>
        <w:rPr>
          <w:b w:val="0"/>
          <w:bCs w:val="0"/>
          <w:color w:val="auto"/>
          <w:spacing w:val="-1"/>
          <w:w w:val="100"/>
          <w:highlight w:val="none"/>
        </w:rPr>
        <w:t>顺</w:t>
      </w:r>
      <w:r>
        <w:rPr>
          <w:b w:val="0"/>
          <w:bCs w:val="0"/>
          <w:color w:val="auto"/>
          <w:spacing w:val="2"/>
          <w:w w:val="100"/>
          <w:highlight w:val="none"/>
        </w:rPr>
        <w:t>序</w:t>
      </w:r>
      <w:r>
        <w:rPr>
          <w:b w:val="0"/>
          <w:bCs w:val="0"/>
          <w:color w:val="auto"/>
          <w:spacing w:val="-1"/>
          <w:w w:val="100"/>
          <w:highlight w:val="none"/>
        </w:rPr>
        <w:t>排</w:t>
      </w:r>
      <w:r>
        <w:rPr>
          <w:b w:val="0"/>
          <w:bCs w:val="0"/>
          <w:color w:val="auto"/>
          <w:spacing w:val="2"/>
          <w:w w:val="100"/>
          <w:highlight w:val="none"/>
        </w:rPr>
        <w:t>列</w:t>
      </w:r>
      <w:r>
        <w:rPr>
          <w:b w:val="0"/>
          <w:bCs w:val="0"/>
          <w:color w:val="auto"/>
          <w:spacing w:val="0"/>
          <w:w w:val="100"/>
          <w:highlight w:val="none"/>
        </w:rPr>
        <w:t>。</w:t>
      </w:r>
    </w:p>
    <w:p w14:paraId="1AC6083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22.2采购单位应当确定磋商小组推荐排名第一的成交候选人为成交供应商。</w:t>
      </w:r>
    </w:p>
    <w:p w14:paraId="49369B6C">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排名第一的成交候选人放弃成交、因不可抗力提出不能履行合同，或信用信息记录不符合相关规定的，或者磋商文件规定应当提交履约保证金而在规定的期限内未能提交的，采购单位可以确定排名第二的成交候选人为成交供应商。</w:t>
      </w:r>
    </w:p>
    <w:p w14:paraId="4B99FEB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22.4排名第二的成交候选人因前款规定的同样原因不能签订合同的，采购单位可以确定排名第三的成交候选人为成交供应商。</w:t>
      </w:r>
    </w:p>
    <w:p w14:paraId="05440F71">
      <w:pPr>
        <w:pStyle w:val="5"/>
        <w:spacing w:before="0" w:after="0" w:line="400" w:lineRule="exact"/>
        <w:ind w:firstLine="420" w:firstLineChars="200"/>
        <w:rPr>
          <w:rFonts w:hint="eastAsia" w:ascii="宋体" w:hAnsi="宋体" w:eastAsia="宋体" w:cs="宋体"/>
          <w:color w:val="auto"/>
          <w:sz w:val="21"/>
          <w:szCs w:val="21"/>
          <w:highlight w:val="none"/>
        </w:rPr>
      </w:pPr>
      <w:bookmarkStart w:id="105" w:name="_Toc21715"/>
      <w:bookmarkStart w:id="106" w:name="_Toc2766"/>
      <w:r>
        <w:rPr>
          <w:rFonts w:hint="eastAsia" w:ascii="宋体" w:hAnsi="宋体" w:eastAsia="宋体" w:cs="宋体"/>
          <w:color w:val="auto"/>
          <w:sz w:val="21"/>
          <w:szCs w:val="21"/>
          <w:highlight w:val="none"/>
        </w:rPr>
        <w:t>23. 属于下列情况之一者，响应文件无效</w:t>
      </w:r>
      <w:bookmarkEnd w:id="105"/>
      <w:bookmarkEnd w:id="106"/>
    </w:p>
    <w:p w14:paraId="28DB0C1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（1）未按磋商文件规定完整线上提交响应文件或未按规定要求线上签字、签章的；</w:t>
      </w:r>
    </w:p>
    <w:p w14:paraId="74F5444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（2）不具备磋商文件规定的资格要求的；</w:t>
      </w:r>
    </w:p>
    <w:p w14:paraId="5332349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（3）响应文件未按磋商文件的内容和要求编制，或提供虚假材料的；</w:t>
      </w:r>
    </w:p>
    <w:p w14:paraId="22C0732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（4）响应文件有效期、交货时间、免费保修期（升级、维护）期/维护期、售后服务不能满足磋商文件要求的；</w:t>
      </w:r>
    </w:p>
    <w:p w14:paraId="1F7EFE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（5）供应商未就“采购需求”中的所有内容作完整唯一报价的，或报价超出采购预算总金额的；</w:t>
      </w:r>
    </w:p>
    <w:p w14:paraId="5A73B6B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（6）未在磋商小组规定的时间内提交响应文件(包括最后报价)的；</w:t>
      </w:r>
    </w:p>
    <w:p w14:paraId="6B4638E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（7）超越了按照法律法规规定必须获得行政许可或者行政审批的经营范围的；</w:t>
      </w:r>
    </w:p>
    <w:p w14:paraId="084FC3D0">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（8）未满足磋商文件实质性要求的或者响应文件有采购人不能接受的附加条件的；</w:t>
      </w:r>
    </w:p>
    <w:p w14:paraId="55CB32F1">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（9）响应文件实质性要求未做变动，供应商最后报价高于第一次报价的；</w:t>
      </w:r>
    </w:p>
    <w:p w14:paraId="2169D943">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（10）不符合法律、法规和磋商文件规定的其他实质性要求和条件的。</w:t>
      </w:r>
    </w:p>
    <w:p w14:paraId="04DAD933">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供应商有下列情形之一的视为供应商相互串通磋商，响应文件将被视为无效</w:t>
      </w:r>
    </w:p>
    <w:p w14:paraId="5382869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（1）不同供应商的响应文件由同一单位或者个人编制；或不同供应商报名的IP地址一致的；</w:t>
      </w:r>
    </w:p>
    <w:p w14:paraId="69C2701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（2）不同供应商委托同一单位或者个人办理磋商事宜；</w:t>
      </w:r>
    </w:p>
    <w:p w14:paraId="7B22CFB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3540A8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（4）不同供应商的响应文件异常一致或竞标报价呈规律性差异；</w:t>
      </w:r>
    </w:p>
    <w:p w14:paraId="38E34087">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（5）不同供应商的响应文件相互混编；</w:t>
      </w:r>
    </w:p>
    <w:p w14:paraId="4FF9FB6C">
      <w:pPr>
        <w:pStyle w:val="5"/>
        <w:spacing w:before="0" w:after="0" w:line="400" w:lineRule="exact"/>
        <w:ind w:firstLine="420" w:firstLineChars="200"/>
        <w:rPr>
          <w:rFonts w:hint="eastAsia" w:ascii="宋体" w:hAnsi="宋体" w:eastAsia="宋体" w:cs="宋体"/>
          <w:color w:val="auto"/>
          <w:sz w:val="21"/>
          <w:szCs w:val="21"/>
          <w:highlight w:val="none"/>
        </w:rPr>
      </w:pPr>
      <w:bookmarkStart w:id="107" w:name="_Toc20770"/>
      <w:bookmarkStart w:id="108"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07"/>
      <w:bookmarkEnd w:id="108"/>
    </w:p>
    <w:p w14:paraId="151343A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14:paraId="692A887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（2）出现影响采购公正的违法、违规行为的； </w:t>
      </w:r>
    </w:p>
    <w:p w14:paraId="0DB1F0DA">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（3）在采购过程中符合竞争要求的供应商或者报价未超过采购预算的供应商不足3家的。</w:t>
      </w:r>
      <w:r>
        <w:rPr>
          <w:rFonts w:hint="eastAsia" w:ascii="宋体" w:hAnsi="宋体" w:eastAsia="宋体" w:cs="宋体"/>
          <w:b/>
          <w:bCs/>
          <w:color w:val="auto"/>
          <w:szCs w:val="21"/>
          <w:highlight w:val="none"/>
        </w:rPr>
        <w:t xml:space="preserve">（除财库〔2014〕214 号《政府采购竞争性磋商采购方式管理暂行办法》第二十一条第三款规定的情形外） </w:t>
      </w:r>
    </w:p>
    <w:p w14:paraId="269D1285">
      <w:pPr>
        <w:pStyle w:val="5"/>
        <w:spacing w:before="0" w:after="0" w:line="400" w:lineRule="exact"/>
        <w:ind w:firstLine="420" w:firstLineChars="200"/>
        <w:rPr>
          <w:rFonts w:hint="eastAsia" w:ascii="宋体" w:hAnsi="宋体" w:eastAsia="宋体" w:cs="宋体"/>
          <w:color w:val="auto"/>
          <w:sz w:val="21"/>
          <w:szCs w:val="21"/>
          <w:highlight w:val="none"/>
        </w:rPr>
      </w:pPr>
      <w:bookmarkStart w:id="109" w:name="_Toc19105"/>
      <w:bookmarkStart w:id="110" w:name="_Toc32461"/>
      <w:r>
        <w:rPr>
          <w:rFonts w:hint="eastAsia" w:ascii="宋体" w:hAnsi="宋体" w:eastAsia="宋体" w:cs="宋体"/>
          <w:color w:val="auto"/>
          <w:sz w:val="21"/>
          <w:szCs w:val="21"/>
          <w:highlight w:val="none"/>
        </w:rPr>
        <w:t>25. 磋商过程的监控</w:t>
      </w:r>
      <w:bookmarkEnd w:id="109"/>
      <w:bookmarkEnd w:id="110"/>
    </w:p>
    <w:p w14:paraId="33775A1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本项目磋商过程实行全程录音、录像监控，供应商在磋商过程中所进行的试图影响磋商结果的不公正活动，可能导致其磋商被拒绝。</w:t>
      </w:r>
    </w:p>
    <w:p w14:paraId="71F51368">
      <w:pPr>
        <w:pStyle w:val="5"/>
        <w:numPr>
          <w:ilvl w:val="0"/>
          <w:numId w:val="8"/>
        </w:numPr>
        <w:spacing w:before="0" w:after="0" w:line="400" w:lineRule="exact"/>
        <w:ind w:firstLine="420" w:firstLineChars="200"/>
        <w:rPr>
          <w:rFonts w:hint="eastAsia" w:ascii="宋体" w:hAnsi="宋体" w:eastAsia="宋体" w:cs="宋体"/>
          <w:color w:val="auto"/>
          <w:sz w:val="21"/>
          <w:szCs w:val="21"/>
          <w:highlight w:val="none"/>
        </w:rPr>
      </w:pPr>
      <w:bookmarkStart w:id="111" w:name="_Toc14787"/>
      <w:bookmarkStart w:id="112" w:name="_Toc32457"/>
      <w:r>
        <w:rPr>
          <w:rFonts w:hint="eastAsia" w:ascii="宋体" w:hAnsi="宋体" w:eastAsia="宋体" w:cs="宋体"/>
          <w:color w:val="auto"/>
          <w:sz w:val="21"/>
          <w:szCs w:val="21"/>
          <w:highlight w:val="none"/>
        </w:rPr>
        <w:t>信用查询</w:t>
      </w:r>
      <w:bookmarkEnd w:id="111"/>
      <w:bookmarkEnd w:id="112"/>
    </w:p>
    <w:p w14:paraId="71D65BE6">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43CEB084">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（1）查询渠道：“信用中国”网站(www.creditchina.gov.cn)、中国政府采购网(www.ccgp.gov.cn)等；</w:t>
      </w:r>
    </w:p>
    <w:p w14:paraId="6A718821">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（2）查询时间：成交通知书发出前；</w:t>
      </w:r>
    </w:p>
    <w:p w14:paraId="6E12D0EB">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（3）信用信息查询记录和证据留存方式：在查询网站中直接打印查询记录，打印材料作为采购活动资料保存。</w:t>
      </w:r>
    </w:p>
    <w:p w14:paraId="16043851">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E5C78F0">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C75E391">
      <w:pPr>
        <w:pStyle w:val="5"/>
        <w:spacing w:before="0" w:after="0" w:line="400" w:lineRule="exact"/>
        <w:ind w:firstLine="420" w:firstLineChars="200"/>
        <w:rPr>
          <w:rFonts w:hint="eastAsia" w:ascii="宋体" w:hAnsi="宋体" w:eastAsia="宋体" w:cs="宋体"/>
          <w:color w:val="auto"/>
          <w:sz w:val="21"/>
          <w:szCs w:val="21"/>
          <w:highlight w:val="none"/>
        </w:rPr>
      </w:pPr>
      <w:bookmarkStart w:id="113" w:name="_Toc9438"/>
      <w:bookmarkStart w:id="114" w:name="_Toc778"/>
      <w:r>
        <w:rPr>
          <w:rFonts w:hint="eastAsia" w:ascii="宋体" w:hAnsi="宋体" w:eastAsia="宋体" w:cs="宋体"/>
          <w:color w:val="auto"/>
          <w:sz w:val="21"/>
          <w:szCs w:val="21"/>
          <w:highlight w:val="none"/>
        </w:rPr>
        <w:t>27. 成交结果公告及成交通知书</w:t>
      </w:r>
      <w:bookmarkEnd w:id="113"/>
      <w:bookmarkEnd w:id="114"/>
    </w:p>
    <w:p w14:paraId="598723C1">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E61401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 在发布成交公告的同时，采购代理机构向成交供应商发出成交通知书。成交供应商自接到通知之日起七个工作日内，办理成交通知书领取手续。</w:t>
      </w:r>
    </w:p>
    <w:p w14:paraId="25D398F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 采购代理机构无义务向未成交的供应商解释未成交原因和退还响应文件。</w:t>
      </w:r>
    </w:p>
    <w:p w14:paraId="76BE8589">
      <w:pPr>
        <w:pStyle w:val="4"/>
        <w:spacing w:line="400" w:lineRule="exact"/>
        <w:ind w:left="0"/>
        <w:jc w:val="center"/>
        <w:rPr>
          <w:rFonts w:hint="eastAsia" w:ascii="宋体" w:hAnsi="宋体" w:eastAsia="宋体" w:cs="宋体"/>
          <w:b/>
          <w:bCs w:val="0"/>
          <w:color w:val="auto"/>
          <w:szCs w:val="28"/>
          <w:highlight w:val="none"/>
        </w:rPr>
      </w:pPr>
      <w:bookmarkStart w:id="115" w:name="_Toc19479"/>
      <w:bookmarkStart w:id="116" w:name="_Toc25593"/>
      <w:r>
        <w:rPr>
          <w:rFonts w:hint="eastAsia" w:ascii="宋体" w:hAnsi="宋体" w:eastAsia="宋体" w:cs="宋体"/>
          <w:b/>
          <w:bCs w:val="0"/>
          <w:color w:val="auto"/>
          <w:szCs w:val="28"/>
          <w:highlight w:val="none"/>
        </w:rPr>
        <w:t>五、签订合同</w:t>
      </w:r>
      <w:bookmarkEnd w:id="115"/>
      <w:bookmarkEnd w:id="116"/>
    </w:p>
    <w:p w14:paraId="685F7ED2">
      <w:pPr>
        <w:pStyle w:val="5"/>
        <w:spacing w:before="0" w:after="0" w:line="400" w:lineRule="exact"/>
        <w:ind w:firstLine="420" w:firstLineChars="200"/>
        <w:rPr>
          <w:rFonts w:hint="eastAsia" w:ascii="宋体" w:hAnsi="宋体" w:eastAsia="宋体" w:cs="宋体"/>
          <w:color w:val="auto"/>
          <w:szCs w:val="21"/>
          <w:highlight w:val="none"/>
        </w:rPr>
      </w:pPr>
      <w:bookmarkStart w:id="117" w:name="_Toc2100"/>
      <w:bookmarkStart w:id="118" w:name="_Toc26520"/>
      <w:r>
        <w:rPr>
          <w:rFonts w:hint="eastAsia" w:ascii="宋体" w:hAnsi="宋体" w:eastAsia="宋体" w:cs="宋体"/>
          <w:color w:val="auto"/>
          <w:sz w:val="21"/>
          <w:szCs w:val="21"/>
          <w:highlight w:val="none"/>
        </w:rPr>
        <w:t>28. 履约保证金</w:t>
      </w:r>
      <w:bookmarkEnd w:id="117"/>
      <w:bookmarkEnd w:id="118"/>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本项目不收取履约保证金</w:t>
      </w:r>
      <w:r>
        <w:rPr>
          <w:rStyle w:val="102"/>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p w14:paraId="47CA27FD">
      <w:pPr>
        <w:pStyle w:val="5"/>
        <w:spacing w:before="0" w:after="0" w:line="400" w:lineRule="exact"/>
        <w:ind w:firstLine="420" w:firstLineChars="200"/>
        <w:rPr>
          <w:rFonts w:hint="eastAsia" w:ascii="宋体" w:hAnsi="宋体" w:eastAsia="宋体" w:cs="宋体"/>
          <w:color w:val="auto"/>
          <w:sz w:val="21"/>
          <w:szCs w:val="21"/>
          <w:highlight w:val="none"/>
        </w:rPr>
      </w:pPr>
      <w:bookmarkStart w:id="119" w:name="_Toc4956"/>
      <w:bookmarkStart w:id="120" w:name="_Toc1023"/>
      <w:r>
        <w:rPr>
          <w:rFonts w:hint="eastAsia" w:ascii="宋体" w:hAnsi="宋体" w:eastAsia="宋体" w:cs="宋体"/>
          <w:color w:val="auto"/>
          <w:sz w:val="21"/>
          <w:szCs w:val="21"/>
          <w:highlight w:val="none"/>
        </w:rPr>
        <w:t>29. 签订合同</w:t>
      </w:r>
      <w:bookmarkEnd w:id="119"/>
      <w:bookmarkEnd w:id="120"/>
    </w:p>
    <w:p w14:paraId="7126B8D6">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29.1 签订合同时间：成交通知书发出之日起</w:t>
      </w:r>
      <w:r>
        <w:rPr>
          <w:rFonts w:hint="eastAsia" w:ascii="宋体" w:hAnsi="宋体" w:eastAsia="宋体" w:cs="宋体"/>
          <w:b/>
          <w:bCs/>
          <w:color w:val="auto"/>
          <w:szCs w:val="21"/>
          <w:highlight w:val="none"/>
          <w:lang w:val="en-US" w:eastAsia="zh-CN"/>
        </w:rPr>
        <w:t>8个工作</w:t>
      </w:r>
      <w:r>
        <w:rPr>
          <w:rFonts w:hint="eastAsia" w:ascii="宋体" w:hAnsi="宋体" w:eastAsia="宋体" w:cs="宋体"/>
          <w:b/>
          <w:bCs/>
          <w:color w:val="auto"/>
          <w:szCs w:val="21"/>
          <w:highlight w:val="none"/>
        </w:rPr>
        <w:t>日内签订合同。成交供应商领取成交通知书后，应按规定与采购人签订合同。</w:t>
      </w:r>
    </w:p>
    <w:p w14:paraId="5277C3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500F6F2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（1）成交后不与采购人签订合同的（不可抗力除外）；</w:t>
      </w:r>
    </w:p>
    <w:p w14:paraId="58BC6BE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（2）将成交项目转让给他人，或者在响应文件中未说明，且未经采购人同意，将成交项目分包给他人的；</w:t>
      </w:r>
    </w:p>
    <w:p w14:paraId="396D9BEE">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（3）拒绝履行合同义务的。</w:t>
      </w:r>
    </w:p>
    <w:p w14:paraId="6E7250E8">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29.3 合同备案存档：</w:t>
      </w: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采购代理机构存档。</w:t>
      </w:r>
    </w:p>
    <w:p w14:paraId="452C733F">
      <w:pPr>
        <w:pStyle w:val="4"/>
        <w:spacing w:line="400" w:lineRule="exact"/>
        <w:ind w:left="0"/>
        <w:jc w:val="center"/>
        <w:rPr>
          <w:rFonts w:hint="eastAsia" w:ascii="宋体" w:hAnsi="宋体" w:eastAsia="宋体" w:cs="宋体"/>
          <w:b/>
          <w:bCs w:val="0"/>
          <w:color w:val="auto"/>
          <w:szCs w:val="28"/>
          <w:highlight w:val="none"/>
        </w:rPr>
      </w:pPr>
      <w:bookmarkStart w:id="121" w:name="_Toc16348"/>
      <w:bookmarkStart w:id="122" w:name="_Toc24170"/>
      <w:r>
        <w:rPr>
          <w:rFonts w:hint="eastAsia" w:ascii="宋体" w:hAnsi="宋体" w:eastAsia="宋体" w:cs="宋体"/>
          <w:b/>
          <w:bCs w:val="0"/>
          <w:color w:val="auto"/>
          <w:szCs w:val="28"/>
          <w:highlight w:val="none"/>
        </w:rPr>
        <w:t>六、其他事项</w:t>
      </w:r>
      <w:bookmarkEnd w:id="121"/>
      <w:bookmarkEnd w:id="122"/>
    </w:p>
    <w:p w14:paraId="53EB54FA">
      <w:pPr>
        <w:pStyle w:val="5"/>
        <w:spacing w:before="0" w:after="0" w:line="400" w:lineRule="exact"/>
        <w:ind w:firstLine="420" w:firstLineChars="200"/>
        <w:rPr>
          <w:rFonts w:hint="eastAsia" w:ascii="宋体" w:hAnsi="宋体" w:eastAsia="宋体" w:cs="宋体"/>
          <w:color w:val="auto"/>
          <w:sz w:val="21"/>
          <w:szCs w:val="21"/>
          <w:highlight w:val="none"/>
        </w:rPr>
      </w:pPr>
      <w:bookmarkStart w:id="123" w:name="_Toc28647"/>
      <w:bookmarkStart w:id="124" w:name="_Toc2872"/>
      <w:r>
        <w:rPr>
          <w:rFonts w:hint="eastAsia" w:ascii="宋体" w:hAnsi="宋体" w:eastAsia="宋体" w:cs="宋体"/>
          <w:color w:val="auto"/>
          <w:sz w:val="21"/>
          <w:szCs w:val="21"/>
          <w:highlight w:val="none"/>
        </w:rPr>
        <w:t>30. 采购代理服务费</w:t>
      </w:r>
      <w:bookmarkEnd w:id="123"/>
      <w:bookmarkEnd w:id="124"/>
    </w:p>
    <w:p w14:paraId="68E388F9">
      <w:pPr>
        <w:pageBreakBefore w:val="0"/>
        <w:widowControl w:val="0"/>
        <w:kinsoku/>
        <w:wordWrap/>
        <w:overflowPunct/>
        <w:topLinePunct w:val="0"/>
        <w:autoSpaceDE/>
        <w:autoSpaceDN/>
        <w:bidi w:val="0"/>
        <w:adjustRightInd/>
        <w:spacing w:line="400" w:lineRule="exact"/>
        <w:ind w:left="0" w:leftChars="0" w:firstLine="420"/>
        <w:textAlignment w:val="auto"/>
        <w:rPr>
          <w:rFonts w:hint="default" w:ascii="宋体" w:hAnsi="宋体" w:eastAsia="宋体" w:cs="宋体"/>
          <w:color w:val="auto"/>
          <w:szCs w:val="21"/>
          <w:highlight w:val="none"/>
          <w:lang w:val="en-US" w:eastAsia="zh-CN"/>
        </w:rPr>
      </w:pPr>
      <w:bookmarkStart w:id="125" w:name="_Toc8271"/>
      <w:bookmarkStart w:id="126" w:name="_Toc12374"/>
      <w:r>
        <w:rPr>
          <w:rFonts w:hint="eastAsia" w:ascii="宋体" w:hAnsi="宋体" w:eastAsia="宋体" w:cs="宋体"/>
          <w:color w:val="auto"/>
          <w:szCs w:val="21"/>
          <w:highlight w:val="none"/>
        </w:rPr>
        <w:t>30.1</w:t>
      </w:r>
      <w:r>
        <w:rPr>
          <w:rFonts w:hint="eastAsia" w:ascii="宋体" w:hAnsi="宋体" w:eastAsia="宋体" w:cs="宋体"/>
          <w:color w:val="auto"/>
          <w:sz w:val="21"/>
          <w:szCs w:val="21"/>
          <w:highlight w:val="none"/>
        </w:rPr>
        <w:t>成交供应商在领取成交通知书前，向采购代理机构一次性付清采购代理服务费，本项目采购代理服务收费标准参照计价格[2002]1980号《招标代理服务收费管理暂行办法》</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类收费标准向成交供应商收取。</w:t>
      </w:r>
    </w:p>
    <w:p w14:paraId="2C33394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采购代理服务收费标准</w:t>
      </w:r>
    </w:p>
    <w:tbl>
      <w:tblPr>
        <w:tblStyle w:val="2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95"/>
        <w:gridCol w:w="2095"/>
        <w:gridCol w:w="2097"/>
      </w:tblGrid>
      <w:tr w14:paraId="7A07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tcPr>
          <w:p w14:paraId="60FB689F">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291465</wp:posOffset>
                      </wp:positionH>
                      <wp:positionV relativeFrom="paragraph">
                        <wp:posOffset>5715</wp:posOffset>
                      </wp:positionV>
                      <wp:extent cx="1352550" cy="467360"/>
                      <wp:effectExtent l="1270" t="4445" r="17780" b="444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352358" cy="467581"/>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2.95pt;margin-top:0.45pt;height:36.8pt;width:106.5pt;z-index:251659264;mso-width-relative:page;mso-height-relative:page;" filled="f" stroked="t" coordsize="21600,21600" o:gfxdata="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zl11tUAAAAGAQAADwAAAAAAAAABACAAAAAiAAAAZHJzL2Rvd25yZXYueG1sUEsBAhQAFAAAAAgA&#10;h07iQHF9D63vAQAAvQ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color w:val="auto"/>
                <w:highlight w:val="none"/>
              </w:rPr>
              <w:t>费率           服务类型</w:t>
            </w:r>
          </w:p>
          <w:p w14:paraId="2624A1AA">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40640</wp:posOffset>
                      </wp:positionV>
                      <wp:extent cx="1713865" cy="191135"/>
                      <wp:effectExtent l="635" t="4445" r="19050" b="1397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714057" cy="191386"/>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55pt;margin-top:3.2pt;height:15.05pt;width:134.95pt;z-index:251660288;mso-width-relative:page;mso-height-relative:page;" filled="f" stroked="t" coordsize="21600,21600" o:gfxdata="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ieZS1wAAAAgBAAAPAAAAAAAAAAEAIAAAACIAAABkcnMvZG93bnJldi54bWxQSwECFAAUAAAA&#10;CACHTuJAnMjpZ+8BAAC9AwAADgAAAAAAAAABACAAAAAmAQAAZHJzL2Uyb0RvYy54bWxQSwUGAAAA&#10;AAYABgBZAQAAhwUAAAAA&#10;">
                      <v:fill on="f" focussize="0,0"/>
                      <v:stroke color="#000000" joinstyle="round"/>
                      <v:imagedata o:title=""/>
                      <o:lock v:ext="edit" aspectratio="f"/>
                    </v:line>
                  </w:pict>
                </mc:Fallback>
              </mc:AlternateContent>
            </w:r>
          </w:p>
          <w:p w14:paraId="3215375F">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中标金额（万元）</w:t>
            </w:r>
          </w:p>
        </w:tc>
        <w:tc>
          <w:tcPr>
            <w:tcW w:w="2095" w:type="dxa"/>
            <w:vAlign w:val="center"/>
          </w:tcPr>
          <w:p w14:paraId="51128702">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货物招标</w:t>
            </w:r>
          </w:p>
        </w:tc>
        <w:tc>
          <w:tcPr>
            <w:tcW w:w="2095" w:type="dxa"/>
            <w:vAlign w:val="center"/>
          </w:tcPr>
          <w:p w14:paraId="141C0C3A">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服务招标</w:t>
            </w:r>
          </w:p>
        </w:tc>
        <w:tc>
          <w:tcPr>
            <w:tcW w:w="2097" w:type="dxa"/>
            <w:vAlign w:val="center"/>
          </w:tcPr>
          <w:p w14:paraId="2F21211C">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工程招标</w:t>
            </w:r>
          </w:p>
        </w:tc>
      </w:tr>
      <w:tr w14:paraId="5FFE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tcPr>
          <w:p w14:paraId="3C0E8EE1">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100以下</w:t>
            </w:r>
          </w:p>
        </w:tc>
        <w:tc>
          <w:tcPr>
            <w:tcW w:w="2095" w:type="dxa"/>
          </w:tcPr>
          <w:p w14:paraId="12BAD037">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5" w:type="dxa"/>
          </w:tcPr>
          <w:p w14:paraId="550E122A">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2097" w:type="dxa"/>
          </w:tcPr>
          <w:p w14:paraId="590A9211">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r>
      <w:tr w14:paraId="29F3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tcPr>
          <w:p w14:paraId="45E8D612">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100-500</w:t>
            </w:r>
          </w:p>
        </w:tc>
        <w:tc>
          <w:tcPr>
            <w:tcW w:w="2095" w:type="dxa"/>
          </w:tcPr>
          <w:p w14:paraId="2324F34D">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2095" w:type="dxa"/>
          </w:tcPr>
          <w:p w14:paraId="4DCC2A49">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7" w:type="dxa"/>
          </w:tcPr>
          <w:p w14:paraId="5D5069AB">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0.7%</w:t>
            </w:r>
          </w:p>
        </w:tc>
      </w:tr>
      <w:tr w14:paraId="2F19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7B8835A6">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500-1000</w:t>
            </w:r>
          </w:p>
        </w:tc>
        <w:tc>
          <w:tcPr>
            <w:tcW w:w="2095" w:type="dxa"/>
          </w:tcPr>
          <w:p w14:paraId="781EA400">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0.8%</w:t>
            </w:r>
          </w:p>
        </w:tc>
        <w:tc>
          <w:tcPr>
            <w:tcW w:w="2095" w:type="dxa"/>
          </w:tcPr>
          <w:p w14:paraId="4B4D2C45">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0.45%</w:t>
            </w:r>
          </w:p>
        </w:tc>
        <w:tc>
          <w:tcPr>
            <w:tcW w:w="2097" w:type="dxa"/>
          </w:tcPr>
          <w:p w14:paraId="46F6F9D9">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0.55%</w:t>
            </w:r>
          </w:p>
        </w:tc>
      </w:tr>
      <w:tr w14:paraId="55DF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1ECA3914">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1000-5000</w:t>
            </w:r>
          </w:p>
        </w:tc>
        <w:tc>
          <w:tcPr>
            <w:tcW w:w="2095" w:type="dxa"/>
          </w:tcPr>
          <w:p w14:paraId="6C5CC059">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0.5%</w:t>
            </w:r>
          </w:p>
        </w:tc>
        <w:tc>
          <w:tcPr>
            <w:tcW w:w="2095" w:type="dxa"/>
          </w:tcPr>
          <w:p w14:paraId="1D49BF1E">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7" w:type="dxa"/>
          </w:tcPr>
          <w:p w14:paraId="43DB7EDA">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0.35%</w:t>
            </w:r>
          </w:p>
        </w:tc>
      </w:tr>
      <w:tr w14:paraId="2F8A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tcPr>
          <w:p w14:paraId="66D6F6CC">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5000-10000</w:t>
            </w:r>
          </w:p>
        </w:tc>
        <w:tc>
          <w:tcPr>
            <w:tcW w:w="2095" w:type="dxa"/>
          </w:tcPr>
          <w:p w14:paraId="6DE1F713">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0.25%</w:t>
            </w:r>
          </w:p>
        </w:tc>
        <w:tc>
          <w:tcPr>
            <w:tcW w:w="2095" w:type="dxa"/>
          </w:tcPr>
          <w:p w14:paraId="3217240B">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0.1%</w:t>
            </w:r>
          </w:p>
        </w:tc>
        <w:tc>
          <w:tcPr>
            <w:tcW w:w="2097" w:type="dxa"/>
          </w:tcPr>
          <w:p w14:paraId="553323D3">
            <w:pPr>
              <w:pStyle w:val="17"/>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0.2%</w:t>
            </w:r>
          </w:p>
        </w:tc>
      </w:tr>
    </w:tbl>
    <w:p w14:paraId="45DC4581">
      <w:pPr>
        <w:pStyle w:val="17"/>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注：采购代理服务收费按差额定率累进法计算。</w:t>
      </w:r>
    </w:p>
    <w:p w14:paraId="684F5EBD">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30.2交纳代理服务费银行账户：</w:t>
      </w:r>
    </w:p>
    <w:p w14:paraId="166151D9">
      <w:pPr>
        <w:pStyle w:val="17"/>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采购代理机构银行账户：</w:t>
      </w:r>
    </w:p>
    <w:p w14:paraId="78DD2337">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开户名称：广西鼎誉工程咨询有限公司桂林分公司</w:t>
      </w:r>
    </w:p>
    <w:p w14:paraId="1B949BCB">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开户银行：6600 1111 2860 7000 10</w:t>
      </w:r>
    </w:p>
    <w:p w14:paraId="514DAB0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账    号：桂林银行七星支行</w:t>
      </w:r>
    </w:p>
    <w:p w14:paraId="009A43A7">
      <w:pPr>
        <w:spacing w:line="400" w:lineRule="exact"/>
        <w:ind w:firstLine="420" w:firstLineChars="200"/>
        <w:rPr>
          <w:rFonts w:hint="eastAsia" w:ascii="宋体" w:hAnsi="宋体" w:eastAsia="宋体" w:cs="宋体"/>
          <w:color w:val="auto"/>
          <w:szCs w:val="21"/>
          <w:highlight w:val="none"/>
        </w:rPr>
      </w:pPr>
      <w:r>
        <w:rPr>
          <w:rStyle w:val="42"/>
          <w:rFonts w:hint="eastAsia" w:ascii="宋体" w:hAnsi="宋体" w:eastAsia="宋体" w:cs="宋体"/>
          <w:color w:val="auto"/>
          <w:sz w:val="21"/>
          <w:szCs w:val="21"/>
          <w:highlight w:val="none"/>
        </w:rPr>
        <w:t>31. 解释权</w:t>
      </w:r>
      <w:bookmarkEnd w:id="125"/>
      <w:bookmarkEnd w:id="126"/>
      <w:r>
        <w:rPr>
          <w:rFonts w:hint="eastAsia" w:ascii="宋体" w:hAnsi="宋体" w:eastAsia="宋体" w:cs="宋体"/>
          <w:color w:val="auto"/>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43EC2F16">
      <w:pPr>
        <w:tabs>
          <w:tab w:val="left" w:pos="2190"/>
        </w:tabs>
        <w:spacing w:line="400" w:lineRule="exact"/>
        <w:ind w:firstLine="435"/>
        <w:rPr>
          <w:rFonts w:hint="eastAsia" w:ascii="宋体" w:hAnsi="宋体" w:eastAsia="宋体" w:cs="宋体"/>
          <w:color w:val="auto"/>
          <w:szCs w:val="21"/>
          <w:highlight w:val="none"/>
          <w:lang w:eastAsia="zh-CN"/>
        </w:rPr>
      </w:pPr>
      <w:bookmarkStart w:id="127" w:name="_Toc24443"/>
      <w:r>
        <w:rPr>
          <w:rStyle w:val="42"/>
          <w:rFonts w:hint="eastAsia" w:ascii="宋体" w:hAnsi="宋体" w:eastAsia="宋体" w:cs="宋体"/>
          <w:color w:val="auto"/>
          <w:sz w:val="21"/>
          <w:szCs w:val="21"/>
          <w:highlight w:val="none"/>
        </w:rPr>
        <w:t>32. 监督管理机构</w:t>
      </w:r>
      <w:bookmarkEnd w:id="127"/>
      <w:r>
        <w:rPr>
          <w:rFonts w:hint="eastAsia" w:ascii="宋体" w:hAnsi="宋体" w:eastAsia="宋体" w:cs="宋体"/>
          <w:color w:val="auto"/>
          <w:szCs w:val="21"/>
          <w:highlight w:val="none"/>
        </w:rPr>
        <w:t>：</w:t>
      </w:r>
      <w:r>
        <w:rPr>
          <w:rFonts w:hint="eastAsia" w:cs="Times New Roman"/>
          <w:b w:val="0"/>
          <w:bCs w:val="0"/>
          <w:color w:val="auto"/>
          <w:spacing w:val="-1"/>
          <w:w w:val="100"/>
          <w:highlight w:val="none"/>
          <w:lang w:eastAsia="zh-CN"/>
        </w:rPr>
        <w:t xml:space="preserve"> 桂林市财政局</w:t>
      </w:r>
      <w:r>
        <w:rPr>
          <w:rFonts w:hint="eastAsia" w:ascii="Times New Roman" w:hAnsi="Times New Roman" w:cs="Times New Roman"/>
          <w:b w:val="0"/>
          <w:bCs w:val="0"/>
          <w:color w:val="auto"/>
          <w:spacing w:val="-1"/>
          <w:w w:val="100"/>
          <w:highlight w:val="none"/>
        </w:rPr>
        <w:t>；</w:t>
      </w:r>
      <w:r>
        <w:rPr>
          <w:rFonts w:hint="eastAsia" w:ascii="Times New Roman" w:hAnsi="Times New Roman" w:cs="Times New Roman"/>
          <w:b w:val="0"/>
          <w:bCs w:val="0"/>
          <w:color w:val="auto"/>
          <w:spacing w:val="-1"/>
          <w:w w:val="100"/>
          <w:highlight w:val="none"/>
          <w:lang w:val="en-US" w:eastAsia="zh-CN"/>
        </w:rPr>
        <w:t xml:space="preserve"> </w:t>
      </w:r>
      <w:r>
        <w:rPr>
          <w:rFonts w:hint="eastAsia" w:ascii="Times New Roman" w:hAnsi="Times New Roman" w:cs="Times New Roman"/>
          <w:b w:val="0"/>
          <w:bCs w:val="0"/>
          <w:color w:val="auto"/>
          <w:spacing w:val="-1"/>
          <w:w w:val="100"/>
          <w:highlight w:val="none"/>
        </w:rPr>
        <w:t>联系电话：</w:t>
      </w:r>
      <w:r>
        <w:rPr>
          <w:rFonts w:hint="eastAsia" w:cs="Times New Roman"/>
          <w:b w:val="0"/>
          <w:bCs w:val="0"/>
          <w:color w:val="auto"/>
          <w:spacing w:val="-1"/>
          <w:w w:val="100"/>
          <w:highlight w:val="none"/>
          <w:lang w:eastAsia="zh-CN"/>
        </w:rPr>
        <w:t>0773-2829504</w:t>
      </w:r>
    </w:p>
    <w:p w14:paraId="736FA522">
      <w:pPr>
        <w:snapToGrid w:val="0"/>
        <w:spacing w:line="400" w:lineRule="exact"/>
        <w:ind w:firstLine="420"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33. 广西线上“政采贷”政策告知函</w:t>
      </w:r>
    </w:p>
    <w:p w14:paraId="7A1B1E1D">
      <w:pPr>
        <w:snapToGrid w:val="0"/>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见附件</w:t>
      </w:r>
    </w:p>
    <w:p w14:paraId="0079A355">
      <w:pPr>
        <w:pStyle w:val="15"/>
        <w:rPr>
          <w:rFonts w:hint="eastAsia" w:ascii="宋体" w:hAnsi="宋体" w:eastAsia="宋体" w:cs="宋体"/>
          <w:color w:val="auto"/>
          <w:highlight w:val="none"/>
          <w:lang w:eastAsia="zh-CN"/>
        </w:rPr>
      </w:pPr>
    </w:p>
    <w:p w14:paraId="0AFEC832">
      <w:pPr>
        <w:widowControl/>
        <w:jc w:val="left"/>
        <w:rPr>
          <w:rFonts w:hint="eastAsia" w:ascii="宋体" w:hAnsi="宋体" w:eastAsia="宋体" w:cs="宋体"/>
          <w:b/>
          <w:color w:val="auto"/>
          <w:sz w:val="24"/>
          <w:szCs w:val="24"/>
          <w:highlight w:val="none"/>
        </w:rPr>
      </w:pPr>
      <w:r>
        <w:rPr>
          <w:rFonts w:hint="eastAsia" w:ascii="宋体" w:hAnsi="宋体" w:eastAsia="宋体" w:cs="宋体"/>
          <w:b/>
          <w:bCs/>
          <w:color w:val="auto"/>
          <w:highlight w:val="none"/>
          <w:lang w:eastAsia="zh-CN"/>
        </w:rPr>
        <w:drawing>
          <wp:inline distT="0" distB="0" distL="114300" distR="114300">
            <wp:extent cx="6182995" cy="8745855"/>
            <wp:effectExtent l="0" t="0" r="8255" b="17145"/>
            <wp:docPr id="3" name="图片 2" descr="通知（加入政采招标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通知（加入政采招标文件）"/>
                    <pic:cNvPicPr>
                      <a:picLocks noChangeAspect="1"/>
                    </pic:cNvPicPr>
                  </pic:nvPicPr>
                  <pic:blipFill>
                    <a:blip r:embed="rId9"/>
                    <a:stretch>
                      <a:fillRect/>
                    </a:stretch>
                  </pic:blipFill>
                  <pic:spPr>
                    <a:xfrm>
                      <a:off x="0" y="0"/>
                      <a:ext cx="6182995" cy="8745855"/>
                    </a:xfrm>
                    <a:prstGeom prst="rect">
                      <a:avLst/>
                    </a:prstGeom>
                    <a:noFill/>
                    <a:ln>
                      <a:noFill/>
                    </a:ln>
                  </pic:spPr>
                </pic:pic>
              </a:graphicData>
            </a:graphic>
          </wp:inline>
        </w:drawing>
      </w: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eastAsia="zh-CN"/>
        </w:rPr>
        <w:t>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p>
    <w:p w14:paraId="4B847CF1">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质疑函（格式）</w:t>
      </w:r>
    </w:p>
    <w:p w14:paraId="46810261">
      <w:pPr>
        <w:pStyle w:val="17"/>
        <w:snapToGrid w:val="0"/>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一、质疑供应商基本信息：</w:t>
      </w:r>
    </w:p>
    <w:p w14:paraId="4F1D4CA3">
      <w:pPr>
        <w:pStyle w:val="17"/>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质疑供应商：</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49BA460E">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0A29FCAC">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39E62D6C">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p>
    <w:p w14:paraId="5E5E7E30">
      <w:pPr>
        <w:pStyle w:val="17"/>
        <w:snapToGrid w:val="0"/>
        <w:spacing w:line="36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73A2AF9E">
      <w:pPr>
        <w:pStyle w:val="17"/>
        <w:snapToGrid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7C7E53CB">
      <w:pPr>
        <w:pStyle w:val="17"/>
        <w:snapToGrid w:val="0"/>
        <w:spacing w:line="36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二、质疑项目基本情况：</w:t>
      </w:r>
    </w:p>
    <w:p w14:paraId="4C3E9E4A">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227647DE">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质疑</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36F860EB">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20590CE1">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w:t>
      </w:r>
    </w:p>
    <w:p w14:paraId="6C5A9E03">
      <w:pPr>
        <w:pStyle w:val="17"/>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   采购文件获取日期：</w:t>
      </w:r>
      <w:r>
        <w:rPr>
          <w:rFonts w:hint="eastAsia" w:ascii="宋体" w:hAnsi="宋体" w:eastAsia="宋体" w:cs="宋体"/>
          <w:bCs/>
          <w:color w:val="auto"/>
          <w:szCs w:val="21"/>
          <w:highlight w:val="none"/>
          <w:u w:val="single"/>
        </w:rPr>
        <w:t xml:space="preserve">                                   </w:t>
      </w:r>
    </w:p>
    <w:p w14:paraId="552C0A51">
      <w:pPr>
        <w:pStyle w:val="17"/>
        <w:spacing w:line="360" w:lineRule="exact"/>
        <w:ind w:left="25" w:leftChars="12" w:firstLine="308" w:firstLineChars="147"/>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□采购过程   </w:t>
      </w:r>
    </w:p>
    <w:p w14:paraId="7C5F4E32">
      <w:pPr>
        <w:pStyle w:val="17"/>
        <w:spacing w:line="36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□成交结果   </w:t>
      </w:r>
    </w:p>
    <w:p w14:paraId="464D1976">
      <w:pPr>
        <w:pStyle w:val="17"/>
        <w:spacing w:line="36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三、质疑事项具体内容</w:t>
      </w:r>
    </w:p>
    <w:p w14:paraId="4560AD0C">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质疑事项1：</w:t>
      </w:r>
      <w:r>
        <w:rPr>
          <w:rFonts w:hint="eastAsia" w:ascii="宋体" w:hAnsi="宋体" w:eastAsia="宋体" w:cs="宋体"/>
          <w:bCs/>
          <w:color w:val="auto"/>
          <w:szCs w:val="21"/>
          <w:highlight w:val="none"/>
          <w:u w:val="single"/>
        </w:rPr>
        <w:t xml:space="preserve">                                                                    </w:t>
      </w:r>
    </w:p>
    <w:p w14:paraId="4CD13EBD">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事实依据：</w:t>
      </w:r>
      <w:r>
        <w:rPr>
          <w:rFonts w:hint="eastAsia" w:ascii="宋体" w:hAnsi="宋体" w:eastAsia="宋体" w:cs="宋体"/>
          <w:bCs/>
          <w:color w:val="auto"/>
          <w:szCs w:val="21"/>
          <w:highlight w:val="none"/>
          <w:u w:val="single"/>
        </w:rPr>
        <w:t xml:space="preserve">                                                                      </w:t>
      </w:r>
    </w:p>
    <w:p w14:paraId="61C17C02">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法律依据：</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u w:val="single"/>
        </w:rPr>
        <w:t xml:space="preserve">               </w:t>
      </w:r>
    </w:p>
    <w:p w14:paraId="56E6A9C8">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质疑事项2</w:t>
      </w:r>
    </w:p>
    <w:p w14:paraId="63C1EA27">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1EF5CEC">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14:paraId="44AB87AB">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05C37DDF">
      <w:pPr>
        <w:pStyle w:val="17"/>
        <w:spacing w:line="360" w:lineRule="exact"/>
        <w:ind w:left="25" w:leftChars="12" w:firstLine="308" w:firstLineChars="147"/>
        <w:rPr>
          <w:rFonts w:hint="eastAsia" w:ascii="宋体" w:hAnsi="宋体" w:eastAsia="宋体" w:cs="宋体"/>
          <w:color w:val="auto"/>
          <w:szCs w:val="21"/>
          <w:highlight w:val="none"/>
        </w:rPr>
      </w:pPr>
    </w:p>
    <w:p w14:paraId="77D7D385">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3E57B670">
      <w:pPr>
        <w:pStyle w:val="17"/>
        <w:spacing w:line="360" w:lineRule="exact"/>
        <w:ind w:left="25" w:leftChars="12" w:firstLine="308" w:firstLineChars="147"/>
        <w:rPr>
          <w:rFonts w:hint="eastAsia" w:ascii="宋体" w:hAnsi="宋体" w:eastAsia="宋体" w:cs="宋体"/>
          <w:color w:val="auto"/>
          <w:szCs w:val="21"/>
          <w:highlight w:val="none"/>
        </w:rPr>
      </w:pPr>
    </w:p>
    <w:p w14:paraId="7324051B">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834941C">
      <w:pPr>
        <w:pStyle w:val="17"/>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498E2125">
      <w:pPr>
        <w:pStyle w:val="17"/>
        <w:spacing w:line="340" w:lineRule="exact"/>
        <w:ind w:left="25" w:leftChars="12" w:firstLine="308"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1.供应商提出质疑时，应提交质疑函和必要的证明材料</w:t>
      </w:r>
      <w:r>
        <w:rPr>
          <w:rFonts w:hint="eastAsia" w:ascii="宋体" w:hAnsi="宋体" w:eastAsia="宋体" w:cs="宋体"/>
          <w:b/>
          <w:bCs/>
          <w:color w:val="auto"/>
          <w:szCs w:val="21"/>
          <w:highlight w:val="none"/>
        </w:rPr>
        <w:t>。</w:t>
      </w:r>
    </w:p>
    <w:p w14:paraId="207E6E88">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A529683">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3.质疑函的质疑事项应具体、明确，并有必要的事实依据和法律依据。</w:t>
      </w:r>
    </w:p>
    <w:p w14:paraId="525AA35A">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4.质疑函的质疑请求应与质疑事项相关。</w:t>
      </w:r>
    </w:p>
    <w:p w14:paraId="5B2A0887">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00F7371D">
      <w:pPr>
        <w:pStyle w:val="10"/>
        <w:rPr>
          <w:rFonts w:hint="eastAsia" w:ascii="宋体" w:hAnsi="宋体" w:eastAsia="宋体" w:cs="宋体"/>
          <w:color w:val="auto"/>
          <w:szCs w:val="21"/>
          <w:highlight w:val="none"/>
        </w:rPr>
      </w:pPr>
    </w:p>
    <w:p w14:paraId="4D82302C">
      <w:pPr>
        <w:rPr>
          <w:rFonts w:hint="eastAsia" w:ascii="宋体" w:hAnsi="宋体" w:eastAsia="宋体" w:cs="宋体"/>
          <w:color w:val="auto"/>
          <w:highlight w:val="none"/>
        </w:rPr>
      </w:pPr>
    </w:p>
    <w:p w14:paraId="7638629A">
      <w:pPr>
        <w:pStyle w:val="17"/>
        <w:snapToGrid w:val="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附表2：</w:t>
      </w:r>
    </w:p>
    <w:p w14:paraId="54F1A31D">
      <w:pPr>
        <w:spacing w:line="46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投诉书（格式）</w:t>
      </w:r>
    </w:p>
    <w:p w14:paraId="3DCF8123">
      <w:pPr>
        <w:pStyle w:val="17"/>
        <w:snapToGrid w:val="0"/>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一、投诉相关主体基本情况：</w:t>
      </w:r>
    </w:p>
    <w:p w14:paraId="19F52BBB">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投标人：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02928E2E">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2F20D21B">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法定代表人/主要负责人：</w:t>
      </w:r>
      <w:r>
        <w:rPr>
          <w:rFonts w:hint="eastAsia" w:ascii="宋体" w:hAnsi="宋体" w:eastAsia="宋体" w:cs="宋体"/>
          <w:bCs/>
          <w:color w:val="auto"/>
          <w:szCs w:val="21"/>
          <w:highlight w:val="none"/>
          <w:u w:val="single"/>
        </w:rPr>
        <w:t xml:space="preserve">                                                         </w:t>
      </w:r>
    </w:p>
    <w:p w14:paraId="4BAF5712">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3CBFBF2D">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授权代表：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4502642C">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5D73538E">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被投诉人1：</w:t>
      </w:r>
    </w:p>
    <w:p w14:paraId="0B24FBA2">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16008E93">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p>
    <w:p w14:paraId="4489B83D">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被投诉人2：</w:t>
      </w:r>
    </w:p>
    <w:p w14:paraId="649D24EB">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1019CC66">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相关供应商：</w:t>
      </w:r>
      <w:r>
        <w:rPr>
          <w:rFonts w:hint="eastAsia" w:ascii="宋体" w:hAnsi="宋体" w:eastAsia="宋体" w:cs="宋体"/>
          <w:bCs/>
          <w:color w:val="auto"/>
          <w:szCs w:val="21"/>
          <w:highlight w:val="none"/>
          <w:u w:val="single"/>
        </w:rPr>
        <w:t xml:space="preserve">                                                                       </w:t>
      </w:r>
    </w:p>
    <w:p w14:paraId="075DD3DE">
      <w:pPr>
        <w:pStyle w:val="17"/>
        <w:snapToGrid w:val="0"/>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地址：</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邮编：</w:t>
      </w:r>
      <w:r>
        <w:rPr>
          <w:rFonts w:hint="eastAsia" w:ascii="宋体" w:hAnsi="宋体" w:eastAsia="宋体" w:cs="宋体"/>
          <w:bCs/>
          <w:color w:val="auto"/>
          <w:szCs w:val="21"/>
          <w:highlight w:val="none"/>
          <w:u w:val="single"/>
        </w:rPr>
        <w:t xml:space="preserve">                         </w:t>
      </w:r>
    </w:p>
    <w:p w14:paraId="0B4AE9C6">
      <w:pPr>
        <w:pStyle w:val="17"/>
        <w:snapToGrid w:val="0"/>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联系人：</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联系电话：</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 xml:space="preserve">                </w:t>
      </w:r>
    </w:p>
    <w:p w14:paraId="20245430">
      <w:pPr>
        <w:pStyle w:val="17"/>
        <w:snapToGrid w:val="0"/>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二、投诉项目基本情况：</w:t>
      </w:r>
    </w:p>
    <w:p w14:paraId="432C2CD3">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项目的名称：</w:t>
      </w:r>
      <w:r>
        <w:rPr>
          <w:rFonts w:hint="eastAsia" w:ascii="宋体" w:hAnsi="宋体" w:eastAsia="宋体" w:cs="宋体"/>
          <w:bCs/>
          <w:color w:val="auto"/>
          <w:szCs w:val="21"/>
          <w:highlight w:val="none"/>
          <w:u w:val="single"/>
        </w:rPr>
        <w:t xml:space="preserve">                                                                   </w:t>
      </w:r>
    </w:p>
    <w:p w14:paraId="67D47985">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采购</w:t>
      </w:r>
      <w:r>
        <w:rPr>
          <w:rFonts w:hint="eastAsia" w:ascii="宋体" w:hAnsi="宋体" w:eastAsia="宋体" w:cs="宋体"/>
          <w:color w:val="auto"/>
          <w:szCs w:val="21"/>
          <w:highlight w:val="none"/>
        </w:rPr>
        <w:t>项目的编号：</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 xml:space="preserve"> </w:t>
      </w:r>
    </w:p>
    <w:p w14:paraId="5878B082">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采购人名称：</w:t>
      </w:r>
      <w:r>
        <w:rPr>
          <w:rFonts w:hint="eastAsia" w:ascii="宋体" w:hAnsi="宋体" w:eastAsia="宋体" w:cs="宋体"/>
          <w:bCs/>
          <w:color w:val="auto"/>
          <w:szCs w:val="21"/>
          <w:highlight w:val="none"/>
          <w:u w:val="single"/>
        </w:rPr>
        <w:t xml:space="preserve">                                                                        </w:t>
      </w:r>
    </w:p>
    <w:p w14:paraId="1EF860CA">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代理机构名称：</w:t>
      </w:r>
      <w:r>
        <w:rPr>
          <w:rFonts w:hint="eastAsia" w:ascii="宋体" w:hAnsi="宋体" w:eastAsia="宋体" w:cs="宋体"/>
          <w:bCs/>
          <w:color w:val="auto"/>
          <w:szCs w:val="21"/>
          <w:highlight w:val="none"/>
          <w:u w:val="single"/>
        </w:rPr>
        <w:t xml:space="preserve">                                                                      </w:t>
      </w:r>
    </w:p>
    <w:p w14:paraId="328BB322">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采购文件公告：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0AE2E5DC">
      <w:pPr>
        <w:pStyle w:val="17"/>
        <w:spacing w:line="400" w:lineRule="exact"/>
        <w:ind w:left="25" w:leftChars="12" w:firstLine="413" w:firstLineChars="197"/>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采购结果公告：</w:t>
      </w:r>
      <w:r>
        <w:rPr>
          <w:rFonts w:hint="eastAsia" w:ascii="宋体" w:hAnsi="宋体" w:eastAsia="宋体" w:cs="宋体"/>
          <w:bCs/>
          <w:color w:val="auto"/>
          <w:szCs w:val="21"/>
          <w:highlight w:val="none"/>
          <w:u w:val="single"/>
        </w:rPr>
        <w:t>是/否</w:t>
      </w:r>
      <w:r>
        <w:rPr>
          <w:rFonts w:hint="eastAsia" w:ascii="宋体" w:hAnsi="宋体" w:eastAsia="宋体" w:cs="宋体"/>
          <w:bCs/>
          <w:color w:val="auto"/>
          <w:szCs w:val="21"/>
          <w:highlight w:val="none"/>
        </w:rPr>
        <w:t>公告期限：</w:t>
      </w:r>
      <w:r>
        <w:rPr>
          <w:rFonts w:hint="eastAsia" w:ascii="宋体" w:hAnsi="宋体" w:eastAsia="宋体" w:cs="宋体"/>
          <w:bCs/>
          <w:color w:val="auto"/>
          <w:szCs w:val="21"/>
          <w:highlight w:val="none"/>
          <w:u w:val="single"/>
        </w:rPr>
        <w:t xml:space="preserve">                                                       </w:t>
      </w:r>
    </w:p>
    <w:p w14:paraId="479507AA">
      <w:pPr>
        <w:pStyle w:val="17"/>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三、质疑基本情况</w:t>
      </w:r>
    </w:p>
    <w:p w14:paraId="173BC2D4">
      <w:pPr>
        <w:pStyle w:val="17"/>
        <w:spacing w:line="400" w:lineRule="exact"/>
        <w:ind w:left="25" w:leftChars="12" w:firstLine="833" w:firstLineChars="3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提出质疑，质疑事项为：</w:t>
      </w:r>
    </w:p>
    <w:p w14:paraId="6841B1B9">
      <w:pPr>
        <w:pStyle w:val="17"/>
        <w:spacing w:line="400" w:lineRule="exact"/>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129202D2">
      <w:pPr>
        <w:pStyle w:val="17"/>
        <w:spacing w:line="400" w:lineRule="exact"/>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59DA7E41">
      <w:pPr>
        <w:pStyle w:val="17"/>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采购人/代理机构</w:t>
      </w:r>
      <w:r>
        <w:rPr>
          <w:rFonts w:hint="eastAsia" w:ascii="宋体" w:hAnsi="宋体" w:eastAsia="宋体" w:cs="宋体"/>
          <w:bCs/>
          <w:color w:val="auto"/>
          <w:szCs w:val="21"/>
          <w:highlight w:val="none"/>
        </w:rPr>
        <w:t>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 xml:space="preserve">就质疑事项作出了答复/没有在法定期限内作出答复。                                                                                             </w:t>
      </w:r>
    </w:p>
    <w:p w14:paraId="37DC1B7E">
      <w:pPr>
        <w:pStyle w:val="17"/>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四、投诉事项具体内容</w:t>
      </w:r>
    </w:p>
    <w:p w14:paraId="4E5C55C2">
      <w:pPr>
        <w:pStyle w:val="17"/>
        <w:spacing w:line="400" w:lineRule="exact"/>
        <w:ind w:left="25" w:leftChars="12" w:firstLine="413" w:firstLineChars="197"/>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投诉事项1：</w:t>
      </w:r>
      <w:r>
        <w:rPr>
          <w:rFonts w:hint="eastAsia" w:ascii="宋体" w:hAnsi="宋体" w:eastAsia="宋体" w:cs="宋体"/>
          <w:bCs/>
          <w:color w:val="auto"/>
          <w:szCs w:val="21"/>
          <w:highlight w:val="none"/>
          <w:u w:val="single"/>
        </w:rPr>
        <w:t xml:space="preserve">                                                                           </w:t>
      </w:r>
    </w:p>
    <w:p w14:paraId="7F9FAABE">
      <w:pPr>
        <w:pStyle w:val="17"/>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事实依据：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5C76042F">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w:t>
      </w:r>
    </w:p>
    <w:p w14:paraId="50FF982C">
      <w:pPr>
        <w:pStyle w:val="17"/>
        <w:spacing w:line="400" w:lineRule="exact"/>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法律依据：</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u w:val="single"/>
        </w:rPr>
        <w:t xml:space="preserve">                                                                                   </w:t>
      </w:r>
    </w:p>
    <w:p w14:paraId="7D84B6F6">
      <w:pPr>
        <w:pStyle w:val="17"/>
        <w:spacing w:line="400" w:lineRule="exact"/>
        <w:ind w:left="25" w:leftChars="12" w:firstLine="308" w:firstLineChars="147"/>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 xml:space="preserve"> </w:t>
      </w:r>
      <w:r>
        <w:rPr>
          <w:rFonts w:hint="eastAsia" w:ascii="宋体" w:hAnsi="宋体" w:eastAsia="宋体" w:cs="宋体"/>
          <w:bCs/>
          <w:color w:val="auto"/>
          <w:szCs w:val="21"/>
          <w:highlight w:val="none"/>
          <w:u w:val="single"/>
        </w:rPr>
        <w:t xml:space="preserve">                                                                                        </w:t>
      </w:r>
    </w:p>
    <w:p w14:paraId="12C89C7B">
      <w:pPr>
        <w:pStyle w:val="17"/>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投诉事项2  </w:t>
      </w:r>
      <w:r>
        <w:rPr>
          <w:rFonts w:hint="eastAsia" w:ascii="宋体" w:hAnsi="宋体" w:eastAsia="宋体" w:cs="宋体"/>
          <w:bCs/>
          <w:color w:val="auto"/>
          <w:szCs w:val="21"/>
          <w:highlight w:val="none"/>
        </w:rPr>
        <w:t xml:space="preserve">   </w:t>
      </w:r>
    </w:p>
    <w:p w14:paraId="2BA7FD99">
      <w:pPr>
        <w:pStyle w:val="17"/>
        <w:spacing w:line="400" w:lineRule="exact"/>
        <w:ind w:left="25" w:leftChars="12" w:firstLine="413" w:firstLineChars="197"/>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p w14:paraId="7780A5E1">
      <w:pPr>
        <w:pStyle w:val="17"/>
        <w:spacing w:line="400" w:lineRule="exact"/>
        <w:ind w:left="25" w:leftChars="12" w:firstLine="411"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五、与投诉事项相关的投诉请求：</w:t>
      </w:r>
    </w:p>
    <w:p w14:paraId="238E5815">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请求：</w:t>
      </w:r>
      <w:r>
        <w:rPr>
          <w:rFonts w:hint="eastAsia" w:ascii="宋体" w:hAnsi="宋体" w:eastAsia="宋体" w:cs="宋体"/>
          <w:bCs/>
          <w:color w:val="auto"/>
          <w:szCs w:val="21"/>
          <w:highlight w:val="none"/>
          <w:u w:val="single"/>
        </w:rPr>
        <w:t xml:space="preserve">                                                                                 </w:t>
      </w:r>
    </w:p>
    <w:p w14:paraId="164104C4">
      <w:pPr>
        <w:pStyle w:val="17"/>
        <w:spacing w:line="400" w:lineRule="exact"/>
        <w:ind w:left="25" w:leftChars="12" w:firstLine="308" w:firstLineChars="147"/>
        <w:rPr>
          <w:rFonts w:hint="eastAsia" w:ascii="宋体" w:hAnsi="宋体" w:eastAsia="宋体" w:cs="宋体"/>
          <w:color w:val="auto"/>
          <w:szCs w:val="21"/>
          <w:highlight w:val="none"/>
        </w:rPr>
      </w:pPr>
    </w:p>
    <w:p w14:paraId="2DC85432">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                                       公章：</w:t>
      </w:r>
    </w:p>
    <w:p w14:paraId="2E32756B">
      <w:pPr>
        <w:pStyle w:val="17"/>
        <w:spacing w:line="400" w:lineRule="exact"/>
        <w:ind w:left="25" w:leftChars="12" w:firstLine="308" w:firstLineChars="147"/>
        <w:rPr>
          <w:rFonts w:hint="eastAsia" w:ascii="宋体" w:hAnsi="宋体" w:eastAsia="宋体" w:cs="宋体"/>
          <w:color w:val="auto"/>
          <w:szCs w:val="21"/>
          <w:highlight w:val="none"/>
        </w:rPr>
      </w:pPr>
    </w:p>
    <w:p w14:paraId="7AE3051C">
      <w:pPr>
        <w:pStyle w:val="17"/>
        <w:spacing w:line="40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2C8302BE">
      <w:pPr>
        <w:pStyle w:val="17"/>
        <w:spacing w:line="360" w:lineRule="exact"/>
        <w:ind w:left="25" w:leftChars="12" w:firstLine="413" w:firstLineChars="197"/>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 xml:space="preserve">                                                                                 </w:t>
      </w:r>
    </w:p>
    <w:p w14:paraId="0DF7F2D8">
      <w:pPr>
        <w:pStyle w:val="17"/>
        <w:snapToGrid w:val="0"/>
        <w:spacing w:line="340" w:lineRule="exact"/>
        <w:rPr>
          <w:rFonts w:hint="eastAsia" w:ascii="宋体" w:hAnsi="宋体" w:eastAsia="宋体" w:cs="宋体"/>
          <w:b/>
          <w:color w:val="auto"/>
          <w:szCs w:val="21"/>
          <w:highlight w:val="none"/>
        </w:rPr>
      </w:pPr>
    </w:p>
    <w:p w14:paraId="2A4B1643">
      <w:pPr>
        <w:pStyle w:val="17"/>
        <w:snapToGrid w:val="0"/>
        <w:spacing w:line="34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w:t>
      </w:r>
    </w:p>
    <w:p w14:paraId="41EFE26F">
      <w:pPr>
        <w:pStyle w:val="17"/>
        <w:spacing w:line="340" w:lineRule="exact"/>
        <w:ind w:left="25" w:leftChars="12" w:firstLine="308" w:firstLineChars="147"/>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Cs w:val="21"/>
          <w:highlight w:val="none"/>
        </w:rPr>
        <w:t>。</w:t>
      </w:r>
    </w:p>
    <w:p w14:paraId="3A60F37B">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4B92B33">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3.投诉书应简要列明质疑事项，质疑函、质疑答复等作为附件材料提供。</w:t>
      </w:r>
    </w:p>
    <w:p w14:paraId="520FFA0C">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4.投诉书的投诉事项应具体、明确，并有必要的事实依据和法律依据。</w:t>
      </w:r>
    </w:p>
    <w:p w14:paraId="00735AA4">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5.投诉书的投诉请求应与投诉事项相关。</w:t>
      </w:r>
    </w:p>
    <w:p w14:paraId="4AACEA15">
      <w:pPr>
        <w:pStyle w:val="17"/>
        <w:spacing w:line="340" w:lineRule="exact"/>
        <w:ind w:left="25" w:leftChars="12" w:firstLine="308"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6.投诉人为自然人的，投诉书应由本人签字；投诉人为法人或者其他组织的，投诉书应由法定代表人、主要负责人，或者其授权代表签字或者盖章，并加盖公章。</w:t>
      </w:r>
    </w:p>
    <w:p w14:paraId="37F73DC9">
      <w:pPr>
        <w:pStyle w:val="17"/>
        <w:snapToGrid w:val="0"/>
        <w:spacing w:line="380" w:lineRule="exact"/>
        <w:ind w:firstLine="420" w:firstLineChars="200"/>
        <w:rPr>
          <w:rFonts w:hint="eastAsia" w:ascii="宋体" w:hAnsi="宋体" w:eastAsia="宋体" w:cs="宋体"/>
          <w:color w:val="auto"/>
          <w:szCs w:val="21"/>
          <w:highlight w:val="none"/>
        </w:rPr>
      </w:pPr>
    </w:p>
    <w:p w14:paraId="17B807B0">
      <w:pPr>
        <w:pStyle w:val="10"/>
        <w:ind w:left="0"/>
        <w:rPr>
          <w:rFonts w:hint="eastAsia" w:ascii="宋体" w:hAnsi="宋体" w:eastAsia="宋体" w:cs="宋体"/>
          <w:color w:val="auto"/>
          <w:szCs w:val="21"/>
          <w:highlight w:val="none"/>
        </w:rPr>
      </w:pPr>
    </w:p>
    <w:p w14:paraId="77FC873B">
      <w:pPr>
        <w:spacing w:line="360" w:lineRule="exact"/>
        <w:rPr>
          <w:rFonts w:hint="eastAsia" w:ascii="宋体" w:hAnsi="宋体" w:eastAsia="宋体" w:cs="宋体"/>
          <w:b/>
          <w:color w:val="auto"/>
          <w:szCs w:val="21"/>
          <w:highlight w:val="none"/>
        </w:rPr>
      </w:pPr>
    </w:p>
    <w:p w14:paraId="62FFD52B">
      <w:pPr>
        <w:widowControl/>
        <w:spacing w:line="480" w:lineRule="exact"/>
        <w:jc w:val="center"/>
        <w:outlineLvl w:val="0"/>
        <w:rPr>
          <w:rFonts w:hint="eastAsia" w:ascii="宋体" w:hAnsi="宋体" w:eastAsia="宋体" w:cs="宋体"/>
          <w:b/>
          <w:color w:val="auto"/>
          <w:sz w:val="32"/>
          <w:szCs w:val="32"/>
          <w:highlight w:val="none"/>
        </w:rPr>
      </w:pPr>
    </w:p>
    <w:p w14:paraId="286D4D9C">
      <w:pPr>
        <w:widowControl/>
        <w:spacing w:line="480" w:lineRule="exact"/>
        <w:jc w:val="center"/>
        <w:outlineLvl w:val="0"/>
        <w:rPr>
          <w:rFonts w:hint="eastAsia" w:ascii="宋体" w:hAnsi="宋体" w:eastAsia="宋体" w:cs="宋体"/>
          <w:b/>
          <w:color w:val="auto"/>
          <w:sz w:val="32"/>
          <w:szCs w:val="32"/>
          <w:highlight w:val="none"/>
        </w:rPr>
      </w:pPr>
    </w:p>
    <w:p w14:paraId="71B97A57">
      <w:pPr>
        <w:widowControl/>
        <w:spacing w:line="480" w:lineRule="exact"/>
        <w:jc w:val="center"/>
        <w:outlineLvl w:val="0"/>
        <w:rPr>
          <w:rFonts w:hint="eastAsia" w:ascii="宋体" w:hAnsi="宋体" w:eastAsia="宋体" w:cs="宋体"/>
          <w:b/>
          <w:color w:val="auto"/>
          <w:sz w:val="32"/>
          <w:szCs w:val="32"/>
          <w:highlight w:val="none"/>
        </w:rPr>
      </w:pPr>
    </w:p>
    <w:p w14:paraId="7BB5CA5C">
      <w:pPr>
        <w:pStyle w:val="37"/>
        <w:rPr>
          <w:rFonts w:hint="eastAsia" w:ascii="宋体" w:hAnsi="宋体" w:eastAsia="宋体" w:cs="宋体"/>
          <w:color w:val="auto"/>
          <w:highlight w:val="none"/>
        </w:rPr>
      </w:pPr>
    </w:p>
    <w:p w14:paraId="72D2A895">
      <w:pPr>
        <w:pStyle w:val="3"/>
        <w:spacing w:before="0" w:after="0" w:line="360" w:lineRule="auto"/>
        <w:jc w:val="center"/>
        <w:rPr>
          <w:rFonts w:hint="eastAsia" w:ascii="宋体" w:hAnsi="宋体" w:eastAsia="宋体" w:cs="宋体"/>
          <w:color w:val="auto"/>
          <w:sz w:val="32"/>
          <w:szCs w:val="32"/>
          <w:highlight w:val="none"/>
          <w:u w:val="none"/>
        </w:rPr>
      </w:pPr>
      <w:bookmarkStart w:id="128" w:name="_Toc15642"/>
      <w:bookmarkStart w:id="129" w:name="_Toc29649"/>
      <w:r>
        <w:rPr>
          <w:rFonts w:hint="eastAsia" w:ascii="宋体" w:hAnsi="宋体" w:eastAsia="宋体" w:cs="宋体"/>
          <w:b w:val="0"/>
          <w:bCs w:val="0"/>
          <w:color w:val="auto"/>
          <w:sz w:val="32"/>
          <w:szCs w:val="32"/>
          <w:highlight w:val="none"/>
        </w:rPr>
        <w:br w:type="page"/>
      </w:r>
      <w:r>
        <w:rPr>
          <w:rFonts w:hint="eastAsia" w:ascii="宋体" w:hAnsi="宋体" w:eastAsia="宋体" w:cs="宋体"/>
          <w:b w:val="0"/>
          <w:bCs w:val="0"/>
          <w:color w:val="auto"/>
          <w:sz w:val="32"/>
          <w:szCs w:val="32"/>
          <w:highlight w:val="none"/>
          <w:u w:val="none"/>
        </w:rPr>
        <w:t>第三章 采购需求</w:t>
      </w:r>
    </w:p>
    <w:bookmarkEnd w:id="128"/>
    <w:bookmarkEnd w:id="129"/>
    <w:p w14:paraId="0897535F">
      <w:pPr>
        <w:spacing w:line="400" w:lineRule="exact"/>
        <w:ind w:firstLine="420" w:firstLineChars="200"/>
        <w:rPr>
          <w:rFonts w:ascii="宋体" w:cs="宋体"/>
          <w:b/>
          <w:kern w:val="0"/>
        </w:rPr>
      </w:pPr>
      <w:bookmarkStart w:id="130" w:name="_Toc15942"/>
      <w:bookmarkStart w:id="131" w:name="_Toc6574"/>
      <w:bookmarkStart w:id="132" w:name="_Toc2989"/>
      <w:r>
        <w:rPr>
          <w:rFonts w:hint="eastAsia" w:ascii="宋体" w:hAnsi="宋体" w:cs="宋体"/>
          <w:b/>
          <w:kern w:val="0"/>
        </w:rPr>
        <w:t>一、采购项目基本概况</w:t>
      </w:r>
    </w:p>
    <w:p w14:paraId="1EC5E60F">
      <w:pPr>
        <w:spacing w:line="400" w:lineRule="exact"/>
        <w:ind w:firstLine="420" w:firstLineChars="200"/>
        <w:rPr>
          <w:rFonts w:hint="eastAsia" w:ascii="宋体" w:hAnsi="宋体" w:eastAsia="宋体" w:cs="宋体"/>
          <w:kern w:val="0"/>
          <w:lang w:eastAsia="zh-CN"/>
        </w:rPr>
      </w:pPr>
      <w:r>
        <w:rPr>
          <w:rFonts w:ascii="宋体" w:hAnsi="宋体" w:cs="宋体"/>
          <w:kern w:val="0"/>
        </w:rPr>
        <w:t>1</w:t>
      </w:r>
      <w:r>
        <w:rPr>
          <w:rFonts w:hint="eastAsia" w:ascii="宋体" w:hAnsi="宋体" w:cs="宋体"/>
          <w:kern w:val="0"/>
        </w:rPr>
        <w:t>.采购项目名称：</w:t>
      </w:r>
      <w:r>
        <w:rPr>
          <w:rFonts w:hint="eastAsia" w:ascii="宋体" w:hAnsi="宋体" w:cs="宋体"/>
          <w:kern w:val="0"/>
          <w:lang w:eastAsia="zh-CN"/>
        </w:rPr>
        <w:t>桂林市漓江活动壅水科学试验坝专项维修(一期）</w:t>
      </w:r>
    </w:p>
    <w:p w14:paraId="2FBC1A49">
      <w:pPr>
        <w:pStyle w:val="24"/>
        <w:pBdr>
          <w:top w:val="none" w:color="auto" w:sz="0" w:space="0"/>
          <w:left w:val="none" w:color="auto" w:sz="0" w:space="0"/>
          <w:bottom w:val="none" w:color="auto" w:sz="0" w:space="0"/>
          <w:right w:val="none" w:color="auto" w:sz="0" w:space="0"/>
        </w:pBdr>
        <w:spacing w:line="400" w:lineRule="exact"/>
        <w:ind w:left="0" w:leftChars="0" w:firstLine="420" w:firstLineChars="0"/>
        <w:rPr>
          <w:rFonts w:hint="eastAsia" w:ascii="宋体" w:eastAsia="宋体" w:cs="宋体"/>
          <w:color w:val="auto"/>
          <w:kern w:val="0"/>
          <w:highlight w:val="none"/>
          <w:lang w:eastAsia="zh-CN"/>
        </w:rPr>
      </w:pPr>
      <w:r>
        <w:rPr>
          <w:rFonts w:ascii="宋体" w:hAnsi="宋体" w:cs="宋体"/>
          <w:color w:val="auto"/>
          <w:kern w:val="0"/>
          <w:highlight w:val="none"/>
        </w:rPr>
        <w:t>2</w:t>
      </w:r>
      <w:r>
        <w:rPr>
          <w:rFonts w:hint="eastAsia" w:ascii="宋体" w:hAnsi="宋体" w:cs="宋体"/>
          <w:color w:val="auto"/>
          <w:kern w:val="0"/>
          <w:highlight w:val="none"/>
        </w:rPr>
        <w:t>.采购项目编号：</w:t>
      </w:r>
      <w:r>
        <w:rPr>
          <w:rFonts w:hint="eastAsia" w:ascii="宋体" w:hAnsi="宋体" w:cs="宋体"/>
          <w:color w:val="auto"/>
          <w:kern w:val="0"/>
          <w:highlight w:val="none"/>
          <w:lang w:eastAsia="zh-CN"/>
        </w:rPr>
        <w:t>GLZC2025-C3-990336-DYGS</w:t>
      </w:r>
    </w:p>
    <w:p w14:paraId="44C24771">
      <w:pPr>
        <w:pStyle w:val="24"/>
        <w:pBdr>
          <w:top w:val="none" w:color="auto" w:sz="0" w:space="0"/>
          <w:left w:val="none" w:color="auto" w:sz="0" w:space="0"/>
          <w:bottom w:val="none" w:color="auto" w:sz="0" w:space="0"/>
          <w:right w:val="none" w:color="auto" w:sz="0" w:space="0"/>
        </w:pBdr>
        <w:spacing w:line="400" w:lineRule="exact"/>
        <w:ind w:left="0" w:leftChars="0" w:firstLine="420" w:firstLineChars="0"/>
        <w:rPr>
          <w:rFonts w:ascii="宋体" w:cs="宋体"/>
          <w:kern w:val="0"/>
          <w:highlight w:val="none"/>
        </w:rPr>
      </w:pPr>
      <w:r>
        <w:rPr>
          <w:rFonts w:ascii="宋体" w:hAnsi="宋体" w:cs="宋体"/>
          <w:kern w:val="0"/>
          <w:highlight w:val="none"/>
        </w:rPr>
        <w:t>3</w:t>
      </w:r>
      <w:r>
        <w:rPr>
          <w:rFonts w:hint="eastAsia" w:ascii="宋体" w:hAnsi="宋体" w:cs="宋体"/>
          <w:kern w:val="0"/>
          <w:highlight w:val="none"/>
        </w:rPr>
        <w:t>.采购项目实施地点：桂林市</w:t>
      </w:r>
    </w:p>
    <w:p w14:paraId="6A1E1720">
      <w:pPr>
        <w:spacing w:line="400" w:lineRule="exact"/>
        <w:ind w:firstLine="420" w:firstLineChars="200"/>
        <w:rPr>
          <w:rFonts w:ascii="宋体" w:hAnsi="宋体" w:cs="宋体"/>
          <w:color w:val="auto"/>
          <w:kern w:val="0"/>
          <w:highlight w:val="none"/>
        </w:rPr>
      </w:pPr>
      <w:r>
        <w:rPr>
          <w:rFonts w:hint="eastAsia" w:ascii="宋体" w:hAnsi="宋体" w:cs="宋体"/>
          <w:kern w:val="0"/>
          <w:highlight w:val="none"/>
        </w:rPr>
        <w:t>4.采购项目预算</w:t>
      </w:r>
      <w:r>
        <w:rPr>
          <w:rFonts w:hint="eastAsia" w:ascii="宋体" w:hAnsi="宋体" w:cs="宋体"/>
          <w:color w:val="auto"/>
          <w:kern w:val="0"/>
          <w:highlight w:val="none"/>
        </w:rPr>
        <w:t>金额（人民币）：</w:t>
      </w:r>
      <w:r>
        <w:rPr>
          <w:rFonts w:hint="eastAsia" w:ascii="宋体" w:hAnsi="宋体" w:cs="宋体"/>
          <w:b/>
          <w:bCs/>
          <w:color w:val="auto"/>
          <w:kern w:val="0"/>
          <w:highlight w:val="none"/>
          <w:lang w:eastAsia="zh-CN"/>
        </w:rPr>
        <w:t>壹佰陆拾贰万元</w:t>
      </w:r>
      <w:r>
        <w:rPr>
          <w:rFonts w:hint="eastAsia" w:ascii="宋体" w:hAnsi="宋体" w:cs="宋体"/>
          <w:b/>
          <w:bCs/>
          <w:color w:val="auto"/>
          <w:kern w:val="0"/>
          <w:highlight w:val="none"/>
        </w:rPr>
        <w:t>整（￥</w:t>
      </w:r>
      <w:r>
        <w:rPr>
          <w:rFonts w:hint="eastAsia" w:ascii="宋体" w:hAnsi="宋体" w:cs="宋体"/>
          <w:b/>
          <w:bCs/>
          <w:color w:val="auto"/>
          <w:kern w:val="0"/>
          <w:highlight w:val="none"/>
          <w:lang w:eastAsia="zh-CN"/>
        </w:rPr>
        <w:t>16</w:t>
      </w:r>
      <w:r>
        <w:rPr>
          <w:rFonts w:hint="eastAsia" w:ascii="宋体" w:hAnsi="宋体" w:cs="宋体"/>
          <w:b/>
          <w:bCs/>
          <w:color w:val="auto"/>
          <w:kern w:val="0"/>
          <w:highlight w:val="none"/>
          <w:lang w:val="en-US" w:eastAsia="zh-CN"/>
        </w:rPr>
        <w:t>20000</w:t>
      </w:r>
      <w:r>
        <w:rPr>
          <w:rFonts w:hint="eastAsia" w:ascii="宋体" w:hAnsi="宋体" w:cs="宋体"/>
          <w:b/>
          <w:bCs/>
          <w:color w:val="auto"/>
          <w:kern w:val="0"/>
          <w:highlight w:val="none"/>
          <w:lang w:eastAsia="zh-CN"/>
        </w:rPr>
        <w:t>.00</w:t>
      </w:r>
      <w:r>
        <w:rPr>
          <w:rFonts w:hint="eastAsia" w:ascii="宋体" w:hAnsi="宋体" w:cs="宋体"/>
          <w:b/>
          <w:bCs/>
          <w:color w:val="auto"/>
          <w:kern w:val="0"/>
          <w:highlight w:val="none"/>
        </w:rPr>
        <w:t>元）</w:t>
      </w:r>
      <w:r>
        <w:rPr>
          <w:rFonts w:hint="eastAsia" w:ascii="宋体" w:hAnsi="宋体" w:cs="宋体"/>
          <w:color w:val="auto"/>
          <w:highlight w:val="none"/>
        </w:rPr>
        <w:t>。</w:t>
      </w:r>
    </w:p>
    <w:p w14:paraId="49431530">
      <w:pPr>
        <w:pStyle w:val="24"/>
        <w:pBdr>
          <w:top w:val="none" w:color="auto" w:sz="0" w:space="0"/>
          <w:left w:val="none" w:color="auto" w:sz="0" w:space="0"/>
          <w:bottom w:val="none" w:color="auto" w:sz="0" w:space="0"/>
          <w:right w:val="none" w:color="auto" w:sz="0" w:space="0"/>
        </w:pBdr>
        <w:spacing w:line="400" w:lineRule="exact"/>
        <w:ind w:left="0" w:leftChars="0" w:firstLine="420" w:firstLineChars="0"/>
        <w:rPr>
          <w:rFonts w:ascii="宋体" w:hAnsi="宋体" w:cs="宋体"/>
          <w:color w:val="auto"/>
          <w:kern w:val="0"/>
          <w:highlight w:val="none"/>
        </w:rPr>
      </w:pPr>
      <w:r>
        <w:rPr>
          <w:rFonts w:ascii="宋体" w:hAnsi="宋体" w:cs="宋体"/>
          <w:color w:val="auto"/>
          <w:kern w:val="0"/>
          <w:highlight w:val="none"/>
        </w:rPr>
        <w:t>5</w:t>
      </w:r>
      <w:r>
        <w:rPr>
          <w:rFonts w:hint="eastAsia" w:ascii="宋体" w:hAnsi="宋体" w:cs="宋体"/>
          <w:color w:val="auto"/>
          <w:kern w:val="0"/>
          <w:highlight w:val="none"/>
        </w:rPr>
        <w:t>.服务期限：2025年</w:t>
      </w:r>
      <w:r>
        <w:rPr>
          <w:rFonts w:hint="eastAsia" w:ascii="宋体" w:hAnsi="宋体" w:cs="宋体"/>
          <w:color w:val="auto"/>
          <w:kern w:val="0"/>
          <w:highlight w:val="none"/>
          <w:lang w:val="en-US" w:eastAsia="zh-CN"/>
        </w:rPr>
        <w:t>11</w:t>
      </w:r>
      <w:r>
        <w:rPr>
          <w:rFonts w:hint="eastAsia" w:ascii="宋体" w:hAnsi="宋体" w:cs="宋体"/>
          <w:color w:val="auto"/>
          <w:kern w:val="0"/>
          <w:highlight w:val="none"/>
        </w:rPr>
        <w:t>月20日前修复完成，并交付使用。</w:t>
      </w:r>
    </w:p>
    <w:p w14:paraId="58FDDD9A">
      <w:pPr>
        <w:spacing w:line="400" w:lineRule="exact"/>
        <w:ind w:firstLine="420" w:firstLineChars="200"/>
        <w:rPr>
          <w:rFonts w:ascii="宋体" w:cs="宋体"/>
          <w:b/>
          <w:kern w:val="0"/>
        </w:rPr>
      </w:pPr>
      <w:r>
        <w:rPr>
          <w:rFonts w:hint="eastAsia" w:ascii="宋体" w:hAnsi="宋体" w:cs="宋体"/>
          <w:b/>
          <w:kern w:val="0"/>
        </w:rPr>
        <w:t>二、服务内容及要求</w:t>
      </w:r>
    </w:p>
    <w:tbl>
      <w:tblPr>
        <w:tblStyle w:val="29"/>
        <w:tblpPr w:leftFromText="180" w:rightFromText="180" w:vertAnchor="text" w:horzAnchor="page" w:tblpXSpec="center" w:tblpY="442"/>
        <w:tblOverlap w:val="never"/>
        <w:tblW w:w="10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3855"/>
        <w:gridCol w:w="615"/>
        <w:gridCol w:w="1002"/>
        <w:gridCol w:w="989"/>
        <w:gridCol w:w="930"/>
        <w:gridCol w:w="931"/>
        <w:gridCol w:w="968"/>
        <w:gridCol w:w="960"/>
      </w:tblGrid>
      <w:tr w14:paraId="20F9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10775" w:type="dxa"/>
            <w:gridSpan w:val="9"/>
            <w:tcBorders>
              <w:top w:val="nil"/>
              <w:left w:val="nil"/>
              <w:bottom w:val="nil"/>
              <w:right w:val="nil"/>
            </w:tcBorders>
            <w:shd w:val="clear" w:color="auto" w:fill="auto"/>
            <w:noWrap/>
            <w:vAlign w:val="center"/>
          </w:tcPr>
          <w:p w14:paraId="27EEA8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单位（元）</w:t>
            </w:r>
          </w:p>
        </w:tc>
      </w:tr>
      <w:tr w14:paraId="74B6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22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38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8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名称及规格</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1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8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3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0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B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14:paraId="7C68E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F899">
            <w:pPr>
              <w:jc w:val="center"/>
              <w:rPr>
                <w:rFonts w:hint="eastAsia" w:ascii="宋体" w:hAnsi="宋体" w:eastAsia="宋体" w:cs="宋体"/>
                <w:i w:val="0"/>
                <w:iCs w:val="0"/>
                <w:color w:val="000000"/>
                <w:sz w:val="22"/>
                <w:szCs w:val="22"/>
                <w:u w:val="none"/>
              </w:rPr>
            </w:pPr>
          </w:p>
        </w:tc>
        <w:tc>
          <w:tcPr>
            <w:tcW w:w="38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085D">
            <w:pPr>
              <w:jc w:val="center"/>
              <w:rPr>
                <w:rFonts w:hint="eastAsia" w:ascii="宋体" w:hAnsi="宋体" w:eastAsia="宋体" w:cs="宋体"/>
                <w:i w:val="0"/>
                <w:iCs w:val="0"/>
                <w:color w:val="000000"/>
                <w:sz w:val="22"/>
                <w:szCs w:val="22"/>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9D7E">
            <w:pPr>
              <w:jc w:val="center"/>
              <w:rPr>
                <w:rFonts w:hint="eastAsia" w:ascii="宋体" w:hAnsi="宋体" w:eastAsia="宋体" w:cs="宋体"/>
                <w:i w:val="0"/>
                <w:iCs w:val="0"/>
                <w:color w:val="000000"/>
                <w:sz w:val="22"/>
                <w:szCs w:val="22"/>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5496">
            <w:pPr>
              <w:jc w:val="center"/>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7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1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7B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设备费</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2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C42D">
            <w:pPr>
              <w:rPr>
                <w:rFonts w:hint="eastAsia" w:ascii="宋体" w:hAnsi="宋体" w:eastAsia="宋体" w:cs="宋体"/>
                <w:i w:val="0"/>
                <w:iCs w:val="0"/>
                <w:color w:val="000000"/>
                <w:sz w:val="22"/>
                <w:szCs w:val="22"/>
                <w:u w:val="none"/>
              </w:rPr>
            </w:pPr>
          </w:p>
        </w:tc>
      </w:tr>
      <w:tr w14:paraId="2225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EE07">
            <w:pPr>
              <w:rPr>
                <w:rFonts w:hint="eastAsia" w:ascii="宋体" w:hAnsi="宋体" w:eastAsia="宋体" w:cs="宋体"/>
                <w:i w:val="0"/>
                <w:iCs w:val="0"/>
                <w:color w:val="000000"/>
                <w:sz w:val="22"/>
                <w:szCs w:val="22"/>
                <w:u w:val="none"/>
              </w:rPr>
            </w:pP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F4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液压翻板闸维修加固</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3753">
            <w:pPr>
              <w:jc w:val="center"/>
              <w:rPr>
                <w:rFonts w:hint="eastAsia" w:ascii="宋体" w:hAnsi="宋体" w:eastAsia="宋体" w:cs="宋体"/>
                <w:i w:val="0"/>
                <w:iCs w:val="0"/>
                <w:color w:val="000000"/>
                <w:sz w:val="22"/>
                <w:szCs w:val="22"/>
                <w:u w:val="none"/>
              </w:rPr>
            </w:pP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5A0F">
            <w:pPr>
              <w:jc w:val="center"/>
              <w:rPr>
                <w:rFonts w:hint="eastAsia" w:ascii="宋体" w:hAnsi="宋体" w:eastAsia="宋体" w:cs="宋体"/>
                <w:i w:val="0"/>
                <w:iCs w:val="0"/>
                <w:color w:val="000000"/>
                <w:sz w:val="22"/>
                <w:szCs w:val="22"/>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5436">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451B">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2CD8">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6903">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873F">
            <w:pPr>
              <w:rPr>
                <w:rFonts w:hint="eastAsia" w:ascii="宋体" w:hAnsi="宋体" w:eastAsia="宋体" w:cs="宋体"/>
                <w:i w:val="0"/>
                <w:iCs w:val="0"/>
                <w:color w:val="000000"/>
                <w:sz w:val="22"/>
                <w:szCs w:val="22"/>
                <w:u w:val="none"/>
              </w:rPr>
            </w:pPr>
          </w:p>
        </w:tc>
      </w:tr>
      <w:tr w14:paraId="2B2A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E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45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锁定杆（新制作、备用1根）</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9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C9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B4CB">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3161">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45A6">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2CF7">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69443">
            <w:pPr>
              <w:rPr>
                <w:rFonts w:hint="eastAsia" w:ascii="宋体" w:hAnsi="宋体" w:eastAsia="宋体" w:cs="宋体"/>
                <w:i w:val="0"/>
                <w:iCs w:val="0"/>
                <w:color w:val="000000"/>
                <w:sz w:val="22"/>
                <w:szCs w:val="22"/>
                <w:u w:val="none"/>
              </w:rPr>
            </w:pPr>
          </w:p>
        </w:tc>
      </w:tr>
      <w:tr w14:paraId="2309E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F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82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锁定杆销轴（更换）</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A7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B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A69A">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45AD">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92AE">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9A7F">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8B1D">
            <w:pPr>
              <w:rPr>
                <w:rFonts w:hint="eastAsia" w:ascii="宋体" w:hAnsi="宋体" w:eastAsia="宋体" w:cs="宋体"/>
                <w:i w:val="0"/>
                <w:iCs w:val="0"/>
                <w:color w:val="000000"/>
                <w:sz w:val="22"/>
                <w:szCs w:val="22"/>
                <w:u w:val="none"/>
              </w:rPr>
            </w:pPr>
          </w:p>
        </w:tc>
      </w:tr>
      <w:tr w14:paraId="50E4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6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99C8">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液压坝主油缸（新增）（密封件采用德国MERKEL-FREUDENBRG）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E3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6E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87CB">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78F1">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E0E8">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AAE0">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15A8">
            <w:pPr>
              <w:rPr>
                <w:rFonts w:hint="eastAsia" w:ascii="宋体" w:hAnsi="宋体" w:eastAsia="宋体" w:cs="宋体"/>
                <w:i w:val="0"/>
                <w:iCs w:val="0"/>
                <w:color w:val="000000"/>
                <w:sz w:val="22"/>
                <w:szCs w:val="22"/>
                <w:u w:val="none"/>
              </w:rPr>
            </w:pPr>
          </w:p>
        </w:tc>
      </w:tr>
      <w:tr w14:paraId="17DFF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8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5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液压坝（旧）油缸（维修）（密封件采用德国MERKEL-FREUDENBRG）</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A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A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B4F5">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ABB6">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8806">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2057">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49DC">
            <w:pPr>
              <w:rPr>
                <w:rFonts w:hint="eastAsia" w:ascii="宋体" w:hAnsi="宋体" w:eastAsia="宋体" w:cs="宋体"/>
                <w:i w:val="0"/>
                <w:iCs w:val="0"/>
                <w:color w:val="000000"/>
                <w:sz w:val="22"/>
                <w:szCs w:val="22"/>
                <w:u w:val="none"/>
              </w:rPr>
            </w:pPr>
          </w:p>
        </w:tc>
      </w:tr>
      <w:tr w14:paraId="0BFB0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99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BE4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液压坝旧油缸</w:t>
            </w:r>
            <w:r>
              <w:rPr>
                <w:rFonts w:hint="eastAsia" w:ascii="宋体" w:hAnsi="宋体" w:cs="宋体"/>
                <w:i w:val="0"/>
                <w:iCs w:val="0"/>
                <w:color w:val="auto"/>
                <w:kern w:val="0"/>
                <w:sz w:val="22"/>
                <w:szCs w:val="22"/>
                <w:u w:val="none"/>
                <w:lang w:val="en-US" w:eastAsia="zh-CN" w:bidi="ar"/>
              </w:rPr>
              <w:t>拆卸</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5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C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3B59">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A73B">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9F66">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8146">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C3EB">
            <w:pPr>
              <w:rPr>
                <w:rFonts w:hint="eastAsia" w:ascii="宋体" w:hAnsi="宋体" w:eastAsia="宋体" w:cs="宋体"/>
                <w:i w:val="0"/>
                <w:iCs w:val="0"/>
                <w:color w:val="000000"/>
                <w:sz w:val="22"/>
                <w:szCs w:val="22"/>
                <w:u w:val="none"/>
              </w:rPr>
            </w:pPr>
          </w:p>
        </w:tc>
      </w:tr>
      <w:tr w14:paraId="247C7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A3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D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液压坝油缸连接软油管（更换）</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7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5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3D0B">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18D7">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49D7">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13F5">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2078">
            <w:pPr>
              <w:rPr>
                <w:rFonts w:hint="eastAsia" w:ascii="宋体" w:hAnsi="宋体" w:eastAsia="宋体" w:cs="宋体"/>
                <w:i w:val="0"/>
                <w:iCs w:val="0"/>
                <w:color w:val="000000"/>
                <w:sz w:val="22"/>
                <w:szCs w:val="22"/>
                <w:u w:val="none"/>
              </w:rPr>
            </w:pPr>
          </w:p>
        </w:tc>
      </w:tr>
      <w:tr w14:paraId="6838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7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47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液压坝油缸地角螺栓保护套（更换）</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C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D610">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6689">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B81D">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6372B">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8612">
            <w:pPr>
              <w:rPr>
                <w:rFonts w:hint="eastAsia" w:ascii="宋体" w:hAnsi="宋体" w:eastAsia="宋体" w:cs="宋体"/>
                <w:i w:val="0"/>
                <w:iCs w:val="0"/>
                <w:color w:val="000000"/>
                <w:sz w:val="22"/>
                <w:szCs w:val="22"/>
                <w:u w:val="none"/>
              </w:rPr>
            </w:pPr>
          </w:p>
        </w:tc>
      </w:tr>
      <w:tr w14:paraId="70D2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0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1B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液压坝固定连接装置（含销轴、导套、连接座等新增）</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E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8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46B9">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C07F">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8446">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313E">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BCDA">
            <w:pPr>
              <w:rPr>
                <w:rFonts w:hint="eastAsia" w:ascii="宋体" w:hAnsi="宋体" w:eastAsia="宋体" w:cs="宋体"/>
                <w:i w:val="0"/>
                <w:iCs w:val="0"/>
                <w:color w:val="000000"/>
                <w:sz w:val="22"/>
                <w:szCs w:val="22"/>
                <w:u w:val="none"/>
              </w:rPr>
            </w:pPr>
          </w:p>
        </w:tc>
      </w:tr>
      <w:tr w14:paraId="464B9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E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E3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液压坝两边侧翼墙锁定（新增）</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D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C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E922">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A15F">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C148">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6C57">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CFB2">
            <w:pPr>
              <w:rPr>
                <w:rFonts w:hint="eastAsia" w:ascii="宋体" w:hAnsi="宋体" w:eastAsia="宋体" w:cs="宋体"/>
                <w:i w:val="0"/>
                <w:iCs w:val="0"/>
                <w:color w:val="000000"/>
                <w:sz w:val="22"/>
                <w:szCs w:val="22"/>
                <w:u w:val="none"/>
              </w:rPr>
            </w:pPr>
          </w:p>
        </w:tc>
      </w:tr>
      <w:tr w14:paraId="42B4E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3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C1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液压坝主油箱检查清洗</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0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6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23A4">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B983">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3C66">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3FB4">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FED0">
            <w:pPr>
              <w:rPr>
                <w:rFonts w:hint="eastAsia" w:ascii="宋体" w:hAnsi="宋体" w:eastAsia="宋体" w:cs="宋体"/>
                <w:i w:val="0"/>
                <w:iCs w:val="0"/>
                <w:color w:val="000000"/>
                <w:sz w:val="22"/>
                <w:szCs w:val="22"/>
                <w:u w:val="none"/>
              </w:rPr>
            </w:pPr>
          </w:p>
        </w:tc>
      </w:tr>
      <w:tr w14:paraId="3C59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4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6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液压坝主油箱液压油（补充、新增）</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8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E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2C59">
            <w:pPr>
              <w:rPr>
                <w:rFonts w:hint="eastAsia" w:ascii="宋体" w:hAnsi="宋体" w:eastAsia="宋体" w:cs="宋体"/>
                <w:i w:val="0"/>
                <w:iCs w:val="0"/>
                <w:color w:val="000000"/>
                <w:sz w:val="22"/>
                <w:szCs w:val="22"/>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F308">
            <w:pPr>
              <w:rPr>
                <w:rFonts w:hint="eastAsia" w:ascii="宋体" w:hAnsi="宋体" w:eastAsia="宋体" w:cs="宋体"/>
                <w:i w:val="0"/>
                <w:iCs w:val="0"/>
                <w:color w:val="000000"/>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93AE">
            <w:pPr>
              <w:rPr>
                <w:rFonts w:hint="eastAsia" w:ascii="宋体" w:hAnsi="宋体" w:eastAsia="宋体" w:cs="宋体"/>
                <w:i w:val="0"/>
                <w:iCs w:val="0"/>
                <w:color w:val="000000"/>
                <w:sz w:val="22"/>
                <w:szCs w:val="22"/>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BCD1">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8E67">
            <w:pPr>
              <w:rPr>
                <w:rFonts w:hint="eastAsia" w:ascii="宋体" w:hAnsi="宋体" w:eastAsia="宋体" w:cs="宋体"/>
                <w:i w:val="0"/>
                <w:iCs w:val="0"/>
                <w:color w:val="000000"/>
                <w:sz w:val="22"/>
                <w:szCs w:val="22"/>
                <w:u w:val="none"/>
              </w:rPr>
            </w:pPr>
          </w:p>
        </w:tc>
      </w:tr>
    </w:tbl>
    <w:p w14:paraId="41BCE1FE">
      <w:pPr>
        <w:pStyle w:val="4"/>
        <w:rPr>
          <w:rFonts w:hint="eastAsia"/>
        </w:rPr>
      </w:pPr>
    </w:p>
    <w:p w14:paraId="6109D6B6">
      <w:pPr>
        <w:rPr>
          <w:rFonts w:hint="eastAsia"/>
        </w:rPr>
      </w:pPr>
    </w:p>
    <w:tbl>
      <w:tblPr>
        <w:tblStyle w:val="29"/>
        <w:tblpPr w:leftFromText="180" w:rightFromText="180" w:vertAnchor="text" w:horzAnchor="page" w:tblpX="1786" w:tblpY="54"/>
        <w:tblOverlap w:val="never"/>
        <w:tblW w:w="93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6"/>
        <w:gridCol w:w="7265"/>
      </w:tblGrid>
      <w:tr w14:paraId="2AC15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9321" w:type="dxa"/>
            <w:gridSpan w:val="2"/>
            <w:tcBorders>
              <w:top w:val="single" w:color="auto" w:sz="4" w:space="0"/>
              <w:left w:val="single" w:color="auto" w:sz="4" w:space="0"/>
              <w:bottom w:val="single" w:color="auto" w:sz="4" w:space="0"/>
              <w:right w:val="single" w:color="auto" w:sz="4" w:space="0"/>
            </w:tcBorders>
            <w:noWrap/>
          </w:tcPr>
          <w:p w14:paraId="022A49A6">
            <w:pPr>
              <w:jc w:val="center"/>
            </w:pPr>
            <w:r>
              <w:rPr>
                <w:rFonts w:hint="eastAsia"/>
              </w:rPr>
              <w:t>商务要求</w:t>
            </w:r>
          </w:p>
        </w:tc>
      </w:tr>
      <w:tr w14:paraId="22CE9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2056" w:type="dxa"/>
            <w:tcBorders>
              <w:top w:val="single" w:color="auto" w:sz="4" w:space="0"/>
              <w:left w:val="single" w:color="auto" w:sz="4" w:space="0"/>
              <w:bottom w:val="single" w:color="auto" w:sz="4" w:space="0"/>
              <w:right w:val="single" w:color="auto" w:sz="4" w:space="0"/>
            </w:tcBorders>
            <w:noWrap/>
            <w:vAlign w:val="center"/>
          </w:tcPr>
          <w:p w14:paraId="18A4A250">
            <w:r>
              <w:rPr>
                <w:rFonts w:hint="eastAsia"/>
              </w:rPr>
              <w:t>售后服务要求</w:t>
            </w:r>
          </w:p>
        </w:tc>
        <w:tc>
          <w:tcPr>
            <w:tcW w:w="7265" w:type="dxa"/>
            <w:tcBorders>
              <w:top w:val="single" w:color="auto" w:sz="4" w:space="0"/>
              <w:left w:val="single" w:color="auto" w:sz="4" w:space="0"/>
              <w:bottom w:val="single" w:color="auto" w:sz="4" w:space="0"/>
              <w:right w:val="single" w:color="auto" w:sz="4" w:space="0"/>
            </w:tcBorders>
            <w:noWrap/>
            <w:vAlign w:val="center"/>
          </w:tcPr>
          <w:p w14:paraId="237CC0B3">
            <w:r>
              <w:rPr>
                <w:rFonts w:hint="eastAsia"/>
              </w:rPr>
              <w:t>1.服务质量要求：符合现行国家颁布的有关规程规范要求</w:t>
            </w:r>
            <w:r>
              <w:rPr>
                <w:rFonts w:hint="eastAsia"/>
                <w:lang w:val="en-US" w:eastAsia="zh-CN"/>
              </w:rPr>
              <w:t>，</w:t>
            </w:r>
            <w:r>
              <w:rPr>
                <w:rFonts w:hint="eastAsia"/>
              </w:rPr>
              <w:t>质量要求：合格</w:t>
            </w:r>
            <w:r>
              <w:rPr>
                <w:rFonts w:hint="eastAsia"/>
                <w:lang w:eastAsia="zh-CN"/>
              </w:rPr>
              <w:t>。</w:t>
            </w:r>
          </w:p>
          <w:p w14:paraId="722C1C33">
            <w:r>
              <w:rPr>
                <w:rFonts w:hint="eastAsia"/>
              </w:rPr>
              <w:t>2.处理问题响应时间：接到采购人通知起24小时内到达指定现场处理问题。</w:t>
            </w:r>
          </w:p>
          <w:p w14:paraId="5A6A7E90">
            <w:r>
              <w:rPr>
                <w:rFonts w:hint="eastAsia"/>
              </w:rPr>
              <w:t>3.其他：根据审查会、工作对接会、协调会等意见相应修改完善服务内容，协助采购人处理涉及的相关问题，支付专家评审费用。</w:t>
            </w:r>
          </w:p>
        </w:tc>
      </w:tr>
      <w:tr w14:paraId="011FB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2056" w:type="dxa"/>
            <w:tcBorders>
              <w:top w:val="single" w:color="auto" w:sz="4" w:space="0"/>
              <w:left w:val="single" w:color="auto" w:sz="4" w:space="0"/>
              <w:bottom w:val="single" w:color="auto" w:sz="4" w:space="0"/>
              <w:right w:val="single" w:color="auto" w:sz="4" w:space="0"/>
            </w:tcBorders>
            <w:noWrap/>
            <w:vAlign w:val="center"/>
          </w:tcPr>
          <w:p w14:paraId="3A24D73D">
            <w:r>
              <w:rPr>
                <w:rFonts w:hint="eastAsia"/>
              </w:rPr>
              <w:t>交付使用时间及地点</w:t>
            </w:r>
          </w:p>
        </w:tc>
        <w:tc>
          <w:tcPr>
            <w:tcW w:w="7265" w:type="dxa"/>
            <w:tcBorders>
              <w:top w:val="single" w:color="auto" w:sz="4" w:space="0"/>
              <w:left w:val="single" w:color="auto" w:sz="4" w:space="0"/>
              <w:bottom w:val="single" w:color="auto" w:sz="4" w:space="0"/>
              <w:right w:val="single" w:color="auto" w:sz="4" w:space="0"/>
            </w:tcBorders>
            <w:noWrap/>
            <w:vAlign w:val="center"/>
          </w:tcPr>
          <w:p w14:paraId="6AF68C77">
            <w:pPr>
              <w:rPr>
                <w:color w:val="auto"/>
                <w:szCs w:val="21"/>
                <w:highlight w:val="none"/>
              </w:rPr>
            </w:pPr>
            <w:r>
              <w:rPr>
                <w:rFonts w:hint="eastAsia"/>
                <w:color w:val="auto"/>
                <w:szCs w:val="21"/>
                <w:highlight w:val="none"/>
              </w:rPr>
              <w:t>1、服务期：</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w:t>
            </w:r>
            <w:r>
              <w:rPr>
                <w:rFonts w:hint="eastAsia"/>
                <w:color w:val="auto"/>
                <w:highlight w:val="none"/>
              </w:rPr>
              <w:t>1月20日前修复完成，并交付使用。</w:t>
            </w:r>
          </w:p>
          <w:p w14:paraId="5E86E91E">
            <w:pPr>
              <w:rPr>
                <w:color w:val="auto"/>
                <w:highlight w:val="none"/>
              </w:rPr>
            </w:pPr>
            <w:r>
              <w:rPr>
                <w:rFonts w:hint="eastAsia"/>
                <w:color w:val="auto"/>
                <w:highlight w:val="none"/>
              </w:rPr>
              <w:t>2、服务地点：采购人指定地点。</w:t>
            </w:r>
          </w:p>
        </w:tc>
      </w:tr>
      <w:tr w14:paraId="5759D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4" w:hRule="atLeast"/>
        </w:trPr>
        <w:tc>
          <w:tcPr>
            <w:tcW w:w="2056" w:type="dxa"/>
            <w:tcBorders>
              <w:top w:val="single" w:color="auto" w:sz="4" w:space="0"/>
              <w:left w:val="single" w:color="auto" w:sz="4" w:space="0"/>
              <w:bottom w:val="single" w:color="auto" w:sz="4" w:space="0"/>
              <w:right w:val="single" w:color="auto" w:sz="4" w:space="0"/>
            </w:tcBorders>
            <w:noWrap/>
            <w:vAlign w:val="center"/>
          </w:tcPr>
          <w:p w14:paraId="5B3E5298">
            <w:r>
              <w:rPr>
                <w:rFonts w:hint="eastAsia"/>
              </w:rPr>
              <w:t>付款方式</w:t>
            </w:r>
          </w:p>
        </w:tc>
        <w:tc>
          <w:tcPr>
            <w:tcW w:w="7265" w:type="dxa"/>
            <w:tcBorders>
              <w:top w:val="single" w:color="auto" w:sz="4" w:space="0"/>
              <w:left w:val="single" w:color="auto" w:sz="4" w:space="0"/>
              <w:bottom w:val="single" w:color="auto" w:sz="4" w:space="0"/>
              <w:right w:val="single" w:color="auto" w:sz="4" w:space="0"/>
            </w:tcBorders>
            <w:noWrap/>
            <w:vAlign w:val="center"/>
          </w:tcPr>
          <w:p w14:paraId="4A05D6F3">
            <w:pPr>
              <w:rPr>
                <w:color w:val="auto"/>
                <w:highlight w:val="none"/>
              </w:rPr>
            </w:pPr>
            <w:r>
              <w:rPr>
                <w:rFonts w:hint="eastAsia"/>
                <w:color w:val="auto"/>
                <w:highlight w:val="none"/>
              </w:rPr>
              <w:t>验收合格后15个工作日内一次性支付。</w:t>
            </w:r>
          </w:p>
        </w:tc>
      </w:tr>
      <w:tr w14:paraId="15FEF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2056" w:type="dxa"/>
            <w:tcBorders>
              <w:top w:val="single" w:color="auto" w:sz="4" w:space="0"/>
              <w:left w:val="single" w:color="auto" w:sz="4" w:space="0"/>
              <w:bottom w:val="single" w:color="auto" w:sz="4" w:space="0"/>
              <w:right w:val="single" w:color="auto" w:sz="4" w:space="0"/>
            </w:tcBorders>
            <w:noWrap/>
            <w:vAlign w:val="center"/>
          </w:tcPr>
          <w:p w14:paraId="19E17C1B">
            <w:r>
              <w:rPr>
                <w:rFonts w:hint="eastAsia"/>
              </w:rPr>
              <w:t>服务标准</w:t>
            </w:r>
          </w:p>
        </w:tc>
        <w:tc>
          <w:tcPr>
            <w:tcW w:w="7265" w:type="dxa"/>
            <w:tcBorders>
              <w:top w:val="single" w:color="auto" w:sz="4" w:space="0"/>
              <w:left w:val="single" w:color="auto" w:sz="4" w:space="0"/>
              <w:bottom w:val="single" w:color="auto" w:sz="4" w:space="0"/>
              <w:right w:val="single" w:color="auto" w:sz="4" w:space="0"/>
            </w:tcBorders>
            <w:noWrap/>
            <w:vAlign w:val="center"/>
          </w:tcPr>
          <w:p w14:paraId="5B9B1F22">
            <w:pPr>
              <w:rPr>
                <w:rFonts w:cs="宋体"/>
                <w:color w:val="auto"/>
                <w:szCs w:val="21"/>
              </w:rPr>
            </w:pPr>
            <w:r>
              <w:rPr>
                <w:rFonts w:hint="eastAsia"/>
                <w:color w:val="auto"/>
              </w:rPr>
              <w:t>根据相关法律法规及规程规范的要求。</w:t>
            </w:r>
          </w:p>
        </w:tc>
      </w:tr>
      <w:tr w14:paraId="58CBB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4" w:hRule="atLeast"/>
        </w:trPr>
        <w:tc>
          <w:tcPr>
            <w:tcW w:w="2056" w:type="dxa"/>
            <w:tcBorders>
              <w:top w:val="single" w:color="auto" w:sz="4" w:space="0"/>
              <w:left w:val="single" w:color="auto" w:sz="4" w:space="0"/>
              <w:bottom w:val="single" w:color="auto" w:sz="4" w:space="0"/>
              <w:right w:val="single" w:color="auto" w:sz="4" w:space="0"/>
            </w:tcBorders>
            <w:noWrap/>
            <w:vAlign w:val="center"/>
          </w:tcPr>
          <w:p w14:paraId="7E7C8D8F">
            <w:r>
              <w:rPr>
                <w:rFonts w:hint="eastAsia"/>
              </w:rPr>
              <w:t>其他要求</w:t>
            </w:r>
          </w:p>
        </w:tc>
        <w:tc>
          <w:tcPr>
            <w:tcW w:w="7265" w:type="dxa"/>
            <w:tcBorders>
              <w:top w:val="single" w:color="auto" w:sz="4" w:space="0"/>
              <w:left w:val="single" w:color="auto" w:sz="4" w:space="0"/>
              <w:bottom w:val="single" w:color="auto" w:sz="4" w:space="0"/>
              <w:right w:val="single" w:color="auto" w:sz="4" w:space="0"/>
            </w:tcBorders>
            <w:noWrap/>
            <w:vAlign w:val="center"/>
          </w:tcPr>
          <w:p w14:paraId="28438B78">
            <w:pPr>
              <w:rPr>
                <w:color w:val="auto"/>
                <w:highlight w:val="none"/>
              </w:rPr>
            </w:pPr>
            <w:r>
              <w:rPr>
                <w:rFonts w:hint="eastAsia"/>
                <w:color w:val="auto"/>
                <w:highlight w:val="none"/>
              </w:rPr>
              <w:t>本项目采用总包方式，由竞标方提供修复的设备、所需零件、安装材料及相应设备的安装</w:t>
            </w:r>
            <w:r>
              <w:rPr>
                <w:rFonts w:hint="eastAsia"/>
                <w:color w:val="auto"/>
                <w:highlight w:val="none"/>
                <w:lang w:eastAsia="zh-CN"/>
              </w:rPr>
              <w:t>、拆卸</w:t>
            </w:r>
            <w:r>
              <w:rPr>
                <w:rFonts w:hint="eastAsia"/>
                <w:color w:val="auto"/>
                <w:highlight w:val="none"/>
              </w:rPr>
              <w:t>及运输。</w:t>
            </w:r>
          </w:p>
          <w:p w14:paraId="7296FE6B">
            <w:pPr>
              <w:rPr>
                <w:color w:val="auto"/>
                <w:highlight w:val="none"/>
              </w:rPr>
            </w:pPr>
            <w:r>
              <w:rPr>
                <w:rFonts w:hint="eastAsia"/>
                <w:color w:val="auto"/>
                <w:highlight w:val="none"/>
              </w:rPr>
              <w:t>1、本次采购的修复内容竞标方必须保证设备的质量及性能满足安全使用3年以上；</w:t>
            </w:r>
          </w:p>
          <w:p w14:paraId="779F2AB7">
            <w:pPr>
              <w:rPr>
                <w:color w:val="auto"/>
                <w:szCs w:val="21"/>
                <w:highlight w:val="none"/>
              </w:rPr>
            </w:pPr>
            <w:r>
              <w:rPr>
                <w:rFonts w:hint="eastAsia"/>
                <w:color w:val="auto"/>
                <w:highlight w:val="none"/>
                <w:lang w:val="en-US" w:eastAsia="zh-CN"/>
              </w:rPr>
              <w:t>2</w:t>
            </w:r>
            <w:r>
              <w:rPr>
                <w:rFonts w:hint="eastAsia"/>
                <w:color w:val="auto"/>
                <w:highlight w:val="none"/>
              </w:rPr>
              <w:t>、本项目采购预算金额为人民币：</w:t>
            </w:r>
            <w:r>
              <w:rPr>
                <w:rFonts w:hint="eastAsia"/>
                <w:b/>
                <w:bCs/>
                <w:color w:val="auto"/>
                <w:highlight w:val="none"/>
                <w:u w:val="single"/>
                <w:lang w:eastAsia="zh-CN"/>
              </w:rPr>
              <w:t>壹佰陆拾贰万元</w:t>
            </w:r>
            <w:r>
              <w:rPr>
                <w:rFonts w:hint="eastAsia"/>
                <w:b/>
                <w:bCs/>
                <w:color w:val="auto"/>
                <w:highlight w:val="none"/>
                <w:u w:val="single"/>
              </w:rPr>
              <w:t>整（￥</w:t>
            </w:r>
            <w:r>
              <w:rPr>
                <w:rFonts w:hint="eastAsia"/>
                <w:b/>
                <w:bCs/>
                <w:color w:val="auto"/>
                <w:highlight w:val="none"/>
                <w:u w:val="single"/>
                <w:lang w:eastAsia="zh-CN"/>
              </w:rPr>
              <w:t>16</w:t>
            </w:r>
            <w:r>
              <w:rPr>
                <w:rFonts w:hint="eastAsia"/>
                <w:b/>
                <w:bCs/>
                <w:color w:val="auto"/>
                <w:highlight w:val="none"/>
                <w:u w:val="single"/>
                <w:lang w:val="en-US" w:eastAsia="zh-CN"/>
              </w:rPr>
              <w:t>20000</w:t>
            </w:r>
            <w:r>
              <w:rPr>
                <w:rFonts w:hint="eastAsia"/>
                <w:b/>
                <w:bCs/>
                <w:color w:val="auto"/>
                <w:highlight w:val="none"/>
                <w:u w:val="single"/>
                <w:lang w:eastAsia="zh-CN"/>
              </w:rPr>
              <w:t>.00</w:t>
            </w:r>
            <w:r>
              <w:rPr>
                <w:rFonts w:hint="eastAsia"/>
                <w:b/>
                <w:bCs/>
                <w:color w:val="auto"/>
                <w:highlight w:val="none"/>
                <w:u w:val="single"/>
              </w:rPr>
              <w:t>元）</w:t>
            </w:r>
            <w:r>
              <w:rPr>
                <w:rFonts w:hint="eastAsia"/>
                <w:color w:val="auto"/>
                <w:highlight w:val="none"/>
              </w:rPr>
              <w:t>，超出采购预算的将被视为无效竞标。</w:t>
            </w:r>
          </w:p>
        </w:tc>
      </w:tr>
    </w:tbl>
    <w:p w14:paraId="1ED97F7A">
      <w:r>
        <w:rPr>
          <w:rFonts w:hint="eastAsia"/>
        </w:rPr>
        <w:br w:type="page"/>
      </w:r>
    </w:p>
    <w:p w14:paraId="23D2A63B">
      <w:pPr>
        <w:pStyle w:val="3"/>
        <w:spacing w:before="0" w:after="0" w:line="360" w:lineRule="auto"/>
        <w:ind w:left="0" w:leftChars="0" w:right="0" w:rightChars="0" w:firstLine="0" w:firstLine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第四章 评审办法</w:t>
      </w:r>
      <w:bookmarkEnd w:id="130"/>
      <w:bookmarkEnd w:id="131"/>
      <w:bookmarkEnd w:id="132"/>
    </w:p>
    <w:p w14:paraId="1EC71C21">
      <w:pPr>
        <w:spacing w:line="400" w:lineRule="exact"/>
        <w:ind w:firstLine="420" w:firstLineChars="200"/>
        <w:rPr>
          <w:rFonts w:hint="eastAsia" w:ascii="宋体" w:hAnsi="宋体" w:eastAsia="宋体" w:cs="宋体"/>
          <w:b/>
          <w:bCs/>
          <w:color w:val="auto"/>
          <w:szCs w:val="21"/>
          <w:highlight w:val="none"/>
        </w:rPr>
      </w:pPr>
      <w:bookmarkStart w:id="133" w:name="_Toc5351"/>
      <w:bookmarkStart w:id="134" w:name="_Toc8466"/>
      <w:bookmarkStart w:id="135" w:name="_Toc17956"/>
      <w:bookmarkStart w:id="136" w:name="_Toc4774"/>
      <w:r>
        <w:rPr>
          <w:rFonts w:hint="eastAsia" w:ascii="宋体" w:hAnsi="宋体" w:eastAsia="宋体" w:cs="宋体"/>
          <w:b/>
          <w:bCs/>
          <w:color w:val="auto"/>
          <w:szCs w:val="21"/>
          <w:highlight w:val="none"/>
        </w:rPr>
        <w:t>一、评标依据及方式</w:t>
      </w:r>
    </w:p>
    <w:p w14:paraId="4DE3F192">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评标依据：磋商小组以采购文件和响应文件为评标依据，对投标人的响应文件进行评审。</w:t>
      </w:r>
    </w:p>
    <w:p w14:paraId="2A5EAB4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评标方式：以封闭方式进行评标。</w:t>
      </w:r>
    </w:p>
    <w:p w14:paraId="565D5E3A">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采购人和采购代理机构、磋商小组成员要严格遵守政府采购相关法律制度，依法履行各自职责，公正、客观、审慎地组织和参与评审工作。</w:t>
      </w:r>
    </w:p>
    <w:p w14:paraId="0921A723">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w:t>
      </w:r>
      <w:r>
        <w:rPr>
          <w:rFonts w:hint="eastAsia" w:ascii="宋体" w:hAnsi="宋体" w:eastAsia="宋体" w:cs="宋体"/>
          <w:b/>
          <w:bCs/>
          <w:color w:val="auto"/>
          <w:szCs w:val="21"/>
          <w:highlight w:val="none"/>
          <w:lang w:eastAsia="zh-CN"/>
        </w:rPr>
        <w:t>审</w:t>
      </w:r>
      <w:r>
        <w:rPr>
          <w:rFonts w:hint="eastAsia" w:ascii="宋体" w:hAnsi="宋体" w:eastAsia="宋体" w:cs="宋体"/>
          <w:b/>
          <w:bCs/>
          <w:color w:val="auto"/>
          <w:szCs w:val="21"/>
          <w:highlight w:val="none"/>
        </w:rPr>
        <w:t>办法</w:t>
      </w:r>
    </w:p>
    <w:p w14:paraId="7807629D">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（一）对进入详评的，采用综合评分法。</w:t>
      </w:r>
    </w:p>
    <w:p w14:paraId="3558C4CF">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（二）计分办法（按四舍五入取至小数点后二位）</w:t>
      </w:r>
    </w:p>
    <w:p w14:paraId="0E78FE27">
      <w:pPr>
        <w:keepNext/>
        <w:keepLines/>
        <w:spacing w:line="400" w:lineRule="exact"/>
        <w:outlineLvl w:val="1"/>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1.价格分…………………………………………………………………………………………30分</w:t>
      </w:r>
    </w:p>
    <w:p w14:paraId="53AA5893">
      <w:pPr>
        <w:keepNext w:val="0"/>
        <w:keepLines w:val="0"/>
        <w:pageBreakBefore w:val="0"/>
        <w:widowControl/>
        <w:kinsoku/>
        <w:wordWrap/>
        <w:overflowPunct/>
        <w:topLinePunct w:val="0"/>
        <w:autoSpaceDE/>
        <w:autoSpaceDN/>
        <w:bidi w:val="0"/>
        <w:adjustRightInd/>
        <w:spacing w:line="400" w:lineRule="exact"/>
        <w:ind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本项目为专门面向中小微企业采购项目（供应商应为符合国家政策要求的中小微企业或监狱企业或残疾人福利性单位)，不再执行价格评审优惠的扶持政策。即评审报价=最后磋商报价。</w:t>
      </w:r>
    </w:p>
    <w:p w14:paraId="2979515C">
      <w:pPr>
        <w:keepNext w:val="0"/>
        <w:keepLines w:val="0"/>
        <w:pageBreakBefore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①按照《财政部、司法部关于政府采购支持监狱企业发展有关问题的通知》（</w:t>
      </w:r>
      <w:r>
        <w:rPr>
          <w:rFonts w:hint="eastAsia" w:ascii="宋体" w:hAnsi="宋体" w:cs="宋体"/>
          <w:kern w:val="0"/>
          <w:szCs w:val="21"/>
        </w:rPr>
        <w:t>财库﹝2020﹞46 号</w:t>
      </w:r>
      <w:r>
        <w:rPr>
          <w:rFonts w:hint="eastAsia" w:ascii="宋体" w:hAnsi="宋体" w:eastAsia="宋体" w:cs="宋体"/>
          <w:color w:val="auto"/>
          <w:sz w:val="21"/>
          <w:szCs w:val="21"/>
          <w:highlight w:val="none"/>
        </w:rPr>
        <w:t>）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481F2E42">
      <w:pPr>
        <w:keepNext w:val="0"/>
        <w:keepLines w:val="0"/>
        <w:pageBreakBefore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②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w:t>
      </w:r>
      <w:r>
        <w:rPr>
          <w:rFonts w:hint="eastAsia" w:ascii="宋体" w:hAnsi="宋体" w:eastAsia="宋体" w:cs="宋体"/>
          <w:color w:val="auto"/>
          <w:sz w:val="21"/>
          <w:szCs w:val="21"/>
          <w:highlight w:val="none"/>
          <w:lang w:eastAsia="zh-CN"/>
        </w:rPr>
        <w:t>。</w:t>
      </w:r>
    </w:p>
    <w:p w14:paraId="48B4F4F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）以进入综合评分环节的最低的评审报价为基准价，基准价报价得分为30分。</w:t>
      </w:r>
    </w:p>
    <w:p w14:paraId="66812090">
      <w:pPr>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）供应商磋商报价得分=（磋商基准价</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供应商的评审报价）×30分。</w:t>
      </w:r>
    </w:p>
    <w:p w14:paraId="6A15BB80">
      <w:pPr>
        <w:spacing w:line="400" w:lineRule="exact"/>
        <w:ind w:left="420" w:leftChars="200"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 w:val="21"/>
          <w:szCs w:val="21"/>
          <w:highlight w:val="none"/>
        </w:rPr>
        <w:t>项目实施方案分</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6</w:t>
      </w:r>
      <w:r>
        <w:rPr>
          <w:rFonts w:hint="eastAsia" w:ascii="宋体" w:hAnsi="宋体" w:eastAsia="宋体" w:cs="宋体"/>
          <w:b/>
          <w:bCs/>
          <w:color w:val="auto"/>
          <w:szCs w:val="21"/>
          <w:highlight w:val="none"/>
        </w:rPr>
        <w:t>0分</w:t>
      </w:r>
    </w:p>
    <w:p w14:paraId="1B07B0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①总体概述（</w:t>
      </w:r>
      <w:r>
        <w:rPr>
          <w:rFonts w:hint="eastAsia" w:ascii="宋体" w:hAnsi="宋体" w:eastAsia="宋体"/>
          <w:color w:val="auto"/>
          <w:highlight w:val="none"/>
          <w:lang w:val="en-US" w:eastAsia="zh-CN"/>
        </w:rPr>
        <w:t>12</w:t>
      </w:r>
      <w:r>
        <w:rPr>
          <w:rFonts w:hint="eastAsia" w:ascii="宋体" w:hAnsi="宋体" w:eastAsia="宋体"/>
          <w:color w:val="auto"/>
          <w:highlight w:val="none"/>
        </w:rPr>
        <w:t>分）</w:t>
      </w:r>
    </w:p>
    <w:p w14:paraId="53880C1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rPr>
        <w:t>一档（</w:t>
      </w:r>
      <w:r>
        <w:rPr>
          <w:rFonts w:hint="eastAsia" w:ascii="宋体" w:hAnsi="宋体"/>
          <w:color w:val="auto"/>
          <w:highlight w:val="none"/>
          <w:lang w:val="en-US" w:eastAsia="zh-CN"/>
        </w:rPr>
        <w:t>1</w:t>
      </w:r>
      <w:r>
        <w:rPr>
          <w:rFonts w:hint="eastAsia" w:ascii="宋体" w:hAnsi="宋体" w:eastAsia="宋体"/>
          <w:color w:val="auto"/>
          <w:highlight w:val="none"/>
        </w:rPr>
        <w:t>分）：</w:t>
      </w:r>
      <w:r>
        <w:rPr>
          <w:rFonts w:hint="eastAsia" w:ascii="宋体" w:hAnsi="宋体" w:cs="宋体"/>
          <w:color w:val="auto"/>
          <w:kern w:val="0"/>
          <w:szCs w:val="21"/>
          <w:highlight w:val="none"/>
        </w:rPr>
        <w:t>对项目认识不足，表达不</w:t>
      </w:r>
      <w:r>
        <w:rPr>
          <w:rFonts w:hint="eastAsia" w:ascii="宋体" w:hAnsi="宋体" w:cs="宋体"/>
          <w:color w:val="auto"/>
          <w:kern w:val="0"/>
          <w:szCs w:val="21"/>
          <w:highlight w:val="none"/>
          <w:lang w:eastAsia="zh-CN"/>
        </w:rPr>
        <w:t>够</w:t>
      </w:r>
      <w:r>
        <w:rPr>
          <w:rFonts w:hint="eastAsia" w:ascii="宋体" w:hAnsi="宋体" w:cs="宋体"/>
          <w:color w:val="auto"/>
          <w:kern w:val="0"/>
          <w:szCs w:val="21"/>
          <w:highlight w:val="none"/>
        </w:rPr>
        <w:t>清晰，措施不</w:t>
      </w:r>
      <w:r>
        <w:rPr>
          <w:rFonts w:hint="eastAsia" w:ascii="宋体" w:hAnsi="宋体" w:cs="宋体"/>
          <w:color w:val="auto"/>
          <w:kern w:val="0"/>
          <w:szCs w:val="21"/>
          <w:highlight w:val="none"/>
          <w:lang w:eastAsia="zh-CN"/>
        </w:rPr>
        <w:t>够</w:t>
      </w:r>
      <w:r>
        <w:rPr>
          <w:rFonts w:hint="eastAsia" w:ascii="宋体" w:hAnsi="宋体" w:cs="宋体"/>
          <w:color w:val="auto"/>
          <w:kern w:val="0"/>
          <w:szCs w:val="21"/>
          <w:highlight w:val="none"/>
        </w:rPr>
        <w:t>具体</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划分</w:t>
      </w:r>
      <w:r>
        <w:rPr>
          <w:rFonts w:hint="eastAsia" w:ascii="宋体" w:hAnsi="宋体" w:cs="宋体"/>
          <w:color w:val="auto"/>
          <w:kern w:val="0"/>
          <w:szCs w:val="21"/>
          <w:highlight w:val="none"/>
          <w:lang w:eastAsia="zh-CN"/>
        </w:rPr>
        <w:t>不</w:t>
      </w:r>
      <w:r>
        <w:rPr>
          <w:rFonts w:hint="eastAsia" w:ascii="宋体" w:hAnsi="宋体" w:cs="宋体"/>
          <w:color w:val="auto"/>
          <w:kern w:val="0"/>
          <w:szCs w:val="21"/>
          <w:highlight w:val="none"/>
        </w:rPr>
        <w:t>合理</w:t>
      </w:r>
      <w:r>
        <w:rPr>
          <w:rFonts w:hint="eastAsia" w:ascii="宋体" w:hAnsi="宋体" w:eastAsia="宋体"/>
          <w:color w:val="auto"/>
          <w:highlight w:val="none"/>
        </w:rPr>
        <w:t>；</w:t>
      </w:r>
    </w:p>
    <w:p w14:paraId="1FF86E7D">
      <w:pPr>
        <w:pStyle w:val="2"/>
        <w:ind w:firstLine="420" w:firstLineChars="200"/>
        <w:rPr>
          <w:rFonts w:hint="eastAsia" w:eastAsia="宋体"/>
          <w:lang w:eastAsia="zh-CN"/>
        </w:rPr>
      </w:pPr>
      <w:r>
        <w:rPr>
          <w:rFonts w:hint="eastAsia" w:ascii="宋体" w:hAnsi="宋体" w:cs="宋体"/>
          <w:color w:val="auto"/>
          <w:highlight w:val="none"/>
          <w:lang w:eastAsia="zh-CN"/>
        </w:rPr>
        <w:t>二</w:t>
      </w:r>
      <w:r>
        <w:rPr>
          <w:rFonts w:hint="eastAsia" w:ascii="宋体" w:hAnsi="宋体" w:cs="宋体"/>
          <w:color w:val="auto"/>
          <w:highlight w:val="none"/>
        </w:rPr>
        <w:t>档（</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kern w:val="0"/>
          <w:szCs w:val="21"/>
          <w:highlight w:val="none"/>
        </w:rPr>
        <w:t>对项目总体有认识，有一定的措施但部分不具体</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符合规范要求</w:t>
      </w:r>
      <w:r>
        <w:rPr>
          <w:rFonts w:hint="eastAsia" w:ascii="宋体" w:hAnsi="宋体" w:cs="宋体"/>
          <w:color w:val="auto"/>
          <w:kern w:val="0"/>
          <w:szCs w:val="21"/>
          <w:highlight w:val="none"/>
          <w:lang w:eastAsia="zh-CN"/>
        </w:rPr>
        <w:t>；</w:t>
      </w:r>
    </w:p>
    <w:p w14:paraId="5BB34E94">
      <w:pPr>
        <w:pStyle w:val="103"/>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kern w:val="0"/>
          <w:szCs w:val="21"/>
          <w:highlight w:val="none"/>
        </w:rPr>
        <w:t>项目总体有一定认识，表达清晰、完整，措施具体有效；</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划分清晰，符合规范要求</w:t>
      </w:r>
      <w:r>
        <w:rPr>
          <w:rFonts w:hint="eastAsia" w:ascii="宋体" w:hAnsi="宋体" w:cs="宋体"/>
          <w:color w:val="auto"/>
          <w:highlight w:val="none"/>
        </w:rPr>
        <w:t>；</w:t>
      </w:r>
    </w:p>
    <w:p w14:paraId="159CE2B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rPr>
      </w:pPr>
      <w:r>
        <w:rPr>
          <w:rFonts w:hint="eastAsia" w:ascii="宋体" w:hAnsi="宋体" w:cs="宋体"/>
          <w:color w:val="auto"/>
          <w:highlight w:val="none"/>
          <w:lang w:eastAsia="zh-CN"/>
        </w:rPr>
        <w:t>四</w:t>
      </w:r>
      <w:r>
        <w:rPr>
          <w:rFonts w:hint="eastAsia" w:ascii="宋体" w:hAnsi="宋体" w:eastAsia="宋体"/>
          <w:color w:val="auto"/>
          <w:highlight w:val="none"/>
        </w:rPr>
        <w:t>档 (</w:t>
      </w:r>
      <w:r>
        <w:rPr>
          <w:rFonts w:hint="eastAsia" w:ascii="宋体" w:hAnsi="宋体"/>
          <w:color w:val="auto"/>
          <w:highlight w:val="none"/>
          <w:lang w:val="en-US" w:eastAsia="zh-CN"/>
        </w:rPr>
        <w:t>12</w:t>
      </w:r>
      <w:r>
        <w:rPr>
          <w:rFonts w:hint="eastAsia" w:ascii="宋体" w:hAnsi="宋体" w:eastAsia="宋体"/>
          <w:color w:val="auto"/>
          <w:highlight w:val="none"/>
        </w:rPr>
        <w:t>分）：</w:t>
      </w:r>
      <w:r>
        <w:rPr>
          <w:rFonts w:hint="eastAsia" w:ascii="宋体" w:hAnsi="宋体" w:cs="宋体"/>
          <w:color w:val="auto"/>
          <w:kern w:val="0"/>
          <w:szCs w:val="21"/>
          <w:highlight w:val="none"/>
        </w:rPr>
        <w:t>对项目总体有深刻认识，表达清晰、完整、严谨、合理，措施先进、具体、有效、成熟</w:t>
      </w:r>
      <w:r>
        <w:rPr>
          <w:rFonts w:hint="eastAsia" w:ascii="宋体" w:hAnsi="宋体" w:cs="宋体"/>
          <w:color w:val="auto"/>
          <w:kern w:val="0"/>
          <w:szCs w:val="21"/>
          <w:highlight w:val="none"/>
          <w:lang w:eastAsia="zh-CN"/>
        </w:rPr>
        <w:t>，项目</w:t>
      </w:r>
      <w:r>
        <w:rPr>
          <w:rFonts w:hint="eastAsia" w:ascii="宋体" w:hAnsi="宋体" w:cs="宋体"/>
          <w:color w:val="auto"/>
          <w:kern w:val="0"/>
          <w:szCs w:val="21"/>
          <w:highlight w:val="none"/>
        </w:rPr>
        <w:t>划分清晰、合理，符合规范要求</w:t>
      </w:r>
      <w:r>
        <w:rPr>
          <w:rFonts w:hint="eastAsia" w:ascii="宋体" w:hAnsi="宋体" w:eastAsia="宋体"/>
          <w:color w:val="auto"/>
          <w:highlight w:val="none"/>
        </w:rPr>
        <w:t>。</w:t>
      </w:r>
    </w:p>
    <w:p w14:paraId="028BEC8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b w:val="0"/>
          <w:bCs w:val="0"/>
          <w:color w:val="auto"/>
          <w:highlight w:val="none"/>
        </w:rPr>
      </w:pPr>
      <w:r>
        <w:rPr>
          <w:rFonts w:hint="eastAsia" w:ascii="宋体" w:hAnsi="宋体" w:eastAsia="宋体"/>
          <w:b w:val="0"/>
          <w:bCs w:val="0"/>
          <w:color w:val="auto"/>
          <w:highlight w:val="none"/>
          <w:lang w:eastAsia="zh-CN"/>
        </w:rPr>
        <w:t>②</w:t>
      </w:r>
      <w:r>
        <w:rPr>
          <w:rFonts w:hint="eastAsia" w:ascii="宋体" w:hAnsi="宋体" w:cs="宋体"/>
          <w:b w:val="0"/>
          <w:bCs w:val="0"/>
          <w:color w:val="auto"/>
          <w:kern w:val="0"/>
          <w:szCs w:val="21"/>
          <w:highlight w:val="none"/>
        </w:rPr>
        <w:t>主要</w:t>
      </w:r>
      <w:r>
        <w:rPr>
          <w:rFonts w:hint="eastAsia" w:ascii="宋体" w:hAnsi="宋体" w:cs="宋体"/>
          <w:b w:val="0"/>
          <w:bCs w:val="0"/>
          <w:color w:val="auto"/>
          <w:kern w:val="0"/>
          <w:szCs w:val="21"/>
          <w:highlight w:val="none"/>
          <w:lang w:eastAsia="zh-CN"/>
        </w:rPr>
        <w:t>实施</w:t>
      </w:r>
      <w:r>
        <w:rPr>
          <w:rFonts w:hint="eastAsia" w:ascii="宋体" w:hAnsi="宋体" w:cs="宋体"/>
          <w:b w:val="0"/>
          <w:bCs w:val="0"/>
          <w:color w:val="auto"/>
          <w:kern w:val="0"/>
          <w:szCs w:val="21"/>
          <w:highlight w:val="none"/>
        </w:rPr>
        <w:t>方法</w:t>
      </w:r>
      <w:r>
        <w:rPr>
          <w:rFonts w:hint="eastAsia" w:ascii="宋体" w:hAnsi="宋体" w:eastAsia="宋体"/>
          <w:b w:val="0"/>
          <w:bCs w:val="0"/>
          <w:color w:val="auto"/>
          <w:highlight w:val="none"/>
        </w:rPr>
        <w:t>（</w:t>
      </w:r>
      <w:r>
        <w:rPr>
          <w:rFonts w:hint="eastAsia" w:ascii="宋体" w:hAnsi="宋体" w:eastAsia="宋体"/>
          <w:b w:val="0"/>
          <w:bCs w:val="0"/>
          <w:color w:val="auto"/>
          <w:highlight w:val="none"/>
          <w:lang w:val="en-US" w:eastAsia="zh-CN"/>
        </w:rPr>
        <w:t>12</w:t>
      </w:r>
      <w:r>
        <w:rPr>
          <w:rFonts w:hint="eastAsia" w:ascii="宋体" w:hAnsi="宋体" w:eastAsia="宋体"/>
          <w:b w:val="0"/>
          <w:bCs w:val="0"/>
          <w:color w:val="auto"/>
          <w:highlight w:val="none"/>
        </w:rPr>
        <w:t>分）</w:t>
      </w:r>
    </w:p>
    <w:p w14:paraId="7F0713F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lang w:eastAsia="zh-CN"/>
        </w:rPr>
      </w:pPr>
      <w:r>
        <w:rPr>
          <w:rFonts w:hint="eastAsia" w:ascii="宋体" w:hAnsi="宋体" w:eastAsia="宋体"/>
          <w:color w:val="auto"/>
          <w:highlight w:val="none"/>
        </w:rPr>
        <w:t>一档（</w:t>
      </w:r>
      <w:r>
        <w:rPr>
          <w:rFonts w:hint="eastAsia" w:ascii="宋体" w:hAnsi="宋体"/>
          <w:color w:val="auto"/>
          <w:highlight w:val="none"/>
          <w:lang w:val="en-US" w:eastAsia="zh-CN"/>
        </w:rPr>
        <w:t>1</w:t>
      </w:r>
      <w:r>
        <w:rPr>
          <w:rFonts w:hint="eastAsia" w:ascii="宋体" w:hAnsi="宋体" w:eastAsia="宋体"/>
          <w:color w:val="auto"/>
          <w:highlight w:val="none"/>
        </w:rPr>
        <w:t>分）</w:t>
      </w:r>
      <w:r>
        <w:rPr>
          <w:rFonts w:hint="eastAsia" w:ascii="宋体" w:hAnsi="宋体" w:cs="宋体"/>
          <w:color w:val="auto"/>
          <w:kern w:val="0"/>
          <w:szCs w:val="21"/>
          <w:highlight w:val="none"/>
        </w:rPr>
        <w:t>：各主要分部</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方法</w:t>
      </w:r>
      <w:r>
        <w:rPr>
          <w:rFonts w:hint="eastAsia" w:ascii="宋体" w:hAnsi="宋体" w:cs="宋体"/>
          <w:color w:val="auto"/>
          <w:kern w:val="0"/>
          <w:szCs w:val="21"/>
          <w:highlight w:val="none"/>
          <w:lang w:eastAsia="zh-CN"/>
        </w:rPr>
        <w:t>不能满足</w:t>
      </w:r>
      <w:r>
        <w:rPr>
          <w:rFonts w:hint="eastAsia" w:ascii="宋体" w:hAnsi="宋体" w:cs="宋体"/>
          <w:color w:val="auto"/>
          <w:kern w:val="0"/>
          <w:szCs w:val="21"/>
          <w:highlight w:val="none"/>
        </w:rPr>
        <w:t>项目需求，没有</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技术方案，不能具体指导</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并确保安全</w:t>
      </w:r>
      <w:r>
        <w:rPr>
          <w:rFonts w:hint="eastAsia" w:ascii="宋体" w:hAnsi="宋体" w:cs="宋体"/>
          <w:color w:val="auto"/>
          <w:kern w:val="0"/>
          <w:szCs w:val="21"/>
          <w:highlight w:val="none"/>
          <w:lang w:eastAsia="zh-CN"/>
        </w:rPr>
        <w:t>；</w:t>
      </w:r>
    </w:p>
    <w:p w14:paraId="672C45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eastAsia="zh-CN"/>
        </w:rPr>
      </w:pPr>
      <w:r>
        <w:rPr>
          <w:rFonts w:hint="eastAsia" w:ascii="宋体" w:hAnsi="宋体" w:eastAsia="宋体"/>
          <w:color w:val="auto"/>
          <w:highlight w:val="none"/>
          <w:lang w:eastAsia="zh-CN"/>
        </w:rPr>
        <w:t>二</w:t>
      </w:r>
      <w:r>
        <w:rPr>
          <w:rFonts w:hint="eastAsia" w:ascii="宋体" w:hAnsi="宋体" w:eastAsia="宋体"/>
          <w:color w:val="auto"/>
          <w:highlight w:val="none"/>
        </w:rPr>
        <w:t>档（</w:t>
      </w:r>
      <w:r>
        <w:rPr>
          <w:rFonts w:hint="eastAsia" w:ascii="宋体" w:hAnsi="宋体"/>
          <w:color w:val="auto"/>
          <w:highlight w:val="none"/>
          <w:lang w:val="en-US" w:eastAsia="zh-CN"/>
        </w:rPr>
        <w:t>4</w:t>
      </w:r>
      <w:r>
        <w:rPr>
          <w:rFonts w:hint="eastAsia" w:ascii="宋体" w:hAnsi="宋体" w:eastAsia="宋体"/>
          <w:color w:val="auto"/>
          <w:highlight w:val="none"/>
        </w:rPr>
        <w:t>分）</w:t>
      </w:r>
      <w:r>
        <w:rPr>
          <w:rFonts w:hint="eastAsia" w:ascii="宋体" w:hAnsi="宋体" w:cs="宋体"/>
          <w:color w:val="auto"/>
          <w:kern w:val="0"/>
          <w:szCs w:val="21"/>
          <w:highlight w:val="none"/>
        </w:rPr>
        <w:t>：各主要分部</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方法</w:t>
      </w:r>
      <w:r>
        <w:rPr>
          <w:rFonts w:hint="eastAsia" w:ascii="宋体" w:hAnsi="宋体" w:cs="宋体"/>
          <w:color w:val="auto"/>
          <w:kern w:val="0"/>
          <w:szCs w:val="21"/>
          <w:highlight w:val="none"/>
          <w:lang w:eastAsia="zh-CN"/>
        </w:rPr>
        <w:t>符合</w:t>
      </w:r>
      <w:r>
        <w:rPr>
          <w:rFonts w:hint="eastAsia" w:ascii="宋体" w:hAnsi="宋体" w:cs="宋体"/>
          <w:color w:val="auto"/>
          <w:kern w:val="0"/>
          <w:szCs w:val="21"/>
          <w:highlight w:val="none"/>
        </w:rPr>
        <w:t>项目需求，</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技术方案</w:t>
      </w:r>
      <w:r>
        <w:rPr>
          <w:rFonts w:hint="eastAsia" w:ascii="宋体" w:hAnsi="宋体" w:cs="宋体"/>
          <w:color w:val="auto"/>
          <w:kern w:val="0"/>
          <w:szCs w:val="21"/>
          <w:highlight w:val="none"/>
          <w:lang w:eastAsia="zh-CN"/>
        </w:rPr>
        <w:t>简单</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能够基本</w:t>
      </w:r>
      <w:r>
        <w:rPr>
          <w:rFonts w:hint="eastAsia" w:ascii="宋体" w:hAnsi="宋体" w:cs="宋体"/>
          <w:color w:val="auto"/>
          <w:kern w:val="0"/>
          <w:szCs w:val="21"/>
          <w:highlight w:val="none"/>
        </w:rPr>
        <w:t>指导</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并确保安全</w:t>
      </w:r>
      <w:r>
        <w:rPr>
          <w:rFonts w:hint="eastAsia" w:ascii="宋体" w:hAnsi="宋体" w:cs="宋体"/>
          <w:color w:val="auto"/>
          <w:kern w:val="0"/>
          <w:szCs w:val="21"/>
          <w:highlight w:val="none"/>
          <w:lang w:eastAsia="zh-CN"/>
        </w:rPr>
        <w:t>；</w:t>
      </w:r>
    </w:p>
    <w:p w14:paraId="33071FDB">
      <w:pPr>
        <w:widowControl/>
        <w:spacing w:line="400" w:lineRule="exact"/>
        <w:ind w:firstLine="420"/>
        <w:rPr>
          <w:rFonts w:hint="eastAsia" w:ascii="宋体" w:hAnsi="宋体" w:cs="宋体"/>
          <w:color w:val="auto"/>
          <w:highlight w:val="none"/>
        </w:rPr>
      </w:pPr>
      <w:r>
        <w:rPr>
          <w:rFonts w:hint="eastAsia" w:ascii="宋体" w:hAnsi="宋体" w:cs="宋体"/>
          <w:color w:val="auto"/>
          <w:highlight w:val="none"/>
          <w:lang w:eastAsia="zh-CN"/>
        </w:rPr>
        <w:t>三</w:t>
      </w:r>
      <w:r>
        <w:rPr>
          <w:rFonts w:hint="eastAsia" w:ascii="宋体" w:hAnsi="宋体" w:cs="宋体"/>
          <w:color w:val="auto"/>
          <w:highlight w:val="none"/>
        </w:rPr>
        <w:t>档（</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kern w:val="0"/>
          <w:szCs w:val="21"/>
          <w:highlight w:val="none"/>
        </w:rPr>
        <w:t>各主要分部</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方法符合项目实际，有较详尽的</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技术方案，工艺</w:t>
      </w:r>
      <w:r>
        <w:rPr>
          <w:rFonts w:hint="eastAsia" w:ascii="宋体" w:hAnsi="宋体" w:cs="宋体"/>
          <w:color w:val="auto"/>
          <w:kern w:val="0"/>
          <w:szCs w:val="21"/>
          <w:highlight w:val="none"/>
          <w:lang w:eastAsia="zh-CN"/>
        </w:rPr>
        <w:t>一般</w:t>
      </w:r>
      <w:r>
        <w:rPr>
          <w:rFonts w:hint="eastAsia" w:ascii="宋体" w:hAnsi="宋体" w:cs="宋体"/>
          <w:color w:val="auto"/>
          <w:kern w:val="0"/>
          <w:szCs w:val="21"/>
          <w:highlight w:val="none"/>
        </w:rPr>
        <w:t>、方法科学合理、可行，能指导具体</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并确保安全；</w:t>
      </w:r>
    </w:p>
    <w:p w14:paraId="52999F18">
      <w:pPr>
        <w:widowControl/>
        <w:spacing w:line="400" w:lineRule="exact"/>
        <w:ind w:firstLine="420"/>
        <w:rPr>
          <w:rFonts w:hint="eastAsia" w:ascii="宋体" w:hAnsi="宋体" w:eastAsia="宋体" w:cs="宋体"/>
          <w:color w:val="auto"/>
          <w:kern w:val="0"/>
          <w:szCs w:val="21"/>
          <w:highlight w:val="none"/>
          <w:lang w:eastAsia="zh-CN"/>
        </w:rPr>
      </w:pPr>
      <w:r>
        <w:rPr>
          <w:rFonts w:hint="eastAsia" w:ascii="宋体" w:hAnsi="宋体" w:cs="宋体"/>
          <w:color w:val="auto"/>
          <w:highlight w:val="none"/>
          <w:lang w:eastAsia="zh-CN"/>
        </w:rPr>
        <w:t>四</w:t>
      </w:r>
      <w:r>
        <w:rPr>
          <w:rFonts w:hint="eastAsia" w:ascii="宋体" w:hAnsi="宋体" w:eastAsia="宋体"/>
          <w:color w:val="auto"/>
          <w:highlight w:val="none"/>
        </w:rPr>
        <w:t>档 (</w:t>
      </w:r>
      <w:r>
        <w:rPr>
          <w:rFonts w:hint="eastAsia" w:ascii="宋体" w:hAnsi="宋体"/>
          <w:color w:val="auto"/>
          <w:highlight w:val="none"/>
          <w:lang w:val="en-US" w:eastAsia="zh-CN"/>
        </w:rPr>
        <w:t>12</w:t>
      </w:r>
      <w:r>
        <w:rPr>
          <w:rFonts w:hint="eastAsia" w:ascii="宋体" w:hAnsi="宋体" w:eastAsia="宋体"/>
          <w:color w:val="auto"/>
          <w:highlight w:val="none"/>
        </w:rPr>
        <w:t>分）：</w:t>
      </w:r>
      <w:r>
        <w:rPr>
          <w:rFonts w:hint="eastAsia" w:ascii="宋体" w:hAnsi="宋体" w:cs="宋体"/>
          <w:color w:val="auto"/>
          <w:kern w:val="0"/>
          <w:szCs w:val="21"/>
          <w:highlight w:val="none"/>
        </w:rPr>
        <w:t>主要</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方法符合项目实际，有</w:t>
      </w:r>
      <w:r>
        <w:rPr>
          <w:rFonts w:hint="eastAsia" w:ascii="宋体" w:hAnsi="宋体" w:cs="宋体"/>
          <w:color w:val="auto"/>
          <w:kern w:val="0"/>
          <w:szCs w:val="21"/>
          <w:highlight w:val="none"/>
          <w:lang w:eastAsia="zh-CN"/>
        </w:rPr>
        <w:t>详细</w:t>
      </w:r>
      <w:r>
        <w:rPr>
          <w:rFonts w:hint="eastAsia" w:ascii="宋体" w:hAnsi="宋体" w:cs="宋体"/>
          <w:color w:val="auto"/>
          <w:kern w:val="0"/>
          <w:szCs w:val="21"/>
          <w:highlight w:val="none"/>
        </w:rPr>
        <w:t>的</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技术方案，工艺先进、方法科学合理、可行，能指导具体</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并确保安全</w:t>
      </w:r>
      <w:r>
        <w:rPr>
          <w:rFonts w:hint="eastAsia" w:ascii="宋体" w:hAnsi="宋体" w:cs="宋体"/>
          <w:color w:val="auto"/>
          <w:kern w:val="0"/>
          <w:szCs w:val="21"/>
          <w:highlight w:val="none"/>
          <w:lang w:eastAsia="zh-CN"/>
        </w:rPr>
        <w:t>。</w:t>
      </w:r>
    </w:p>
    <w:p w14:paraId="0873142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kern w:val="0"/>
          <w:szCs w:val="21"/>
          <w:highlight w:val="none"/>
        </w:rPr>
      </w:pPr>
      <w:r>
        <w:rPr>
          <w:rFonts w:hint="eastAsia" w:ascii="宋体" w:hAnsi="宋体" w:eastAsia="宋体"/>
          <w:b w:val="0"/>
          <w:bCs w:val="0"/>
          <w:color w:val="auto"/>
          <w:highlight w:val="none"/>
          <w:lang w:eastAsia="zh-CN"/>
        </w:rPr>
        <w:t>③</w:t>
      </w:r>
      <w:r>
        <w:rPr>
          <w:rFonts w:hint="eastAsia" w:ascii="宋体" w:hAnsi="宋体" w:cs="宋体"/>
          <w:b w:val="0"/>
          <w:bCs w:val="0"/>
          <w:color w:val="auto"/>
          <w:kern w:val="0"/>
          <w:szCs w:val="21"/>
          <w:highlight w:val="none"/>
        </w:rPr>
        <w:t>维修进度计划、工期保证 （</w:t>
      </w:r>
      <w:r>
        <w:rPr>
          <w:rFonts w:hint="eastAsia" w:ascii="宋体" w:hAnsi="宋体" w:cs="宋体"/>
          <w:b w:val="0"/>
          <w:bCs w:val="0"/>
          <w:color w:val="auto"/>
          <w:kern w:val="0"/>
          <w:szCs w:val="21"/>
          <w:highlight w:val="none"/>
          <w:lang w:val="en-US" w:eastAsia="zh-CN"/>
        </w:rPr>
        <w:t>12</w:t>
      </w:r>
      <w:r>
        <w:rPr>
          <w:rFonts w:hint="eastAsia" w:ascii="宋体" w:hAnsi="宋体" w:cs="宋体"/>
          <w:b w:val="0"/>
          <w:bCs w:val="0"/>
          <w:color w:val="auto"/>
          <w:kern w:val="0"/>
          <w:szCs w:val="21"/>
          <w:highlight w:val="none"/>
        </w:rPr>
        <w:t>分）</w:t>
      </w:r>
    </w:p>
    <w:p w14:paraId="6132BC9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lang w:eastAsia="zh-CN"/>
        </w:rPr>
      </w:pPr>
      <w:r>
        <w:rPr>
          <w:rFonts w:hint="eastAsia" w:ascii="宋体" w:hAnsi="宋体" w:eastAsia="宋体"/>
          <w:color w:val="auto"/>
          <w:highlight w:val="none"/>
        </w:rPr>
        <w:t>一档（</w:t>
      </w:r>
      <w:r>
        <w:rPr>
          <w:rFonts w:hint="eastAsia" w:ascii="宋体" w:hAnsi="宋体"/>
          <w:color w:val="auto"/>
          <w:highlight w:val="none"/>
          <w:lang w:val="en-US" w:eastAsia="zh-CN"/>
        </w:rPr>
        <w:t>1</w:t>
      </w:r>
      <w:r>
        <w:rPr>
          <w:rFonts w:hint="eastAsia" w:ascii="宋体" w:hAnsi="宋体" w:eastAsia="宋体"/>
          <w:color w:val="auto"/>
          <w:highlight w:val="none"/>
        </w:rPr>
        <w:t>分）</w:t>
      </w:r>
      <w:r>
        <w:rPr>
          <w:rFonts w:hint="eastAsia" w:ascii="宋体" w:hAnsi="宋体" w:cs="宋体"/>
          <w:color w:val="auto"/>
          <w:kern w:val="0"/>
          <w:szCs w:val="21"/>
          <w:highlight w:val="none"/>
        </w:rPr>
        <w:t>：投入计划与进度计划</w:t>
      </w:r>
      <w:r>
        <w:rPr>
          <w:rFonts w:hint="eastAsia" w:ascii="宋体" w:hAnsi="宋体" w:cs="宋体"/>
          <w:color w:val="auto"/>
          <w:kern w:val="0"/>
          <w:szCs w:val="21"/>
          <w:highlight w:val="none"/>
          <w:lang w:eastAsia="zh-CN"/>
        </w:rPr>
        <w:t>不</w:t>
      </w:r>
      <w:r>
        <w:rPr>
          <w:rFonts w:hint="eastAsia" w:ascii="宋体" w:hAnsi="宋体" w:cs="宋体"/>
          <w:color w:val="auto"/>
          <w:kern w:val="0"/>
          <w:szCs w:val="21"/>
          <w:highlight w:val="none"/>
        </w:rPr>
        <w:t>呼应，</w:t>
      </w:r>
      <w:r>
        <w:rPr>
          <w:rFonts w:hint="eastAsia"/>
          <w:color w:val="auto"/>
          <w:szCs w:val="21"/>
          <w:highlight w:val="none"/>
        </w:rPr>
        <w:t>工期保证措施及承诺内容描述</w:t>
      </w:r>
      <w:r>
        <w:rPr>
          <w:rFonts w:hint="eastAsia"/>
          <w:color w:val="auto"/>
          <w:szCs w:val="21"/>
          <w:highlight w:val="none"/>
          <w:lang w:eastAsia="zh-CN"/>
        </w:rPr>
        <w:t>较差，</w:t>
      </w:r>
      <w:r>
        <w:rPr>
          <w:rFonts w:hint="eastAsia" w:ascii="宋体" w:hAnsi="宋体" w:cs="宋体"/>
          <w:color w:val="auto"/>
          <w:kern w:val="0"/>
          <w:szCs w:val="21"/>
          <w:highlight w:val="none"/>
          <w:lang w:eastAsia="zh-CN"/>
        </w:rPr>
        <w:t>不能</w:t>
      </w:r>
      <w:r>
        <w:rPr>
          <w:rFonts w:hint="eastAsia" w:ascii="宋体" w:hAnsi="宋体" w:cs="宋体"/>
          <w:color w:val="auto"/>
          <w:kern w:val="0"/>
          <w:szCs w:val="21"/>
          <w:highlight w:val="none"/>
        </w:rPr>
        <w:t>满足</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需</w:t>
      </w:r>
      <w:r>
        <w:rPr>
          <w:rFonts w:hint="eastAsia" w:ascii="宋体" w:hAnsi="宋体" w:cs="宋体"/>
          <w:color w:val="auto"/>
          <w:kern w:val="0"/>
          <w:szCs w:val="21"/>
          <w:highlight w:val="none"/>
          <w:lang w:eastAsia="zh-CN"/>
        </w:rPr>
        <w:t>求；</w:t>
      </w:r>
    </w:p>
    <w:p w14:paraId="51593B8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eastAsia="zh-CN"/>
        </w:rPr>
        <w:t>二</w:t>
      </w:r>
      <w:r>
        <w:rPr>
          <w:rFonts w:hint="eastAsia" w:ascii="宋体" w:hAnsi="宋体" w:eastAsia="宋体"/>
          <w:color w:val="auto"/>
          <w:highlight w:val="none"/>
        </w:rPr>
        <w:t>档（</w:t>
      </w:r>
      <w:r>
        <w:rPr>
          <w:rFonts w:hint="eastAsia" w:ascii="宋体" w:hAnsi="宋体"/>
          <w:color w:val="auto"/>
          <w:highlight w:val="none"/>
          <w:lang w:val="en-US" w:eastAsia="zh-CN"/>
        </w:rPr>
        <w:t>4</w:t>
      </w:r>
      <w:r>
        <w:rPr>
          <w:rFonts w:hint="eastAsia" w:ascii="宋体" w:hAnsi="宋体" w:eastAsia="宋体"/>
          <w:color w:val="auto"/>
          <w:highlight w:val="none"/>
        </w:rPr>
        <w:t>分）</w:t>
      </w:r>
      <w:r>
        <w:rPr>
          <w:rFonts w:hint="eastAsia" w:ascii="宋体" w:hAnsi="宋体" w:cs="宋体"/>
          <w:color w:val="auto"/>
          <w:kern w:val="0"/>
          <w:szCs w:val="21"/>
          <w:highlight w:val="none"/>
        </w:rPr>
        <w:t>：投入计划与进度计划呼应，</w:t>
      </w:r>
      <w:r>
        <w:rPr>
          <w:rFonts w:hint="eastAsia"/>
          <w:color w:val="auto"/>
          <w:szCs w:val="21"/>
          <w:highlight w:val="none"/>
        </w:rPr>
        <w:t>工期保证措施及承诺内容描述</w:t>
      </w:r>
      <w:r>
        <w:rPr>
          <w:rFonts w:hint="eastAsia"/>
          <w:color w:val="auto"/>
          <w:szCs w:val="21"/>
          <w:highlight w:val="none"/>
          <w:lang w:eastAsia="zh-CN"/>
        </w:rPr>
        <w:t>不全面，</w:t>
      </w:r>
      <w:r>
        <w:rPr>
          <w:rFonts w:hint="eastAsia" w:ascii="宋体" w:hAnsi="宋体" w:cs="宋体"/>
          <w:color w:val="auto"/>
          <w:kern w:val="0"/>
          <w:szCs w:val="21"/>
          <w:highlight w:val="none"/>
          <w:lang w:eastAsia="zh-CN"/>
        </w:rPr>
        <w:t>基本</w:t>
      </w:r>
      <w:r>
        <w:rPr>
          <w:rFonts w:hint="eastAsia" w:ascii="宋体" w:hAnsi="宋体" w:cs="宋体"/>
          <w:color w:val="auto"/>
          <w:kern w:val="0"/>
          <w:szCs w:val="21"/>
          <w:highlight w:val="none"/>
        </w:rPr>
        <w:t>满足</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需</w:t>
      </w:r>
      <w:r>
        <w:rPr>
          <w:rFonts w:hint="eastAsia" w:ascii="宋体" w:hAnsi="宋体" w:cs="宋体"/>
          <w:color w:val="auto"/>
          <w:kern w:val="0"/>
          <w:szCs w:val="21"/>
          <w:highlight w:val="none"/>
          <w:lang w:eastAsia="zh-CN"/>
        </w:rPr>
        <w:t>求；</w:t>
      </w:r>
    </w:p>
    <w:p w14:paraId="40ECBCF3">
      <w:pPr>
        <w:widowControl/>
        <w:spacing w:line="400" w:lineRule="exact"/>
        <w:ind w:firstLine="420"/>
        <w:rPr>
          <w:rFonts w:hint="eastAsia"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kern w:val="0"/>
          <w:szCs w:val="21"/>
          <w:highlight w:val="none"/>
        </w:rPr>
        <w:t>投入计划与进度计划呼应，</w:t>
      </w:r>
      <w:r>
        <w:rPr>
          <w:rFonts w:hint="eastAsia"/>
          <w:color w:val="auto"/>
          <w:szCs w:val="21"/>
          <w:highlight w:val="none"/>
        </w:rPr>
        <w:t>工期保证措施及承诺内容描述</w:t>
      </w:r>
      <w:r>
        <w:rPr>
          <w:rFonts w:hint="eastAsia"/>
          <w:color w:val="auto"/>
          <w:szCs w:val="21"/>
          <w:highlight w:val="none"/>
          <w:lang w:eastAsia="zh-CN"/>
        </w:rPr>
        <w:t>一般，</w:t>
      </w:r>
      <w:r>
        <w:rPr>
          <w:rFonts w:hint="eastAsia"/>
          <w:color w:val="auto"/>
          <w:szCs w:val="21"/>
          <w:highlight w:val="none"/>
          <w:lang w:val="zh-CN"/>
        </w:rPr>
        <w:t>思路清晰，</w:t>
      </w:r>
      <w:r>
        <w:rPr>
          <w:rFonts w:hint="eastAsia" w:ascii="宋体" w:hAnsi="宋体" w:cs="宋体"/>
          <w:color w:val="auto"/>
          <w:kern w:val="0"/>
          <w:szCs w:val="21"/>
          <w:highlight w:val="none"/>
        </w:rPr>
        <w:t>满足</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需</w:t>
      </w:r>
      <w:r>
        <w:rPr>
          <w:rFonts w:hint="eastAsia" w:ascii="宋体" w:hAnsi="宋体" w:cs="宋体"/>
          <w:color w:val="auto"/>
          <w:kern w:val="0"/>
          <w:szCs w:val="21"/>
          <w:highlight w:val="none"/>
          <w:lang w:eastAsia="zh-CN"/>
        </w:rPr>
        <w:t>求；</w:t>
      </w:r>
    </w:p>
    <w:p w14:paraId="0B8D551E">
      <w:pPr>
        <w:widowControl/>
        <w:spacing w:line="400" w:lineRule="exact"/>
        <w:ind w:firstLine="420"/>
        <w:rPr>
          <w:rFonts w:hint="eastAsia" w:ascii="宋体" w:hAnsi="宋体" w:cs="宋体"/>
          <w:b/>
          <w:bCs/>
          <w:color w:val="auto"/>
          <w:kern w:val="0"/>
          <w:szCs w:val="21"/>
          <w:highlight w:val="none"/>
        </w:rPr>
      </w:pPr>
      <w:r>
        <w:rPr>
          <w:rFonts w:hint="eastAsia" w:ascii="宋体" w:hAnsi="宋体" w:cs="宋体"/>
          <w:color w:val="auto"/>
          <w:highlight w:val="none"/>
          <w:lang w:eastAsia="zh-CN"/>
        </w:rPr>
        <w:t>四</w:t>
      </w:r>
      <w:r>
        <w:rPr>
          <w:rFonts w:hint="eastAsia" w:ascii="宋体" w:hAnsi="宋体" w:eastAsia="宋体"/>
          <w:color w:val="auto"/>
          <w:highlight w:val="none"/>
        </w:rPr>
        <w:t>档 (</w:t>
      </w:r>
      <w:r>
        <w:rPr>
          <w:rFonts w:hint="eastAsia" w:ascii="宋体" w:hAnsi="宋体"/>
          <w:color w:val="auto"/>
          <w:highlight w:val="none"/>
          <w:lang w:val="en-US" w:eastAsia="zh-CN"/>
        </w:rPr>
        <w:t>12</w:t>
      </w:r>
      <w:r>
        <w:rPr>
          <w:rFonts w:hint="eastAsia" w:ascii="宋体" w:hAnsi="宋体" w:eastAsia="宋体"/>
          <w:color w:val="auto"/>
          <w:highlight w:val="none"/>
        </w:rPr>
        <w:t>分）：</w:t>
      </w:r>
      <w:r>
        <w:rPr>
          <w:rFonts w:hint="eastAsia" w:ascii="宋体" w:hAnsi="宋体" w:cs="宋体"/>
          <w:color w:val="auto"/>
          <w:kern w:val="0"/>
          <w:szCs w:val="21"/>
          <w:highlight w:val="none"/>
        </w:rPr>
        <w:t>投入计划与进度计划呼应，</w:t>
      </w:r>
      <w:r>
        <w:rPr>
          <w:rFonts w:hint="eastAsia"/>
          <w:color w:val="auto"/>
          <w:szCs w:val="21"/>
          <w:highlight w:val="none"/>
        </w:rPr>
        <w:t>工期保证措施及承诺内容描述详细</w:t>
      </w:r>
      <w:r>
        <w:rPr>
          <w:rFonts w:hint="eastAsia"/>
          <w:color w:val="auto"/>
          <w:szCs w:val="21"/>
          <w:highlight w:val="none"/>
          <w:lang w:val="zh-CN"/>
        </w:rPr>
        <w:t>，思路清晰完好，可以较好满足、实现本项目</w:t>
      </w:r>
      <w:r>
        <w:rPr>
          <w:rFonts w:hint="eastAsia"/>
          <w:color w:val="auto"/>
          <w:szCs w:val="21"/>
          <w:highlight w:val="none"/>
        </w:rPr>
        <w:t>需求</w:t>
      </w:r>
      <w:r>
        <w:rPr>
          <w:rFonts w:hint="eastAsia" w:ascii="宋体" w:hAnsi="宋体" w:cs="宋体"/>
          <w:color w:val="auto"/>
          <w:kern w:val="0"/>
          <w:szCs w:val="21"/>
          <w:highlight w:val="none"/>
        </w:rPr>
        <w:t>。</w:t>
      </w:r>
    </w:p>
    <w:p w14:paraId="108908CB">
      <w:pPr>
        <w:widowControl/>
        <w:spacing w:line="400" w:lineRule="exact"/>
        <w:ind w:firstLine="443" w:firstLineChars="211"/>
        <w:jc w:val="both"/>
        <w:rPr>
          <w:rFonts w:hint="eastAsia" w:ascii="宋体" w:hAnsi="宋体" w:eastAsia="宋体" w:cs="宋体"/>
          <w:b/>
          <w:bCs/>
          <w:color w:val="auto"/>
          <w:kern w:val="0"/>
          <w:szCs w:val="21"/>
          <w:highlight w:val="none"/>
          <w:lang w:eastAsia="zh-CN"/>
        </w:rPr>
      </w:pPr>
      <w:r>
        <w:rPr>
          <w:rFonts w:hint="eastAsia" w:ascii="宋体" w:hAnsi="宋体" w:eastAsia="宋体"/>
          <w:b w:val="0"/>
          <w:bCs w:val="0"/>
          <w:color w:val="auto"/>
          <w:highlight w:val="none"/>
          <w:lang w:eastAsia="zh-CN"/>
        </w:rPr>
        <w:t>④</w:t>
      </w:r>
      <w:r>
        <w:rPr>
          <w:rFonts w:hint="eastAsia" w:ascii="宋体" w:hAnsi="宋体" w:cs="宋体"/>
          <w:b w:val="0"/>
          <w:bCs w:val="0"/>
          <w:color w:val="auto"/>
          <w:kern w:val="0"/>
          <w:szCs w:val="21"/>
          <w:highlight w:val="none"/>
          <w:lang w:eastAsia="zh-CN"/>
        </w:rPr>
        <w:t>安全质量保证措施</w:t>
      </w:r>
      <w:r>
        <w:rPr>
          <w:rFonts w:hint="eastAsia" w:ascii="宋体" w:hAnsi="宋体" w:cs="宋体"/>
          <w:b w:val="0"/>
          <w:bCs w:val="0"/>
          <w:color w:val="auto"/>
          <w:kern w:val="0"/>
          <w:szCs w:val="21"/>
          <w:highlight w:val="none"/>
        </w:rPr>
        <w:t>（</w:t>
      </w:r>
      <w:r>
        <w:rPr>
          <w:rFonts w:hint="eastAsia" w:ascii="宋体" w:hAnsi="宋体" w:cs="宋体"/>
          <w:b w:val="0"/>
          <w:bCs w:val="0"/>
          <w:color w:val="auto"/>
          <w:kern w:val="0"/>
          <w:szCs w:val="21"/>
          <w:highlight w:val="none"/>
          <w:lang w:val="en-US" w:eastAsia="zh-CN"/>
        </w:rPr>
        <w:t>12</w:t>
      </w:r>
      <w:r>
        <w:rPr>
          <w:rFonts w:hint="eastAsia" w:ascii="宋体" w:hAnsi="宋体" w:cs="宋体"/>
          <w:b w:val="0"/>
          <w:bCs w:val="0"/>
          <w:color w:val="auto"/>
          <w:kern w:val="0"/>
          <w:szCs w:val="21"/>
          <w:highlight w:val="none"/>
        </w:rPr>
        <w:t>分）</w:t>
      </w:r>
    </w:p>
    <w:p w14:paraId="49ADA5E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lang w:eastAsia="zh-CN"/>
        </w:rPr>
      </w:pPr>
      <w:r>
        <w:rPr>
          <w:rFonts w:hint="eastAsia" w:ascii="宋体" w:hAnsi="宋体" w:eastAsia="宋体"/>
          <w:color w:val="auto"/>
          <w:highlight w:val="none"/>
        </w:rPr>
        <w:t>一档（</w:t>
      </w:r>
      <w:r>
        <w:rPr>
          <w:rFonts w:hint="eastAsia" w:ascii="宋体" w:hAnsi="宋体"/>
          <w:color w:val="auto"/>
          <w:highlight w:val="none"/>
          <w:lang w:val="en-US" w:eastAsia="zh-CN"/>
        </w:rPr>
        <w:t>1</w:t>
      </w:r>
      <w:r>
        <w:rPr>
          <w:rFonts w:hint="eastAsia" w:ascii="宋体" w:hAnsi="宋体" w:eastAsia="宋体"/>
          <w:color w:val="auto"/>
          <w:highlight w:val="none"/>
        </w:rPr>
        <w:t>分）</w:t>
      </w:r>
      <w:r>
        <w:rPr>
          <w:rFonts w:hint="eastAsia" w:ascii="宋体" w:hAnsi="宋体" w:cs="宋体"/>
          <w:color w:val="auto"/>
          <w:kern w:val="0"/>
          <w:szCs w:val="21"/>
          <w:highlight w:val="none"/>
        </w:rPr>
        <w:t>：总体</w:t>
      </w:r>
      <w:r>
        <w:rPr>
          <w:rFonts w:hint="eastAsia" w:ascii="宋体" w:hAnsi="宋体" w:cs="宋体"/>
          <w:color w:val="auto"/>
          <w:kern w:val="0"/>
          <w:szCs w:val="21"/>
          <w:highlight w:val="none"/>
          <w:lang w:eastAsia="zh-CN"/>
        </w:rPr>
        <w:t>安全质量</w:t>
      </w:r>
      <w:r>
        <w:rPr>
          <w:rFonts w:hint="eastAsia" w:ascii="宋体" w:hAnsi="宋体" w:cs="宋体"/>
          <w:color w:val="auto"/>
          <w:kern w:val="0"/>
          <w:szCs w:val="21"/>
          <w:highlight w:val="none"/>
        </w:rPr>
        <w:t>布置</w:t>
      </w:r>
      <w:r>
        <w:rPr>
          <w:rFonts w:hint="eastAsia" w:ascii="宋体" w:hAnsi="宋体" w:cs="宋体"/>
          <w:color w:val="auto"/>
          <w:kern w:val="0"/>
          <w:szCs w:val="21"/>
          <w:highlight w:val="none"/>
          <w:lang w:eastAsia="zh-CN"/>
        </w:rPr>
        <w:t>较差</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不</w:t>
      </w:r>
      <w:r>
        <w:rPr>
          <w:rFonts w:hint="eastAsia" w:ascii="宋体" w:hAnsi="宋体" w:cs="宋体"/>
          <w:color w:val="auto"/>
          <w:kern w:val="0"/>
          <w:szCs w:val="21"/>
          <w:highlight w:val="none"/>
        </w:rPr>
        <w:t>符合安全生产要求</w:t>
      </w:r>
      <w:r>
        <w:rPr>
          <w:rFonts w:hint="eastAsia" w:ascii="宋体" w:hAnsi="宋体" w:cs="宋体"/>
          <w:color w:val="auto"/>
          <w:kern w:val="0"/>
          <w:szCs w:val="21"/>
          <w:highlight w:val="none"/>
          <w:lang w:eastAsia="zh-CN"/>
        </w:rPr>
        <w:t>；</w:t>
      </w:r>
    </w:p>
    <w:p w14:paraId="2DCD4548">
      <w:pPr>
        <w:widowControl/>
        <w:spacing w:line="400" w:lineRule="exact"/>
        <w:ind w:firstLine="420"/>
        <w:rPr>
          <w:rFonts w:hint="eastAsia" w:ascii="宋体" w:hAnsi="宋体" w:cs="宋体"/>
          <w:color w:val="auto"/>
          <w:highlight w:val="none"/>
          <w:lang w:eastAsia="zh-CN"/>
        </w:rPr>
      </w:pPr>
      <w:r>
        <w:rPr>
          <w:rFonts w:hint="eastAsia" w:ascii="宋体" w:hAnsi="宋体" w:cs="宋体"/>
          <w:color w:val="auto"/>
          <w:highlight w:val="none"/>
          <w:lang w:eastAsia="zh-CN"/>
        </w:rPr>
        <w:t>二</w:t>
      </w:r>
      <w:r>
        <w:rPr>
          <w:rFonts w:hint="eastAsia" w:ascii="宋体" w:hAnsi="宋体" w:cs="宋体"/>
          <w:color w:val="auto"/>
          <w:highlight w:val="none"/>
        </w:rPr>
        <w:t>档（</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kern w:val="0"/>
          <w:szCs w:val="21"/>
          <w:highlight w:val="none"/>
        </w:rPr>
        <w:t>总体</w:t>
      </w:r>
      <w:r>
        <w:rPr>
          <w:rFonts w:hint="eastAsia" w:ascii="宋体" w:hAnsi="宋体" w:cs="宋体"/>
          <w:color w:val="auto"/>
          <w:kern w:val="0"/>
          <w:szCs w:val="21"/>
          <w:highlight w:val="none"/>
          <w:lang w:eastAsia="zh-CN"/>
        </w:rPr>
        <w:t>安全质量保证</w:t>
      </w:r>
      <w:r>
        <w:rPr>
          <w:rFonts w:hint="eastAsia" w:ascii="宋体" w:hAnsi="宋体" w:cs="宋体"/>
          <w:color w:val="auto"/>
          <w:kern w:val="0"/>
          <w:szCs w:val="21"/>
          <w:highlight w:val="none"/>
        </w:rPr>
        <w:t>布置</w:t>
      </w:r>
      <w:r>
        <w:rPr>
          <w:rFonts w:hint="eastAsia" w:ascii="宋体" w:hAnsi="宋体" w:cs="宋体"/>
          <w:color w:val="auto"/>
          <w:kern w:val="0"/>
          <w:szCs w:val="21"/>
          <w:highlight w:val="none"/>
          <w:lang w:eastAsia="zh-CN"/>
        </w:rPr>
        <w:t>一般</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基本</w:t>
      </w:r>
      <w:r>
        <w:rPr>
          <w:rFonts w:hint="eastAsia" w:ascii="宋体" w:hAnsi="宋体" w:cs="宋体"/>
          <w:color w:val="auto"/>
          <w:kern w:val="0"/>
          <w:szCs w:val="21"/>
          <w:highlight w:val="none"/>
        </w:rPr>
        <w:t>符合安全生产要求</w:t>
      </w:r>
      <w:r>
        <w:rPr>
          <w:rFonts w:hint="eastAsia" w:ascii="宋体" w:hAnsi="宋体" w:cs="宋体"/>
          <w:color w:val="auto"/>
          <w:kern w:val="0"/>
          <w:szCs w:val="21"/>
          <w:highlight w:val="none"/>
          <w:lang w:eastAsia="zh-CN"/>
        </w:rPr>
        <w:t>；</w:t>
      </w:r>
    </w:p>
    <w:p w14:paraId="53482B27">
      <w:pPr>
        <w:widowControl/>
        <w:spacing w:line="400" w:lineRule="exact"/>
        <w:ind w:firstLine="420"/>
        <w:rPr>
          <w:rFonts w:hint="eastAsia" w:ascii="宋体" w:hAnsi="宋体" w:cs="宋体"/>
          <w:color w:val="auto"/>
          <w:highlight w:val="none"/>
        </w:rPr>
      </w:pPr>
      <w:r>
        <w:rPr>
          <w:rFonts w:hint="eastAsia" w:ascii="宋体" w:hAnsi="宋体" w:cs="宋体"/>
          <w:color w:val="auto"/>
          <w:highlight w:val="none"/>
        </w:rPr>
        <w:t>三档（</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kern w:val="0"/>
          <w:szCs w:val="21"/>
          <w:highlight w:val="none"/>
        </w:rPr>
        <w:t>总体</w:t>
      </w:r>
      <w:r>
        <w:rPr>
          <w:rFonts w:hint="eastAsia" w:ascii="宋体" w:hAnsi="宋体" w:cs="宋体"/>
          <w:color w:val="auto"/>
          <w:kern w:val="0"/>
          <w:szCs w:val="21"/>
          <w:highlight w:val="none"/>
          <w:lang w:eastAsia="zh-CN"/>
        </w:rPr>
        <w:t>安全质量保证</w:t>
      </w:r>
      <w:r>
        <w:rPr>
          <w:rFonts w:hint="eastAsia" w:ascii="宋体" w:hAnsi="宋体" w:cs="宋体"/>
          <w:color w:val="auto"/>
          <w:kern w:val="0"/>
          <w:szCs w:val="21"/>
          <w:highlight w:val="none"/>
        </w:rPr>
        <w:t>布置合理，满足</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需要，符合安全生产要求</w:t>
      </w:r>
      <w:r>
        <w:rPr>
          <w:rFonts w:hint="eastAsia" w:ascii="宋体" w:hAnsi="宋体" w:cs="宋体"/>
          <w:color w:val="auto"/>
          <w:kern w:val="0"/>
          <w:szCs w:val="21"/>
          <w:highlight w:val="none"/>
          <w:lang w:eastAsia="zh-CN"/>
        </w:rPr>
        <w:t>；</w:t>
      </w:r>
    </w:p>
    <w:p w14:paraId="61D53C4E">
      <w:pPr>
        <w:widowControl/>
        <w:spacing w:line="400" w:lineRule="exact"/>
        <w:ind w:firstLine="420"/>
        <w:rPr>
          <w:rFonts w:hint="eastAsia" w:ascii="宋体" w:hAnsi="宋体" w:eastAsia="宋体"/>
          <w:color w:val="auto"/>
          <w:highlight w:val="none"/>
          <w:lang w:eastAsia="zh-CN"/>
        </w:rPr>
      </w:pPr>
      <w:r>
        <w:rPr>
          <w:rFonts w:hint="eastAsia" w:ascii="宋体" w:hAnsi="宋体"/>
          <w:color w:val="auto"/>
          <w:highlight w:val="none"/>
          <w:lang w:eastAsia="zh-CN"/>
        </w:rPr>
        <w:t>四</w:t>
      </w:r>
      <w:r>
        <w:rPr>
          <w:rFonts w:hint="eastAsia" w:ascii="宋体" w:hAnsi="宋体" w:eastAsia="宋体"/>
          <w:color w:val="auto"/>
          <w:highlight w:val="none"/>
        </w:rPr>
        <w:t>档 (</w:t>
      </w:r>
      <w:r>
        <w:rPr>
          <w:rFonts w:hint="eastAsia" w:ascii="宋体" w:hAnsi="宋体"/>
          <w:color w:val="auto"/>
          <w:highlight w:val="none"/>
          <w:lang w:val="en-US" w:eastAsia="zh-CN"/>
        </w:rPr>
        <w:t>12</w:t>
      </w:r>
      <w:r>
        <w:rPr>
          <w:rFonts w:hint="eastAsia" w:ascii="宋体" w:hAnsi="宋体" w:eastAsia="宋体"/>
          <w:color w:val="auto"/>
          <w:highlight w:val="none"/>
        </w:rPr>
        <w:t>分）：</w:t>
      </w:r>
      <w:r>
        <w:rPr>
          <w:rFonts w:hint="eastAsia" w:ascii="宋体" w:hAnsi="宋体" w:cs="宋体"/>
          <w:color w:val="auto"/>
          <w:kern w:val="0"/>
          <w:szCs w:val="21"/>
          <w:highlight w:val="none"/>
        </w:rPr>
        <w:t>总体</w:t>
      </w:r>
      <w:r>
        <w:rPr>
          <w:rFonts w:hint="eastAsia" w:ascii="宋体" w:hAnsi="宋体" w:cs="宋体"/>
          <w:color w:val="auto"/>
          <w:kern w:val="0"/>
          <w:szCs w:val="21"/>
          <w:highlight w:val="none"/>
          <w:lang w:eastAsia="zh-CN"/>
        </w:rPr>
        <w:t>安全质量保证措施</w:t>
      </w:r>
      <w:r>
        <w:rPr>
          <w:rFonts w:hint="eastAsia" w:ascii="宋体" w:hAnsi="宋体" w:cs="宋体"/>
          <w:color w:val="auto"/>
          <w:kern w:val="0"/>
          <w:szCs w:val="21"/>
          <w:highlight w:val="none"/>
        </w:rPr>
        <w:t>布置有针对性、</w:t>
      </w:r>
      <w:r>
        <w:rPr>
          <w:rFonts w:hint="eastAsia" w:ascii="宋体" w:hAnsi="宋体" w:cs="宋体"/>
          <w:color w:val="auto"/>
          <w:kern w:val="0"/>
          <w:szCs w:val="21"/>
          <w:highlight w:val="none"/>
          <w:lang w:eastAsia="zh-CN"/>
        </w:rPr>
        <w:t>较</w:t>
      </w:r>
      <w:r>
        <w:rPr>
          <w:rFonts w:hint="eastAsia" w:ascii="宋体" w:hAnsi="宋体" w:cs="宋体"/>
          <w:color w:val="auto"/>
          <w:kern w:val="0"/>
          <w:szCs w:val="21"/>
          <w:highlight w:val="none"/>
        </w:rPr>
        <w:t>合理，</w:t>
      </w:r>
      <w:r>
        <w:rPr>
          <w:rFonts w:hint="eastAsia" w:ascii="宋体" w:hAnsi="宋体" w:cs="宋体"/>
          <w:color w:val="auto"/>
          <w:kern w:val="0"/>
          <w:szCs w:val="21"/>
          <w:highlight w:val="none"/>
          <w:lang w:eastAsia="zh-CN"/>
        </w:rPr>
        <w:t>能够</w:t>
      </w:r>
      <w:r>
        <w:rPr>
          <w:rFonts w:hint="eastAsia" w:ascii="宋体" w:hAnsi="宋体" w:cs="宋体"/>
          <w:color w:val="auto"/>
          <w:kern w:val="0"/>
          <w:szCs w:val="21"/>
          <w:highlight w:val="none"/>
        </w:rPr>
        <w:t>较好</w:t>
      </w:r>
      <w:r>
        <w:rPr>
          <w:rFonts w:hint="eastAsia" w:ascii="宋体" w:hAnsi="宋体" w:cs="宋体"/>
          <w:color w:val="auto"/>
          <w:kern w:val="0"/>
          <w:szCs w:val="21"/>
          <w:highlight w:val="none"/>
          <w:lang w:eastAsia="zh-CN"/>
        </w:rPr>
        <w:t>的</w:t>
      </w:r>
      <w:r>
        <w:rPr>
          <w:rFonts w:hint="eastAsia" w:ascii="宋体" w:hAnsi="宋体" w:cs="宋体"/>
          <w:color w:val="auto"/>
          <w:kern w:val="0"/>
          <w:szCs w:val="21"/>
          <w:highlight w:val="none"/>
        </w:rPr>
        <w:t>满足</w:t>
      </w:r>
      <w:r>
        <w:rPr>
          <w:rFonts w:hint="eastAsia" w:ascii="宋体" w:hAnsi="宋体" w:cs="宋体"/>
          <w:color w:val="auto"/>
          <w:kern w:val="0"/>
          <w:szCs w:val="21"/>
          <w:highlight w:val="none"/>
          <w:lang w:eastAsia="zh-CN"/>
        </w:rPr>
        <w:t>实施</w:t>
      </w:r>
      <w:r>
        <w:rPr>
          <w:rFonts w:hint="eastAsia" w:ascii="宋体" w:hAnsi="宋体" w:cs="宋体"/>
          <w:color w:val="auto"/>
          <w:kern w:val="0"/>
          <w:szCs w:val="21"/>
          <w:highlight w:val="none"/>
        </w:rPr>
        <w:t>需要，符合安全、文明生产要求。</w:t>
      </w:r>
    </w:p>
    <w:p w14:paraId="6BC9CE1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color w:val="auto"/>
          <w:kern w:val="0"/>
          <w:szCs w:val="21"/>
          <w:highlight w:val="none"/>
        </w:rPr>
      </w:pPr>
      <w:r>
        <w:rPr>
          <w:rFonts w:hint="eastAsia" w:ascii="宋体" w:hAnsi="宋体" w:eastAsia="宋体"/>
          <w:b w:val="0"/>
          <w:bCs w:val="0"/>
          <w:color w:val="auto"/>
          <w:highlight w:val="none"/>
          <w:lang w:eastAsia="zh-CN"/>
        </w:rPr>
        <w:t>⑤</w:t>
      </w:r>
      <w:r>
        <w:rPr>
          <w:rFonts w:hint="eastAsia" w:hAnsi="宋体" w:cs="宋体"/>
          <w:b w:val="0"/>
          <w:bCs w:val="0"/>
          <w:color w:val="auto"/>
          <w:szCs w:val="21"/>
          <w:highlight w:val="none"/>
          <w:lang w:eastAsia="zh-CN"/>
        </w:rPr>
        <w:t>售后</w:t>
      </w:r>
      <w:r>
        <w:rPr>
          <w:rFonts w:hint="eastAsia" w:hAnsi="宋体" w:cs="宋体"/>
          <w:b w:val="0"/>
          <w:bCs w:val="0"/>
          <w:color w:val="auto"/>
          <w:szCs w:val="21"/>
          <w:highlight w:val="none"/>
        </w:rPr>
        <w:t>服务</w:t>
      </w:r>
      <w:r>
        <w:rPr>
          <w:rFonts w:hint="eastAsia" w:hAnsi="宋体" w:cs="宋体"/>
          <w:b w:val="0"/>
          <w:bCs w:val="0"/>
          <w:color w:val="auto"/>
          <w:szCs w:val="21"/>
          <w:highlight w:val="none"/>
          <w:lang w:eastAsia="zh-CN"/>
        </w:rPr>
        <w:t>方案</w:t>
      </w:r>
      <w:r>
        <w:rPr>
          <w:rFonts w:hint="eastAsia" w:ascii="宋体" w:hAnsi="宋体" w:cs="宋体"/>
          <w:b w:val="0"/>
          <w:bCs w:val="0"/>
          <w:color w:val="auto"/>
          <w:kern w:val="0"/>
          <w:szCs w:val="21"/>
          <w:highlight w:val="none"/>
        </w:rPr>
        <w:t>（</w:t>
      </w:r>
      <w:r>
        <w:rPr>
          <w:rFonts w:hint="eastAsia" w:ascii="宋体" w:hAnsi="宋体" w:cs="宋体"/>
          <w:b w:val="0"/>
          <w:bCs w:val="0"/>
          <w:color w:val="auto"/>
          <w:kern w:val="0"/>
          <w:szCs w:val="21"/>
          <w:highlight w:val="none"/>
          <w:lang w:val="en-US" w:eastAsia="zh-CN"/>
        </w:rPr>
        <w:t>12</w:t>
      </w:r>
      <w:r>
        <w:rPr>
          <w:rFonts w:hint="eastAsia" w:ascii="宋体" w:hAnsi="宋体" w:cs="宋体"/>
          <w:b w:val="0"/>
          <w:bCs w:val="0"/>
          <w:color w:val="auto"/>
          <w:kern w:val="0"/>
          <w:szCs w:val="21"/>
          <w:highlight w:val="none"/>
        </w:rPr>
        <w:t>分）</w:t>
      </w:r>
    </w:p>
    <w:p w14:paraId="577560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kern w:val="0"/>
          <w:szCs w:val="21"/>
          <w:highlight w:val="none"/>
          <w:lang w:eastAsia="zh-CN"/>
        </w:rPr>
      </w:pPr>
      <w:r>
        <w:rPr>
          <w:rFonts w:hint="eastAsia" w:ascii="宋体" w:hAnsi="宋体" w:eastAsia="宋体"/>
          <w:color w:val="auto"/>
          <w:highlight w:val="none"/>
        </w:rPr>
        <w:t>一档（</w:t>
      </w:r>
      <w:r>
        <w:rPr>
          <w:rFonts w:hint="eastAsia" w:ascii="宋体" w:hAnsi="宋体"/>
          <w:color w:val="auto"/>
          <w:highlight w:val="none"/>
          <w:lang w:val="en-US" w:eastAsia="zh-CN"/>
        </w:rPr>
        <w:t>1</w:t>
      </w:r>
      <w:r>
        <w:rPr>
          <w:rFonts w:hint="eastAsia" w:ascii="宋体" w:hAnsi="宋体" w:eastAsia="宋体"/>
          <w:color w:val="auto"/>
          <w:highlight w:val="none"/>
        </w:rPr>
        <w:t>分）</w:t>
      </w:r>
      <w:r>
        <w:rPr>
          <w:rFonts w:hint="eastAsia" w:ascii="宋体" w:hAnsi="宋体" w:cs="宋体"/>
          <w:color w:val="auto"/>
          <w:kern w:val="0"/>
          <w:szCs w:val="21"/>
          <w:highlight w:val="none"/>
        </w:rPr>
        <w:t>：</w:t>
      </w:r>
      <w:r>
        <w:rPr>
          <w:rFonts w:hint="eastAsia" w:hAnsi="宋体" w:cs="宋体"/>
          <w:bCs/>
          <w:color w:val="auto"/>
          <w:highlight w:val="none"/>
        </w:rPr>
        <w:t>对本项目实施过程中</w:t>
      </w:r>
      <w:r>
        <w:rPr>
          <w:rFonts w:hint="eastAsia" w:hAnsi="宋体" w:cs="宋体"/>
          <w:bCs/>
          <w:color w:val="auto"/>
          <w:highlight w:val="none"/>
          <w:lang w:eastAsia="zh-CN"/>
        </w:rPr>
        <w:t>有</w:t>
      </w:r>
      <w:r>
        <w:rPr>
          <w:rFonts w:hint="eastAsia" w:hAnsi="宋体" w:cs="宋体"/>
          <w:bCs/>
          <w:color w:val="auto"/>
          <w:highlight w:val="none"/>
        </w:rPr>
        <w:t>投入</w:t>
      </w:r>
      <w:r>
        <w:rPr>
          <w:rFonts w:hint="eastAsia" w:hAnsi="宋体" w:cs="宋体"/>
          <w:bCs/>
          <w:color w:val="auto"/>
          <w:highlight w:val="none"/>
          <w:lang w:eastAsia="zh-CN"/>
        </w:rPr>
        <w:t>维修</w:t>
      </w:r>
      <w:r>
        <w:rPr>
          <w:rFonts w:hint="eastAsia" w:hAnsi="宋体" w:cs="宋体"/>
          <w:bCs/>
          <w:color w:val="auto"/>
          <w:highlight w:val="none"/>
        </w:rPr>
        <w:t>人员</w:t>
      </w:r>
      <w:r>
        <w:rPr>
          <w:rFonts w:hint="eastAsia" w:hAnsi="宋体" w:cs="宋体"/>
          <w:bCs/>
          <w:color w:val="auto"/>
          <w:highlight w:val="none"/>
          <w:lang w:eastAsia="zh-CN"/>
        </w:rPr>
        <w:t>，售后</w:t>
      </w:r>
      <w:r>
        <w:rPr>
          <w:rFonts w:hint="eastAsia" w:hAnsi="宋体" w:cs="宋体"/>
          <w:bCs/>
          <w:color w:val="auto"/>
          <w:highlight w:val="none"/>
        </w:rPr>
        <w:t>服务</w:t>
      </w:r>
      <w:r>
        <w:rPr>
          <w:rFonts w:hint="eastAsia" w:ascii="宋体" w:hAnsi="宋体" w:cs="宋体"/>
          <w:color w:val="auto"/>
          <w:kern w:val="0"/>
          <w:szCs w:val="21"/>
          <w:highlight w:val="none"/>
          <w:lang w:eastAsia="zh-CN"/>
        </w:rPr>
        <w:t>不</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eastAsia="zh-CN"/>
        </w:rPr>
        <w:t>；</w:t>
      </w:r>
    </w:p>
    <w:p w14:paraId="4938C272">
      <w:pPr>
        <w:widowControl/>
        <w:spacing w:line="400" w:lineRule="exact"/>
        <w:ind w:firstLine="420"/>
        <w:rPr>
          <w:rFonts w:hint="eastAsia"/>
          <w:lang w:eastAsia="zh-CN"/>
        </w:rPr>
      </w:pPr>
      <w:r>
        <w:rPr>
          <w:rFonts w:hint="eastAsia" w:ascii="宋体" w:hAnsi="宋体" w:cs="宋体"/>
          <w:color w:val="auto"/>
          <w:highlight w:val="none"/>
          <w:lang w:eastAsia="zh-CN"/>
        </w:rPr>
        <w:t>二</w:t>
      </w:r>
      <w:r>
        <w:rPr>
          <w:rFonts w:hint="eastAsia" w:ascii="宋体" w:hAnsi="宋体" w:cs="宋体"/>
          <w:color w:val="auto"/>
          <w:highlight w:val="none"/>
        </w:rPr>
        <w:t>档（</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hAnsi="宋体" w:cs="宋体"/>
          <w:bCs/>
          <w:color w:val="auto"/>
          <w:highlight w:val="none"/>
        </w:rPr>
        <w:t>对本项目实施过程中</w:t>
      </w:r>
      <w:r>
        <w:rPr>
          <w:rFonts w:hint="eastAsia" w:hAnsi="宋体" w:cs="宋体"/>
          <w:bCs/>
          <w:color w:val="auto"/>
          <w:highlight w:val="none"/>
          <w:lang w:eastAsia="zh-CN"/>
        </w:rPr>
        <w:t>有</w:t>
      </w:r>
      <w:r>
        <w:rPr>
          <w:rFonts w:hint="eastAsia" w:hAnsi="宋体" w:cs="宋体"/>
          <w:bCs/>
          <w:color w:val="auto"/>
          <w:highlight w:val="none"/>
        </w:rPr>
        <w:t>投入</w:t>
      </w:r>
      <w:r>
        <w:rPr>
          <w:rFonts w:hint="eastAsia" w:hAnsi="宋体" w:cs="宋体"/>
          <w:bCs/>
          <w:color w:val="auto"/>
          <w:highlight w:val="none"/>
          <w:lang w:eastAsia="zh-CN"/>
        </w:rPr>
        <w:t>维修</w:t>
      </w:r>
      <w:r>
        <w:rPr>
          <w:rFonts w:hint="eastAsia" w:hAnsi="宋体" w:cs="宋体"/>
          <w:bCs/>
          <w:color w:val="auto"/>
          <w:highlight w:val="none"/>
        </w:rPr>
        <w:t>人员，</w:t>
      </w:r>
      <w:r>
        <w:rPr>
          <w:rFonts w:hint="eastAsia" w:hAnsi="宋体" w:cs="宋体"/>
          <w:bCs/>
          <w:color w:val="auto"/>
          <w:highlight w:val="none"/>
          <w:lang w:eastAsia="zh-CN"/>
        </w:rPr>
        <w:t>售后</w:t>
      </w:r>
      <w:r>
        <w:rPr>
          <w:rFonts w:hint="eastAsia" w:hAnsi="宋体" w:cs="宋体"/>
          <w:bCs/>
          <w:color w:val="auto"/>
          <w:highlight w:val="none"/>
        </w:rPr>
        <w:t>服务</w:t>
      </w:r>
      <w:r>
        <w:rPr>
          <w:rFonts w:hint="eastAsia" w:hAnsi="宋体" w:cs="宋体"/>
          <w:bCs/>
          <w:color w:val="auto"/>
          <w:highlight w:val="none"/>
          <w:lang w:eastAsia="zh-CN"/>
        </w:rPr>
        <w:t>解决方案</w:t>
      </w:r>
      <w:r>
        <w:rPr>
          <w:rFonts w:hint="eastAsia" w:ascii="宋体" w:hAnsi="宋体" w:cs="宋体"/>
          <w:color w:val="auto"/>
          <w:kern w:val="0"/>
          <w:szCs w:val="21"/>
          <w:highlight w:val="none"/>
          <w:lang w:eastAsia="zh-CN"/>
        </w:rPr>
        <w:t>简单</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基本</w:t>
      </w:r>
      <w:r>
        <w:rPr>
          <w:rFonts w:hint="eastAsia" w:ascii="宋体" w:hAnsi="宋体" w:cs="宋体"/>
          <w:color w:val="auto"/>
          <w:kern w:val="0"/>
          <w:szCs w:val="21"/>
          <w:highlight w:val="none"/>
        </w:rPr>
        <w:t>可行</w:t>
      </w:r>
      <w:r>
        <w:rPr>
          <w:rFonts w:hint="eastAsia" w:ascii="宋体" w:hAnsi="宋体" w:cs="宋体"/>
          <w:color w:val="auto"/>
          <w:kern w:val="0"/>
          <w:szCs w:val="21"/>
          <w:highlight w:val="none"/>
          <w:lang w:eastAsia="zh-CN"/>
        </w:rPr>
        <w:t>；</w:t>
      </w:r>
    </w:p>
    <w:p w14:paraId="3C7A5F40">
      <w:pPr>
        <w:widowControl/>
        <w:spacing w:line="400" w:lineRule="exact"/>
        <w:ind w:firstLine="420"/>
        <w:rPr>
          <w:rFonts w:hint="eastAsia" w:ascii="宋体" w:hAnsi="宋体" w:cs="宋体"/>
          <w:color w:val="auto"/>
          <w:highlight w:val="none"/>
        </w:rPr>
      </w:pPr>
      <w:r>
        <w:rPr>
          <w:rFonts w:hint="eastAsia" w:ascii="宋体" w:hAnsi="宋体" w:cs="宋体"/>
          <w:color w:val="auto"/>
          <w:highlight w:val="none"/>
          <w:lang w:eastAsia="zh-CN"/>
        </w:rPr>
        <w:t>三</w:t>
      </w:r>
      <w:r>
        <w:rPr>
          <w:rFonts w:hint="eastAsia" w:ascii="宋体" w:hAnsi="宋体" w:cs="宋体"/>
          <w:color w:val="auto"/>
          <w:highlight w:val="none"/>
        </w:rPr>
        <w:t>档（</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hAnsi="宋体" w:cs="宋体"/>
          <w:bCs/>
          <w:color w:val="auto"/>
          <w:highlight w:val="none"/>
        </w:rPr>
        <w:t>对本项目实施过程中</w:t>
      </w:r>
      <w:r>
        <w:rPr>
          <w:rFonts w:hint="eastAsia" w:hAnsi="宋体" w:cs="宋体"/>
          <w:bCs/>
          <w:color w:val="auto"/>
          <w:highlight w:val="none"/>
          <w:lang w:eastAsia="zh-CN"/>
        </w:rPr>
        <w:t>有</w:t>
      </w:r>
      <w:r>
        <w:rPr>
          <w:rFonts w:hint="eastAsia" w:hAnsi="宋体" w:cs="宋体"/>
          <w:bCs/>
          <w:color w:val="auto"/>
          <w:highlight w:val="none"/>
        </w:rPr>
        <w:t>投入</w:t>
      </w:r>
      <w:r>
        <w:rPr>
          <w:rFonts w:hint="eastAsia" w:hAnsi="宋体" w:cs="宋体"/>
          <w:bCs/>
          <w:color w:val="auto"/>
          <w:highlight w:val="none"/>
          <w:lang w:eastAsia="zh-CN"/>
        </w:rPr>
        <w:t>维修</w:t>
      </w:r>
      <w:r>
        <w:rPr>
          <w:rFonts w:hint="eastAsia" w:hAnsi="宋体" w:cs="宋体"/>
          <w:bCs/>
          <w:color w:val="auto"/>
          <w:highlight w:val="none"/>
        </w:rPr>
        <w:t>人员情况的</w:t>
      </w:r>
      <w:r>
        <w:rPr>
          <w:rFonts w:hint="eastAsia" w:hAnsi="宋体" w:cs="宋体"/>
          <w:bCs/>
          <w:color w:val="auto"/>
          <w:highlight w:val="none"/>
          <w:lang w:eastAsia="zh-CN"/>
        </w:rPr>
        <w:t>简单</w:t>
      </w:r>
      <w:r>
        <w:rPr>
          <w:rFonts w:hint="eastAsia" w:hAnsi="宋体" w:cs="宋体"/>
          <w:bCs/>
          <w:color w:val="auto"/>
          <w:highlight w:val="none"/>
        </w:rPr>
        <w:t>说明，质保期的</w:t>
      </w:r>
      <w:r>
        <w:rPr>
          <w:rFonts w:hint="eastAsia" w:hAnsi="宋体" w:cs="宋体"/>
          <w:bCs/>
          <w:color w:val="auto"/>
          <w:highlight w:val="none"/>
          <w:lang w:eastAsia="zh-CN"/>
        </w:rPr>
        <w:t>维护</w:t>
      </w:r>
      <w:r>
        <w:rPr>
          <w:rFonts w:hint="eastAsia" w:hAnsi="宋体" w:cs="宋体"/>
          <w:bCs/>
          <w:color w:val="auto"/>
          <w:highlight w:val="none"/>
        </w:rPr>
        <w:t>跟踪</w:t>
      </w:r>
      <w:r>
        <w:rPr>
          <w:rFonts w:hint="eastAsia" w:ascii="宋体" w:hAnsi="宋体" w:cs="宋体"/>
          <w:color w:val="auto"/>
          <w:kern w:val="0"/>
          <w:szCs w:val="21"/>
          <w:highlight w:val="none"/>
        </w:rPr>
        <w:t>有安全</w:t>
      </w:r>
      <w:r>
        <w:rPr>
          <w:rFonts w:hint="eastAsia" w:ascii="宋体" w:hAnsi="宋体" w:cs="宋体"/>
          <w:color w:val="auto"/>
          <w:kern w:val="0"/>
          <w:szCs w:val="21"/>
          <w:highlight w:val="none"/>
          <w:lang w:eastAsia="zh-CN"/>
        </w:rPr>
        <w:t>的实施方法</w:t>
      </w:r>
      <w:r>
        <w:rPr>
          <w:rFonts w:hint="eastAsia" w:hAnsi="宋体" w:cs="宋体"/>
          <w:bCs/>
          <w:color w:val="auto"/>
          <w:highlight w:val="none"/>
          <w:lang w:eastAsia="zh-CN"/>
        </w:rPr>
        <w:t>，售后</w:t>
      </w:r>
      <w:r>
        <w:rPr>
          <w:rFonts w:hint="eastAsia" w:hAnsi="宋体" w:cs="宋体"/>
          <w:bCs/>
          <w:color w:val="auto"/>
          <w:highlight w:val="none"/>
        </w:rPr>
        <w:t>服务</w:t>
      </w:r>
      <w:r>
        <w:rPr>
          <w:rFonts w:hint="eastAsia" w:hAnsi="宋体" w:cs="宋体"/>
          <w:bCs/>
          <w:color w:val="auto"/>
          <w:highlight w:val="none"/>
          <w:lang w:eastAsia="zh-CN"/>
        </w:rPr>
        <w:t>解决方案</w:t>
      </w:r>
      <w:r>
        <w:rPr>
          <w:rFonts w:hint="eastAsia" w:ascii="宋体" w:hAnsi="宋体" w:cs="宋体"/>
          <w:color w:val="auto"/>
          <w:kern w:val="0"/>
          <w:szCs w:val="21"/>
          <w:highlight w:val="none"/>
        </w:rPr>
        <w:t>经济、切实可行</w:t>
      </w:r>
      <w:r>
        <w:rPr>
          <w:rFonts w:hint="eastAsia" w:ascii="宋体" w:hAnsi="宋体" w:cs="宋体"/>
          <w:color w:val="auto"/>
          <w:kern w:val="0"/>
          <w:szCs w:val="21"/>
          <w:highlight w:val="none"/>
          <w:lang w:eastAsia="zh-CN"/>
        </w:rPr>
        <w:t>；</w:t>
      </w:r>
    </w:p>
    <w:p w14:paraId="160B5788">
      <w:pPr>
        <w:widowControl/>
        <w:spacing w:line="400" w:lineRule="exact"/>
        <w:ind w:firstLine="420"/>
        <w:rPr>
          <w:rFonts w:hint="eastAsia" w:ascii="宋体" w:hAnsi="宋体" w:cs="宋体"/>
          <w:b/>
          <w:bCs/>
          <w:color w:val="auto"/>
          <w:kern w:val="0"/>
          <w:szCs w:val="21"/>
          <w:highlight w:val="none"/>
          <w:lang w:eastAsia="zh-CN"/>
        </w:rPr>
      </w:pPr>
      <w:r>
        <w:rPr>
          <w:rFonts w:hint="eastAsia" w:ascii="宋体" w:hAnsi="宋体"/>
          <w:color w:val="auto"/>
          <w:highlight w:val="none"/>
          <w:lang w:eastAsia="zh-CN"/>
        </w:rPr>
        <w:t>四</w:t>
      </w:r>
      <w:r>
        <w:rPr>
          <w:rFonts w:hint="eastAsia" w:ascii="宋体" w:hAnsi="宋体" w:eastAsia="宋体"/>
          <w:color w:val="auto"/>
          <w:highlight w:val="none"/>
        </w:rPr>
        <w:t>档 (</w:t>
      </w:r>
      <w:r>
        <w:rPr>
          <w:rFonts w:hint="eastAsia" w:ascii="宋体" w:hAnsi="宋体"/>
          <w:color w:val="auto"/>
          <w:highlight w:val="none"/>
          <w:lang w:val="en-US" w:eastAsia="zh-CN"/>
        </w:rPr>
        <w:t>12</w:t>
      </w:r>
      <w:r>
        <w:rPr>
          <w:rFonts w:hint="eastAsia" w:ascii="宋体" w:hAnsi="宋体" w:eastAsia="宋体"/>
          <w:color w:val="auto"/>
          <w:highlight w:val="none"/>
        </w:rPr>
        <w:t>分）：</w:t>
      </w:r>
      <w:r>
        <w:rPr>
          <w:rFonts w:hint="eastAsia" w:hAnsi="宋体" w:cs="宋体"/>
          <w:bCs/>
          <w:color w:val="auto"/>
          <w:highlight w:val="none"/>
        </w:rPr>
        <w:t>对本项目实施过程中</w:t>
      </w:r>
      <w:r>
        <w:rPr>
          <w:rFonts w:hint="eastAsia" w:hAnsi="宋体" w:cs="宋体"/>
          <w:bCs/>
          <w:color w:val="auto"/>
          <w:highlight w:val="none"/>
          <w:lang w:eastAsia="zh-CN"/>
        </w:rPr>
        <w:t>有</w:t>
      </w:r>
      <w:r>
        <w:rPr>
          <w:rFonts w:hint="eastAsia" w:hAnsi="宋体" w:cs="宋体"/>
          <w:bCs/>
          <w:color w:val="auto"/>
          <w:highlight w:val="none"/>
        </w:rPr>
        <w:t>投入</w:t>
      </w:r>
      <w:r>
        <w:rPr>
          <w:rFonts w:hint="eastAsia" w:hAnsi="宋体" w:cs="宋体"/>
          <w:bCs/>
          <w:color w:val="auto"/>
          <w:highlight w:val="none"/>
          <w:lang w:eastAsia="zh-CN"/>
        </w:rPr>
        <w:t>维修</w:t>
      </w:r>
      <w:r>
        <w:rPr>
          <w:rFonts w:hint="eastAsia" w:hAnsi="宋体" w:cs="宋体"/>
          <w:bCs/>
          <w:color w:val="auto"/>
          <w:highlight w:val="none"/>
        </w:rPr>
        <w:t>人员情况的</w:t>
      </w:r>
      <w:r>
        <w:rPr>
          <w:rFonts w:hint="eastAsia" w:hAnsi="宋体" w:cs="宋体"/>
          <w:bCs/>
          <w:color w:val="auto"/>
          <w:highlight w:val="none"/>
          <w:lang w:eastAsia="zh-CN"/>
        </w:rPr>
        <w:t>详细</w:t>
      </w:r>
      <w:r>
        <w:rPr>
          <w:rFonts w:hint="eastAsia" w:hAnsi="宋体" w:cs="宋体"/>
          <w:bCs/>
          <w:color w:val="auto"/>
          <w:highlight w:val="none"/>
        </w:rPr>
        <w:t>说明，质保期的</w:t>
      </w:r>
      <w:r>
        <w:rPr>
          <w:rFonts w:hint="eastAsia" w:hAnsi="宋体" w:cs="宋体"/>
          <w:bCs/>
          <w:color w:val="auto"/>
          <w:highlight w:val="none"/>
          <w:lang w:eastAsia="zh-CN"/>
        </w:rPr>
        <w:t>维护</w:t>
      </w:r>
      <w:r>
        <w:rPr>
          <w:rFonts w:hint="eastAsia" w:hAnsi="宋体" w:cs="宋体"/>
          <w:bCs/>
          <w:color w:val="auto"/>
          <w:highlight w:val="none"/>
        </w:rPr>
        <w:t>跟踪</w:t>
      </w:r>
      <w:r>
        <w:rPr>
          <w:rFonts w:hint="eastAsia" w:ascii="宋体" w:hAnsi="宋体" w:cs="宋体"/>
          <w:color w:val="auto"/>
          <w:kern w:val="0"/>
          <w:szCs w:val="21"/>
          <w:highlight w:val="none"/>
        </w:rPr>
        <w:t>有先进</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合理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安全</w:t>
      </w:r>
      <w:r>
        <w:rPr>
          <w:rFonts w:hint="eastAsia" w:ascii="宋体" w:hAnsi="宋体" w:cs="宋体"/>
          <w:color w:val="auto"/>
          <w:kern w:val="0"/>
          <w:szCs w:val="21"/>
          <w:highlight w:val="none"/>
          <w:lang w:eastAsia="zh-CN"/>
        </w:rPr>
        <w:t>的实施方法</w:t>
      </w:r>
      <w:r>
        <w:rPr>
          <w:rFonts w:hint="eastAsia" w:hAnsi="宋体" w:cs="宋体"/>
          <w:bCs/>
          <w:color w:val="auto"/>
          <w:highlight w:val="none"/>
          <w:lang w:eastAsia="zh-CN"/>
        </w:rPr>
        <w:t>，售后</w:t>
      </w:r>
      <w:r>
        <w:rPr>
          <w:rFonts w:hint="eastAsia" w:hAnsi="宋体" w:cs="宋体"/>
          <w:bCs/>
          <w:color w:val="auto"/>
          <w:highlight w:val="none"/>
        </w:rPr>
        <w:t>服务</w:t>
      </w:r>
      <w:r>
        <w:rPr>
          <w:rFonts w:hint="eastAsia" w:hAnsi="宋体" w:cs="宋体"/>
          <w:bCs/>
          <w:color w:val="auto"/>
          <w:highlight w:val="none"/>
          <w:lang w:eastAsia="zh-CN"/>
        </w:rPr>
        <w:t>解决方案</w:t>
      </w:r>
      <w:r>
        <w:rPr>
          <w:rFonts w:hint="eastAsia" w:ascii="宋体" w:hAnsi="宋体" w:cs="宋体"/>
          <w:color w:val="auto"/>
          <w:kern w:val="0"/>
          <w:szCs w:val="21"/>
          <w:highlight w:val="none"/>
        </w:rPr>
        <w:t>完整、经济、切实可行，措施得力。</w:t>
      </w:r>
    </w:p>
    <w:p w14:paraId="608C51FE">
      <w:pPr>
        <w:keepNext/>
        <w:keepLines/>
        <w:spacing w:line="400" w:lineRule="exact"/>
        <w:ind w:firstLine="420" w:firstLineChars="200"/>
        <w:outlineLvl w:val="1"/>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3</w:t>
      </w:r>
      <w:r>
        <w:rPr>
          <w:rFonts w:hint="eastAsia" w:ascii="宋体" w:hAnsi="宋体" w:eastAsia="宋体" w:cs="宋体"/>
          <w:b/>
          <w:bCs/>
          <w:color w:val="auto"/>
          <w:szCs w:val="21"/>
          <w:highlight w:val="none"/>
        </w:rPr>
        <w:t>.业绩分…………………………………………………………………………………………</w:t>
      </w:r>
      <w:r>
        <w:rPr>
          <w:rFonts w:hint="eastAsia" w:ascii="宋体" w:hAnsi="宋体" w:cs="宋体"/>
          <w:b/>
          <w:bCs/>
          <w:color w:val="auto"/>
          <w:szCs w:val="21"/>
          <w:highlight w:val="none"/>
          <w:lang w:val="en-US" w:eastAsia="zh-CN"/>
        </w:rPr>
        <w:t>10</w:t>
      </w:r>
      <w:r>
        <w:rPr>
          <w:rFonts w:hint="eastAsia" w:ascii="宋体" w:hAnsi="宋体" w:eastAsia="宋体" w:cs="宋体"/>
          <w:b/>
          <w:bCs/>
          <w:color w:val="auto"/>
          <w:szCs w:val="21"/>
          <w:highlight w:val="none"/>
        </w:rPr>
        <w:t>分</w:t>
      </w:r>
      <w:r>
        <w:rPr>
          <w:rFonts w:hint="eastAsia" w:ascii="宋体" w:hAnsi="宋体" w:eastAsia="宋体" w:cs="宋体"/>
          <w:b/>
          <w:bCs/>
          <w:color w:val="auto"/>
          <w:szCs w:val="21"/>
          <w:highlight w:val="none"/>
        </w:rPr>
        <w:tab/>
      </w:r>
    </w:p>
    <w:p w14:paraId="23895307">
      <w:pPr>
        <w:keepNext/>
        <w:keepLines/>
        <w:spacing w:line="400" w:lineRule="exact"/>
        <w:ind w:firstLine="420" w:firstLineChars="200"/>
        <w:outlineLvl w:val="1"/>
        <w:rPr>
          <w:rFonts w:hint="eastAsia"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供应商2019年1月1日以来完成过水工机械(水工金属结构)的安装或更新改造或检（抢、维）修或修复业绩的（以中标、成交通知书或签订的合同为准，并能清晰反映项目名称、种类、金额），提供相关证明文件扫描件（加盖公章），每个项目得2分，满分10分。</w:t>
      </w:r>
    </w:p>
    <w:p w14:paraId="194C362D">
      <w:pPr>
        <w:keepNext/>
        <w:keepLines/>
        <w:spacing w:line="400" w:lineRule="exact"/>
        <w:ind w:firstLine="420" w:firstLineChars="200"/>
        <w:outlineLvl w:val="1"/>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4</w:t>
      </w:r>
      <w:r>
        <w:rPr>
          <w:rFonts w:hint="eastAsia" w:ascii="宋体" w:hAnsi="宋体" w:eastAsia="宋体" w:cs="宋体"/>
          <w:b/>
          <w:bCs/>
          <w:color w:val="auto"/>
          <w:szCs w:val="21"/>
          <w:highlight w:val="none"/>
          <w:lang w:val="en-US" w:eastAsia="zh-CN"/>
        </w:rPr>
        <w:t>.总得分=1+2+3</w:t>
      </w:r>
    </w:p>
    <w:p w14:paraId="6953C653">
      <w:pPr>
        <w:spacing w:line="400" w:lineRule="exact"/>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三、推荐及确定中标候选供应商原则</w:t>
      </w:r>
    </w:p>
    <w:p w14:paraId="478CCF39">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（1）磋商小组根据综合得分由高到低排列次序，若得分相同时，以评审报价由低到高顺序排列；若得分相同且评审报价相同的，</w:t>
      </w:r>
      <w:r>
        <w:rPr>
          <w:b w:val="0"/>
          <w:bCs w:val="0"/>
          <w:color w:val="auto"/>
          <w:spacing w:val="-1"/>
          <w:w w:val="100"/>
          <w:highlight w:val="none"/>
        </w:rPr>
        <w:t>以</w:t>
      </w:r>
      <w:r>
        <w:rPr>
          <w:b w:val="0"/>
          <w:bCs w:val="0"/>
          <w:color w:val="auto"/>
          <w:spacing w:val="2"/>
          <w:w w:val="100"/>
          <w:highlight w:val="none"/>
        </w:rPr>
        <w:t>项</w:t>
      </w:r>
      <w:r>
        <w:rPr>
          <w:b w:val="0"/>
          <w:bCs w:val="0"/>
          <w:color w:val="auto"/>
          <w:spacing w:val="-1"/>
          <w:w w:val="100"/>
          <w:highlight w:val="none"/>
        </w:rPr>
        <w:t>目</w:t>
      </w:r>
      <w:r>
        <w:rPr>
          <w:rFonts w:hint="eastAsia"/>
          <w:b w:val="0"/>
          <w:bCs w:val="0"/>
          <w:color w:val="auto"/>
          <w:spacing w:val="-1"/>
          <w:w w:val="100"/>
          <w:highlight w:val="none"/>
          <w:lang w:eastAsia="zh-CN"/>
        </w:rPr>
        <w:t>实施</w:t>
      </w:r>
      <w:r>
        <w:rPr>
          <w:b w:val="0"/>
          <w:bCs w:val="0"/>
          <w:color w:val="auto"/>
          <w:spacing w:val="-1"/>
          <w:w w:val="100"/>
          <w:highlight w:val="none"/>
        </w:rPr>
        <w:t>案</w:t>
      </w:r>
      <w:r>
        <w:rPr>
          <w:b w:val="0"/>
          <w:bCs w:val="0"/>
          <w:color w:val="auto"/>
          <w:spacing w:val="2"/>
          <w:w w:val="100"/>
          <w:highlight w:val="none"/>
        </w:rPr>
        <w:t>分</w:t>
      </w:r>
      <w:r>
        <w:rPr>
          <w:b w:val="0"/>
          <w:bCs w:val="0"/>
          <w:color w:val="auto"/>
          <w:spacing w:val="-1"/>
          <w:w w:val="100"/>
          <w:highlight w:val="none"/>
        </w:rPr>
        <w:t>由</w:t>
      </w:r>
      <w:r>
        <w:rPr>
          <w:rFonts w:hint="eastAsia"/>
          <w:b w:val="0"/>
          <w:bCs w:val="0"/>
          <w:color w:val="auto"/>
          <w:spacing w:val="-1"/>
          <w:w w:val="100"/>
          <w:highlight w:val="none"/>
          <w:lang w:eastAsia="zh-CN"/>
        </w:rPr>
        <w:t>高</w:t>
      </w:r>
      <w:r>
        <w:rPr>
          <w:b w:val="0"/>
          <w:bCs w:val="0"/>
          <w:color w:val="auto"/>
          <w:spacing w:val="-1"/>
          <w:w w:val="100"/>
          <w:highlight w:val="none"/>
        </w:rPr>
        <w:t>到</w:t>
      </w:r>
      <w:r>
        <w:rPr>
          <w:rFonts w:hint="eastAsia"/>
          <w:b w:val="0"/>
          <w:bCs w:val="0"/>
          <w:color w:val="auto"/>
          <w:spacing w:val="-1"/>
          <w:w w:val="100"/>
          <w:highlight w:val="none"/>
          <w:lang w:eastAsia="zh-CN"/>
        </w:rPr>
        <w:t>低</w:t>
      </w:r>
      <w:r>
        <w:rPr>
          <w:b w:val="0"/>
          <w:bCs w:val="0"/>
          <w:color w:val="auto"/>
          <w:spacing w:val="-1"/>
          <w:w w:val="100"/>
          <w:highlight w:val="none"/>
        </w:rPr>
        <w:t>顺</w:t>
      </w:r>
      <w:r>
        <w:rPr>
          <w:b w:val="0"/>
          <w:bCs w:val="0"/>
          <w:color w:val="auto"/>
          <w:spacing w:val="2"/>
          <w:w w:val="100"/>
          <w:highlight w:val="none"/>
        </w:rPr>
        <w:t>序</w:t>
      </w:r>
      <w:r>
        <w:rPr>
          <w:b w:val="0"/>
          <w:bCs w:val="0"/>
          <w:color w:val="auto"/>
          <w:spacing w:val="-1"/>
          <w:w w:val="100"/>
          <w:highlight w:val="none"/>
        </w:rPr>
        <w:t>排</w:t>
      </w:r>
      <w:r>
        <w:rPr>
          <w:b w:val="0"/>
          <w:bCs w:val="0"/>
          <w:color w:val="auto"/>
          <w:spacing w:val="2"/>
          <w:w w:val="100"/>
          <w:highlight w:val="none"/>
        </w:rPr>
        <w:t>列</w:t>
      </w:r>
      <w:r>
        <w:rPr>
          <w:b w:val="0"/>
          <w:bCs w:val="0"/>
          <w:color w:val="auto"/>
          <w:spacing w:val="0"/>
          <w:w w:val="100"/>
          <w:highlight w:val="none"/>
        </w:rPr>
        <w:t>。</w:t>
      </w:r>
    </w:p>
    <w:p w14:paraId="0D2D8867">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（2）磋商小组可推荐前三名为中标候选人，采购人应当确定磋商小组推荐排名第一的中标候选人为中标人。</w:t>
      </w:r>
    </w:p>
    <w:p w14:paraId="07D878AA">
      <w:pPr>
        <w:pStyle w:val="17"/>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中标候选人放弃中标、因不可抗力提出不能履行合同，或者采购文件规定应当提交履约保证金而在规定的期限内未能提交的，或因失信行为被取消中标候选人资格的，采购人可以确定排名第二的中标候选人为中标人，并依此类推。</w:t>
      </w:r>
    </w:p>
    <w:p w14:paraId="6FE31AD8">
      <w:pPr>
        <w:spacing w:line="360" w:lineRule="exact"/>
        <w:ind w:firstLine="424" w:firstLineChars="202"/>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四、特别说明</w:t>
      </w:r>
    </w:p>
    <w:p w14:paraId="00F47D27">
      <w:pPr>
        <w:spacing w:line="360" w:lineRule="exact"/>
        <w:ind w:firstLine="420"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认为</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的报价明显低于其它通过符合性审查</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的报价，有可能影响</w:t>
      </w:r>
      <w:r>
        <w:rPr>
          <w:rFonts w:hint="eastAsia" w:ascii="宋体" w:hAnsi="宋体" w:eastAsia="宋体" w:cs="宋体"/>
          <w:b/>
          <w:bCs/>
          <w:color w:val="auto"/>
          <w:szCs w:val="21"/>
          <w:highlight w:val="none"/>
          <w:lang w:eastAsia="zh-CN"/>
        </w:rPr>
        <w:t>服务</w:t>
      </w:r>
      <w:r>
        <w:rPr>
          <w:rFonts w:hint="eastAsia" w:ascii="宋体" w:hAnsi="宋体" w:eastAsia="宋体" w:cs="宋体"/>
          <w:b/>
          <w:bCs/>
          <w:color w:val="auto"/>
          <w:szCs w:val="21"/>
          <w:highlight w:val="none"/>
        </w:rPr>
        <w:t>质量或者不能诚信履约的，应当要求其在评标现场合理的时间内提供书面说明，必要时提交相关证明材料；</w:t>
      </w:r>
      <w:r>
        <w:rPr>
          <w:rFonts w:hint="eastAsia" w:ascii="宋体" w:hAnsi="宋体" w:cs="宋体"/>
          <w:b/>
          <w:bCs/>
          <w:color w:val="auto"/>
          <w:szCs w:val="21"/>
          <w:highlight w:val="none"/>
          <w:lang w:val="en-US" w:eastAsia="zh-CN"/>
        </w:rPr>
        <w:t>供应商</w:t>
      </w:r>
      <w:r>
        <w:rPr>
          <w:rFonts w:hint="eastAsia" w:ascii="宋体" w:hAnsi="宋体" w:eastAsia="宋体" w:cs="宋体"/>
          <w:b/>
          <w:bCs/>
          <w:color w:val="auto"/>
          <w:szCs w:val="21"/>
          <w:highlight w:val="none"/>
        </w:rPr>
        <w:t>不能证明其报价合理性的，评</w:t>
      </w:r>
      <w:r>
        <w:rPr>
          <w:rFonts w:hint="eastAsia" w:ascii="宋体" w:hAnsi="宋体" w:cs="宋体"/>
          <w:b/>
          <w:bCs/>
          <w:color w:val="auto"/>
          <w:szCs w:val="21"/>
          <w:highlight w:val="none"/>
          <w:lang w:val="en-US" w:eastAsia="zh-CN"/>
        </w:rPr>
        <w:t>审小组</w:t>
      </w:r>
      <w:r>
        <w:rPr>
          <w:rFonts w:hint="eastAsia" w:ascii="宋体" w:hAnsi="宋体" w:eastAsia="宋体" w:cs="宋体"/>
          <w:b/>
          <w:bCs/>
          <w:color w:val="auto"/>
          <w:szCs w:val="21"/>
          <w:highlight w:val="none"/>
        </w:rPr>
        <w:t>应当将其作为无效</w:t>
      </w:r>
      <w:r>
        <w:rPr>
          <w:rFonts w:hint="eastAsia" w:ascii="宋体" w:hAnsi="宋体" w:cs="宋体"/>
          <w:b/>
          <w:bCs/>
          <w:color w:val="auto"/>
          <w:szCs w:val="21"/>
          <w:highlight w:val="none"/>
          <w:lang w:val="en-US" w:eastAsia="zh-CN"/>
        </w:rPr>
        <w:t>响应</w:t>
      </w:r>
      <w:r>
        <w:rPr>
          <w:rFonts w:hint="eastAsia" w:ascii="宋体" w:hAnsi="宋体" w:eastAsia="宋体" w:cs="宋体"/>
          <w:b/>
          <w:bCs/>
          <w:color w:val="auto"/>
          <w:szCs w:val="21"/>
          <w:highlight w:val="none"/>
        </w:rPr>
        <w:t>处理。</w:t>
      </w:r>
    </w:p>
    <w:p w14:paraId="70E7F884">
      <w:pPr>
        <w:spacing w:line="400" w:lineRule="exact"/>
        <w:ind w:firstLine="420" w:firstLineChars="200"/>
        <w:jc w:val="center"/>
        <w:rPr>
          <w:rFonts w:hint="eastAsia" w:ascii="宋体" w:hAnsi="宋体" w:eastAsia="宋体" w:cs="宋体"/>
          <w:b w:val="0"/>
          <w:bCs w:val="0"/>
          <w:color w:val="auto"/>
          <w:sz w:val="32"/>
          <w:szCs w:val="32"/>
          <w:highlight w:val="none"/>
        </w:rPr>
      </w:pPr>
      <w:r>
        <w:rPr>
          <w:rFonts w:hint="eastAsia" w:ascii="宋体" w:hAnsi="宋体" w:eastAsia="宋体" w:cs="宋体"/>
          <w:b/>
          <w:bCs/>
          <w:color w:val="auto"/>
          <w:szCs w:val="21"/>
          <w:highlight w:val="none"/>
        </w:rPr>
        <w:br w:type="page"/>
      </w:r>
      <w:r>
        <w:rPr>
          <w:rFonts w:hint="eastAsia" w:ascii="宋体" w:hAnsi="宋体" w:eastAsia="宋体" w:cs="宋体"/>
          <w:b w:val="0"/>
          <w:bCs w:val="0"/>
          <w:color w:val="auto"/>
          <w:sz w:val="32"/>
          <w:szCs w:val="32"/>
          <w:highlight w:val="none"/>
        </w:rPr>
        <w:t>第五章 采购合同（合同主要条款及格式）</w:t>
      </w:r>
      <w:bookmarkEnd w:id="133"/>
      <w:bookmarkEnd w:id="134"/>
      <w:bookmarkEnd w:id="135"/>
      <w:bookmarkEnd w:id="136"/>
    </w:p>
    <w:p w14:paraId="305D8064">
      <w:pPr>
        <w:spacing w:line="420" w:lineRule="exact"/>
        <w:jc w:val="center"/>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0C6229B4">
      <w:pPr>
        <w:rPr>
          <w:u w:val="single"/>
        </w:rPr>
      </w:pPr>
      <w:r>
        <w:rPr>
          <w:rFonts w:hint="eastAsia"/>
        </w:rPr>
        <w:t>合同编号：</w:t>
      </w:r>
    </w:p>
    <w:p w14:paraId="16D0363B">
      <w:r>
        <w:rPr>
          <w:rFonts w:hint="eastAsia"/>
        </w:rPr>
        <w:t>项目名称：</w:t>
      </w:r>
    </w:p>
    <w:p w14:paraId="20684688">
      <w:r>
        <w:rPr>
          <w:rFonts w:hint="eastAsia"/>
        </w:rPr>
        <w:t>项目编号：</w:t>
      </w:r>
    </w:p>
    <w:p w14:paraId="599E9A72">
      <w:r>
        <w:rPr>
          <w:rFonts w:hint="eastAsia"/>
        </w:rPr>
        <w:t>甲方：（采购人）</w:t>
      </w:r>
    </w:p>
    <w:p w14:paraId="73D439C7">
      <w:r>
        <w:rPr>
          <w:rFonts w:hint="eastAsia"/>
        </w:rPr>
        <w:t>乙方：（成交供应商）</w:t>
      </w:r>
    </w:p>
    <w:p w14:paraId="1DFD3F9A">
      <w:r>
        <w:rPr>
          <w:rFonts w:hint="eastAsia"/>
        </w:rPr>
        <w:t>根据《中华人民共和国政府采购法》、《中华人民共和国政府采购法实施条例》、《中华人民共和国民法典》等法律、法规规定，按照竞争性磋商文件（以下简称磋商文件）、响应文件规定条款和成交供应商的承诺、甲乙双方签订本采购合同。</w:t>
      </w:r>
    </w:p>
    <w:p w14:paraId="10CF4C7F">
      <w:r>
        <w:rPr>
          <w:rFonts w:hint="eastAsia" w:cs="宋体"/>
        </w:rPr>
        <w:t>第一条</w:t>
      </w:r>
      <w:r>
        <w:rPr>
          <w:rFonts w:hint="eastAsia"/>
        </w:rPr>
        <w:t>合同标的及合同价</w:t>
      </w:r>
    </w:p>
    <w:p w14:paraId="62E99277">
      <w:r>
        <w:t>1</w:t>
      </w:r>
      <w:r>
        <w:rPr>
          <w:rFonts w:hint="eastAsia"/>
        </w:rPr>
        <w:t>、服务一览表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3330"/>
        <w:gridCol w:w="1032"/>
        <w:gridCol w:w="1020"/>
        <w:gridCol w:w="1311"/>
      </w:tblGrid>
      <w:tr w14:paraId="777E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05" w:type="dxa"/>
            <w:tcBorders>
              <w:top w:val="single" w:color="auto" w:sz="4" w:space="0"/>
              <w:left w:val="single" w:color="auto" w:sz="4" w:space="0"/>
              <w:bottom w:val="single" w:color="auto" w:sz="4" w:space="0"/>
              <w:right w:val="single" w:color="auto" w:sz="4" w:space="0"/>
            </w:tcBorders>
            <w:noWrap/>
          </w:tcPr>
          <w:p w14:paraId="2AFB1AF9">
            <w:r>
              <w:rPr>
                <w:rFonts w:hint="eastAsia"/>
              </w:rPr>
              <w:t>服务名称</w:t>
            </w:r>
          </w:p>
        </w:tc>
        <w:tc>
          <w:tcPr>
            <w:tcW w:w="3330" w:type="dxa"/>
            <w:tcBorders>
              <w:top w:val="single" w:color="auto" w:sz="4" w:space="0"/>
              <w:left w:val="single" w:color="auto" w:sz="4" w:space="0"/>
              <w:bottom w:val="single" w:color="auto" w:sz="4" w:space="0"/>
              <w:right w:val="single" w:color="auto" w:sz="4" w:space="0"/>
            </w:tcBorders>
            <w:noWrap/>
          </w:tcPr>
          <w:p w14:paraId="3F28343F">
            <w:r>
              <w:rPr>
                <w:rFonts w:hint="eastAsia"/>
              </w:rPr>
              <w:t>服务内容</w:t>
            </w:r>
          </w:p>
        </w:tc>
        <w:tc>
          <w:tcPr>
            <w:tcW w:w="1032" w:type="dxa"/>
            <w:tcBorders>
              <w:top w:val="single" w:color="auto" w:sz="4" w:space="0"/>
              <w:left w:val="single" w:color="auto" w:sz="4" w:space="0"/>
              <w:bottom w:val="single" w:color="auto" w:sz="4" w:space="0"/>
              <w:right w:val="single" w:color="auto" w:sz="4" w:space="0"/>
            </w:tcBorders>
            <w:noWrap/>
          </w:tcPr>
          <w:p w14:paraId="5190308F">
            <w:r>
              <w:rPr>
                <w:rFonts w:hint="eastAsia"/>
              </w:rPr>
              <w:t>数量</w:t>
            </w:r>
          </w:p>
        </w:tc>
        <w:tc>
          <w:tcPr>
            <w:tcW w:w="1020" w:type="dxa"/>
            <w:tcBorders>
              <w:top w:val="single" w:color="auto" w:sz="4" w:space="0"/>
              <w:left w:val="single" w:color="auto" w:sz="4" w:space="0"/>
              <w:bottom w:val="single" w:color="auto" w:sz="4" w:space="0"/>
              <w:right w:val="single" w:color="auto" w:sz="4" w:space="0"/>
            </w:tcBorders>
            <w:noWrap/>
          </w:tcPr>
          <w:p w14:paraId="2A122624">
            <w:r>
              <w:rPr>
                <w:rFonts w:hint="eastAsia"/>
              </w:rPr>
              <w:t>单位</w:t>
            </w:r>
          </w:p>
        </w:tc>
        <w:tc>
          <w:tcPr>
            <w:tcW w:w="1311" w:type="dxa"/>
            <w:tcBorders>
              <w:top w:val="single" w:color="auto" w:sz="4" w:space="0"/>
              <w:left w:val="single" w:color="auto" w:sz="4" w:space="0"/>
              <w:bottom w:val="single" w:color="auto" w:sz="4" w:space="0"/>
              <w:right w:val="single" w:color="auto" w:sz="4" w:space="0"/>
            </w:tcBorders>
            <w:noWrap/>
          </w:tcPr>
          <w:p w14:paraId="31445925">
            <w:r>
              <w:rPr>
                <w:rFonts w:hint="eastAsia"/>
              </w:rPr>
              <w:t>单价</w:t>
            </w:r>
          </w:p>
        </w:tc>
      </w:tr>
      <w:tr w14:paraId="5065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40302B56"/>
        </w:tc>
        <w:tc>
          <w:tcPr>
            <w:tcW w:w="3330" w:type="dxa"/>
            <w:tcBorders>
              <w:top w:val="single" w:color="auto" w:sz="4" w:space="0"/>
              <w:left w:val="single" w:color="auto" w:sz="4" w:space="0"/>
              <w:bottom w:val="single" w:color="auto" w:sz="4" w:space="0"/>
              <w:right w:val="single" w:color="auto" w:sz="4" w:space="0"/>
            </w:tcBorders>
            <w:noWrap/>
            <w:vAlign w:val="center"/>
          </w:tcPr>
          <w:p w14:paraId="416F008E"/>
        </w:tc>
        <w:tc>
          <w:tcPr>
            <w:tcW w:w="1032" w:type="dxa"/>
            <w:tcBorders>
              <w:top w:val="single" w:color="auto" w:sz="4" w:space="0"/>
              <w:left w:val="single" w:color="auto" w:sz="4" w:space="0"/>
              <w:bottom w:val="single" w:color="auto" w:sz="4" w:space="0"/>
              <w:right w:val="single" w:color="auto" w:sz="4" w:space="0"/>
            </w:tcBorders>
            <w:noWrap/>
            <w:vAlign w:val="center"/>
          </w:tcPr>
          <w:p w14:paraId="1F6A72EC"/>
        </w:tc>
        <w:tc>
          <w:tcPr>
            <w:tcW w:w="1020" w:type="dxa"/>
            <w:tcBorders>
              <w:top w:val="single" w:color="auto" w:sz="4" w:space="0"/>
              <w:left w:val="single" w:color="auto" w:sz="4" w:space="0"/>
              <w:bottom w:val="single" w:color="auto" w:sz="4" w:space="0"/>
              <w:right w:val="single" w:color="auto" w:sz="4" w:space="0"/>
            </w:tcBorders>
            <w:noWrap/>
            <w:vAlign w:val="center"/>
          </w:tcPr>
          <w:p w14:paraId="020F8C27"/>
        </w:tc>
        <w:tc>
          <w:tcPr>
            <w:tcW w:w="1311" w:type="dxa"/>
            <w:tcBorders>
              <w:top w:val="single" w:color="auto" w:sz="4" w:space="0"/>
              <w:left w:val="single" w:color="auto" w:sz="4" w:space="0"/>
              <w:bottom w:val="single" w:color="auto" w:sz="4" w:space="0"/>
              <w:right w:val="single" w:color="auto" w:sz="4" w:space="0"/>
            </w:tcBorders>
            <w:noWrap/>
          </w:tcPr>
          <w:p w14:paraId="348AA09D"/>
        </w:tc>
      </w:tr>
      <w:tr w14:paraId="4722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2D55A7BB"/>
        </w:tc>
        <w:tc>
          <w:tcPr>
            <w:tcW w:w="3330" w:type="dxa"/>
            <w:tcBorders>
              <w:top w:val="single" w:color="auto" w:sz="4" w:space="0"/>
              <w:left w:val="single" w:color="auto" w:sz="4" w:space="0"/>
              <w:bottom w:val="single" w:color="auto" w:sz="4" w:space="0"/>
              <w:right w:val="single" w:color="auto" w:sz="4" w:space="0"/>
            </w:tcBorders>
            <w:noWrap/>
            <w:vAlign w:val="center"/>
          </w:tcPr>
          <w:p w14:paraId="7B62D8B0"/>
        </w:tc>
        <w:tc>
          <w:tcPr>
            <w:tcW w:w="1032" w:type="dxa"/>
            <w:tcBorders>
              <w:top w:val="single" w:color="auto" w:sz="4" w:space="0"/>
              <w:left w:val="single" w:color="auto" w:sz="4" w:space="0"/>
              <w:bottom w:val="single" w:color="auto" w:sz="4" w:space="0"/>
              <w:right w:val="single" w:color="auto" w:sz="4" w:space="0"/>
            </w:tcBorders>
            <w:noWrap/>
            <w:vAlign w:val="center"/>
          </w:tcPr>
          <w:p w14:paraId="06124A04"/>
        </w:tc>
        <w:tc>
          <w:tcPr>
            <w:tcW w:w="1020" w:type="dxa"/>
            <w:tcBorders>
              <w:top w:val="single" w:color="auto" w:sz="4" w:space="0"/>
              <w:left w:val="single" w:color="auto" w:sz="4" w:space="0"/>
              <w:bottom w:val="single" w:color="auto" w:sz="4" w:space="0"/>
              <w:right w:val="single" w:color="auto" w:sz="4" w:space="0"/>
            </w:tcBorders>
            <w:noWrap/>
            <w:vAlign w:val="center"/>
          </w:tcPr>
          <w:p w14:paraId="46FC29CA"/>
        </w:tc>
        <w:tc>
          <w:tcPr>
            <w:tcW w:w="1311" w:type="dxa"/>
            <w:tcBorders>
              <w:top w:val="single" w:color="auto" w:sz="4" w:space="0"/>
              <w:left w:val="single" w:color="auto" w:sz="4" w:space="0"/>
              <w:bottom w:val="single" w:color="auto" w:sz="4" w:space="0"/>
              <w:right w:val="single" w:color="auto" w:sz="4" w:space="0"/>
            </w:tcBorders>
            <w:noWrap/>
          </w:tcPr>
          <w:p w14:paraId="585432DD"/>
        </w:tc>
      </w:tr>
      <w:tr w14:paraId="3813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15FC2107"/>
        </w:tc>
        <w:tc>
          <w:tcPr>
            <w:tcW w:w="3330" w:type="dxa"/>
            <w:tcBorders>
              <w:top w:val="single" w:color="auto" w:sz="4" w:space="0"/>
              <w:left w:val="single" w:color="auto" w:sz="4" w:space="0"/>
              <w:bottom w:val="single" w:color="auto" w:sz="4" w:space="0"/>
              <w:right w:val="single" w:color="auto" w:sz="4" w:space="0"/>
            </w:tcBorders>
            <w:noWrap/>
            <w:vAlign w:val="center"/>
          </w:tcPr>
          <w:p w14:paraId="1F7F270B"/>
        </w:tc>
        <w:tc>
          <w:tcPr>
            <w:tcW w:w="1032" w:type="dxa"/>
            <w:tcBorders>
              <w:top w:val="single" w:color="auto" w:sz="4" w:space="0"/>
              <w:left w:val="single" w:color="auto" w:sz="4" w:space="0"/>
              <w:bottom w:val="single" w:color="auto" w:sz="4" w:space="0"/>
              <w:right w:val="single" w:color="auto" w:sz="4" w:space="0"/>
            </w:tcBorders>
            <w:noWrap/>
            <w:vAlign w:val="center"/>
          </w:tcPr>
          <w:p w14:paraId="22F4F24A"/>
        </w:tc>
        <w:tc>
          <w:tcPr>
            <w:tcW w:w="1020" w:type="dxa"/>
            <w:tcBorders>
              <w:top w:val="single" w:color="auto" w:sz="4" w:space="0"/>
              <w:left w:val="single" w:color="auto" w:sz="4" w:space="0"/>
              <w:bottom w:val="single" w:color="auto" w:sz="4" w:space="0"/>
              <w:right w:val="single" w:color="auto" w:sz="4" w:space="0"/>
            </w:tcBorders>
            <w:noWrap/>
            <w:vAlign w:val="center"/>
          </w:tcPr>
          <w:p w14:paraId="594430CF"/>
        </w:tc>
        <w:tc>
          <w:tcPr>
            <w:tcW w:w="1311" w:type="dxa"/>
            <w:tcBorders>
              <w:top w:val="single" w:color="auto" w:sz="4" w:space="0"/>
              <w:left w:val="single" w:color="auto" w:sz="4" w:space="0"/>
              <w:bottom w:val="single" w:color="auto" w:sz="4" w:space="0"/>
              <w:right w:val="single" w:color="auto" w:sz="4" w:space="0"/>
            </w:tcBorders>
            <w:noWrap/>
          </w:tcPr>
          <w:p w14:paraId="4F1A66EA"/>
        </w:tc>
      </w:tr>
      <w:tr w14:paraId="1DF4B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60332112"/>
        </w:tc>
        <w:tc>
          <w:tcPr>
            <w:tcW w:w="3330" w:type="dxa"/>
            <w:tcBorders>
              <w:top w:val="single" w:color="auto" w:sz="4" w:space="0"/>
              <w:left w:val="single" w:color="auto" w:sz="4" w:space="0"/>
              <w:bottom w:val="single" w:color="auto" w:sz="4" w:space="0"/>
              <w:right w:val="single" w:color="auto" w:sz="4" w:space="0"/>
            </w:tcBorders>
            <w:noWrap/>
            <w:vAlign w:val="center"/>
          </w:tcPr>
          <w:p w14:paraId="768A94E1"/>
        </w:tc>
        <w:tc>
          <w:tcPr>
            <w:tcW w:w="1032" w:type="dxa"/>
            <w:tcBorders>
              <w:top w:val="single" w:color="auto" w:sz="4" w:space="0"/>
              <w:left w:val="single" w:color="auto" w:sz="4" w:space="0"/>
              <w:bottom w:val="single" w:color="auto" w:sz="4" w:space="0"/>
              <w:right w:val="single" w:color="auto" w:sz="4" w:space="0"/>
            </w:tcBorders>
            <w:noWrap/>
            <w:vAlign w:val="center"/>
          </w:tcPr>
          <w:p w14:paraId="59DA4FF1"/>
        </w:tc>
        <w:tc>
          <w:tcPr>
            <w:tcW w:w="1020" w:type="dxa"/>
            <w:tcBorders>
              <w:top w:val="single" w:color="auto" w:sz="4" w:space="0"/>
              <w:left w:val="single" w:color="auto" w:sz="4" w:space="0"/>
              <w:bottom w:val="single" w:color="auto" w:sz="4" w:space="0"/>
              <w:right w:val="single" w:color="auto" w:sz="4" w:space="0"/>
            </w:tcBorders>
            <w:noWrap/>
            <w:vAlign w:val="center"/>
          </w:tcPr>
          <w:p w14:paraId="1CC2AA95"/>
        </w:tc>
        <w:tc>
          <w:tcPr>
            <w:tcW w:w="1311" w:type="dxa"/>
            <w:tcBorders>
              <w:top w:val="single" w:color="auto" w:sz="4" w:space="0"/>
              <w:left w:val="single" w:color="auto" w:sz="4" w:space="0"/>
              <w:bottom w:val="single" w:color="auto" w:sz="4" w:space="0"/>
              <w:right w:val="single" w:color="auto" w:sz="4" w:space="0"/>
            </w:tcBorders>
            <w:noWrap/>
          </w:tcPr>
          <w:p w14:paraId="2C0CA83B"/>
        </w:tc>
      </w:tr>
      <w:tr w14:paraId="5296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2B8B3F71"/>
        </w:tc>
        <w:tc>
          <w:tcPr>
            <w:tcW w:w="3330" w:type="dxa"/>
            <w:tcBorders>
              <w:top w:val="single" w:color="auto" w:sz="4" w:space="0"/>
              <w:left w:val="single" w:color="auto" w:sz="4" w:space="0"/>
              <w:bottom w:val="single" w:color="auto" w:sz="4" w:space="0"/>
              <w:right w:val="single" w:color="auto" w:sz="4" w:space="0"/>
            </w:tcBorders>
            <w:noWrap/>
            <w:vAlign w:val="center"/>
          </w:tcPr>
          <w:p w14:paraId="0F2FA126"/>
        </w:tc>
        <w:tc>
          <w:tcPr>
            <w:tcW w:w="1032" w:type="dxa"/>
            <w:tcBorders>
              <w:top w:val="single" w:color="auto" w:sz="4" w:space="0"/>
              <w:left w:val="single" w:color="auto" w:sz="4" w:space="0"/>
              <w:bottom w:val="single" w:color="auto" w:sz="4" w:space="0"/>
              <w:right w:val="single" w:color="auto" w:sz="4" w:space="0"/>
            </w:tcBorders>
            <w:noWrap/>
            <w:vAlign w:val="center"/>
          </w:tcPr>
          <w:p w14:paraId="73443F49"/>
        </w:tc>
        <w:tc>
          <w:tcPr>
            <w:tcW w:w="1020" w:type="dxa"/>
            <w:tcBorders>
              <w:top w:val="single" w:color="auto" w:sz="4" w:space="0"/>
              <w:left w:val="single" w:color="auto" w:sz="4" w:space="0"/>
              <w:bottom w:val="single" w:color="auto" w:sz="4" w:space="0"/>
              <w:right w:val="single" w:color="auto" w:sz="4" w:space="0"/>
            </w:tcBorders>
            <w:noWrap/>
            <w:vAlign w:val="center"/>
          </w:tcPr>
          <w:p w14:paraId="30453F45"/>
        </w:tc>
        <w:tc>
          <w:tcPr>
            <w:tcW w:w="1311" w:type="dxa"/>
            <w:tcBorders>
              <w:top w:val="single" w:color="auto" w:sz="4" w:space="0"/>
              <w:left w:val="single" w:color="auto" w:sz="4" w:space="0"/>
              <w:bottom w:val="single" w:color="auto" w:sz="4" w:space="0"/>
              <w:right w:val="single" w:color="auto" w:sz="4" w:space="0"/>
            </w:tcBorders>
            <w:noWrap/>
          </w:tcPr>
          <w:p w14:paraId="0729AAA9"/>
        </w:tc>
      </w:tr>
      <w:tr w14:paraId="6395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21DD23C4"/>
        </w:tc>
        <w:tc>
          <w:tcPr>
            <w:tcW w:w="3330" w:type="dxa"/>
            <w:tcBorders>
              <w:top w:val="single" w:color="auto" w:sz="4" w:space="0"/>
              <w:left w:val="single" w:color="auto" w:sz="4" w:space="0"/>
              <w:bottom w:val="single" w:color="auto" w:sz="4" w:space="0"/>
              <w:right w:val="single" w:color="auto" w:sz="4" w:space="0"/>
            </w:tcBorders>
            <w:noWrap/>
            <w:vAlign w:val="center"/>
          </w:tcPr>
          <w:p w14:paraId="71DB09E4"/>
        </w:tc>
        <w:tc>
          <w:tcPr>
            <w:tcW w:w="1032" w:type="dxa"/>
            <w:tcBorders>
              <w:top w:val="single" w:color="auto" w:sz="4" w:space="0"/>
              <w:left w:val="single" w:color="auto" w:sz="4" w:space="0"/>
              <w:bottom w:val="single" w:color="auto" w:sz="4" w:space="0"/>
              <w:right w:val="single" w:color="auto" w:sz="4" w:space="0"/>
            </w:tcBorders>
            <w:noWrap/>
            <w:vAlign w:val="center"/>
          </w:tcPr>
          <w:p w14:paraId="3A194509"/>
        </w:tc>
        <w:tc>
          <w:tcPr>
            <w:tcW w:w="1020" w:type="dxa"/>
            <w:tcBorders>
              <w:top w:val="single" w:color="auto" w:sz="4" w:space="0"/>
              <w:left w:val="single" w:color="auto" w:sz="4" w:space="0"/>
              <w:bottom w:val="single" w:color="auto" w:sz="4" w:space="0"/>
              <w:right w:val="single" w:color="auto" w:sz="4" w:space="0"/>
            </w:tcBorders>
            <w:noWrap/>
            <w:vAlign w:val="center"/>
          </w:tcPr>
          <w:p w14:paraId="070487DC"/>
        </w:tc>
        <w:tc>
          <w:tcPr>
            <w:tcW w:w="1311" w:type="dxa"/>
            <w:tcBorders>
              <w:top w:val="single" w:color="auto" w:sz="4" w:space="0"/>
              <w:left w:val="single" w:color="auto" w:sz="4" w:space="0"/>
              <w:bottom w:val="single" w:color="auto" w:sz="4" w:space="0"/>
              <w:right w:val="single" w:color="auto" w:sz="4" w:space="0"/>
            </w:tcBorders>
            <w:noWrap/>
          </w:tcPr>
          <w:p w14:paraId="171C7685"/>
        </w:tc>
      </w:tr>
      <w:tr w14:paraId="45D7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4C7E6853"/>
        </w:tc>
        <w:tc>
          <w:tcPr>
            <w:tcW w:w="3330" w:type="dxa"/>
            <w:tcBorders>
              <w:top w:val="single" w:color="auto" w:sz="4" w:space="0"/>
              <w:left w:val="single" w:color="auto" w:sz="4" w:space="0"/>
              <w:bottom w:val="single" w:color="auto" w:sz="4" w:space="0"/>
              <w:right w:val="single" w:color="auto" w:sz="4" w:space="0"/>
            </w:tcBorders>
            <w:noWrap/>
            <w:vAlign w:val="center"/>
          </w:tcPr>
          <w:p w14:paraId="17EA22B8"/>
        </w:tc>
        <w:tc>
          <w:tcPr>
            <w:tcW w:w="1032" w:type="dxa"/>
            <w:tcBorders>
              <w:top w:val="single" w:color="auto" w:sz="4" w:space="0"/>
              <w:left w:val="single" w:color="auto" w:sz="4" w:space="0"/>
              <w:bottom w:val="single" w:color="auto" w:sz="4" w:space="0"/>
              <w:right w:val="single" w:color="auto" w:sz="4" w:space="0"/>
            </w:tcBorders>
            <w:noWrap/>
            <w:vAlign w:val="center"/>
          </w:tcPr>
          <w:p w14:paraId="2ECF6CB1"/>
        </w:tc>
        <w:tc>
          <w:tcPr>
            <w:tcW w:w="1020" w:type="dxa"/>
            <w:tcBorders>
              <w:top w:val="single" w:color="auto" w:sz="4" w:space="0"/>
              <w:left w:val="single" w:color="auto" w:sz="4" w:space="0"/>
              <w:bottom w:val="single" w:color="auto" w:sz="4" w:space="0"/>
              <w:right w:val="single" w:color="auto" w:sz="4" w:space="0"/>
            </w:tcBorders>
            <w:noWrap/>
            <w:vAlign w:val="center"/>
          </w:tcPr>
          <w:p w14:paraId="00534A16"/>
        </w:tc>
        <w:tc>
          <w:tcPr>
            <w:tcW w:w="1311" w:type="dxa"/>
            <w:tcBorders>
              <w:top w:val="single" w:color="auto" w:sz="4" w:space="0"/>
              <w:left w:val="single" w:color="auto" w:sz="4" w:space="0"/>
              <w:bottom w:val="single" w:color="auto" w:sz="4" w:space="0"/>
              <w:right w:val="single" w:color="auto" w:sz="4" w:space="0"/>
            </w:tcBorders>
            <w:noWrap/>
          </w:tcPr>
          <w:p w14:paraId="2560E738"/>
        </w:tc>
      </w:tr>
      <w:tr w14:paraId="741B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05" w:type="dxa"/>
            <w:tcBorders>
              <w:top w:val="single" w:color="auto" w:sz="4" w:space="0"/>
              <w:left w:val="single" w:color="auto" w:sz="4" w:space="0"/>
              <w:bottom w:val="single" w:color="auto" w:sz="4" w:space="0"/>
              <w:right w:val="single" w:color="auto" w:sz="4" w:space="0"/>
            </w:tcBorders>
            <w:noWrap/>
            <w:vAlign w:val="center"/>
          </w:tcPr>
          <w:p w14:paraId="3CB6B398"/>
        </w:tc>
        <w:tc>
          <w:tcPr>
            <w:tcW w:w="3330" w:type="dxa"/>
            <w:tcBorders>
              <w:top w:val="single" w:color="auto" w:sz="4" w:space="0"/>
              <w:left w:val="single" w:color="auto" w:sz="4" w:space="0"/>
              <w:bottom w:val="single" w:color="auto" w:sz="4" w:space="0"/>
              <w:right w:val="single" w:color="auto" w:sz="4" w:space="0"/>
            </w:tcBorders>
            <w:noWrap/>
            <w:vAlign w:val="center"/>
          </w:tcPr>
          <w:p w14:paraId="4CC4AF46"/>
        </w:tc>
        <w:tc>
          <w:tcPr>
            <w:tcW w:w="1032" w:type="dxa"/>
            <w:tcBorders>
              <w:top w:val="single" w:color="auto" w:sz="4" w:space="0"/>
              <w:left w:val="single" w:color="auto" w:sz="4" w:space="0"/>
              <w:bottom w:val="single" w:color="auto" w:sz="4" w:space="0"/>
              <w:right w:val="single" w:color="auto" w:sz="4" w:space="0"/>
            </w:tcBorders>
            <w:noWrap/>
            <w:vAlign w:val="center"/>
          </w:tcPr>
          <w:p w14:paraId="0B08C919"/>
        </w:tc>
        <w:tc>
          <w:tcPr>
            <w:tcW w:w="1020" w:type="dxa"/>
            <w:tcBorders>
              <w:top w:val="single" w:color="auto" w:sz="4" w:space="0"/>
              <w:left w:val="single" w:color="auto" w:sz="4" w:space="0"/>
              <w:bottom w:val="single" w:color="auto" w:sz="4" w:space="0"/>
              <w:right w:val="single" w:color="auto" w:sz="4" w:space="0"/>
            </w:tcBorders>
            <w:noWrap/>
            <w:vAlign w:val="center"/>
          </w:tcPr>
          <w:p w14:paraId="698E6B82"/>
        </w:tc>
        <w:tc>
          <w:tcPr>
            <w:tcW w:w="1311" w:type="dxa"/>
            <w:tcBorders>
              <w:top w:val="single" w:color="auto" w:sz="4" w:space="0"/>
              <w:left w:val="single" w:color="auto" w:sz="4" w:space="0"/>
              <w:bottom w:val="single" w:color="auto" w:sz="4" w:space="0"/>
              <w:right w:val="single" w:color="auto" w:sz="4" w:space="0"/>
            </w:tcBorders>
            <w:noWrap/>
          </w:tcPr>
          <w:p w14:paraId="3C229C03"/>
        </w:tc>
      </w:tr>
      <w:tr w14:paraId="79A4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98" w:type="dxa"/>
            <w:gridSpan w:val="5"/>
            <w:tcBorders>
              <w:top w:val="single" w:color="auto" w:sz="4" w:space="0"/>
              <w:left w:val="single" w:color="auto" w:sz="4" w:space="0"/>
              <w:bottom w:val="single" w:color="auto" w:sz="4" w:space="0"/>
              <w:right w:val="single" w:color="auto" w:sz="4" w:space="0"/>
            </w:tcBorders>
            <w:noWrap/>
          </w:tcPr>
          <w:p w14:paraId="18C15519">
            <w:r>
              <w:rPr>
                <w:rFonts w:hint="eastAsia"/>
              </w:rPr>
              <w:t>一、本项目采用总包方式，由竞标方提供维护大修的设备、所需零件、安装材料及相应设备的安装及运输。</w:t>
            </w:r>
          </w:p>
          <w:p w14:paraId="0730202E">
            <w:r>
              <w:rPr>
                <w:rFonts w:hint="eastAsia"/>
              </w:rPr>
              <w:t>二、本项目为交钥匙工程，包括拆卸，吊装，运输及现场调试；</w:t>
            </w:r>
          </w:p>
        </w:tc>
      </w:tr>
      <w:tr w14:paraId="76DB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98" w:type="dxa"/>
            <w:gridSpan w:val="5"/>
            <w:tcBorders>
              <w:top w:val="single" w:color="auto" w:sz="4" w:space="0"/>
              <w:left w:val="single" w:color="auto" w:sz="4" w:space="0"/>
              <w:bottom w:val="single" w:color="auto" w:sz="4" w:space="0"/>
              <w:right w:val="single" w:color="auto" w:sz="4" w:space="0"/>
            </w:tcBorders>
            <w:noWrap/>
          </w:tcPr>
          <w:p w14:paraId="743A182E">
            <w:r>
              <w:rPr>
                <w:rFonts w:hint="eastAsia"/>
              </w:rPr>
              <w:t>人民币合计金额（大写）：</w:t>
            </w:r>
          </w:p>
        </w:tc>
      </w:tr>
      <w:tr w14:paraId="67FA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98" w:type="dxa"/>
            <w:gridSpan w:val="5"/>
            <w:tcBorders>
              <w:top w:val="single" w:color="auto" w:sz="4" w:space="0"/>
              <w:left w:val="single" w:color="auto" w:sz="4" w:space="0"/>
              <w:bottom w:val="single" w:color="auto" w:sz="4" w:space="0"/>
              <w:right w:val="single" w:color="auto" w:sz="4" w:space="0"/>
            </w:tcBorders>
            <w:noWrap/>
          </w:tcPr>
          <w:p w14:paraId="0C48F10A">
            <w:pPr>
              <w:rPr>
                <w:color w:val="auto"/>
                <w:highlight w:val="none"/>
              </w:rPr>
            </w:pPr>
            <w:r>
              <w:rPr>
                <w:rFonts w:hint="eastAsia"/>
                <w:color w:val="auto"/>
                <w:highlight w:val="none"/>
              </w:rPr>
              <w:t>服务期限：202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11</w:t>
            </w:r>
            <w:r>
              <w:rPr>
                <w:rFonts w:hint="eastAsia"/>
                <w:color w:val="auto"/>
                <w:highlight w:val="none"/>
              </w:rPr>
              <w:t>月20日前修复完成，并交付使用。</w:t>
            </w:r>
          </w:p>
          <w:p w14:paraId="0AA2E309">
            <w:pPr>
              <w:pStyle w:val="2"/>
            </w:pPr>
            <w:r>
              <w:rPr>
                <w:rFonts w:hint="eastAsia"/>
              </w:rPr>
              <w:t>2、售后技术服务要求：乙方接到采购方反映的任何问题立即响应，如需要24小时内赶到现场实地解决问题。</w:t>
            </w:r>
          </w:p>
        </w:tc>
      </w:tr>
    </w:tbl>
    <w:p w14:paraId="3A3BDB89">
      <w:r>
        <w:rPr>
          <w:rFonts w:hint="eastAsia"/>
        </w:rPr>
        <w:t>2、合同合计金额包括设备维护大修所需设备、零件、配件、安装材料及相应设备的安装及运输以及拆卸，吊装，运输，及现场调试。如蹉商文件对其另有规定的，从其规定。</w:t>
      </w:r>
    </w:p>
    <w:p w14:paraId="2DB1BF7B">
      <w:r>
        <w:rPr>
          <w:rFonts w:hint="eastAsia"/>
        </w:rPr>
        <w:t>第二条 质量保证</w:t>
      </w:r>
    </w:p>
    <w:p w14:paraId="3168484B">
      <w:r>
        <w:rPr>
          <w:rFonts w:hint="eastAsia"/>
        </w:rPr>
        <w:t>一、乙方提供的服务必须与响应文件承诺相一致。</w:t>
      </w:r>
    </w:p>
    <w:p w14:paraId="794C916F">
      <w:r>
        <w:rPr>
          <w:rFonts w:hint="eastAsia"/>
        </w:rPr>
        <w:t>二、乙方必须保证设备的质量及性能能安全使用3年。</w:t>
      </w:r>
    </w:p>
    <w:p w14:paraId="3F7C4A3D">
      <w:r>
        <w:rPr>
          <w:rFonts w:hint="eastAsia"/>
        </w:rPr>
        <w:t>第三条 权利保证</w:t>
      </w:r>
    </w:p>
    <w:p w14:paraId="0B47F4E8">
      <w:r>
        <w:rPr>
          <w:rFonts w:hint="eastAsia"/>
        </w:rPr>
        <w:t>乙方应保证所提供服务在使用时不会侵犯任何第三方的专利权或其他权利。</w:t>
      </w:r>
    </w:p>
    <w:p w14:paraId="119122A4">
      <w:r>
        <w:rPr>
          <w:rFonts w:hint="eastAsia"/>
        </w:rPr>
        <w:t>乙方应按磋商文件规定的时间向甲方提供相关的服务，承担相应的责任和义务。</w:t>
      </w:r>
    </w:p>
    <w:p w14:paraId="245EC073">
      <w:r>
        <w:rPr>
          <w:rFonts w:hint="eastAsia"/>
        </w:rPr>
        <w:t>没有甲方事先书面同意，乙方不得将由甲方提供的有关合同或任何合同条文或资料提供给与履行本合同无关的任何其他人。即使向履行本合同有关的人员提供，也因注意保密并限于履行合同的必须范围。</w:t>
      </w:r>
    </w:p>
    <w:p w14:paraId="16D00081">
      <w:r>
        <w:rPr>
          <w:rFonts w:hint="eastAsia"/>
        </w:rPr>
        <w:t>乙方保证所交付的服务附属货物的所有权完全属于乙方且无任何抵押、质押、查封等产权瑕疵。</w:t>
      </w:r>
    </w:p>
    <w:p w14:paraId="79E3C0DE">
      <w:pPr>
        <w:pStyle w:val="17"/>
      </w:pPr>
      <w:r>
        <w:rPr>
          <w:rFonts w:hint="eastAsia"/>
        </w:rPr>
        <w:t>第四条项目规模</w:t>
      </w:r>
    </w:p>
    <w:p w14:paraId="0EF8856F">
      <w:pPr>
        <w:rPr>
          <w:b/>
        </w:rPr>
      </w:pPr>
      <w:r>
        <w:rPr>
          <w:rFonts w:hint="eastAsia"/>
        </w:rPr>
        <w:t>详见竞争性磋商文件中采购服务需求。</w:t>
      </w:r>
    </w:p>
    <w:p w14:paraId="539DD2C5">
      <w:pPr>
        <w:pStyle w:val="17"/>
      </w:pPr>
      <w:r>
        <w:rPr>
          <w:rFonts w:hint="eastAsia"/>
        </w:rPr>
        <w:t>第五条技术标准</w:t>
      </w:r>
    </w:p>
    <w:p w14:paraId="5FF82A80">
      <w:r>
        <w:rPr>
          <w:rFonts w:hint="eastAsia"/>
        </w:rPr>
        <w:t>采用现行的国家及行业的相关规范。</w:t>
      </w:r>
    </w:p>
    <w:p w14:paraId="4E2058BF">
      <w:pPr>
        <w:pStyle w:val="17"/>
        <w:rPr>
          <w:rFonts w:hAnsi="宋体" w:cs="宋体"/>
        </w:rPr>
      </w:pPr>
      <w:r>
        <w:rPr>
          <w:rFonts w:hint="eastAsia" w:hAnsi="宋体" w:cs="宋体"/>
        </w:rPr>
        <w:t>第六条</w:t>
      </w:r>
      <w:r>
        <w:rPr>
          <w:rFonts w:hint="eastAsia"/>
        </w:rPr>
        <w:t>服务时间及范围</w:t>
      </w:r>
    </w:p>
    <w:p w14:paraId="3A60E93E">
      <w:pPr>
        <w:rPr>
          <w:color w:val="auto"/>
          <w:highlight w:val="none"/>
        </w:rPr>
      </w:pPr>
      <w:r>
        <w:rPr>
          <w:rFonts w:hint="eastAsia"/>
        </w:rPr>
        <w:t>1、服务期限</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11</w:t>
      </w:r>
      <w:r>
        <w:rPr>
          <w:rFonts w:hint="eastAsia"/>
          <w:color w:val="auto"/>
          <w:highlight w:val="none"/>
        </w:rPr>
        <w:t>月20日前修复完成，并交付使用。</w:t>
      </w:r>
    </w:p>
    <w:p w14:paraId="7A037966">
      <w:pPr>
        <w:rPr>
          <w:color w:val="auto"/>
          <w:highlight w:val="none"/>
        </w:rPr>
      </w:pPr>
      <w:r>
        <w:rPr>
          <w:rFonts w:hint="eastAsia"/>
          <w:color w:val="auto"/>
          <w:highlight w:val="none"/>
        </w:rPr>
        <w:t>2、服务范围：按采购人需求提供。</w:t>
      </w:r>
    </w:p>
    <w:p w14:paraId="2141B724">
      <w:pPr>
        <w:rPr>
          <w:rFonts w:cs="宋体"/>
          <w:bCs/>
          <w:color w:val="auto"/>
          <w:highlight w:val="none"/>
        </w:rPr>
      </w:pPr>
      <w:r>
        <w:rPr>
          <w:rFonts w:hint="eastAsia"/>
          <w:color w:val="auto"/>
          <w:highlight w:val="none"/>
        </w:rPr>
        <w:t>3、乙方提供不符合磋商文件、响应文件和本合同规定的服务，甲方有权拒绝接受。</w:t>
      </w:r>
    </w:p>
    <w:p w14:paraId="7BC7362F">
      <w:pPr>
        <w:pStyle w:val="17"/>
        <w:rPr>
          <w:color w:val="auto"/>
          <w:highlight w:val="none"/>
        </w:rPr>
      </w:pPr>
      <w:r>
        <w:rPr>
          <w:rFonts w:hint="eastAsia" w:hAnsi="宋体" w:cs="宋体"/>
          <w:color w:val="auto"/>
          <w:highlight w:val="none"/>
        </w:rPr>
        <w:t>第七条</w:t>
      </w:r>
      <w:r>
        <w:rPr>
          <w:rFonts w:hint="eastAsia"/>
          <w:color w:val="auto"/>
          <w:highlight w:val="none"/>
        </w:rPr>
        <w:t>付款方式</w:t>
      </w:r>
    </w:p>
    <w:tbl>
      <w:tblPr>
        <w:tblStyle w:val="29"/>
        <w:tblpPr w:leftFromText="180" w:rightFromText="180" w:vertAnchor="text" w:horzAnchor="page" w:tblpX="1424" w:tblpY="5"/>
        <w:tblOverlap w:val="never"/>
        <w:tblW w:w="5334"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2258"/>
        <w:gridCol w:w="3090"/>
        <w:gridCol w:w="1214"/>
        <w:gridCol w:w="3269"/>
      </w:tblGrid>
      <w:tr w14:paraId="66FB7EE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1148" w:type="pct"/>
            <w:tcBorders>
              <w:top w:val="single" w:color="000000" w:sz="6" w:space="0"/>
              <w:left w:val="single" w:color="000000" w:sz="6" w:space="0"/>
              <w:bottom w:val="single" w:color="000000" w:sz="6" w:space="0"/>
              <w:right w:val="single" w:color="000000" w:sz="6" w:space="0"/>
            </w:tcBorders>
            <w:shd w:val="clear" w:color="auto" w:fill="F7F7F7"/>
            <w:vAlign w:val="center"/>
          </w:tcPr>
          <w:p w14:paraId="0E096609">
            <w:pPr>
              <w:spacing w:line="400" w:lineRule="exact"/>
              <w:jc w:val="center"/>
              <w:rPr>
                <w:rFonts w:hint="eastAsia" w:cs="宋体"/>
                <w:b/>
                <w:bCs/>
                <w:color w:val="auto"/>
                <w:sz w:val="21"/>
                <w:szCs w:val="21"/>
                <w:highlight w:val="none"/>
              </w:rPr>
            </w:pPr>
            <w:r>
              <w:rPr>
                <w:rFonts w:hint="eastAsia" w:cs="宋体"/>
                <w:b/>
                <w:bCs/>
                <w:color w:val="auto"/>
                <w:sz w:val="21"/>
                <w:szCs w:val="21"/>
                <w:highlight w:val="none"/>
              </w:rPr>
              <w:t>付款条件</w:t>
            </w:r>
          </w:p>
        </w:tc>
        <w:tc>
          <w:tcPr>
            <w:tcW w:w="1571" w:type="pct"/>
            <w:tcBorders>
              <w:top w:val="single" w:color="000000" w:sz="6" w:space="0"/>
              <w:left w:val="single" w:color="000000" w:sz="6" w:space="0"/>
              <w:bottom w:val="single" w:color="000000" w:sz="6" w:space="0"/>
              <w:right w:val="single" w:color="000000" w:sz="6" w:space="0"/>
            </w:tcBorders>
            <w:shd w:val="clear" w:color="auto" w:fill="F7F7F7"/>
            <w:vAlign w:val="center"/>
          </w:tcPr>
          <w:p w14:paraId="50169C9F">
            <w:pPr>
              <w:spacing w:line="400" w:lineRule="exact"/>
              <w:jc w:val="center"/>
              <w:rPr>
                <w:rFonts w:hint="eastAsia" w:cs="宋体"/>
                <w:b/>
                <w:bCs/>
                <w:color w:val="auto"/>
                <w:sz w:val="21"/>
                <w:szCs w:val="21"/>
                <w:highlight w:val="none"/>
              </w:rPr>
            </w:pPr>
            <w:r>
              <w:rPr>
                <w:rFonts w:hint="eastAsia" w:cs="宋体"/>
                <w:b/>
                <w:bCs/>
                <w:color w:val="auto"/>
                <w:sz w:val="21"/>
                <w:szCs w:val="21"/>
                <w:highlight w:val="none"/>
              </w:rPr>
              <w:t>付款比例</w:t>
            </w:r>
          </w:p>
        </w:tc>
        <w:tc>
          <w:tcPr>
            <w:tcW w:w="617" w:type="pct"/>
            <w:tcBorders>
              <w:top w:val="single" w:color="000000" w:sz="6" w:space="0"/>
              <w:left w:val="single" w:color="000000" w:sz="6" w:space="0"/>
              <w:bottom w:val="single" w:color="000000" w:sz="6" w:space="0"/>
              <w:right w:val="single" w:color="000000" w:sz="6" w:space="0"/>
            </w:tcBorders>
            <w:shd w:val="clear" w:color="auto" w:fill="F7F7F7"/>
            <w:vAlign w:val="center"/>
          </w:tcPr>
          <w:p w14:paraId="4209C9CA">
            <w:pPr>
              <w:spacing w:line="400" w:lineRule="exact"/>
              <w:jc w:val="center"/>
              <w:rPr>
                <w:rFonts w:hint="eastAsia" w:cs="宋体"/>
                <w:b/>
                <w:bCs/>
                <w:color w:val="auto"/>
                <w:sz w:val="21"/>
                <w:szCs w:val="21"/>
                <w:highlight w:val="none"/>
              </w:rPr>
            </w:pPr>
            <w:r>
              <w:rPr>
                <w:rFonts w:hint="eastAsia" w:cs="宋体"/>
                <w:b/>
                <w:bCs/>
                <w:color w:val="auto"/>
                <w:sz w:val="21"/>
                <w:szCs w:val="21"/>
                <w:highlight w:val="none"/>
              </w:rPr>
              <w:t>金额（元）</w:t>
            </w:r>
          </w:p>
        </w:tc>
        <w:tc>
          <w:tcPr>
            <w:tcW w:w="1662" w:type="pct"/>
            <w:tcBorders>
              <w:top w:val="single" w:color="000000" w:sz="6" w:space="0"/>
              <w:left w:val="single" w:color="000000" w:sz="6" w:space="0"/>
              <w:bottom w:val="single" w:color="000000" w:sz="6" w:space="0"/>
              <w:right w:val="single" w:color="000000" w:sz="6" w:space="0"/>
            </w:tcBorders>
            <w:shd w:val="clear" w:color="auto" w:fill="F7F7F7"/>
            <w:vAlign w:val="center"/>
          </w:tcPr>
          <w:p w14:paraId="1B9C43F5">
            <w:pPr>
              <w:spacing w:line="400" w:lineRule="exact"/>
              <w:jc w:val="center"/>
              <w:rPr>
                <w:rFonts w:hint="eastAsia" w:cs="宋体"/>
                <w:b/>
                <w:bCs/>
                <w:color w:val="auto"/>
                <w:sz w:val="21"/>
                <w:szCs w:val="21"/>
                <w:highlight w:val="none"/>
              </w:rPr>
            </w:pPr>
            <w:r>
              <w:rPr>
                <w:rFonts w:hint="eastAsia" w:cs="宋体"/>
                <w:b/>
                <w:bCs/>
                <w:color w:val="auto"/>
                <w:sz w:val="21"/>
                <w:szCs w:val="21"/>
                <w:highlight w:val="none"/>
              </w:rPr>
              <w:t>备注</w:t>
            </w:r>
          </w:p>
        </w:tc>
      </w:tr>
      <w:tr w14:paraId="697994C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024" w:hRule="exact"/>
        </w:trPr>
        <w:tc>
          <w:tcPr>
            <w:tcW w:w="1148" w:type="pct"/>
            <w:tcBorders>
              <w:top w:val="single" w:color="000000" w:sz="6" w:space="0"/>
              <w:left w:val="single" w:color="000000" w:sz="6" w:space="0"/>
              <w:bottom w:val="single" w:color="000000" w:sz="6" w:space="0"/>
              <w:right w:val="single" w:color="000000" w:sz="6" w:space="0"/>
            </w:tcBorders>
            <w:vAlign w:val="center"/>
          </w:tcPr>
          <w:p w14:paraId="04400116">
            <w:pPr>
              <w:spacing w:line="280" w:lineRule="exact"/>
              <w:jc w:val="center"/>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预付款</w:t>
            </w:r>
          </w:p>
        </w:tc>
        <w:tc>
          <w:tcPr>
            <w:tcW w:w="1571" w:type="pct"/>
            <w:tcBorders>
              <w:top w:val="single" w:color="000000" w:sz="6" w:space="0"/>
              <w:left w:val="single" w:color="000000" w:sz="6" w:space="0"/>
              <w:bottom w:val="single" w:color="000000" w:sz="6" w:space="0"/>
              <w:right w:val="single" w:color="000000" w:sz="6" w:space="0"/>
            </w:tcBorders>
            <w:vAlign w:val="center"/>
          </w:tcPr>
          <w:p w14:paraId="524F797B">
            <w:pPr>
              <w:spacing w:line="280" w:lineRule="exact"/>
              <w:jc w:val="center"/>
              <w:rPr>
                <w:rFonts w:hint="eastAsia" w:eastAsia="宋体" w:cs="宋体"/>
                <w:color w:val="auto"/>
                <w:sz w:val="21"/>
                <w:szCs w:val="21"/>
                <w:highlight w:val="none"/>
                <w:lang w:val="en-US" w:eastAsia="zh-CN"/>
              </w:rPr>
            </w:pPr>
            <w:r>
              <w:rPr>
                <w:rFonts w:hint="eastAsia" w:ascii="宋体" w:hAnsi="宋体" w:cs="仿宋"/>
                <w:color w:val="auto"/>
                <w:kern w:val="0"/>
                <w:sz w:val="24"/>
                <w:highlight w:val="none"/>
              </w:rPr>
              <w:t>工程预付款的总金额为签约合同价的</w:t>
            </w:r>
            <w:r>
              <w:rPr>
                <w:rFonts w:hint="eastAsia" w:ascii="宋体" w:hAnsi="宋体" w:cs="仿宋"/>
                <w:color w:val="auto"/>
                <w:kern w:val="0"/>
                <w:sz w:val="24"/>
                <w:highlight w:val="none"/>
                <w:lang w:val="en-US" w:eastAsia="zh-CN"/>
              </w:rPr>
              <w:t>30</w:t>
            </w:r>
            <w:r>
              <w:rPr>
                <w:rFonts w:hint="eastAsia" w:ascii="宋体" w:hAnsi="宋体" w:cs="仿宋"/>
                <w:color w:val="auto"/>
                <w:kern w:val="0"/>
                <w:sz w:val="24"/>
                <w:highlight w:val="none"/>
              </w:rPr>
              <w:t>%</w:t>
            </w:r>
            <w:r>
              <w:rPr>
                <w:rFonts w:hint="eastAsia" w:ascii="宋体" w:hAnsi="宋体" w:cs="仿宋"/>
                <w:color w:val="auto"/>
                <w:kern w:val="0"/>
                <w:sz w:val="24"/>
                <w:highlight w:val="none"/>
                <w:lang w:eastAsia="zh-CN"/>
              </w:rPr>
              <w:t>，</w:t>
            </w:r>
            <w:r>
              <w:rPr>
                <w:rFonts w:hint="eastAsia" w:ascii="宋体" w:hAnsi="宋体" w:cs="仿宋"/>
                <w:color w:val="auto"/>
                <w:kern w:val="0"/>
                <w:sz w:val="24"/>
                <w:highlight w:val="none"/>
              </w:rPr>
              <w:t>付款时间在</w:t>
            </w:r>
            <w:r>
              <w:rPr>
                <w:rFonts w:hint="eastAsia" w:ascii="宋体" w:hAnsi="宋体" w:cs="仿宋"/>
                <w:color w:val="auto"/>
                <w:kern w:val="0"/>
                <w:sz w:val="24"/>
                <w:highlight w:val="none"/>
                <w:lang w:eastAsia="zh-CN"/>
              </w:rPr>
              <w:t>合同</w:t>
            </w:r>
            <w:r>
              <w:rPr>
                <w:rFonts w:hint="eastAsia" w:ascii="宋体" w:hAnsi="宋体" w:cs="仿宋"/>
                <w:color w:val="auto"/>
                <w:kern w:val="0"/>
                <w:sz w:val="24"/>
                <w:highlight w:val="none"/>
              </w:rPr>
              <w:t>签订后</w:t>
            </w:r>
            <w:r>
              <w:rPr>
                <w:rFonts w:hint="eastAsia" w:ascii="宋体" w:hAnsi="宋体" w:cs="仿宋"/>
                <w:color w:val="auto"/>
                <w:kern w:val="0"/>
                <w:sz w:val="24"/>
                <w:highlight w:val="none"/>
                <w:lang w:val="en-US" w:eastAsia="zh-CN"/>
              </w:rPr>
              <w:t>15个工作日内</w:t>
            </w:r>
          </w:p>
        </w:tc>
        <w:tc>
          <w:tcPr>
            <w:tcW w:w="617" w:type="pct"/>
            <w:tcBorders>
              <w:top w:val="single" w:color="000000" w:sz="6" w:space="0"/>
              <w:left w:val="single" w:color="000000" w:sz="6" w:space="0"/>
              <w:bottom w:val="single" w:color="000000" w:sz="6" w:space="0"/>
              <w:right w:val="single" w:color="000000" w:sz="6" w:space="0"/>
            </w:tcBorders>
            <w:vAlign w:val="center"/>
          </w:tcPr>
          <w:p w14:paraId="69D1524A">
            <w:pPr>
              <w:spacing w:line="280" w:lineRule="exact"/>
              <w:jc w:val="center"/>
              <w:rPr>
                <w:rFonts w:hint="eastAsia" w:cs="宋体"/>
                <w:color w:val="auto"/>
                <w:sz w:val="21"/>
                <w:szCs w:val="21"/>
                <w:highlight w:val="none"/>
              </w:rPr>
            </w:pPr>
            <w:r>
              <w:rPr>
                <w:rFonts w:hint="eastAsia" w:cs="宋体"/>
                <w:color w:val="auto"/>
                <w:sz w:val="21"/>
                <w:szCs w:val="21"/>
                <w:highlight w:val="none"/>
              </w:rPr>
              <w:t>/</w:t>
            </w:r>
          </w:p>
        </w:tc>
        <w:tc>
          <w:tcPr>
            <w:tcW w:w="1662" w:type="pct"/>
            <w:tcBorders>
              <w:top w:val="single" w:color="000000" w:sz="6" w:space="0"/>
              <w:left w:val="single" w:color="000000" w:sz="6" w:space="0"/>
              <w:bottom w:val="single" w:color="000000" w:sz="6" w:space="0"/>
              <w:right w:val="single" w:color="000000" w:sz="6" w:space="0"/>
            </w:tcBorders>
            <w:vAlign w:val="center"/>
          </w:tcPr>
          <w:p w14:paraId="16A742E3">
            <w:pPr>
              <w:spacing w:line="280" w:lineRule="exact"/>
              <w:jc w:val="center"/>
              <w:rPr>
                <w:rFonts w:hint="eastAsia" w:cs="宋体"/>
                <w:color w:val="auto"/>
                <w:sz w:val="21"/>
                <w:szCs w:val="21"/>
                <w:highlight w:val="none"/>
              </w:rPr>
            </w:pPr>
          </w:p>
        </w:tc>
      </w:tr>
      <w:tr w14:paraId="36704D0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4" w:hRule="exact"/>
        </w:trPr>
        <w:tc>
          <w:tcPr>
            <w:tcW w:w="1148" w:type="pct"/>
            <w:tcBorders>
              <w:top w:val="single" w:color="000000" w:sz="6" w:space="0"/>
              <w:left w:val="single" w:color="000000" w:sz="6" w:space="0"/>
              <w:bottom w:val="single" w:color="000000" w:sz="6" w:space="0"/>
              <w:right w:val="single" w:color="000000" w:sz="6" w:space="0"/>
            </w:tcBorders>
            <w:vAlign w:val="center"/>
          </w:tcPr>
          <w:p w14:paraId="68F76EAD">
            <w:pPr>
              <w:spacing w:line="280" w:lineRule="exact"/>
              <w:jc w:val="center"/>
              <w:rPr>
                <w:rFonts w:hint="eastAsia" w:cs="宋体"/>
                <w:color w:val="auto"/>
                <w:sz w:val="21"/>
                <w:szCs w:val="21"/>
                <w:highlight w:val="none"/>
              </w:rPr>
            </w:pPr>
            <w:r>
              <w:rPr>
                <w:rFonts w:hint="eastAsia" w:cs="宋体"/>
                <w:color w:val="auto"/>
                <w:sz w:val="21"/>
                <w:szCs w:val="21"/>
                <w:highlight w:val="none"/>
              </w:rPr>
              <w:t>完成合同工程量的80%</w:t>
            </w:r>
          </w:p>
        </w:tc>
        <w:tc>
          <w:tcPr>
            <w:tcW w:w="1571" w:type="pct"/>
            <w:tcBorders>
              <w:top w:val="single" w:color="000000" w:sz="6" w:space="0"/>
              <w:left w:val="single" w:color="000000" w:sz="6" w:space="0"/>
              <w:bottom w:val="single" w:color="000000" w:sz="6" w:space="0"/>
              <w:right w:val="single" w:color="000000" w:sz="6" w:space="0"/>
            </w:tcBorders>
            <w:vAlign w:val="center"/>
          </w:tcPr>
          <w:p w14:paraId="6703C297">
            <w:pPr>
              <w:spacing w:line="280" w:lineRule="exact"/>
              <w:jc w:val="center"/>
              <w:rPr>
                <w:rFonts w:hint="eastAsia" w:cs="宋体"/>
                <w:color w:val="auto"/>
                <w:sz w:val="21"/>
                <w:szCs w:val="21"/>
                <w:highlight w:val="none"/>
              </w:rPr>
            </w:pPr>
            <w:r>
              <w:rPr>
                <w:rFonts w:hint="eastAsia" w:cs="宋体"/>
                <w:color w:val="auto"/>
                <w:sz w:val="21"/>
                <w:szCs w:val="21"/>
                <w:highlight w:val="none"/>
              </w:rPr>
              <w:t>付至合同价款的70%</w:t>
            </w:r>
          </w:p>
        </w:tc>
        <w:tc>
          <w:tcPr>
            <w:tcW w:w="617" w:type="pct"/>
            <w:tcBorders>
              <w:top w:val="single" w:color="000000" w:sz="6" w:space="0"/>
              <w:left w:val="single" w:color="000000" w:sz="6" w:space="0"/>
              <w:bottom w:val="single" w:color="000000" w:sz="6" w:space="0"/>
              <w:right w:val="single" w:color="000000" w:sz="6" w:space="0"/>
            </w:tcBorders>
            <w:vAlign w:val="center"/>
          </w:tcPr>
          <w:p w14:paraId="69236758">
            <w:pPr>
              <w:spacing w:line="280" w:lineRule="exact"/>
              <w:jc w:val="center"/>
              <w:rPr>
                <w:rFonts w:hint="eastAsia" w:cs="宋体"/>
                <w:color w:val="auto"/>
                <w:sz w:val="21"/>
                <w:szCs w:val="21"/>
                <w:highlight w:val="none"/>
              </w:rPr>
            </w:pPr>
            <w:r>
              <w:rPr>
                <w:rFonts w:hint="eastAsia" w:cs="宋体"/>
                <w:color w:val="auto"/>
                <w:sz w:val="21"/>
                <w:szCs w:val="21"/>
                <w:highlight w:val="none"/>
              </w:rPr>
              <w:t>/</w:t>
            </w:r>
          </w:p>
        </w:tc>
        <w:tc>
          <w:tcPr>
            <w:tcW w:w="1662" w:type="pct"/>
            <w:tcBorders>
              <w:top w:val="single" w:color="000000" w:sz="6" w:space="0"/>
              <w:left w:val="single" w:color="000000" w:sz="6" w:space="0"/>
              <w:bottom w:val="single" w:color="000000" w:sz="6" w:space="0"/>
              <w:right w:val="single" w:color="000000" w:sz="6" w:space="0"/>
            </w:tcBorders>
            <w:vAlign w:val="center"/>
          </w:tcPr>
          <w:p w14:paraId="086903DE">
            <w:pPr>
              <w:spacing w:line="280" w:lineRule="exact"/>
              <w:jc w:val="center"/>
              <w:rPr>
                <w:rFonts w:hint="eastAsia" w:cs="宋体"/>
                <w:color w:val="auto"/>
                <w:sz w:val="21"/>
                <w:szCs w:val="21"/>
                <w:highlight w:val="none"/>
              </w:rPr>
            </w:pPr>
          </w:p>
        </w:tc>
      </w:tr>
      <w:tr w14:paraId="4B1AA17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99" w:hRule="exact"/>
        </w:trPr>
        <w:tc>
          <w:tcPr>
            <w:tcW w:w="1148" w:type="pct"/>
            <w:tcBorders>
              <w:top w:val="single" w:color="000000" w:sz="6" w:space="0"/>
              <w:left w:val="single" w:color="000000" w:sz="6" w:space="0"/>
              <w:bottom w:val="single" w:color="000000" w:sz="6" w:space="0"/>
              <w:right w:val="single" w:color="000000" w:sz="6" w:space="0"/>
            </w:tcBorders>
            <w:vAlign w:val="center"/>
          </w:tcPr>
          <w:p w14:paraId="53AD4A24">
            <w:pPr>
              <w:spacing w:line="280" w:lineRule="exact"/>
              <w:jc w:val="center"/>
              <w:rPr>
                <w:rFonts w:hint="eastAsia" w:cs="宋体"/>
                <w:color w:val="auto"/>
                <w:sz w:val="21"/>
                <w:szCs w:val="21"/>
                <w:highlight w:val="none"/>
              </w:rPr>
            </w:pPr>
            <w:r>
              <w:rPr>
                <w:rFonts w:hint="eastAsia" w:cs="宋体"/>
                <w:color w:val="auto"/>
                <w:sz w:val="21"/>
                <w:szCs w:val="21"/>
                <w:highlight w:val="none"/>
              </w:rPr>
              <w:t>验收合格后</w:t>
            </w:r>
          </w:p>
        </w:tc>
        <w:tc>
          <w:tcPr>
            <w:tcW w:w="1571" w:type="pct"/>
            <w:tcBorders>
              <w:top w:val="single" w:color="000000" w:sz="6" w:space="0"/>
              <w:left w:val="single" w:color="000000" w:sz="6" w:space="0"/>
              <w:bottom w:val="single" w:color="000000" w:sz="6" w:space="0"/>
              <w:right w:val="single" w:color="000000" w:sz="6" w:space="0"/>
            </w:tcBorders>
            <w:vAlign w:val="center"/>
          </w:tcPr>
          <w:p w14:paraId="230D864B">
            <w:pPr>
              <w:spacing w:line="280" w:lineRule="exact"/>
              <w:jc w:val="center"/>
              <w:rPr>
                <w:rFonts w:hint="eastAsia" w:cs="宋体"/>
                <w:color w:val="auto"/>
                <w:sz w:val="21"/>
                <w:szCs w:val="21"/>
                <w:highlight w:val="none"/>
              </w:rPr>
            </w:pPr>
            <w:r>
              <w:rPr>
                <w:rFonts w:hint="eastAsia" w:cs="宋体"/>
                <w:color w:val="auto"/>
                <w:sz w:val="21"/>
                <w:szCs w:val="21"/>
                <w:highlight w:val="none"/>
              </w:rPr>
              <w:t>付至合同价款的</w:t>
            </w:r>
            <w:r>
              <w:rPr>
                <w:rFonts w:hint="eastAsia" w:cs="宋体"/>
                <w:color w:val="auto"/>
                <w:sz w:val="21"/>
                <w:szCs w:val="21"/>
                <w:highlight w:val="none"/>
                <w:lang w:val="en-US" w:eastAsia="zh-CN"/>
              </w:rPr>
              <w:t>100</w:t>
            </w:r>
            <w:r>
              <w:rPr>
                <w:rFonts w:hint="eastAsia" w:cs="宋体"/>
                <w:color w:val="auto"/>
                <w:sz w:val="21"/>
                <w:szCs w:val="21"/>
                <w:highlight w:val="none"/>
              </w:rPr>
              <w:t>%</w:t>
            </w:r>
          </w:p>
        </w:tc>
        <w:tc>
          <w:tcPr>
            <w:tcW w:w="617" w:type="pct"/>
            <w:tcBorders>
              <w:top w:val="single" w:color="000000" w:sz="6" w:space="0"/>
              <w:left w:val="single" w:color="000000" w:sz="6" w:space="0"/>
              <w:bottom w:val="single" w:color="000000" w:sz="6" w:space="0"/>
              <w:right w:val="single" w:color="000000" w:sz="6" w:space="0"/>
            </w:tcBorders>
            <w:vAlign w:val="center"/>
          </w:tcPr>
          <w:p w14:paraId="1C338C46">
            <w:pPr>
              <w:spacing w:line="280" w:lineRule="exact"/>
              <w:jc w:val="center"/>
              <w:rPr>
                <w:rFonts w:hint="eastAsia" w:cs="宋体"/>
                <w:color w:val="auto"/>
                <w:sz w:val="21"/>
                <w:szCs w:val="21"/>
                <w:highlight w:val="none"/>
              </w:rPr>
            </w:pPr>
            <w:r>
              <w:rPr>
                <w:rFonts w:hint="eastAsia" w:cs="宋体"/>
                <w:color w:val="auto"/>
                <w:sz w:val="21"/>
                <w:szCs w:val="21"/>
                <w:highlight w:val="none"/>
              </w:rPr>
              <w:t>/</w:t>
            </w:r>
          </w:p>
        </w:tc>
        <w:tc>
          <w:tcPr>
            <w:tcW w:w="1662" w:type="pct"/>
            <w:tcBorders>
              <w:top w:val="single" w:color="000000" w:sz="6" w:space="0"/>
              <w:left w:val="single" w:color="000000" w:sz="6" w:space="0"/>
              <w:bottom w:val="single" w:color="000000" w:sz="6" w:space="0"/>
              <w:right w:val="single" w:color="000000" w:sz="6" w:space="0"/>
            </w:tcBorders>
            <w:vAlign w:val="center"/>
          </w:tcPr>
          <w:p w14:paraId="2AD16859">
            <w:pPr>
              <w:spacing w:line="280" w:lineRule="exact"/>
              <w:jc w:val="center"/>
              <w:rPr>
                <w:rFonts w:hint="default" w:eastAsia="宋体" w:cs="宋体"/>
                <w:color w:val="auto"/>
                <w:sz w:val="21"/>
                <w:szCs w:val="21"/>
                <w:highlight w:val="none"/>
                <w:lang w:val="en-US" w:eastAsia="zh-CN"/>
              </w:rPr>
            </w:pPr>
            <w:r>
              <w:rPr>
                <w:rFonts w:hint="eastAsia" w:cs="宋体"/>
                <w:color w:val="auto"/>
                <w:sz w:val="21"/>
                <w:szCs w:val="21"/>
                <w:highlight w:val="none"/>
                <w:lang w:eastAsia="zh-CN"/>
              </w:rPr>
              <w:t>必需</w:t>
            </w:r>
            <w:r>
              <w:rPr>
                <w:rStyle w:val="105"/>
                <w:rFonts w:hint="eastAsia" w:ascii="宋体" w:hAnsi="宋体" w:eastAsia="宋体" w:cs="宋体"/>
                <w:color w:val="auto"/>
                <w:sz w:val="21"/>
                <w:szCs w:val="21"/>
                <w:lang w:eastAsia="zh-CN"/>
              </w:rPr>
              <w:t>向</w:t>
            </w:r>
            <w:r>
              <w:rPr>
                <w:rStyle w:val="105"/>
                <w:rFonts w:hint="eastAsia" w:ascii="宋体" w:hAnsi="宋体" w:cs="宋体"/>
                <w:color w:val="auto"/>
                <w:sz w:val="21"/>
                <w:szCs w:val="21"/>
                <w:lang w:eastAsia="zh-CN"/>
              </w:rPr>
              <w:t>采购人</w:t>
            </w:r>
            <w:r>
              <w:rPr>
                <w:rStyle w:val="105"/>
                <w:rFonts w:hint="eastAsia" w:ascii="宋体" w:hAnsi="宋体" w:eastAsia="宋体" w:cs="宋体"/>
                <w:color w:val="auto"/>
                <w:sz w:val="21"/>
                <w:szCs w:val="21"/>
                <w:lang w:eastAsia="zh-CN"/>
              </w:rPr>
              <w:t>提交由</w:t>
            </w:r>
            <w:r>
              <w:rPr>
                <w:rFonts w:hint="eastAsia"/>
              </w:rPr>
              <w:t>成交供应商</w:t>
            </w:r>
            <w:r>
              <w:rPr>
                <w:rStyle w:val="105"/>
                <w:rFonts w:hint="eastAsia" w:ascii="宋体" w:hAnsi="宋体" w:eastAsia="宋体" w:cs="宋体"/>
                <w:color w:val="auto"/>
                <w:sz w:val="21"/>
                <w:szCs w:val="21"/>
                <w:lang w:eastAsia="zh-CN"/>
              </w:rPr>
              <w:t>从银行开具的工程质量保修保函（银行保函的格式须经</w:t>
            </w:r>
            <w:r>
              <w:rPr>
                <w:rStyle w:val="105"/>
                <w:rFonts w:hint="eastAsia" w:ascii="宋体" w:hAnsi="宋体" w:cs="宋体"/>
                <w:color w:val="auto"/>
                <w:sz w:val="21"/>
                <w:szCs w:val="21"/>
                <w:lang w:eastAsia="zh-CN"/>
              </w:rPr>
              <w:t>采购</w:t>
            </w:r>
            <w:r>
              <w:rPr>
                <w:rStyle w:val="105"/>
                <w:rFonts w:hint="eastAsia" w:ascii="宋体" w:hAnsi="宋体" w:eastAsia="宋体" w:cs="宋体"/>
                <w:color w:val="auto"/>
                <w:sz w:val="21"/>
                <w:szCs w:val="21"/>
                <w:lang w:eastAsia="zh-CN"/>
              </w:rPr>
              <w:t>人审核同意，且保函的正本由</w:t>
            </w:r>
            <w:r>
              <w:rPr>
                <w:rStyle w:val="105"/>
                <w:rFonts w:hint="eastAsia" w:ascii="宋体" w:hAnsi="宋体" w:cs="宋体"/>
                <w:color w:val="auto"/>
                <w:sz w:val="21"/>
                <w:szCs w:val="21"/>
                <w:lang w:eastAsia="zh-CN"/>
              </w:rPr>
              <w:t>采购</w:t>
            </w:r>
            <w:r>
              <w:rPr>
                <w:rStyle w:val="105"/>
                <w:rFonts w:hint="eastAsia" w:ascii="宋体" w:hAnsi="宋体" w:eastAsia="宋体" w:cs="宋体"/>
                <w:color w:val="auto"/>
                <w:sz w:val="21"/>
                <w:szCs w:val="21"/>
                <w:lang w:eastAsia="zh-CN"/>
              </w:rPr>
              <w:t>人保存），</w:t>
            </w:r>
            <w:r>
              <w:rPr>
                <w:rStyle w:val="105"/>
                <w:rFonts w:hint="eastAsia" w:ascii="宋体" w:hAnsi="宋体" w:cs="宋体"/>
                <w:color w:val="auto"/>
                <w:sz w:val="21"/>
                <w:szCs w:val="21"/>
                <w:lang w:eastAsia="zh-CN"/>
              </w:rPr>
              <w:t>保函</w:t>
            </w:r>
            <w:r>
              <w:rPr>
                <w:rStyle w:val="105"/>
                <w:rFonts w:hint="eastAsia" w:ascii="宋体" w:hAnsi="宋体" w:eastAsia="宋体" w:cs="宋体"/>
                <w:color w:val="auto"/>
                <w:sz w:val="21"/>
                <w:szCs w:val="21"/>
                <w:lang w:eastAsia="zh-CN"/>
              </w:rPr>
              <w:t>金额为</w:t>
            </w:r>
            <w:r>
              <w:rPr>
                <w:rStyle w:val="105"/>
                <w:rFonts w:hint="eastAsia" w:ascii="宋体" w:hAnsi="宋体" w:cs="宋体"/>
                <w:color w:val="auto"/>
                <w:sz w:val="21"/>
                <w:szCs w:val="21"/>
                <w:lang w:eastAsia="zh-CN"/>
              </w:rPr>
              <w:t>合同价</w:t>
            </w:r>
            <w:r>
              <w:rPr>
                <w:rStyle w:val="105"/>
                <w:rFonts w:hint="eastAsia" w:ascii="宋体" w:hAnsi="宋体" w:eastAsia="宋体" w:cs="宋体"/>
                <w:color w:val="auto"/>
                <w:sz w:val="21"/>
                <w:szCs w:val="21"/>
                <w:lang w:eastAsia="zh-CN"/>
              </w:rPr>
              <w:t>的3%</w:t>
            </w:r>
          </w:p>
        </w:tc>
      </w:tr>
    </w:tbl>
    <w:p w14:paraId="54E5A89F">
      <w:pPr>
        <w:pStyle w:val="17"/>
        <w:rPr>
          <w:bCs/>
        </w:rPr>
      </w:pPr>
      <w:r>
        <w:rPr>
          <w:rFonts w:hint="eastAsia"/>
        </w:rPr>
        <w:t>第八条验收</w:t>
      </w:r>
      <w:r>
        <w:rPr>
          <w:rFonts w:hint="eastAsia"/>
          <w:bCs/>
        </w:rPr>
        <w:t>要求</w:t>
      </w:r>
    </w:p>
    <w:p w14:paraId="2F100706">
      <w:r>
        <w:rPr>
          <w:rFonts w:hint="eastAsia"/>
        </w:rPr>
        <w:t>1、甲方对乙方所提供的服务内容根据磋商文件的服务要求进行现场验收考核，服务内容达到磋商文件的服务要求的，给予签收。否则不予签收，后果由乙方负责。</w:t>
      </w:r>
    </w:p>
    <w:p w14:paraId="4B975808">
      <w:r>
        <w:rPr>
          <w:rFonts w:hint="eastAsia"/>
        </w:rPr>
        <w:t>2.乙方交付前应对服务项目做出全面的检查和对验收文件进行整理，并列出清单，作为甲方验收和使用的技术条件依据。</w:t>
      </w:r>
    </w:p>
    <w:p w14:paraId="74F5EA09">
      <w:r>
        <w:rPr>
          <w:rFonts w:hint="eastAsia"/>
        </w:rPr>
        <w:t xml:space="preserve">3.甲方依据蹉商文件、响应文件的技术规格要求及承诺和国家有关质量标准对维修的设备进行现场初步验收，维修后设备符合蹉商文件技术要求的，给予签收，初步验收不合格的不予签收。验收合格后由甲乙双方签署货物验收单并加盖公章，甲乙双方各执一份。 </w:t>
      </w:r>
    </w:p>
    <w:p w14:paraId="479EE458">
      <w:r>
        <w:rPr>
          <w:rFonts w:hint="eastAsia"/>
        </w:rPr>
        <w:t>4.甲方对乙方修理后的设备在使用前进行调试时，乙方需负责安装并培训甲方的使用操作人员，并协助甲方一起调试，直到符合技术要求，甲方才做最终验收。</w:t>
      </w:r>
    </w:p>
    <w:p w14:paraId="533E6AEB">
      <w:r>
        <w:rPr>
          <w:rFonts w:hint="eastAsia"/>
        </w:rPr>
        <w:t>5.对技术复杂的设备，甲方应请国家认可的专业检测机构参与初步验收及最终验收，并由其出具质量检测报告。</w:t>
      </w:r>
    </w:p>
    <w:p w14:paraId="1E3AD474">
      <w:r>
        <w:rPr>
          <w:rFonts w:hint="eastAsia"/>
        </w:rPr>
        <w:t>6.验收时乙方必须在现场，验收完毕后作出验收结果报告，验收费用由乙方负责。</w:t>
      </w:r>
    </w:p>
    <w:p w14:paraId="7F462651">
      <w:r>
        <w:rPr>
          <w:rFonts w:hint="eastAsia"/>
        </w:rPr>
        <w:t>7.甲方对验收有异议的，在验收后五个工作日内以书面形式向乙方提出，乙方应自收到甲方书面异议后7日内及时予以解决。</w:t>
      </w:r>
    </w:p>
    <w:p w14:paraId="5F512F9D">
      <w:pPr>
        <w:pStyle w:val="17"/>
      </w:pPr>
      <w:r>
        <w:rPr>
          <w:rFonts w:hint="eastAsia"/>
        </w:rPr>
        <w:t>第九条违约责任</w:t>
      </w:r>
    </w:p>
    <w:p w14:paraId="40A5818E">
      <w:r>
        <w:rPr>
          <w:rFonts w:hint="eastAsia"/>
        </w:rPr>
        <w:t>1. 乙方所提供的服务项目规格、技术标准、材料等质量不合格的，按逾期交付处罚。</w:t>
      </w:r>
    </w:p>
    <w:p w14:paraId="5BCE297D">
      <w:r>
        <w:rPr>
          <w:rFonts w:hint="eastAsia"/>
        </w:rPr>
        <w:t>2. 乙方提供的服务如果侵犯了第三方合法权益而引发的任何纠纷或诉讼，均由乙方负责交涉并承担全部责任。</w:t>
      </w:r>
    </w:p>
    <w:p w14:paraId="78F45DB2">
      <w:r>
        <w:rPr>
          <w:rFonts w:hint="eastAsia"/>
        </w:rPr>
        <w:t>3. 因包装、运输引起的设备损坏，按质量不合格处理。</w:t>
      </w:r>
    </w:p>
    <w:p w14:paraId="1971F339">
      <w:r>
        <w:rPr>
          <w:rFonts w:hint="eastAsia"/>
        </w:rPr>
        <w:t>4. 甲方无故延期接收、乙方逾期交付的，每天向对方偿付违约货款额3‰违约金，超过</w:t>
      </w:r>
      <w:r>
        <w:rPr>
          <w:rFonts w:hint="eastAsia"/>
          <w:u w:val="single"/>
        </w:rPr>
        <w:t xml:space="preserve"> 10 </w:t>
      </w:r>
      <w:r>
        <w:rPr>
          <w:rFonts w:hint="eastAsia"/>
        </w:rPr>
        <w:t>天对方有权解除合同，违约方承担因此给对方造成经济损失；甲方延期付款的，每天向乙方偿付延期款项3‰滞纳金，但滞纳金累计不得超过延期付款额。</w:t>
      </w:r>
    </w:p>
    <w:p w14:paraId="7CDE7B2C">
      <w:r>
        <w:rPr>
          <w:rFonts w:hint="eastAsia"/>
        </w:rPr>
        <w:t>5. 乙方未按本合同和响应文件中规定的服务承诺提供售后服务的，乙方应按本合同合同金额</w:t>
      </w:r>
      <w:r>
        <w:rPr>
          <w:rFonts w:hint="eastAsia"/>
          <w:u w:val="single"/>
        </w:rPr>
        <w:t xml:space="preserve"> 5 </w:t>
      </w:r>
      <w:r>
        <w:rPr>
          <w:rFonts w:hint="eastAsia"/>
        </w:rPr>
        <w:t>%向甲方支付违约金。</w:t>
      </w:r>
    </w:p>
    <w:p w14:paraId="0BEA500B">
      <w:r>
        <w:rPr>
          <w:rFonts w:hint="eastAsia"/>
        </w:rPr>
        <w:t>6. 乙方修理的设备在质保期内，因工艺或材料的缺陷和其他质量原因造成的问题，由乙方负责，费用从质量保证金中扣除，不足另补。</w:t>
      </w:r>
    </w:p>
    <w:p w14:paraId="04B0D976">
      <w:pPr>
        <w:rPr>
          <w:b/>
        </w:rPr>
      </w:pPr>
      <w:r>
        <w:rPr>
          <w:rFonts w:hint="eastAsia"/>
        </w:rPr>
        <w:t>7. 其他违约行为按违约货款额</w:t>
      </w:r>
      <w:r>
        <w:rPr>
          <w:rFonts w:hint="eastAsia"/>
          <w:u w:val="single"/>
        </w:rPr>
        <w:t xml:space="preserve"> 10 %</w:t>
      </w:r>
      <w:r>
        <w:rPr>
          <w:rFonts w:hint="eastAsia"/>
        </w:rPr>
        <w:t>收取违约金并赔偿经济损失。</w:t>
      </w:r>
    </w:p>
    <w:p w14:paraId="6465C1AF">
      <w:pPr>
        <w:pStyle w:val="17"/>
        <w:rPr>
          <w:bCs/>
        </w:rPr>
      </w:pPr>
      <w:r>
        <w:rPr>
          <w:rFonts w:hint="eastAsia"/>
        </w:rPr>
        <w:t>第十条不可抗力</w:t>
      </w:r>
      <w:r>
        <w:rPr>
          <w:rFonts w:hint="eastAsia"/>
          <w:bCs/>
        </w:rPr>
        <w:t>和合同纠纷</w:t>
      </w:r>
    </w:p>
    <w:p w14:paraId="3CB51F6A">
      <w:r>
        <w:rPr>
          <w:rFonts w:hint="eastAsia"/>
        </w:rPr>
        <w:t>1、在合同有效期内，乙方因不可抗力事件导致不能履行合同，则合同履行期可延长，其延长期与不可抗力影响期相同。</w:t>
      </w:r>
    </w:p>
    <w:p w14:paraId="1CA5FF6F">
      <w:r>
        <w:rPr>
          <w:rFonts w:hint="eastAsia"/>
        </w:rPr>
        <w:t>2、不可抗力事件发生后，因立即通知对方，并寄送有关权威机构出具的证明。</w:t>
      </w:r>
    </w:p>
    <w:p w14:paraId="3AD902B4">
      <w:r>
        <w:rPr>
          <w:rFonts w:hint="eastAsia"/>
        </w:rPr>
        <w:t>3、不可抗力事件延续一百二十天以上，双方应通过友好协商，确定是否继续履行合同。</w:t>
      </w:r>
    </w:p>
    <w:p w14:paraId="18C96805">
      <w:r>
        <w:rPr>
          <w:rFonts w:hint="eastAsia"/>
        </w:rPr>
        <w:t>第十一条合同争议解决</w:t>
      </w:r>
    </w:p>
    <w:p w14:paraId="2D2A6FC6">
      <w:r>
        <w:rPr>
          <w:rFonts w:hint="eastAsia"/>
        </w:rPr>
        <w:t>1、因履行本合同引起的或与本合同有关的争议，甲乙双方应首先通过友好协商解决，如果协商不能解决，可向桂林市仲裁委员会申请仲裁或向提供服务所在地桂林市人民法院提起诉讼。</w:t>
      </w:r>
    </w:p>
    <w:p w14:paraId="1C3051F3">
      <w:r>
        <w:rPr>
          <w:rFonts w:hint="eastAsia"/>
        </w:rPr>
        <w:t>2、诉讼期间，本合同继续履行。</w:t>
      </w:r>
    </w:p>
    <w:p w14:paraId="68E7BC2C">
      <w:r>
        <w:rPr>
          <w:rFonts w:hint="eastAsia"/>
        </w:rPr>
        <w:t>3、同时约定仲裁和起诉的，仲裁条款无效</w:t>
      </w:r>
    </w:p>
    <w:p w14:paraId="1F66F263">
      <w:r>
        <w:rPr>
          <w:rFonts w:hint="eastAsia"/>
        </w:rPr>
        <w:t>第十二条合同生效及其它</w:t>
      </w:r>
    </w:p>
    <w:p w14:paraId="3F694BB9">
      <w:r>
        <w:rPr>
          <w:rFonts w:hint="eastAsia"/>
        </w:rPr>
        <w:t>1、合同经甲乙双方法定代表人或授权代表签字并加盖单位公章后生效。</w:t>
      </w:r>
    </w:p>
    <w:p w14:paraId="602C6678">
      <w:r>
        <w:rPr>
          <w:rFonts w:hint="eastAsia"/>
        </w:rPr>
        <w:t>2、合同执行中采购资金和采购内容修改或补充的，需经桂林市财政有关部门审批并备案，方可作为主合同不可分割的一部分。</w:t>
      </w:r>
    </w:p>
    <w:p w14:paraId="6BA959F3">
      <w:r>
        <w:rPr>
          <w:rFonts w:hint="eastAsia"/>
        </w:rPr>
        <w:t>3、本合同未尽事宜，遵照《民法典》有关条文执行。</w:t>
      </w:r>
    </w:p>
    <w:p w14:paraId="1E0E7D21">
      <w:r>
        <w:rPr>
          <w:rFonts w:hint="eastAsia"/>
        </w:rPr>
        <w:t>第十三条合同的变更、终止与转让</w:t>
      </w:r>
    </w:p>
    <w:p w14:paraId="7B78B0B0">
      <w:r>
        <w:rPr>
          <w:rFonts w:hint="eastAsia"/>
        </w:rPr>
        <w:t>1、除《中华人民共和国政府采购法》第五十条规定的情形外，本合同一经签订，甲乙双方不得擅自变更，中止或终止。</w:t>
      </w:r>
    </w:p>
    <w:p w14:paraId="13753050">
      <w:r>
        <w:rPr>
          <w:rFonts w:hint="eastAsia"/>
        </w:rPr>
        <w:t>2、乙方不得擅自转让其应履行的合同义务。</w:t>
      </w:r>
    </w:p>
    <w:p w14:paraId="51256984">
      <w:r>
        <w:rPr>
          <w:rFonts w:hint="eastAsia"/>
        </w:rPr>
        <w:t>第十四条签订本合同依据：</w:t>
      </w:r>
    </w:p>
    <w:p w14:paraId="7D70EFB2">
      <w:r>
        <w:t xml:space="preserve">1. </w:t>
      </w:r>
      <w:r>
        <w:rPr>
          <w:rFonts w:hint="eastAsia"/>
        </w:rPr>
        <w:t>竞争性磋商文件；</w:t>
      </w:r>
    </w:p>
    <w:p w14:paraId="55D32093">
      <w:r>
        <w:t xml:space="preserve">2. </w:t>
      </w:r>
      <w:r>
        <w:rPr>
          <w:rFonts w:hint="eastAsia"/>
        </w:rPr>
        <w:t>乙方提供的响应（或应答）文件；</w:t>
      </w:r>
    </w:p>
    <w:p w14:paraId="0D65EBDE">
      <w:r>
        <w:t xml:space="preserve">3. </w:t>
      </w:r>
      <w:r>
        <w:rPr>
          <w:rFonts w:hint="eastAsia"/>
        </w:rPr>
        <w:t>售后服务承诺书；</w:t>
      </w:r>
    </w:p>
    <w:p w14:paraId="46868687">
      <w:r>
        <w:t xml:space="preserve">4. </w:t>
      </w:r>
      <w:r>
        <w:rPr>
          <w:rFonts w:hint="eastAsia"/>
        </w:rPr>
        <w:t>磋商中的磋商记录；</w:t>
      </w:r>
    </w:p>
    <w:p w14:paraId="710B6BBB">
      <w:r>
        <w:t xml:space="preserve">5. </w:t>
      </w:r>
      <w:r>
        <w:rPr>
          <w:rFonts w:hint="eastAsia"/>
        </w:rPr>
        <w:t>成交通知书。</w:t>
      </w:r>
    </w:p>
    <w:p w14:paraId="6AAA96F8">
      <w:r>
        <w:rPr>
          <w:rFonts w:hint="eastAsia"/>
          <w:szCs w:val="21"/>
        </w:rPr>
        <w:t>本合同甲乙双方签字盖章后生效，一式六份，具有同等法律效力，甲、乙双方各二份。</w:t>
      </w:r>
      <w:r>
        <w:rPr>
          <w:rFonts w:hint="eastAsia"/>
        </w:rPr>
        <w:t>政府采购合同双方自签订之日起</w:t>
      </w:r>
      <w:r>
        <w:t>1</w:t>
      </w:r>
      <w:r>
        <w:rPr>
          <w:rFonts w:hint="eastAsia"/>
        </w:rPr>
        <w:t>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lang w:eastAsia="zh-CN"/>
        </w:rPr>
        <w:t>广西鼎誉工程咨询有限公司</w:t>
      </w:r>
      <w:r>
        <w:rPr>
          <w:rFonts w:hint="eastAsia"/>
        </w:rPr>
        <w:t>存档。</w:t>
      </w:r>
    </w:p>
    <w:p w14:paraId="3C6818C8"/>
    <w:p w14:paraId="21AAD2D2">
      <w:pPr>
        <w:rPr>
          <w:u w:val="single"/>
        </w:rPr>
      </w:pPr>
      <w:r>
        <w:rPr>
          <w:rFonts w:hint="eastAsia"/>
        </w:rPr>
        <w:t>甲方名称（公章）：</w:t>
      </w:r>
      <w:r>
        <w:rPr>
          <w:rFonts w:hint="eastAsia"/>
          <w:lang w:val="en-US" w:eastAsia="zh-CN"/>
        </w:rPr>
        <w:t xml:space="preserve">                          </w:t>
      </w:r>
      <w:r>
        <w:rPr>
          <w:rFonts w:hint="eastAsia"/>
        </w:rPr>
        <w:t>乙方（公章）：</w:t>
      </w:r>
    </w:p>
    <w:p w14:paraId="19990A7B">
      <w:r>
        <w:rPr>
          <w:rFonts w:hint="eastAsia"/>
          <w:szCs w:val="21"/>
        </w:rPr>
        <w:t>法定代表人：</w:t>
      </w:r>
      <w:r>
        <w:rPr>
          <w:rFonts w:hint="eastAsia"/>
          <w:szCs w:val="21"/>
          <w:lang w:val="en-US" w:eastAsia="zh-CN"/>
        </w:rPr>
        <w:t xml:space="preserve">                                </w:t>
      </w:r>
      <w:r>
        <w:rPr>
          <w:rFonts w:hint="eastAsia"/>
        </w:rPr>
        <w:t>法定代表人（负责人）签字</w:t>
      </w:r>
      <w:r>
        <w:rPr>
          <w:rFonts w:hint="eastAsia"/>
          <w:szCs w:val="21"/>
        </w:rPr>
        <w:t>：</w:t>
      </w:r>
    </w:p>
    <w:p w14:paraId="661D7B76">
      <w:pPr>
        <w:rPr>
          <w:u w:val="single"/>
        </w:rPr>
      </w:pPr>
      <w:r>
        <w:rPr>
          <w:rFonts w:hint="eastAsia"/>
        </w:rPr>
        <w:t>委托代理人：</w:t>
      </w:r>
      <w:r>
        <w:rPr>
          <w:rFonts w:hint="eastAsia"/>
          <w:lang w:val="en-US" w:eastAsia="zh-CN"/>
        </w:rPr>
        <w:t xml:space="preserve">                                </w:t>
      </w:r>
      <w:r>
        <w:rPr>
          <w:rFonts w:hint="eastAsia"/>
        </w:rPr>
        <w:t>委托代理人：</w:t>
      </w:r>
    </w:p>
    <w:p w14:paraId="2CC8FB03">
      <w:pPr>
        <w:rPr>
          <w:u w:val="single"/>
        </w:rPr>
      </w:pPr>
      <w:r>
        <w:rPr>
          <w:rFonts w:hint="eastAsia"/>
        </w:rPr>
        <w:t>电话：</w:t>
      </w:r>
      <w:r>
        <w:rPr>
          <w:rFonts w:hint="eastAsia"/>
          <w:lang w:val="en-US" w:eastAsia="zh-CN"/>
        </w:rPr>
        <w:t xml:space="preserve">                                      </w:t>
      </w:r>
      <w:r>
        <w:rPr>
          <w:rFonts w:hint="eastAsia"/>
        </w:rPr>
        <w:t>电话：</w:t>
      </w:r>
    </w:p>
    <w:p w14:paraId="3ADB0FB4">
      <w:r>
        <w:rPr>
          <w:rFonts w:hint="eastAsia"/>
        </w:rPr>
        <w:t>开户名称：</w:t>
      </w:r>
      <w:r>
        <w:rPr>
          <w:rFonts w:hint="eastAsia"/>
          <w:lang w:val="en-US" w:eastAsia="zh-CN"/>
        </w:rPr>
        <w:t xml:space="preserve">                                  </w:t>
      </w:r>
      <w:r>
        <w:rPr>
          <w:rFonts w:hint="eastAsia"/>
        </w:rPr>
        <w:t>开户名称：</w:t>
      </w:r>
    </w:p>
    <w:p w14:paraId="5922B77D">
      <w:r>
        <w:rPr>
          <w:rFonts w:hint="eastAsia"/>
        </w:rPr>
        <w:t>开户银行：</w:t>
      </w:r>
      <w:r>
        <w:rPr>
          <w:rFonts w:hint="eastAsia"/>
          <w:lang w:val="en-US" w:eastAsia="zh-CN"/>
        </w:rPr>
        <w:t xml:space="preserve">                                  </w:t>
      </w:r>
      <w:r>
        <w:rPr>
          <w:rFonts w:hint="eastAsia"/>
        </w:rPr>
        <w:t>开户银行：</w:t>
      </w:r>
    </w:p>
    <w:p w14:paraId="7C83ECAD">
      <w:r>
        <w:rPr>
          <w:rFonts w:hint="eastAsia"/>
        </w:rPr>
        <w:t>银行账号：</w:t>
      </w:r>
      <w:r>
        <w:rPr>
          <w:rFonts w:hint="eastAsia"/>
          <w:lang w:val="en-US" w:eastAsia="zh-CN"/>
        </w:rPr>
        <w:t xml:space="preserve">                                  </w:t>
      </w:r>
      <w:r>
        <w:rPr>
          <w:rFonts w:hint="eastAsia"/>
        </w:rPr>
        <w:t>银行账号：</w:t>
      </w:r>
    </w:p>
    <w:p w14:paraId="22ED7184">
      <w:r>
        <w:rPr>
          <w:rFonts w:hint="eastAsia"/>
        </w:rPr>
        <w:t>日期：</w:t>
      </w:r>
      <w:r>
        <w:rPr>
          <w:rFonts w:hint="eastAsia"/>
          <w:lang w:val="en-US" w:eastAsia="zh-CN"/>
        </w:rPr>
        <w:t xml:space="preserve">                                      </w:t>
      </w:r>
      <w:r>
        <w:rPr>
          <w:rFonts w:hint="eastAsia"/>
        </w:rPr>
        <w:t>日期：</w:t>
      </w:r>
    </w:p>
    <w:p w14:paraId="41C3AD1A">
      <w:pPr>
        <w:pStyle w:val="3"/>
        <w:spacing w:before="0" w:after="0" w:line="360" w:lineRule="auto"/>
        <w:jc w:val="center"/>
        <w:rPr>
          <w:rFonts w:hint="eastAsia" w:ascii="Times New Roman" w:hAnsi="Times New Roman" w:eastAsia="黑体" w:cs="黑体"/>
          <w:color w:val="auto"/>
          <w:highlight w:val="none"/>
          <w:lang w:val="zh-CN"/>
        </w:rPr>
      </w:pPr>
    </w:p>
    <w:p w14:paraId="25A8E905">
      <w:pPr>
        <w:pStyle w:val="3"/>
        <w:jc w:val="center"/>
        <w:rPr>
          <w:rFonts w:hint="eastAsia" w:ascii="宋体" w:hAnsi="宋体" w:eastAsia="宋体" w:cs="宋体"/>
          <w:b w:val="0"/>
          <w:bCs w:val="0"/>
          <w:color w:val="auto"/>
          <w:highlight w:val="none"/>
        </w:rPr>
      </w:pPr>
      <w:bookmarkStart w:id="137" w:name="_Toc24269"/>
      <w:bookmarkStart w:id="138" w:name="_Toc10014"/>
      <w:bookmarkStart w:id="139" w:name="_Toc11224"/>
      <w:bookmarkStart w:id="140" w:name="_Toc5077"/>
      <w:r>
        <w:rPr>
          <w:rFonts w:hint="eastAsia" w:ascii="宋体" w:hAnsi="宋体" w:eastAsia="宋体" w:cs="宋体"/>
          <w:b w:val="0"/>
          <w:bCs w:val="0"/>
          <w:color w:val="auto"/>
          <w:sz w:val="32"/>
          <w:szCs w:val="32"/>
          <w:highlight w:val="none"/>
        </w:rPr>
        <w:t xml:space="preserve">第六章  </w:t>
      </w:r>
      <w:bookmarkEnd w:id="137"/>
      <w:bookmarkEnd w:id="138"/>
      <w:bookmarkStart w:id="141" w:name="_Toc13185"/>
      <w:r>
        <w:rPr>
          <w:rFonts w:hint="eastAsia" w:ascii="宋体" w:hAnsi="宋体" w:eastAsia="宋体" w:cs="宋体"/>
          <w:b w:val="0"/>
          <w:bCs w:val="0"/>
          <w:color w:val="auto"/>
          <w:sz w:val="32"/>
          <w:szCs w:val="32"/>
          <w:highlight w:val="none"/>
        </w:rPr>
        <w:t>响应文件（格式）</w:t>
      </w:r>
      <w:bookmarkEnd w:id="139"/>
      <w:bookmarkEnd w:id="140"/>
      <w:bookmarkEnd w:id="141"/>
    </w:p>
    <w:p w14:paraId="1D4C68E5">
      <w:pPr>
        <w:pStyle w:val="17"/>
        <w:rPr>
          <w:rFonts w:hint="default" w:ascii="宋体" w:hAnsi="宋体" w:eastAsia="宋体" w:cs="宋体"/>
          <w:b/>
          <w:color w:val="auto"/>
          <w:sz w:val="32"/>
          <w:highlight w:val="none"/>
          <w:lang w:val="en-US" w:eastAsia="zh-CN"/>
        </w:rPr>
      </w:pPr>
      <w:bookmarkStart w:id="142" w:name="_Toc497927069"/>
      <w:bookmarkStart w:id="143" w:name="_Toc21496"/>
      <w:bookmarkStart w:id="144" w:name="_Toc18351"/>
      <w:r>
        <w:rPr>
          <w:rFonts w:hint="eastAsia" w:ascii="宋体" w:hAnsi="宋体" w:eastAsia="宋体" w:cs="宋体"/>
          <w:b/>
          <w:color w:val="auto"/>
          <w:sz w:val="32"/>
          <w:highlight w:val="none"/>
        </w:rPr>
        <w:t>一、响应文件</w:t>
      </w:r>
      <w:bookmarkEnd w:id="142"/>
      <w:bookmarkEnd w:id="143"/>
      <w:bookmarkEnd w:id="144"/>
      <w:r>
        <w:rPr>
          <w:rFonts w:hint="eastAsia" w:hAnsi="宋体" w:cs="宋体"/>
          <w:b/>
          <w:color w:val="auto"/>
          <w:sz w:val="32"/>
          <w:highlight w:val="none"/>
          <w:lang w:val="en-US" w:eastAsia="zh-CN"/>
        </w:rPr>
        <w:t>封面格式</w:t>
      </w:r>
    </w:p>
    <w:p w14:paraId="5950FB6E">
      <w:pPr>
        <w:adjustRightInd w:val="0"/>
        <w:snapToGrid w:val="0"/>
        <w:rPr>
          <w:rFonts w:hint="eastAsia" w:ascii="宋体" w:hAnsi="宋体" w:eastAsia="宋体" w:cs="宋体"/>
          <w:b/>
          <w:color w:val="auto"/>
          <w:sz w:val="44"/>
          <w:szCs w:val="44"/>
          <w:highlight w:val="none"/>
        </w:rPr>
      </w:pPr>
    </w:p>
    <w:p w14:paraId="53EFAE4E">
      <w:pPr>
        <w:snapToGrid w:val="0"/>
        <w:spacing w:beforeLines="50" w:after="50"/>
        <w:jc w:val="center"/>
        <w:rPr>
          <w:rFonts w:hint="eastAsia" w:ascii="宋体" w:hAnsi="宋体" w:eastAsia="宋体" w:cs="宋体"/>
          <w:b/>
          <w:color w:val="auto"/>
          <w:sz w:val="36"/>
          <w:szCs w:val="36"/>
          <w:highlight w:val="none"/>
        </w:rPr>
      </w:pPr>
    </w:p>
    <w:p w14:paraId="39267F89">
      <w:pPr>
        <w:snapToGrid w:val="0"/>
        <w:spacing w:beforeLines="50" w:after="50"/>
        <w:jc w:val="center"/>
        <w:rPr>
          <w:rFonts w:hint="eastAsia" w:ascii="宋体" w:hAnsi="宋体" w:eastAsia="宋体" w:cs="宋体"/>
          <w:b/>
          <w:color w:val="auto"/>
          <w:sz w:val="36"/>
          <w:szCs w:val="36"/>
          <w:highlight w:val="none"/>
        </w:rPr>
      </w:pPr>
    </w:p>
    <w:p w14:paraId="351CD753">
      <w:pPr>
        <w:snapToGrid w:val="0"/>
        <w:spacing w:beforeLines="50" w:after="50"/>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响 应 文 件</w:t>
      </w:r>
    </w:p>
    <w:p w14:paraId="226740F3">
      <w:pPr>
        <w:snapToGrid w:val="0"/>
        <w:spacing w:beforeLines="50" w:after="50"/>
        <w:ind w:firstLine="480" w:firstLineChars="150"/>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rPr>
        <w:t xml:space="preserve">                       </w:t>
      </w:r>
    </w:p>
    <w:p w14:paraId="5F79438C">
      <w:pPr>
        <w:pStyle w:val="37"/>
        <w:rPr>
          <w:rFonts w:hint="eastAsia" w:ascii="宋体" w:hAnsi="宋体" w:eastAsia="宋体" w:cs="宋体"/>
          <w:color w:val="auto"/>
          <w:highlight w:val="none"/>
        </w:rPr>
      </w:pPr>
    </w:p>
    <w:p w14:paraId="222539DF">
      <w:pPr>
        <w:snapToGrid w:val="0"/>
        <w:spacing w:beforeLines="50" w:after="50"/>
        <w:ind w:firstLine="360" w:firstLineChars="150"/>
        <w:rPr>
          <w:rFonts w:hint="eastAsia" w:ascii="宋体" w:hAnsi="宋体" w:eastAsia="宋体" w:cs="宋体"/>
          <w:b/>
          <w:color w:val="auto"/>
          <w:sz w:val="24"/>
          <w:szCs w:val="24"/>
          <w:highlight w:val="none"/>
        </w:rPr>
      </w:pPr>
    </w:p>
    <w:p w14:paraId="370B2782">
      <w:pPr>
        <w:snapToGrid w:val="0"/>
        <w:spacing w:beforeLines="50" w:after="50"/>
        <w:ind w:left="1853" w:leftChars="342" w:hanging="1135" w:hangingChars="473"/>
        <w:jc w:val="both"/>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rPr>
        <w:t>项目名称：</w:t>
      </w:r>
      <w:r>
        <w:rPr>
          <w:rFonts w:hint="eastAsia" w:ascii="宋体" w:hAnsi="宋体" w:cs="宋体"/>
          <w:b w:val="0"/>
          <w:bCs/>
          <w:color w:val="auto"/>
          <w:sz w:val="24"/>
          <w:szCs w:val="24"/>
          <w:highlight w:val="none"/>
          <w:u w:val="single"/>
          <w:lang w:val="en-US" w:eastAsia="zh-CN"/>
        </w:rPr>
        <w:t xml:space="preserve">                               </w:t>
      </w:r>
    </w:p>
    <w:p w14:paraId="724255A0">
      <w:pPr>
        <w:snapToGrid w:val="0"/>
        <w:spacing w:beforeLines="50" w:after="50"/>
        <w:ind w:left="0" w:leftChars="0" w:firstLine="547" w:firstLineChars="228"/>
        <w:rPr>
          <w:rFonts w:hint="eastAsia" w:ascii="宋体" w:hAnsi="宋体" w:eastAsia="宋体" w:cs="宋体"/>
          <w:b w:val="0"/>
          <w:bCs/>
          <w:color w:val="auto"/>
          <w:sz w:val="24"/>
          <w:szCs w:val="24"/>
          <w:highlight w:val="none"/>
        </w:rPr>
      </w:pPr>
    </w:p>
    <w:p w14:paraId="639CAE8A">
      <w:pPr>
        <w:snapToGrid w:val="0"/>
        <w:spacing w:beforeLines="50" w:after="50"/>
        <w:ind w:left="0" w:leftChars="0" w:firstLine="784" w:firstLineChars="327"/>
        <w:rPr>
          <w:rFonts w:hint="default" w:ascii="宋体" w:hAnsi="宋体" w:eastAsia="宋体" w:cs="宋体"/>
          <w:b w:val="0"/>
          <w:bCs/>
          <w:color w:val="auto"/>
          <w:sz w:val="24"/>
          <w:szCs w:val="24"/>
          <w:highlight w:val="none"/>
          <w:lang w:val="en-US"/>
        </w:rPr>
      </w:pPr>
      <w:r>
        <w:rPr>
          <w:rFonts w:hint="eastAsia" w:ascii="宋体" w:hAnsi="宋体" w:eastAsia="宋体" w:cs="宋体"/>
          <w:b w:val="0"/>
          <w:bCs/>
          <w:color w:val="auto"/>
          <w:sz w:val="24"/>
          <w:szCs w:val="24"/>
          <w:highlight w:val="none"/>
        </w:rPr>
        <w:t>项目编号：</w:t>
      </w:r>
      <w:r>
        <w:rPr>
          <w:rFonts w:hint="eastAsia" w:ascii="宋体" w:hAnsi="宋体" w:cs="宋体"/>
          <w:b w:val="0"/>
          <w:bCs/>
          <w:color w:val="auto"/>
          <w:sz w:val="24"/>
          <w:szCs w:val="24"/>
          <w:highlight w:val="none"/>
          <w:u w:val="single"/>
          <w:lang w:val="en-US" w:eastAsia="zh-CN"/>
        </w:rPr>
        <w:t xml:space="preserve">                      </w:t>
      </w:r>
    </w:p>
    <w:p w14:paraId="0E7277F7">
      <w:pPr>
        <w:pStyle w:val="14"/>
        <w:ind w:left="31680" w:hanging="480" w:hangingChars="200"/>
        <w:rPr>
          <w:rFonts w:hint="eastAsia" w:ascii="宋体" w:hAnsi="宋体" w:eastAsia="宋体" w:cs="宋体"/>
          <w:bCs/>
          <w:color w:val="auto"/>
          <w:sz w:val="24"/>
          <w:szCs w:val="24"/>
          <w:highlight w:val="none"/>
        </w:rPr>
      </w:pPr>
    </w:p>
    <w:p w14:paraId="76562D8E">
      <w:pPr>
        <w:pStyle w:val="14"/>
        <w:ind w:left="31680" w:hanging="480" w:hangingChars="200"/>
        <w:rPr>
          <w:rFonts w:hint="eastAsia" w:ascii="宋体" w:hAnsi="宋体" w:eastAsia="宋体" w:cs="宋体"/>
          <w:bCs/>
          <w:color w:val="auto"/>
          <w:sz w:val="24"/>
          <w:szCs w:val="24"/>
          <w:highlight w:val="none"/>
        </w:rPr>
      </w:pPr>
    </w:p>
    <w:p w14:paraId="24DDC96B">
      <w:pPr>
        <w:pStyle w:val="14"/>
        <w:ind w:left="31680" w:hanging="480" w:hangingChars="200"/>
        <w:rPr>
          <w:rFonts w:hint="eastAsia" w:ascii="宋体" w:hAnsi="宋体" w:eastAsia="宋体" w:cs="宋体"/>
          <w:bCs/>
          <w:color w:val="auto"/>
          <w:sz w:val="24"/>
          <w:szCs w:val="24"/>
          <w:highlight w:val="none"/>
        </w:rPr>
      </w:pPr>
    </w:p>
    <w:p w14:paraId="68108D7A">
      <w:pPr>
        <w:pStyle w:val="14"/>
        <w:spacing w:line="480" w:lineRule="auto"/>
        <w:ind w:left="31680" w:hanging="480" w:hanging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采购代理机构：</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eastAsia="zh-CN"/>
        </w:rPr>
        <w:t>广西鼎誉工程咨询有限公司</w:t>
      </w:r>
      <w:r>
        <w:rPr>
          <w:rFonts w:hint="eastAsia" w:ascii="宋体" w:hAnsi="宋体" w:eastAsia="宋体" w:cs="宋体"/>
          <w:bCs/>
          <w:color w:val="auto"/>
          <w:sz w:val="24"/>
          <w:szCs w:val="24"/>
          <w:highlight w:val="none"/>
          <w:u w:val="single"/>
        </w:rPr>
        <w:t xml:space="preserve">   </w:t>
      </w:r>
    </w:p>
    <w:p w14:paraId="695BE1D7">
      <w:pPr>
        <w:pStyle w:val="14"/>
        <w:spacing w:line="480" w:lineRule="auto"/>
        <w:ind w:left="31680" w:hanging="480" w:hangingChars="200"/>
        <w:rPr>
          <w:rFonts w:hint="eastAsia" w:ascii="宋体" w:hAnsi="宋体" w:eastAsia="宋体" w:cs="宋体"/>
          <w:bCs/>
          <w:color w:val="auto"/>
          <w:sz w:val="24"/>
          <w:szCs w:val="24"/>
          <w:highlight w:val="none"/>
        </w:rPr>
      </w:pPr>
      <w:bookmarkStart w:id="145" w:name="_Toc20319_WPSOffice_Level2"/>
      <w:bookmarkStart w:id="146" w:name="_Toc4932_WPSOffice_Level2"/>
      <w:r>
        <w:rPr>
          <w:rFonts w:hint="eastAsia" w:ascii="宋体" w:hAnsi="宋体" w:eastAsia="宋体" w:cs="宋体"/>
          <w:bCs/>
          <w:color w:val="auto"/>
          <w:sz w:val="24"/>
          <w:szCs w:val="24"/>
          <w:highlight w:val="none"/>
        </w:rPr>
        <w:t>磋商供应商[公章(CA签章)、自然人除外]：</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bookmarkEnd w:id="145"/>
      <w:bookmarkEnd w:id="146"/>
      <w:r>
        <w:rPr>
          <w:rFonts w:hint="eastAsia" w:ascii="宋体" w:hAnsi="宋体" w:eastAsia="宋体" w:cs="宋体"/>
          <w:bCs/>
          <w:color w:val="auto"/>
          <w:sz w:val="24"/>
          <w:szCs w:val="24"/>
          <w:highlight w:val="none"/>
        </w:rPr>
        <w:t xml:space="preserve">       </w:t>
      </w:r>
    </w:p>
    <w:p w14:paraId="7F4C611C">
      <w:pPr>
        <w:pStyle w:val="14"/>
        <w:spacing w:line="480" w:lineRule="auto"/>
        <w:ind w:left="31680" w:hanging="480" w:hangingChars="200"/>
        <w:rPr>
          <w:rFonts w:hint="eastAsia" w:ascii="宋体" w:hAnsi="宋体" w:eastAsia="宋体" w:cs="宋体"/>
          <w:bCs/>
          <w:color w:val="auto"/>
          <w:sz w:val="24"/>
          <w:szCs w:val="24"/>
          <w:highlight w:val="none"/>
        </w:rPr>
      </w:pPr>
      <w:bookmarkStart w:id="147" w:name="_Toc9622_WPSOffice_Level2"/>
      <w:bookmarkStart w:id="148" w:name="_Toc32056_WPSOffice_Level2"/>
      <w:r>
        <w:rPr>
          <w:rFonts w:hint="eastAsia" w:ascii="宋体" w:hAnsi="宋体" w:eastAsia="宋体" w:cs="宋体"/>
          <w:bCs/>
          <w:color w:val="auto"/>
          <w:sz w:val="24"/>
          <w:szCs w:val="24"/>
          <w:highlight w:val="none"/>
        </w:rPr>
        <w:t>法定代表人、负责人、自然人或相应的委托代理人签字[或盖章(CA签章)]</w:t>
      </w:r>
    </w:p>
    <w:p w14:paraId="19257D55">
      <w:pPr>
        <w:pStyle w:val="14"/>
        <w:spacing w:line="480" w:lineRule="auto"/>
        <w:ind w:left="316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（属自然人的应在签名处加盖大拇指指印或个人CA签章）：</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p>
    <w:p w14:paraId="4A15896F">
      <w:pPr>
        <w:pStyle w:val="14"/>
        <w:spacing w:line="480" w:lineRule="auto"/>
        <w:ind w:left="31680" w:hanging="480" w:hanging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bookmarkEnd w:id="147"/>
      <w:bookmarkEnd w:id="148"/>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 xml:space="preserve">                                                </w:t>
      </w:r>
    </w:p>
    <w:p w14:paraId="2A528FF7">
      <w:pPr>
        <w:pStyle w:val="14"/>
        <w:spacing w:line="480" w:lineRule="auto"/>
        <w:ind w:left="31680" w:hanging="480" w:hangingChars="200"/>
        <w:rPr>
          <w:rFonts w:hint="eastAsia" w:ascii="宋体" w:hAnsi="宋体" w:eastAsia="宋体" w:cs="宋体"/>
          <w:bCs/>
          <w:color w:val="auto"/>
          <w:sz w:val="24"/>
          <w:szCs w:val="24"/>
          <w:highlight w:val="none"/>
        </w:rPr>
      </w:pPr>
      <w:bookmarkStart w:id="149" w:name="_Toc15933_WPSOffice_Level2"/>
      <w:bookmarkStart w:id="150"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49"/>
      <w:bookmarkEnd w:id="150"/>
    </w:p>
    <w:p w14:paraId="435FD27C">
      <w:pPr>
        <w:rPr>
          <w:rFonts w:hint="eastAsia" w:ascii="宋体" w:hAnsi="宋体" w:eastAsia="宋体" w:cs="宋体"/>
          <w:b/>
          <w:bCs/>
          <w:color w:val="auto"/>
          <w:sz w:val="32"/>
          <w:szCs w:val="32"/>
          <w:highlight w:val="none"/>
        </w:rPr>
      </w:pPr>
      <w:bookmarkStart w:id="151" w:name="_Toc497927070"/>
      <w:bookmarkStart w:id="152" w:name="_Toc19430"/>
      <w:bookmarkStart w:id="153" w:name="_Toc21615"/>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响应文件组成</w:t>
      </w:r>
      <w:bookmarkEnd w:id="151"/>
      <w:bookmarkEnd w:id="152"/>
      <w:bookmarkEnd w:id="153"/>
    </w:p>
    <w:p w14:paraId="6EC64BBB">
      <w:pPr>
        <w:pStyle w:val="37"/>
        <w:rPr>
          <w:rFonts w:hint="eastAsia" w:ascii="宋体" w:hAnsi="宋体" w:eastAsia="宋体" w:cs="宋体"/>
          <w:color w:val="auto"/>
          <w:highlight w:val="none"/>
        </w:rPr>
      </w:pPr>
    </w:p>
    <w:p w14:paraId="183B4531">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资格性响应证明材料</w:t>
      </w:r>
    </w:p>
    <w:p w14:paraId="35604CF2">
      <w:pPr>
        <w:pStyle w:val="2"/>
        <w:rPr>
          <w:rFonts w:hint="eastAsia" w:ascii="宋体" w:hAnsi="宋体" w:eastAsia="宋体" w:cs="宋体"/>
          <w:b w:val="0"/>
          <w:bCs w:val="0"/>
          <w:color w:val="auto"/>
          <w:highlight w:val="none"/>
        </w:rPr>
      </w:pPr>
    </w:p>
    <w:p w14:paraId="5A3562C1">
      <w:pPr>
        <w:rPr>
          <w:rFonts w:hint="eastAsia" w:ascii="宋体" w:hAnsi="宋体" w:eastAsia="宋体" w:cs="宋体"/>
          <w:b w:val="0"/>
          <w:bCs w:val="0"/>
          <w:color w:val="auto"/>
          <w:highlight w:val="none"/>
        </w:rPr>
      </w:pPr>
    </w:p>
    <w:p w14:paraId="7CF7F3ED">
      <w:pPr>
        <w:rPr>
          <w:rFonts w:hint="eastAsia" w:ascii="宋体" w:hAnsi="宋体" w:eastAsia="宋体" w:cs="宋体"/>
          <w:b w:val="0"/>
          <w:bCs w:val="0"/>
          <w:color w:val="auto"/>
          <w:highlight w:val="none"/>
        </w:rPr>
      </w:pPr>
    </w:p>
    <w:p w14:paraId="451C0048">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符合性响应证明材料</w:t>
      </w:r>
    </w:p>
    <w:p w14:paraId="3C9D5885">
      <w:pPr>
        <w:pStyle w:val="2"/>
        <w:rPr>
          <w:rFonts w:hint="eastAsia" w:ascii="宋体" w:hAnsi="宋体" w:eastAsia="宋体" w:cs="宋体"/>
          <w:b w:val="0"/>
          <w:bCs w:val="0"/>
          <w:color w:val="auto"/>
          <w:highlight w:val="none"/>
        </w:rPr>
      </w:pPr>
    </w:p>
    <w:p w14:paraId="144549AC">
      <w:pPr>
        <w:rPr>
          <w:rFonts w:hint="eastAsia" w:ascii="宋体" w:hAnsi="宋体" w:eastAsia="宋体" w:cs="宋体"/>
          <w:b w:val="0"/>
          <w:bCs w:val="0"/>
          <w:color w:val="auto"/>
          <w:highlight w:val="none"/>
        </w:rPr>
      </w:pPr>
    </w:p>
    <w:p w14:paraId="0D30E8B0">
      <w:pPr>
        <w:pStyle w:val="2"/>
        <w:rPr>
          <w:rFonts w:hint="eastAsia" w:ascii="宋体" w:hAnsi="宋体" w:eastAsia="宋体" w:cs="宋体"/>
          <w:b w:val="0"/>
          <w:bCs w:val="0"/>
          <w:color w:val="auto"/>
          <w:highlight w:val="none"/>
        </w:rPr>
      </w:pPr>
    </w:p>
    <w:p w14:paraId="386D10B9">
      <w:pPr>
        <w:numPr>
          <w:ilvl w:val="0"/>
          <w:numId w:val="9"/>
        </w:numPr>
        <w:spacing w:line="400" w:lineRule="exact"/>
        <w:ind w:firstLine="565" w:firstLineChars="202"/>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其他有效证明材料</w:t>
      </w:r>
    </w:p>
    <w:p w14:paraId="72447448">
      <w:pPr>
        <w:pStyle w:val="57"/>
        <w:rPr>
          <w:rFonts w:hint="eastAsia" w:ascii="宋体" w:hAnsi="宋体" w:eastAsia="宋体" w:cs="宋体"/>
          <w:color w:val="auto"/>
          <w:highlight w:val="none"/>
        </w:rPr>
      </w:pPr>
    </w:p>
    <w:p w14:paraId="0FA7BD62">
      <w:pPr>
        <w:tabs>
          <w:tab w:val="left" w:pos="5040"/>
        </w:tabs>
        <w:spacing w:line="400" w:lineRule="exact"/>
        <w:rPr>
          <w:rFonts w:hint="eastAsia" w:ascii="宋体" w:hAnsi="宋体" w:eastAsia="宋体" w:cs="宋体"/>
          <w:color w:val="auto"/>
          <w:szCs w:val="21"/>
          <w:highlight w:val="none"/>
        </w:rPr>
      </w:pPr>
    </w:p>
    <w:p w14:paraId="1765494D">
      <w:pPr>
        <w:pStyle w:val="2"/>
        <w:rPr>
          <w:rFonts w:hint="eastAsia" w:ascii="宋体" w:hAnsi="宋体" w:eastAsia="宋体" w:cs="宋体"/>
          <w:color w:val="auto"/>
          <w:szCs w:val="21"/>
          <w:highlight w:val="none"/>
        </w:rPr>
      </w:pPr>
    </w:p>
    <w:p w14:paraId="60C1F098">
      <w:pPr>
        <w:pStyle w:val="2"/>
        <w:rPr>
          <w:rFonts w:hint="eastAsia" w:ascii="宋体" w:hAnsi="宋体" w:eastAsia="宋体" w:cs="宋体"/>
          <w:color w:val="auto"/>
          <w:szCs w:val="21"/>
          <w:highlight w:val="none"/>
        </w:rPr>
      </w:pPr>
    </w:p>
    <w:p w14:paraId="3C0791D6">
      <w:pPr>
        <w:pStyle w:val="2"/>
        <w:rPr>
          <w:rFonts w:hint="eastAsia" w:ascii="宋体" w:hAnsi="宋体" w:eastAsia="宋体" w:cs="宋体"/>
          <w:color w:val="auto"/>
          <w:szCs w:val="21"/>
          <w:highlight w:val="none"/>
        </w:rPr>
      </w:pPr>
    </w:p>
    <w:p w14:paraId="76F0DE86">
      <w:pPr>
        <w:pStyle w:val="2"/>
        <w:rPr>
          <w:rFonts w:hint="eastAsia" w:ascii="宋体" w:hAnsi="宋体" w:eastAsia="宋体" w:cs="宋体"/>
          <w:color w:val="auto"/>
          <w:szCs w:val="21"/>
          <w:highlight w:val="none"/>
        </w:rPr>
      </w:pPr>
    </w:p>
    <w:p w14:paraId="37C172CF">
      <w:pPr>
        <w:rPr>
          <w:rFonts w:hint="eastAsia" w:ascii="宋体" w:hAnsi="宋体" w:eastAsia="宋体" w:cs="宋体"/>
          <w:color w:val="auto"/>
          <w:szCs w:val="21"/>
          <w:highlight w:val="none"/>
        </w:rPr>
      </w:pPr>
    </w:p>
    <w:p w14:paraId="24631D1B">
      <w:pPr>
        <w:pStyle w:val="57"/>
        <w:rPr>
          <w:rFonts w:hint="eastAsia" w:ascii="宋体" w:hAnsi="宋体" w:eastAsia="宋体" w:cs="宋体"/>
          <w:color w:val="auto"/>
          <w:szCs w:val="21"/>
          <w:highlight w:val="none"/>
        </w:rPr>
      </w:pPr>
    </w:p>
    <w:p w14:paraId="7B9A8FE4">
      <w:pPr>
        <w:pStyle w:val="57"/>
        <w:rPr>
          <w:rFonts w:hint="eastAsia" w:ascii="宋体" w:hAnsi="宋体" w:eastAsia="宋体" w:cs="宋体"/>
          <w:color w:val="auto"/>
          <w:szCs w:val="21"/>
          <w:highlight w:val="none"/>
        </w:rPr>
      </w:pPr>
    </w:p>
    <w:p w14:paraId="718CF987">
      <w:pPr>
        <w:pStyle w:val="57"/>
        <w:rPr>
          <w:rFonts w:hint="eastAsia" w:ascii="宋体" w:hAnsi="宋体" w:eastAsia="宋体" w:cs="宋体"/>
          <w:color w:val="auto"/>
          <w:szCs w:val="21"/>
          <w:highlight w:val="none"/>
        </w:rPr>
      </w:pPr>
    </w:p>
    <w:p w14:paraId="10D17E47">
      <w:pPr>
        <w:pStyle w:val="57"/>
        <w:rPr>
          <w:rFonts w:hint="eastAsia" w:ascii="宋体" w:hAnsi="宋体" w:eastAsia="宋体" w:cs="宋体"/>
          <w:color w:val="auto"/>
          <w:szCs w:val="21"/>
          <w:highlight w:val="none"/>
        </w:rPr>
      </w:pPr>
    </w:p>
    <w:p w14:paraId="15D29025">
      <w:pPr>
        <w:pStyle w:val="57"/>
        <w:rPr>
          <w:rFonts w:hint="eastAsia" w:ascii="宋体" w:hAnsi="宋体" w:eastAsia="宋体" w:cs="宋体"/>
          <w:color w:val="auto"/>
          <w:szCs w:val="21"/>
          <w:highlight w:val="none"/>
        </w:rPr>
      </w:pPr>
    </w:p>
    <w:p w14:paraId="16696F9C">
      <w:pPr>
        <w:pStyle w:val="57"/>
        <w:rPr>
          <w:rFonts w:hint="eastAsia" w:ascii="宋体" w:hAnsi="宋体" w:eastAsia="宋体" w:cs="宋体"/>
          <w:color w:val="auto"/>
          <w:szCs w:val="21"/>
          <w:highlight w:val="none"/>
        </w:rPr>
      </w:pPr>
    </w:p>
    <w:p w14:paraId="4DCB726B">
      <w:pPr>
        <w:pStyle w:val="57"/>
        <w:rPr>
          <w:rFonts w:hint="eastAsia" w:ascii="宋体" w:hAnsi="宋体" w:eastAsia="宋体" w:cs="宋体"/>
          <w:color w:val="auto"/>
          <w:szCs w:val="21"/>
          <w:highlight w:val="none"/>
        </w:rPr>
      </w:pPr>
    </w:p>
    <w:p w14:paraId="0A5E30C0">
      <w:pPr>
        <w:pStyle w:val="57"/>
        <w:rPr>
          <w:rFonts w:hint="eastAsia" w:ascii="宋体" w:hAnsi="宋体" w:eastAsia="宋体" w:cs="宋体"/>
          <w:color w:val="auto"/>
          <w:szCs w:val="21"/>
          <w:highlight w:val="none"/>
        </w:rPr>
      </w:pPr>
    </w:p>
    <w:p w14:paraId="3DB3B133">
      <w:pPr>
        <w:pStyle w:val="57"/>
        <w:rPr>
          <w:rFonts w:hint="eastAsia" w:ascii="宋体" w:hAnsi="宋体" w:eastAsia="宋体" w:cs="宋体"/>
          <w:color w:val="auto"/>
          <w:szCs w:val="21"/>
          <w:highlight w:val="none"/>
        </w:rPr>
      </w:pPr>
    </w:p>
    <w:p w14:paraId="723F95A7">
      <w:pPr>
        <w:pStyle w:val="57"/>
        <w:rPr>
          <w:rFonts w:hint="eastAsia" w:ascii="宋体" w:hAnsi="宋体" w:eastAsia="宋体" w:cs="宋体"/>
          <w:color w:val="auto"/>
          <w:szCs w:val="21"/>
          <w:highlight w:val="none"/>
        </w:rPr>
      </w:pPr>
    </w:p>
    <w:p w14:paraId="63C03596">
      <w:pPr>
        <w:pStyle w:val="57"/>
        <w:rPr>
          <w:rFonts w:hint="eastAsia" w:ascii="宋体" w:hAnsi="宋体" w:eastAsia="宋体" w:cs="宋体"/>
          <w:color w:val="auto"/>
          <w:szCs w:val="21"/>
          <w:highlight w:val="none"/>
        </w:rPr>
      </w:pPr>
    </w:p>
    <w:p w14:paraId="1A451B18">
      <w:pPr>
        <w:pStyle w:val="57"/>
        <w:rPr>
          <w:rFonts w:hint="eastAsia" w:ascii="宋体" w:hAnsi="宋体" w:eastAsia="宋体" w:cs="宋体"/>
          <w:color w:val="auto"/>
          <w:szCs w:val="21"/>
          <w:highlight w:val="none"/>
        </w:rPr>
      </w:pPr>
    </w:p>
    <w:p w14:paraId="2779915F">
      <w:pPr>
        <w:pStyle w:val="57"/>
        <w:rPr>
          <w:rFonts w:hint="eastAsia" w:ascii="宋体" w:hAnsi="宋体" w:eastAsia="宋体" w:cs="宋体"/>
          <w:color w:val="auto"/>
          <w:szCs w:val="21"/>
          <w:highlight w:val="none"/>
        </w:rPr>
      </w:pPr>
    </w:p>
    <w:p w14:paraId="28ABBB86">
      <w:pPr>
        <w:pStyle w:val="57"/>
        <w:rPr>
          <w:rFonts w:hint="eastAsia" w:ascii="宋体" w:hAnsi="宋体" w:eastAsia="宋体" w:cs="宋体"/>
          <w:color w:val="auto"/>
          <w:szCs w:val="21"/>
          <w:highlight w:val="none"/>
        </w:rPr>
      </w:pPr>
    </w:p>
    <w:p w14:paraId="75E5D633">
      <w:pPr>
        <w:rPr>
          <w:rFonts w:hint="eastAsia" w:ascii="宋体" w:hAnsi="宋体" w:eastAsia="宋体" w:cs="宋体"/>
          <w:color w:val="auto"/>
          <w:highlight w:val="none"/>
        </w:rPr>
      </w:pPr>
      <w:bookmarkStart w:id="154" w:name="_Toc11067"/>
      <w:bookmarkStart w:id="155" w:name="_Toc497927071"/>
      <w:bookmarkStart w:id="156" w:name="_Toc7185"/>
    </w:p>
    <w:p w14:paraId="3CC70164">
      <w:pPr>
        <w:widowControl/>
        <w:jc w:val="left"/>
        <w:rPr>
          <w:rFonts w:hint="eastAsia" w:ascii="宋体" w:hAnsi="宋体" w:eastAsia="宋体" w:cs="宋体"/>
          <w:b/>
          <w:bCs/>
          <w:color w:val="auto"/>
          <w:sz w:val="32"/>
          <w:szCs w:val="32"/>
          <w:highlight w:val="none"/>
        </w:rPr>
      </w:pPr>
    </w:p>
    <w:p w14:paraId="0A13A3C5">
      <w:pPr>
        <w:pStyle w:val="37"/>
        <w:rPr>
          <w:rFonts w:hint="eastAsia" w:ascii="宋体" w:hAnsi="宋体" w:eastAsia="宋体" w:cs="宋体"/>
          <w:b/>
          <w:bCs/>
          <w:color w:val="auto"/>
          <w:sz w:val="32"/>
          <w:szCs w:val="32"/>
          <w:highlight w:val="none"/>
        </w:rPr>
      </w:pPr>
    </w:p>
    <w:p w14:paraId="31766711">
      <w:pPr>
        <w:rPr>
          <w:rFonts w:hint="eastAsia" w:ascii="宋体" w:hAnsi="宋体" w:eastAsia="宋体" w:cs="宋体"/>
          <w:color w:val="auto"/>
          <w:highlight w:val="none"/>
        </w:rPr>
      </w:pPr>
    </w:p>
    <w:p w14:paraId="7751C59E">
      <w:pPr>
        <w:pStyle w:val="6"/>
        <w:jc w:val="center"/>
        <w:rPr>
          <w:rFonts w:hint="eastAsia" w:ascii="宋体" w:hAnsi="宋体" w:eastAsia="宋体" w:cs="宋体"/>
          <w:color w:val="auto"/>
          <w:szCs w:val="21"/>
          <w:highlight w:val="none"/>
        </w:rPr>
      </w:pPr>
      <w:r>
        <w:rPr>
          <w:rFonts w:hint="eastAsia" w:ascii="宋体" w:hAnsi="宋体" w:eastAsia="宋体" w:cs="宋体"/>
          <w:color w:val="auto"/>
          <w:sz w:val="32"/>
          <w:szCs w:val="32"/>
          <w:highlight w:val="none"/>
        </w:rPr>
        <w:t>（一）资格性响应证明材料目录</w:t>
      </w:r>
      <w:bookmarkEnd w:id="154"/>
      <w:bookmarkEnd w:id="155"/>
      <w:bookmarkEnd w:id="156"/>
    </w:p>
    <w:p w14:paraId="5189EAE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87D5C0A">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w:t>
      </w:r>
      <w:r>
        <w:rPr>
          <w:rFonts w:hint="eastAsia" w:ascii="宋体" w:hAnsi="宋体" w:cs="宋体"/>
          <w:b/>
          <w:bCs/>
          <w:color w:val="auto"/>
          <w:szCs w:val="21"/>
          <w:highlight w:val="none"/>
          <w:lang w:val="en-US" w:eastAsia="zh-CN"/>
        </w:rPr>
        <w:t>2025年1月以来</w:t>
      </w:r>
      <w:r>
        <w:rPr>
          <w:rFonts w:hint="eastAsia" w:ascii="宋体" w:hAnsi="宋体" w:eastAsia="宋体" w:cs="宋体"/>
          <w:color w:val="auto"/>
          <w:szCs w:val="21"/>
          <w:highlight w:val="none"/>
        </w:rPr>
        <w:t>连续</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个月社保证明复印件</w:t>
      </w:r>
      <w:r>
        <w:rPr>
          <w:rFonts w:hint="eastAsia" w:ascii="宋体" w:hAnsi="宋体" w:cs="宋体"/>
          <w:color w:val="auto"/>
          <w:szCs w:val="21"/>
          <w:highlight w:val="none"/>
        </w:rPr>
        <w:t>，除供应商为以下三种情形的：</w:t>
      </w:r>
    </w:p>
    <w:p w14:paraId="1073EF2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①如供应商为截标时间前60日以内成立的公司，可以提供供应商与委托代理人签订的劳动合同复印件代替社保证明复印件；</w:t>
      </w:r>
    </w:p>
    <w:p w14:paraId="011B87E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②如供应商为事业单位，可以提供事业单位机构编制管理证复印件或事业单位机构为其发放工资的工资条复印件代替社保证明复印件；</w:t>
      </w:r>
    </w:p>
    <w:p w14:paraId="6991F9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③如委托代理人为免缴纳社保人员，提供免缴纳社保的证明材料复印件及供应商与委托代理人签订的劳动合同复印件代替社保证明复印件。</w:t>
      </w:r>
    </w:p>
    <w:p w14:paraId="1ABDCA20">
      <w:pPr>
        <w:spacing w:line="400" w:lineRule="exact"/>
        <w:ind w:firstLine="420"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w:t>
      </w:r>
      <w:r>
        <w:rPr>
          <w:rFonts w:hint="eastAsia" w:ascii="宋体" w:hAnsi="宋体" w:cs="宋体"/>
          <w:b/>
          <w:bCs/>
          <w:color w:val="auto"/>
          <w:szCs w:val="21"/>
          <w:highlight w:val="none"/>
          <w:lang w:val="en-US" w:eastAsia="zh-CN"/>
        </w:rPr>
        <w:t>2025年1月以来</w:t>
      </w:r>
      <w:r>
        <w:rPr>
          <w:rFonts w:hint="eastAsia" w:ascii="宋体" w:hAnsi="宋体" w:eastAsia="宋体" w:cs="宋体"/>
          <w:b/>
          <w:bCs/>
          <w:color w:val="auto"/>
          <w:szCs w:val="21"/>
          <w:highlight w:val="none"/>
        </w:rPr>
        <w:t>连续</w:t>
      </w: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p>
    <w:p w14:paraId="00D9F1F3">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78639E1B">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（4）供应商的法人或者其他组织营业执照等证明文件复印件</w:t>
      </w:r>
      <w:r>
        <w:rPr>
          <w:rFonts w:hint="eastAsia" w:ascii="宋体" w:hAnsi="宋体" w:eastAsia="宋体" w:cs="宋体"/>
          <w:b/>
          <w:bCs/>
          <w:color w:val="auto"/>
          <w:szCs w:val="21"/>
          <w:highlight w:val="none"/>
        </w:rPr>
        <w:t>（必须提供，自然人除外）；</w:t>
      </w:r>
    </w:p>
    <w:p w14:paraId="57316250">
      <w:pPr>
        <w:spacing w:line="400" w:lineRule="exact"/>
        <w:ind w:firstLine="420"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7FF169E">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31680"/>
        <w:textAlignment w:val="auto"/>
        <w:rPr>
          <w:rFonts w:hint="eastAsia" w:ascii="宋体" w:hAnsi="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（5）供应商2024年度的财务状况报告（或银行出具的资信证明）复印件</w:t>
      </w:r>
      <w:r>
        <w:rPr>
          <w:rFonts w:hint="eastAsia" w:ascii="宋体" w:hAnsi="宋体" w:cs="宋体"/>
          <w:b/>
          <w:bCs/>
          <w:color w:val="auto"/>
          <w:szCs w:val="21"/>
          <w:highlight w:val="none"/>
          <w:lang w:val="en-US" w:eastAsia="zh-CN"/>
        </w:rPr>
        <w:t>（必须提供，若为新成立的企业，请根据实际情况提供）；</w:t>
      </w:r>
    </w:p>
    <w:p w14:paraId="4938ED87">
      <w:pPr>
        <w:tabs>
          <w:tab w:val="left" w:pos="1305"/>
        </w:tabs>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6）</w:t>
      </w:r>
      <w:r>
        <w:rPr>
          <w:rFonts w:hint="eastAsia" w:ascii="宋体" w:hAnsi="宋体" w:eastAsia="宋体" w:cs="宋体"/>
          <w:b w:val="0"/>
          <w:bCs w:val="0"/>
          <w:color w:val="auto"/>
          <w:sz w:val="21"/>
          <w:szCs w:val="21"/>
          <w:highlight w:val="none"/>
        </w:rPr>
        <w:t>供应商符合《政府采购促进中小企业发展管理办法》(财库〔2020〕46号)第二条规定。监狱企业、残疾人福利单位视同小型、微型企业。供应商根据自身情况，提供以下任一证明材料</w:t>
      </w:r>
      <w:r>
        <w:rPr>
          <w:rFonts w:hint="eastAsia" w:ascii="宋体" w:hAnsi="宋体" w:eastAsia="宋体" w:cs="宋体"/>
          <w:b/>
          <w:bCs/>
          <w:color w:val="auto"/>
          <w:sz w:val="21"/>
          <w:szCs w:val="21"/>
          <w:highlight w:val="none"/>
        </w:rPr>
        <w:t>（必须提供）</w:t>
      </w:r>
      <w:r>
        <w:rPr>
          <w:rFonts w:hint="eastAsia" w:ascii="宋体" w:hAnsi="宋体" w:eastAsia="宋体" w:cs="宋体"/>
          <w:b/>
          <w:bCs/>
          <w:color w:val="auto"/>
          <w:sz w:val="21"/>
          <w:szCs w:val="21"/>
          <w:highlight w:val="none"/>
          <w:lang w:eastAsia="zh-CN"/>
        </w:rPr>
        <w:t>。</w:t>
      </w:r>
    </w:p>
    <w:p w14:paraId="20D131C5">
      <w:pPr>
        <w:tabs>
          <w:tab w:val="left" w:pos="1305"/>
        </w:tabs>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①供应商如为符合政策要求的中小企业且承接本项目全部服务的，提供《中小企业声明函》。</w:t>
      </w:r>
    </w:p>
    <w:p w14:paraId="429670ED">
      <w:pPr>
        <w:tabs>
          <w:tab w:val="left" w:pos="1305"/>
        </w:tabs>
        <w:spacing w:line="440" w:lineRule="exact"/>
        <w:ind w:firstLine="420" w:firstLineChars="200"/>
        <w:jc w:val="left"/>
        <w:rPr>
          <w:rFonts w:hint="eastAsia" w:ascii="宋体" w:hAnsi="宋体" w:cs="宋体"/>
          <w:kern w:val="0"/>
          <w:szCs w:val="21"/>
        </w:rPr>
      </w:pPr>
      <w:r>
        <w:rPr>
          <w:rFonts w:hint="eastAsia" w:ascii="宋体" w:hAnsi="宋体" w:cs="宋体"/>
          <w:kern w:val="0"/>
          <w:szCs w:val="21"/>
        </w:rPr>
        <w:t>②供应商如属于监狱企业且承接本项目全部服务的，提供由省级以上监狱管理局、戒毒管理局(含新疆生产建设兵团)出具的属于监狱企业的证明文件。</w:t>
      </w:r>
    </w:p>
    <w:p w14:paraId="069D1121">
      <w:pPr>
        <w:tabs>
          <w:tab w:val="left" w:pos="1305"/>
        </w:tabs>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kern w:val="0"/>
          <w:szCs w:val="21"/>
        </w:rPr>
        <w:t>③供应商如属于符合条件的残疾人福利性单位且承接本项目全部服务的，提供《残疾人福利性单位声明函》（并对声明的真实性负责）。</w:t>
      </w:r>
    </w:p>
    <w:p w14:paraId="021A4446">
      <w:pPr>
        <w:pStyle w:val="17"/>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28"/>
          <w:szCs w:val="18"/>
          <w:highlight w:val="none"/>
        </w:rPr>
        <w:t>1.供应商相应的法定代表人、负责人、自然人身份证正反两面复印件（必须提供）</w:t>
      </w:r>
    </w:p>
    <w:p w14:paraId="679F21A4">
      <w:pPr>
        <w:pStyle w:val="17"/>
        <w:ind w:firstLine="627" w:firstLineChars="196"/>
        <w:jc w:val="center"/>
        <w:rPr>
          <w:rFonts w:hint="eastAsia" w:ascii="宋体" w:hAnsi="宋体" w:eastAsia="宋体" w:cs="宋体"/>
          <w:b/>
          <w:color w:val="auto"/>
          <w:sz w:val="32"/>
          <w:highlight w:val="none"/>
        </w:rPr>
      </w:pPr>
    </w:p>
    <w:p w14:paraId="5F1E49C9">
      <w:pPr>
        <w:spacing w:line="360" w:lineRule="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2.供应商的授权委托书原件、委托代理人身份证正反面复印件以及由县级以上（含县级）社会养老保险经办机构出具的供应商为委托代理人交纳的</w:t>
      </w:r>
      <w:r>
        <w:rPr>
          <w:rFonts w:hint="eastAsia" w:hAnsi="宋体" w:cs="宋体"/>
          <w:b/>
          <w:color w:val="auto"/>
          <w:sz w:val="28"/>
          <w:szCs w:val="22"/>
          <w:highlight w:val="none"/>
          <w:lang w:val="en-US" w:eastAsia="zh-CN"/>
        </w:rPr>
        <w:t>2025年1月以来</w:t>
      </w:r>
      <w:r>
        <w:rPr>
          <w:rFonts w:hint="eastAsia" w:ascii="宋体" w:hAnsi="宋体" w:eastAsia="宋体" w:cs="宋体"/>
          <w:b/>
          <w:color w:val="auto"/>
          <w:sz w:val="28"/>
          <w:szCs w:val="22"/>
          <w:highlight w:val="none"/>
        </w:rPr>
        <w:t>连续</w:t>
      </w:r>
      <w:r>
        <w:rPr>
          <w:rFonts w:hint="eastAsia" w:ascii="宋体" w:hAnsi="宋体" w:eastAsia="宋体" w:cs="宋体"/>
          <w:b/>
          <w:color w:val="auto"/>
          <w:sz w:val="28"/>
          <w:szCs w:val="22"/>
          <w:highlight w:val="none"/>
          <w:lang w:val="en-US" w:eastAsia="zh-CN"/>
        </w:rPr>
        <w:t>三</w:t>
      </w:r>
      <w:r>
        <w:rPr>
          <w:rFonts w:hint="eastAsia" w:ascii="宋体" w:hAnsi="宋体" w:eastAsia="宋体" w:cs="宋体"/>
          <w:b/>
          <w:color w:val="auto"/>
          <w:sz w:val="28"/>
          <w:szCs w:val="22"/>
          <w:highlight w:val="none"/>
        </w:rPr>
        <w:t>个月社保证明复印件，除供应商为以下三种情形的：</w:t>
      </w:r>
    </w:p>
    <w:p w14:paraId="63071A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（1）如供应商为截标时间前 60 日以内成立的公司，可以提供供应商与委托代理人签订的劳动合同复印件代替社保证明复印件；</w:t>
      </w:r>
    </w:p>
    <w:p w14:paraId="6AE97A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（2）如供应商为事业单位，可以提供事业单位机构编制管理证复印件或事业单位机构为其发放工资的工资条复印件代替社保证明复印件；</w:t>
      </w:r>
    </w:p>
    <w:p w14:paraId="0DBFC4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（3）如委托代理人为免缴纳社保人员，提供免缴纳社保的证明材料复印件及供应商与委托代理人签订的劳动合同复印件代替社保证明复印件。</w:t>
      </w:r>
    </w:p>
    <w:p w14:paraId="49278740">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【属自然人的应提供由县级以上（含县级）社会养老保险经办机构出具的自然人本人及委托代理人所交纳的</w:t>
      </w:r>
      <w:r>
        <w:rPr>
          <w:rFonts w:hint="eastAsia" w:hAnsi="宋体" w:cs="宋体"/>
          <w:b/>
          <w:color w:val="auto"/>
          <w:sz w:val="24"/>
          <w:szCs w:val="16"/>
          <w:highlight w:val="none"/>
          <w:lang w:val="en-US" w:eastAsia="zh-CN"/>
        </w:rPr>
        <w:t>2025年1月以来</w:t>
      </w:r>
      <w:r>
        <w:rPr>
          <w:rFonts w:hint="eastAsia" w:ascii="宋体" w:hAnsi="宋体" w:eastAsia="宋体" w:cs="宋体"/>
          <w:b/>
          <w:color w:val="auto"/>
          <w:sz w:val="24"/>
          <w:szCs w:val="16"/>
          <w:highlight w:val="none"/>
        </w:rPr>
        <w:t>连续</w:t>
      </w:r>
      <w:r>
        <w:rPr>
          <w:rFonts w:hint="eastAsia" w:ascii="宋体" w:hAnsi="宋体" w:eastAsia="宋体" w:cs="宋体"/>
          <w:b/>
          <w:color w:val="auto"/>
          <w:sz w:val="24"/>
          <w:szCs w:val="16"/>
          <w:highlight w:val="none"/>
          <w:lang w:val="en-US" w:eastAsia="zh-CN"/>
        </w:rPr>
        <w:t>三</w:t>
      </w:r>
      <w:r>
        <w:rPr>
          <w:rFonts w:hint="eastAsia" w:ascii="宋体" w:hAnsi="宋体" w:eastAsia="宋体" w:cs="宋体"/>
          <w:b/>
          <w:color w:val="auto"/>
          <w:sz w:val="24"/>
          <w:szCs w:val="16"/>
          <w:highlight w:val="none"/>
        </w:rPr>
        <w:t>个月社保证明复印件】（委托代理时必须提供）</w:t>
      </w:r>
    </w:p>
    <w:p w14:paraId="1FEF3DC5">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 xml:space="preserve">附件：            </w:t>
      </w:r>
    </w:p>
    <w:p w14:paraId="772D003B">
      <w:pPr>
        <w:pStyle w:val="17"/>
        <w:ind w:firstLine="627" w:firstLineChars="196"/>
        <w:jc w:val="center"/>
        <w:rPr>
          <w:rFonts w:hint="eastAsia" w:ascii="宋体" w:hAnsi="宋体" w:eastAsia="宋体" w:cs="宋体"/>
          <w:b/>
          <w:color w:val="auto"/>
          <w:sz w:val="32"/>
          <w:highlight w:val="none"/>
        </w:rPr>
      </w:pPr>
      <w:bookmarkStart w:id="157" w:name="_Toc5420_WPSOffice_Level1"/>
      <w:bookmarkStart w:id="158" w:name="_Toc964_WPSOffice_Level1"/>
      <w:r>
        <w:rPr>
          <w:rFonts w:hint="eastAsia" w:ascii="宋体" w:hAnsi="宋体" w:eastAsia="宋体" w:cs="宋体"/>
          <w:b/>
          <w:color w:val="auto"/>
          <w:sz w:val="32"/>
          <w:highlight w:val="none"/>
        </w:rPr>
        <w:t>授权委托书（格式一）</w:t>
      </w:r>
      <w:bookmarkEnd w:id="157"/>
      <w:bookmarkEnd w:id="158"/>
    </w:p>
    <w:p w14:paraId="72D53F0D">
      <w:pPr>
        <w:pStyle w:val="17"/>
        <w:rPr>
          <w:rFonts w:hint="eastAsia" w:ascii="宋体" w:hAnsi="宋体" w:eastAsia="宋体" w:cs="宋体"/>
          <w:color w:val="auto"/>
          <w:highlight w:val="none"/>
        </w:rPr>
      </w:pPr>
    </w:p>
    <w:p w14:paraId="2F338947">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广西鼎誉工程咨询有限公司</w:t>
      </w:r>
      <w:r>
        <w:rPr>
          <w:rFonts w:hint="eastAsia" w:ascii="宋体" w:hAnsi="宋体" w:eastAsia="宋体" w:cs="宋体"/>
          <w:color w:val="auto"/>
          <w:szCs w:val="21"/>
          <w:highlight w:val="none"/>
          <w:u w:val="single"/>
        </w:rPr>
        <w:t xml:space="preserve"> </w:t>
      </w:r>
    </w:p>
    <w:p w14:paraId="16D1C0BD">
      <w:pPr>
        <w:spacing w:line="400" w:lineRule="exact"/>
        <w:rPr>
          <w:rFonts w:hint="eastAsia" w:ascii="宋体" w:hAnsi="宋体" w:eastAsia="宋体" w:cs="宋体"/>
          <w:color w:val="auto"/>
          <w:szCs w:val="21"/>
          <w:highlight w:val="none"/>
        </w:rPr>
      </w:pPr>
    </w:p>
    <w:p w14:paraId="4A595FA9">
      <w:pPr>
        <w:pStyle w:val="17"/>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2D2C0C3C">
      <w:pPr>
        <w:pStyle w:val="17"/>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4C03F129">
      <w:pPr>
        <w:pStyle w:val="17"/>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5DBE26D0">
      <w:pPr>
        <w:pStyle w:val="17"/>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471A905">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23295FDF">
      <w:pPr>
        <w:spacing w:line="400" w:lineRule="exact"/>
        <w:ind w:firstLine="420" w:firstLineChars="200"/>
        <w:rPr>
          <w:rFonts w:hint="eastAsia" w:ascii="宋体" w:hAnsi="宋体" w:eastAsia="宋体" w:cs="宋体"/>
          <w:color w:val="auto"/>
          <w:kern w:val="0"/>
          <w:highlight w:val="none"/>
        </w:rPr>
      </w:pPr>
    </w:p>
    <w:p w14:paraId="2D3F138D">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0716EF87">
      <w:pPr>
        <w:spacing w:line="400" w:lineRule="exact"/>
        <w:ind w:firstLine="420" w:firstLineChars="200"/>
        <w:rPr>
          <w:rFonts w:hint="eastAsia" w:ascii="宋体" w:hAnsi="宋体" w:eastAsia="宋体" w:cs="宋体"/>
          <w:color w:val="auto"/>
          <w:szCs w:val="21"/>
          <w:highlight w:val="none"/>
        </w:rPr>
      </w:pPr>
    </w:p>
    <w:p w14:paraId="08949352">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供应商[公章（CA签章）]：</w:t>
      </w:r>
      <w:r>
        <w:rPr>
          <w:rFonts w:hint="eastAsia" w:ascii="宋体" w:hAnsi="宋体" w:eastAsia="宋体" w:cs="宋体"/>
          <w:color w:val="auto"/>
          <w:szCs w:val="21"/>
          <w:highlight w:val="none"/>
          <w:u w:val="single"/>
        </w:rPr>
        <w:t xml:space="preserve">                                   </w:t>
      </w:r>
    </w:p>
    <w:p w14:paraId="296B5FDC">
      <w:pPr>
        <w:snapToGrid w:val="0"/>
        <w:spacing w:line="400" w:lineRule="exact"/>
        <w:ind w:firstLine="420"/>
        <w:rPr>
          <w:rFonts w:hint="eastAsia" w:ascii="宋体" w:hAnsi="宋体" w:eastAsia="宋体" w:cs="宋体"/>
          <w:color w:val="auto"/>
          <w:szCs w:val="21"/>
          <w:highlight w:val="none"/>
        </w:rPr>
      </w:pPr>
    </w:p>
    <w:p w14:paraId="119DCA9A">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0D6CE81">
      <w:pPr>
        <w:pStyle w:val="2"/>
        <w:rPr>
          <w:rFonts w:hint="eastAsia" w:ascii="宋体" w:hAnsi="宋体" w:eastAsia="宋体" w:cs="宋体"/>
          <w:color w:val="auto"/>
          <w:highlight w:val="none"/>
        </w:rPr>
      </w:pPr>
    </w:p>
    <w:p w14:paraId="490874D9">
      <w:pPr>
        <w:spacing w:line="440" w:lineRule="atLeas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附：供应商的授权委托书原件、委托代理人身份证正反面复印件以及由县级以上（含县级）社会养老保险经办机构出具的供应商为委托代理人交纳的</w:t>
      </w:r>
      <w:r>
        <w:rPr>
          <w:rFonts w:hint="eastAsia" w:ascii="宋体" w:hAnsi="宋体" w:cs="宋体"/>
          <w:b/>
          <w:color w:val="auto"/>
          <w:szCs w:val="21"/>
          <w:highlight w:val="none"/>
          <w:lang w:val="en-US" w:eastAsia="zh-CN"/>
        </w:rPr>
        <w:t>2024年1月以来</w:t>
      </w:r>
      <w:r>
        <w:rPr>
          <w:rFonts w:hint="eastAsia" w:ascii="宋体" w:hAnsi="宋体" w:eastAsia="宋体" w:cs="宋体"/>
          <w:b/>
          <w:color w:val="auto"/>
          <w:szCs w:val="21"/>
          <w:highlight w:val="none"/>
        </w:rPr>
        <w:t>连续</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个月社保证明复印件</w:t>
      </w:r>
      <w:r>
        <w:rPr>
          <w:rFonts w:hint="eastAsia" w:ascii="宋体" w:hAnsi="宋体" w:eastAsia="宋体" w:cs="宋体"/>
          <w:b/>
          <w:color w:val="auto"/>
          <w:szCs w:val="21"/>
          <w:highlight w:val="none"/>
          <w:lang w:eastAsia="zh-CN"/>
        </w:rPr>
        <w:t>。</w:t>
      </w:r>
    </w:p>
    <w:p w14:paraId="2BEAEE70">
      <w:pPr>
        <w:pStyle w:val="17"/>
        <w:rPr>
          <w:rFonts w:hint="eastAsia" w:ascii="宋体" w:hAnsi="宋体" w:eastAsia="宋体" w:cs="宋体"/>
          <w:b/>
          <w:color w:val="auto"/>
          <w:sz w:val="32"/>
          <w:highlight w:val="none"/>
        </w:rPr>
      </w:pPr>
      <w:bookmarkStart w:id="159" w:name="_Toc21370_WPSOffice_Level1"/>
      <w:bookmarkStart w:id="160" w:name="_Toc6975_WPSOffice_Level1"/>
    </w:p>
    <w:p w14:paraId="6FFDF376">
      <w:pPr>
        <w:pStyle w:val="17"/>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授权委托书（格式二）</w:t>
      </w:r>
      <w:bookmarkEnd w:id="159"/>
      <w:bookmarkEnd w:id="160"/>
    </w:p>
    <w:p w14:paraId="7011DEAB">
      <w:pPr>
        <w:pStyle w:val="17"/>
        <w:rPr>
          <w:rFonts w:hint="eastAsia" w:ascii="宋体" w:hAnsi="宋体" w:eastAsia="宋体" w:cs="宋体"/>
          <w:b/>
          <w:color w:val="auto"/>
          <w:sz w:val="32"/>
          <w:highlight w:val="none"/>
        </w:rPr>
      </w:pPr>
    </w:p>
    <w:p w14:paraId="7E86D617">
      <w:pPr>
        <w:pStyle w:val="17"/>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广西鼎誉工程咨询有限公司</w:t>
      </w:r>
      <w:r>
        <w:rPr>
          <w:rFonts w:hint="eastAsia" w:ascii="宋体" w:hAnsi="宋体" w:eastAsia="宋体" w:cs="宋体"/>
          <w:color w:val="auto"/>
          <w:szCs w:val="21"/>
          <w:highlight w:val="none"/>
          <w:u w:val="single"/>
        </w:rPr>
        <w:t xml:space="preserve"> </w:t>
      </w:r>
    </w:p>
    <w:p w14:paraId="465C92DB">
      <w:pPr>
        <w:rPr>
          <w:rFonts w:hint="eastAsia" w:ascii="宋体" w:hAnsi="宋体" w:eastAsia="宋体" w:cs="宋体"/>
          <w:color w:val="auto"/>
          <w:highlight w:val="none"/>
        </w:rPr>
      </w:pPr>
    </w:p>
    <w:p w14:paraId="12A1958A">
      <w:pPr>
        <w:pStyle w:val="1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4F82CD1E">
      <w:pPr>
        <w:pStyle w:val="1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54D3905B">
      <w:pPr>
        <w:pStyle w:val="17"/>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64CFB0DC">
      <w:pPr>
        <w:pStyle w:val="17"/>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7C571BD">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75AA946">
      <w:pPr>
        <w:spacing w:line="340" w:lineRule="exact"/>
        <w:ind w:firstLine="420" w:firstLineChars="200"/>
        <w:rPr>
          <w:rFonts w:hint="eastAsia" w:ascii="宋体" w:hAnsi="宋体" w:eastAsia="宋体" w:cs="宋体"/>
          <w:color w:val="auto"/>
          <w:kern w:val="0"/>
          <w:highlight w:val="none"/>
        </w:rPr>
      </w:pPr>
    </w:p>
    <w:p w14:paraId="11DB01D6">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2310A906">
      <w:pPr>
        <w:spacing w:line="340" w:lineRule="exact"/>
        <w:ind w:firstLine="420" w:firstLineChars="200"/>
        <w:rPr>
          <w:rFonts w:hint="eastAsia" w:ascii="宋体" w:hAnsi="宋体" w:eastAsia="宋体" w:cs="宋体"/>
          <w:color w:val="auto"/>
          <w:szCs w:val="21"/>
          <w:highlight w:val="none"/>
        </w:rPr>
      </w:pPr>
    </w:p>
    <w:p w14:paraId="43549833">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自然人签字并在签名处加盖大拇指指印或个人CA签章：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1CE3B53">
      <w:pPr>
        <w:pStyle w:val="17"/>
        <w:spacing w:line="400" w:lineRule="exact"/>
        <w:ind w:left="420" w:leftChars="200"/>
        <w:rPr>
          <w:rFonts w:hint="eastAsia" w:ascii="宋体" w:hAnsi="宋体" w:eastAsia="宋体" w:cs="宋体"/>
          <w:color w:val="auto"/>
          <w:szCs w:val="21"/>
          <w:highlight w:val="none"/>
        </w:rPr>
      </w:pPr>
    </w:p>
    <w:p w14:paraId="01F5F475">
      <w:pPr>
        <w:pStyle w:val="17"/>
        <w:spacing w:line="400" w:lineRule="exac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附：委托代理人身份证正反面复印件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提供由县级以上（含县级）社会养老保险经办机构出具的自然人本人及委托代理人所交纳的</w:t>
      </w:r>
      <w:r>
        <w:rPr>
          <w:rFonts w:hint="eastAsia" w:hAnsi="宋体" w:cs="宋体"/>
          <w:b/>
          <w:color w:val="auto"/>
          <w:szCs w:val="21"/>
          <w:highlight w:val="none"/>
          <w:lang w:val="en-US" w:eastAsia="zh-CN"/>
        </w:rPr>
        <w:t>2024年1月以来</w:t>
      </w:r>
      <w:r>
        <w:rPr>
          <w:rFonts w:hint="eastAsia" w:ascii="宋体" w:hAnsi="宋体" w:eastAsia="宋体" w:cs="宋体"/>
          <w:b/>
          <w:color w:val="auto"/>
          <w:szCs w:val="21"/>
          <w:highlight w:val="none"/>
        </w:rPr>
        <w:t>连续</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个月社保证明复印件</w:t>
      </w:r>
      <w:r>
        <w:rPr>
          <w:rFonts w:hint="eastAsia" w:ascii="宋体" w:hAnsi="宋体" w:eastAsia="宋体" w:cs="宋体"/>
          <w:b/>
          <w:color w:val="auto"/>
          <w:szCs w:val="21"/>
          <w:highlight w:val="none"/>
          <w:lang w:eastAsia="zh-CN"/>
        </w:rPr>
        <w:t>。</w:t>
      </w:r>
    </w:p>
    <w:p w14:paraId="07055FF3">
      <w:pPr>
        <w:pStyle w:val="17"/>
        <w:spacing w:line="400" w:lineRule="exact"/>
        <w:rPr>
          <w:rFonts w:hint="eastAsia" w:ascii="宋体" w:hAnsi="宋体" w:eastAsia="宋体" w:cs="宋体"/>
          <w:b/>
          <w:color w:val="auto"/>
          <w:szCs w:val="21"/>
          <w:highlight w:val="none"/>
        </w:rPr>
      </w:pPr>
    </w:p>
    <w:p w14:paraId="456E966A">
      <w:pPr>
        <w:pStyle w:val="2"/>
        <w:rPr>
          <w:rFonts w:hint="eastAsia" w:ascii="宋体" w:hAnsi="宋体" w:eastAsia="宋体" w:cs="宋体"/>
          <w:b/>
          <w:color w:val="auto"/>
          <w:szCs w:val="21"/>
          <w:highlight w:val="none"/>
        </w:rPr>
      </w:pPr>
    </w:p>
    <w:p w14:paraId="790BFFAE">
      <w:pPr>
        <w:pStyle w:val="2"/>
        <w:rPr>
          <w:rFonts w:hint="eastAsia" w:ascii="宋体" w:hAnsi="宋体" w:eastAsia="宋体" w:cs="宋体"/>
          <w:b/>
          <w:color w:val="auto"/>
          <w:szCs w:val="21"/>
          <w:highlight w:val="none"/>
        </w:rPr>
      </w:pPr>
    </w:p>
    <w:p w14:paraId="03124C8D">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3.供应商参加政府采购活动前3年内在经营活动中没有重大违法记录及有关信用信息的书面声明（必须提供）</w:t>
      </w:r>
    </w:p>
    <w:p w14:paraId="529F2A48">
      <w:pPr>
        <w:pStyle w:val="17"/>
        <w:spacing w:line="400" w:lineRule="exact"/>
        <w:ind w:left="420" w:leftChars="200" w:firstLine="156"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7E90F004">
      <w:pPr>
        <w:pStyle w:val="17"/>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14:paraId="77765336">
      <w:pPr>
        <w:pStyle w:val="17"/>
        <w:spacing w:line="400" w:lineRule="exact"/>
        <w:jc w:val="center"/>
        <w:rPr>
          <w:rFonts w:hint="eastAsia" w:ascii="宋体" w:hAnsi="宋体" w:eastAsia="宋体" w:cs="宋体"/>
          <w:b/>
          <w:color w:val="auto"/>
          <w:sz w:val="32"/>
          <w:szCs w:val="32"/>
          <w:highlight w:val="none"/>
        </w:rPr>
      </w:pPr>
      <w:bookmarkStart w:id="161" w:name="_Toc30304_WPSOffice_Level1"/>
      <w:bookmarkStart w:id="162" w:name="_Toc30890_WPSOffice_Level1"/>
      <w:r>
        <w:rPr>
          <w:rFonts w:hint="eastAsia" w:ascii="宋体" w:hAnsi="宋体" w:eastAsia="宋体" w:cs="宋体"/>
          <w:b/>
          <w:color w:val="auto"/>
          <w:sz w:val="32"/>
          <w:szCs w:val="32"/>
          <w:highlight w:val="none"/>
        </w:rPr>
        <w:t>声  明</w:t>
      </w:r>
      <w:bookmarkEnd w:id="161"/>
      <w:bookmarkEnd w:id="162"/>
    </w:p>
    <w:p w14:paraId="6F764572">
      <w:pPr>
        <w:pStyle w:val="17"/>
        <w:spacing w:line="400" w:lineRule="exact"/>
        <w:rPr>
          <w:rFonts w:hint="eastAsia" w:ascii="宋体" w:hAnsi="宋体" w:eastAsia="宋体" w:cs="宋体"/>
          <w:b/>
          <w:color w:val="auto"/>
          <w:sz w:val="32"/>
          <w:szCs w:val="32"/>
          <w:highlight w:val="none"/>
        </w:rPr>
      </w:pPr>
    </w:p>
    <w:p w14:paraId="2762AABE">
      <w:pPr>
        <w:pStyle w:val="17"/>
        <w:spacing w:line="400" w:lineRule="exact"/>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广西鼎誉工程咨询有限公司</w:t>
      </w:r>
      <w:r>
        <w:rPr>
          <w:rFonts w:hint="eastAsia" w:ascii="宋体" w:hAnsi="宋体" w:eastAsia="宋体" w:cs="宋体"/>
          <w:color w:val="auto"/>
          <w:szCs w:val="21"/>
          <w:highlight w:val="none"/>
          <w:u w:val="single"/>
        </w:rPr>
        <w:t xml:space="preserve"> </w:t>
      </w:r>
    </w:p>
    <w:p w14:paraId="6A730A53">
      <w:pPr>
        <w:rPr>
          <w:rFonts w:hint="eastAsia" w:ascii="宋体" w:hAnsi="宋体" w:eastAsia="宋体" w:cs="宋体"/>
          <w:color w:val="auto"/>
          <w:szCs w:val="21"/>
          <w:highlight w:val="none"/>
          <w:u w:val="single"/>
        </w:rPr>
      </w:pPr>
    </w:p>
    <w:p w14:paraId="75955A25">
      <w:pPr>
        <w:pStyle w:val="2"/>
        <w:rPr>
          <w:rFonts w:hint="eastAsia" w:ascii="宋体" w:hAnsi="宋体" w:eastAsia="宋体" w:cs="宋体"/>
          <w:color w:val="auto"/>
          <w:highlight w:val="none"/>
        </w:rPr>
      </w:pPr>
    </w:p>
    <w:p w14:paraId="3EE47EDE">
      <w:pPr>
        <w:pStyle w:val="17"/>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4D0C341E">
      <w:pPr>
        <w:rPr>
          <w:rFonts w:hint="eastAsia" w:ascii="宋体" w:hAnsi="宋体" w:eastAsia="宋体" w:cs="宋体"/>
          <w:color w:val="auto"/>
          <w:highlight w:val="none"/>
        </w:rPr>
      </w:pPr>
    </w:p>
    <w:p w14:paraId="6C690BD8">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t>供应商[公章(CA签章)，自然人签字或个人CA签章]：</w:t>
      </w:r>
      <w:r>
        <w:rPr>
          <w:rFonts w:hint="eastAsia" w:ascii="宋体" w:hAnsi="宋体" w:eastAsia="宋体" w:cs="宋体"/>
          <w:color w:val="auto"/>
          <w:szCs w:val="21"/>
          <w:highlight w:val="none"/>
          <w:u w:val="single"/>
        </w:rPr>
        <w:t xml:space="preserve">                                         </w:t>
      </w:r>
    </w:p>
    <w:p w14:paraId="227BCE13">
      <w:pPr>
        <w:pStyle w:val="17"/>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1EE70E9C">
      <w:pPr>
        <w:pStyle w:val="17"/>
        <w:spacing w:line="340" w:lineRule="exact"/>
        <w:rPr>
          <w:rFonts w:hint="eastAsia" w:ascii="宋体" w:hAnsi="宋体" w:eastAsia="宋体" w:cs="宋体"/>
          <w:b/>
          <w:color w:val="auto"/>
          <w:sz w:val="28"/>
          <w:szCs w:val="28"/>
          <w:highlight w:val="none"/>
        </w:rPr>
      </w:pPr>
    </w:p>
    <w:p w14:paraId="46737FB9">
      <w:pPr>
        <w:pStyle w:val="17"/>
        <w:spacing w:line="340" w:lineRule="exact"/>
        <w:rPr>
          <w:rFonts w:hint="eastAsia" w:ascii="宋体" w:hAnsi="宋体" w:eastAsia="宋体" w:cs="宋体"/>
          <w:b/>
          <w:color w:val="auto"/>
          <w:sz w:val="28"/>
          <w:szCs w:val="28"/>
          <w:highlight w:val="none"/>
        </w:rPr>
      </w:pPr>
    </w:p>
    <w:p w14:paraId="70C44EEE">
      <w:pPr>
        <w:pStyle w:val="17"/>
        <w:spacing w:line="340" w:lineRule="exact"/>
        <w:rPr>
          <w:rFonts w:hint="eastAsia" w:ascii="宋体" w:hAnsi="宋体" w:eastAsia="宋体" w:cs="宋体"/>
          <w:b/>
          <w:color w:val="auto"/>
          <w:sz w:val="28"/>
          <w:szCs w:val="28"/>
          <w:highlight w:val="none"/>
        </w:rPr>
      </w:pPr>
    </w:p>
    <w:p w14:paraId="324DF12D">
      <w:pPr>
        <w:pStyle w:val="17"/>
        <w:spacing w:line="340" w:lineRule="exact"/>
        <w:rPr>
          <w:rFonts w:hint="eastAsia" w:ascii="宋体" w:hAnsi="宋体" w:eastAsia="宋体" w:cs="宋体"/>
          <w:b/>
          <w:color w:val="auto"/>
          <w:sz w:val="28"/>
          <w:szCs w:val="28"/>
          <w:highlight w:val="none"/>
        </w:rPr>
      </w:pPr>
    </w:p>
    <w:p w14:paraId="0FB04541">
      <w:pPr>
        <w:pStyle w:val="17"/>
        <w:spacing w:line="340" w:lineRule="exact"/>
        <w:rPr>
          <w:rFonts w:hint="eastAsia" w:ascii="宋体" w:hAnsi="宋体" w:eastAsia="宋体" w:cs="宋体"/>
          <w:b/>
          <w:color w:val="auto"/>
          <w:sz w:val="28"/>
          <w:szCs w:val="28"/>
          <w:highlight w:val="none"/>
        </w:rPr>
      </w:pPr>
    </w:p>
    <w:p w14:paraId="1DAAB180">
      <w:pPr>
        <w:pStyle w:val="17"/>
        <w:spacing w:line="340" w:lineRule="exact"/>
        <w:rPr>
          <w:rFonts w:hint="eastAsia" w:ascii="宋体" w:hAnsi="宋体" w:eastAsia="宋体" w:cs="宋体"/>
          <w:b/>
          <w:color w:val="auto"/>
          <w:sz w:val="28"/>
          <w:szCs w:val="28"/>
          <w:highlight w:val="none"/>
        </w:rPr>
      </w:pPr>
    </w:p>
    <w:p w14:paraId="62C0986B">
      <w:pPr>
        <w:pStyle w:val="17"/>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4.供应商的法人或者其他组织营业执照等证明文件复印件（必须提供，自然人除外）</w:t>
      </w:r>
    </w:p>
    <w:p w14:paraId="2C5A09C4">
      <w:pPr>
        <w:tabs>
          <w:tab w:val="left" w:pos="1305"/>
        </w:tabs>
        <w:spacing w:line="340" w:lineRule="exact"/>
        <w:rPr>
          <w:rFonts w:hint="eastAsia" w:ascii="宋体" w:hAnsi="宋体" w:eastAsia="宋体" w:cs="宋体"/>
          <w:b/>
          <w:color w:val="auto"/>
          <w:szCs w:val="21"/>
          <w:highlight w:val="none"/>
        </w:rPr>
      </w:pPr>
    </w:p>
    <w:p w14:paraId="7B948D22">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4E0DB9">
      <w:pPr>
        <w:widowControl/>
        <w:jc w:val="left"/>
        <w:rPr>
          <w:rFonts w:hint="eastAsia" w:ascii="宋体" w:hAnsi="宋体" w:eastAsia="宋体" w:cs="宋体"/>
          <w:b/>
          <w:bCs/>
          <w:color w:val="auto"/>
          <w:sz w:val="28"/>
          <w:szCs w:val="28"/>
          <w:highlight w:val="none"/>
        </w:rPr>
      </w:pPr>
    </w:p>
    <w:p w14:paraId="42134A33">
      <w:pPr>
        <w:pStyle w:val="37"/>
        <w:rPr>
          <w:rFonts w:hint="eastAsia" w:ascii="宋体" w:hAnsi="宋体" w:eastAsia="宋体" w:cs="宋体"/>
          <w:b/>
          <w:bCs/>
          <w:color w:val="auto"/>
          <w:sz w:val="28"/>
          <w:szCs w:val="28"/>
          <w:highlight w:val="none"/>
        </w:rPr>
      </w:pPr>
    </w:p>
    <w:p w14:paraId="2A4AFAB7">
      <w:pPr>
        <w:pStyle w:val="2"/>
        <w:spacing w:before="51"/>
        <w:ind w:right="0"/>
        <w:jc w:val="left"/>
        <w:rPr>
          <w:rFonts w:hint="eastAsia" w:ascii="宋体" w:hAnsi="宋体" w:cs="宋体"/>
          <w:b/>
          <w:color w:val="auto"/>
          <w:sz w:val="28"/>
          <w:szCs w:val="28"/>
          <w:highlight w:val="none"/>
          <w:lang w:val="en-US" w:eastAsia="zh-CN"/>
        </w:rPr>
      </w:pPr>
    </w:p>
    <w:p w14:paraId="3D74636B">
      <w:pPr>
        <w:pStyle w:val="2"/>
        <w:spacing w:before="51"/>
        <w:ind w:right="0"/>
        <w:jc w:val="left"/>
        <w:rPr>
          <w:rFonts w:hint="eastAsia" w:ascii="宋体" w:hAnsi="宋体" w:cs="宋体"/>
          <w:b/>
          <w:color w:val="auto"/>
          <w:sz w:val="28"/>
          <w:szCs w:val="28"/>
          <w:highlight w:val="none"/>
          <w:lang w:val="en-US" w:eastAsia="zh-CN"/>
        </w:rPr>
      </w:pPr>
    </w:p>
    <w:p w14:paraId="322E8811">
      <w:pPr>
        <w:pStyle w:val="2"/>
        <w:spacing w:before="51"/>
        <w:ind w:right="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5.供应商2024年度的财务状况报告（或银行出具的资信证明）复印件（必须提供，若为新成立的企业，请根据实际情况提供）；</w:t>
      </w:r>
    </w:p>
    <w:p w14:paraId="095FCBAD">
      <w:pPr>
        <w:pStyle w:val="2"/>
        <w:spacing w:before="51"/>
        <w:ind w:right="0"/>
        <w:jc w:val="left"/>
        <w:rPr>
          <w:rFonts w:hint="eastAsia" w:ascii="宋体" w:hAnsi="宋体" w:cs="宋体"/>
          <w:b/>
          <w:color w:val="auto"/>
          <w:sz w:val="28"/>
          <w:szCs w:val="28"/>
          <w:highlight w:val="none"/>
          <w:lang w:val="en-US" w:eastAsia="zh-CN"/>
        </w:rPr>
      </w:pPr>
    </w:p>
    <w:p w14:paraId="2F40F9F1">
      <w:pPr>
        <w:pStyle w:val="2"/>
        <w:spacing w:before="51"/>
        <w:ind w:right="0"/>
        <w:jc w:val="left"/>
        <w:rPr>
          <w:rFonts w:hint="eastAsia" w:ascii="宋体" w:hAnsi="宋体" w:cs="宋体"/>
          <w:b/>
          <w:color w:val="auto"/>
          <w:sz w:val="28"/>
          <w:szCs w:val="28"/>
          <w:highlight w:val="none"/>
          <w:lang w:val="en-US" w:eastAsia="zh-CN"/>
        </w:rPr>
      </w:pPr>
    </w:p>
    <w:p w14:paraId="2AF830CE">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6.供应商符合《政府采购促进中小企业发展管理办法》(财库〔2020〕46号)第二条规定。监狱企业、残疾人福利单位视同小型、微型企业。供应商根据自身情况，提供以下任一证明材料（必须提供）。</w:t>
      </w:r>
    </w:p>
    <w:p w14:paraId="3E9DD42E">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240" w:firstLineChars="1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①供应商如为符合政策要求的中小企业且承接本项目全部服务的，提供《中小企业声明函》。</w:t>
      </w:r>
    </w:p>
    <w:p w14:paraId="5003E59D">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240" w:firstLineChars="1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②供应商如属于监狱企业且承接本项目全部服务的，提供由省级以上监狱管理局、戒毒管理局(含新疆生产建设兵团)出具的属于监狱企业的证明文件。</w:t>
      </w:r>
    </w:p>
    <w:p w14:paraId="6CD111B7">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240" w:firstLineChars="100"/>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③供应商如属于符合条件的残疾人福利性单位且承接本项目全部服务的，提供《残疾人福利性单位声明函》（并对声明的真实性负责）。</w:t>
      </w:r>
    </w:p>
    <w:p w14:paraId="7E0CC591">
      <w:pPr>
        <w:pStyle w:val="1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textAlignment w:val="auto"/>
        <w:rPr>
          <w:rFonts w:hint="eastAsia" w:ascii="宋体" w:hAnsi="宋体" w:cs="宋体"/>
          <w:b w:val="0"/>
          <w:bCs w:val="0"/>
          <w:color w:val="auto"/>
          <w:szCs w:val="21"/>
          <w:highlight w:val="none"/>
          <w:lang w:val="en-US" w:eastAsia="zh-CN"/>
        </w:rPr>
      </w:pPr>
    </w:p>
    <w:p w14:paraId="5D1BE171">
      <w:pPr>
        <w:pStyle w:val="11"/>
        <w:rPr>
          <w:rFonts w:hint="eastAsia" w:ascii="宋体" w:hAnsi="宋体" w:cs="宋体"/>
          <w:b w:val="0"/>
          <w:bCs w:val="0"/>
          <w:color w:val="auto"/>
          <w:szCs w:val="21"/>
          <w:highlight w:val="none"/>
          <w:lang w:val="en-US" w:eastAsia="zh-CN"/>
        </w:rPr>
      </w:pPr>
    </w:p>
    <w:p w14:paraId="1393BBB3">
      <w:pPr>
        <w:rPr>
          <w:rFonts w:hint="eastAsia" w:ascii="宋体" w:hAnsi="宋体" w:cs="宋体"/>
          <w:b w:val="0"/>
          <w:bCs w:val="0"/>
          <w:color w:val="auto"/>
          <w:szCs w:val="21"/>
          <w:highlight w:val="none"/>
          <w:lang w:val="en-US" w:eastAsia="zh-CN"/>
        </w:rPr>
      </w:pPr>
    </w:p>
    <w:p w14:paraId="4B5ACDF9">
      <w:pPr>
        <w:pStyle w:val="2"/>
        <w:rPr>
          <w:rFonts w:hint="eastAsia" w:ascii="宋体" w:hAnsi="宋体" w:cs="宋体"/>
          <w:b w:val="0"/>
          <w:bCs w:val="0"/>
          <w:color w:val="auto"/>
          <w:szCs w:val="21"/>
          <w:highlight w:val="none"/>
          <w:lang w:val="en-US" w:eastAsia="zh-CN"/>
        </w:rPr>
      </w:pPr>
    </w:p>
    <w:p w14:paraId="56D15D86">
      <w:pPr>
        <w:rPr>
          <w:rFonts w:hint="eastAsia" w:ascii="宋体" w:hAnsi="宋体" w:cs="宋体"/>
          <w:b w:val="0"/>
          <w:bCs w:val="0"/>
          <w:color w:val="auto"/>
          <w:szCs w:val="21"/>
          <w:highlight w:val="none"/>
          <w:lang w:val="en-US" w:eastAsia="zh-CN"/>
        </w:rPr>
      </w:pPr>
    </w:p>
    <w:p w14:paraId="4F1F6832">
      <w:pPr>
        <w:pStyle w:val="2"/>
        <w:rPr>
          <w:rFonts w:hint="eastAsia" w:ascii="宋体" w:hAnsi="宋体" w:cs="宋体"/>
          <w:b w:val="0"/>
          <w:bCs w:val="0"/>
          <w:color w:val="auto"/>
          <w:szCs w:val="21"/>
          <w:highlight w:val="none"/>
          <w:lang w:val="en-US" w:eastAsia="zh-CN"/>
        </w:rPr>
      </w:pPr>
    </w:p>
    <w:p w14:paraId="29EEA054">
      <w:pPr>
        <w:rPr>
          <w:rFonts w:hint="eastAsia" w:ascii="宋体" w:hAnsi="宋体" w:cs="宋体"/>
          <w:b w:val="0"/>
          <w:bCs w:val="0"/>
          <w:color w:val="auto"/>
          <w:szCs w:val="21"/>
          <w:highlight w:val="none"/>
          <w:lang w:val="en-US" w:eastAsia="zh-CN"/>
        </w:rPr>
      </w:pPr>
    </w:p>
    <w:p w14:paraId="1221FA29">
      <w:pPr>
        <w:pStyle w:val="2"/>
        <w:rPr>
          <w:rFonts w:hint="eastAsia" w:ascii="宋体" w:hAnsi="宋体" w:cs="宋体"/>
          <w:b w:val="0"/>
          <w:bCs w:val="0"/>
          <w:color w:val="auto"/>
          <w:szCs w:val="21"/>
          <w:highlight w:val="none"/>
          <w:lang w:val="en-US" w:eastAsia="zh-CN"/>
        </w:rPr>
      </w:pPr>
    </w:p>
    <w:p w14:paraId="01BF7F2E">
      <w:pPr>
        <w:rPr>
          <w:rFonts w:hint="eastAsia" w:ascii="宋体" w:hAnsi="宋体" w:cs="宋体"/>
          <w:b w:val="0"/>
          <w:bCs w:val="0"/>
          <w:color w:val="auto"/>
          <w:szCs w:val="21"/>
          <w:highlight w:val="none"/>
          <w:lang w:val="en-US" w:eastAsia="zh-CN"/>
        </w:rPr>
      </w:pPr>
    </w:p>
    <w:p w14:paraId="3208F5DB">
      <w:pPr>
        <w:pStyle w:val="2"/>
        <w:rPr>
          <w:rFonts w:hint="eastAsia" w:ascii="宋体" w:hAnsi="宋体" w:cs="宋体"/>
          <w:b w:val="0"/>
          <w:bCs w:val="0"/>
          <w:color w:val="auto"/>
          <w:szCs w:val="21"/>
          <w:highlight w:val="none"/>
          <w:lang w:val="en-US" w:eastAsia="zh-CN"/>
        </w:rPr>
      </w:pPr>
    </w:p>
    <w:p w14:paraId="48527284">
      <w:pPr>
        <w:rPr>
          <w:rFonts w:hint="eastAsia" w:ascii="宋体" w:hAnsi="宋体" w:cs="宋体"/>
          <w:b w:val="0"/>
          <w:bCs w:val="0"/>
          <w:color w:val="auto"/>
          <w:szCs w:val="21"/>
          <w:highlight w:val="none"/>
          <w:lang w:val="en-US" w:eastAsia="zh-CN"/>
        </w:rPr>
      </w:pPr>
    </w:p>
    <w:p w14:paraId="5EF11CC3">
      <w:pPr>
        <w:pStyle w:val="2"/>
        <w:rPr>
          <w:rFonts w:hint="eastAsia" w:ascii="宋体" w:hAnsi="宋体" w:cs="宋体"/>
          <w:b w:val="0"/>
          <w:bCs w:val="0"/>
          <w:color w:val="auto"/>
          <w:szCs w:val="21"/>
          <w:highlight w:val="none"/>
          <w:lang w:val="en-US" w:eastAsia="zh-CN"/>
        </w:rPr>
      </w:pPr>
    </w:p>
    <w:p w14:paraId="7A567B1E">
      <w:pPr>
        <w:rPr>
          <w:rFonts w:hint="eastAsia" w:ascii="宋体" w:hAnsi="宋体" w:cs="宋体"/>
          <w:b w:val="0"/>
          <w:bCs w:val="0"/>
          <w:color w:val="auto"/>
          <w:szCs w:val="21"/>
          <w:highlight w:val="none"/>
          <w:lang w:val="en-US" w:eastAsia="zh-CN"/>
        </w:rPr>
      </w:pPr>
    </w:p>
    <w:p w14:paraId="77D12FCA">
      <w:pPr>
        <w:pStyle w:val="2"/>
        <w:rPr>
          <w:rFonts w:hint="eastAsia" w:ascii="宋体" w:hAnsi="宋体" w:cs="宋体"/>
          <w:b w:val="0"/>
          <w:bCs w:val="0"/>
          <w:color w:val="auto"/>
          <w:szCs w:val="21"/>
          <w:highlight w:val="none"/>
          <w:lang w:val="en-US" w:eastAsia="zh-CN"/>
        </w:rPr>
      </w:pPr>
    </w:p>
    <w:p w14:paraId="5047A607">
      <w:pPr>
        <w:rPr>
          <w:rFonts w:hint="eastAsia" w:ascii="宋体" w:hAnsi="宋体" w:cs="宋体"/>
          <w:b w:val="0"/>
          <w:bCs w:val="0"/>
          <w:color w:val="auto"/>
          <w:szCs w:val="21"/>
          <w:highlight w:val="none"/>
          <w:lang w:val="en-US" w:eastAsia="zh-CN"/>
        </w:rPr>
      </w:pPr>
    </w:p>
    <w:p w14:paraId="523D55D6">
      <w:pPr>
        <w:pStyle w:val="2"/>
        <w:rPr>
          <w:rFonts w:hint="eastAsia"/>
          <w:lang w:val="en-US" w:eastAsia="zh-CN"/>
        </w:rPr>
      </w:pPr>
    </w:p>
    <w:p w14:paraId="3E3B44C2">
      <w:pPr>
        <w:rPr>
          <w:rFonts w:hint="eastAsia" w:ascii="宋体" w:hAnsi="宋体" w:cs="宋体"/>
          <w:b w:val="0"/>
          <w:bCs w:val="0"/>
          <w:color w:val="auto"/>
          <w:szCs w:val="21"/>
          <w:highlight w:val="none"/>
          <w:lang w:val="en-US" w:eastAsia="zh-CN"/>
        </w:rPr>
      </w:pPr>
    </w:p>
    <w:p w14:paraId="3A2B32EA">
      <w:pPr>
        <w:pStyle w:val="2"/>
        <w:rPr>
          <w:rFonts w:hint="eastAsia" w:ascii="宋体" w:hAnsi="宋体" w:cs="宋体"/>
          <w:b w:val="0"/>
          <w:bCs w:val="0"/>
          <w:color w:val="auto"/>
          <w:szCs w:val="21"/>
          <w:highlight w:val="none"/>
          <w:lang w:val="en-US" w:eastAsia="zh-CN"/>
        </w:rPr>
      </w:pPr>
    </w:p>
    <w:p w14:paraId="63F6B4C4">
      <w:pPr>
        <w:rPr>
          <w:rFonts w:hint="eastAsia" w:ascii="宋体" w:hAnsi="宋体" w:cs="宋体"/>
          <w:b w:val="0"/>
          <w:bCs w:val="0"/>
          <w:color w:val="auto"/>
          <w:szCs w:val="21"/>
          <w:highlight w:val="none"/>
          <w:lang w:val="en-US" w:eastAsia="zh-CN"/>
        </w:rPr>
      </w:pPr>
    </w:p>
    <w:p w14:paraId="3212D52B">
      <w:pPr>
        <w:pStyle w:val="2"/>
        <w:rPr>
          <w:rFonts w:hint="eastAsia" w:ascii="宋体" w:hAnsi="宋体" w:cs="宋体"/>
          <w:b w:val="0"/>
          <w:bCs w:val="0"/>
          <w:color w:val="auto"/>
          <w:szCs w:val="21"/>
          <w:highlight w:val="none"/>
          <w:lang w:val="en-US" w:eastAsia="zh-CN"/>
        </w:rPr>
      </w:pPr>
    </w:p>
    <w:p w14:paraId="7BB529D9">
      <w:pPr>
        <w:rPr>
          <w:rFonts w:hint="eastAsia" w:ascii="宋体" w:hAnsi="宋体" w:cs="宋体"/>
          <w:b w:val="0"/>
          <w:bCs w:val="0"/>
          <w:color w:val="auto"/>
          <w:szCs w:val="21"/>
          <w:highlight w:val="none"/>
          <w:lang w:val="en-US" w:eastAsia="zh-CN"/>
        </w:rPr>
      </w:pPr>
    </w:p>
    <w:p w14:paraId="07937E32">
      <w:pPr>
        <w:pStyle w:val="2"/>
        <w:rPr>
          <w:rFonts w:hint="eastAsia"/>
          <w:lang w:val="en-US" w:eastAsia="zh-CN"/>
        </w:rPr>
      </w:pPr>
    </w:p>
    <w:p w14:paraId="721462B5">
      <w:pPr>
        <w:pStyle w:val="17"/>
        <w:pageBreakBefore w:val="0"/>
        <w:wordWrap/>
        <w:overflowPunct/>
        <w:topLinePunct w:val="0"/>
        <w:bidi w:val="0"/>
        <w:spacing w:beforeAutospacing="0" w:afterAutospacing="0" w:line="400" w:lineRule="exact"/>
        <w:ind w:left="0" w:leftChars="0" w:right="0" w:firstLine="420" w:firstLineChars="200"/>
        <w:rPr>
          <w:rFonts w:hint="eastAsia" w:ascii="宋体" w:hAnsi="宋体" w:eastAsia="宋体" w:cs="宋体"/>
          <w:b/>
          <w:bCs/>
          <w:color w:val="auto"/>
          <w:sz w:val="21"/>
          <w:szCs w:val="21"/>
          <w:highlight w:val="none"/>
        </w:rPr>
      </w:pPr>
      <w:r>
        <w:rPr>
          <w:rFonts w:hint="eastAsia" w:ascii="宋体" w:hAnsi="宋体" w:cs="宋体"/>
          <w:kern w:val="0"/>
          <w:szCs w:val="21"/>
        </w:rPr>
        <w:t>①</w:t>
      </w:r>
      <w:r>
        <w:rPr>
          <w:rFonts w:hint="eastAsia" w:ascii="宋体" w:hAnsi="宋体" w:eastAsia="宋体" w:cs="宋体"/>
          <w:b/>
          <w:bCs/>
          <w:color w:val="auto"/>
          <w:sz w:val="21"/>
          <w:szCs w:val="21"/>
          <w:highlight w:val="none"/>
        </w:rPr>
        <w:t>附件：</w:t>
      </w:r>
    </w:p>
    <w:p w14:paraId="4283C6D4">
      <w:pPr>
        <w:pStyle w:val="17"/>
        <w:pageBreakBefore w:val="0"/>
        <w:wordWrap/>
        <w:overflowPunct/>
        <w:topLinePunct w:val="0"/>
        <w:bidi w:val="0"/>
        <w:spacing w:beforeAutospacing="0" w:afterAutospacing="0" w:line="400" w:lineRule="exact"/>
        <w:ind w:left="0" w:leftChars="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中小企业声明函</w:t>
      </w:r>
    </w:p>
    <w:p w14:paraId="5DE86004">
      <w:pPr>
        <w:pStyle w:val="10"/>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6D79AB8C">
      <w:pPr>
        <w:pStyle w:val="17"/>
        <w:pageBreakBefore w:val="0"/>
        <w:wordWrap/>
        <w:overflowPunct/>
        <w:topLinePunct w:val="0"/>
        <w:bidi w:val="0"/>
        <w:spacing w:beforeAutospacing="0" w:afterAutospacing="0" w:line="400" w:lineRule="exact"/>
        <w:ind w:left="0" w:leftChars="0" w:right="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本公司（联合体）郑重声明，根据《政府采购促进中小企业发展管理办法》（财库﹝2020﹞46 号）的规定，本公司参加（</w:t>
      </w:r>
      <w:r>
        <w:rPr>
          <w:rFonts w:hint="eastAsia" w:ascii="宋体" w:hAnsi="宋体" w:eastAsia="宋体" w:cs="宋体"/>
          <w:color w:val="auto"/>
          <w:spacing w:val="6"/>
          <w:sz w:val="21"/>
          <w:szCs w:val="21"/>
          <w:highlight w:val="none"/>
          <w:u w:val="single"/>
        </w:rPr>
        <w:t>单位名称</w:t>
      </w:r>
      <w:r>
        <w:rPr>
          <w:rFonts w:hint="eastAsia" w:ascii="宋体" w:hAnsi="宋体" w:eastAsia="宋体" w:cs="宋体"/>
          <w:color w:val="auto"/>
          <w:spacing w:val="6"/>
          <w:sz w:val="21"/>
          <w:szCs w:val="21"/>
          <w:highlight w:val="none"/>
        </w:rPr>
        <w:t>）的（</w:t>
      </w:r>
      <w:r>
        <w:rPr>
          <w:rFonts w:hint="eastAsia" w:ascii="宋体" w:hAnsi="宋体" w:eastAsia="宋体" w:cs="宋体"/>
          <w:color w:val="auto"/>
          <w:spacing w:val="6"/>
          <w:sz w:val="21"/>
          <w:szCs w:val="21"/>
          <w:highlight w:val="none"/>
          <w:u w:val="single"/>
        </w:rPr>
        <w:t>项目名称</w:t>
      </w:r>
      <w:r>
        <w:rPr>
          <w:rFonts w:hint="eastAsia" w:ascii="宋体" w:hAnsi="宋体" w:eastAsia="宋体" w:cs="宋体"/>
          <w:color w:val="auto"/>
          <w:spacing w:val="6"/>
          <w:sz w:val="21"/>
          <w:szCs w:val="21"/>
          <w:highlight w:val="none"/>
        </w:rPr>
        <w:t>）采购活动，项目的工程全部为符合政策要求的中小企业（或者：服务、工程全部由符合政策要求的中小企业承接）。相关企业（含联合体中的中小企业、签订分包意向协议的中小企业）的具体情况如下：</w:t>
      </w:r>
    </w:p>
    <w:p w14:paraId="2E6B4E6A">
      <w:pPr>
        <w:pStyle w:val="17"/>
        <w:pageBreakBefore w:val="0"/>
        <w:wordWrap/>
        <w:overflowPunct/>
        <w:topLinePunct w:val="0"/>
        <w:bidi w:val="0"/>
        <w:spacing w:beforeAutospacing="0" w:afterAutospacing="0" w:line="400" w:lineRule="exact"/>
        <w:ind w:left="0" w:leftChars="0" w:right="0" w:firstLine="44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u w:val="single"/>
        </w:rPr>
        <w:t xml:space="preserve">（标的名称） </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 承建（承接）企业为</w:t>
      </w:r>
      <w:r>
        <w:rPr>
          <w:rFonts w:hint="eastAsia" w:ascii="宋体" w:hAnsi="宋体" w:eastAsia="宋体" w:cs="宋体"/>
          <w:color w:val="auto"/>
          <w:spacing w:val="6"/>
          <w:sz w:val="21"/>
          <w:szCs w:val="21"/>
          <w:highlight w:val="none"/>
          <w:u w:val="single"/>
        </w:rPr>
        <w:t xml:space="preserve"> （企业名称） </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人，营业收入为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万元，资产总额为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万元，属于（</w:t>
      </w:r>
      <w:r>
        <w:rPr>
          <w:rFonts w:hint="eastAsia" w:ascii="宋体" w:hAnsi="宋体" w:eastAsia="宋体" w:cs="宋体"/>
          <w:color w:val="auto"/>
          <w:spacing w:val="6"/>
          <w:sz w:val="21"/>
          <w:szCs w:val="21"/>
          <w:highlight w:val="none"/>
          <w:u w:val="single"/>
        </w:rPr>
        <w:t>中型企业、小型企业、微型企业</w:t>
      </w:r>
      <w:r>
        <w:rPr>
          <w:rFonts w:hint="eastAsia" w:ascii="宋体" w:hAnsi="宋体" w:eastAsia="宋体" w:cs="宋体"/>
          <w:color w:val="auto"/>
          <w:spacing w:val="6"/>
          <w:sz w:val="21"/>
          <w:szCs w:val="21"/>
          <w:highlight w:val="none"/>
        </w:rPr>
        <w:t>）；</w:t>
      </w:r>
    </w:p>
    <w:p w14:paraId="22235A56">
      <w:pPr>
        <w:pageBreakBefore w:val="0"/>
        <w:widowControl/>
        <w:wordWrap/>
        <w:overflowPunct/>
        <w:topLinePunct w:val="0"/>
        <w:bidi w:val="0"/>
        <w:spacing w:beforeAutospacing="0" w:afterAutospacing="0" w:line="400" w:lineRule="exact"/>
        <w:ind w:left="0" w:leftChars="0" w:right="0"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u w:val="single"/>
        </w:rPr>
        <w:t xml:space="preserve">（标的名称） </w:t>
      </w:r>
      <w:r>
        <w:rPr>
          <w:rFonts w:hint="eastAsia" w:ascii="宋体" w:hAnsi="宋体" w:eastAsia="宋体" w:cs="宋体"/>
          <w:color w:val="auto"/>
          <w:spacing w:val="6"/>
          <w:sz w:val="21"/>
          <w:szCs w:val="21"/>
          <w:highlight w:val="none"/>
        </w:rPr>
        <w:t>，属于</w:t>
      </w:r>
      <w:r>
        <w:rPr>
          <w:rFonts w:hint="eastAsia" w:ascii="宋体" w:hAnsi="宋体" w:eastAsia="宋体" w:cs="宋体"/>
          <w:color w:val="auto"/>
          <w:spacing w:val="6"/>
          <w:sz w:val="21"/>
          <w:szCs w:val="21"/>
          <w:highlight w:val="none"/>
          <w:u w:val="single"/>
        </w:rPr>
        <w:t>（采购文件中明确的所属行业）</w:t>
      </w:r>
      <w:r>
        <w:rPr>
          <w:rFonts w:hint="eastAsia" w:ascii="宋体" w:hAnsi="宋体" w:eastAsia="宋体" w:cs="宋体"/>
          <w:color w:val="auto"/>
          <w:spacing w:val="6"/>
          <w:sz w:val="21"/>
          <w:szCs w:val="21"/>
          <w:highlight w:val="none"/>
        </w:rPr>
        <w:t>；承建（承接）企业为（</w:t>
      </w:r>
      <w:r>
        <w:rPr>
          <w:rFonts w:hint="eastAsia" w:ascii="宋体" w:hAnsi="宋体" w:eastAsia="宋体" w:cs="宋体"/>
          <w:color w:val="auto"/>
          <w:spacing w:val="6"/>
          <w:sz w:val="21"/>
          <w:szCs w:val="21"/>
          <w:highlight w:val="none"/>
          <w:u w:val="single"/>
        </w:rPr>
        <w:t>企业名称</w:t>
      </w:r>
      <w:r>
        <w:rPr>
          <w:rFonts w:hint="eastAsia" w:ascii="宋体" w:hAnsi="宋体" w:eastAsia="宋体" w:cs="宋体"/>
          <w:color w:val="auto"/>
          <w:spacing w:val="6"/>
          <w:sz w:val="21"/>
          <w:szCs w:val="21"/>
          <w:highlight w:val="none"/>
        </w:rPr>
        <w:t>），从业人员</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人，营业收入为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万元，资产总额为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万元，属于（</w:t>
      </w:r>
      <w:r>
        <w:rPr>
          <w:rFonts w:hint="eastAsia" w:ascii="宋体" w:hAnsi="宋体" w:eastAsia="宋体" w:cs="宋体"/>
          <w:color w:val="auto"/>
          <w:spacing w:val="6"/>
          <w:sz w:val="21"/>
          <w:szCs w:val="21"/>
          <w:highlight w:val="none"/>
          <w:u w:val="single"/>
        </w:rPr>
        <w:t>中型企业、小型企业、微型企业</w:t>
      </w:r>
      <w:r>
        <w:rPr>
          <w:rFonts w:hint="eastAsia" w:ascii="宋体" w:hAnsi="宋体" w:eastAsia="宋体" w:cs="宋体"/>
          <w:color w:val="auto"/>
          <w:spacing w:val="6"/>
          <w:sz w:val="21"/>
          <w:szCs w:val="21"/>
          <w:highlight w:val="none"/>
        </w:rPr>
        <w:t>）；</w:t>
      </w:r>
    </w:p>
    <w:p w14:paraId="28DEB078">
      <w:pPr>
        <w:pStyle w:val="10"/>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A3D818C">
      <w:pPr>
        <w:pageBreakBefore w:val="0"/>
        <w:widowControl/>
        <w:wordWrap/>
        <w:overflowPunct/>
        <w:topLinePunct w:val="0"/>
        <w:bidi w:val="0"/>
        <w:spacing w:beforeAutospacing="0" w:afterAutospacing="0" w:line="400" w:lineRule="exact"/>
        <w:ind w:left="0" w:leftChars="0" w:right="0"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以上企业，不属于大企业的分支机构，不存在控股股东为大企业的情形，也不存在与大企业的负责人为同一人的情形。</w:t>
      </w:r>
    </w:p>
    <w:p w14:paraId="6012E95B">
      <w:pPr>
        <w:pageBreakBefore w:val="0"/>
        <w:widowControl/>
        <w:wordWrap/>
        <w:overflowPunct/>
        <w:topLinePunct w:val="0"/>
        <w:bidi w:val="0"/>
        <w:spacing w:beforeAutospacing="0" w:afterAutospacing="0" w:line="400" w:lineRule="exact"/>
        <w:ind w:left="0" w:leftChars="0" w:right="0"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本企业对上述声明内容的真实性负责。如有虚假，将依法承担相应责任。 </w:t>
      </w:r>
    </w:p>
    <w:p w14:paraId="6FD58347">
      <w:pPr>
        <w:pStyle w:val="13"/>
        <w:pageBreakBefore w:val="0"/>
        <w:wordWrap/>
        <w:overflowPunct/>
        <w:topLinePunct w:val="0"/>
        <w:bidi w:val="0"/>
        <w:spacing w:beforeAutospacing="0" w:afterAutospacing="0" w:line="400" w:lineRule="exact"/>
        <w:ind w:left="0" w:leftChars="0" w:right="0" w:firstLine="5106" w:firstLineChars="2300"/>
        <w:rPr>
          <w:rFonts w:hint="eastAsia" w:ascii="宋体" w:hAnsi="宋体" w:eastAsia="宋体" w:cs="宋体"/>
          <w:color w:val="auto"/>
          <w:spacing w:val="6"/>
          <w:sz w:val="21"/>
          <w:szCs w:val="21"/>
          <w:highlight w:val="none"/>
        </w:rPr>
      </w:pPr>
    </w:p>
    <w:p w14:paraId="1D178210">
      <w:pPr>
        <w:pageBreakBefore w:val="0"/>
        <w:wordWrap/>
        <w:overflowPunct/>
        <w:topLinePunct w:val="0"/>
        <w:bidi w:val="0"/>
        <w:spacing w:beforeAutospacing="0" w:afterAutospacing="0" w:line="400" w:lineRule="exact"/>
        <w:ind w:left="0" w:leftChars="0" w:right="0" w:firstLine="420" w:firstLineChars="200"/>
        <w:rPr>
          <w:rFonts w:hint="eastAsia" w:ascii="宋体" w:hAnsi="宋体" w:eastAsia="宋体" w:cs="宋体"/>
          <w:color w:val="auto"/>
          <w:sz w:val="21"/>
          <w:szCs w:val="21"/>
          <w:highlight w:val="none"/>
        </w:rPr>
      </w:pPr>
    </w:p>
    <w:p w14:paraId="6091DA0D">
      <w:pPr>
        <w:pageBreakBefore w:val="0"/>
        <w:wordWrap/>
        <w:overflowPunct/>
        <w:topLinePunct w:val="0"/>
        <w:bidi w:val="0"/>
        <w:spacing w:beforeAutospacing="0" w:afterAutospacing="0" w:line="400" w:lineRule="exact"/>
        <w:ind w:left="0" w:leftChars="0" w:right="0"/>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单位名称（CA签章）：</w:t>
      </w:r>
      <w:r>
        <w:rPr>
          <w:rFonts w:hint="eastAsia" w:ascii="宋体" w:hAnsi="宋体" w:eastAsia="宋体" w:cs="宋体"/>
          <w:color w:val="auto"/>
          <w:sz w:val="21"/>
          <w:szCs w:val="21"/>
          <w:highlight w:val="none"/>
          <w:u w:val="single"/>
        </w:rPr>
        <w:t xml:space="preserve">          </w:t>
      </w:r>
    </w:p>
    <w:p w14:paraId="38DF6FE1">
      <w:pPr>
        <w:pageBreakBefore w:val="0"/>
        <w:wordWrap/>
        <w:overflowPunct/>
        <w:topLinePunct w:val="0"/>
        <w:bidi w:val="0"/>
        <w:spacing w:beforeAutospacing="0" w:afterAutospacing="0" w:line="400" w:lineRule="exact"/>
        <w:ind w:left="0" w:leftChars="0" w:right="0" w:firstLine="3150" w:firstLineChars="15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D00BCA1">
      <w:pPr>
        <w:pageBreakBefore w:val="0"/>
        <w:wordWrap/>
        <w:overflowPunct/>
        <w:topLinePunct w:val="0"/>
        <w:bidi w:val="0"/>
        <w:spacing w:beforeAutospacing="0" w:afterAutospacing="0" w:line="400" w:lineRule="exact"/>
        <w:ind w:left="0" w:leftChars="0" w:right="0"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14:paraId="43F11B97">
      <w:pPr>
        <w:pageBreakBefore w:val="0"/>
        <w:wordWrap/>
        <w:overflowPunct/>
        <w:topLinePunct w:val="0"/>
        <w:bidi w:val="0"/>
        <w:spacing w:beforeAutospacing="0" w:afterAutospacing="0" w:line="400" w:lineRule="exact"/>
        <w:ind w:left="0" w:leftChars="0" w:right="0"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1.从业人员、营业收入、资产总额填报上一年度数据，无上一年度数据的新成立企业可不填报。</w:t>
      </w:r>
    </w:p>
    <w:p w14:paraId="16E55801">
      <w:pPr>
        <w:pageBreakBefore w:val="0"/>
        <w:wordWrap/>
        <w:overflowPunct/>
        <w:topLinePunct w:val="0"/>
        <w:bidi w:val="0"/>
        <w:spacing w:beforeAutospacing="0" w:afterAutospacing="0" w:line="400" w:lineRule="exact"/>
        <w:ind w:left="0" w:leftChars="0" w:right="0" w:firstLine="420"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2.中小企业在政府采购活动过程中，请根据自己的真实情况出具本声明函。依法享受中小企业优惠政策的，采购人或采购代理机构在公告中标结果时，同时公告其《中小企业声明函》，接受社会监督。</w:t>
      </w:r>
    </w:p>
    <w:p w14:paraId="5E36059A">
      <w:pPr>
        <w:pStyle w:val="17"/>
        <w:pageBreakBefore w:val="0"/>
        <w:wordWrap/>
        <w:overflowPunct/>
        <w:topLinePunct w:val="0"/>
        <w:bidi w:val="0"/>
        <w:spacing w:beforeAutospacing="0" w:afterAutospacing="0" w:line="400" w:lineRule="exact"/>
        <w:ind w:left="0" w:leftChars="0" w:right="0"/>
        <w:outlineLvl w:val="2"/>
        <w:rPr>
          <w:rFonts w:hint="eastAsia" w:ascii="宋体" w:hAnsi="宋体" w:eastAsia="宋体" w:cs="宋体"/>
          <w:b/>
          <w:color w:val="auto"/>
          <w:sz w:val="21"/>
          <w:szCs w:val="21"/>
          <w:highlight w:val="none"/>
        </w:rPr>
      </w:pPr>
      <w:r>
        <w:rPr>
          <w:rStyle w:val="102"/>
          <w:rFonts w:hint="eastAsia" w:ascii="宋体" w:hAnsi="宋体" w:eastAsia="宋体" w:cs="宋体"/>
          <w:b/>
          <w:color w:val="auto"/>
          <w:kern w:val="0"/>
          <w:sz w:val="21"/>
          <w:szCs w:val="21"/>
          <w:highlight w:val="none"/>
        </w:rPr>
        <w:br w:type="page"/>
      </w:r>
      <w:r>
        <w:rPr>
          <w:rStyle w:val="102"/>
          <w:rFonts w:hint="eastAsia" w:ascii="宋体" w:hAnsi="宋体" w:eastAsia="宋体" w:cs="宋体"/>
          <w:b/>
          <w:color w:val="auto"/>
          <w:kern w:val="0"/>
          <w:sz w:val="21"/>
          <w:szCs w:val="21"/>
          <w:highlight w:val="none"/>
        </w:rPr>
        <w:t>②</w:t>
      </w:r>
      <w:r>
        <w:rPr>
          <w:rFonts w:hint="eastAsia" w:ascii="宋体" w:hAnsi="宋体" w:eastAsia="宋体" w:cs="宋体"/>
          <w:b/>
          <w:color w:val="auto"/>
          <w:sz w:val="21"/>
          <w:szCs w:val="21"/>
          <w:highlight w:val="none"/>
        </w:rPr>
        <w:t>如提供服务的供应商属于监狱企业的，应当提供由省级以上监狱管理局、戒毒管理局等（含新疆生产建设兵团）出具的属于监狱企业的证明文件（如有，请提供）；</w:t>
      </w:r>
    </w:p>
    <w:p w14:paraId="7A5633ED">
      <w:pPr>
        <w:pStyle w:val="10"/>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16C2A68C">
      <w:pPr>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5909D18C">
      <w:pPr>
        <w:pStyle w:val="104"/>
        <w:pageBreakBefore w:val="0"/>
        <w:wordWrap/>
        <w:overflowPunct/>
        <w:topLinePunct w:val="0"/>
        <w:bidi w:val="0"/>
        <w:spacing w:before="0" w:beforeLines="0" w:beforeAutospacing="0" w:after="0" w:afterLines="0" w:afterAutospacing="0" w:line="400" w:lineRule="exact"/>
        <w:ind w:left="0" w:leftChars="0" w:right="0"/>
        <w:rPr>
          <w:rFonts w:hint="eastAsia" w:ascii="宋体" w:hAnsi="宋体" w:eastAsia="宋体" w:cs="宋体"/>
          <w:color w:val="auto"/>
          <w:sz w:val="21"/>
          <w:szCs w:val="21"/>
          <w:highlight w:val="none"/>
        </w:rPr>
      </w:pPr>
    </w:p>
    <w:p w14:paraId="5B89C3B2">
      <w:pPr>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43AE76DD">
      <w:pPr>
        <w:pStyle w:val="2"/>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44BF489E">
      <w:pPr>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3856D159">
      <w:pPr>
        <w:pStyle w:val="17"/>
        <w:pageBreakBefore w:val="0"/>
        <w:wordWrap/>
        <w:overflowPunct/>
        <w:topLinePunct w:val="0"/>
        <w:bidi w:val="0"/>
        <w:spacing w:beforeAutospacing="0" w:afterAutospacing="0" w:line="400" w:lineRule="exact"/>
        <w:ind w:left="0" w:leftChars="0" w:right="0"/>
        <w:outlineLvl w:val="2"/>
        <w:rPr>
          <w:rFonts w:hint="eastAsia" w:ascii="宋体" w:hAnsi="宋体" w:eastAsia="宋体" w:cs="宋体"/>
          <w:b/>
          <w:color w:val="auto"/>
          <w:sz w:val="21"/>
          <w:szCs w:val="21"/>
          <w:highlight w:val="none"/>
        </w:rPr>
      </w:pPr>
      <w:r>
        <w:rPr>
          <w:rStyle w:val="102"/>
          <w:rFonts w:hint="eastAsia" w:ascii="宋体" w:hAnsi="宋体" w:eastAsia="宋体" w:cs="宋体"/>
          <w:b/>
          <w:color w:val="auto"/>
          <w:kern w:val="0"/>
          <w:sz w:val="21"/>
          <w:szCs w:val="21"/>
          <w:highlight w:val="none"/>
        </w:rPr>
        <w:t>③</w:t>
      </w:r>
      <w:r>
        <w:rPr>
          <w:rFonts w:hint="eastAsia" w:ascii="宋体" w:hAnsi="宋体" w:eastAsia="宋体" w:cs="宋体"/>
          <w:b/>
          <w:color w:val="auto"/>
          <w:sz w:val="21"/>
          <w:szCs w:val="21"/>
          <w:highlight w:val="none"/>
        </w:rPr>
        <w:t>符合条件的残疾人福利性单位在参加政府采购活动时，应当提供《残疾人福利性单位声明函》，并对声明的真实性负责（见附件）</w:t>
      </w:r>
      <w:r>
        <w:rPr>
          <w:rFonts w:hint="eastAsia" w:ascii="宋体" w:hAnsi="宋体" w:eastAsia="宋体" w:cs="宋体"/>
          <w:b/>
          <w:bCs/>
          <w:color w:val="auto"/>
          <w:sz w:val="21"/>
          <w:szCs w:val="21"/>
          <w:highlight w:val="none"/>
        </w:rPr>
        <w:t>（如有，请提供）；</w:t>
      </w:r>
    </w:p>
    <w:p w14:paraId="01C9D373">
      <w:pPr>
        <w:pStyle w:val="57"/>
        <w:pageBreakBefore w:val="0"/>
        <w:wordWrap/>
        <w:overflowPunct/>
        <w:topLinePunct w:val="0"/>
        <w:bidi w:val="0"/>
        <w:spacing w:beforeAutospacing="0" w:afterAutospacing="0" w:line="400" w:lineRule="exact"/>
        <w:ind w:left="0" w:leftChars="0" w:right="0"/>
        <w:rPr>
          <w:rFonts w:hint="eastAsia" w:ascii="宋体" w:hAnsi="宋体" w:eastAsia="宋体" w:cs="宋体"/>
          <w:b/>
          <w:color w:val="auto"/>
          <w:spacing w:val="6"/>
          <w:sz w:val="21"/>
          <w:szCs w:val="21"/>
          <w:highlight w:val="none"/>
        </w:rPr>
      </w:pPr>
    </w:p>
    <w:p w14:paraId="6F873A54">
      <w:pPr>
        <w:pageBreakBefore w:val="0"/>
        <w:wordWrap/>
        <w:overflowPunct/>
        <w:topLinePunct w:val="0"/>
        <w:bidi w:val="0"/>
        <w:spacing w:beforeAutospacing="0" w:afterAutospacing="0" w:line="400" w:lineRule="exact"/>
        <w:ind w:left="0" w:leftChars="0" w:right="0"/>
        <w:jc w:val="center"/>
        <w:rPr>
          <w:rFonts w:hint="eastAsia" w:ascii="宋体" w:hAnsi="宋体" w:eastAsia="宋体" w:cs="宋体"/>
          <w:b/>
          <w:color w:val="auto"/>
          <w:spacing w:val="6"/>
          <w:sz w:val="21"/>
          <w:szCs w:val="21"/>
          <w:highlight w:val="none"/>
        </w:rPr>
      </w:pPr>
      <w:r>
        <w:rPr>
          <w:rFonts w:hint="eastAsia" w:ascii="宋体" w:hAnsi="宋体" w:eastAsia="宋体" w:cs="宋体"/>
          <w:b/>
          <w:color w:val="auto"/>
          <w:spacing w:val="6"/>
          <w:sz w:val="21"/>
          <w:szCs w:val="21"/>
          <w:highlight w:val="none"/>
        </w:rPr>
        <w:t>残疾人福利性单位声明函</w:t>
      </w:r>
    </w:p>
    <w:p w14:paraId="076C5098">
      <w:pPr>
        <w:pageBreakBefore w:val="0"/>
        <w:wordWrap/>
        <w:overflowPunct/>
        <w:topLinePunct w:val="0"/>
        <w:bidi w:val="0"/>
        <w:spacing w:beforeAutospacing="0" w:afterAutospacing="0" w:line="400" w:lineRule="exact"/>
        <w:ind w:left="0" w:leftChars="0" w:right="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eastAsia="宋体" w:cs="宋体"/>
          <w:color w:val="auto"/>
          <w:sz w:val="21"/>
          <w:szCs w:val="21"/>
          <w:highlight w:val="none"/>
        </w:rPr>
        <w:t>〔2017〕141</w:t>
      </w:r>
      <w:r>
        <w:rPr>
          <w:rFonts w:hint="eastAsia" w:ascii="宋体" w:hAnsi="宋体" w:eastAsia="宋体" w:cs="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2328AC2">
      <w:pPr>
        <w:pageBreakBefore w:val="0"/>
        <w:wordWrap/>
        <w:overflowPunct/>
        <w:topLinePunct w:val="0"/>
        <w:bidi w:val="0"/>
        <w:spacing w:beforeAutospacing="0" w:afterAutospacing="0" w:line="400" w:lineRule="exact"/>
        <w:ind w:left="0" w:leftChars="0" w:right="0"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2AD44430">
      <w:pPr>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1EB80DE4">
      <w:pPr>
        <w:pageBreakBefore w:val="0"/>
        <w:tabs>
          <w:tab w:val="left" w:pos="4860"/>
        </w:tabs>
        <w:wordWrap/>
        <w:overflowPunct/>
        <w:topLinePunct w:val="0"/>
        <w:bidi w:val="0"/>
        <w:spacing w:beforeAutospacing="0" w:afterAutospacing="0" w:line="400" w:lineRule="exact"/>
        <w:ind w:left="0" w:leftChars="0" w:right="0" w:firstLine="444" w:firstLineChars="200"/>
        <w:jc w:val="center"/>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 xml:space="preserve">            单位名称（</w:t>
      </w:r>
      <w:r>
        <w:rPr>
          <w:rFonts w:hint="eastAsia" w:ascii="宋体" w:hAnsi="宋体" w:eastAsia="宋体" w:cs="宋体"/>
          <w:color w:val="auto"/>
          <w:sz w:val="21"/>
          <w:szCs w:val="21"/>
          <w:highlight w:val="none"/>
        </w:rPr>
        <w:t>CA签章</w:t>
      </w:r>
      <w:r>
        <w:rPr>
          <w:rFonts w:hint="eastAsia" w:ascii="宋体" w:hAnsi="宋体" w:eastAsia="宋体" w:cs="宋体"/>
          <w:color w:val="auto"/>
          <w:spacing w:val="6"/>
          <w:sz w:val="21"/>
          <w:szCs w:val="21"/>
          <w:highlight w:val="none"/>
        </w:rPr>
        <w:t>）：</w:t>
      </w:r>
    </w:p>
    <w:p w14:paraId="2FEE9990">
      <w:pPr>
        <w:pStyle w:val="17"/>
        <w:pageBreakBefore w:val="0"/>
        <w:wordWrap/>
        <w:overflowPunct/>
        <w:topLinePunct w:val="0"/>
        <w:bidi w:val="0"/>
        <w:spacing w:beforeAutospacing="0" w:afterAutospacing="0" w:line="400" w:lineRule="exact"/>
        <w:ind w:left="0" w:leftChars="0" w:right="0" w:firstLine="3552" w:firstLineChars="16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日    期：  年  月  日</w:t>
      </w:r>
    </w:p>
    <w:p w14:paraId="4F6C2A28">
      <w:pPr>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pacing w:val="6"/>
          <w:sz w:val="21"/>
          <w:szCs w:val="21"/>
          <w:highlight w:val="none"/>
        </w:rPr>
      </w:pPr>
    </w:p>
    <w:p w14:paraId="16F99EA3">
      <w:pPr>
        <w:pStyle w:val="2"/>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604A4229">
      <w:pPr>
        <w:pStyle w:val="2"/>
        <w:pageBreakBefore w:val="0"/>
        <w:wordWrap/>
        <w:overflowPunct/>
        <w:topLinePunct w:val="0"/>
        <w:bidi w:val="0"/>
        <w:spacing w:beforeAutospacing="0" w:afterAutospacing="0" w:line="400" w:lineRule="exact"/>
        <w:ind w:left="0" w:leftChars="0" w:right="0"/>
        <w:rPr>
          <w:rFonts w:hint="eastAsia" w:ascii="宋体" w:hAnsi="宋体" w:eastAsia="宋体" w:cs="宋体"/>
          <w:color w:val="auto"/>
          <w:sz w:val="21"/>
          <w:szCs w:val="21"/>
          <w:highlight w:val="none"/>
        </w:rPr>
      </w:pPr>
    </w:p>
    <w:p w14:paraId="453F39CA">
      <w:pPr>
        <w:pageBreakBefore w:val="0"/>
        <w:widowControl/>
        <w:wordWrap/>
        <w:overflowPunct/>
        <w:topLinePunct w:val="0"/>
        <w:bidi w:val="0"/>
        <w:spacing w:beforeAutospacing="0" w:afterAutospacing="0" w:line="400" w:lineRule="exact"/>
        <w:ind w:left="0" w:leftChars="0" w:right="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注：中标人为残疾人福利性单位的，采购人或者其委托的采购代理机构应当随中标、成交结果同时公告其《残疾人福利性单位声明函》，接受社会监督。</w:t>
      </w:r>
    </w:p>
    <w:p w14:paraId="4A22A733">
      <w:pPr>
        <w:spacing w:line="440" w:lineRule="atLeast"/>
        <w:rPr>
          <w:rFonts w:hint="eastAsia" w:ascii="宋体" w:hAnsi="宋体" w:eastAsia="宋体" w:cs="宋体"/>
          <w:b/>
          <w:color w:val="auto"/>
          <w:sz w:val="28"/>
          <w:szCs w:val="28"/>
          <w:highlight w:val="none"/>
          <w:lang w:val="en-US" w:eastAsia="zh-CN"/>
        </w:rPr>
      </w:pPr>
    </w:p>
    <w:p w14:paraId="25F1D338">
      <w:pPr>
        <w:spacing w:line="280" w:lineRule="exact"/>
        <w:rPr>
          <w:rFonts w:hint="eastAsia" w:ascii="宋体" w:hAnsi="宋体" w:eastAsia="宋体" w:cs="宋体"/>
          <w:b/>
          <w:bCs/>
          <w:color w:val="auto"/>
          <w:sz w:val="24"/>
          <w:highlight w:val="none"/>
        </w:rPr>
      </w:pPr>
      <w:r>
        <w:rPr>
          <w:rFonts w:hint="eastAsia" w:ascii="宋体" w:hAnsi="宋体" w:cs="宋体"/>
          <w:b/>
          <w:color w:val="auto"/>
          <w:sz w:val="28"/>
          <w:szCs w:val="28"/>
          <w:highlight w:val="none"/>
          <w:lang w:val="en-US" w:eastAsia="zh-CN"/>
        </w:rPr>
        <w:br w:type="page"/>
      </w:r>
    </w:p>
    <w:p w14:paraId="3FD62F1E">
      <w:pPr>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附表</w:t>
      </w:r>
      <w:bookmarkStart w:id="163" w:name="_Toc28361_WPSOffice_Level2"/>
    </w:p>
    <w:p w14:paraId="564469EB">
      <w:pPr>
        <w:spacing w:line="40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统计上大中小微型企业划分标准</w:t>
      </w:r>
      <w:bookmarkEnd w:id="163"/>
    </w:p>
    <w:tbl>
      <w:tblPr>
        <w:tblStyle w:val="2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372"/>
        <w:gridCol w:w="710"/>
        <w:gridCol w:w="1127"/>
        <w:gridCol w:w="1705"/>
        <w:gridCol w:w="1429"/>
        <w:gridCol w:w="994"/>
      </w:tblGrid>
      <w:tr w14:paraId="0D6F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2118" w:type="dxa"/>
            <w:shd w:val="clear" w:color="auto" w:fill="8DB3E2"/>
            <w:noWrap w:val="0"/>
            <w:vAlign w:val="center"/>
          </w:tcPr>
          <w:p w14:paraId="4B9AF58A">
            <w:pPr>
              <w:widowControl/>
              <w:spacing w:line="46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72" w:type="dxa"/>
            <w:shd w:val="clear" w:color="auto" w:fill="8DB3E2"/>
            <w:noWrap w:val="0"/>
            <w:vAlign w:val="center"/>
          </w:tcPr>
          <w:p w14:paraId="7BA74417">
            <w:pPr>
              <w:widowControl/>
              <w:spacing w:line="4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10" w:type="dxa"/>
            <w:shd w:val="clear" w:color="auto" w:fill="8DB3E2"/>
            <w:noWrap w:val="0"/>
            <w:vAlign w:val="center"/>
          </w:tcPr>
          <w:p w14:paraId="1A239679">
            <w:pPr>
              <w:widowControl/>
              <w:spacing w:line="4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54CF1E96">
            <w:pPr>
              <w:widowControl/>
              <w:spacing w:line="4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7" w:type="dxa"/>
            <w:shd w:val="clear" w:color="auto" w:fill="8DB3E2"/>
            <w:noWrap w:val="0"/>
            <w:vAlign w:val="center"/>
          </w:tcPr>
          <w:p w14:paraId="52E9A583">
            <w:pPr>
              <w:widowControl/>
              <w:spacing w:line="4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5" w:type="dxa"/>
            <w:shd w:val="clear" w:color="auto" w:fill="8DB3E2"/>
            <w:noWrap w:val="0"/>
            <w:vAlign w:val="center"/>
          </w:tcPr>
          <w:p w14:paraId="12BF26D9">
            <w:pPr>
              <w:widowControl/>
              <w:spacing w:line="4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9" w:type="dxa"/>
            <w:shd w:val="clear" w:color="auto" w:fill="8DB3E2"/>
            <w:noWrap w:val="0"/>
            <w:vAlign w:val="center"/>
          </w:tcPr>
          <w:p w14:paraId="35E18121">
            <w:pPr>
              <w:widowControl/>
              <w:spacing w:line="4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4" w:type="dxa"/>
            <w:shd w:val="clear" w:color="auto" w:fill="8DB3E2"/>
            <w:noWrap w:val="0"/>
            <w:vAlign w:val="center"/>
          </w:tcPr>
          <w:p w14:paraId="2F21EFCC">
            <w:pPr>
              <w:widowControl/>
              <w:spacing w:line="4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7614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noWrap w:val="0"/>
            <w:vAlign w:val="center"/>
          </w:tcPr>
          <w:p w14:paraId="7F8C3C43">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72" w:type="dxa"/>
            <w:noWrap w:val="0"/>
            <w:vAlign w:val="center"/>
          </w:tcPr>
          <w:p w14:paraId="381F7EA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476BC1D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1FDBC70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5" w:type="dxa"/>
            <w:noWrap w:val="0"/>
            <w:vAlign w:val="center"/>
          </w:tcPr>
          <w:p w14:paraId="06F3167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9" w:type="dxa"/>
            <w:noWrap w:val="0"/>
            <w:vAlign w:val="center"/>
          </w:tcPr>
          <w:p w14:paraId="722A033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4" w:type="dxa"/>
            <w:noWrap w:val="0"/>
            <w:vAlign w:val="center"/>
          </w:tcPr>
          <w:p w14:paraId="1BBA0F8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0DE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7408091D">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72" w:type="dxa"/>
            <w:noWrap w:val="0"/>
            <w:vAlign w:val="center"/>
          </w:tcPr>
          <w:p w14:paraId="1DDD247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348FAFA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087771A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5" w:type="dxa"/>
            <w:noWrap w:val="0"/>
            <w:vAlign w:val="center"/>
          </w:tcPr>
          <w:p w14:paraId="0584994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9" w:type="dxa"/>
            <w:noWrap w:val="0"/>
            <w:vAlign w:val="center"/>
          </w:tcPr>
          <w:p w14:paraId="473F3BF5">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4" w:type="dxa"/>
            <w:noWrap w:val="0"/>
            <w:vAlign w:val="center"/>
          </w:tcPr>
          <w:p w14:paraId="2D42055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0E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20B7AD9C">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616ADFF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51961E1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1E85AFE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5" w:type="dxa"/>
            <w:noWrap w:val="0"/>
            <w:vAlign w:val="center"/>
          </w:tcPr>
          <w:p w14:paraId="3270AE0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9" w:type="dxa"/>
            <w:noWrap w:val="0"/>
            <w:vAlign w:val="center"/>
          </w:tcPr>
          <w:p w14:paraId="06CE62F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4" w:type="dxa"/>
            <w:noWrap w:val="0"/>
            <w:vAlign w:val="center"/>
          </w:tcPr>
          <w:p w14:paraId="1F021545">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4E8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6450C504">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72" w:type="dxa"/>
            <w:noWrap w:val="0"/>
            <w:vAlign w:val="center"/>
          </w:tcPr>
          <w:p w14:paraId="3AA0353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6CD1A9A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04CD92A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5" w:type="dxa"/>
            <w:noWrap w:val="0"/>
            <w:vAlign w:val="center"/>
          </w:tcPr>
          <w:p w14:paraId="12CE9F2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9" w:type="dxa"/>
            <w:noWrap w:val="0"/>
            <w:vAlign w:val="center"/>
          </w:tcPr>
          <w:p w14:paraId="7ECE01F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4" w:type="dxa"/>
            <w:noWrap w:val="0"/>
            <w:vAlign w:val="center"/>
          </w:tcPr>
          <w:p w14:paraId="1E7716D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A71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59E778B7">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7B8F341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10" w:type="dxa"/>
            <w:noWrap w:val="0"/>
            <w:vAlign w:val="center"/>
          </w:tcPr>
          <w:p w14:paraId="11BD5AB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2E66586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5" w:type="dxa"/>
            <w:noWrap w:val="0"/>
            <w:vAlign w:val="center"/>
          </w:tcPr>
          <w:p w14:paraId="2271D37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9" w:type="dxa"/>
            <w:noWrap w:val="0"/>
            <w:vAlign w:val="center"/>
          </w:tcPr>
          <w:p w14:paraId="1D7F89B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4" w:type="dxa"/>
            <w:noWrap w:val="0"/>
            <w:vAlign w:val="center"/>
          </w:tcPr>
          <w:p w14:paraId="6D7D398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371E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0977F890">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72" w:type="dxa"/>
            <w:noWrap w:val="0"/>
            <w:vAlign w:val="center"/>
          </w:tcPr>
          <w:p w14:paraId="3023D49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18ED0E3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7E1BD44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5" w:type="dxa"/>
            <w:noWrap w:val="0"/>
            <w:vAlign w:val="center"/>
          </w:tcPr>
          <w:p w14:paraId="2244E54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9" w:type="dxa"/>
            <w:noWrap w:val="0"/>
            <w:vAlign w:val="center"/>
          </w:tcPr>
          <w:p w14:paraId="4E91FBA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4" w:type="dxa"/>
            <w:noWrap w:val="0"/>
            <w:vAlign w:val="center"/>
          </w:tcPr>
          <w:p w14:paraId="56B7A56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C53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185342F8">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1D88770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3A1A710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61A5913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5" w:type="dxa"/>
            <w:noWrap w:val="0"/>
            <w:vAlign w:val="center"/>
          </w:tcPr>
          <w:p w14:paraId="7335163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9" w:type="dxa"/>
            <w:noWrap w:val="0"/>
            <w:vAlign w:val="center"/>
          </w:tcPr>
          <w:p w14:paraId="78DF6006">
            <w:pPr>
              <w:widowControl/>
              <w:spacing w:line="4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4" w:type="dxa"/>
            <w:noWrap w:val="0"/>
            <w:vAlign w:val="center"/>
          </w:tcPr>
          <w:p w14:paraId="785C6BA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2DE4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2118" w:type="dxa"/>
            <w:vMerge w:val="restart"/>
            <w:noWrap w:val="0"/>
            <w:vAlign w:val="center"/>
          </w:tcPr>
          <w:p w14:paraId="420D873A">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72" w:type="dxa"/>
            <w:noWrap w:val="0"/>
            <w:vAlign w:val="center"/>
          </w:tcPr>
          <w:p w14:paraId="1358A0F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4FA9144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1F7165B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5" w:type="dxa"/>
            <w:noWrap w:val="0"/>
            <w:vAlign w:val="center"/>
          </w:tcPr>
          <w:p w14:paraId="3ED806B5">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9" w:type="dxa"/>
            <w:noWrap w:val="0"/>
            <w:vAlign w:val="center"/>
          </w:tcPr>
          <w:p w14:paraId="639B278C">
            <w:pPr>
              <w:widowControl/>
              <w:spacing w:line="4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4" w:type="dxa"/>
            <w:noWrap w:val="0"/>
            <w:vAlign w:val="center"/>
          </w:tcPr>
          <w:p w14:paraId="1B55D18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BEB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6CD1CFA7">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5F8D6F5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5EF518A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382FC13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5" w:type="dxa"/>
            <w:noWrap w:val="0"/>
            <w:vAlign w:val="center"/>
          </w:tcPr>
          <w:p w14:paraId="5E3303B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9" w:type="dxa"/>
            <w:noWrap w:val="0"/>
            <w:vAlign w:val="center"/>
          </w:tcPr>
          <w:p w14:paraId="1B91A89D">
            <w:pPr>
              <w:widowControl/>
              <w:spacing w:line="4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4" w:type="dxa"/>
            <w:noWrap w:val="0"/>
            <w:vAlign w:val="center"/>
          </w:tcPr>
          <w:p w14:paraId="547CD07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559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01FDA776">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72" w:type="dxa"/>
            <w:noWrap w:val="0"/>
            <w:vAlign w:val="center"/>
          </w:tcPr>
          <w:p w14:paraId="114E743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17089D4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582C530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5" w:type="dxa"/>
            <w:noWrap w:val="0"/>
            <w:vAlign w:val="center"/>
          </w:tcPr>
          <w:p w14:paraId="5509B41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9" w:type="dxa"/>
            <w:noWrap w:val="0"/>
            <w:vAlign w:val="center"/>
          </w:tcPr>
          <w:p w14:paraId="586B243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4" w:type="dxa"/>
            <w:noWrap w:val="0"/>
            <w:vAlign w:val="center"/>
          </w:tcPr>
          <w:p w14:paraId="5BC0387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606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10D0F448">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211CE27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37D6986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505AED3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5" w:type="dxa"/>
            <w:noWrap w:val="0"/>
            <w:vAlign w:val="center"/>
          </w:tcPr>
          <w:p w14:paraId="278C64F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9" w:type="dxa"/>
            <w:noWrap w:val="0"/>
            <w:vAlign w:val="center"/>
          </w:tcPr>
          <w:p w14:paraId="4F327EB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4" w:type="dxa"/>
            <w:noWrap w:val="0"/>
            <w:vAlign w:val="center"/>
          </w:tcPr>
          <w:p w14:paraId="53F3422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1C23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12CD6D70">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72" w:type="dxa"/>
            <w:noWrap w:val="0"/>
            <w:vAlign w:val="center"/>
          </w:tcPr>
          <w:p w14:paraId="019AA90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22B8FA8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270870D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5" w:type="dxa"/>
            <w:noWrap w:val="0"/>
            <w:vAlign w:val="center"/>
          </w:tcPr>
          <w:p w14:paraId="360B81B8">
            <w:pPr>
              <w:widowControl/>
              <w:spacing w:line="4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9" w:type="dxa"/>
            <w:noWrap w:val="0"/>
            <w:vAlign w:val="center"/>
          </w:tcPr>
          <w:p w14:paraId="37573EC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4" w:type="dxa"/>
            <w:noWrap w:val="0"/>
            <w:vAlign w:val="center"/>
          </w:tcPr>
          <w:p w14:paraId="6381802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56E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2A5A1123">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772F047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5AA228C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01D9F85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5" w:type="dxa"/>
            <w:noWrap w:val="0"/>
            <w:vAlign w:val="center"/>
          </w:tcPr>
          <w:p w14:paraId="6F2FF9F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9" w:type="dxa"/>
            <w:noWrap w:val="0"/>
            <w:vAlign w:val="center"/>
          </w:tcPr>
          <w:p w14:paraId="0B8D8E6E">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4" w:type="dxa"/>
            <w:noWrap w:val="0"/>
            <w:vAlign w:val="center"/>
          </w:tcPr>
          <w:p w14:paraId="2244BD1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A0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4FF0885E">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72" w:type="dxa"/>
            <w:noWrap w:val="0"/>
            <w:vAlign w:val="center"/>
          </w:tcPr>
          <w:p w14:paraId="1866179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75CF64C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4C4A5D9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5" w:type="dxa"/>
            <w:noWrap w:val="0"/>
            <w:vAlign w:val="center"/>
          </w:tcPr>
          <w:p w14:paraId="13DDE0C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9" w:type="dxa"/>
            <w:noWrap w:val="0"/>
            <w:vAlign w:val="center"/>
          </w:tcPr>
          <w:p w14:paraId="7A714BF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4" w:type="dxa"/>
            <w:noWrap w:val="0"/>
            <w:vAlign w:val="center"/>
          </w:tcPr>
          <w:p w14:paraId="159CF03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0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1D1D3BEC">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3490FFF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4FACC70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38B58EE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5" w:type="dxa"/>
            <w:noWrap w:val="0"/>
            <w:vAlign w:val="center"/>
          </w:tcPr>
          <w:p w14:paraId="59049D5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9" w:type="dxa"/>
            <w:noWrap w:val="0"/>
            <w:vAlign w:val="center"/>
          </w:tcPr>
          <w:p w14:paraId="7A2F374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4" w:type="dxa"/>
            <w:noWrap w:val="0"/>
            <w:vAlign w:val="center"/>
          </w:tcPr>
          <w:p w14:paraId="144C32B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510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0194CDAB">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72" w:type="dxa"/>
            <w:noWrap w:val="0"/>
            <w:vAlign w:val="center"/>
          </w:tcPr>
          <w:p w14:paraId="53B4800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2F7EA41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6D3065A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5" w:type="dxa"/>
            <w:noWrap w:val="0"/>
            <w:vAlign w:val="center"/>
          </w:tcPr>
          <w:p w14:paraId="7CB3B732">
            <w:pPr>
              <w:widowControl/>
              <w:spacing w:line="4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9" w:type="dxa"/>
            <w:noWrap w:val="0"/>
            <w:vAlign w:val="center"/>
          </w:tcPr>
          <w:p w14:paraId="69FC818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4" w:type="dxa"/>
            <w:noWrap w:val="0"/>
            <w:vAlign w:val="center"/>
          </w:tcPr>
          <w:p w14:paraId="3E2D987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7FF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7996A3BA">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5E4532F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05E5152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6A0DF33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5" w:type="dxa"/>
            <w:noWrap w:val="0"/>
            <w:vAlign w:val="center"/>
          </w:tcPr>
          <w:p w14:paraId="051A76E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9" w:type="dxa"/>
            <w:noWrap w:val="0"/>
            <w:vAlign w:val="center"/>
          </w:tcPr>
          <w:p w14:paraId="5F647B7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4" w:type="dxa"/>
            <w:noWrap w:val="0"/>
            <w:vAlign w:val="center"/>
          </w:tcPr>
          <w:p w14:paraId="0AC5357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A2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35058AAD">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72" w:type="dxa"/>
            <w:noWrap w:val="0"/>
            <w:vAlign w:val="center"/>
          </w:tcPr>
          <w:p w14:paraId="27A2BB2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3003FB2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4EF07E9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5" w:type="dxa"/>
            <w:noWrap w:val="0"/>
            <w:vAlign w:val="center"/>
          </w:tcPr>
          <w:p w14:paraId="4C9AFF69">
            <w:pPr>
              <w:widowControl/>
              <w:spacing w:line="4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9" w:type="dxa"/>
            <w:noWrap w:val="0"/>
            <w:vAlign w:val="center"/>
          </w:tcPr>
          <w:p w14:paraId="5A47320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4" w:type="dxa"/>
            <w:noWrap w:val="0"/>
            <w:vAlign w:val="center"/>
          </w:tcPr>
          <w:p w14:paraId="08E5B28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5A4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2468D3C9">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00FF4525">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345C4FE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3ECF3E7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5" w:type="dxa"/>
            <w:noWrap w:val="0"/>
            <w:vAlign w:val="center"/>
          </w:tcPr>
          <w:p w14:paraId="3C77574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9" w:type="dxa"/>
            <w:noWrap w:val="0"/>
            <w:vAlign w:val="center"/>
          </w:tcPr>
          <w:p w14:paraId="2BDFF5D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4" w:type="dxa"/>
            <w:noWrap w:val="0"/>
            <w:vAlign w:val="center"/>
          </w:tcPr>
          <w:p w14:paraId="653AC31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69D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restart"/>
            <w:noWrap w:val="0"/>
            <w:vAlign w:val="center"/>
          </w:tcPr>
          <w:p w14:paraId="682F2C11">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72" w:type="dxa"/>
            <w:noWrap w:val="0"/>
            <w:vAlign w:val="center"/>
          </w:tcPr>
          <w:p w14:paraId="2A2CF07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59057A4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6D428F6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5" w:type="dxa"/>
            <w:noWrap w:val="0"/>
            <w:vAlign w:val="center"/>
          </w:tcPr>
          <w:p w14:paraId="371F5E6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9" w:type="dxa"/>
            <w:noWrap w:val="0"/>
            <w:vAlign w:val="center"/>
          </w:tcPr>
          <w:p w14:paraId="7D8C5A3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4" w:type="dxa"/>
            <w:noWrap w:val="0"/>
            <w:vAlign w:val="center"/>
          </w:tcPr>
          <w:p w14:paraId="33E75E0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588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118" w:type="dxa"/>
            <w:vMerge w:val="continue"/>
            <w:noWrap w:val="0"/>
            <w:vAlign w:val="center"/>
          </w:tcPr>
          <w:p w14:paraId="47AB2E2D">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7845AA0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1DECDCF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6B12ED4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5" w:type="dxa"/>
            <w:noWrap w:val="0"/>
            <w:vAlign w:val="center"/>
          </w:tcPr>
          <w:p w14:paraId="68D7D26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9" w:type="dxa"/>
            <w:noWrap w:val="0"/>
            <w:vAlign w:val="center"/>
          </w:tcPr>
          <w:p w14:paraId="2E067A3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4" w:type="dxa"/>
            <w:noWrap w:val="0"/>
            <w:vAlign w:val="center"/>
          </w:tcPr>
          <w:p w14:paraId="62983593">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659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2118" w:type="dxa"/>
            <w:vMerge w:val="restart"/>
            <w:noWrap w:val="0"/>
            <w:vAlign w:val="center"/>
          </w:tcPr>
          <w:p w14:paraId="6B1A9A16">
            <w:pPr>
              <w:widowControl/>
              <w:spacing w:line="46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72" w:type="dxa"/>
            <w:noWrap w:val="0"/>
            <w:vAlign w:val="center"/>
          </w:tcPr>
          <w:p w14:paraId="3C805F5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48FCED87">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4D1553A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5" w:type="dxa"/>
            <w:noWrap w:val="0"/>
            <w:vAlign w:val="center"/>
          </w:tcPr>
          <w:p w14:paraId="205E964F">
            <w:pPr>
              <w:widowControl/>
              <w:spacing w:line="4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9" w:type="dxa"/>
            <w:noWrap w:val="0"/>
            <w:vAlign w:val="center"/>
          </w:tcPr>
          <w:p w14:paraId="63A814F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4" w:type="dxa"/>
            <w:noWrap w:val="0"/>
            <w:vAlign w:val="center"/>
          </w:tcPr>
          <w:p w14:paraId="0088993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1E5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17B38E3B">
            <w:pPr>
              <w:widowControl/>
              <w:spacing w:line="460" w:lineRule="exact"/>
              <w:jc w:val="left"/>
              <w:rPr>
                <w:rFonts w:ascii="宋体" w:hAnsi="宋体" w:cs="宋体"/>
                <w:color w:val="auto"/>
                <w:spacing w:val="-12"/>
                <w:kern w:val="0"/>
                <w:sz w:val="18"/>
                <w:szCs w:val="18"/>
                <w:highlight w:val="none"/>
              </w:rPr>
            </w:pPr>
          </w:p>
        </w:tc>
        <w:tc>
          <w:tcPr>
            <w:tcW w:w="1372" w:type="dxa"/>
            <w:noWrap w:val="0"/>
            <w:vAlign w:val="center"/>
          </w:tcPr>
          <w:p w14:paraId="5AA2E11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6ABC376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764C229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5" w:type="dxa"/>
            <w:noWrap w:val="0"/>
            <w:vAlign w:val="center"/>
          </w:tcPr>
          <w:p w14:paraId="4FE6CFE5">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9" w:type="dxa"/>
            <w:noWrap w:val="0"/>
            <w:vAlign w:val="center"/>
          </w:tcPr>
          <w:p w14:paraId="6DABCDD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4" w:type="dxa"/>
            <w:noWrap w:val="0"/>
            <w:vAlign w:val="center"/>
          </w:tcPr>
          <w:p w14:paraId="697D6DD5">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1F7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118" w:type="dxa"/>
            <w:vMerge w:val="restart"/>
            <w:noWrap w:val="0"/>
            <w:vAlign w:val="center"/>
          </w:tcPr>
          <w:p w14:paraId="1558F9CA">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72" w:type="dxa"/>
            <w:noWrap w:val="0"/>
            <w:vAlign w:val="center"/>
          </w:tcPr>
          <w:p w14:paraId="415148F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3052A9D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140F96C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5" w:type="dxa"/>
            <w:noWrap w:val="0"/>
            <w:vAlign w:val="center"/>
          </w:tcPr>
          <w:p w14:paraId="3E0AD87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9" w:type="dxa"/>
            <w:noWrap w:val="0"/>
            <w:vAlign w:val="center"/>
          </w:tcPr>
          <w:p w14:paraId="4F69677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4" w:type="dxa"/>
            <w:noWrap w:val="0"/>
            <w:vAlign w:val="center"/>
          </w:tcPr>
          <w:p w14:paraId="3F91130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763D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37DC200F">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3E31234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10" w:type="dxa"/>
            <w:noWrap w:val="0"/>
            <w:vAlign w:val="center"/>
          </w:tcPr>
          <w:p w14:paraId="4B1BD5B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74837CC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5" w:type="dxa"/>
            <w:noWrap w:val="0"/>
            <w:vAlign w:val="center"/>
          </w:tcPr>
          <w:p w14:paraId="2911D9D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9" w:type="dxa"/>
            <w:noWrap w:val="0"/>
            <w:vAlign w:val="center"/>
          </w:tcPr>
          <w:p w14:paraId="72406F2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4" w:type="dxa"/>
            <w:noWrap w:val="0"/>
            <w:vAlign w:val="center"/>
          </w:tcPr>
          <w:p w14:paraId="1C363C5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228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jc w:val="center"/>
        </w:trPr>
        <w:tc>
          <w:tcPr>
            <w:tcW w:w="2118" w:type="dxa"/>
            <w:vMerge w:val="restart"/>
            <w:noWrap w:val="0"/>
            <w:vAlign w:val="center"/>
          </w:tcPr>
          <w:p w14:paraId="38957021">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72" w:type="dxa"/>
            <w:noWrap w:val="0"/>
            <w:vAlign w:val="center"/>
          </w:tcPr>
          <w:p w14:paraId="4CB8A0BE">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084EBFA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28FD527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5" w:type="dxa"/>
            <w:noWrap w:val="0"/>
            <w:vAlign w:val="center"/>
          </w:tcPr>
          <w:p w14:paraId="14E2D87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9" w:type="dxa"/>
            <w:noWrap w:val="0"/>
            <w:vAlign w:val="center"/>
          </w:tcPr>
          <w:p w14:paraId="68F91EA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4" w:type="dxa"/>
            <w:noWrap w:val="0"/>
            <w:vAlign w:val="center"/>
          </w:tcPr>
          <w:p w14:paraId="53DBE48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FDE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118" w:type="dxa"/>
            <w:vMerge w:val="continue"/>
            <w:noWrap w:val="0"/>
            <w:vAlign w:val="center"/>
          </w:tcPr>
          <w:p w14:paraId="14B54119">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5706458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10" w:type="dxa"/>
            <w:noWrap w:val="0"/>
            <w:vAlign w:val="center"/>
          </w:tcPr>
          <w:p w14:paraId="61AD5BD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14BC170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5" w:type="dxa"/>
            <w:noWrap w:val="0"/>
            <w:vAlign w:val="center"/>
          </w:tcPr>
          <w:p w14:paraId="6B5A1694">
            <w:pPr>
              <w:widowControl/>
              <w:spacing w:line="4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9" w:type="dxa"/>
            <w:noWrap w:val="0"/>
            <w:vAlign w:val="center"/>
          </w:tcPr>
          <w:p w14:paraId="039BDBD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4" w:type="dxa"/>
            <w:noWrap w:val="0"/>
            <w:vAlign w:val="center"/>
          </w:tcPr>
          <w:p w14:paraId="29A73BAE">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70C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118" w:type="dxa"/>
            <w:vMerge w:val="restart"/>
            <w:noWrap w:val="0"/>
            <w:vAlign w:val="center"/>
          </w:tcPr>
          <w:p w14:paraId="017C3D86">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72" w:type="dxa"/>
            <w:noWrap w:val="0"/>
            <w:vAlign w:val="center"/>
          </w:tcPr>
          <w:p w14:paraId="6DDDC96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7063C40A">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3C330669">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5" w:type="dxa"/>
            <w:noWrap w:val="0"/>
            <w:vAlign w:val="center"/>
          </w:tcPr>
          <w:p w14:paraId="40DCE511">
            <w:pPr>
              <w:widowControl/>
              <w:spacing w:line="4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9" w:type="dxa"/>
            <w:noWrap w:val="0"/>
            <w:vAlign w:val="center"/>
          </w:tcPr>
          <w:p w14:paraId="5219F70C">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4" w:type="dxa"/>
            <w:noWrap w:val="0"/>
            <w:vAlign w:val="center"/>
          </w:tcPr>
          <w:p w14:paraId="14227E8D">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9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118" w:type="dxa"/>
            <w:vMerge w:val="continue"/>
            <w:noWrap w:val="0"/>
            <w:vAlign w:val="center"/>
          </w:tcPr>
          <w:p w14:paraId="786B2791">
            <w:pPr>
              <w:widowControl/>
              <w:spacing w:line="460" w:lineRule="exact"/>
              <w:jc w:val="left"/>
              <w:rPr>
                <w:rFonts w:ascii="宋体" w:hAnsi="宋体" w:cs="宋体"/>
                <w:color w:val="auto"/>
                <w:kern w:val="0"/>
                <w:sz w:val="18"/>
                <w:szCs w:val="18"/>
                <w:highlight w:val="none"/>
              </w:rPr>
            </w:pPr>
          </w:p>
        </w:tc>
        <w:tc>
          <w:tcPr>
            <w:tcW w:w="1372" w:type="dxa"/>
            <w:noWrap w:val="0"/>
            <w:vAlign w:val="center"/>
          </w:tcPr>
          <w:p w14:paraId="31860CF6">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10" w:type="dxa"/>
            <w:noWrap w:val="0"/>
            <w:vAlign w:val="center"/>
          </w:tcPr>
          <w:p w14:paraId="041B29A0">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7" w:type="dxa"/>
            <w:noWrap w:val="0"/>
            <w:vAlign w:val="center"/>
          </w:tcPr>
          <w:p w14:paraId="62C7E764">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5" w:type="dxa"/>
            <w:noWrap w:val="0"/>
            <w:vAlign w:val="center"/>
          </w:tcPr>
          <w:p w14:paraId="3877157E">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9" w:type="dxa"/>
            <w:noWrap w:val="0"/>
            <w:vAlign w:val="center"/>
          </w:tcPr>
          <w:p w14:paraId="73A3D77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4" w:type="dxa"/>
            <w:noWrap w:val="0"/>
            <w:vAlign w:val="center"/>
          </w:tcPr>
          <w:p w14:paraId="413E2E3F">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263E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2118" w:type="dxa"/>
            <w:noWrap w:val="0"/>
            <w:vAlign w:val="center"/>
          </w:tcPr>
          <w:p w14:paraId="71DBFD49">
            <w:pPr>
              <w:widowControl/>
              <w:spacing w:line="46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72" w:type="dxa"/>
            <w:noWrap w:val="0"/>
            <w:vAlign w:val="center"/>
          </w:tcPr>
          <w:p w14:paraId="720B154B">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10" w:type="dxa"/>
            <w:noWrap w:val="0"/>
            <w:vAlign w:val="center"/>
          </w:tcPr>
          <w:p w14:paraId="6D24A238">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7" w:type="dxa"/>
            <w:noWrap w:val="0"/>
            <w:vAlign w:val="center"/>
          </w:tcPr>
          <w:p w14:paraId="70874CFE">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5" w:type="dxa"/>
            <w:noWrap w:val="0"/>
            <w:vAlign w:val="center"/>
          </w:tcPr>
          <w:p w14:paraId="2E68E3D8">
            <w:pPr>
              <w:widowControl/>
              <w:spacing w:line="4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9" w:type="dxa"/>
            <w:noWrap w:val="0"/>
            <w:vAlign w:val="center"/>
          </w:tcPr>
          <w:p w14:paraId="45F07761">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4" w:type="dxa"/>
            <w:noWrap w:val="0"/>
            <w:vAlign w:val="center"/>
          </w:tcPr>
          <w:p w14:paraId="146EDF72">
            <w:pPr>
              <w:widowControl/>
              <w:spacing w:line="4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4D2DEBF">
      <w:pPr>
        <w:widowControl/>
        <w:spacing w:line="460" w:lineRule="exact"/>
        <w:rPr>
          <w:rFonts w:ascii="宋体" w:hAnsi="宋体" w:cs="宋体"/>
          <w:color w:val="auto"/>
          <w:spacing w:val="8"/>
          <w:kern w:val="0"/>
          <w:sz w:val="21"/>
          <w:szCs w:val="21"/>
          <w:highlight w:val="none"/>
        </w:rPr>
      </w:pPr>
      <w:r>
        <w:rPr>
          <w:rFonts w:hint="eastAsia" w:ascii="宋体" w:hAnsi="宋体" w:cs="宋体"/>
          <w:color w:val="auto"/>
          <w:spacing w:val="8"/>
          <w:kern w:val="0"/>
          <w:sz w:val="21"/>
          <w:szCs w:val="21"/>
          <w:highlight w:val="none"/>
        </w:rPr>
        <w:t>说明：</w:t>
      </w:r>
    </w:p>
    <w:p w14:paraId="206FE045">
      <w:pPr>
        <w:pStyle w:val="17"/>
        <w:adjustRightInd w:val="0"/>
        <w:spacing w:line="460" w:lineRule="exact"/>
        <w:ind w:firstLine="452" w:firstLineChars="200"/>
        <w:contextualSpacing/>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1.大型、中型和小型企业须同时满足所列指标的下限，否则下划一档；微型企业只须满足所列指标中的一项即可。</w:t>
      </w:r>
    </w:p>
    <w:p w14:paraId="03DE1179">
      <w:pPr>
        <w:pStyle w:val="17"/>
        <w:adjustRightInd w:val="0"/>
        <w:spacing w:line="460" w:lineRule="exact"/>
        <w:ind w:firstLine="452" w:firstLineChars="200"/>
        <w:contextualSpacing/>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CF70285">
      <w:pPr>
        <w:pStyle w:val="17"/>
        <w:spacing w:line="460" w:lineRule="exact"/>
        <w:ind w:firstLine="452" w:firstLineChars="200"/>
        <w:rPr>
          <w:rFonts w:hAnsi="宋体" w:cs="宋体"/>
          <w:color w:val="auto"/>
          <w:spacing w:val="8"/>
          <w:kern w:val="0"/>
          <w:sz w:val="21"/>
          <w:szCs w:val="21"/>
          <w:highlight w:val="none"/>
        </w:rPr>
      </w:pPr>
      <w:r>
        <w:rPr>
          <w:rFonts w:hint="eastAsia" w:hAnsi="宋体" w:cs="宋体"/>
          <w:color w:val="auto"/>
          <w:spacing w:val="8"/>
          <w:kern w:val="0"/>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81EBD89">
      <w:pPr>
        <w:pStyle w:val="10"/>
        <w:rPr>
          <w:rFonts w:hint="eastAsia" w:ascii="宋体" w:hAnsi="宋体" w:eastAsia="宋体" w:cs="宋体"/>
          <w:color w:val="auto"/>
          <w:spacing w:val="8"/>
          <w:kern w:val="0"/>
          <w:szCs w:val="21"/>
          <w:highlight w:val="none"/>
        </w:rPr>
      </w:pPr>
    </w:p>
    <w:p w14:paraId="4063760F">
      <w:pPr>
        <w:ind w:left="420"/>
        <w:jc w:val="center"/>
        <w:rPr>
          <w:rFonts w:hint="eastAsia" w:ascii="宋体" w:hAnsi="宋体" w:eastAsia="宋体" w:cs="宋体"/>
          <w:b/>
          <w:bCs/>
          <w:color w:val="auto"/>
          <w:sz w:val="32"/>
          <w:szCs w:val="32"/>
          <w:highlight w:val="none"/>
        </w:rPr>
      </w:pPr>
    </w:p>
    <w:p w14:paraId="70ECDE27">
      <w:pPr>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33DBDBD6">
      <w:pPr>
        <w:ind w:left="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（二）符合性响应证明材料目录</w:t>
      </w:r>
    </w:p>
    <w:p w14:paraId="3346187A">
      <w:pPr>
        <w:pStyle w:val="4"/>
        <w:ind w:left="567" w:leftChars="200" w:hanging="147" w:hangingChars="70"/>
        <w:rPr>
          <w:rFonts w:hint="eastAsia" w:ascii="宋体" w:hAnsi="宋体" w:eastAsia="宋体" w:cs="宋体"/>
          <w:bCs w:val="0"/>
          <w:color w:val="auto"/>
          <w:sz w:val="21"/>
          <w:szCs w:val="21"/>
          <w:highlight w:val="none"/>
          <w:lang w:val="en-US"/>
        </w:rPr>
      </w:pPr>
    </w:p>
    <w:p w14:paraId="5AE201D0">
      <w:pPr>
        <w:pStyle w:val="4"/>
        <w:spacing w:line="400" w:lineRule="exact"/>
        <w:ind w:left="210" w:leftChars="100" w:firstLine="63" w:firstLineChars="30"/>
        <w:rPr>
          <w:rFonts w:hint="eastAsia" w:ascii="宋体" w:hAnsi="宋体" w:eastAsia="宋体" w:cs="宋体"/>
          <w:bCs w:val="0"/>
          <w:color w:val="auto"/>
          <w:sz w:val="21"/>
          <w:szCs w:val="21"/>
          <w:highlight w:val="none"/>
          <w:lang w:val="en-US"/>
        </w:rPr>
      </w:pPr>
      <w:r>
        <w:rPr>
          <w:rFonts w:hint="eastAsia" w:ascii="宋体" w:hAnsi="宋体" w:eastAsia="宋体" w:cs="宋体"/>
          <w:bCs w:val="0"/>
          <w:color w:val="auto"/>
          <w:sz w:val="21"/>
          <w:szCs w:val="21"/>
          <w:highlight w:val="none"/>
          <w:lang w:val="en-US"/>
        </w:rPr>
        <w:t>1</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响应函（格式见附件）</w:t>
      </w:r>
      <w:r>
        <w:rPr>
          <w:rFonts w:hint="eastAsia" w:ascii="宋体" w:hAnsi="宋体" w:eastAsia="宋体" w:cs="宋体"/>
          <w:b/>
          <w:color w:val="auto"/>
          <w:sz w:val="21"/>
          <w:szCs w:val="21"/>
          <w:highlight w:val="none"/>
          <w:lang w:val="en-US"/>
        </w:rPr>
        <w:t>（必须提供）；</w:t>
      </w:r>
    </w:p>
    <w:p w14:paraId="1DA07753">
      <w:pPr>
        <w:pStyle w:val="4"/>
        <w:spacing w:line="400" w:lineRule="exact"/>
        <w:ind w:left="210" w:leftChars="100" w:firstLine="63" w:firstLineChars="3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rPr>
        <w:t>2</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eastAsia="zh-CN"/>
        </w:rPr>
        <w:t>磋商报价表（格式见附件）</w:t>
      </w:r>
      <w:r>
        <w:rPr>
          <w:rFonts w:hint="eastAsia" w:ascii="宋体" w:hAnsi="宋体" w:eastAsia="宋体" w:cs="宋体"/>
          <w:b/>
          <w:color w:val="auto"/>
          <w:sz w:val="21"/>
          <w:szCs w:val="21"/>
          <w:highlight w:val="none"/>
          <w:lang w:val="en-US"/>
        </w:rPr>
        <w:t>（必须提供）；</w:t>
      </w:r>
    </w:p>
    <w:p w14:paraId="17FA1CF7">
      <w:pPr>
        <w:pStyle w:val="4"/>
        <w:spacing w:line="400" w:lineRule="exact"/>
        <w:ind w:left="210" w:leftChars="100" w:firstLine="63" w:firstLineChars="30"/>
        <w:rPr>
          <w:rFonts w:hint="eastAsia"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3</w:t>
      </w:r>
      <w:r>
        <w:rPr>
          <w:rFonts w:hint="eastAsia" w:ascii="宋体" w:hAnsi="宋体" w:cs="宋体"/>
          <w:bCs w:val="0"/>
          <w:color w:val="auto"/>
          <w:sz w:val="21"/>
          <w:szCs w:val="21"/>
          <w:highlight w:val="none"/>
          <w:lang w:val="en-US" w:eastAsia="zh-CN"/>
        </w:rPr>
        <w:t>.</w:t>
      </w:r>
      <w:r>
        <w:rPr>
          <w:rFonts w:hint="eastAsia" w:ascii="宋体" w:hAnsi="宋体" w:eastAsia="宋体" w:cs="宋体"/>
          <w:bCs w:val="0"/>
          <w:color w:val="auto"/>
          <w:sz w:val="21"/>
          <w:szCs w:val="21"/>
          <w:highlight w:val="none"/>
          <w:lang w:val="en-US"/>
        </w:rPr>
        <w:t>项目实施方案（格式自拟）</w:t>
      </w:r>
      <w:r>
        <w:rPr>
          <w:rFonts w:hint="eastAsia" w:ascii="宋体" w:hAnsi="宋体" w:eastAsia="宋体" w:cs="宋体"/>
          <w:b/>
          <w:color w:val="auto"/>
          <w:sz w:val="21"/>
          <w:szCs w:val="21"/>
          <w:highlight w:val="none"/>
          <w:lang w:val="en-US"/>
        </w:rPr>
        <w:t>（</w:t>
      </w:r>
      <w:r>
        <w:rPr>
          <w:rFonts w:hint="eastAsia" w:ascii="宋体" w:hAnsi="宋体" w:cs="宋体"/>
          <w:b/>
          <w:color w:val="auto"/>
          <w:sz w:val="21"/>
          <w:szCs w:val="21"/>
          <w:highlight w:val="none"/>
          <w:lang w:val="en-US" w:eastAsia="zh-CN"/>
        </w:rPr>
        <w:t>如有，请</w:t>
      </w:r>
      <w:r>
        <w:rPr>
          <w:rFonts w:hint="eastAsia" w:ascii="宋体" w:hAnsi="宋体" w:eastAsia="宋体" w:cs="宋体"/>
          <w:b/>
          <w:color w:val="auto"/>
          <w:sz w:val="21"/>
          <w:szCs w:val="21"/>
          <w:highlight w:val="none"/>
          <w:lang w:val="en-US"/>
        </w:rPr>
        <w:t>提供）</w:t>
      </w:r>
      <w:r>
        <w:rPr>
          <w:rFonts w:hint="eastAsia" w:ascii="宋体" w:hAnsi="宋体" w:eastAsia="宋体" w:cs="宋体"/>
          <w:b/>
          <w:color w:val="auto"/>
          <w:sz w:val="21"/>
          <w:szCs w:val="21"/>
          <w:highlight w:val="none"/>
          <w:lang w:val="en-US" w:eastAsia="zh-CN"/>
        </w:rPr>
        <w:t>；</w:t>
      </w:r>
    </w:p>
    <w:p w14:paraId="589C9F5B">
      <w:pPr>
        <w:pStyle w:val="17"/>
        <w:spacing w:line="340" w:lineRule="exact"/>
        <w:rPr>
          <w:rFonts w:hint="eastAsia" w:ascii="宋体" w:hAnsi="宋体" w:eastAsia="宋体" w:cs="宋体"/>
          <w:b/>
          <w:color w:val="auto"/>
          <w:sz w:val="28"/>
          <w:szCs w:val="28"/>
          <w:highlight w:val="none"/>
        </w:rPr>
      </w:pPr>
    </w:p>
    <w:p w14:paraId="384F69FD">
      <w:pPr>
        <w:pStyle w:val="17"/>
        <w:spacing w:line="340" w:lineRule="exact"/>
        <w:rPr>
          <w:rFonts w:hint="eastAsia" w:ascii="宋体" w:hAnsi="宋体" w:eastAsia="宋体" w:cs="宋体"/>
          <w:b/>
          <w:color w:val="auto"/>
          <w:sz w:val="28"/>
          <w:szCs w:val="28"/>
          <w:highlight w:val="none"/>
        </w:rPr>
      </w:pPr>
    </w:p>
    <w:p w14:paraId="799CAF7A">
      <w:pPr>
        <w:rPr>
          <w:rFonts w:hint="eastAsia" w:ascii="宋体" w:hAnsi="宋体" w:eastAsia="宋体" w:cs="宋体"/>
          <w:b/>
          <w:color w:val="auto"/>
          <w:sz w:val="28"/>
          <w:szCs w:val="28"/>
          <w:highlight w:val="none"/>
        </w:rPr>
      </w:pPr>
    </w:p>
    <w:p w14:paraId="4F416104">
      <w:pPr>
        <w:pStyle w:val="2"/>
        <w:rPr>
          <w:rFonts w:hint="eastAsia" w:ascii="宋体" w:hAnsi="宋体" w:eastAsia="宋体" w:cs="宋体"/>
          <w:b/>
          <w:color w:val="auto"/>
          <w:sz w:val="28"/>
          <w:szCs w:val="28"/>
          <w:highlight w:val="none"/>
        </w:rPr>
      </w:pPr>
    </w:p>
    <w:p w14:paraId="4892E9AE">
      <w:pPr>
        <w:rPr>
          <w:rFonts w:hint="eastAsia" w:ascii="宋体" w:hAnsi="宋体" w:eastAsia="宋体" w:cs="宋体"/>
          <w:b/>
          <w:color w:val="auto"/>
          <w:sz w:val="28"/>
          <w:szCs w:val="28"/>
          <w:highlight w:val="none"/>
        </w:rPr>
      </w:pPr>
    </w:p>
    <w:p w14:paraId="4FA120DE">
      <w:pPr>
        <w:pStyle w:val="2"/>
        <w:rPr>
          <w:rFonts w:hint="eastAsia" w:ascii="宋体" w:hAnsi="宋体" w:eastAsia="宋体" w:cs="宋体"/>
          <w:b/>
          <w:color w:val="auto"/>
          <w:sz w:val="28"/>
          <w:szCs w:val="28"/>
          <w:highlight w:val="none"/>
        </w:rPr>
      </w:pPr>
    </w:p>
    <w:p w14:paraId="22C2BDE8">
      <w:pPr>
        <w:rPr>
          <w:rFonts w:hint="eastAsia" w:ascii="宋体" w:hAnsi="宋体" w:eastAsia="宋体" w:cs="宋体"/>
          <w:b/>
          <w:color w:val="auto"/>
          <w:sz w:val="28"/>
          <w:szCs w:val="28"/>
          <w:highlight w:val="none"/>
        </w:rPr>
      </w:pPr>
    </w:p>
    <w:p w14:paraId="5D184562">
      <w:pPr>
        <w:pStyle w:val="2"/>
        <w:rPr>
          <w:rFonts w:hint="eastAsia" w:ascii="宋体" w:hAnsi="宋体" w:eastAsia="宋体" w:cs="宋体"/>
          <w:b/>
          <w:color w:val="auto"/>
          <w:sz w:val="28"/>
          <w:szCs w:val="28"/>
          <w:highlight w:val="none"/>
        </w:rPr>
      </w:pPr>
    </w:p>
    <w:p w14:paraId="29E3D9F0">
      <w:pPr>
        <w:rPr>
          <w:rFonts w:hint="eastAsia" w:ascii="宋体" w:hAnsi="宋体" w:eastAsia="宋体" w:cs="宋体"/>
          <w:b/>
          <w:color w:val="auto"/>
          <w:sz w:val="28"/>
          <w:szCs w:val="28"/>
          <w:highlight w:val="none"/>
        </w:rPr>
      </w:pPr>
    </w:p>
    <w:p w14:paraId="0862DB20">
      <w:pPr>
        <w:pStyle w:val="2"/>
        <w:rPr>
          <w:rFonts w:hint="eastAsia" w:ascii="宋体" w:hAnsi="宋体" w:eastAsia="宋体" w:cs="宋体"/>
          <w:b/>
          <w:color w:val="auto"/>
          <w:sz w:val="28"/>
          <w:szCs w:val="28"/>
          <w:highlight w:val="none"/>
        </w:rPr>
      </w:pPr>
    </w:p>
    <w:p w14:paraId="6442A599">
      <w:pPr>
        <w:rPr>
          <w:rFonts w:hint="eastAsia" w:ascii="宋体" w:hAnsi="宋体" w:eastAsia="宋体" w:cs="宋体"/>
          <w:b/>
          <w:color w:val="auto"/>
          <w:sz w:val="28"/>
          <w:szCs w:val="28"/>
          <w:highlight w:val="none"/>
        </w:rPr>
      </w:pPr>
    </w:p>
    <w:p w14:paraId="7DFD3E7D">
      <w:pPr>
        <w:pStyle w:val="2"/>
        <w:rPr>
          <w:rFonts w:hint="eastAsia" w:ascii="宋体" w:hAnsi="宋体" w:eastAsia="宋体" w:cs="宋体"/>
          <w:b/>
          <w:color w:val="auto"/>
          <w:sz w:val="28"/>
          <w:szCs w:val="28"/>
          <w:highlight w:val="none"/>
        </w:rPr>
      </w:pPr>
    </w:p>
    <w:p w14:paraId="78664861">
      <w:pPr>
        <w:rPr>
          <w:rFonts w:hint="eastAsia" w:ascii="宋体" w:hAnsi="宋体" w:eastAsia="宋体" w:cs="宋体"/>
          <w:b/>
          <w:color w:val="auto"/>
          <w:sz w:val="28"/>
          <w:szCs w:val="28"/>
          <w:highlight w:val="none"/>
        </w:rPr>
      </w:pPr>
    </w:p>
    <w:p w14:paraId="6F855981">
      <w:pPr>
        <w:pStyle w:val="2"/>
        <w:rPr>
          <w:rFonts w:hint="eastAsia" w:ascii="宋体" w:hAnsi="宋体" w:eastAsia="宋体" w:cs="宋体"/>
          <w:b/>
          <w:color w:val="auto"/>
          <w:sz w:val="28"/>
          <w:szCs w:val="28"/>
          <w:highlight w:val="none"/>
        </w:rPr>
      </w:pPr>
    </w:p>
    <w:p w14:paraId="31ED484C">
      <w:pPr>
        <w:rPr>
          <w:rFonts w:hint="eastAsia" w:ascii="宋体" w:hAnsi="宋体" w:eastAsia="宋体" w:cs="宋体"/>
          <w:b/>
          <w:color w:val="auto"/>
          <w:sz w:val="28"/>
          <w:szCs w:val="28"/>
          <w:highlight w:val="none"/>
        </w:rPr>
      </w:pPr>
    </w:p>
    <w:p w14:paraId="159BE838">
      <w:pPr>
        <w:pStyle w:val="2"/>
        <w:rPr>
          <w:rFonts w:hint="eastAsia" w:ascii="宋体" w:hAnsi="宋体" w:eastAsia="宋体" w:cs="宋体"/>
          <w:b/>
          <w:color w:val="auto"/>
          <w:sz w:val="28"/>
          <w:szCs w:val="28"/>
          <w:highlight w:val="none"/>
        </w:rPr>
      </w:pPr>
    </w:p>
    <w:p w14:paraId="17BE80D2">
      <w:pPr>
        <w:rPr>
          <w:rFonts w:hint="eastAsia"/>
        </w:rPr>
      </w:pPr>
    </w:p>
    <w:p w14:paraId="4826D1AC">
      <w:pPr>
        <w:pStyle w:val="2"/>
        <w:rPr>
          <w:rFonts w:hint="eastAsia" w:ascii="宋体" w:hAnsi="宋体" w:eastAsia="宋体" w:cs="宋体"/>
          <w:b/>
          <w:color w:val="auto"/>
          <w:sz w:val="28"/>
          <w:szCs w:val="28"/>
          <w:highlight w:val="none"/>
        </w:rPr>
      </w:pPr>
    </w:p>
    <w:p w14:paraId="25F01D20">
      <w:pPr>
        <w:pStyle w:val="2"/>
        <w:rPr>
          <w:rFonts w:hint="eastAsia" w:ascii="宋体" w:hAnsi="宋体" w:eastAsia="宋体" w:cs="宋体"/>
          <w:color w:val="auto"/>
          <w:highlight w:val="none"/>
        </w:rPr>
      </w:pPr>
    </w:p>
    <w:p w14:paraId="0601A0D5">
      <w:pPr>
        <w:pStyle w:val="2"/>
        <w:rPr>
          <w:rFonts w:hint="eastAsia" w:ascii="宋体" w:hAnsi="宋体" w:eastAsia="宋体" w:cs="宋体"/>
          <w:color w:val="auto"/>
          <w:highlight w:val="none"/>
        </w:rPr>
      </w:pPr>
    </w:p>
    <w:p w14:paraId="48687D1C">
      <w:pPr>
        <w:pStyle w:val="2"/>
        <w:rPr>
          <w:rFonts w:hint="eastAsia" w:ascii="宋体" w:hAnsi="宋体" w:eastAsia="宋体" w:cs="宋体"/>
          <w:color w:val="auto"/>
          <w:highlight w:val="none"/>
        </w:rPr>
      </w:pPr>
    </w:p>
    <w:p w14:paraId="35AFAA9F">
      <w:pPr>
        <w:pStyle w:val="2"/>
        <w:rPr>
          <w:rFonts w:hint="eastAsia" w:ascii="宋体" w:hAnsi="宋体" w:eastAsia="宋体" w:cs="宋体"/>
          <w:color w:val="auto"/>
          <w:highlight w:val="none"/>
        </w:rPr>
      </w:pPr>
    </w:p>
    <w:p w14:paraId="1C6188B5">
      <w:pPr>
        <w:pStyle w:val="2"/>
        <w:rPr>
          <w:rFonts w:hint="eastAsia" w:ascii="宋体" w:hAnsi="宋体" w:eastAsia="宋体" w:cs="宋体"/>
          <w:color w:val="auto"/>
          <w:highlight w:val="none"/>
        </w:rPr>
      </w:pPr>
    </w:p>
    <w:p w14:paraId="78B3972A">
      <w:pPr>
        <w:spacing w:line="400" w:lineRule="exact"/>
        <w:rPr>
          <w:rFonts w:hint="eastAsia" w:ascii="宋体" w:hAnsi="宋体" w:eastAsia="宋体" w:cs="宋体"/>
          <w:b/>
          <w:bCs/>
          <w:color w:val="auto"/>
          <w:sz w:val="28"/>
          <w:szCs w:val="28"/>
          <w:highlight w:val="none"/>
          <w:lang w:eastAsia="zh-CN"/>
        </w:rPr>
      </w:pPr>
      <w:bookmarkStart w:id="164" w:name="_Toc12920"/>
      <w:bookmarkStart w:id="165" w:name="_Toc17617"/>
      <w:bookmarkStart w:id="166" w:name="_Toc497927072"/>
      <w:r>
        <w:rPr>
          <w:rFonts w:hint="eastAsia" w:ascii="宋体" w:hAnsi="宋体" w:eastAsia="宋体" w:cs="宋体"/>
          <w:b/>
          <w:bCs/>
          <w:color w:val="auto"/>
          <w:sz w:val="28"/>
          <w:szCs w:val="28"/>
          <w:highlight w:val="none"/>
        </w:rPr>
        <w:t>1.响应函（格式见附件）（必须提供）</w:t>
      </w:r>
      <w:bookmarkEnd w:id="164"/>
      <w:bookmarkEnd w:id="165"/>
      <w:bookmarkEnd w:id="166"/>
    </w:p>
    <w:p w14:paraId="6D424141">
      <w:pPr>
        <w:pStyle w:val="57"/>
        <w:rPr>
          <w:rFonts w:hint="eastAsia" w:ascii="宋体" w:hAnsi="宋体" w:eastAsia="宋体" w:cs="宋体"/>
          <w:color w:val="auto"/>
          <w:highlight w:val="none"/>
        </w:rPr>
      </w:pPr>
    </w:p>
    <w:p w14:paraId="4B6A0CD2">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50EB64CB">
      <w:pPr>
        <w:pStyle w:val="17"/>
        <w:ind w:firstLine="800" w:firstLineChars="250"/>
        <w:jc w:val="center"/>
        <w:rPr>
          <w:rFonts w:hint="eastAsia" w:ascii="宋体" w:hAnsi="宋体" w:eastAsia="宋体" w:cs="宋体"/>
          <w:b/>
          <w:color w:val="auto"/>
          <w:sz w:val="32"/>
          <w:highlight w:val="none"/>
        </w:rPr>
      </w:pPr>
      <w:bookmarkStart w:id="167" w:name="_Toc17832_WPSOffice_Level1"/>
      <w:bookmarkStart w:id="168" w:name="_Toc7273_WPSOffice_Level1"/>
      <w:r>
        <w:rPr>
          <w:rFonts w:hint="eastAsia" w:ascii="宋体" w:hAnsi="宋体" w:eastAsia="宋体" w:cs="宋体"/>
          <w:b/>
          <w:color w:val="auto"/>
          <w:sz w:val="32"/>
          <w:highlight w:val="none"/>
        </w:rPr>
        <w:t>响 应 函（格式）</w:t>
      </w:r>
      <w:bookmarkEnd w:id="167"/>
      <w:bookmarkEnd w:id="168"/>
    </w:p>
    <w:p w14:paraId="2C3080AC">
      <w:pPr>
        <w:spacing w:line="240" w:lineRule="exact"/>
        <w:jc w:val="center"/>
        <w:rPr>
          <w:rFonts w:hint="eastAsia" w:ascii="宋体" w:hAnsi="宋体" w:eastAsia="宋体" w:cs="宋体"/>
          <w:color w:val="auto"/>
          <w:sz w:val="32"/>
          <w:highlight w:val="none"/>
        </w:rPr>
      </w:pPr>
    </w:p>
    <w:p w14:paraId="291B7CC1">
      <w:pPr>
        <w:spacing w:line="400" w:lineRule="exact"/>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none"/>
        </w:rPr>
        <w:t>：</w:t>
      </w:r>
      <w:r>
        <w:rPr>
          <w:rFonts w:hint="eastAsia" w:ascii="宋体" w:hAnsi="宋体" w:cs="宋体"/>
          <w:color w:val="auto"/>
          <w:szCs w:val="21"/>
          <w:highlight w:val="none"/>
          <w:u w:val="single"/>
          <w:lang w:eastAsia="zh-CN"/>
        </w:rPr>
        <w:t>广西鼎誉工程咨询有限公司</w:t>
      </w:r>
    </w:p>
    <w:p w14:paraId="509ECE6C">
      <w:pPr>
        <w:spacing w:line="400" w:lineRule="exact"/>
        <w:rPr>
          <w:rFonts w:hint="eastAsia" w:ascii="宋体" w:hAnsi="宋体" w:eastAsia="宋体" w:cs="宋体"/>
          <w:color w:val="auto"/>
          <w:szCs w:val="21"/>
          <w:highlight w:val="none"/>
        </w:rPr>
      </w:pPr>
    </w:p>
    <w:p w14:paraId="5B047665">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w:t>
      </w:r>
      <w:r>
        <w:rPr>
          <w:rFonts w:hint="eastAsia" w:ascii="宋体" w:hAnsi="宋体" w:eastAsia="宋体" w:cs="宋体"/>
          <w:color w:val="auto"/>
          <w:highlight w:val="none"/>
        </w:rPr>
        <w:t>供应商单位名称），提交电子响应文件。</w:t>
      </w:r>
    </w:p>
    <w:p w14:paraId="4CD450C8">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65AB0ED9">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1.按磋商文件采购需求和磋商报价表：</w:t>
      </w:r>
    </w:p>
    <w:p w14:paraId="6576F37B">
      <w:pPr>
        <w:pStyle w:val="17"/>
        <w:spacing w:line="360" w:lineRule="exact"/>
        <w:ind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磋商</w:t>
      </w:r>
      <w:r>
        <w:rPr>
          <w:rFonts w:hint="eastAsia" w:hAnsi="宋体" w:cs="宋体"/>
          <w:color w:val="auto"/>
          <w:highlight w:val="none"/>
          <w:lang w:val="en-US" w:eastAsia="zh-CN"/>
        </w:rPr>
        <w:t>报价为</w:t>
      </w:r>
      <w:r>
        <w:rPr>
          <w:rFonts w:hint="eastAsia" w:ascii="宋体" w:hAnsi="宋体"/>
          <w:color w:val="auto"/>
          <w:spacing w:val="-6"/>
          <w:highlight w:val="none"/>
        </w:rPr>
        <w:t>（大写）：</w:t>
      </w:r>
      <w:r>
        <w:rPr>
          <w:rFonts w:ascii="宋体" w:hAnsi="宋体"/>
          <w:color w:val="auto"/>
          <w:spacing w:val="-6"/>
          <w:highlight w:val="none"/>
          <w:u w:val="single"/>
        </w:rPr>
        <w:t xml:space="preserve">     </w:t>
      </w:r>
      <w:r>
        <w:rPr>
          <w:rFonts w:hint="eastAsia" w:hAnsi="宋体"/>
          <w:color w:val="auto"/>
          <w:spacing w:val="-6"/>
          <w:highlight w:val="none"/>
          <w:u w:val="single"/>
          <w:lang w:val="en-US" w:eastAsia="zh-CN"/>
        </w:rPr>
        <w:t xml:space="preserve">   </w:t>
      </w:r>
      <w:r>
        <w:rPr>
          <w:rFonts w:ascii="宋体" w:hAnsi="宋体"/>
          <w:color w:val="auto"/>
          <w:spacing w:val="-6"/>
          <w:highlight w:val="none"/>
          <w:u w:val="single"/>
        </w:rPr>
        <w:t xml:space="preserve">  </w:t>
      </w:r>
      <w:r>
        <w:rPr>
          <w:rFonts w:hint="eastAsia" w:ascii="宋体" w:hAnsi="宋体"/>
          <w:color w:val="auto"/>
          <w:spacing w:val="-6"/>
          <w:highlight w:val="none"/>
        </w:rPr>
        <w:t>元人民币（</w:t>
      </w:r>
      <w:r>
        <w:rPr>
          <w:rFonts w:hint="eastAsia" w:ascii="宋体" w:hAnsi="宋体" w:cs="微软雅黑"/>
          <w:color w:val="auto"/>
          <w:spacing w:val="-6"/>
          <w:highlight w:val="none"/>
        </w:rPr>
        <w:t>￥</w:t>
      </w:r>
      <w:r>
        <w:rPr>
          <w:rFonts w:ascii="宋体" w:hAnsi="宋体"/>
          <w:color w:val="auto"/>
          <w:spacing w:val="-6"/>
          <w:highlight w:val="none"/>
          <w:u w:val="single"/>
        </w:rPr>
        <w:t xml:space="preserve">         </w:t>
      </w:r>
      <w:r>
        <w:rPr>
          <w:rFonts w:ascii="宋体" w:hAnsi="宋体"/>
          <w:color w:val="auto"/>
          <w:spacing w:val="-6"/>
          <w:highlight w:val="none"/>
        </w:rPr>
        <w:t xml:space="preserve"> </w:t>
      </w:r>
      <w:r>
        <w:rPr>
          <w:rFonts w:hint="eastAsia" w:ascii="宋体" w:hAnsi="宋体"/>
          <w:color w:val="auto"/>
          <w:spacing w:val="-6"/>
          <w:highlight w:val="none"/>
        </w:rPr>
        <w:t>）</w:t>
      </w:r>
      <w:r>
        <w:rPr>
          <w:rFonts w:hint="eastAsia" w:ascii="宋体" w:hAnsi="宋体" w:eastAsia="宋体" w:cs="宋体"/>
          <w:color w:val="auto"/>
          <w:highlight w:val="none"/>
        </w:rPr>
        <w:t>。</w:t>
      </w:r>
    </w:p>
    <w:p w14:paraId="1E2C4B5C">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2.我方承诺已具备磋商文件规定的供应商资格条件。</w:t>
      </w:r>
    </w:p>
    <w:p w14:paraId="48668346">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3.我方已详细审核磋商文件，包括修改文件（如有的话）和有关附件，将自行承担因对全部磋商文件理解不正确或误解而产生的相应后果。</w:t>
      </w:r>
    </w:p>
    <w:p w14:paraId="0084936B">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4.响应文件有效期为</w:t>
      </w:r>
      <w:r>
        <w:rPr>
          <w:rFonts w:hint="eastAsia" w:ascii="宋体" w:hAnsi="宋体" w:eastAsia="宋体" w:cs="宋体"/>
          <w:color w:val="auto"/>
          <w:szCs w:val="21"/>
          <w:highlight w:val="none"/>
        </w:rPr>
        <w:t>响应文件递交截止时间之日起90天。</w:t>
      </w:r>
    </w:p>
    <w:p w14:paraId="1F2B0277">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5.如我方成交：</w:t>
      </w:r>
    </w:p>
    <w:p w14:paraId="0EB38AF9">
      <w:pPr>
        <w:pStyle w:val="17"/>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2FC88295">
      <w:pPr>
        <w:pStyle w:val="17"/>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（2）我方承诺按照磋商文件规定递交履约担保。</w:t>
      </w:r>
    </w:p>
    <w:p w14:paraId="0290E91E">
      <w:pPr>
        <w:pStyle w:val="17"/>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（3）我方承诺本响应文件至本项目合同履行完毕止均保持有效，按磋商文件及政府采购法律、法规的规定履行合同责任和义务。</w:t>
      </w:r>
    </w:p>
    <w:p w14:paraId="6E1E8DCA">
      <w:pPr>
        <w:pStyle w:val="17"/>
        <w:spacing w:line="36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与本项目有关的正式通讯地址为：</w:t>
      </w:r>
    </w:p>
    <w:p w14:paraId="588F6AD5">
      <w:pPr>
        <w:rPr>
          <w:rFonts w:hint="eastAsia" w:ascii="宋体" w:hAnsi="宋体" w:eastAsia="宋体" w:cs="宋体"/>
          <w:color w:val="auto"/>
          <w:szCs w:val="21"/>
          <w:highlight w:val="none"/>
        </w:rPr>
      </w:pPr>
    </w:p>
    <w:p w14:paraId="51EAE295">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地址：</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邮编：</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邮箱：</w:t>
      </w:r>
      <w:r>
        <w:rPr>
          <w:rFonts w:hint="eastAsia" w:ascii="宋体" w:hAnsi="宋体" w:eastAsia="宋体" w:cs="宋体"/>
          <w:color w:val="auto"/>
          <w:kern w:val="0"/>
          <w:sz w:val="21"/>
          <w:szCs w:val="20"/>
          <w:highlight w:val="none"/>
          <w:u w:val="single"/>
        </w:rPr>
        <w:t xml:space="preserve">                   </w:t>
      </w:r>
    </w:p>
    <w:p w14:paraId="4CB181E7">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办公电话：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rPr>
        <w:t>传真：</w:t>
      </w:r>
      <w:r>
        <w:rPr>
          <w:rFonts w:hint="eastAsia" w:ascii="宋体" w:hAnsi="宋体" w:eastAsia="宋体" w:cs="宋体"/>
          <w:color w:val="auto"/>
          <w:kern w:val="0"/>
          <w:sz w:val="21"/>
          <w:szCs w:val="20"/>
          <w:highlight w:val="none"/>
          <w:u w:val="single"/>
        </w:rPr>
        <w:t xml:space="preserve">                             </w:t>
      </w:r>
    </w:p>
    <w:p w14:paraId="69F97A9C">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委托代理人联系电话：</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40EAB9B5">
      <w:pPr>
        <w:spacing w:line="320" w:lineRule="exact"/>
        <w:ind w:firstLine="420" w:firstLineChars="0"/>
        <w:rPr>
          <w:rFonts w:hint="eastAsia" w:ascii="宋体" w:hAnsi="宋体" w:eastAsia="宋体" w:cs="宋体"/>
          <w:color w:val="auto"/>
          <w:kern w:val="0"/>
          <w:sz w:val="21"/>
          <w:szCs w:val="20"/>
          <w:highlight w:val="none"/>
          <w:u w:val="single"/>
        </w:rPr>
      </w:pPr>
      <w:r>
        <w:rPr>
          <w:rFonts w:hint="eastAsia" w:ascii="宋体" w:hAnsi="宋体" w:eastAsia="宋体" w:cs="宋体"/>
          <w:color w:val="auto"/>
          <w:kern w:val="0"/>
          <w:sz w:val="21"/>
          <w:szCs w:val="20"/>
          <w:highlight w:val="none"/>
        </w:rPr>
        <w:t>开户名称：</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4A0C4A11">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开户银行：</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7664B53E">
      <w:pPr>
        <w:spacing w:line="320" w:lineRule="exact"/>
        <w:ind w:firstLine="420" w:firstLineChars="0"/>
        <w:rPr>
          <w:rFonts w:hint="eastAsia" w:ascii="宋体" w:hAnsi="宋体" w:eastAsia="宋体" w:cs="宋体"/>
          <w:color w:val="auto"/>
          <w:kern w:val="0"/>
          <w:sz w:val="21"/>
          <w:szCs w:val="20"/>
          <w:highlight w:val="none"/>
        </w:rPr>
      </w:pPr>
      <w:r>
        <w:rPr>
          <w:rFonts w:hint="eastAsia" w:ascii="宋体" w:hAnsi="宋体" w:eastAsia="宋体" w:cs="宋体"/>
          <w:color w:val="auto"/>
          <w:kern w:val="0"/>
          <w:sz w:val="21"/>
          <w:szCs w:val="20"/>
          <w:highlight w:val="none"/>
        </w:rPr>
        <w:t>账号：</w:t>
      </w:r>
      <w:r>
        <w:rPr>
          <w:rFonts w:hint="eastAsia" w:ascii="宋体" w:hAnsi="宋体" w:eastAsia="宋体" w:cs="宋体"/>
          <w:color w:val="auto"/>
          <w:kern w:val="0"/>
          <w:sz w:val="21"/>
          <w:szCs w:val="20"/>
          <w:highlight w:val="none"/>
          <w:u w:val="single"/>
        </w:rPr>
        <w:t xml:space="preserve">                                   　</w:t>
      </w:r>
      <w:r>
        <w:rPr>
          <w:rFonts w:hint="eastAsia" w:ascii="宋体" w:hAnsi="宋体" w:eastAsia="宋体" w:cs="宋体"/>
          <w:color w:val="auto"/>
          <w:kern w:val="0"/>
          <w:sz w:val="21"/>
          <w:szCs w:val="20"/>
          <w:highlight w:val="none"/>
          <w:u w:val="single"/>
          <w:lang w:val="en-US" w:eastAsia="zh-CN"/>
        </w:rPr>
        <w:t xml:space="preserve">             </w:t>
      </w:r>
      <w:r>
        <w:rPr>
          <w:rFonts w:hint="eastAsia" w:ascii="宋体" w:hAnsi="宋体" w:eastAsia="宋体" w:cs="宋体"/>
          <w:color w:val="auto"/>
          <w:kern w:val="0"/>
          <w:sz w:val="21"/>
          <w:szCs w:val="20"/>
          <w:highlight w:val="none"/>
          <w:u w:val="single"/>
        </w:rPr>
        <w:t xml:space="preserve">　　   </w:t>
      </w:r>
    </w:p>
    <w:p w14:paraId="1A03714D">
      <w:pPr>
        <w:pStyle w:val="17"/>
        <w:spacing w:line="320" w:lineRule="exact"/>
        <w:ind w:firstLine="420"/>
        <w:rPr>
          <w:rFonts w:hint="eastAsia" w:ascii="宋体" w:hAnsi="宋体" w:eastAsia="宋体" w:cs="宋体"/>
          <w:bCs/>
          <w:color w:val="auto"/>
          <w:szCs w:val="21"/>
          <w:highlight w:val="none"/>
        </w:rPr>
      </w:pPr>
    </w:p>
    <w:p w14:paraId="0342175B">
      <w:pPr>
        <w:pStyle w:val="17"/>
        <w:spacing w:line="32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供应商[公章(CA签章)、自然人除外]：</w:t>
      </w:r>
      <w:r>
        <w:rPr>
          <w:rFonts w:hint="eastAsia" w:ascii="宋体" w:hAnsi="宋体" w:eastAsia="宋体" w:cs="宋体"/>
          <w:color w:val="auto"/>
          <w:kern w:val="0"/>
          <w:sz w:val="21"/>
          <w:szCs w:val="20"/>
          <w:highlight w:val="none"/>
          <w:u w:val="single"/>
        </w:rPr>
        <w:t xml:space="preserve">                       </w:t>
      </w:r>
    </w:p>
    <w:p w14:paraId="42BD0B39">
      <w:pPr>
        <w:pStyle w:val="17"/>
        <w:spacing w:line="32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kern w:val="0"/>
          <w:sz w:val="21"/>
          <w:szCs w:val="20"/>
          <w:highlight w:val="none"/>
          <w:u w:val="single"/>
        </w:rPr>
        <w:t xml:space="preserve">                             </w:t>
      </w:r>
    </w:p>
    <w:p w14:paraId="329041FF">
      <w:pPr>
        <w:ind w:firstLine="42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响应</w:t>
      </w:r>
      <w:r>
        <w:rPr>
          <w:rFonts w:hint="eastAsia" w:ascii="宋体" w:hAnsi="宋体" w:eastAsia="宋体" w:cs="宋体"/>
          <w:color w:val="auto"/>
          <w:szCs w:val="21"/>
          <w:highlight w:val="none"/>
        </w:rPr>
        <w:t>日期：</w:t>
      </w:r>
      <w:r>
        <w:rPr>
          <w:rFonts w:hint="eastAsia" w:ascii="宋体" w:hAnsi="宋体" w:eastAsia="宋体" w:cs="宋体"/>
          <w:color w:val="auto"/>
          <w:kern w:val="0"/>
          <w:sz w:val="21"/>
          <w:szCs w:val="20"/>
          <w:highlight w:val="none"/>
          <w:u w:val="single"/>
        </w:rPr>
        <w:t xml:space="preserve">                               　 </w:t>
      </w:r>
    </w:p>
    <w:p w14:paraId="72A3D9FF">
      <w:pPr>
        <w:pStyle w:val="17"/>
        <w:spacing w:line="340" w:lineRule="exact"/>
        <w:rPr>
          <w:rFonts w:hint="eastAsia" w:ascii="宋体" w:hAnsi="宋体" w:eastAsia="宋体" w:cs="宋体"/>
          <w:b/>
          <w:color w:val="auto"/>
          <w:sz w:val="28"/>
          <w:szCs w:val="28"/>
          <w:highlight w:val="none"/>
        </w:rPr>
      </w:pPr>
    </w:p>
    <w:p w14:paraId="738CA31D">
      <w:pPr>
        <w:pStyle w:val="13"/>
        <w:rPr>
          <w:rFonts w:hint="eastAsia" w:ascii="宋体" w:hAnsi="宋体" w:eastAsia="宋体" w:cs="宋体"/>
          <w:color w:val="auto"/>
          <w:highlight w:val="none"/>
        </w:rPr>
        <w:sectPr>
          <w:footerReference r:id="rId7" w:type="default"/>
          <w:pgSz w:w="11906" w:h="16838"/>
          <w:pgMar w:top="1417" w:right="1304" w:bottom="1134" w:left="1417" w:header="851" w:footer="992" w:gutter="0"/>
          <w:pgNumType w:fmt="decimal" w:start="1"/>
          <w:cols w:space="0" w:num="1"/>
          <w:rtlGutter w:val="0"/>
          <w:docGrid w:type="linesAndChars" w:linePitch="312" w:charSpace="0"/>
        </w:sectPr>
      </w:pPr>
    </w:p>
    <w:p w14:paraId="29E98B41">
      <w:pPr>
        <w:pStyle w:val="17"/>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eastAsia="zh-CN"/>
        </w:rPr>
        <w:t>磋商报价表</w:t>
      </w:r>
      <w:r>
        <w:rPr>
          <w:rFonts w:hint="eastAsia" w:ascii="宋体" w:hAnsi="宋体" w:eastAsia="宋体" w:cs="宋体"/>
          <w:b/>
          <w:bCs/>
          <w:color w:val="auto"/>
          <w:sz w:val="28"/>
          <w:szCs w:val="28"/>
          <w:highlight w:val="none"/>
        </w:rPr>
        <w:t>（格式见附件）</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必须提供</w:t>
      </w:r>
      <w:r>
        <w:rPr>
          <w:rFonts w:hint="eastAsia" w:ascii="宋体" w:hAnsi="宋体" w:eastAsia="宋体" w:cs="宋体"/>
          <w:b/>
          <w:color w:val="auto"/>
          <w:sz w:val="28"/>
          <w:szCs w:val="28"/>
          <w:highlight w:val="none"/>
        </w:rPr>
        <w:t>）</w:t>
      </w:r>
    </w:p>
    <w:p w14:paraId="60998BEE">
      <w:pPr>
        <w:pStyle w:val="17"/>
        <w:rPr>
          <w:rFonts w:hint="eastAsia" w:ascii="宋体" w:hAnsi="宋体" w:eastAsia="宋体" w:cs="宋体"/>
          <w:b/>
          <w:color w:val="auto"/>
          <w:sz w:val="24"/>
          <w:szCs w:val="16"/>
          <w:highlight w:val="none"/>
        </w:rPr>
      </w:pPr>
    </w:p>
    <w:p w14:paraId="44AB3933">
      <w:pPr>
        <w:pStyle w:val="17"/>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t>附件：</w:t>
      </w:r>
    </w:p>
    <w:p w14:paraId="37E86D28">
      <w:pPr>
        <w:pStyle w:val="2"/>
        <w:rPr>
          <w:rFonts w:hint="eastAsia" w:ascii="宋体" w:hAnsi="宋体" w:eastAsia="宋体" w:cs="宋体"/>
          <w:b/>
          <w:color w:val="auto"/>
          <w:highlight w:val="none"/>
        </w:rPr>
      </w:pPr>
    </w:p>
    <w:p w14:paraId="0F974CAC">
      <w:pPr>
        <w:pStyle w:val="17"/>
        <w:spacing w:line="340" w:lineRule="exact"/>
        <w:ind w:left="0" w:leftChars="0" w:right="0" w:rightChars="0" w:firstLine="0" w:firstLineChars="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磋商报价表（格式）</w:t>
      </w:r>
    </w:p>
    <w:p w14:paraId="19264358">
      <w:pPr>
        <w:pStyle w:val="10"/>
        <w:rPr>
          <w:rFonts w:hint="eastAsia" w:ascii="宋体" w:hAnsi="宋体" w:eastAsia="宋体" w:cs="宋体"/>
          <w:color w:val="auto"/>
          <w:highlight w:val="none"/>
          <w:lang w:val="en-US" w:eastAsia="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5201"/>
        <w:gridCol w:w="973"/>
      </w:tblGrid>
      <w:tr w14:paraId="40E7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14:paraId="62E611B2">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项目名称</w:t>
            </w:r>
          </w:p>
        </w:tc>
        <w:tc>
          <w:tcPr>
            <w:tcW w:w="5201" w:type="dxa"/>
            <w:vAlign w:val="center"/>
          </w:tcPr>
          <w:p w14:paraId="38E5F93E">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yellow"/>
                <w:lang w:val="en-US" w:eastAsia="zh-CN" w:bidi="ar-SA"/>
              </w:rPr>
            </w:pPr>
            <w:r>
              <w:rPr>
                <w:rFonts w:hint="eastAsia"/>
                <w:color w:val="auto"/>
                <w:highlight w:val="none"/>
              </w:rPr>
              <w:t>磋商报价（元）</w:t>
            </w:r>
          </w:p>
        </w:tc>
        <w:tc>
          <w:tcPr>
            <w:tcW w:w="973" w:type="dxa"/>
            <w:vAlign w:val="center"/>
          </w:tcPr>
          <w:p w14:paraId="77A127C1">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ascii="宋体" w:hAnsi="宋体" w:eastAsia="宋体" w:cs="宋体"/>
                <w:color w:val="auto"/>
                <w:sz w:val="21"/>
                <w:highlight w:val="none"/>
              </w:rPr>
              <w:t>备注</w:t>
            </w:r>
          </w:p>
        </w:tc>
      </w:tr>
      <w:tr w14:paraId="37A6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vAlign w:val="center"/>
          </w:tcPr>
          <w:p w14:paraId="6747D800">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1"/>
                <w:szCs w:val="24"/>
                <w:highlight w:val="none"/>
                <w:lang w:val="en-US" w:eastAsia="zh-CN" w:bidi="ar-SA"/>
              </w:rPr>
            </w:pPr>
            <w:r>
              <w:rPr>
                <w:rFonts w:hint="eastAsia" w:cs="宋体"/>
                <w:color w:val="auto"/>
                <w:sz w:val="21"/>
                <w:highlight w:val="none"/>
                <w:lang w:eastAsia="zh-CN"/>
              </w:rPr>
              <w:t>桂林市漓江活动壅水科学试验坝专项维修(一期）</w:t>
            </w:r>
          </w:p>
        </w:tc>
        <w:tc>
          <w:tcPr>
            <w:tcW w:w="5201" w:type="dxa"/>
            <w:vAlign w:val="center"/>
          </w:tcPr>
          <w:p w14:paraId="00937CEB">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default" w:ascii="宋体" w:hAnsi="宋体" w:eastAsia="宋体" w:cs="宋体"/>
                <w:color w:val="auto"/>
                <w:kern w:val="0"/>
                <w:sz w:val="20"/>
                <w:szCs w:val="24"/>
                <w:highlight w:val="yellow"/>
                <w:u w:val="none"/>
                <w:lang w:val="en-US" w:eastAsia="zh-CN" w:bidi="ar-SA"/>
              </w:rPr>
            </w:pPr>
            <w:r>
              <w:rPr>
                <w:rFonts w:hint="eastAsia" w:ascii="宋体" w:hAnsi="宋体"/>
                <w:color w:val="auto"/>
                <w:spacing w:val="-6"/>
                <w:highlight w:val="none"/>
              </w:rPr>
              <w:t>磋商总报价（大写）：</w:t>
            </w:r>
            <w:r>
              <w:rPr>
                <w:rFonts w:ascii="宋体" w:hAnsi="宋体"/>
                <w:color w:val="auto"/>
                <w:spacing w:val="-6"/>
                <w:highlight w:val="none"/>
                <w:u w:val="single"/>
              </w:rPr>
              <w:t xml:space="preserve">       </w:t>
            </w:r>
            <w:r>
              <w:rPr>
                <w:rFonts w:hint="eastAsia" w:ascii="宋体" w:hAnsi="宋体"/>
                <w:color w:val="auto"/>
                <w:spacing w:val="-6"/>
                <w:highlight w:val="none"/>
              </w:rPr>
              <w:t>元人民币（</w:t>
            </w:r>
            <w:r>
              <w:rPr>
                <w:rFonts w:hint="eastAsia" w:ascii="宋体" w:hAnsi="宋体" w:cs="微软雅黑"/>
                <w:color w:val="auto"/>
                <w:spacing w:val="-6"/>
                <w:highlight w:val="none"/>
              </w:rPr>
              <w:t>￥</w:t>
            </w:r>
            <w:r>
              <w:rPr>
                <w:rFonts w:ascii="宋体" w:hAnsi="宋体"/>
                <w:color w:val="auto"/>
                <w:spacing w:val="-6"/>
                <w:highlight w:val="none"/>
                <w:u w:val="single"/>
              </w:rPr>
              <w:t xml:space="preserve">         </w:t>
            </w:r>
            <w:r>
              <w:rPr>
                <w:rFonts w:ascii="宋体" w:hAnsi="宋体"/>
                <w:color w:val="auto"/>
                <w:spacing w:val="-6"/>
                <w:highlight w:val="none"/>
              </w:rPr>
              <w:t xml:space="preserve"> </w:t>
            </w:r>
            <w:r>
              <w:rPr>
                <w:rFonts w:hint="eastAsia" w:ascii="宋体" w:hAnsi="宋体"/>
                <w:color w:val="auto"/>
                <w:spacing w:val="-6"/>
                <w:highlight w:val="none"/>
              </w:rPr>
              <w:t>）</w:t>
            </w:r>
          </w:p>
        </w:tc>
        <w:tc>
          <w:tcPr>
            <w:tcW w:w="973" w:type="dxa"/>
            <w:vAlign w:val="center"/>
          </w:tcPr>
          <w:p w14:paraId="13A20441">
            <w:pPr>
              <w:pStyle w:val="65"/>
              <w:keepNext w:val="0"/>
              <w:keepLines w:val="0"/>
              <w:pageBreakBefore w:val="0"/>
              <w:widowControl w:val="0"/>
              <w:kinsoku/>
              <w:wordWrap/>
              <w:overflowPunct/>
              <w:topLinePunct w:val="0"/>
              <w:autoSpaceDE/>
              <w:autoSpaceDN/>
              <w:bidi w:val="0"/>
              <w:adjustRightInd/>
              <w:snapToGrid/>
              <w:spacing w:before="0" w:after="0"/>
              <w:ind w:left="0" w:leftChars="0" w:right="0" w:rightChars="0" w:firstLine="0" w:firstLineChars="0"/>
              <w:jc w:val="center"/>
              <w:textAlignment w:val="auto"/>
              <w:rPr>
                <w:rFonts w:hint="eastAsia" w:ascii="宋体" w:hAnsi="宋体" w:eastAsia="宋体" w:cs="宋体"/>
                <w:color w:val="auto"/>
                <w:kern w:val="0"/>
                <w:sz w:val="20"/>
                <w:szCs w:val="24"/>
                <w:highlight w:val="none"/>
                <w:lang w:val="en-US" w:eastAsia="zh-CN" w:bidi="ar-SA"/>
              </w:rPr>
            </w:pPr>
          </w:p>
        </w:tc>
      </w:tr>
      <w:tr w14:paraId="366F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3"/>
            <w:vAlign w:val="top"/>
          </w:tcPr>
          <w:p w14:paraId="0A4F4B49">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说明：供应商磋商报价应包含完成“项目需求”中所列所有服务内容产生的所有成本、项目验收、税金、利润等费用，供应商应综合考虑在报价中。</w:t>
            </w:r>
          </w:p>
        </w:tc>
      </w:tr>
    </w:tbl>
    <w:p w14:paraId="36699D31">
      <w:pPr>
        <w:pStyle w:val="17"/>
        <w:spacing w:line="340" w:lineRule="exact"/>
        <w:rPr>
          <w:rFonts w:hint="eastAsia" w:ascii="宋体" w:hAnsi="宋体" w:eastAsia="宋体" w:cs="宋体"/>
          <w:b/>
          <w:color w:val="auto"/>
          <w:sz w:val="28"/>
          <w:szCs w:val="28"/>
          <w:highlight w:val="none"/>
          <w:lang w:val="en-US" w:eastAsia="zh-CN"/>
        </w:rPr>
      </w:pPr>
    </w:p>
    <w:p w14:paraId="6F6FC09C">
      <w:pPr>
        <w:pStyle w:val="17"/>
        <w:spacing w:line="340" w:lineRule="exact"/>
        <w:rPr>
          <w:rFonts w:hint="eastAsia" w:ascii="宋体" w:hAnsi="宋体" w:eastAsia="宋体" w:cs="宋体"/>
          <w:b/>
          <w:color w:val="auto"/>
          <w:sz w:val="28"/>
          <w:szCs w:val="28"/>
          <w:highlight w:val="none"/>
        </w:rPr>
      </w:pPr>
    </w:p>
    <w:p w14:paraId="4DE7665A">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06606D5">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2218BD93">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5A42BDAE">
      <w:pPr>
        <w:tabs>
          <w:tab w:val="left" w:pos="1305"/>
        </w:tabs>
        <w:spacing w:line="340" w:lineRule="exact"/>
        <w:rPr>
          <w:rFonts w:hint="eastAsia" w:ascii="宋体" w:hAnsi="宋体" w:eastAsia="宋体" w:cs="宋体"/>
          <w:bCs/>
          <w:color w:val="auto"/>
          <w:sz w:val="21"/>
          <w:szCs w:val="21"/>
          <w:highlight w:val="none"/>
        </w:rPr>
      </w:pPr>
    </w:p>
    <w:p w14:paraId="6795C24C">
      <w:pPr>
        <w:tabs>
          <w:tab w:val="left" w:pos="1305"/>
        </w:tabs>
        <w:spacing w:line="340" w:lineRule="exact"/>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注</w:t>
      </w:r>
      <w:r>
        <w:rPr>
          <w:rFonts w:hint="eastAsia" w:ascii="宋体" w:hAnsi="宋体" w:eastAsia="宋体" w:cs="宋体"/>
          <w:b/>
          <w:bCs/>
          <w:color w:val="auto"/>
          <w:sz w:val="21"/>
          <w:szCs w:val="21"/>
          <w:highlight w:val="none"/>
        </w:rPr>
        <w:t>：</w:t>
      </w:r>
    </w:p>
    <w:p w14:paraId="1131316D">
      <w:pPr>
        <w:tabs>
          <w:tab w:val="left" w:pos="1305"/>
        </w:tabs>
        <w:spacing w:line="3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1.各</w:t>
      </w:r>
      <w:r>
        <w:rPr>
          <w:rFonts w:hint="eastAsia" w:ascii="宋体" w:hAnsi="宋体" w:eastAsia="宋体" w:cs="宋体"/>
          <w:bCs/>
          <w:color w:val="auto"/>
          <w:sz w:val="21"/>
          <w:szCs w:val="21"/>
          <w:highlight w:val="none"/>
          <w:lang w:eastAsia="zh-CN"/>
        </w:rPr>
        <w:t>供应</w:t>
      </w:r>
      <w:r>
        <w:rPr>
          <w:rFonts w:hint="eastAsia" w:ascii="宋体" w:hAnsi="宋体" w:eastAsia="宋体" w:cs="宋体"/>
          <w:bCs/>
          <w:color w:val="auto"/>
          <w:sz w:val="21"/>
          <w:szCs w:val="21"/>
          <w:highlight w:val="none"/>
        </w:rPr>
        <w:t>人</w:t>
      </w:r>
      <w:r>
        <w:rPr>
          <w:rFonts w:hint="eastAsia" w:ascii="宋体" w:hAnsi="宋体" w:eastAsia="宋体" w:cs="宋体"/>
          <w:color w:val="auto"/>
          <w:sz w:val="21"/>
          <w:szCs w:val="21"/>
          <w:highlight w:val="none"/>
        </w:rPr>
        <w:t>必须就“</w:t>
      </w:r>
      <w:r>
        <w:rPr>
          <w:rFonts w:hint="eastAsia" w:ascii="宋体" w:hAnsi="宋体" w:eastAsia="宋体" w:cs="宋体"/>
          <w:color w:val="auto"/>
          <w:sz w:val="21"/>
          <w:szCs w:val="21"/>
          <w:highlight w:val="none"/>
          <w:lang w:val="en-US" w:eastAsia="zh-CN"/>
        </w:rPr>
        <w:t>采购需求</w:t>
      </w:r>
      <w:r>
        <w:rPr>
          <w:rFonts w:hint="eastAsia" w:ascii="宋体" w:hAnsi="宋体" w:eastAsia="宋体" w:cs="宋体"/>
          <w:color w:val="auto"/>
          <w:sz w:val="21"/>
          <w:szCs w:val="21"/>
          <w:highlight w:val="none"/>
        </w:rPr>
        <w:t>”中所投分标的所有内容作完整唯一报价，否则，其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将被拒绝。</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文件只允许有一个报价。</w:t>
      </w:r>
    </w:p>
    <w:p w14:paraId="29CF9F11">
      <w:pPr>
        <w:pStyle w:val="17"/>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应根据所投</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如实填写</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报价表</w:t>
      </w:r>
      <w:r>
        <w:rPr>
          <w:rFonts w:hint="eastAsia" w:ascii="宋体" w:hAnsi="宋体" w:eastAsia="宋体" w:cs="宋体"/>
          <w:bCs/>
          <w:color w:val="auto"/>
          <w:sz w:val="21"/>
          <w:szCs w:val="21"/>
          <w:highlight w:val="none"/>
        </w:rPr>
        <w:t>的各项内容。</w:t>
      </w:r>
    </w:p>
    <w:p w14:paraId="3ACF5898">
      <w:pPr>
        <w:ind w:firstLine="420" w:firstLineChars="200"/>
        <w:rPr>
          <w:rFonts w:hint="eastAsia" w:ascii="宋体" w:hAnsi="宋体" w:eastAsia="宋体" w:cs="宋体"/>
          <w:b/>
          <w:bCs/>
          <w:color w:val="auto"/>
          <w:sz w:val="32"/>
          <w:szCs w:val="32"/>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报价表须由法定代表人负责人、自然人或相应的委托代理人签字或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）并加盖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（自然人除外）。</w:t>
      </w:r>
      <w:r>
        <w:rPr>
          <w:rFonts w:hint="eastAsia" w:ascii="宋体" w:hAnsi="宋体" w:eastAsia="宋体" w:cs="宋体"/>
          <w:b/>
          <w:color w:val="auto"/>
          <w:highlight w:val="none"/>
        </w:rPr>
        <w:t>当本表由多页构成时，需逐页加盖</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公章（属自然人的须逐页签字</w:t>
      </w:r>
      <w:r>
        <w:rPr>
          <w:rFonts w:hint="eastAsia" w:ascii="宋体" w:hAnsi="宋体" w:eastAsia="宋体" w:cs="宋体"/>
          <w:b/>
          <w:color w:val="auto"/>
          <w:highlight w:val="none"/>
          <w:lang w:eastAsia="zh-CN"/>
        </w:rPr>
        <w:t>或个人</w:t>
      </w:r>
      <w:r>
        <w:rPr>
          <w:rFonts w:hint="eastAsia" w:ascii="宋体" w:hAnsi="宋体" w:eastAsia="宋体" w:cs="宋体"/>
          <w:b/>
          <w:color w:val="auto"/>
          <w:highlight w:val="none"/>
          <w:lang w:val="en-US" w:eastAsia="zh-CN"/>
        </w:rPr>
        <w:t>CA签章</w:t>
      </w:r>
      <w:r>
        <w:rPr>
          <w:rFonts w:hint="eastAsia" w:ascii="宋体" w:hAnsi="宋体" w:eastAsia="宋体" w:cs="宋体"/>
          <w:b/>
          <w:color w:val="auto"/>
          <w:highlight w:val="none"/>
        </w:rPr>
        <w:t>）</w:t>
      </w:r>
    </w:p>
    <w:p w14:paraId="3147E16C">
      <w:pPr>
        <w:pStyle w:val="17"/>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项目实施方案（格式自拟）（</w:t>
      </w:r>
      <w:r>
        <w:rPr>
          <w:rFonts w:hint="eastAsia" w:hAnsi="宋体" w:cs="宋体"/>
          <w:b/>
          <w:color w:val="auto"/>
          <w:sz w:val="28"/>
          <w:szCs w:val="28"/>
          <w:highlight w:val="none"/>
          <w:lang w:eastAsia="zh-CN"/>
        </w:rPr>
        <w:t>如有，请</w:t>
      </w:r>
      <w:r>
        <w:rPr>
          <w:rFonts w:hint="eastAsia" w:ascii="宋体" w:hAnsi="宋体" w:eastAsia="宋体" w:cs="宋体"/>
          <w:b/>
          <w:color w:val="auto"/>
          <w:sz w:val="28"/>
          <w:szCs w:val="28"/>
          <w:highlight w:val="none"/>
        </w:rPr>
        <w:t>提供）</w:t>
      </w:r>
    </w:p>
    <w:p w14:paraId="5C135844">
      <w:pPr>
        <w:rPr>
          <w:rFonts w:hint="eastAsia" w:ascii="宋体" w:hAnsi="宋体" w:eastAsia="宋体" w:cs="宋体"/>
          <w:color w:val="auto"/>
          <w:highlight w:val="none"/>
        </w:rPr>
      </w:pPr>
    </w:p>
    <w:p w14:paraId="3545689A">
      <w:pPr>
        <w:rPr>
          <w:rFonts w:hint="eastAsia" w:ascii="宋体" w:hAnsi="宋体" w:eastAsia="宋体" w:cs="宋体"/>
          <w:color w:val="auto"/>
          <w:highlight w:val="none"/>
        </w:rPr>
      </w:pPr>
    </w:p>
    <w:p w14:paraId="592A478C">
      <w:pPr>
        <w:pStyle w:val="17"/>
        <w:spacing w:line="3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项目实施方案 （格式）</w:t>
      </w:r>
    </w:p>
    <w:p w14:paraId="4A383DAD">
      <w:pPr>
        <w:pStyle w:val="2"/>
        <w:rPr>
          <w:rFonts w:hint="eastAsia" w:ascii="宋体" w:hAnsi="宋体" w:eastAsia="宋体" w:cs="宋体"/>
          <w:color w:val="auto"/>
          <w:highlight w:val="none"/>
        </w:rPr>
      </w:pPr>
    </w:p>
    <w:p w14:paraId="53D6FF08">
      <w:pPr>
        <w:widowControl/>
        <w:jc w:val="left"/>
        <w:rPr>
          <w:rFonts w:hint="eastAsia" w:ascii="宋体" w:hAnsi="宋体" w:eastAsia="宋体" w:cs="宋体"/>
          <w:b/>
          <w:color w:val="auto"/>
          <w:kern w:val="0"/>
          <w:sz w:val="28"/>
          <w:szCs w:val="28"/>
          <w:highlight w:val="none"/>
        </w:rPr>
      </w:pPr>
    </w:p>
    <w:p w14:paraId="635DF61E">
      <w:pPr>
        <w:pStyle w:val="2"/>
        <w:rPr>
          <w:rFonts w:hint="eastAsia"/>
        </w:rPr>
      </w:pPr>
    </w:p>
    <w:p w14:paraId="6BDA10F6">
      <w:pPr>
        <w:widowControl/>
        <w:jc w:val="left"/>
        <w:rPr>
          <w:rFonts w:hint="eastAsia" w:ascii="宋体" w:hAnsi="宋体" w:eastAsia="宋体" w:cs="宋体"/>
          <w:b/>
          <w:color w:val="auto"/>
          <w:kern w:val="0"/>
          <w:sz w:val="28"/>
          <w:szCs w:val="28"/>
          <w:highlight w:val="none"/>
        </w:rPr>
      </w:pPr>
    </w:p>
    <w:p w14:paraId="59DD7ECE">
      <w:pPr>
        <w:widowControl/>
        <w:jc w:val="left"/>
        <w:rPr>
          <w:rFonts w:hint="eastAsia" w:ascii="宋体" w:hAnsi="宋体" w:eastAsia="宋体" w:cs="宋体"/>
          <w:b/>
          <w:color w:val="auto"/>
          <w:kern w:val="0"/>
          <w:sz w:val="28"/>
          <w:szCs w:val="28"/>
          <w:highlight w:val="none"/>
        </w:rPr>
      </w:pPr>
    </w:p>
    <w:p w14:paraId="5EE9F9D3">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76B76E1F">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59067B8D">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响应日期：</w:t>
      </w:r>
      <w:r>
        <w:rPr>
          <w:rFonts w:hint="eastAsia" w:ascii="宋体" w:hAnsi="宋体" w:eastAsia="宋体" w:cs="宋体"/>
          <w:color w:val="auto"/>
          <w:highlight w:val="none"/>
          <w:u w:val="single"/>
        </w:rPr>
        <w:t xml:space="preserve">                               　 </w:t>
      </w:r>
    </w:p>
    <w:p w14:paraId="732518BC">
      <w:pPr>
        <w:pStyle w:val="2"/>
        <w:rPr>
          <w:rFonts w:hint="eastAsia" w:ascii="宋体" w:hAnsi="宋体" w:eastAsia="宋体" w:cs="宋体"/>
          <w:color w:val="auto"/>
          <w:highlight w:val="none"/>
          <w:u w:val="single"/>
        </w:rPr>
      </w:pPr>
    </w:p>
    <w:p w14:paraId="7F718740">
      <w:pPr>
        <w:pStyle w:val="2"/>
        <w:rPr>
          <w:rFonts w:hint="eastAsia" w:ascii="宋体" w:hAnsi="宋体" w:eastAsia="宋体" w:cs="宋体"/>
          <w:color w:val="auto"/>
          <w:highlight w:val="none"/>
        </w:rPr>
      </w:pPr>
    </w:p>
    <w:p w14:paraId="105C49D4">
      <w:pPr>
        <w:pStyle w:val="2"/>
        <w:rPr>
          <w:rFonts w:hint="eastAsia" w:ascii="宋体" w:hAnsi="宋体" w:eastAsia="宋体" w:cs="宋体"/>
          <w:b/>
          <w:bCs/>
          <w:color w:val="auto"/>
          <w:szCs w:val="21"/>
          <w:highlight w:val="none"/>
        </w:rPr>
      </w:pPr>
    </w:p>
    <w:p w14:paraId="2F529431">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2147D244">
      <w:pPr>
        <w:spacing w:line="340" w:lineRule="exact"/>
        <w:jc w:val="center"/>
        <w:rPr>
          <w:rFonts w:hint="eastAsia" w:ascii="宋体" w:hAnsi="宋体" w:eastAsia="宋体" w:cs="宋体"/>
          <w:color w:val="auto"/>
          <w:szCs w:val="21"/>
          <w:highlight w:val="none"/>
        </w:rPr>
      </w:pPr>
      <w:bookmarkStart w:id="169" w:name="_Toc9339"/>
      <w:bookmarkStart w:id="170" w:name="_Toc28672"/>
      <w:bookmarkStart w:id="171" w:name="_Toc497927084"/>
      <w:r>
        <w:rPr>
          <w:rFonts w:hint="eastAsia" w:ascii="宋体" w:hAnsi="宋体" w:eastAsia="宋体" w:cs="宋体"/>
          <w:b/>
          <w:bCs/>
          <w:color w:val="auto"/>
          <w:sz w:val="32"/>
          <w:szCs w:val="32"/>
          <w:highlight w:val="none"/>
        </w:rPr>
        <w:t>（三）其他有效证明材料目录</w:t>
      </w:r>
      <w:bookmarkEnd w:id="169"/>
      <w:bookmarkEnd w:id="170"/>
      <w:bookmarkEnd w:id="171"/>
    </w:p>
    <w:p w14:paraId="3DCA7008">
      <w:pPr>
        <w:spacing w:line="360" w:lineRule="auto"/>
        <w:ind w:firstLine="420" w:firstLineChars="200"/>
        <w:jc w:val="left"/>
        <w:rPr>
          <w:rFonts w:hint="eastAsia" w:ascii="宋体" w:hAnsi="宋体" w:eastAsia="宋体" w:cs="宋体"/>
          <w:color w:val="auto"/>
          <w:szCs w:val="21"/>
          <w:highlight w:val="none"/>
        </w:rPr>
      </w:pPr>
    </w:p>
    <w:p w14:paraId="5312C3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Times New Roman"/>
          <w:color w:val="auto"/>
          <w:kern w:val="2"/>
          <w:sz w:val="21"/>
          <w:szCs w:val="20"/>
          <w:highlight w:val="none"/>
          <w:lang w:val="en-US" w:eastAsia="zh-CN" w:bidi="ar"/>
        </w:rPr>
        <w:t>供应商 20</w:t>
      </w:r>
      <w:r>
        <w:rPr>
          <w:rFonts w:hint="eastAsia" w:ascii="宋体" w:hAnsi="宋体" w:cs="Times New Roman"/>
          <w:color w:val="auto"/>
          <w:kern w:val="2"/>
          <w:sz w:val="21"/>
          <w:szCs w:val="20"/>
          <w:highlight w:val="none"/>
          <w:lang w:val="en-US" w:eastAsia="zh-CN" w:bidi="ar"/>
        </w:rPr>
        <w:t>19</w:t>
      </w:r>
      <w:r>
        <w:rPr>
          <w:rFonts w:hint="eastAsia" w:ascii="宋体" w:hAnsi="宋体" w:eastAsia="宋体" w:cs="Times New Roman"/>
          <w:color w:val="auto"/>
          <w:kern w:val="2"/>
          <w:sz w:val="21"/>
          <w:szCs w:val="20"/>
          <w:highlight w:val="none"/>
          <w:lang w:val="en-US" w:eastAsia="zh-CN" w:bidi="ar"/>
        </w:rPr>
        <w:t xml:space="preserve"> 年以来</w:t>
      </w:r>
      <w:r>
        <w:rPr>
          <w:rFonts w:hint="eastAsia" w:ascii="宋体" w:hAnsi="宋体" w:cs="Times New Roman"/>
          <w:color w:val="auto"/>
          <w:kern w:val="2"/>
          <w:sz w:val="21"/>
          <w:szCs w:val="20"/>
          <w:highlight w:val="none"/>
          <w:lang w:val="en-US" w:eastAsia="zh-CN" w:bidi="ar"/>
        </w:rPr>
        <w:t>相关</w:t>
      </w:r>
      <w:r>
        <w:rPr>
          <w:rFonts w:hint="eastAsia" w:ascii="宋体" w:hAnsi="宋体" w:eastAsia="宋体" w:cs="Times New Roman"/>
          <w:color w:val="auto"/>
          <w:kern w:val="2"/>
          <w:sz w:val="21"/>
          <w:szCs w:val="20"/>
          <w:highlight w:val="none"/>
          <w:lang w:val="en-US" w:eastAsia="zh-CN" w:bidi="ar"/>
        </w:rPr>
        <w:t>业绩的证明材料复印件</w:t>
      </w:r>
      <w:r>
        <w:rPr>
          <w:rFonts w:hint="eastAsia" w:ascii="宋体" w:hAnsi="宋体" w:eastAsia="宋体" w:cs="Times New Roman"/>
          <w:b/>
          <w:bCs/>
          <w:color w:val="auto"/>
          <w:kern w:val="2"/>
          <w:sz w:val="21"/>
          <w:szCs w:val="20"/>
          <w:highlight w:val="none"/>
          <w:lang w:val="en-US" w:eastAsia="zh-CN" w:bidi="ar"/>
        </w:rPr>
        <w:t>（如有，请提供）</w:t>
      </w:r>
      <w:r>
        <w:rPr>
          <w:rFonts w:hint="eastAsia" w:ascii="宋体" w:hAnsi="宋体" w:eastAsia="宋体" w:cs="宋体"/>
          <w:b/>
          <w:bCs/>
          <w:color w:val="auto"/>
          <w:szCs w:val="21"/>
          <w:highlight w:val="none"/>
        </w:rPr>
        <w:t>；</w:t>
      </w:r>
    </w:p>
    <w:p w14:paraId="0158CE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color w:val="auto"/>
          <w:szCs w:val="20"/>
          <w:highlight w:val="none"/>
          <w:lang w:eastAsia="zh-CN"/>
        </w:rPr>
        <w:t>供应商</w:t>
      </w:r>
      <w:r>
        <w:rPr>
          <w:rFonts w:hint="eastAsia" w:ascii="宋体" w:hAnsi="宋体"/>
          <w:color w:val="auto"/>
          <w:szCs w:val="20"/>
          <w:highlight w:val="none"/>
        </w:rPr>
        <w:t>相关获奖证书、认证证书等复印件</w:t>
      </w:r>
      <w:r>
        <w:rPr>
          <w:rFonts w:hint="eastAsia" w:ascii="宋体" w:hAnsi="宋体"/>
          <w:b/>
          <w:color w:val="auto"/>
          <w:highlight w:val="none"/>
        </w:rPr>
        <w:t>（如有，请提供）</w:t>
      </w:r>
      <w:r>
        <w:rPr>
          <w:rFonts w:hint="eastAsia" w:ascii="宋体" w:hAnsi="宋体"/>
          <w:b/>
          <w:color w:val="auto"/>
          <w:highlight w:val="none"/>
          <w:lang w:eastAsia="zh-CN"/>
        </w:rPr>
        <w:t>；</w:t>
      </w:r>
    </w:p>
    <w:p w14:paraId="41BC520B">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供应商可结合本项目的评审办法视自身情况自行提交其它相关证明材料</w:t>
      </w:r>
      <w:r>
        <w:rPr>
          <w:rFonts w:hint="eastAsia" w:ascii="宋体" w:hAnsi="宋体" w:eastAsia="宋体" w:cs="Times New Roman"/>
          <w:b/>
          <w:bCs/>
          <w:color w:val="auto"/>
          <w:kern w:val="2"/>
          <w:sz w:val="21"/>
          <w:szCs w:val="20"/>
          <w:highlight w:val="none"/>
          <w:lang w:val="en-US" w:eastAsia="zh-CN" w:bidi="ar"/>
        </w:rPr>
        <w:t>（如有，请提供）</w:t>
      </w:r>
      <w:r>
        <w:rPr>
          <w:rFonts w:hint="eastAsia" w:ascii="宋体" w:hAnsi="宋体" w:eastAsia="宋体" w:cs="宋体"/>
          <w:color w:val="auto"/>
          <w:szCs w:val="21"/>
          <w:highlight w:val="none"/>
        </w:rPr>
        <w:t>。</w:t>
      </w:r>
    </w:p>
    <w:p w14:paraId="7D131E78">
      <w:pPr>
        <w:spacing w:line="360" w:lineRule="auto"/>
        <w:ind w:firstLine="480" w:firstLineChars="200"/>
        <w:rPr>
          <w:rFonts w:hint="eastAsia" w:ascii="宋体" w:hAnsi="宋体" w:eastAsia="宋体" w:cs="宋体"/>
          <w:color w:val="auto"/>
          <w:sz w:val="24"/>
          <w:highlight w:val="none"/>
        </w:rPr>
      </w:pPr>
    </w:p>
    <w:p w14:paraId="427374E2">
      <w:pPr>
        <w:pStyle w:val="17"/>
        <w:spacing w:line="340" w:lineRule="exact"/>
        <w:rPr>
          <w:rFonts w:hint="eastAsia" w:ascii="宋体" w:hAnsi="宋体" w:eastAsia="宋体" w:cs="宋体"/>
          <w:b/>
          <w:color w:val="auto"/>
          <w:sz w:val="28"/>
          <w:szCs w:val="28"/>
          <w:highlight w:val="none"/>
          <w:lang w:val="en-US" w:eastAsia="zh-CN"/>
        </w:rPr>
      </w:pPr>
      <w:bookmarkStart w:id="172" w:name="_Toc10161"/>
      <w:bookmarkStart w:id="173" w:name="_Toc497927090"/>
      <w:bookmarkStart w:id="174" w:name="_Toc3052"/>
    </w:p>
    <w:p w14:paraId="6160952E">
      <w:pPr>
        <w:pStyle w:val="17"/>
        <w:spacing w:line="340" w:lineRule="exact"/>
        <w:rPr>
          <w:rFonts w:hint="eastAsia" w:ascii="宋体" w:hAnsi="宋体" w:eastAsia="宋体" w:cs="宋体"/>
          <w:b/>
          <w:color w:val="auto"/>
          <w:sz w:val="28"/>
          <w:szCs w:val="28"/>
          <w:highlight w:val="none"/>
          <w:lang w:val="en-US" w:eastAsia="zh-CN"/>
        </w:rPr>
      </w:pPr>
    </w:p>
    <w:p w14:paraId="68E5C75E">
      <w:pPr>
        <w:pStyle w:val="17"/>
        <w:spacing w:line="340" w:lineRule="exact"/>
        <w:rPr>
          <w:rFonts w:hint="eastAsia" w:ascii="宋体" w:hAnsi="宋体" w:eastAsia="宋体" w:cs="宋体"/>
          <w:b/>
          <w:color w:val="auto"/>
          <w:sz w:val="28"/>
          <w:szCs w:val="28"/>
          <w:highlight w:val="none"/>
          <w:lang w:val="en-US" w:eastAsia="zh-CN"/>
        </w:rPr>
      </w:pPr>
    </w:p>
    <w:p w14:paraId="0B9D8EA3">
      <w:pPr>
        <w:pStyle w:val="17"/>
        <w:spacing w:line="340" w:lineRule="exact"/>
        <w:rPr>
          <w:rFonts w:hint="eastAsia" w:ascii="宋体" w:hAnsi="宋体" w:eastAsia="宋体" w:cs="宋体"/>
          <w:b/>
          <w:color w:val="auto"/>
          <w:sz w:val="28"/>
          <w:szCs w:val="28"/>
          <w:highlight w:val="none"/>
          <w:lang w:val="en-US" w:eastAsia="zh-CN"/>
        </w:rPr>
      </w:pPr>
    </w:p>
    <w:p w14:paraId="48AB28EB">
      <w:pPr>
        <w:pStyle w:val="17"/>
        <w:spacing w:line="340" w:lineRule="exact"/>
        <w:rPr>
          <w:rFonts w:hint="eastAsia" w:ascii="宋体" w:hAnsi="宋体" w:eastAsia="宋体" w:cs="宋体"/>
          <w:b/>
          <w:color w:val="auto"/>
          <w:sz w:val="28"/>
          <w:szCs w:val="28"/>
          <w:highlight w:val="none"/>
          <w:lang w:val="en-US" w:eastAsia="zh-CN"/>
        </w:rPr>
      </w:pPr>
    </w:p>
    <w:p w14:paraId="2E9FF67F">
      <w:pPr>
        <w:pStyle w:val="17"/>
        <w:spacing w:line="340" w:lineRule="exact"/>
        <w:rPr>
          <w:rFonts w:hint="eastAsia" w:ascii="宋体" w:hAnsi="宋体" w:eastAsia="宋体" w:cs="宋体"/>
          <w:b/>
          <w:color w:val="auto"/>
          <w:sz w:val="28"/>
          <w:szCs w:val="28"/>
          <w:highlight w:val="none"/>
          <w:lang w:val="en-US" w:eastAsia="zh-CN"/>
        </w:rPr>
      </w:pPr>
    </w:p>
    <w:p w14:paraId="0D1E914B">
      <w:pPr>
        <w:pStyle w:val="17"/>
        <w:spacing w:line="340" w:lineRule="exact"/>
        <w:rPr>
          <w:rFonts w:hint="eastAsia" w:ascii="宋体" w:hAnsi="宋体" w:eastAsia="宋体" w:cs="宋体"/>
          <w:b/>
          <w:color w:val="auto"/>
          <w:sz w:val="28"/>
          <w:szCs w:val="28"/>
          <w:highlight w:val="none"/>
          <w:lang w:val="en-US" w:eastAsia="zh-CN"/>
        </w:rPr>
      </w:pPr>
    </w:p>
    <w:p w14:paraId="486B687B">
      <w:pPr>
        <w:pStyle w:val="17"/>
        <w:spacing w:line="340" w:lineRule="exact"/>
        <w:rPr>
          <w:rFonts w:hint="eastAsia" w:ascii="宋体" w:hAnsi="宋体" w:eastAsia="宋体" w:cs="宋体"/>
          <w:b/>
          <w:color w:val="auto"/>
          <w:sz w:val="28"/>
          <w:szCs w:val="28"/>
          <w:highlight w:val="none"/>
          <w:lang w:val="en-US" w:eastAsia="zh-CN"/>
        </w:rPr>
      </w:pPr>
    </w:p>
    <w:p w14:paraId="446F819E">
      <w:pPr>
        <w:pStyle w:val="17"/>
        <w:spacing w:line="340" w:lineRule="exact"/>
        <w:rPr>
          <w:rFonts w:hint="eastAsia" w:ascii="宋体" w:hAnsi="宋体" w:eastAsia="宋体" w:cs="宋体"/>
          <w:b/>
          <w:color w:val="auto"/>
          <w:sz w:val="28"/>
          <w:szCs w:val="28"/>
          <w:highlight w:val="none"/>
          <w:lang w:val="en-US" w:eastAsia="zh-CN"/>
        </w:rPr>
      </w:pPr>
    </w:p>
    <w:p w14:paraId="62FEA012">
      <w:pPr>
        <w:pStyle w:val="17"/>
        <w:spacing w:line="340" w:lineRule="exact"/>
        <w:rPr>
          <w:rFonts w:hint="eastAsia" w:ascii="宋体" w:hAnsi="宋体" w:eastAsia="宋体" w:cs="宋体"/>
          <w:b/>
          <w:color w:val="auto"/>
          <w:sz w:val="28"/>
          <w:szCs w:val="28"/>
          <w:highlight w:val="none"/>
          <w:lang w:val="en-US" w:eastAsia="zh-CN"/>
        </w:rPr>
      </w:pPr>
    </w:p>
    <w:p w14:paraId="07573368">
      <w:pPr>
        <w:pStyle w:val="17"/>
        <w:spacing w:line="340" w:lineRule="exact"/>
        <w:rPr>
          <w:rFonts w:hint="eastAsia" w:ascii="宋体" w:hAnsi="宋体" w:eastAsia="宋体" w:cs="宋体"/>
          <w:b/>
          <w:color w:val="auto"/>
          <w:sz w:val="28"/>
          <w:szCs w:val="28"/>
          <w:highlight w:val="none"/>
          <w:lang w:val="en-US" w:eastAsia="zh-CN"/>
        </w:rPr>
      </w:pPr>
    </w:p>
    <w:p w14:paraId="45564F35">
      <w:pPr>
        <w:pStyle w:val="17"/>
        <w:spacing w:line="340" w:lineRule="exact"/>
        <w:rPr>
          <w:rFonts w:hint="eastAsia" w:ascii="宋体" w:hAnsi="宋体" w:eastAsia="宋体" w:cs="宋体"/>
          <w:b/>
          <w:color w:val="auto"/>
          <w:sz w:val="28"/>
          <w:szCs w:val="28"/>
          <w:highlight w:val="none"/>
          <w:lang w:val="en-US" w:eastAsia="zh-CN"/>
        </w:rPr>
      </w:pPr>
    </w:p>
    <w:p w14:paraId="60F37E0D">
      <w:pPr>
        <w:pStyle w:val="17"/>
        <w:spacing w:line="340" w:lineRule="exact"/>
        <w:rPr>
          <w:rFonts w:hint="eastAsia" w:ascii="宋体" w:hAnsi="宋体" w:eastAsia="宋体" w:cs="宋体"/>
          <w:b/>
          <w:color w:val="auto"/>
          <w:sz w:val="28"/>
          <w:szCs w:val="28"/>
          <w:highlight w:val="none"/>
          <w:lang w:val="en-US" w:eastAsia="zh-CN"/>
        </w:rPr>
      </w:pPr>
    </w:p>
    <w:p w14:paraId="0BF67822">
      <w:pPr>
        <w:pStyle w:val="17"/>
        <w:spacing w:line="340" w:lineRule="exact"/>
        <w:rPr>
          <w:rFonts w:hint="eastAsia" w:ascii="宋体" w:hAnsi="宋体" w:eastAsia="宋体" w:cs="宋体"/>
          <w:b/>
          <w:color w:val="auto"/>
          <w:sz w:val="28"/>
          <w:szCs w:val="28"/>
          <w:highlight w:val="none"/>
          <w:lang w:val="en-US" w:eastAsia="zh-CN"/>
        </w:rPr>
      </w:pPr>
    </w:p>
    <w:p w14:paraId="5197156F">
      <w:pPr>
        <w:pStyle w:val="17"/>
        <w:spacing w:line="340" w:lineRule="exact"/>
        <w:rPr>
          <w:rFonts w:hint="eastAsia" w:ascii="宋体" w:hAnsi="宋体" w:eastAsia="宋体" w:cs="宋体"/>
          <w:b/>
          <w:color w:val="auto"/>
          <w:sz w:val="28"/>
          <w:szCs w:val="28"/>
          <w:highlight w:val="none"/>
          <w:lang w:val="en-US" w:eastAsia="zh-CN"/>
        </w:rPr>
      </w:pPr>
    </w:p>
    <w:p w14:paraId="65E568CF">
      <w:pPr>
        <w:pStyle w:val="17"/>
        <w:spacing w:line="340" w:lineRule="exact"/>
        <w:rPr>
          <w:rFonts w:hint="eastAsia" w:ascii="宋体" w:hAnsi="宋体" w:eastAsia="宋体" w:cs="宋体"/>
          <w:b/>
          <w:color w:val="auto"/>
          <w:sz w:val="28"/>
          <w:szCs w:val="28"/>
          <w:highlight w:val="none"/>
          <w:lang w:val="en-US" w:eastAsia="zh-CN"/>
        </w:rPr>
      </w:pPr>
    </w:p>
    <w:p w14:paraId="00D78EE6">
      <w:pPr>
        <w:pStyle w:val="17"/>
        <w:spacing w:line="340" w:lineRule="exact"/>
        <w:rPr>
          <w:rFonts w:hint="eastAsia" w:ascii="宋体" w:hAnsi="宋体" w:eastAsia="宋体" w:cs="宋体"/>
          <w:b/>
          <w:color w:val="auto"/>
          <w:sz w:val="28"/>
          <w:szCs w:val="28"/>
          <w:highlight w:val="none"/>
          <w:lang w:val="en-US" w:eastAsia="zh-CN"/>
        </w:rPr>
      </w:pPr>
    </w:p>
    <w:p w14:paraId="738B04F3">
      <w:pPr>
        <w:pStyle w:val="17"/>
        <w:spacing w:line="340" w:lineRule="exact"/>
        <w:rPr>
          <w:rFonts w:hint="eastAsia" w:ascii="宋体" w:hAnsi="宋体" w:eastAsia="宋体" w:cs="宋体"/>
          <w:b/>
          <w:color w:val="auto"/>
          <w:sz w:val="28"/>
          <w:szCs w:val="28"/>
          <w:highlight w:val="none"/>
          <w:lang w:val="en-US" w:eastAsia="zh-CN"/>
        </w:rPr>
      </w:pPr>
    </w:p>
    <w:p w14:paraId="12EE427A">
      <w:pPr>
        <w:pStyle w:val="17"/>
        <w:spacing w:line="340" w:lineRule="exact"/>
        <w:rPr>
          <w:rFonts w:hint="eastAsia" w:ascii="宋体" w:hAnsi="宋体" w:eastAsia="宋体" w:cs="宋体"/>
          <w:b/>
          <w:color w:val="auto"/>
          <w:sz w:val="28"/>
          <w:szCs w:val="28"/>
          <w:highlight w:val="none"/>
          <w:lang w:val="en-US" w:eastAsia="zh-CN"/>
        </w:rPr>
      </w:pPr>
    </w:p>
    <w:p w14:paraId="71D14F7C">
      <w:pPr>
        <w:pStyle w:val="17"/>
        <w:spacing w:line="340" w:lineRule="exact"/>
        <w:rPr>
          <w:rFonts w:hint="eastAsia" w:ascii="宋体" w:hAnsi="宋体" w:eastAsia="宋体" w:cs="宋体"/>
          <w:b/>
          <w:color w:val="auto"/>
          <w:sz w:val="28"/>
          <w:szCs w:val="28"/>
          <w:highlight w:val="none"/>
          <w:lang w:val="en-US" w:eastAsia="zh-CN"/>
        </w:rPr>
      </w:pPr>
    </w:p>
    <w:p w14:paraId="49309779">
      <w:pPr>
        <w:pStyle w:val="17"/>
        <w:spacing w:line="340" w:lineRule="exact"/>
        <w:rPr>
          <w:rFonts w:hint="eastAsia" w:ascii="宋体" w:hAnsi="宋体" w:eastAsia="宋体" w:cs="宋体"/>
          <w:b/>
          <w:color w:val="auto"/>
          <w:sz w:val="28"/>
          <w:szCs w:val="28"/>
          <w:highlight w:val="none"/>
          <w:lang w:val="en-US" w:eastAsia="zh-CN"/>
        </w:rPr>
      </w:pPr>
    </w:p>
    <w:p w14:paraId="4CFB6D6C">
      <w:pPr>
        <w:pStyle w:val="17"/>
        <w:spacing w:line="340" w:lineRule="exact"/>
        <w:rPr>
          <w:rFonts w:hint="eastAsia" w:ascii="宋体" w:hAnsi="宋体" w:eastAsia="宋体" w:cs="宋体"/>
          <w:b/>
          <w:color w:val="auto"/>
          <w:sz w:val="28"/>
          <w:szCs w:val="28"/>
          <w:highlight w:val="none"/>
          <w:lang w:val="en-US" w:eastAsia="zh-CN"/>
        </w:rPr>
      </w:pPr>
    </w:p>
    <w:p w14:paraId="37010C32">
      <w:pPr>
        <w:pStyle w:val="17"/>
        <w:spacing w:line="340" w:lineRule="exact"/>
        <w:rPr>
          <w:rFonts w:hint="eastAsia" w:ascii="宋体" w:hAnsi="宋体" w:eastAsia="宋体" w:cs="宋体"/>
          <w:b/>
          <w:color w:val="auto"/>
          <w:sz w:val="28"/>
          <w:szCs w:val="28"/>
          <w:highlight w:val="none"/>
          <w:lang w:val="en-US" w:eastAsia="zh-CN"/>
        </w:rPr>
      </w:pPr>
    </w:p>
    <w:p w14:paraId="5E3895FE">
      <w:pPr>
        <w:pStyle w:val="17"/>
        <w:spacing w:line="340" w:lineRule="exact"/>
        <w:rPr>
          <w:rFonts w:hint="eastAsia" w:ascii="宋体" w:hAnsi="宋体" w:eastAsia="宋体" w:cs="宋体"/>
          <w:b/>
          <w:color w:val="auto"/>
          <w:sz w:val="28"/>
          <w:szCs w:val="28"/>
          <w:highlight w:val="none"/>
          <w:lang w:val="en-US" w:eastAsia="zh-CN"/>
        </w:rPr>
      </w:pPr>
    </w:p>
    <w:p w14:paraId="76A2B2FE">
      <w:pPr>
        <w:pStyle w:val="17"/>
        <w:spacing w:line="340" w:lineRule="exact"/>
        <w:rPr>
          <w:rFonts w:hint="eastAsia" w:ascii="宋体" w:hAnsi="宋体" w:eastAsia="宋体" w:cs="宋体"/>
          <w:b/>
          <w:color w:val="auto"/>
          <w:sz w:val="28"/>
          <w:szCs w:val="28"/>
          <w:highlight w:val="none"/>
          <w:lang w:val="en-US" w:eastAsia="zh-CN"/>
        </w:rPr>
      </w:pPr>
    </w:p>
    <w:p w14:paraId="393B2D25">
      <w:pPr>
        <w:pStyle w:val="17"/>
        <w:spacing w:line="340" w:lineRule="exact"/>
        <w:rPr>
          <w:rFonts w:hint="eastAsia" w:ascii="宋体" w:hAnsi="宋体" w:eastAsia="宋体" w:cs="宋体"/>
          <w:b/>
          <w:color w:val="auto"/>
          <w:sz w:val="28"/>
          <w:szCs w:val="28"/>
          <w:highlight w:val="none"/>
          <w:lang w:val="en-US" w:eastAsia="zh-CN"/>
        </w:rPr>
      </w:pPr>
    </w:p>
    <w:p w14:paraId="203B9931">
      <w:pPr>
        <w:pStyle w:val="17"/>
        <w:spacing w:line="340" w:lineRule="exact"/>
        <w:rPr>
          <w:rFonts w:hint="eastAsia" w:ascii="宋体" w:hAnsi="宋体" w:eastAsia="宋体" w:cs="宋体"/>
          <w:b/>
          <w:color w:val="auto"/>
          <w:sz w:val="28"/>
          <w:szCs w:val="28"/>
          <w:highlight w:val="none"/>
          <w:lang w:val="en-US" w:eastAsia="zh-CN"/>
        </w:rPr>
      </w:pPr>
    </w:p>
    <w:p w14:paraId="443C4B18">
      <w:pPr>
        <w:pStyle w:val="17"/>
        <w:spacing w:line="340" w:lineRule="exact"/>
        <w:rPr>
          <w:rFonts w:hint="eastAsia" w:ascii="宋体" w:hAnsi="宋体" w:eastAsia="宋体" w:cs="宋体"/>
          <w:b/>
          <w:color w:val="auto"/>
          <w:sz w:val="28"/>
          <w:szCs w:val="28"/>
          <w:highlight w:val="none"/>
          <w:lang w:val="en-US" w:eastAsia="zh-CN"/>
        </w:rPr>
      </w:pPr>
    </w:p>
    <w:p w14:paraId="5E137DDC">
      <w:pPr>
        <w:pStyle w:val="17"/>
        <w:spacing w:line="340" w:lineRule="exact"/>
        <w:rPr>
          <w:rFonts w:hint="eastAsia" w:ascii="宋体" w:hAnsi="宋体" w:eastAsia="宋体" w:cs="宋体"/>
          <w:b/>
          <w:color w:val="auto"/>
          <w:sz w:val="28"/>
          <w:szCs w:val="28"/>
          <w:highlight w:val="none"/>
          <w:lang w:val="en-US" w:eastAsia="zh-CN"/>
        </w:rPr>
      </w:pPr>
    </w:p>
    <w:p w14:paraId="2431B7F0">
      <w:pPr>
        <w:pStyle w:val="17"/>
        <w:spacing w:line="340" w:lineRule="exact"/>
        <w:rPr>
          <w:rFonts w:hint="eastAsia" w:ascii="宋体" w:hAnsi="宋体" w:eastAsia="宋体" w:cs="宋体"/>
          <w:b/>
          <w:color w:val="auto"/>
          <w:sz w:val="28"/>
          <w:szCs w:val="28"/>
          <w:highlight w:val="none"/>
          <w:lang w:val="en-US" w:eastAsia="zh-CN"/>
        </w:rPr>
      </w:pPr>
    </w:p>
    <w:p w14:paraId="561FD783">
      <w:pPr>
        <w:pStyle w:val="17"/>
        <w:spacing w:line="340" w:lineRule="exact"/>
        <w:rPr>
          <w:rFonts w:hint="eastAsia" w:ascii="宋体" w:hAnsi="宋体" w:eastAsia="宋体" w:cs="宋体"/>
          <w:b/>
          <w:color w:val="auto"/>
          <w:sz w:val="28"/>
          <w:szCs w:val="28"/>
          <w:highlight w:val="none"/>
          <w:lang w:val="en-US" w:eastAsia="zh-CN"/>
        </w:rPr>
      </w:pPr>
    </w:p>
    <w:p w14:paraId="195B995E">
      <w:pPr>
        <w:pStyle w:val="17"/>
        <w:spacing w:line="340" w:lineRule="exact"/>
        <w:rPr>
          <w:rFonts w:hint="eastAsia" w:ascii="宋体" w:hAnsi="宋体" w:eastAsia="宋体" w:cs="宋体"/>
          <w:b/>
          <w:color w:val="auto"/>
          <w:sz w:val="28"/>
          <w:szCs w:val="28"/>
          <w:highlight w:val="none"/>
          <w:lang w:val="en-US" w:eastAsia="zh-CN"/>
        </w:rPr>
      </w:pPr>
    </w:p>
    <w:p w14:paraId="76CA3F9E">
      <w:pPr>
        <w:pStyle w:val="17"/>
        <w:spacing w:line="340" w:lineRule="exact"/>
        <w:rPr>
          <w:rFonts w:hint="eastAsia" w:ascii="宋体" w:hAnsi="宋体" w:eastAsia="宋体" w:cs="宋体"/>
          <w:b/>
          <w:color w:val="auto"/>
          <w:sz w:val="28"/>
          <w:szCs w:val="28"/>
          <w:highlight w:val="none"/>
          <w:lang w:val="en-US" w:eastAsia="zh-CN"/>
        </w:rPr>
      </w:pPr>
    </w:p>
    <w:p w14:paraId="28DA1AC9">
      <w:pPr>
        <w:pStyle w:val="17"/>
        <w:spacing w:line="4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w:t>
      </w:r>
      <w:r>
        <w:rPr>
          <w:rFonts w:hint="eastAsia" w:ascii="宋体" w:hAnsi="宋体" w:eastAsia="宋体" w:cs="宋体"/>
          <w:b/>
          <w:color w:val="auto"/>
          <w:kern w:val="2"/>
          <w:sz w:val="28"/>
          <w:szCs w:val="28"/>
          <w:highlight w:val="none"/>
          <w:lang w:val="en-US" w:eastAsia="zh-CN" w:bidi="ar"/>
        </w:rPr>
        <w:t>供应商20</w:t>
      </w:r>
      <w:r>
        <w:rPr>
          <w:rFonts w:hint="eastAsia" w:hAnsi="宋体" w:cs="宋体"/>
          <w:b/>
          <w:color w:val="auto"/>
          <w:kern w:val="2"/>
          <w:sz w:val="28"/>
          <w:szCs w:val="28"/>
          <w:highlight w:val="none"/>
          <w:lang w:val="en-US" w:eastAsia="zh-CN" w:bidi="ar"/>
        </w:rPr>
        <w:t>19</w:t>
      </w:r>
      <w:r>
        <w:rPr>
          <w:rFonts w:hint="eastAsia" w:ascii="宋体" w:hAnsi="宋体" w:eastAsia="宋体" w:cs="宋体"/>
          <w:b/>
          <w:color w:val="auto"/>
          <w:kern w:val="2"/>
          <w:sz w:val="28"/>
          <w:szCs w:val="28"/>
          <w:highlight w:val="none"/>
          <w:lang w:val="en-US" w:eastAsia="zh-CN" w:bidi="ar"/>
        </w:rPr>
        <w:t>年以来</w:t>
      </w:r>
      <w:r>
        <w:rPr>
          <w:rFonts w:hint="eastAsia" w:hAnsi="宋体" w:cs="宋体"/>
          <w:b/>
          <w:color w:val="auto"/>
          <w:kern w:val="2"/>
          <w:sz w:val="28"/>
          <w:szCs w:val="28"/>
          <w:highlight w:val="none"/>
          <w:lang w:val="en-US" w:eastAsia="zh-CN" w:bidi="ar"/>
        </w:rPr>
        <w:t>相关</w:t>
      </w:r>
      <w:r>
        <w:rPr>
          <w:rFonts w:hint="eastAsia" w:ascii="宋体" w:hAnsi="宋体" w:eastAsia="宋体" w:cs="宋体"/>
          <w:b/>
          <w:color w:val="auto"/>
          <w:kern w:val="2"/>
          <w:sz w:val="28"/>
          <w:szCs w:val="28"/>
          <w:highlight w:val="none"/>
          <w:lang w:val="en-US" w:eastAsia="zh-CN" w:bidi="ar"/>
        </w:rPr>
        <w:t>业绩的证明材料复印件（如有，请提供）</w:t>
      </w:r>
      <w:bookmarkEnd w:id="172"/>
      <w:bookmarkEnd w:id="173"/>
      <w:bookmarkEnd w:id="174"/>
    </w:p>
    <w:p w14:paraId="2F2E9E78">
      <w:pPr>
        <w:pStyle w:val="17"/>
        <w:spacing w:line="340" w:lineRule="exact"/>
        <w:rPr>
          <w:rFonts w:hint="eastAsia" w:ascii="宋体" w:hAnsi="宋体" w:eastAsia="宋体" w:cs="宋体"/>
          <w:b/>
          <w:color w:val="auto"/>
          <w:sz w:val="28"/>
          <w:szCs w:val="28"/>
          <w:highlight w:val="none"/>
        </w:rPr>
      </w:pPr>
    </w:p>
    <w:p w14:paraId="6F850779">
      <w:pPr>
        <w:pStyle w:val="10"/>
        <w:rPr>
          <w:rFonts w:hint="eastAsia" w:ascii="宋体" w:hAnsi="宋体" w:eastAsia="宋体" w:cs="宋体"/>
          <w:b/>
          <w:color w:val="auto"/>
          <w:sz w:val="28"/>
          <w:szCs w:val="28"/>
          <w:highlight w:val="none"/>
        </w:rPr>
      </w:pPr>
    </w:p>
    <w:p w14:paraId="651D124D">
      <w:pPr>
        <w:rPr>
          <w:rFonts w:hint="eastAsia" w:ascii="宋体" w:hAnsi="宋体" w:eastAsia="宋体" w:cs="宋体"/>
          <w:b/>
          <w:color w:val="auto"/>
          <w:sz w:val="28"/>
          <w:szCs w:val="28"/>
          <w:highlight w:val="none"/>
        </w:rPr>
      </w:pPr>
    </w:p>
    <w:p w14:paraId="20007752">
      <w:pPr>
        <w:rPr>
          <w:rFonts w:hint="eastAsia" w:ascii="宋体" w:hAnsi="宋体" w:eastAsia="宋体" w:cs="宋体"/>
          <w:b/>
          <w:color w:val="auto"/>
          <w:sz w:val="28"/>
          <w:szCs w:val="28"/>
          <w:highlight w:val="none"/>
        </w:rPr>
      </w:pPr>
    </w:p>
    <w:p w14:paraId="0C9D982E">
      <w:pPr>
        <w:rPr>
          <w:rFonts w:hint="eastAsia" w:ascii="宋体" w:hAnsi="宋体" w:eastAsia="宋体" w:cs="宋体"/>
          <w:color w:val="auto"/>
          <w:highlight w:val="none"/>
        </w:rPr>
      </w:pPr>
    </w:p>
    <w:p w14:paraId="4D19AF98">
      <w:pPr>
        <w:pStyle w:val="17"/>
        <w:spacing w:line="440" w:lineRule="exact"/>
        <w:rPr>
          <w:rFonts w:hint="eastAsia" w:ascii="宋体" w:hAnsi="宋体"/>
          <w:b/>
          <w:color w:val="auto"/>
          <w:highlight w:val="none"/>
          <w:lang w:eastAsia="zh-CN"/>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r>
        <w:rPr>
          <w:rFonts w:hint="eastAsia" w:ascii="宋体" w:hAnsi="宋体" w:cs="宋体"/>
          <w:b/>
          <w:color w:val="auto"/>
          <w:sz w:val="28"/>
          <w:szCs w:val="28"/>
          <w:highlight w:val="none"/>
          <w:u w:val="none"/>
          <w:lang w:eastAsia="zh-CN"/>
        </w:rPr>
        <w:t>供应商</w:t>
      </w:r>
      <w:r>
        <w:rPr>
          <w:rFonts w:hint="eastAsia" w:ascii="宋体" w:hAnsi="宋体" w:cs="宋体"/>
          <w:b/>
          <w:color w:val="auto"/>
          <w:sz w:val="28"/>
          <w:szCs w:val="28"/>
          <w:highlight w:val="none"/>
          <w:u w:val="none"/>
        </w:rPr>
        <w:t>相关获奖证书、认证证书等复印件（如有，请提供）</w:t>
      </w:r>
    </w:p>
    <w:p w14:paraId="5D88C2B8">
      <w:pPr>
        <w:rPr>
          <w:rFonts w:hint="eastAsia" w:ascii="宋体" w:hAnsi="宋体"/>
          <w:b/>
          <w:color w:val="auto"/>
          <w:highlight w:val="none"/>
          <w:lang w:eastAsia="zh-CN"/>
        </w:rPr>
      </w:pPr>
    </w:p>
    <w:p w14:paraId="657739E6">
      <w:pPr>
        <w:rPr>
          <w:rFonts w:hint="eastAsia" w:ascii="宋体" w:hAnsi="宋体"/>
          <w:b/>
          <w:color w:val="auto"/>
          <w:highlight w:val="none"/>
          <w:lang w:eastAsia="zh-CN"/>
        </w:rPr>
      </w:pPr>
    </w:p>
    <w:p w14:paraId="239C274D">
      <w:pPr>
        <w:rPr>
          <w:rFonts w:hint="eastAsia" w:ascii="宋体" w:hAnsi="宋体"/>
          <w:b/>
          <w:color w:val="auto"/>
          <w:highlight w:val="none"/>
          <w:lang w:eastAsia="zh-CN"/>
        </w:rPr>
      </w:pPr>
    </w:p>
    <w:p w14:paraId="2CEE4CD1">
      <w:pPr>
        <w:rPr>
          <w:rFonts w:hint="eastAsia" w:ascii="宋体" w:hAnsi="宋体"/>
          <w:b/>
          <w:color w:val="auto"/>
          <w:highlight w:val="none"/>
          <w:lang w:eastAsia="zh-CN"/>
        </w:rPr>
      </w:pPr>
    </w:p>
    <w:p w14:paraId="6AD937A5">
      <w:pPr>
        <w:rPr>
          <w:rFonts w:hint="eastAsia" w:ascii="宋体" w:hAnsi="宋体"/>
          <w:b/>
          <w:color w:val="auto"/>
          <w:highlight w:val="none"/>
          <w:lang w:eastAsia="zh-CN"/>
        </w:rPr>
      </w:pPr>
    </w:p>
    <w:p w14:paraId="0D89C022">
      <w:pPr>
        <w:rPr>
          <w:rFonts w:hint="eastAsia" w:ascii="宋体" w:hAnsi="宋体"/>
          <w:b/>
          <w:color w:val="auto"/>
          <w:highlight w:val="none"/>
          <w:lang w:eastAsia="zh-CN"/>
        </w:rPr>
      </w:pPr>
    </w:p>
    <w:p w14:paraId="663B45DB">
      <w:pPr>
        <w:rPr>
          <w:rFonts w:hint="eastAsia" w:ascii="宋体" w:hAnsi="宋体"/>
          <w:b/>
          <w:color w:val="auto"/>
          <w:highlight w:val="none"/>
          <w:lang w:eastAsia="zh-CN"/>
        </w:rPr>
      </w:pPr>
    </w:p>
    <w:p w14:paraId="5F8A4B36">
      <w:pPr>
        <w:rPr>
          <w:rFonts w:hint="eastAsia" w:ascii="宋体" w:hAnsi="宋体"/>
          <w:b/>
          <w:color w:val="auto"/>
          <w:highlight w:val="none"/>
          <w:lang w:eastAsia="zh-CN"/>
        </w:rPr>
      </w:pPr>
    </w:p>
    <w:p w14:paraId="01E2ACDE">
      <w:pPr>
        <w:pStyle w:val="17"/>
        <w:spacing w:line="440" w:lineRule="exact"/>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供应商可结合本项目的评审办法视自身情况自行提交其它相关证明材料</w:t>
      </w:r>
      <w:r>
        <w:rPr>
          <w:rFonts w:hint="eastAsia" w:ascii="宋体" w:hAnsi="宋体" w:cs="宋体"/>
          <w:b/>
          <w:color w:val="auto"/>
          <w:sz w:val="28"/>
          <w:szCs w:val="28"/>
          <w:highlight w:val="none"/>
          <w:u w:val="none"/>
        </w:rPr>
        <w:t>（如有，请提供）</w:t>
      </w:r>
    </w:p>
    <w:p w14:paraId="6C45024F">
      <w:pPr>
        <w:tabs>
          <w:tab w:val="left" w:pos="1305"/>
        </w:tabs>
        <w:rPr>
          <w:rFonts w:hint="eastAsia" w:ascii="宋体" w:hAnsi="宋体" w:eastAsia="宋体" w:cs="宋体"/>
          <w:b/>
          <w:color w:val="auto"/>
          <w:sz w:val="32"/>
          <w:szCs w:val="32"/>
          <w:highlight w:val="none"/>
        </w:rPr>
      </w:pPr>
    </w:p>
    <w:sectPr>
      <w:pgSz w:w="11906" w:h="16838"/>
      <w:pgMar w:top="1417" w:right="1304" w:bottom="1134"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881F">
    <w:pPr>
      <w:pStyle w:val="19"/>
      <w:jc w:val="center"/>
    </w:pPr>
  </w:p>
  <w:p w14:paraId="79E83D6C">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A5A22">
    <w:pPr>
      <w:pStyle w:val="19"/>
      <w:jc w:val="center"/>
    </w:pPr>
  </w:p>
  <w:p w14:paraId="1CF58587">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9EF7">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8B73A">
                          <w:pPr>
                            <w:pStyle w:val="19"/>
                            <w:jc w:val="center"/>
                          </w:pPr>
                          <w:r>
                            <w:fldChar w:fldCharType="begin"/>
                          </w:r>
                          <w:r>
                            <w:instrText xml:space="preserve">PAGE   \* MERGEFORMAT</w:instrText>
                          </w:r>
                          <w:r>
                            <w:fldChar w:fldCharType="separate"/>
                          </w:r>
                          <w:r>
                            <w:rPr>
                              <w:lang w:val="zh-CN"/>
                            </w:rPr>
                            <w:t>-</w:t>
                          </w:r>
                          <w:r>
                            <w:t xml:space="preserve"> 27 -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62A8B73A">
                    <w:pPr>
                      <w:pStyle w:val="19"/>
                      <w:jc w:val="center"/>
                    </w:pPr>
                    <w:r>
                      <w:fldChar w:fldCharType="begin"/>
                    </w:r>
                    <w:r>
                      <w:instrText xml:space="preserve">PAGE   \* MERGEFORMAT</w:instrText>
                    </w:r>
                    <w:r>
                      <w:fldChar w:fldCharType="separate"/>
                    </w:r>
                    <w:r>
                      <w:rPr>
                        <w:lang w:val="zh-CN"/>
                      </w:rPr>
                      <w:t>-</w:t>
                    </w:r>
                    <w:r>
                      <w:t xml:space="preserve"> 27 -</w:t>
                    </w:r>
                    <w:r>
                      <w:fldChar w:fldCharType="end"/>
                    </w:r>
                  </w:p>
                </w:txbxContent>
              </v:textbox>
            </v:shape>
          </w:pict>
        </mc:Fallback>
      </mc:AlternateContent>
    </w:r>
  </w:p>
  <w:p w14:paraId="58118A3B">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DCAF">
    <w:pPr>
      <w:pStyle w:val="21"/>
      <w:pBdr>
        <w:bottom w:val="none" w:color="auto" w:sz="0" w:space="1"/>
      </w:pBdr>
    </w:pPr>
  </w:p>
  <w:p w14:paraId="7E39E0BD">
    <w:pPr>
      <w:pStyle w:val="21"/>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84E92">
    <w:pPr>
      <w:pStyle w:val="2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rPr>
        <w:rFonts w:cs="Times New Roman"/>
      </w:rPr>
    </w:lvl>
  </w:abstractNum>
  <w:abstractNum w:abstractNumId="1">
    <w:nsid w:val="CE2A5F3B"/>
    <w:multiLevelType w:val="singleLevel"/>
    <w:tmpl w:val="CE2A5F3B"/>
    <w:lvl w:ilvl="0" w:tentative="0">
      <w:start w:val="5"/>
      <w:numFmt w:val="decimal"/>
      <w:suff w:val="space"/>
      <w:lvlText w:val="%1."/>
      <w:lvlJc w:val="left"/>
    </w:lvl>
  </w:abstractNum>
  <w:abstractNum w:abstractNumId="2">
    <w:nsid w:val="05926F0E"/>
    <w:multiLevelType w:val="multilevel"/>
    <w:tmpl w:val="05926F0E"/>
    <w:lvl w:ilvl="0" w:tentative="0">
      <w:start w:val="1"/>
      <w:numFmt w:val="decimal"/>
      <w:lvlText w:val="%1."/>
      <w:lvlJc w:val="left"/>
      <w:pPr>
        <w:ind w:left="420" w:hanging="420"/>
      </w:pPr>
      <w:rPr>
        <w:rFonts w:cs="Times New Roman"/>
      </w:rPr>
    </w:lvl>
    <w:lvl w:ilvl="1" w:tentative="0">
      <w:start w:val="1"/>
      <w:numFmt w:val="lowerLetter"/>
      <w:pStyle w:val="84"/>
      <w:lvlText w:val="%2)"/>
      <w:lvlJc w:val="left"/>
      <w:pPr>
        <w:ind w:left="840" w:hanging="420"/>
      </w:pPr>
      <w:rPr>
        <w:rFonts w:cs="Times New Roman"/>
      </w:rPr>
    </w:lvl>
    <w:lvl w:ilvl="2" w:tentative="0">
      <w:start w:val="1"/>
      <w:numFmt w:val="lowerRoman"/>
      <w:pStyle w:val="69"/>
      <w:lvlText w:val="%3."/>
      <w:lvlJc w:val="right"/>
      <w:pPr>
        <w:ind w:left="1260" w:hanging="420"/>
      </w:pPr>
      <w:rPr>
        <w:rFonts w:cs="Times New Roman"/>
      </w:rPr>
    </w:lvl>
    <w:lvl w:ilvl="3" w:tentative="0">
      <w:start w:val="1"/>
      <w:numFmt w:val="decimal"/>
      <w:pStyle w:val="39"/>
      <w:lvlText w:val="%4."/>
      <w:lvlJc w:val="left"/>
      <w:pPr>
        <w:ind w:left="1680" w:hanging="420"/>
      </w:pPr>
      <w:rPr>
        <w:rFonts w:cs="Times New Roman"/>
      </w:rPr>
    </w:lvl>
    <w:lvl w:ilvl="4" w:tentative="0">
      <w:start w:val="1"/>
      <w:numFmt w:val="lowerLetter"/>
      <w:pStyle w:val="77"/>
      <w:lvlText w:val="%5)"/>
      <w:lvlJc w:val="left"/>
      <w:pPr>
        <w:ind w:left="2100" w:hanging="420"/>
      </w:pPr>
      <w:rPr>
        <w:rFonts w:cs="Times New Roman"/>
      </w:rPr>
    </w:lvl>
    <w:lvl w:ilvl="5" w:tentative="0">
      <w:start w:val="1"/>
      <w:numFmt w:val="lowerRoman"/>
      <w:pStyle w:val="71"/>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C474297"/>
    <w:multiLevelType w:val="multilevel"/>
    <w:tmpl w:val="0C474297"/>
    <w:lvl w:ilvl="0" w:tentative="0">
      <w:start w:val="1"/>
      <w:numFmt w:val="decimal"/>
      <w:pStyle w:val="74"/>
      <w:lvlText w:val="(%1)"/>
      <w:lvlJc w:val="left"/>
      <w:pPr>
        <w:ind w:left="360" w:hanging="360"/>
      </w:pPr>
      <w:rPr>
        <w:rFonts w:hint="default" w:cs="Times New Roman"/>
      </w:rPr>
    </w:lvl>
    <w:lvl w:ilvl="1" w:tentative="0">
      <w:start w:val="1"/>
      <w:numFmt w:val="lowerLetter"/>
      <w:pStyle w:val="75"/>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FC16C3F"/>
    <w:multiLevelType w:val="multilevel"/>
    <w:tmpl w:val="1FC16C3F"/>
    <w:lvl w:ilvl="0" w:tentative="0">
      <w:start w:val="1"/>
      <w:numFmt w:val="chineseCounting"/>
      <w:suff w:val="nothing"/>
      <w:lvlText w:val="第%1章　"/>
      <w:lvlJc w:val="left"/>
      <w:pPr>
        <w:ind w:left="-402" w:firstLine="402"/>
      </w:pPr>
      <w:rPr>
        <w:rFonts w:hint="eastAsia" w:cs="Times New Roman"/>
      </w:rPr>
    </w:lvl>
    <w:lvl w:ilvl="1" w:tentative="0">
      <w:start w:val="1"/>
      <w:numFmt w:val="chineseCounting"/>
      <w:suff w:val="nothing"/>
      <w:lvlText w:val="第%2节　"/>
      <w:lvlJc w:val="left"/>
      <w:pPr>
        <w:ind w:left="-402" w:firstLine="402"/>
      </w:pPr>
      <w:rPr>
        <w:rFonts w:hint="eastAsia" w:cs="Times New Roman"/>
      </w:rPr>
    </w:lvl>
    <w:lvl w:ilvl="2" w:tentative="0">
      <w:start w:val="1"/>
      <w:numFmt w:val="chineseCounting"/>
      <w:suff w:val="nothing"/>
      <w:lvlText w:val="第%3条　"/>
      <w:lvlJc w:val="left"/>
      <w:pPr>
        <w:ind w:left="-402" w:firstLine="402"/>
      </w:pPr>
      <w:rPr>
        <w:rFonts w:hint="eastAsia" w:cs="Times New Roman"/>
      </w:rPr>
    </w:lvl>
    <w:lvl w:ilvl="3" w:tentative="0">
      <w:start w:val="1"/>
      <w:numFmt w:val="chineseCounting"/>
      <w:suff w:val="nothing"/>
      <w:lvlText w:val="（%4）"/>
      <w:lvlJc w:val="left"/>
      <w:pPr>
        <w:ind w:left="-402" w:firstLine="402"/>
      </w:pPr>
      <w:rPr>
        <w:rFonts w:hint="eastAsia" w:cs="Times New Roman"/>
      </w:rPr>
    </w:lvl>
    <w:lvl w:ilvl="4" w:tentative="0">
      <w:start w:val="1"/>
      <w:numFmt w:val="decimal"/>
      <w:suff w:val="nothing"/>
      <w:lvlText w:val="%5．"/>
      <w:lvlJc w:val="left"/>
      <w:pPr>
        <w:ind w:left="-402" w:firstLine="402"/>
      </w:pPr>
      <w:rPr>
        <w:rFonts w:hint="eastAsia" w:cs="Times New Roman"/>
      </w:rPr>
    </w:lvl>
    <w:lvl w:ilvl="5" w:tentative="0">
      <w:start w:val="1"/>
      <w:numFmt w:val="decimal"/>
      <w:suff w:val="nothing"/>
      <w:lvlText w:val="（%6）"/>
      <w:lvlJc w:val="left"/>
      <w:pPr>
        <w:ind w:left="-402" w:firstLine="402"/>
      </w:pPr>
      <w:rPr>
        <w:rFonts w:hint="eastAsia" w:cs="Times New Roman"/>
      </w:rPr>
    </w:lvl>
    <w:lvl w:ilvl="6" w:tentative="0">
      <w:start w:val="1"/>
      <w:numFmt w:val="decimalEnclosedCircleChinese"/>
      <w:suff w:val="nothing"/>
      <w:lvlText w:val="%7 "/>
      <w:lvlJc w:val="left"/>
      <w:pPr>
        <w:ind w:left="-402" w:firstLine="402"/>
      </w:pPr>
      <w:rPr>
        <w:rFonts w:hint="eastAsia" w:cs="Times New Roman"/>
      </w:rPr>
    </w:lvl>
    <w:lvl w:ilvl="7" w:tentative="0">
      <w:start w:val="1"/>
      <w:numFmt w:val="decimal"/>
      <w:suff w:val="nothing"/>
      <w:lvlText w:val="%8）"/>
      <w:lvlJc w:val="left"/>
      <w:pPr>
        <w:ind w:left="-402" w:firstLine="402"/>
      </w:pPr>
      <w:rPr>
        <w:rFonts w:hint="eastAsia" w:cs="Times New Roman"/>
      </w:rPr>
    </w:lvl>
    <w:lvl w:ilvl="8" w:tentative="0">
      <w:start w:val="1"/>
      <w:numFmt w:val="lowerLetter"/>
      <w:suff w:val="nothing"/>
      <w:lvlText w:val="%9．"/>
      <w:lvlJc w:val="left"/>
      <w:pPr>
        <w:ind w:left="-402" w:firstLine="402"/>
      </w:pPr>
      <w:rPr>
        <w:rFonts w:hint="eastAsia" w:cs="Times New Roman"/>
      </w:rPr>
    </w:lvl>
  </w:abstractNum>
  <w:abstractNum w:abstractNumId="5">
    <w:nsid w:val="1FD97BE0"/>
    <w:multiLevelType w:val="singleLevel"/>
    <w:tmpl w:val="1FD97BE0"/>
    <w:lvl w:ilvl="0" w:tentative="0">
      <w:start w:val="1"/>
      <w:numFmt w:val="chineseCounting"/>
      <w:suff w:val="nothing"/>
      <w:lvlText w:val="（%1）"/>
      <w:lvlJc w:val="left"/>
      <w:rPr>
        <w:rFonts w:hint="eastAsia" w:cs="Times New Roman"/>
      </w:rPr>
    </w:lvl>
  </w:abstractNum>
  <w:abstractNum w:abstractNumId="6">
    <w:nsid w:val="20CA1E46"/>
    <w:multiLevelType w:val="multilevel"/>
    <w:tmpl w:val="20CA1E46"/>
    <w:lvl w:ilvl="0" w:tentative="0">
      <w:start w:val="1"/>
      <w:numFmt w:val="decimal"/>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pStyle w:val="82"/>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7">
    <w:nsid w:val="24B72DA8"/>
    <w:multiLevelType w:val="multilevel"/>
    <w:tmpl w:val="24B72DA8"/>
    <w:lvl w:ilvl="0" w:tentative="0">
      <w:start w:val="1"/>
      <w:numFmt w:val="decimal"/>
      <w:pStyle w:val="67"/>
      <w:lvlText w:val="%1."/>
      <w:lvlJc w:val="left"/>
      <w:pPr>
        <w:tabs>
          <w:tab w:val="left" w:pos="720"/>
        </w:tabs>
        <w:ind w:left="720" w:hanging="720"/>
      </w:pPr>
      <w:rPr>
        <w:rFonts w:cs="Times New Roman"/>
      </w:rPr>
    </w:lvl>
    <w:lvl w:ilvl="1" w:tentative="0">
      <w:start w:val="1"/>
      <w:numFmt w:val="decimal"/>
      <w:lvlText w:val="%2."/>
      <w:lvlJc w:val="left"/>
      <w:pPr>
        <w:tabs>
          <w:tab w:val="left" w:pos="1440"/>
        </w:tabs>
        <w:ind w:left="1440" w:hanging="720"/>
      </w:pPr>
      <w:rPr>
        <w:rFonts w:cs="Times New Roman"/>
      </w:rPr>
    </w:lvl>
    <w:lvl w:ilvl="2" w:tentative="0">
      <w:start w:val="1"/>
      <w:numFmt w:val="decimal"/>
      <w:lvlText w:val="%3."/>
      <w:lvlJc w:val="left"/>
      <w:pPr>
        <w:tabs>
          <w:tab w:val="left" w:pos="2160"/>
        </w:tabs>
        <w:ind w:left="2160" w:hanging="720"/>
      </w:pPr>
      <w:rPr>
        <w:rFonts w:cs="Times New Roman"/>
      </w:rPr>
    </w:lvl>
    <w:lvl w:ilvl="3" w:tentative="0">
      <w:start w:val="1"/>
      <w:numFmt w:val="decimal"/>
      <w:lvlText w:val="%4."/>
      <w:lvlJc w:val="left"/>
      <w:pPr>
        <w:tabs>
          <w:tab w:val="left" w:pos="2880"/>
        </w:tabs>
        <w:ind w:left="2880" w:hanging="720"/>
      </w:pPr>
      <w:rPr>
        <w:rFonts w:cs="Times New Roman"/>
      </w:rPr>
    </w:lvl>
    <w:lvl w:ilvl="4" w:tentative="0">
      <w:start w:val="1"/>
      <w:numFmt w:val="decimal"/>
      <w:lvlText w:val="%5."/>
      <w:lvlJc w:val="left"/>
      <w:pPr>
        <w:tabs>
          <w:tab w:val="left" w:pos="3600"/>
        </w:tabs>
        <w:ind w:left="3600" w:hanging="720"/>
      </w:pPr>
      <w:rPr>
        <w:rFonts w:cs="Times New Roman"/>
      </w:rPr>
    </w:lvl>
    <w:lvl w:ilvl="5" w:tentative="0">
      <w:start w:val="1"/>
      <w:numFmt w:val="decimal"/>
      <w:lvlText w:val="%6."/>
      <w:lvlJc w:val="left"/>
      <w:pPr>
        <w:tabs>
          <w:tab w:val="left" w:pos="4320"/>
        </w:tabs>
        <w:ind w:left="4320" w:hanging="720"/>
      </w:pPr>
      <w:rPr>
        <w:rFonts w:cs="Times New Roman"/>
      </w:rPr>
    </w:lvl>
    <w:lvl w:ilvl="6" w:tentative="0">
      <w:start w:val="1"/>
      <w:numFmt w:val="decimal"/>
      <w:lvlText w:val="%7."/>
      <w:lvlJc w:val="left"/>
      <w:pPr>
        <w:tabs>
          <w:tab w:val="left" w:pos="5040"/>
        </w:tabs>
        <w:ind w:left="5040" w:hanging="720"/>
      </w:pPr>
      <w:rPr>
        <w:rFonts w:cs="Times New Roman"/>
      </w:rPr>
    </w:lvl>
    <w:lvl w:ilvl="7" w:tentative="0">
      <w:start w:val="1"/>
      <w:numFmt w:val="decimal"/>
      <w:lvlText w:val="%8."/>
      <w:lvlJc w:val="left"/>
      <w:pPr>
        <w:tabs>
          <w:tab w:val="left" w:pos="5760"/>
        </w:tabs>
        <w:ind w:left="5760" w:hanging="720"/>
      </w:pPr>
      <w:rPr>
        <w:rFonts w:cs="Times New Roman"/>
      </w:rPr>
    </w:lvl>
    <w:lvl w:ilvl="8" w:tentative="0">
      <w:start w:val="1"/>
      <w:numFmt w:val="decimal"/>
      <w:lvlText w:val="%9."/>
      <w:lvlJc w:val="left"/>
      <w:pPr>
        <w:tabs>
          <w:tab w:val="left" w:pos="6480"/>
        </w:tabs>
        <w:ind w:left="6480" w:hanging="720"/>
      </w:pPr>
      <w:rPr>
        <w:rFonts w:cs="Times New Roman"/>
      </w:rPr>
    </w:lvl>
  </w:abstractNum>
  <w:abstractNum w:abstractNumId="8">
    <w:nsid w:val="2EBEB4BA"/>
    <w:multiLevelType w:val="singleLevel"/>
    <w:tmpl w:val="2EBEB4BA"/>
    <w:lvl w:ilvl="0" w:tentative="0">
      <w:start w:val="26"/>
      <w:numFmt w:val="decimal"/>
      <w:suff w:val="space"/>
      <w:lvlText w:val="%1."/>
      <w:lvlJc w:val="left"/>
      <w:rPr>
        <w:rFonts w:cs="Times New Roman"/>
      </w:rPr>
    </w:lvl>
  </w:abstractNum>
  <w:num w:numId="1">
    <w:abstractNumId w:val="2"/>
  </w:num>
  <w:num w:numId="2">
    <w:abstractNumId w:val="7"/>
  </w:num>
  <w:num w:numId="3">
    <w:abstractNumId w:val="3"/>
  </w:num>
  <w:num w:numId="4">
    <w:abstractNumId w:val="6"/>
  </w:num>
  <w:num w:numId="5">
    <w:abstractNumId w:val="4"/>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ZhZmVjMTAzM2Q1ZTNkNDhhOWI1OTdmYTA1NGIifQ=="/>
  </w:docVars>
  <w:rsids>
    <w:rsidRoot w:val="002309E4"/>
    <w:rsid w:val="0000080E"/>
    <w:rsid w:val="00001B94"/>
    <w:rsid w:val="00010534"/>
    <w:rsid w:val="00014034"/>
    <w:rsid w:val="00034971"/>
    <w:rsid w:val="00054D7E"/>
    <w:rsid w:val="000733DC"/>
    <w:rsid w:val="0009235D"/>
    <w:rsid w:val="00095DFC"/>
    <w:rsid w:val="000972F9"/>
    <w:rsid w:val="000A7F9A"/>
    <w:rsid w:val="000B5E56"/>
    <w:rsid w:val="000C5EBE"/>
    <w:rsid w:val="000D03A7"/>
    <w:rsid w:val="000D0594"/>
    <w:rsid w:val="000D78BF"/>
    <w:rsid w:val="000E04DA"/>
    <w:rsid w:val="000E11E0"/>
    <w:rsid w:val="000E2B00"/>
    <w:rsid w:val="000F09E8"/>
    <w:rsid w:val="000F4F65"/>
    <w:rsid w:val="00103353"/>
    <w:rsid w:val="00104AFC"/>
    <w:rsid w:val="00104B56"/>
    <w:rsid w:val="00135C9F"/>
    <w:rsid w:val="00144C24"/>
    <w:rsid w:val="001461E5"/>
    <w:rsid w:val="00177774"/>
    <w:rsid w:val="00180145"/>
    <w:rsid w:val="001823D7"/>
    <w:rsid w:val="001A296D"/>
    <w:rsid w:val="001C27A2"/>
    <w:rsid w:val="001D1B2E"/>
    <w:rsid w:val="001D5F40"/>
    <w:rsid w:val="001D6CB7"/>
    <w:rsid w:val="0021027A"/>
    <w:rsid w:val="00215CD1"/>
    <w:rsid w:val="00217C71"/>
    <w:rsid w:val="002309E4"/>
    <w:rsid w:val="00265927"/>
    <w:rsid w:val="00284682"/>
    <w:rsid w:val="00286FD8"/>
    <w:rsid w:val="002A1C03"/>
    <w:rsid w:val="00300689"/>
    <w:rsid w:val="00310C6E"/>
    <w:rsid w:val="00317E17"/>
    <w:rsid w:val="0033651A"/>
    <w:rsid w:val="00345931"/>
    <w:rsid w:val="0035060B"/>
    <w:rsid w:val="00357206"/>
    <w:rsid w:val="00362C49"/>
    <w:rsid w:val="00363E0A"/>
    <w:rsid w:val="0036407B"/>
    <w:rsid w:val="003A201A"/>
    <w:rsid w:val="003A5110"/>
    <w:rsid w:val="003E63CB"/>
    <w:rsid w:val="003E7F76"/>
    <w:rsid w:val="003F49D7"/>
    <w:rsid w:val="00400554"/>
    <w:rsid w:val="004146EE"/>
    <w:rsid w:val="0044474D"/>
    <w:rsid w:val="004450D5"/>
    <w:rsid w:val="004502EF"/>
    <w:rsid w:val="004833CD"/>
    <w:rsid w:val="00490B57"/>
    <w:rsid w:val="004D58DF"/>
    <w:rsid w:val="004E7294"/>
    <w:rsid w:val="004F2107"/>
    <w:rsid w:val="004F79AC"/>
    <w:rsid w:val="00510C1B"/>
    <w:rsid w:val="00520B5A"/>
    <w:rsid w:val="005249AF"/>
    <w:rsid w:val="005466EF"/>
    <w:rsid w:val="00551447"/>
    <w:rsid w:val="00572C51"/>
    <w:rsid w:val="005918D9"/>
    <w:rsid w:val="005951AC"/>
    <w:rsid w:val="005A0B78"/>
    <w:rsid w:val="005B7575"/>
    <w:rsid w:val="005B7D3E"/>
    <w:rsid w:val="005D3653"/>
    <w:rsid w:val="005D6B20"/>
    <w:rsid w:val="005F1B07"/>
    <w:rsid w:val="005F4F4E"/>
    <w:rsid w:val="005F61D6"/>
    <w:rsid w:val="0063632A"/>
    <w:rsid w:val="00644984"/>
    <w:rsid w:val="00651B8B"/>
    <w:rsid w:val="0065565B"/>
    <w:rsid w:val="0066754B"/>
    <w:rsid w:val="00676258"/>
    <w:rsid w:val="006A146A"/>
    <w:rsid w:val="006A1C3C"/>
    <w:rsid w:val="006B43F1"/>
    <w:rsid w:val="006C317D"/>
    <w:rsid w:val="006D4034"/>
    <w:rsid w:val="006E1F14"/>
    <w:rsid w:val="006E2B60"/>
    <w:rsid w:val="006E3C8F"/>
    <w:rsid w:val="00700C2A"/>
    <w:rsid w:val="00706D04"/>
    <w:rsid w:val="00730FDD"/>
    <w:rsid w:val="00737C93"/>
    <w:rsid w:val="00753678"/>
    <w:rsid w:val="00754BD5"/>
    <w:rsid w:val="00793E59"/>
    <w:rsid w:val="00794385"/>
    <w:rsid w:val="007B0B88"/>
    <w:rsid w:val="007E5DBA"/>
    <w:rsid w:val="007E79B2"/>
    <w:rsid w:val="007F0DBF"/>
    <w:rsid w:val="008036D7"/>
    <w:rsid w:val="0080618C"/>
    <w:rsid w:val="0082226A"/>
    <w:rsid w:val="0082234C"/>
    <w:rsid w:val="0082258E"/>
    <w:rsid w:val="00826C26"/>
    <w:rsid w:val="008337BC"/>
    <w:rsid w:val="0084786E"/>
    <w:rsid w:val="0086346A"/>
    <w:rsid w:val="00882FCA"/>
    <w:rsid w:val="00890BE0"/>
    <w:rsid w:val="00895151"/>
    <w:rsid w:val="008A1566"/>
    <w:rsid w:val="008A41A6"/>
    <w:rsid w:val="008A5E78"/>
    <w:rsid w:val="008A73EF"/>
    <w:rsid w:val="008B0B8E"/>
    <w:rsid w:val="008D48B4"/>
    <w:rsid w:val="008E1B18"/>
    <w:rsid w:val="008F0323"/>
    <w:rsid w:val="008F3425"/>
    <w:rsid w:val="008F724A"/>
    <w:rsid w:val="00910D3C"/>
    <w:rsid w:val="00930E5F"/>
    <w:rsid w:val="009401E7"/>
    <w:rsid w:val="00944401"/>
    <w:rsid w:val="009635C2"/>
    <w:rsid w:val="009636CB"/>
    <w:rsid w:val="0097179A"/>
    <w:rsid w:val="00980FF3"/>
    <w:rsid w:val="009B1937"/>
    <w:rsid w:val="009B4B2A"/>
    <w:rsid w:val="009C7479"/>
    <w:rsid w:val="009E6B9E"/>
    <w:rsid w:val="009F387F"/>
    <w:rsid w:val="009F567A"/>
    <w:rsid w:val="00A00F87"/>
    <w:rsid w:val="00A05995"/>
    <w:rsid w:val="00A1002D"/>
    <w:rsid w:val="00A17C81"/>
    <w:rsid w:val="00A55A50"/>
    <w:rsid w:val="00A61C1C"/>
    <w:rsid w:val="00B17AE2"/>
    <w:rsid w:val="00B27B44"/>
    <w:rsid w:val="00B40949"/>
    <w:rsid w:val="00B702EE"/>
    <w:rsid w:val="00B80B9D"/>
    <w:rsid w:val="00B94B9D"/>
    <w:rsid w:val="00BB0A86"/>
    <w:rsid w:val="00BC4C0C"/>
    <w:rsid w:val="00BD5392"/>
    <w:rsid w:val="00BF2A42"/>
    <w:rsid w:val="00BF5F5D"/>
    <w:rsid w:val="00BF6597"/>
    <w:rsid w:val="00C025D1"/>
    <w:rsid w:val="00C14CA2"/>
    <w:rsid w:val="00C212A3"/>
    <w:rsid w:val="00C51565"/>
    <w:rsid w:val="00C53128"/>
    <w:rsid w:val="00C5518A"/>
    <w:rsid w:val="00C66C92"/>
    <w:rsid w:val="00D01347"/>
    <w:rsid w:val="00D01F28"/>
    <w:rsid w:val="00D13461"/>
    <w:rsid w:val="00D16586"/>
    <w:rsid w:val="00D171B7"/>
    <w:rsid w:val="00D44720"/>
    <w:rsid w:val="00D4599D"/>
    <w:rsid w:val="00D5445C"/>
    <w:rsid w:val="00D5752D"/>
    <w:rsid w:val="00D872E4"/>
    <w:rsid w:val="00DC46B1"/>
    <w:rsid w:val="00DC4B0E"/>
    <w:rsid w:val="00DD37DB"/>
    <w:rsid w:val="00E147B2"/>
    <w:rsid w:val="00E239C3"/>
    <w:rsid w:val="00E342CE"/>
    <w:rsid w:val="00E5259A"/>
    <w:rsid w:val="00E534B4"/>
    <w:rsid w:val="00E944B1"/>
    <w:rsid w:val="00ED2B5B"/>
    <w:rsid w:val="00ED3FFC"/>
    <w:rsid w:val="00EE7015"/>
    <w:rsid w:val="00EF1861"/>
    <w:rsid w:val="00EF3CC8"/>
    <w:rsid w:val="00F026C5"/>
    <w:rsid w:val="00F11FA7"/>
    <w:rsid w:val="00F20F06"/>
    <w:rsid w:val="00F45382"/>
    <w:rsid w:val="00F54B60"/>
    <w:rsid w:val="00F727BA"/>
    <w:rsid w:val="00F74BC5"/>
    <w:rsid w:val="00F80375"/>
    <w:rsid w:val="00F80D4C"/>
    <w:rsid w:val="00F83F61"/>
    <w:rsid w:val="00F902FD"/>
    <w:rsid w:val="00FA41D7"/>
    <w:rsid w:val="00FC0169"/>
    <w:rsid w:val="00FC3F5C"/>
    <w:rsid w:val="00FC4EC6"/>
    <w:rsid w:val="01042067"/>
    <w:rsid w:val="010A06C2"/>
    <w:rsid w:val="01390BCC"/>
    <w:rsid w:val="0144688D"/>
    <w:rsid w:val="01635C49"/>
    <w:rsid w:val="01DA09AC"/>
    <w:rsid w:val="01EB38D8"/>
    <w:rsid w:val="01F83400"/>
    <w:rsid w:val="020866C9"/>
    <w:rsid w:val="02213D51"/>
    <w:rsid w:val="02B95509"/>
    <w:rsid w:val="02CE1353"/>
    <w:rsid w:val="0313544C"/>
    <w:rsid w:val="034B5034"/>
    <w:rsid w:val="039406FC"/>
    <w:rsid w:val="03D50A54"/>
    <w:rsid w:val="043C5C87"/>
    <w:rsid w:val="04730898"/>
    <w:rsid w:val="04E06C0D"/>
    <w:rsid w:val="04FE4606"/>
    <w:rsid w:val="051031AE"/>
    <w:rsid w:val="059A2557"/>
    <w:rsid w:val="059A406C"/>
    <w:rsid w:val="059B2E1F"/>
    <w:rsid w:val="05CF5FA2"/>
    <w:rsid w:val="05D250F6"/>
    <w:rsid w:val="05E80E12"/>
    <w:rsid w:val="06025153"/>
    <w:rsid w:val="0653264B"/>
    <w:rsid w:val="06676252"/>
    <w:rsid w:val="06766E75"/>
    <w:rsid w:val="06790A01"/>
    <w:rsid w:val="06CA3863"/>
    <w:rsid w:val="06E15F8D"/>
    <w:rsid w:val="07267E44"/>
    <w:rsid w:val="074E76EF"/>
    <w:rsid w:val="07B50BE8"/>
    <w:rsid w:val="07D93C8D"/>
    <w:rsid w:val="08012539"/>
    <w:rsid w:val="08096863"/>
    <w:rsid w:val="08A70B11"/>
    <w:rsid w:val="08DC4C5E"/>
    <w:rsid w:val="090E7123"/>
    <w:rsid w:val="09497E1A"/>
    <w:rsid w:val="094F69BA"/>
    <w:rsid w:val="09CA153F"/>
    <w:rsid w:val="09D64425"/>
    <w:rsid w:val="09EF451D"/>
    <w:rsid w:val="0A7D25E6"/>
    <w:rsid w:val="0AF22A49"/>
    <w:rsid w:val="0B0E4DA1"/>
    <w:rsid w:val="0B36102C"/>
    <w:rsid w:val="0B427292"/>
    <w:rsid w:val="0BA10100"/>
    <w:rsid w:val="0BBF43C3"/>
    <w:rsid w:val="0C710CBE"/>
    <w:rsid w:val="0C7809D9"/>
    <w:rsid w:val="0CAF7D35"/>
    <w:rsid w:val="0CE2480D"/>
    <w:rsid w:val="0CE63257"/>
    <w:rsid w:val="0D221C54"/>
    <w:rsid w:val="0D462DD0"/>
    <w:rsid w:val="0D81718A"/>
    <w:rsid w:val="0D953ED6"/>
    <w:rsid w:val="0D9D3D6A"/>
    <w:rsid w:val="0DBA12E6"/>
    <w:rsid w:val="0DBE2385"/>
    <w:rsid w:val="0E1F739B"/>
    <w:rsid w:val="0E210A52"/>
    <w:rsid w:val="0E374BB2"/>
    <w:rsid w:val="0E3F6C7C"/>
    <w:rsid w:val="0E5C65DD"/>
    <w:rsid w:val="0E89766B"/>
    <w:rsid w:val="0EA24254"/>
    <w:rsid w:val="0F125514"/>
    <w:rsid w:val="0F161477"/>
    <w:rsid w:val="0F5E5AE8"/>
    <w:rsid w:val="0F66697A"/>
    <w:rsid w:val="0FDF2936"/>
    <w:rsid w:val="0FE7187F"/>
    <w:rsid w:val="0FF46A0B"/>
    <w:rsid w:val="100A2472"/>
    <w:rsid w:val="101C3B92"/>
    <w:rsid w:val="103E7F29"/>
    <w:rsid w:val="10413CD0"/>
    <w:rsid w:val="106A5D03"/>
    <w:rsid w:val="10A1053B"/>
    <w:rsid w:val="10A672E7"/>
    <w:rsid w:val="10EF574B"/>
    <w:rsid w:val="10EF74F9"/>
    <w:rsid w:val="110034B4"/>
    <w:rsid w:val="110533C1"/>
    <w:rsid w:val="110660A6"/>
    <w:rsid w:val="111F1149"/>
    <w:rsid w:val="1143368F"/>
    <w:rsid w:val="1189606E"/>
    <w:rsid w:val="118D1C82"/>
    <w:rsid w:val="119A5749"/>
    <w:rsid w:val="11C4717C"/>
    <w:rsid w:val="125759BD"/>
    <w:rsid w:val="12687563"/>
    <w:rsid w:val="12860CC6"/>
    <w:rsid w:val="12A63F9E"/>
    <w:rsid w:val="12E666D9"/>
    <w:rsid w:val="13195822"/>
    <w:rsid w:val="1336140F"/>
    <w:rsid w:val="133B07D3"/>
    <w:rsid w:val="13453832"/>
    <w:rsid w:val="137C43C4"/>
    <w:rsid w:val="138A1AB6"/>
    <w:rsid w:val="13AD35E4"/>
    <w:rsid w:val="13FB34BE"/>
    <w:rsid w:val="1480375B"/>
    <w:rsid w:val="14C021B2"/>
    <w:rsid w:val="14DF145A"/>
    <w:rsid w:val="14EA0703"/>
    <w:rsid w:val="14F97212"/>
    <w:rsid w:val="153E0A4F"/>
    <w:rsid w:val="156764CF"/>
    <w:rsid w:val="156B673E"/>
    <w:rsid w:val="156C2EC6"/>
    <w:rsid w:val="15F45905"/>
    <w:rsid w:val="160457F4"/>
    <w:rsid w:val="16821106"/>
    <w:rsid w:val="16D812D2"/>
    <w:rsid w:val="16E15B36"/>
    <w:rsid w:val="16F6795A"/>
    <w:rsid w:val="173F1DFA"/>
    <w:rsid w:val="17D31922"/>
    <w:rsid w:val="17D87B2E"/>
    <w:rsid w:val="180C1F01"/>
    <w:rsid w:val="1822077E"/>
    <w:rsid w:val="1825774A"/>
    <w:rsid w:val="18286342"/>
    <w:rsid w:val="1829683C"/>
    <w:rsid w:val="184F13F4"/>
    <w:rsid w:val="18B2733F"/>
    <w:rsid w:val="18E13BCB"/>
    <w:rsid w:val="18E35B95"/>
    <w:rsid w:val="192835A8"/>
    <w:rsid w:val="195F3E26"/>
    <w:rsid w:val="198A6011"/>
    <w:rsid w:val="19AF03C7"/>
    <w:rsid w:val="19D50A4D"/>
    <w:rsid w:val="1A41745E"/>
    <w:rsid w:val="1A4419D9"/>
    <w:rsid w:val="1A441E0D"/>
    <w:rsid w:val="1A4C1518"/>
    <w:rsid w:val="1AC35979"/>
    <w:rsid w:val="1ACE4623"/>
    <w:rsid w:val="1ADB1D58"/>
    <w:rsid w:val="1AF220BF"/>
    <w:rsid w:val="1AFA5418"/>
    <w:rsid w:val="1B2617F5"/>
    <w:rsid w:val="1CF2775B"/>
    <w:rsid w:val="1CFB0451"/>
    <w:rsid w:val="1D1778F4"/>
    <w:rsid w:val="1DD957B9"/>
    <w:rsid w:val="1DDB68BB"/>
    <w:rsid w:val="1DE351EB"/>
    <w:rsid w:val="1E302B54"/>
    <w:rsid w:val="1E540CDA"/>
    <w:rsid w:val="1E592F82"/>
    <w:rsid w:val="1E733517"/>
    <w:rsid w:val="1E980F0C"/>
    <w:rsid w:val="1EA132F9"/>
    <w:rsid w:val="1EB651CB"/>
    <w:rsid w:val="1ECA6EAF"/>
    <w:rsid w:val="1ED6413C"/>
    <w:rsid w:val="1EDF41B4"/>
    <w:rsid w:val="1EE561D1"/>
    <w:rsid w:val="1EEE2707"/>
    <w:rsid w:val="1F5629B9"/>
    <w:rsid w:val="1F7664A2"/>
    <w:rsid w:val="1F8D685B"/>
    <w:rsid w:val="1FCE410D"/>
    <w:rsid w:val="1FE74446"/>
    <w:rsid w:val="20232D1B"/>
    <w:rsid w:val="20325D08"/>
    <w:rsid w:val="20427645"/>
    <w:rsid w:val="207A2E7F"/>
    <w:rsid w:val="20BB30DF"/>
    <w:rsid w:val="20C9094D"/>
    <w:rsid w:val="20E06C98"/>
    <w:rsid w:val="210A0F60"/>
    <w:rsid w:val="214642EC"/>
    <w:rsid w:val="215F7D83"/>
    <w:rsid w:val="216751F7"/>
    <w:rsid w:val="219263AA"/>
    <w:rsid w:val="21DF252A"/>
    <w:rsid w:val="21F637F2"/>
    <w:rsid w:val="22000578"/>
    <w:rsid w:val="224376A4"/>
    <w:rsid w:val="2262401F"/>
    <w:rsid w:val="2297044C"/>
    <w:rsid w:val="22A530BF"/>
    <w:rsid w:val="23127636"/>
    <w:rsid w:val="234B27B2"/>
    <w:rsid w:val="23564AB2"/>
    <w:rsid w:val="23634EDE"/>
    <w:rsid w:val="239624B8"/>
    <w:rsid w:val="23AE03E7"/>
    <w:rsid w:val="23C562A3"/>
    <w:rsid w:val="23CE7442"/>
    <w:rsid w:val="23EA427B"/>
    <w:rsid w:val="23FD3DCF"/>
    <w:rsid w:val="242E06CB"/>
    <w:rsid w:val="242F4F47"/>
    <w:rsid w:val="24393F52"/>
    <w:rsid w:val="24830B6A"/>
    <w:rsid w:val="25280C02"/>
    <w:rsid w:val="253825EA"/>
    <w:rsid w:val="254C6B9E"/>
    <w:rsid w:val="25902C01"/>
    <w:rsid w:val="26973C51"/>
    <w:rsid w:val="26B161BC"/>
    <w:rsid w:val="26C5154E"/>
    <w:rsid w:val="27463247"/>
    <w:rsid w:val="275479A8"/>
    <w:rsid w:val="2759428A"/>
    <w:rsid w:val="27951673"/>
    <w:rsid w:val="281D224A"/>
    <w:rsid w:val="283024B5"/>
    <w:rsid w:val="288A35EE"/>
    <w:rsid w:val="28F60FCD"/>
    <w:rsid w:val="292A6EC8"/>
    <w:rsid w:val="29D74B46"/>
    <w:rsid w:val="29D922B8"/>
    <w:rsid w:val="29DD49DB"/>
    <w:rsid w:val="29F1428B"/>
    <w:rsid w:val="2A0C4820"/>
    <w:rsid w:val="2A2B739C"/>
    <w:rsid w:val="2A4135C2"/>
    <w:rsid w:val="2AA763D5"/>
    <w:rsid w:val="2AF05AFA"/>
    <w:rsid w:val="2B0B5110"/>
    <w:rsid w:val="2BEE55D3"/>
    <w:rsid w:val="2C097269"/>
    <w:rsid w:val="2C1335B4"/>
    <w:rsid w:val="2C504E98"/>
    <w:rsid w:val="2CFE4ECE"/>
    <w:rsid w:val="2D1D613B"/>
    <w:rsid w:val="2D931FC0"/>
    <w:rsid w:val="2DBE7A5B"/>
    <w:rsid w:val="2E8059EF"/>
    <w:rsid w:val="2EB37960"/>
    <w:rsid w:val="2EC60A4A"/>
    <w:rsid w:val="2EE41D73"/>
    <w:rsid w:val="2EE569C6"/>
    <w:rsid w:val="2F443489"/>
    <w:rsid w:val="2F672377"/>
    <w:rsid w:val="2F7C2A8D"/>
    <w:rsid w:val="2F8135BA"/>
    <w:rsid w:val="2FB344DB"/>
    <w:rsid w:val="300E12F2"/>
    <w:rsid w:val="30500D17"/>
    <w:rsid w:val="30DD0D03"/>
    <w:rsid w:val="311A1F18"/>
    <w:rsid w:val="31374878"/>
    <w:rsid w:val="315B6CD7"/>
    <w:rsid w:val="319D62DB"/>
    <w:rsid w:val="31D04385"/>
    <w:rsid w:val="31D73965"/>
    <w:rsid w:val="31EB0625"/>
    <w:rsid w:val="31FD3BE4"/>
    <w:rsid w:val="325A6FD8"/>
    <w:rsid w:val="32733EC7"/>
    <w:rsid w:val="32BF0681"/>
    <w:rsid w:val="32C428D3"/>
    <w:rsid w:val="33331FD2"/>
    <w:rsid w:val="337A3E72"/>
    <w:rsid w:val="3383276B"/>
    <w:rsid w:val="33953AD8"/>
    <w:rsid w:val="33C223E2"/>
    <w:rsid w:val="343B3756"/>
    <w:rsid w:val="34572416"/>
    <w:rsid w:val="348C1D7E"/>
    <w:rsid w:val="34F605A6"/>
    <w:rsid w:val="35B069A7"/>
    <w:rsid w:val="362A675A"/>
    <w:rsid w:val="362E0051"/>
    <w:rsid w:val="365E5AD6"/>
    <w:rsid w:val="36686D57"/>
    <w:rsid w:val="366B6436"/>
    <w:rsid w:val="368B2DD6"/>
    <w:rsid w:val="36B50719"/>
    <w:rsid w:val="374D654E"/>
    <w:rsid w:val="375A5088"/>
    <w:rsid w:val="378724ED"/>
    <w:rsid w:val="379C3549"/>
    <w:rsid w:val="38327B47"/>
    <w:rsid w:val="38790CC3"/>
    <w:rsid w:val="38795776"/>
    <w:rsid w:val="38F0250E"/>
    <w:rsid w:val="38F73337"/>
    <w:rsid w:val="391159AF"/>
    <w:rsid w:val="39161217"/>
    <w:rsid w:val="39D3529B"/>
    <w:rsid w:val="39EC3D26"/>
    <w:rsid w:val="39F531D2"/>
    <w:rsid w:val="3A3C733D"/>
    <w:rsid w:val="3A476A38"/>
    <w:rsid w:val="3A52627F"/>
    <w:rsid w:val="3A576316"/>
    <w:rsid w:val="3A685AA2"/>
    <w:rsid w:val="3A8B1791"/>
    <w:rsid w:val="3A8F74D3"/>
    <w:rsid w:val="3A9F3301"/>
    <w:rsid w:val="3AFD74AB"/>
    <w:rsid w:val="3B146D18"/>
    <w:rsid w:val="3B2319C9"/>
    <w:rsid w:val="3B634407"/>
    <w:rsid w:val="3B721655"/>
    <w:rsid w:val="3B8215FA"/>
    <w:rsid w:val="3B882CF7"/>
    <w:rsid w:val="3B9C6B95"/>
    <w:rsid w:val="3BA0368D"/>
    <w:rsid w:val="3BDA756D"/>
    <w:rsid w:val="3BF35EB4"/>
    <w:rsid w:val="3BFA6BCE"/>
    <w:rsid w:val="3C1B6F4F"/>
    <w:rsid w:val="3C2B6D87"/>
    <w:rsid w:val="3C3E427E"/>
    <w:rsid w:val="3C5D1BB7"/>
    <w:rsid w:val="3C884A06"/>
    <w:rsid w:val="3C907271"/>
    <w:rsid w:val="3CBE6B95"/>
    <w:rsid w:val="3D105D38"/>
    <w:rsid w:val="3DB14A2F"/>
    <w:rsid w:val="3DC30A67"/>
    <w:rsid w:val="3E51386D"/>
    <w:rsid w:val="3EB96787"/>
    <w:rsid w:val="3ECB7F2A"/>
    <w:rsid w:val="3EEC6DAF"/>
    <w:rsid w:val="3EFF76BA"/>
    <w:rsid w:val="3F00142F"/>
    <w:rsid w:val="3F214FAB"/>
    <w:rsid w:val="3FFF7EC9"/>
    <w:rsid w:val="4009192C"/>
    <w:rsid w:val="40703903"/>
    <w:rsid w:val="409D5D7A"/>
    <w:rsid w:val="40A908E9"/>
    <w:rsid w:val="40D41F2E"/>
    <w:rsid w:val="41AC06D8"/>
    <w:rsid w:val="41C01C51"/>
    <w:rsid w:val="41E06F7A"/>
    <w:rsid w:val="42090E2F"/>
    <w:rsid w:val="422B44D2"/>
    <w:rsid w:val="423D1B28"/>
    <w:rsid w:val="425608D6"/>
    <w:rsid w:val="42C6780A"/>
    <w:rsid w:val="4319011B"/>
    <w:rsid w:val="434E51C9"/>
    <w:rsid w:val="43654793"/>
    <w:rsid w:val="441B5E2C"/>
    <w:rsid w:val="442C03A1"/>
    <w:rsid w:val="44476FCF"/>
    <w:rsid w:val="448D57F7"/>
    <w:rsid w:val="44B270DB"/>
    <w:rsid w:val="45102CD2"/>
    <w:rsid w:val="454A4722"/>
    <w:rsid w:val="4574425A"/>
    <w:rsid w:val="463A6D87"/>
    <w:rsid w:val="46A73BE7"/>
    <w:rsid w:val="46B1257F"/>
    <w:rsid w:val="470E352E"/>
    <w:rsid w:val="471B4258"/>
    <w:rsid w:val="47892189"/>
    <w:rsid w:val="47EE17D3"/>
    <w:rsid w:val="4822043E"/>
    <w:rsid w:val="48320CAE"/>
    <w:rsid w:val="48564C16"/>
    <w:rsid w:val="485E04E5"/>
    <w:rsid w:val="486B6297"/>
    <w:rsid w:val="48802209"/>
    <w:rsid w:val="488717E9"/>
    <w:rsid w:val="48D71562"/>
    <w:rsid w:val="48D805F5"/>
    <w:rsid w:val="48DD0D98"/>
    <w:rsid w:val="48E9608E"/>
    <w:rsid w:val="495E69EE"/>
    <w:rsid w:val="498D5CEC"/>
    <w:rsid w:val="498E0956"/>
    <w:rsid w:val="49A563CB"/>
    <w:rsid w:val="49CE113A"/>
    <w:rsid w:val="4A8C0F12"/>
    <w:rsid w:val="4B5D05E6"/>
    <w:rsid w:val="4B840262"/>
    <w:rsid w:val="4B90263B"/>
    <w:rsid w:val="4BC40386"/>
    <w:rsid w:val="4BEA0DFF"/>
    <w:rsid w:val="4C165F6D"/>
    <w:rsid w:val="4C222DEC"/>
    <w:rsid w:val="4C3A5BFD"/>
    <w:rsid w:val="4C983FC5"/>
    <w:rsid w:val="4C9B795A"/>
    <w:rsid w:val="4CC60B45"/>
    <w:rsid w:val="4CCA439B"/>
    <w:rsid w:val="4CE433F7"/>
    <w:rsid w:val="4CE611B2"/>
    <w:rsid w:val="4D1B69A4"/>
    <w:rsid w:val="4D50664E"/>
    <w:rsid w:val="4D6D31E7"/>
    <w:rsid w:val="4DE84AD8"/>
    <w:rsid w:val="4E10402F"/>
    <w:rsid w:val="4E4306E9"/>
    <w:rsid w:val="4E825454"/>
    <w:rsid w:val="4E926C43"/>
    <w:rsid w:val="4EC279D7"/>
    <w:rsid w:val="4F367D6D"/>
    <w:rsid w:val="4FD5533C"/>
    <w:rsid w:val="4FDC3254"/>
    <w:rsid w:val="502408E4"/>
    <w:rsid w:val="50362290"/>
    <w:rsid w:val="50503493"/>
    <w:rsid w:val="506B2513"/>
    <w:rsid w:val="5076668A"/>
    <w:rsid w:val="510612DE"/>
    <w:rsid w:val="515406D7"/>
    <w:rsid w:val="51736FBF"/>
    <w:rsid w:val="51BA1945"/>
    <w:rsid w:val="51E7154B"/>
    <w:rsid w:val="51F030D5"/>
    <w:rsid w:val="51FD289D"/>
    <w:rsid w:val="5217080F"/>
    <w:rsid w:val="52484C73"/>
    <w:rsid w:val="52723ECF"/>
    <w:rsid w:val="52744AE3"/>
    <w:rsid w:val="52855C9B"/>
    <w:rsid w:val="530C54AA"/>
    <w:rsid w:val="53460A90"/>
    <w:rsid w:val="537A4843"/>
    <w:rsid w:val="53B14ECD"/>
    <w:rsid w:val="53E37401"/>
    <w:rsid w:val="53E732A5"/>
    <w:rsid w:val="542228D7"/>
    <w:rsid w:val="54A172A4"/>
    <w:rsid w:val="54D83366"/>
    <w:rsid w:val="551C3DDC"/>
    <w:rsid w:val="5531653B"/>
    <w:rsid w:val="555F60C6"/>
    <w:rsid w:val="55922E56"/>
    <w:rsid w:val="55CC1E09"/>
    <w:rsid w:val="55E93E08"/>
    <w:rsid w:val="55FB55C5"/>
    <w:rsid w:val="561B07B0"/>
    <w:rsid w:val="563A36F2"/>
    <w:rsid w:val="56463975"/>
    <w:rsid w:val="56933C1B"/>
    <w:rsid w:val="56ED6744"/>
    <w:rsid w:val="57180A4A"/>
    <w:rsid w:val="572A7F10"/>
    <w:rsid w:val="575C2093"/>
    <w:rsid w:val="575E5568"/>
    <w:rsid w:val="57A06424"/>
    <w:rsid w:val="584B7BF5"/>
    <w:rsid w:val="588D16A1"/>
    <w:rsid w:val="5895240C"/>
    <w:rsid w:val="58A255C2"/>
    <w:rsid w:val="58DB5A41"/>
    <w:rsid w:val="58EC5485"/>
    <w:rsid w:val="58EF7663"/>
    <w:rsid w:val="59174B67"/>
    <w:rsid w:val="591A54E5"/>
    <w:rsid w:val="59701E26"/>
    <w:rsid w:val="59A87409"/>
    <w:rsid w:val="5A004D4A"/>
    <w:rsid w:val="5A156465"/>
    <w:rsid w:val="5A215162"/>
    <w:rsid w:val="5A305BEC"/>
    <w:rsid w:val="5A53777D"/>
    <w:rsid w:val="5A712786"/>
    <w:rsid w:val="5B714063"/>
    <w:rsid w:val="5BA37FCD"/>
    <w:rsid w:val="5BF326AE"/>
    <w:rsid w:val="5C292E8C"/>
    <w:rsid w:val="5C4C1DF4"/>
    <w:rsid w:val="5CC901CB"/>
    <w:rsid w:val="5D6D41CA"/>
    <w:rsid w:val="5D87118C"/>
    <w:rsid w:val="5DA20BA7"/>
    <w:rsid w:val="5DA33F6C"/>
    <w:rsid w:val="5DFB3A87"/>
    <w:rsid w:val="5E007206"/>
    <w:rsid w:val="5E091CE0"/>
    <w:rsid w:val="5E161C7B"/>
    <w:rsid w:val="5E5166CA"/>
    <w:rsid w:val="5E5E6C13"/>
    <w:rsid w:val="5EA031AD"/>
    <w:rsid w:val="5EC55836"/>
    <w:rsid w:val="5EE017FC"/>
    <w:rsid w:val="5F2404E8"/>
    <w:rsid w:val="5F2822DC"/>
    <w:rsid w:val="5F350549"/>
    <w:rsid w:val="5F3A2539"/>
    <w:rsid w:val="5F400345"/>
    <w:rsid w:val="5F4955F3"/>
    <w:rsid w:val="5F695FF8"/>
    <w:rsid w:val="5F6F7843"/>
    <w:rsid w:val="5F7D28C4"/>
    <w:rsid w:val="5FBD2AD0"/>
    <w:rsid w:val="5FDF43C7"/>
    <w:rsid w:val="60535CFF"/>
    <w:rsid w:val="607C23F3"/>
    <w:rsid w:val="60803296"/>
    <w:rsid w:val="609414C2"/>
    <w:rsid w:val="60EB4E51"/>
    <w:rsid w:val="614B4CAE"/>
    <w:rsid w:val="61516DED"/>
    <w:rsid w:val="61532759"/>
    <w:rsid w:val="615450FD"/>
    <w:rsid w:val="61753AD2"/>
    <w:rsid w:val="6195412E"/>
    <w:rsid w:val="624031A3"/>
    <w:rsid w:val="62487DE4"/>
    <w:rsid w:val="624D3512"/>
    <w:rsid w:val="629A590B"/>
    <w:rsid w:val="62BE7103"/>
    <w:rsid w:val="62CE03EB"/>
    <w:rsid w:val="630F41D8"/>
    <w:rsid w:val="631657EC"/>
    <w:rsid w:val="633839B4"/>
    <w:rsid w:val="63707A1C"/>
    <w:rsid w:val="64080CAB"/>
    <w:rsid w:val="64260712"/>
    <w:rsid w:val="64890782"/>
    <w:rsid w:val="64A96E72"/>
    <w:rsid w:val="64B368CF"/>
    <w:rsid w:val="64B67287"/>
    <w:rsid w:val="65164A31"/>
    <w:rsid w:val="653A164E"/>
    <w:rsid w:val="654E0B3E"/>
    <w:rsid w:val="65CE30A3"/>
    <w:rsid w:val="66086E9B"/>
    <w:rsid w:val="66503D66"/>
    <w:rsid w:val="66823ED1"/>
    <w:rsid w:val="6697091C"/>
    <w:rsid w:val="673069F6"/>
    <w:rsid w:val="676F7D18"/>
    <w:rsid w:val="67700A62"/>
    <w:rsid w:val="6773320D"/>
    <w:rsid w:val="679A481B"/>
    <w:rsid w:val="67FC1454"/>
    <w:rsid w:val="681F410F"/>
    <w:rsid w:val="6825412C"/>
    <w:rsid w:val="684B6A13"/>
    <w:rsid w:val="68FD2359"/>
    <w:rsid w:val="690A0C77"/>
    <w:rsid w:val="69232D3B"/>
    <w:rsid w:val="695B03FD"/>
    <w:rsid w:val="699C0196"/>
    <w:rsid w:val="69A24955"/>
    <w:rsid w:val="69A47FF6"/>
    <w:rsid w:val="69BD08C2"/>
    <w:rsid w:val="69C92260"/>
    <w:rsid w:val="69E7542D"/>
    <w:rsid w:val="6AAC205F"/>
    <w:rsid w:val="6ADE1B67"/>
    <w:rsid w:val="6AF503DD"/>
    <w:rsid w:val="6BB3513A"/>
    <w:rsid w:val="6C117498"/>
    <w:rsid w:val="6C3D64DF"/>
    <w:rsid w:val="6C88244D"/>
    <w:rsid w:val="6C9C7F3A"/>
    <w:rsid w:val="6CA454A7"/>
    <w:rsid w:val="6CBE13CE"/>
    <w:rsid w:val="6CC32910"/>
    <w:rsid w:val="6CE35466"/>
    <w:rsid w:val="6E3A5CBE"/>
    <w:rsid w:val="6E3B0B20"/>
    <w:rsid w:val="6E4771A1"/>
    <w:rsid w:val="6E5D3031"/>
    <w:rsid w:val="6E805CAF"/>
    <w:rsid w:val="6E94030B"/>
    <w:rsid w:val="6ED17905"/>
    <w:rsid w:val="6EF73380"/>
    <w:rsid w:val="6F1138E7"/>
    <w:rsid w:val="6F1B2538"/>
    <w:rsid w:val="6F1B6B2B"/>
    <w:rsid w:val="6FCA6DDF"/>
    <w:rsid w:val="703C565E"/>
    <w:rsid w:val="70437B92"/>
    <w:rsid w:val="706935C4"/>
    <w:rsid w:val="708030A8"/>
    <w:rsid w:val="70A738E4"/>
    <w:rsid w:val="71AC73C6"/>
    <w:rsid w:val="721E1120"/>
    <w:rsid w:val="723635F8"/>
    <w:rsid w:val="72367C8E"/>
    <w:rsid w:val="724216DC"/>
    <w:rsid w:val="72503A53"/>
    <w:rsid w:val="72647DF7"/>
    <w:rsid w:val="728153B3"/>
    <w:rsid w:val="728B2DDC"/>
    <w:rsid w:val="72997818"/>
    <w:rsid w:val="72BD7A32"/>
    <w:rsid w:val="72E1439C"/>
    <w:rsid w:val="73313BD5"/>
    <w:rsid w:val="73BB60DE"/>
    <w:rsid w:val="74143DE2"/>
    <w:rsid w:val="74341F76"/>
    <w:rsid w:val="7444514C"/>
    <w:rsid w:val="744C76B2"/>
    <w:rsid w:val="74A67E22"/>
    <w:rsid w:val="74E53E9B"/>
    <w:rsid w:val="74F17E67"/>
    <w:rsid w:val="750A2716"/>
    <w:rsid w:val="75B90985"/>
    <w:rsid w:val="75D67789"/>
    <w:rsid w:val="76587A02"/>
    <w:rsid w:val="76827C0C"/>
    <w:rsid w:val="769D02A6"/>
    <w:rsid w:val="76AC51CA"/>
    <w:rsid w:val="770F5341"/>
    <w:rsid w:val="77185A7A"/>
    <w:rsid w:val="771C1FEB"/>
    <w:rsid w:val="77251282"/>
    <w:rsid w:val="772A6B6C"/>
    <w:rsid w:val="772C162A"/>
    <w:rsid w:val="773706AE"/>
    <w:rsid w:val="776E53F7"/>
    <w:rsid w:val="77AD276B"/>
    <w:rsid w:val="77B8749C"/>
    <w:rsid w:val="77D53A9C"/>
    <w:rsid w:val="78054355"/>
    <w:rsid w:val="781F6A99"/>
    <w:rsid w:val="7849332A"/>
    <w:rsid w:val="788E3BD5"/>
    <w:rsid w:val="78CE1E32"/>
    <w:rsid w:val="79697BB9"/>
    <w:rsid w:val="79A47EF6"/>
    <w:rsid w:val="79A75717"/>
    <w:rsid w:val="79B40D24"/>
    <w:rsid w:val="79DC7338"/>
    <w:rsid w:val="79E26E11"/>
    <w:rsid w:val="79F30FA6"/>
    <w:rsid w:val="7A206F6A"/>
    <w:rsid w:val="7A344A7E"/>
    <w:rsid w:val="7A575F13"/>
    <w:rsid w:val="7A7F1A71"/>
    <w:rsid w:val="7ADE63F2"/>
    <w:rsid w:val="7AED2462"/>
    <w:rsid w:val="7B1C357F"/>
    <w:rsid w:val="7B226FCC"/>
    <w:rsid w:val="7B477DF0"/>
    <w:rsid w:val="7B4A207F"/>
    <w:rsid w:val="7B5A10D9"/>
    <w:rsid w:val="7B7315D6"/>
    <w:rsid w:val="7B904AEA"/>
    <w:rsid w:val="7BF757D5"/>
    <w:rsid w:val="7C594C70"/>
    <w:rsid w:val="7C776EA4"/>
    <w:rsid w:val="7CF5012A"/>
    <w:rsid w:val="7CFA66AA"/>
    <w:rsid w:val="7D077474"/>
    <w:rsid w:val="7DBC2D12"/>
    <w:rsid w:val="7E5C0A47"/>
    <w:rsid w:val="7E5E6FCF"/>
    <w:rsid w:val="7E6510EA"/>
    <w:rsid w:val="7E867872"/>
    <w:rsid w:val="7E956169"/>
    <w:rsid w:val="7F8143BD"/>
    <w:rsid w:val="7FAB173B"/>
    <w:rsid w:val="7FCD77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99" w:semiHidden="0" w:name="index 8"/>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autoRedefine/>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1"/>
    <w:autoRedefine/>
    <w:qFormat/>
    <w:uiPriority w:val="99"/>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42"/>
    <w:autoRedefine/>
    <w:qFormat/>
    <w:uiPriority w:val="99"/>
    <w:pPr>
      <w:keepNext/>
      <w:keepLines/>
      <w:spacing w:before="260" w:after="260"/>
      <w:outlineLvl w:val="2"/>
    </w:pPr>
    <w:rPr>
      <w:rFonts w:ascii="Calibri" w:hAnsi="Calibri"/>
      <w:b/>
      <w:kern w:val="0"/>
      <w:sz w:val="32"/>
      <w:szCs w:val="20"/>
    </w:rPr>
  </w:style>
  <w:style w:type="paragraph" w:styleId="6">
    <w:name w:val="heading 4"/>
    <w:basedOn w:val="1"/>
    <w:next w:val="1"/>
    <w:link w:val="43"/>
    <w:autoRedefine/>
    <w:qFormat/>
    <w:uiPriority w:val="99"/>
    <w:pPr>
      <w:keepNext/>
      <w:spacing w:before="240" w:after="60"/>
      <w:outlineLvl w:val="3"/>
    </w:pPr>
    <w:rPr>
      <w:b/>
      <w:bCs/>
      <w:sz w:val="28"/>
      <w:szCs w:val="28"/>
    </w:rPr>
  </w:style>
  <w:style w:type="paragraph" w:styleId="7">
    <w:name w:val="heading 5"/>
    <w:basedOn w:val="1"/>
    <w:next w:val="1"/>
    <w:link w:val="44"/>
    <w:autoRedefine/>
    <w:qFormat/>
    <w:uiPriority w:val="99"/>
    <w:pPr>
      <w:keepNext/>
      <w:keepLines/>
      <w:spacing w:before="280" w:after="290" w:line="376" w:lineRule="auto"/>
      <w:outlineLvl w:val="4"/>
    </w:pPr>
    <w:rPr>
      <w:b/>
      <w:bCs/>
      <w:sz w:val="28"/>
      <w:szCs w:val="28"/>
    </w:rPr>
  </w:style>
  <w:style w:type="paragraph" w:styleId="8">
    <w:name w:val="heading 6"/>
    <w:basedOn w:val="1"/>
    <w:next w:val="1"/>
    <w:link w:val="45"/>
    <w:autoRedefine/>
    <w:qFormat/>
    <w:uiPriority w:val="99"/>
    <w:pPr>
      <w:keepNext/>
      <w:keepLines/>
      <w:spacing w:before="240" w:after="64" w:line="320" w:lineRule="auto"/>
      <w:outlineLvl w:val="5"/>
    </w:pPr>
    <w:rPr>
      <w:rFonts w:ascii="Cambria" w:hAnsi="Cambria"/>
      <w:b/>
      <w:bCs/>
      <w:sz w:val="24"/>
    </w:rPr>
  </w:style>
  <w:style w:type="character" w:default="1" w:styleId="31">
    <w:name w:val="Default Paragraph Font"/>
    <w:autoRedefine/>
    <w:semiHidden/>
    <w:qFormat/>
    <w:uiPriority w:val="99"/>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8"/>
    <w:autoRedefine/>
    <w:qFormat/>
    <w:uiPriority w:val="99"/>
  </w:style>
  <w:style w:type="paragraph" w:styleId="9">
    <w:name w:val="table of authorities"/>
    <w:basedOn w:val="1"/>
    <w:next w:val="1"/>
    <w:autoRedefine/>
    <w:qFormat/>
    <w:uiPriority w:val="99"/>
    <w:pPr>
      <w:ind w:left="420"/>
    </w:pPr>
    <w:rPr>
      <w:szCs w:val="20"/>
    </w:rPr>
  </w:style>
  <w:style w:type="paragraph" w:styleId="10">
    <w:name w:val="index 8"/>
    <w:basedOn w:val="1"/>
    <w:next w:val="1"/>
    <w:autoRedefine/>
    <w:qFormat/>
    <w:uiPriority w:val="99"/>
    <w:pPr>
      <w:ind w:left="2940"/>
    </w:pPr>
  </w:style>
  <w:style w:type="paragraph" w:styleId="11">
    <w:name w:val="Normal Indent"/>
    <w:basedOn w:val="1"/>
    <w:next w:val="1"/>
    <w:autoRedefine/>
    <w:qFormat/>
    <w:locked/>
    <w:uiPriority w:val="0"/>
    <w:pPr>
      <w:ind w:firstLine="420"/>
    </w:pPr>
    <w:rPr>
      <w:kern w:val="0"/>
      <w:sz w:val="20"/>
      <w:szCs w:val="20"/>
    </w:rPr>
  </w:style>
  <w:style w:type="paragraph" w:styleId="12">
    <w:name w:val="Document Map"/>
    <w:basedOn w:val="1"/>
    <w:link w:val="46"/>
    <w:autoRedefine/>
    <w:qFormat/>
    <w:uiPriority w:val="99"/>
    <w:rPr>
      <w:rFonts w:ascii="宋体"/>
      <w:sz w:val="18"/>
      <w:szCs w:val="18"/>
    </w:rPr>
  </w:style>
  <w:style w:type="paragraph" w:styleId="13">
    <w:name w:val="annotation text"/>
    <w:basedOn w:val="1"/>
    <w:link w:val="47"/>
    <w:autoRedefine/>
    <w:qFormat/>
    <w:uiPriority w:val="99"/>
    <w:pPr>
      <w:jc w:val="left"/>
    </w:pPr>
  </w:style>
  <w:style w:type="paragraph" w:styleId="14">
    <w:name w:val="Body Text Indent"/>
    <w:basedOn w:val="1"/>
    <w:next w:val="15"/>
    <w:link w:val="49"/>
    <w:autoRedefine/>
    <w:qFormat/>
    <w:uiPriority w:val="99"/>
    <w:pPr>
      <w:spacing w:after="120"/>
      <w:ind w:left="420" w:leftChars="200"/>
    </w:pPr>
  </w:style>
  <w:style w:type="paragraph" w:styleId="15">
    <w:name w:val="Body Text First Indent 2"/>
    <w:basedOn w:val="14"/>
    <w:next w:val="11"/>
    <w:link w:val="56"/>
    <w:autoRedefine/>
    <w:qFormat/>
    <w:uiPriority w:val="99"/>
    <w:pPr>
      <w:ind w:firstLine="420" w:firstLineChars="200"/>
    </w:pPr>
  </w:style>
  <w:style w:type="paragraph" w:styleId="16">
    <w:name w:val="toc 3"/>
    <w:basedOn w:val="1"/>
    <w:next w:val="1"/>
    <w:autoRedefine/>
    <w:qFormat/>
    <w:uiPriority w:val="99"/>
    <w:pPr>
      <w:ind w:left="840" w:leftChars="400"/>
    </w:pPr>
  </w:style>
  <w:style w:type="paragraph" w:styleId="17">
    <w:name w:val="Plain Text"/>
    <w:basedOn w:val="1"/>
    <w:next w:val="10"/>
    <w:link w:val="50"/>
    <w:autoRedefine/>
    <w:qFormat/>
    <w:uiPriority w:val="99"/>
    <w:rPr>
      <w:rFonts w:ascii="宋体" w:hAnsi="Courier New"/>
      <w:szCs w:val="20"/>
    </w:rPr>
  </w:style>
  <w:style w:type="paragraph" w:styleId="18">
    <w:name w:val="Balloon Text"/>
    <w:basedOn w:val="1"/>
    <w:link w:val="51"/>
    <w:autoRedefine/>
    <w:qFormat/>
    <w:uiPriority w:val="99"/>
    <w:rPr>
      <w:sz w:val="18"/>
      <w:szCs w:val="18"/>
    </w:rPr>
  </w:style>
  <w:style w:type="paragraph" w:styleId="19">
    <w:name w:val="footer"/>
    <w:basedOn w:val="1"/>
    <w:link w:val="52"/>
    <w:autoRedefine/>
    <w:qFormat/>
    <w:uiPriority w:val="99"/>
    <w:pPr>
      <w:tabs>
        <w:tab w:val="center" w:pos="4153"/>
        <w:tab w:val="right" w:pos="8306"/>
      </w:tabs>
      <w:snapToGrid w:val="0"/>
      <w:jc w:val="left"/>
    </w:pPr>
    <w:rPr>
      <w:sz w:val="18"/>
      <w:szCs w:val="18"/>
    </w:rPr>
  </w:style>
  <w:style w:type="paragraph" w:styleId="20">
    <w:name w:val="envelope return"/>
    <w:basedOn w:val="1"/>
    <w:autoRedefine/>
    <w:qFormat/>
    <w:locked/>
    <w:uiPriority w:val="0"/>
    <w:pPr>
      <w:snapToGrid w:val="0"/>
    </w:pPr>
    <w:rPr>
      <w:rFonts w:ascii="Arial" w:hAnsi="Arial"/>
    </w:rPr>
  </w:style>
  <w:style w:type="paragraph" w:styleId="21">
    <w:name w:val="header"/>
    <w:basedOn w:val="1"/>
    <w:link w:val="53"/>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99"/>
  </w:style>
  <w:style w:type="paragraph" w:styleId="23">
    <w:name w:val="toc 2"/>
    <w:basedOn w:val="1"/>
    <w:next w:val="1"/>
    <w:autoRedefine/>
    <w:qFormat/>
    <w:uiPriority w:val="99"/>
    <w:pPr>
      <w:ind w:left="420" w:leftChars="200"/>
    </w:pPr>
  </w:style>
  <w:style w:type="paragraph" w:styleId="24">
    <w:name w:val="Message Header"/>
    <w:basedOn w:val="1"/>
    <w:qFormat/>
    <w:locked/>
    <w:uiPriority w:val="99"/>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index 1"/>
    <w:basedOn w:val="1"/>
    <w:next w:val="1"/>
    <w:autoRedefine/>
    <w:semiHidden/>
    <w:qFormat/>
    <w:locked/>
    <w:uiPriority w:val="0"/>
    <w:pPr>
      <w:spacing w:line="400" w:lineRule="exact"/>
      <w:ind w:firstLine="420" w:firstLineChars="200"/>
    </w:pPr>
    <w:rPr>
      <w:rFonts w:ascii="宋体" w:hAnsi="Courier New"/>
      <w:szCs w:val="20"/>
    </w:rPr>
  </w:style>
  <w:style w:type="paragraph" w:styleId="27">
    <w:name w:val="annotation subject"/>
    <w:basedOn w:val="13"/>
    <w:next w:val="13"/>
    <w:link w:val="54"/>
    <w:autoRedefine/>
    <w:qFormat/>
    <w:uiPriority w:val="99"/>
    <w:rPr>
      <w:b/>
      <w:bCs/>
    </w:rPr>
  </w:style>
  <w:style w:type="paragraph" w:styleId="28">
    <w:name w:val="Body Text First Indent"/>
    <w:basedOn w:val="2"/>
    <w:next w:val="1"/>
    <w:link w:val="55"/>
    <w:autoRedefine/>
    <w:qFormat/>
    <w:uiPriority w:val="99"/>
    <w:pPr>
      <w:ind w:firstLine="420" w:firstLineChars="100"/>
    </w:pPr>
    <w:rPr>
      <w:rFonts w:ascii="金山简黑体" w:hAnsi="Courier New" w:eastAsia="金山简黑体"/>
      <w:b/>
      <w:spacing w:val="-8"/>
      <w:sz w:val="44"/>
      <w:szCs w:val="20"/>
    </w:rPr>
  </w:style>
  <w:style w:type="table" w:styleId="30">
    <w:name w:val="Table Grid"/>
    <w:basedOn w:val="2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99"/>
    <w:rPr>
      <w:rFonts w:cs="Times New Roman"/>
      <w:b/>
      <w:bCs/>
    </w:rPr>
  </w:style>
  <w:style w:type="character" w:styleId="33">
    <w:name w:val="page number"/>
    <w:basedOn w:val="31"/>
    <w:autoRedefine/>
    <w:qFormat/>
    <w:uiPriority w:val="99"/>
    <w:rPr>
      <w:rFonts w:cs="Times New Roman"/>
    </w:rPr>
  </w:style>
  <w:style w:type="character" w:styleId="34">
    <w:name w:val="Hyperlink"/>
    <w:basedOn w:val="31"/>
    <w:autoRedefine/>
    <w:qFormat/>
    <w:uiPriority w:val="99"/>
    <w:rPr>
      <w:rFonts w:ascii="Arial" w:hAnsi="Arial" w:cs="Times New Roman"/>
      <w:color w:val="003399"/>
      <w:sz w:val="18"/>
      <w:u w:val="none"/>
    </w:rPr>
  </w:style>
  <w:style w:type="character" w:styleId="35">
    <w:name w:val="annotation reference"/>
    <w:basedOn w:val="31"/>
    <w:autoRedefine/>
    <w:qFormat/>
    <w:uiPriority w:val="99"/>
    <w:rPr>
      <w:rFonts w:cs="Times New Roman"/>
      <w:sz w:val="21"/>
      <w:szCs w:val="21"/>
    </w:rPr>
  </w:style>
  <w:style w:type="character" w:styleId="36">
    <w:name w:val="HTML Sample"/>
    <w:basedOn w:val="31"/>
    <w:autoRedefine/>
    <w:qFormat/>
    <w:uiPriority w:val="99"/>
    <w:rPr>
      <w:rFonts w:ascii="宋体" w:hAnsi="宋体" w:eastAsia="宋体" w:cs="宋体"/>
    </w:rPr>
  </w:style>
  <w:style w:type="paragraph" w:customStyle="1" w:styleId="37">
    <w:name w:val="BodyText"/>
    <w:next w:val="38"/>
    <w:autoRedefine/>
    <w:qFormat/>
    <w:uiPriority w:val="99"/>
    <w:pPr>
      <w:ind w:left="102"/>
      <w:jc w:val="both"/>
      <w:textAlignment w:val="baseline"/>
    </w:pPr>
    <w:rPr>
      <w:rFonts w:ascii="宋体" w:hAnsi="宋体" w:eastAsia="宋体" w:cs="Times New Roman"/>
      <w:kern w:val="2"/>
      <w:sz w:val="29"/>
      <w:szCs w:val="24"/>
      <w:lang w:val="en-US" w:eastAsia="zh-CN" w:bidi="ar-SA"/>
    </w:rPr>
  </w:style>
  <w:style w:type="paragraph" w:customStyle="1" w:styleId="38">
    <w:name w:val="181"/>
    <w:next w:val="1"/>
    <w:autoRedefine/>
    <w:qFormat/>
    <w:uiPriority w:val="99"/>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39">
    <w:name w:val="标题4"/>
    <w:basedOn w:val="6"/>
    <w:next w:val="1"/>
    <w:link w:val="79"/>
    <w:autoRedefine/>
    <w:qFormat/>
    <w:uiPriority w:val="99"/>
    <w:pPr>
      <w:keepLines/>
      <w:numPr>
        <w:ilvl w:val="3"/>
        <w:numId w:val="1"/>
      </w:numPr>
      <w:tabs>
        <w:tab w:val="left" w:pos="1276"/>
      </w:tabs>
      <w:spacing w:beforeLines="50" w:afterLines="50" w:line="360" w:lineRule="auto"/>
      <w:ind w:left="0" w:firstLine="562"/>
    </w:pPr>
    <w:rPr>
      <w:rFonts w:ascii="宋体" w:hAnsi="宋体"/>
      <w:szCs w:val="32"/>
    </w:rPr>
  </w:style>
  <w:style w:type="character" w:customStyle="1" w:styleId="40">
    <w:name w:val="Heading 1 Char"/>
    <w:basedOn w:val="31"/>
    <w:link w:val="3"/>
    <w:autoRedefine/>
    <w:qFormat/>
    <w:locked/>
    <w:uiPriority w:val="99"/>
    <w:rPr>
      <w:rFonts w:cs="Times New Roman"/>
      <w:b/>
      <w:bCs/>
      <w:kern w:val="44"/>
      <w:sz w:val="44"/>
      <w:szCs w:val="44"/>
    </w:rPr>
  </w:style>
  <w:style w:type="character" w:customStyle="1" w:styleId="41">
    <w:name w:val="Heading 2 Char"/>
    <w:basedOn w:val="31"/>
    <w:link w:val="4"/>
    <w:autoRedefine/>
    <w:qFormat/>
    <w:locked/>
    <w:uiPriority w:val="99"/>
    <w:rPr>
      <w:rFonts w:ascii="Arial" w:hAnsi="Arial" w:cs="Times New Roman"/>
      <w:bCs/>
      <w:color w:val="000000"/>
      <w:kern w:val="2"/>
      <w:sz w:val="32"/>
      <w:szCs w:val="32"/>
      <w:lang w:val="pt-BR"/>
    </w:rPr>
  </w:style>
  <w:style w:type="character" w:customStyle="1" w:styleId="42">
    <w:name w:val="Heading 3 Char"/>
    <w:basedOn w:val="31"/>
    <w:link w:val="5"/>
    <w:autoRedefine/>
    <w:qFormat/>
    <w:locked/>
    <w:uiPriority w:val="99"/>
    <w:rPr>
      <w:rFonts w:ascii="Calibri" w:hAnsi="Calibri" w:eastAsia="宋体"/>
      <w:b/>
      <w:sz w:val="32"/>
    </w:rPr>
  </w:style>
  <w:style w:type="character" w:customStyle="1" w:styleId="43">
    <w:name w:val="Heading 4 Char"/>
    <w:basedOn w:val="31"/>
    <w:link w:val="6"/>
    <w:autoRedefine/>
    <w:qFormat/>
    <w:locked/>
    <w:uiPriority w:val="99"/>
    <w:rPr>
      <w:rFonts w:cs="Times New Roman"/>
      <w:b/>
      <w:bCs/>
      <w:kern w:val="2"/>
      <w:sz w:val="28"/>
      <w:szCs w:val="28"/>
    </w:rPr>
  </w:style>
  <w:style w:type="character" w:customStyle="1" w:styleId="44">
    <w:name w:val="Heading 5 Char"/>
    <w:basedOn w:val="31"/>
    <w:link w:val="7"/>
    <w:autoRedefine/>
    <w:semiHidden/>
    <w:qFormat/>
    <w:locked/>
    <w:uiPriority w:val="99"/>
    <w:rPr>
      <w:rFonts w:cs="Times New Roman"/>
      <w:b/>
      <w:bCs/>
      <w:kern w:val="2"/>
      <w:sz w:val="28"/>
      <w:szCs w:val="28"/>
    </w:rPr>
  </w:style>
  <w:style w:type="character" w:customStyle="1" w:styleId="45">
    <w:name w:val="Heading 6 Char"/>
    <w:basedOn w:val="31"/>
    <w:link w:val="8"/>
    <w:autoRedefine/>
    <w:semiHidden/>
    <w:qFormat/>
    <w:locked/>
    <w:uiPriority w:val="99"/>
    <w:rPr>
      <w:rFonts w:ascii="Cambria" w:hAnsi="Cambria" w:eastAsia="宋体" w:cs="Times New Roman"/>
      <w:b/>
      <w:bCs/>
      <w:kern w:val="2"/>
      <w:sz w:val="24"/>
      <w:szCs w:val="24"/>
    </w:rPr>
  </w:style>
  <w:style w:type="character" w:customStyle="1" w:styleId="46">
    <w:name w:val="Document Map Char"/>
    <w:basedOn w:val="31"/>
    <w:link w:val="12"/>
    <w:autoRedefine/>
    <w:semiHidden/>
    <w:qFormat/>
    <w:locked/>
    <w:uiPriority w:val="99"/>
    <w:rPr>
      <w:rFonts w:ascii="宋体" w:cs="Times New Roman"/>
      <w:kern w:val="2"/>
      <w:sz w:val="18"/>
      <w:szCs w:val="18"/>
    </w:rPr>
  </w:style>
  <w:style w:type="character" w:customStyle="1" w:styleId="47">
    <w:name w:val="Comment Text Char"/>
    <w:basedOn w:val="31"/>
    <w:link w:val="13"/>
    <w:autoRedefine/>
    <w:qFormat/>
    <w:locked/>
    <w:uiPriority w:val="99"/>
    <w:rPr>
      <w:rFonts w:cs="Times New Roman"/>
      <w:kern w:val="2"/>
      <w:sz w:val="24"/>
      <w:szCs w:val="24"/>
    </w:rPr>
  </w:style>
  <w:style w:type="character" w:customStyle="1" w:styleId="48">
    <w:name w:val="Body Text Char"/>
    <w:basedOn w:val="31"/>
    <w:link w:val="2"/>
    <w:autoRedefine/>
    <w:qFormat/>
    <w:locked/>
    <w:uiPriority w:val="99"/>
    <w:rPr>
      <w:rFonts w:cs="Times New Roman"/>
      <w:kern w:val="2"/>
      <w:sz w:val="24"/>
      <w:szCs w:val="24"/>
    </w:rPr>
  </w:style>
  <w:style w:type="character" w:customStyle="1" w:styleId="49">
    <w:name w:val="Body Text Indent Char"/>
    <w:basedOn w:val="31"/>
    <w:link w:val="14"/>
    <w:autoRedefine/>
    <w:qFormat/>
    <w:locked/>
    <w:uiPriority w:val="99"/>
    <w:rPr>
      <w:rFonts w:cs="Times New Roman"/>
      <w:kern w:val="2"/>
      <w:sz w:val="24"/>
      <w:szCs w:val="24"/>
    </w:rPr>
  </w:style>
  <w:style w:type="character" w:customStyle="1" w:styleId="50">
    <w:name w:val="Plain Text Char"/>
    <w:basedOn w:val="31"/>
    <w:link w:val="17"/>
    <w:autoRedefine/>
    <w:qFormat/>
    <w:locked/>
    <w:uiPriority w:val="99"/>
    <w:rPr>
      <w:rFonts w:ascii="宋体" w:hAnsi="Courier New" w:cs="Times New Roman"/>
      <w:kern w:val="2"/>
      <w:sz w:val="21"/>
    </w:rPr>
  </w:style>
  <w:style w:type="character" w:customStyle="1" w:styleId="51">
    <w:name w:val="Balloon Text Char"/>
    <w:basedOn w:val="31"/>
    <w:link w:val="18"/>
    <w:autoRedefine/>
    <w:qFormat/>
    <w:locked/>
    <w:uiPriority w:val="99"/>
    <w:rPr>
      <w:rFonts w:cs="Times New Roman"/>
      <w:kern w:val="2"/>
      <w:sz w:val="18"/>
      <w:szCs w:val="18"/>
    </w:rPr>
  </w:style>
  <w:style w:type="character" w:customStyle="1" w:styleId="52">
    <w:name w:val="Footer Char"/>
    <w:basedOn w:val="31"/>
    <w:link w:val="19"/>
    <w:autoRedefine/>
    <w:qFormat/>
    <w:locked/>
    <w:uiPriority w:val="99"/>
    <w:rPr>
      <w:rFonts w:cs="Times New Roman"/>
      <w:kern w:val="2"/>
      <w:sz w:val="18"/>
      <w:szCs w:val="18"/>
    </w:rPr>
  </w:style>
  <w:style w:type="character" w:customStyle="1" w:styleId="53">
    <w:name w:val="Header Char"/>
    <w:basedOn w:val="31"/>
    <w:link w:val="21"/>
    <w:autoRedefine/>
    <w:qFormat/>
    <w:locked/>
    <w:uiPriority w:val="99"/>
    <w:rPr>
      <w:rFonts w:cs="Times New Roman"/>
      <w:kern w:val="2"/>
      <w:sz w:val="18"/>
      <w:szCs w:val="18"/>
    </w:rPr>
  </w:style>
  <w:style w:type="character" w:customStyle="1" w:styleId="54">
    <w:name w:val="Comment Subject Char"/>
    <w:basedOn w:val="47"/>
    <w:link w:val="27"/>
    <w:autoRedefine/>
    <w:qFormat/>
    <w:locked/>
    <w:uiPriority w:val="99"/>
  </w:style>
  <w:style w:type="character" w:customStyle="1" w:styleId="55">
    <w:name w:val="Body Text First Indent Char"/>
    <w:basedOn w:val="48"/>
    <w:link w:val="28"/>
    <w:autoRedefine/>
    <w:qFormat/>
    <w:locked/>
    <w:uiPriority w:val="99"/>
    <w:rPr>
      <w:rFonts w:ascii="金山简黑体" w:hAnsi="Courier New" w:eastAsia="金山简黑体"/>
      <w:b/>
      <w:spacing w:val="-8"/>
    </w:rPr>
  </w:style>
  <w:style w:type="character" w:customStyle="1" w:styleId="56">
    <w:name w:val="Body Text First Indent 2 Char"/>
    <w:basedOn w:val="49"/>
    <w:link w:val="15"/>
    <w:autoRedefine/>
    <w:qFormat/>
    <w:locked/>
    <w:uiPriority w:val="99"/>
  </w:style>
  <w:style w:type="paragraph" w:customStyle="1" w:styleId="57">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58">
    <w:name w:val="列出段落1"/>
    <w:basedOn w:val="1"/>
    <w:autoRedefine/>
    <w:qFormat/>
    <w:uiPriority w:val="99"/>
    <w:pPr>
      <w:ind w:firstLine="420" w:firstLineChars="200"/>
    </w:pPr>
  </w:style>
  <w:style w:type="paragraph" w:customStyle="1" w:styleId="59">
    <w:name w:val="样式 正文文本 + 宋体 首行缩进:  0.74 厘米 行距: 1.5 倍行距"/>
    <w:basedOn w:val="2"/>
    <w:autoRedefine/>
    <w:qFormat/>
    <w:uiPriority w:val="99"/>
    <w:pPr>
      <w:spacing w:after="120" w:line="360" w:lineRule="auto"/>
      <w:ind w:firstLine="200" w:firstLineChars="200"/>
    </w:pPr>
    <w:rPr>
      <w:rFonts w:ascii="Calibri" w:hAnsi="Calibri"/>
      <w:sz w:val="24"/>
      <w:szCs w:val="22"/>
    </w:rPr>
  </w:style>
  <w:style w:type="paragraph" w:customStyle="1" w:styleId="60">
    <w:name w:val="纯文本1"/>
    <w:basedOn w:val="1"/>
    <w:autoRedefine/>
    <w:qFormat/>
    <w:uiPriority w:val="99"/>
    <w:rPr>
      <w:rFonts w:ascii="宋体" w:hAnsi="Courier New"/>
      <w:szCs w:val="22"/>
    </w:rPr>
  </w:style>
  <w:style w:type="paragraph" w:customStyle="1" w:styleId="61">
    <w:name w:val="无间隔1"/>
    <w:link w:val="62"/>
    <w:autoRedefine/>
    <w:qFormat/>
    <w:uiPriority w:val="99"/>
    <w:rPr>
      <w:rFonts w:ascii="Calibri" w:hAnsi="Calibri" w:eastAsia="宋体" w:cs="Times New Roman"/>
      <w:kern w:val="0"/>
      <w:sz w:val="22"/>
      <w:szCs w:val="22"/>
      <w:lang w:val="en-US" w:eastAsia="zh-CN" w:bidi="ar-SA"/>
    </w:rPr>
  </w:style>
  <w:style w:type="character" w:customStyle="1" w:styleId="62">
    <w:name w:val="无间隔 Char"/>
    <w:basedOn w:val="31"/>
    <w:link w:val="61"/>
    <w:autoRedefine/>
    <w:qFormat/>
    <w:locked/>
    <w:uiPriority w:val="99"/>
    <w:rPr>
      <w:rFonts w:ascii="Calibri" w:hAnsi="Calibri" w:cs="Times New Roman"/>
      <w:sz w:val="22"/>
      <w:szCs w:val="22"/>
      <w:lang w:val="en-US" w:eastAsia="zh-CN" w:bidi="ar-SA"/>
    </w:rPr>
  </w:style>
  <w:style w:type="character" w:customStyle="1" w:styleId="63">
    <w:name w:val="bookmark-item"/>
    <w:basedOn w:val="31"/>
    <w:autoRedefine/>
    <w:qFormat/>
    <w:uiPriority w:val="99"/>
    <w:rPr>
      <w:rFonts w:cs="Times New Roman"/>
    </w:rPr>
  </w:style>
  <w:style w:type="paragraph" w:customStyle="1" w:styleId="64">
    <w:name w:val="表内文字居中"/>
    <w:autoRedefine/>
    <w:qFormat/>
    <w:uiPriority w:val="99"/>
    <w:pPr>
      <w:jc w:val="center"/>
    </w:pPr>
    <w:rPr>
      <w:rFonts w:ascii="Times New Roman" w:hAnsi="Times New Roman" w:eastAsia="宋体" w:cs="Times New Roman"/>
      <w:kern w:val="2"/>
      <w:sz w:val="24"/>
      <w:szCs w:val="24"/>
      <w:lang w:val="en-US" w:eastAsia="zh-CN" w:bidi="ar-SA"/>
    </w:rPr>
  </w:style>
  <w:style w:type="paragraph" w:customStyle="1" w:styleId="65">
    <w:name w:val="Table Paragraph"/>
    <w:basedOn w:val="1"/>
    <w:autoRedefine/>
    <w:qFormat/>
    <w:uiPriority w:val="99"/>
    <w:pPr>
      <w:spacing w:before="120" w:after="120" w:line="360" w:lineRule="auto"/>
      <w:ind w:firstLine="200"/>
    </w:pPr>
    <w:rPr>
      <w:rFonts w:ascii="宋体" w:hAnsi="宋体" w:cs="宋体"/>
      <w:color w:val="000000"/>
      <w:kern w:val="0"/>
      <w:lang w:val="zh-CN"/>
    </w:rPr>
  </w:style>
  <w:style w:type="paragraph" w:customStyle="1" w:styleId="66">
    <w:name w:val="标题 61"/>
    <w:basedOn w:val="1"/>
    <w:next w:val="1"/>
    <w:link w:val="73"/>
    <w:autoRedefine/>
    <w:qFormat/>
    <w:uiPriority w:val="99"/>
    <w:pPr>
      <w:keepNext/>
      <w:keepLines/>
      <w:spacing w:before="240" w:after="64" w:line="320" w:lineRule="auto"/>
      <w:outlineLvl w:val="5"/>
    </w:pPr>
    <w:rPr>
      <w:rFonts w:ascii="Cambria" w:hAnsi="Cambria"/>
      <w:b/>
      <w:bCs/>
      <w:kern w:val="0"/>
      <w:sz w:val="24"/>
    </w:rPr>
  </w:style>
  <w:style w:type="paragraph" w:customStyle="1" w:styleId="67">
    <w:name w:val="简单序列"/>
    <w:basedOn w:val="3"/>
    <w:link w:val="68"/>
    <w:autoRedefine/>
    <w:qFormat/>
    <w:uiPriority w:val="99"/>
    <w:pPr>
      <w:numPr>
        <w:ilvl w:val="0"/>
        <w:numId w:val="2"/>
      </w:numPr>
      <w:spacing w:before="0" w:after="0" w:line="360" w:lineRule="auto"/>
      <w:ind w:left="420" w:hanging="420"/>
    </w:pPr>
    <w:rPr>
      <w:rFonts w:ascii="宋体" w:hAnsi="宋体"/>
      <w:bCs w:val="0"/>
      <w:sz w:val="21"/>
      <w:szCs w:val="21"/>
    </w:rPr>
  </w:style>
  <w:style w:type="character" w:customStyle="1" w:styleId="68">
    <w:name w:val="简单序列 字符"/>
    <w:basedOn w:val="31"/>
    <w:link w:val="67"/>
    <w:autoRedefine/>
    <w:qFormat/>
    <w:locked/>
    <w:uiPriority w:val="99"/>
    <w:rPr>
      <w:rFonts w:ascii="宋体" w:eastAsia="宋体" w:cs="Times New Roman"/>
      <w:b/>
      <w:kern w:val="44"/>
      <w:sz w:val="21"/>
      <w:szCs w:val="21"/>
    </w:rPr>
  </w:style>
  <w:style w:type="paragraph" w:customStyle="1" w:styleId="69">
    <w:name w:val="标题三"/>
    <w:basedOn w:val="5"/>
    <w:link w:val="70"/>
    <w:autoRedefine/>
    <w:qFormat/>
    <w:uiPriority w:val="99"/>
    <w:pPr>
      <w:numPr>
        <w:ilvl w:val="2"/>
        <w:numId w:val="1"/>
      </w:numPr>
      <w:spacing w:before="100" w:after="100"/>
      <w:ind w:left="0" w:right="-218" w:rightChars="-91" w:firstLine="643"/>
    </w:pPr>
    <w:rPr>
      <w:rFonts w:ascii="宋体" w:hAnsi="宋体"/>
      <w:bCs/>
      <w:szCs w:val="32"/>
    </w:rPr>
  </w:style>
  <w:style w:type="character" w:customStyle="1" w:styleId="70">
    <w:name w:val="标题三 字符"/>
    <w:basedOn w:val="31"/>
    <w:link w:val="69"/>
    <w:autoRedefine/>
    <w:qFormat/>
    <w:locked/>
    <w:uiPriority w:val="99"/>
    <w:rPr>
      <w:rFonts w:ascii="宋体" w:eastAsia="宋体" w:cs="Times New Roman"/>
      <w:b/>
      <w:bCs/>
      <w:kern w:val="2"/>
      <w:sz w:val="32"/>
      <w:szCs w:val="32"/>
    </w:rPr>
  </w:style>
  <w:style w:type="paragraph" w:customStyle="1" w:styleId="71">
    <w:name w:val="标题六"/>
    <w:basedOn w:val="8"/>
    <w:link w:val="72"/>
    <w:autoRedefine/>
    <w:qFormat/>
    <w:uiPriority w:val="99"/>
    <w:pPr>
      <w:numPr>
        <w:ilvl w:val="5"/>
        <w:numId w:val="1"/>
      </w:numPr>
      <w:spacing w:beforeLines="50" w:afterLines="50" w:line="360" w:lineRule="auto"/>
      <w:ind w:left="0" w:firstLine="482" w:firstLineChars="200"/>
    </w:pPr>
    <w:rPr>
      <w:rFonts w:ascii="宋体" w:hAnsi="宋体"/>
      <w:szCs w:val="32"/>
    </w:rPr>
  </w:style>
  <w:style w:type="character" w:customStyle="1" w:styleId="72">
    <w:name w:val="标题六 字符"/>
    <w:basedOn w:val="31"/>
    <w:link w:val="71"/>
    <w:autoRedefine/>
    <w:qFormat/>
    <w:locked/>
    <w:uiPriority w:val="99"/>
    <w:rPr>
      <w:rFonts w:ascii="宋体" w:eastAsia="宋体" w:cs="Times New Roman"/>
      <w:b/>
      <w:bCs/>
      <w:kern w:val="2"/>
      <w:sz w:val="32"/>
      <w:szCs w:val="32"/>
    </w:rPr>
  </w:style>
  <w:style w:type="character" w:customStyle="1" w:styleId="73">
    <w:name w:val="标题 6 Char"/>
    <w:basedOn w:val="31"/>
    <w:link w:val="66"/>
    <w:autoRedefine/>
    <w:semiHidden/>
    <w:qFormat/>
    <w:locked/>
    <w:uiPriority w:val="99"/>
    <w:rPr>
      <w:rFonts w:ascii="Cambria" w:hAnsi="Cambria" w:cs="Times New Roman"/>
      <w:b/>
      <w:bCs/>
      <w:sz w:val="24"/>
      <w:szCs w:val="24"/>
    </w:rPr>
  </w:style>
  <w:style w:type="paragraph" w:customStyle="1" w:styleId="74">
    <w:name w:val="标题1"/>
    <w:basedOn w:val="3"/>
    <w:autoRedefine/>
    <w:qFormat/>
    <w:uiPriority w:val="99"/>
    <w:pPr>
      <w:pageBreakBefore/>
      <w:numPr>
        <w:ilvl w:val="0"/>
        <w:numId w:val="3"/>
      </w:numPr>
      <w:tabs>
        <w:tab w:val="left" w:pos="1985"/>
      </w:tabs>
      <w:spacing w:before="200" w:after="200" w:line="360" w:lineRule="auto"/>
      <w:ind w:left="0" w:firstLine="723" w:firstLineChars="200"/>
      <w:jc w:val="center"/>
    </w:pPr>
    <w:rPr>
      <w:rFonts w:ascii="宋体" w:hAnsi="宋体"/>
      <w:sz w:val="36"/>
    </w:rPr>
  </w:style>
  <w:style w:type="paragraph" w:customStyle="1" w:styleId="75">
    <w:name w:val="标题2"/>
    <w:basedOn w:val="4"/>
    <w:link w:val="76"/>
    <w:autoRedefine/>
    <w:qFormat/>
    <w:uiPriority w:val="99"/>
    <w:pPr>
      <w:numPr>
        <w:ilvl w:val="1"/>
        <w:numId w:val="3"/>
      </w:numPr>
      <w:tabs>
        <w:tab w:val="clear" w:pos="567"/>
      </w:tabs>
      <w:spacing w:before="100" w:after="100" w:line="500" w:lineRule="exact"/>
    </w:pPr>
    <w:rPr>
      <w:rFonts w:ascii="宋体" w:hAnsi="宋体"/>
      <w:b/>
      <w:color w:val="auto"/>
      <w:sz w:val="32"/>
      <w:lang w:val="en-US"/>
    </w:rPr>
  </w:style>
  <w:style w:type="character" w:customStyle="1" w:styleId="76">
    <w:name w:val="标题2 字符"/>
    <w:basedOn w:val="31"/>
    <w:link w:val="75"/>
    <w:autoRedefine/>
    <w:qFormat/>
    <w:locked/>
    <w:uiPriority w:val="99"/>
    <w:rPr>
      <w:rFonts w:ascii="宋体" w:eastAsia="宋体" w:cs="Times New Roman"/>
      <w:b/>
      <w:bCs/>
      <w:kern w:val="2"/>
      <w:sz w:val="32"/>
      <w:szCs w:val="32"/>
    </w:rPr>
  </w:style>
  <w:style w:type="paragraph" w:customStyle="1" w:styleId="77">
    <w:name w:val="标题5"/>
    <w:basedOn w:val="7"/>
    <w:link w:val="78"/>
    <w:autoRedefine/>
    <w:qFormat/>
    <w:uiPriority w:val="99"/>
    <w:pPr>
      <w:numPr>
        <w:ilvl w:val="4"/>
        <w:numId w:val="1"/>
      </w:numPr>
      <w:ind w:left="0" w:firstLine="562" w:firstLineChars="200"/>
    </w:pPr>
    <w:rPr>
      <w:rFonts w:ascii="宋体" w:hAnsi="宋体"/>
      <w:szCs w:val="32"/>
    </w:rPr>
  </w:style>
  <w:style w:type="character" w:customStyle="1" w:styleId="78">
    <w:name w:val="标题5 字符"/>
    <w:basedOn w:val="31"/>
    <w:link w:val="77"/>
    <w:autoRedefine/>
    <w:qFormat/>
    <w:locked/>
    <w:uiPriority w:val="99"/>
    <w:rPr>
      <w:rFonts w:ascii="宋体" w:eastAsia="宋体" w:cs="Times New Roman"/>
      <w:b/>
      <w:bCs/>
      <w:kern w:val="2"/>
      <w:sz w:val="32"/>
      <w:szCs w:val="32"/>
    </w:rPr>
  </w:style>
  <w:style w:type="character" w:customStyle="1" w:styleId="79">
    <w:name w:val="标题4 字符"/>
    <w:basedOn w:val="31"/>
    <w:link w:val="39"/>
    <w:autoRedefine/>
    <w:qFormat/>
    <w:locked/>
    <w:uiPriority w:val="99"/>
    <w:rPr>
      <w:rFonts w:ascii="宋体" w:eastAsia="宋体" w:cs="Times New Roman"/>
      <w:b/>
      <w:bCs/>
      <w:kern w:val="2"/>
      <w:sz w:val="32"/>
      <w:szCs w:val="32"/>
    </w:rPr>
  </w:style>
  <w:style w:type="paragraph" w:customStyle="1" w:styleId="80">
    <w:name w:val="标题6"/>
    <w:basedOn w:val="71"/>
    <w:link w:val="81"/>
    <w:autoRedefine/>
    <w:qFormat/>
    <w:uiPriority w:val="99"/>
    <w:pPr>
      <w:numPr>
        <w:ilvl w:val="0"/>
        <w:numId w:val="0"/>
      </w:numPr>
      <w:spacing w:before="156" w:after="156"/>
    </w:pPr>
  </w:style>
  <w:style w:type="character" w:customStyle="1" w:styleId="81">
    <w:name w:val="标题6 字符"/>
    <w:basedOn w:val="72"/>
    <w:link w:val="80"/>
    <w:autoRedefine/>
    <w:qFormat/>
    <w:locked/>
    <w:uiPriority w:val="99"/>
  </w:style>
  <w:style w:type="paragraph" w:customStyle="1" w:styleId="82">
    <w:name w:val="标题3"/>
    <w:basedOn w:val="69"/>
    <w:link w:val="83"/>
    <w:autoRedefine/>
    <w:qFormat/>
    <w:uiPriority w:val="99"/>
    <w:pPr>
      <w:numPr>
        <w:numId w:val="4"/>
      </w:numPr>
      <w:tabs>
        <w:tab w:val="left" w:pos="720"/>
        <w:tab w:val="left" w:pos="2160"/>
      </w:tabs>
      <w:ind w:right="-191"/>
    </w:pPr>
  </w:style>
  <w:style w:type="character" w:customStyle="1" w:styleId="83">
    <w:name w:val="标题3 字符"/>
    <w:basedOn w:val="70"/>
    <w:link w:val="82"/>
    <w:autoRedefine/>
    <w:qFormat/>
    <w:locked/>
    <w:uiPriority w:val="99"/>
  </w:style>
  <w:style w:type="paragraph" w:customStyle="1" w:styleId="84">
    <w:name w:val="标题二"/>
    <w:basedOn w:val="75"/>
    <w:link w:val="85"/>
    <w:autoRedefine/>
    <w:qFormat/>
    <w:uiPriority w:val="99"/>
    <w:pPr>
      <w:numPr>
        <w:numId w:val="1"/>
      </w:numPr>
      <w:tabs>
        <w:tab w:val="left" w:pos="992"/>
      </w:tabs>
      <w:ind w:left="0" w:firstLine="643"/>
    </w:pPr>
  </w:style>
  <w:style w:type="character" w:customStyle="1" w:styleId="85">
    <w:name w:val="标题二 字符"/>
    <w:basedOn w:val="76"/>
    <w:link w:val="84"/>
    <w:autoRedefine/>
    <w:qFormat/>
    <w:locked/>
    <w:uiPriority w:val="99"/>
  </w:style>
  <w:style w:type="character" w:customStyle="1" w:styleId="86">
    <w:name w:val="正文文本 Char"/>
    <w:basedOn w:val="31"/>
    <w:autoRedefine/>
    <w:qFormat/>
    <w:uiPriority w:val="99"/>
    <w:rPr>
      <w:rFonts w:ascii="金山简黑体" w:hAnsi="Courier New" w:eastAsia="金山简黑体" w:cs="Times New Roman"/>
      <w:b/>
      <w:spacing w:val="-8"/>
      <w:sz w:val="20"/>
      <w:szCs w:val="20"/>
    </w:rPr>
  </w:style>
  <w:style w:type="paragraph" w:customStyle="1" w:styleId="87">
    <w:name w:val="Intense Quote1"/>
    <w:basedOn w:val="1"/>
    <w:next w:val="1"/>
    <w:link w:val="88"/>
    <w:autoRedefine/>
    <w:qFormat/>
    <w:uiPriority w:val="99"/>
    <w:pPr>
      <w:pBdr>
        <w:bottom w:val="single" w:color="4F81BD" w:sz="4" w:space="4"/>
      </w:pBdr>
      <w:spacing w:before="200" w:after="280"/>
      <w:ind w:left="936" w:right="936"/>
    </w:pPr>
    <w:rPr>
      <w:b/>
      <w:bCs/>
      <w:i/>
      <w:iCs/>
      <w:color w:val="4F81BD"/>
      <w:szCs w:val="22"/>
    </w:rPr>
  </w:style>
  <w:style w:type="character" w:customStyle="1" w:styleId="88">
    <w:name w:val="明显引用 Char"/>
    <w:basedOn w:val="31"/>
    <w:link w:val="87"/>
    <w:autoRedefine/>
    <w:qFormat/>
    <w:locked/>
    <w:uiPriority w:val="99"/>
    <w:rPr>
      <w:rFonts w:cs="Times New Roman"/>
      <w:b/>
      <w:bCs/>
      <w:i/>
      <w:iCs/>
      <w:color w:val="4F81BD"/>
      <w:kern w:val="2"/>
      <w:sz w:val="22"/>
      <w:szCs w:val="22"/>
    </w:rPr>
  </w:style>
  <w:style w:type="character" w:customStyle="1" w:styleId="89">
    <w:name w:val="font41"/>
    <w:autoRedefine/>
    <w:qFormat/>
    <w:uiPriority w:val="99"/>
    <w:rPr>
      <w:rFonts w:ascii="宋体" w:hAnsi="宋体" w:eastAsia="宋体"/>
      <w:color w:val="FF0000"/>
      <w:sz w:val="21"/>
      <w:u w:val="none"/>
    </w:rPr>
  </w:style>
  <w:style w:type="character" w:customStyle="1" w:styleId="90">
    <w:name w:val="font21"/>
    <w:autoRedefine/>
    <w:qFormat/>
    <w:uiPriority w:val="99"/>
    <w:rPr>
      <w:rFonts w:ascii="宋体" w:hAnsi="宋体" w:eastAsia="宋体"/>
      <w:b/>
      <w:color w:val="000000"/>
      <w:sz w:val="21"/>
      <w:u w:val="none"/>
    </w:rPr>
  </w:style>
  <w:style w:type="paragraph" w:customStyle="1" w:styleId="91">
    <w:name w:val="wang正文"/>
    <w:basedOn w:val="1"/>
    <w:autoRedefine/>
    <w:qFormat/>
    <w:uiPriority w:val="99"/>
    <w:pPr>
      <w:tabs>
        <w:tab w:val="left" w:pos="6840"/>
      </w:tabs>
      <w:topLinePunct/>
      <w:ind w:firstLine="420"/>
    </w:pPr>
    <w:rPr>
      <w:kern w:val="0"/>
    </w:rPr>
  </w:style>
  <w:style w:type="paragraph" w:customStyle="1" w:styleId="92">
    <w:name w:val="List Paragraph1"/>
    <w:basedOn w:val="1"/>
    <w:autoRedefine/>
    <w:qFormat/>
    <w:uiPriority w:val="99"/>
    <w:pPr>
      <w:ind w:firstLine="420" w:firstLineChars="200"/>
    </w:pPr>
  </w:style>
  <w:style w:type="paragraph" w:customStyle="1" w:styleId="93">
    <w:name w:val="TOC 标题1"/>
    <w:basedOn w:val="3"/>
    <w:next w:val="1"/>
    <w:autoRedefine/>
    <w:qFormat/>
    <w:uiPriority w:val="9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94">
    <w:name w:val="1"/>
    <w:basedOn w:val="1"/>
    <w:next w:val="17"/>
    <w:autoRedefine/>
    <w:qFormat/>
    <w:uiPriority w:val="99"/>
    <w:rPr>
      <w:rFonts w:ascii="宋体" w:hAnsi="Courier New"/>
      <w:szCs w:val="20"/>
    </w:rPr>
  </w:style>
  <w:style w:type="table" w:customStyle="1" w:styleId="95">
    <w:name w:val="网格型1"/>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Other|1"/>
    <w:basedOn w:val="1"/>
    <w:autoRedefine/>
    <w:qFormat/>
    <w:uiPriority w:val="99"/>
    <w:pPr>
      <w:spacing w:line="389" w:lineRule="auto"/>
      <w:ind w:firstLine="400"/>
    </w:pPr>
    <w:rPr>
      <w:rFonts w:ascii="宋体" w:hAnsi="宋体" w:cs="宋体"/>
      <w:sz w:val="22"/>
      <w:szCs w:val="22"/>
      <w:lang w:val="zh-TW" w:eastAsia="zh-TW"/>
    </w:rPr>
  </w:style>
  <w:style w:type="paragraph" w:customStyle="1" w:styleId="97">
    <w:name w:val="Body text|2"/>
    <w:basedOn w:val="1"/>
    <w:autoRedefine/>
    <w:qFormat/>
    <w:uiPriority w:val="99"/>
    <w:pPr>
      <w:jc w:val="center"/>
    </w:pPr>
    <w:rPr>
      <w:rFonts w:ascii="宋体" w:hAnsi="宋体" w:cs="宋体"/>
      <w:sz w:val="17"/>
      <w:szCs w:val="17"/>
      <w:lang w:val="zh-TW" w:eastAsia="zh-TW"/>
    </w:rPr>
  </w:style>
  <w:style w:type="paragraph" w:customStyle="1" w:styleId="98">
    <w:name w:val="Body text|1"/>
    <w:basedOn w:val="1"/>
    <w:autoRedefine/>
    <w:qFormat/>
    <w:uiPriority w:val="99"/>
    <w:pPr>
      <w:spacing w:line="389" w:lineRule="auto"/>
      <w:ind w:firstLine="400"/>
    </w:pPr>
    <w:rPr>
      <w:rFonts w:ascii="宋体" w:hAnsi="宋体" w:cs="宋体"/>
      <w:sz w:val="22"/>
      <w:szCs w:val="22"/>
      <w:lang w:val="zh-TW" w:eastAsia="zh-TW"/>
    </w:rPr>
  </w:style>
  <w:style w:type="paragraph" w:customStyle="1" w:styleId="99">
    <w:name w:val="WPSOffice手动目录 1"/>
    <w:autoRedefine/>
    <w:qFormat/>
    <w:uiPriority w:val="99"/>
    <w:rPr>
      <w:rFonts w:ascii="Times New Roman" w:hAnsi="Times New Roman" w:eastAsia="宋体" w:cs="Times New Roman"/>
      <w:kern w:val="0"/>
      <w:sz w:val="20"/>
      <w:szCs w:val="20"/>
      <w:lang w:val="en-US" w:eastAsia="zh-CN" w:bidi="ar-SA"/>
    </w:rPr>
  </w:style>
  <w:style w:type="paragraph" w:customStyle="1" w:styleId="100">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styleId="101">
    <w:name w:val="List Paragraph"/>
    <w:basedOn w:val="1"/>
    <w:autoRedefine/>
    <w:qFormat/>
    <w:uiPriority w:val="0"/>
    <w:pPr>
      <w:ind w:firstLine="420" w:firstLineChars="200"/>
    </w:pPr>
  </w:style>
  <w:style w:type="character" w:customStyle="1" w:styleId="10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103">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105">
    <w:name w:val="10_0"/>
    <w:qFormat/>
    <w:uiPriority w:val="0"/>
    <w:rPr>
      <w:rFonts w:hint="default" w:ascii="Times New Roman" w:hAnsi="Times New Roman" w:eastAsia="Times New Roman" w:cs="Times New Roman"/>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51</Pages>
  <Words>17140</Words>
  <Characters>18617</Characters>
  <Lines>0</Lines>
  <Paragraphs>0</Paragraphs>
  <TotalTime>14</TotalTime>
  <ScaleCrop>false</ScaleCrop>
  <LinksUpToDate>false</LinksUpToDate>
  <CharactersWithSpaces>18881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2022-07-22T01:26:00Z</dcterms:created>
  <dc:creator>Administrator</dc:creator>
  <cp:lastModifiedBy>Administrator</cp:lastModifiedBy>
  <cp:lastPrinted>2024-03-20T02:48:00Z</cp:lastPrinted>
  <dcterms:modified xsi:type="dcterms:W3CDTF">2025-07-24T03:18:33Z</dcterms:modified>
  <dc:title>广西桂碧乐工程咨询管理有限责任公司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7CF631025FC24707B2BAFA0A8007C534_13</vt:lpwstr>
  </property>
  <property fmtid="{D5CDD505-2E9C-101B-9397-08002B2CF9AE}" pid="4" name="KSOTemplateDocerSaveRecord">
    <vt:lpwstr>eyJoZGlkIjoiOTQyZTE4NjZkZDNlYTM3Y2JkYmEyNGZjOGFmODIxM2IiLCJ1c2VySWQiOiIyNDg3NDAzODYifQ==</vt:lpwstr>
  </property>
</Properties>
</file>