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distribute"/>
        <w:rPr>
          <w:rFonts w:hint="eastAsia" w:ascii="楷体" w:hAnsi="楷体" w:eastAsia="楷体" w:cs="楷体"/>
          <w:b/>
          <w:bCs/>
          <w:color w:val="auto"/>
          <w:spacing w:val="80"/>
          <w:sz w:val="52"/>
          <w:szCs w:val="52"/>
          <w:highlight w:val="none"/>
          <w:lang w:eastAsia="zh-CN"/>
        </w:rPr>
      </w:pPr>
    </w:p>
    <w:p>
      <w:pPr>
        <w:spacing w:line="720" w:lineRule="exact"/>
        <w:jc w:val="distribute"/>
        <w:rPr>
          <w:rFonts w:hint="eastAsia" w:ascii="楷体" w:hAnsi="楷体" w:eastAsia="楷体" w:cs="楷体"/>
          <w:color w:val="auto"/>
          <w:sz w:val="52"/>
          <w:szCs w:val="52"/>
          <w:highlight w:val="none"/>
          <w:lang w:eastAsia="zh-CN"/>
        </w:rPr>
      </w:pPr>
      <w:r>
        <w:rPr>
          <w:rFonts w:hint="eastAsia" w:ascii="楷体" w:hAnsi="楷体" w:eastAsia="楷体" w:cs="楷体"/>
          <w:b/>
          <w:bCs/>
          <w:color w:val="auto"/>
          <w:spacing w:val="80"/>
          <w:sz w:val="52"/>
          <w:szCs w:val="52"/>
          <w:highlight w:val="none"/>
          <w:lang w:eastAsia="zh-CN"/>
        </w:rPr>
        <w:t>广西鼎誉工程咨询有限公司</w:t>
      </w:r>
    </w:p>
    <w:p>
      <w:pPr>
        <w:pStyle w:val="11"/>
        <w:jc w:val="center"/>
        <w:rPr>
          <w:rFonts w:hint="eastAsia" w:ascii="楷体" w:hAnsi="楷体" w:eastAsia="楷体" w:cs="楷体"/>
          <w:b/>
          <w:bCs/>
          <w:color w:val="auto"/>
          <w:spacing w:val="80"/>
          <w:sz w:val="72"/>
          <w:highlight w:val="none"/>
        </w:rPr>
      </w:pPr>
    </w:p>
    <w:p>
      <w:pPr>
        <w:pStyle w:val="11"/>
        <w:jc w:val="center"/>
        <w:rPr>
          <w:rFonts w:hint="eastAsia" w:ascii="楷体" w:hAnsi="楷体" w:eastAsia="楷体" w:cs="楷体"/>
          <w:b/>
          <w:bCs/>
          <w:color w:val="auto"/>
          <w:sz w:val="72"/>
          <w:highlight w:val="none"/>
        </w:rPr>
      </w:pPr>
    </w:p>
    <w:p>
      <w:pPr>
        <w:pStyle w:val="11"/>
        <w:jc w:val="center"/>
        <w:rPr>
          <w:rFonts w:hint="eastAsia" w:ascii="楷体" w:hAnsi="楷体" w:eastAsia="楷体" w:cs="楷体"/>
          <w:color w:val="auto"/>
          <w:highlight w:val="none"/>
        </w:rPr>
      </w:pPr>
    </w:p>
    <w:p>
      <w:pPr>
        <w:spacing w:line="1400" w:lineRule="exact"/>
        <w:jc w:val="center"/>
        <w:rPr>
          <w:rFonts w:hint="eastAsia" w:ascii="楷体" w:hAnsi="楷体" w:eastAsia="楷体" w:cs="楷体"/>
          <w:b/>
          <w:color w:val="auto"/>
          <w:spacing w:val="60"/>
          <w:sz w:val="84"/>
          <w:szCs w:val="84"/>
          <w:highlight w:val="none"/>
        </w:rPr>
      </w:pPr>
      <w:r>
        <w:rPr>
          <w:rFonts w:hint="eastAsia" w:ascii="楷体" w:hAnsi="楷体" w:eastAsia="楷体" w:cs="楷体"/>
          <w:b/>
          <w:color w:val="auto"/>
          <w:spacing w:val="60"/>
          <w:sz w:val="84"/>
          <w:szCs w:val="84"/>
          <w:highlight w:val="none"/>
        </w:rPr>
        <w:t>竞争性磋商文件</w:t>
      </w:r>
    </w:p>
    <w:p>
      <w:pPr>
        <w:pStyle w:val="11"/>
        <w:rPr>
          <w:rFonts w:hint="eastAsia" w:ascii="宋体" w:hAnsi="宋体" w:eastAsia="宋体" w:cs="宋体"/>
          <w:color w:val="auto"/>
          <w:highlight w:val="none"/>
        </w:rPr>
      </w:pPr>
    </w:p>
    <w:p>
      <w:pPr>
        <w:pStyle w:val="11"/>
        <w:ind w:firstLine="3885" w:firstLineChars="1850"/>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sz w:val="30"/>
          <w:szCs w:val="30"/>
          <w:highlight w:val="none"/>
        </w:rPr>
      </w:pPr>
    </w:p>
    <w:p>
      <w:pPr>
        <w:keepNext w:val="0"/>
        <w:keepLines w:val="0"/>
        <w:pageBreakBefore w:val="0"/>
        <w:widowControl w:val="0"/>
        <w:tabs>
          <w:tab w:val="left" w:pos="8400"/>
          <w:tab w:val="left" w:pos="9240"/>
        </w:tabs>
        <w:kinsoku/>
        <w:wordWrap/>
        <w:overflowPunct/>
        <w:topLinePunct w:val="0"/>
        <w:autoSpaceDE/>
        <w:autoSpaceDN/>
        <w:bidi w:val="0"/>
        <w:adjustRightInd/>
        <w:snapToGrid/>
        <w:ind w:right="0" w:rightChars="0" w:firstLine="1144" w:firstLineChars="300"/>
        <w:jc w:val="both"/>
        <w:textAlignment w:val="auto"/>
        <w:rPr>
          <w:rFonts w:hint="eastAsia" w:ascii="宋体" w:hAnsi="宋体" w:eastAsia="宋体" w:cs="宋体"/>
          <w:b/>
          <w:bCs/>
          <w:color w:val="auto"/>
          <w:spacing w:val="-36"/>
          <w:sz w:val="30"/>
          <w:szCs w:val="30"/>
          <w:highlight w:val="none"/>
        </w:rPr>
      </w:pPr>
      <w:r>
        <w:rPr>
          <w:rFonts w:hint="eastAsia" w:ascii="宋体" w:hAnsi="宋体" w:eastAsia="宋体" w:cs="宋体"/>
          <w:b/>
          <w:bCs/>
          <w:color w:val="auto"/>
          <w:spacing w:val="40"/>
          <w:sz w:val="30"/>
          <w:szCs w:val="30"/>
          <w:highlight w:val="none"/>
        </w:rPr>
        <w:t>项目名称：广西漓江流域上游兴安县溶江镇永安村段生态保护工程</w:t>
      </w:r>
    </w:p>
    <w:p>
      <w:pPr>
        <w:ind w:right="-21" w:rightChars="-10" w:firstLine="1144" w:firstLineChars="300"/>
        <w:jc w:val="both"/>
        <w:rPr>
          <w:rFonts w:hint="eastAsia" w:ascii="宋体" w:hAnsi="宋体" w:eastAsia="宋体" w:cs="宋体"/>
          <w:b/>
          <w:bCs/>
          <w:color w:val="auto"/>
          <w:sz w:val="32"/>
          <w:highlight w:val="none"/>
          <w:lang w:eastAsia="zh-CN"/>
        </w:rPr>
      </w:pPr>
      <w:r>
        <w:rPr>
          <w:rFonts w:hint="eastAsia" w:ascii="宋体" w:hAnsi="宋体" w:eastAsia="宋体" w:cs="宋体"/>
          <w:b/>
          <w:bCs/>
          <w:color w:val="auto"/>
          <w:spacing w:val="40"/>
          <w:sz w:val="30"/>
          <w:szCs w:val="30"/>
          <w:highlight w:val="none"/>
        </w:rPr>
        <w:t>项目编号：</w:t>
      </w:r>
      <w:r>
        <w:rPr>
          <w:rFonts w:hint="eastAsia" w:ascii="宋体" w:hAnsi="宋体" w:cs="宋体"/>
          <w:b/>
          <w:bCs/>
          <w:color w:val="auto"/>
          <w:spacing w:val="40"/>
          <w:sz w:val="30"/>
          <w:szCs w:val="30"/>
          <w:highlight w:val="none"/>
          <w:lang w:eastAsia="zh-CN"/>
        </w:rPr>
        <w:t>GLZC2024-C2-250153-GXDY</w:t>
      </w:r>
    </w:p>
    <w:p>
      <w:pPr>
        <w:ind w:left="-2" w:leftChars="-1" w:firstLine="1446" w:firstLineChars="400"/>
        <w:rPr>
          <w:rFonts w:hint="eastAsia" w:ascii="宋体" w:hAnsi="宋体" w:eastAsia="宋体" w:cs="宋体"/>
          <w:color w:val="auto"/>
          <w:highlight w:val="none"/>
        </w:rPr>
      </w:pPr>
      <w:r>
        <w:rPr>
          <w:rFonts w:hint="eastAsia" w:ascii="宋体" w:hAnsi="宋体" w:eastAsia="宋体" w:cs="宋体"/>
          <w:b/>
          <w:bCs/>
          <w:color w:val="auto"/>
          <w:sz w:val="36"/>
          <w:highlight w:val="none"/>
        </w:rPr>
        <w:t xml:space="preserve">        </w:t>
      </w:r>
      <w:r>
        <w:rPr>
          <w:rFonts w:hint="eastAsia" w:ascii="宋体" w:hAnsi="宋体" w:eastAsia="宋体" w:cs="宋体"/>
          <w:color w:val="auto"/>
          <w:highlight w:val="none"/>
        </w:rPr>
        <w:cr/>
      </w:r>
    </w:p>
    <w:p>
      <w:pPr>
        <w:ind w:left="-2" w:leftChars="-1" w:firstLine="840" w:firstLineChars="400"/>
        <w:rPr>
          <w:rFonts w:hint="eastAsia" w:ascii="宋体" w:hAnsi="宋体" w:eastAsia="宋体" w:cs="宋体"/>
          <w:color w:val="auto"/>
          <w:highlight w:val="none"/>
        </w:rPr>
      </w:pPr>
    </w:p>
    <w:p>
      <w:pPr>
        <w:ind w:left="-2" w:leftChars="-1"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rPr>
        <w:tab/>
      </w:r>
    </w:p>
    <w:p>
      <w:pPr>
        <w:ind w:left="-2" w:leftChars="-1" w:firstLine="630" w:firstLineChars="300"/>
        <w:rPr>
          <w:rFonts w:hint="eastAsia" w:ascii="宋体" w:hAnsi="宋体" w:eastAsia="宋体" w:cs="宋体"/>
          <w:color w:val="auto"/>
          <w:highlight w:val="none"/>
        </w:rPr>
      </w:pPr>
    </w:p>
    <w:p>
      <w:pPr>
        <w:ind w:left="-2" w:leftChars="-1" w:firstLine="630" w:firstLineChars="300"/>
        <w:rPr>
          <w:rFonts w:hint="eastAsia" w:ascii="宋体" w:hAnsi="宋体" w:eastAsia="宋体" w:cs="宋体"/>
          <w:color w:val="auto"/>
          <w:highlight w:val="none"/>
        </w:rPr>
      </w:pPr>
    </w:p>
    <w:p>
      <w:pPr>
        <w:ind w:left="-2" w:leftChars="-1" w:firstLine="630" w:firstLineChars="300"/>
        <w:rPr>
          <w:rFonts w:hint="eastAsia" w:ascii="宋体" w:hAnsi="宋体" w:eastAsia="宋体" w:cs="宋体"/>
          <w:color w:val="auto"/>
          <w:highlight w:val="none"/>
        </w:rPr>
      </w:pPr>
    </w:p>
    <w:p>
      <w:pPr>
        <w:jc w:val="center"/>
        <w:rPr>
          <w:rFonts w:hint="eastAsia" w:ascii="宋体" w:hAnsi="宋体" w:eastAsia="宋体" w:cs="宋体"/>
          <w:b/>
          <w:bCs/>
          <w:color w:val="auto"/>
          <w:spacing w:val="4"/>
          <w:kern w:val="0"/>
          <w:sz w:val="30"/>
          <w:szCs w:val="30"/>
          <w:highlight w:val="none"/>
          <w:fitText w:val="2520" w:id="0"/>
          <w:lang w:val="en-US" w:eastAsia="zh-CN"/>
        </w:rPr>
      </w:pPr>
      <w:r>
        <w:rPr>
          <w:rFonts w:hint="eastAsia" w:ascii="宋体" w:hAnsi="宋体" w:eastAsia="宋体" w:cs="宋体"/>
          <w:b/>
          <w:bCs/>
          <w:color w:val="auto"/>
          <w:spacing w:val="35"/>
          <w:w w:val="100"/>
          <w:kern w:val="0"/>
          <w:sz w:val="30"/>
          <w:szCs w:val="30"/>
          <w:highlight w:val="none"/>
          <w:fitText w:val="2520" w:id="1383412504"/>
          <w:lang w:eastAsia="zh-CN"/>
        </w:rPr>
        <w:t>采购</w:t>
      </w:r>
      <w:r>
        <w:rPr>
          <w:rFonts w:hint="eastAsia" w:ascii="宋体" w:hAnsi="宋体" w:eastAsia="宋体" w:cs="宋体"/>
          <w:b/>
          <w:bCs/>
          <w:color w:val="auto"/>
          <w:spacing w:val="35"/>
          <w:w w:val="100"/>
          <w:kern w:val="0"/>
          <w:sz w:val="30"/>
          <w:szCs w:val="30"/>
          <w:highlight w:val="none"/>
          <w:fitText w:val="2520" w:id="1383412504"/>
        </w:rPr>
        <w:t>代理机构</w:t>
      </w:r>
      <w:r>
        <w:rPr>
          <w:rFonts w:hint="eastAsia" w:ascii="宋体" w:hAnsi="宋体" w:eastAsia="宋体" w:cs="宋体"/>
          <w:b/>
          <w:bCs/>
          <w:color w:val="auto"/>
          <w:spacing w:val="0"/>
          <w:w w:val="100"/>
          <w:kern w:val="0"/>
          <w:sz w:val="30"/>
          <w:szCs w:val="30"/>
          <w:highlight w:val="none"/>
          <w:fitText w:val="2520" w:id="1383412504"/>
        </w:rPr>
        <w:t>：</w:t>
      </w:r>
      <w:r>
        <w:rPr>
          <w:rFonts w:hint="eastAsia" w:ascii="宋体" w:hAnsi="宋体" w:eastAsia="宋体" w:cs="宋体"/>
          <w:b/>
          <w:bCs/>
          <w:color w:val="auto"/>
          <w:kern w:val="0"/>
          <w:sz w:val="30"/>
          <w:szCs w:val="30"/>
          <w:highlight w:val="none"/>
          <w:lang w:val="en-US" w:eastAsia="zh-CN"/>
        </w:rPr>
        <w:t>广西鼎誉工程咨询有限公司</w:t>
      </w:r>
    </w:p>
    <w:p>
      <w:pPr>
        <w:jc w:val="center"/>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pacing w:val="-8"/>
          <w:sz w:val="30"/>
          <w:szCs w:val="30"/>
          <w:highlight w:val="none"/>
        </w:rPr>
        <w:t xml:space="preserve"> </w:t>
      </w:r>
      <w:r>
        <w:rPr>
          <w:rFonts w:hint="eastAsia" w:ascii="宋体" w:hAnsi="宋体" w:eastAsia="宋体" w:cs="宋体"/>
          <w:b/>
          <w:bCs/>
          <w:color w:val="auto"/>
          <w:sz w:val="30"/>
          <w:szCs w:val="30"/>
          <w:highlight w:val="none"/>
        </w:rPr>
        <w:t>20</w:t>
      </w:r>
      <w:r>
        <w:rPr>
          <w:rFonts w:hint="eastAsia" w:ascii="宋体" w:hAnsi="宋体" w:eastAsia="宋体" w:cs="宋体"/>
          <w:b/>
          <w:bCs/>
          <w:color w:val="auto"/>
          <w:sz w:val="30"/>
          <w:szCs w:val="30"/>
          <w:highlight w:val="none"/>
          <w:lang w:val="en-US" w:eastAsia="zh-CN"/>
        </w:rPr>
        <w:t>24</w:t>
      </w:r>
      <w:r>
        <w:rPr>
          <w:rFonts w:hint="eastAsia" w:ascii="宋体" w:hAnsi="宋体" w:eastAsia="宋体" w:cs="宋体"/>
          <w:b/>
          <w:bCs/>
          <w:color w:val="auto"/>
          <w:sz w:val="30"/>
          <w:szCs w:val="30"/>
          <w:highlight w:val="none"/>
        </w:rPr>
        <w:t>年</w:t>
      </w:r>
      <w:r>
        <w:rPr>
          <w:rFonts w:hint="eastAsia" w:ascii="宋体" w:hAnsi="宋体" w:cs="宋体"/>
          <w:b/>
          <w:color w:val="auto"/>
          <w:sz w:val="30"/>
          <w:szCs w:val="30"/>
          <w:highlight w:val="none"/>
          <w:lang w:val="en-US" w:eastAsia="zh-CN"/>
        </w:rPr>
        <w:t>3</w:t>
      </w:r>
      <w:r>
        <w:rPr>
          <w:rFonts w:hint="eastAsia" w:ascii="宋体" w:hAnsi="宋体" w:eastAsia="宋体" w:cs="宋体"/>
          <w:b/>
          <w:bCs/>
          <w:color w:val="auto"/>
          <w:sz w:val="30"/>
          <w:szCs w:val="30"/>
          <w:highlight w:val="none"/>
        </w:rPr>
        <w:t>月</w:t>
      </w:r>
      <w:r>
        <w:rPr>
          <w:rFonts w:hint="eastAsia" w:ascii="宋体" w:hAnsi="宋体" w:cs="宋体"/>
          <w:b/>
          <w:bCs/>
          <w:color w:val="auto"/>
          <w:sz w:val="30"/>
          <w:szCs w:val="30"/>
          <w:highlight w:val="none"/>
          <w:lang w:val="en-US" w:eastAsia="zh-CN"/>
        </w:rPr>
        <w:t>13</w:t>
      </w:r>
      <w:r>
        <w:rPr>
          <w:rFonts w:hint="eastAsia" w:ascii="宋体" w:hAnsi="宋体" w:eastAsia="宋体" w:cs="宋体"/>
          <w:b/>
          <w:bCs/>
          <w:color w:val="auto"/>
          <w:sz w:val="30"/>
          <w:szCs w:val="30"/>
          <w:highlight w:val="none"/>
          <w:lang w:val="en-US" w:eastAsia="zh-CN"/>
        </w:rPr>
        <w:t>日</w:t>
      </w:r>
    </w:p>
    <w:p>
      <w:pPr>
        <w:autoSpaceDE w:val="0"/>
        <w:autoSpaceDN w:val="0"/>
        <w:spacing w:line="545" w:lineRule="exact"/>
        <w:outlineLvl w:val="2"/>
        <w:rPr>
          <w:rFonts w:hint="eastAsia" w:ascii="宋体" w:hAnsi="宋体" w:cs="宋体"/>
          <w:b/>
          <w:bCs/>
          <w:color w:val="auto"/>
          <w:kern w:val="0"/>
          <w:sz w:val="44"/>
          <w:szCs w:val="44"/>
          <w:highlight w:val="none"/>
          <w:lang w:val="zh-CN" w:bidi="zh-CN"/>
        </w:rPr>
        <w:sectPr>
          <w:headerReference r:id="rId3" w:type="default"/>
          <w:footerReference r:id="rId4" w:type="even"/>
          <w:pgSz w:w="11906" w:h="16838"/>
          <w:pgMar w:top="850" w:right="972" w:bottom="850" w:left="854" w:header="851" w:footer="992" w:gutter="0"/>
          <w:cols w:space="720" w:num="1"/>
          <w:titlePg/>
          <w:docGrid w:type="lines" w:linePitch="388" w:charSpace="0"/>
        </w:sectPr>
      </w:pPr>
    </w:p>
    <w:p>
      <w:pPr>
        <w:pStyle w:val="14"/>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pacing w:val="-6"/>
          <w:kern w:val="0"/>
          <w:sz w:val="24"/>
          <w:szCs w:val="24"/>
          <w:highlight w:val="none"/>
          <w:lang w:eastAsia="zh-CN"/>
        </w:rPr>
      </w:pPr>
    </w:p>
    <w:p>
      <w:pPr>
        <w:pStyle w:val="14"/>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30"/>
          <w:szCs w:val="30"/>
          <w:highlight w:val="none"/>
          <w:lang w:eastAsia="zh-CN"/>
        </w:rPr>
      </w:pPr>
      <w:r>
        <w:rPr>
          <w:rFonts w:hint="eastAsia" w:ascii="宋体" w:hAnsi="宋体" w:eastAsia="宋体" w:cs="宋体"/>
          <w:b/>
          <w:color w:val="auto"/>
          <w:spacing w:val="-6"/>
          <w:kern w:val="0"/>
          <w:sz w:val="30"/>
          <w:szCs w:val="30"/>
          <w:highlight w:val="none"/>
          <w:lang w:eastAsia="zh-CN"/>
        </w:rPr>
        <w:t>目</w:t>
      </w:r>
      <w:r>
        <w:rPr>
          <w:rFonts w:hint="eastAsia" w:ascii="宋体" w:hAnsi="宋体" w:eastAsia="宋体" w:cs="宋体"/>
          <w:b/>
          <w:color w:val="auto"/>
          <w:spacing w:val="-6"/>
          <w:kern w:val="0"/>
          <w:sz w:val="30"/>
          <w:szCs w:val="30"/>
          <w:highlight w:val="none"/>
          <w:lang w:val="en-US" w:eastAsia="zh-CN"/>
        </w:rPr>
        <w:t xml:space="preserve">  </w:t>
      </w:r>
      <w:r>
        <w:rPr>
          <w:rFonts w:hint="eastAsia" w:ascii="宋体" w:hAnsi="宋体" w:eastAsia="宋体" w:cs="宋体"/>
          <w:b/>
          <w:color w:val="auto"/>
          <w:spacing w:val="-6"/>
          <w:kern w:val="0"/>
          <w:sz w:val="30"/>
          <w:szCs w:val="30"/>
          <w:highlight w:val="none"/>
          <w:lang w:eastAsia="zh-CN"/>
        </w:rPr>
        <w:t>录</w:t>
      </w:r>
    </w:p>
    <w:p>
      <w:pPr>
        <w:rPr>
          <w:rFonts w:hint="eastAsia"/>
          <w:color w:val="auto"/>
          <w:sz w:val="24"/>
          <w:szCs w:val="24"/>
          <w:highlight w:val="none"/>
          <w:lang w:eastAsia="zh-CN"/>
        </w:rPr>
      </w:pPr>
    </w:p>
    <w:p>
      <w:pPr>
        <w:pStyle w:val="14"/>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b/>
          <w:color w:val="auto"/>
          <w:spacing w:val="-6"/>
          <w:kern w:val="0"/>
          <w:sz w:val="24"/>
          <w:szCs w:val="24"/>
          <w:highlight w:val="none"/>
        </w:rPr>
        <w:fldChar w:fldCharType="begin"/>
      </w:r>
      <w:r>
        <w:rPr>
          <w:rFonts w:hint="eastAsia" w:ascii="宋体" w:hAnsi="宋体" w:eastAsia="宋体" w:cs="宋体"/>
          <w:b/>
          <w:color w:val="auto"/>
          <w:spacing w:val="-6"/>
          <w:kern w:val="0"/>
          <w:sz w:val="24"/>
          <w:szCs w:val="24"/>
          <w:highlight w:val="none"/>
        </w:rPr>
        <w:instrText xml:space="preserve">TOC \o "1-2" \h \u </w:instrText>
      </w:r>
      <w:r>
        <w:rPr>
          <w:rFonts w:hint="eastAsia" w:ascii="宋体" w:hAnsi="宋体" w:eastAsia="宋体" w:cs="宋体"/>
          <w:b/>
          <w:color w:val="auto"/>
          <w:spacing w:val="-6"/>
          <w:kern w:val="0"/>
          <w:sz w:val="24"/>
          <w:szCs w:val="24"/>
          <w:highlight w:val="none"/>
        </w:rPr>
        <w:fldChar w:fldCharType="separate"/>
      </w: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_Toc6135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color w:val="auto"/>
          <w:sz w:val="24"/>
          <w:szCs w:val="24"/>
          <w:highlight w:val="none"/>
          <w:lang w:eastAsia="zh-CN"/>
        </w:rPr>
        <w:t>第一章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_Toc6135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4"/>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_Toc32635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color w:val="auto"/>
          <w:sz w:val="24"/>
          <w:szCs w:val="24"/>
          <w:highlight w:val="none"/>
          <w:lang w:eastAsia="zh-CN"/>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_Toc32635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5"/>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_Toc20416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bCs w:val="0"/>
          <w:color w:val="auto"/>
          <w:sz w:val="24"/>
          <w:szCs w:val="24"/>
          <w:highlight w:val="none"/>
        </w:rPr>
        <w:t>一、总则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_Toc20416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5"/>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_Toc3581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bCs w:val="0"/>
          <w:color w:val="auto"/>
          <w:sz w:val="24"/>
          <w:szCs w:val="24"/>
          <w:highlight w:val="none"/>
        </w:rPr>
        <w:t>二、磋商文件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_Toc3581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5"/>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_Toc9864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bCs w:val="0"/>
          <w:color w:val="auto"/>
          <w:sz w:val="24"/>
          <w:szCs w:val="24"/>
          <w:highlight w:val="none"/>
        </w:rPr>
        <w:t>三、竞争性磋商响应文件的编制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_Toc9864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5"/>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_Toc26768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bCs w:val="0"/>
          <w:color w:val="auto"/>
          <w:sz w:val="24"/>
          <w:szCs w:val="24"/>
          <w:highlight w:val="none"/>
        </w:rPr>
        <w:t>四、竞争性磋商（简称磋商）与评审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_Toc26768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5"/>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_Toc12078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bCs w:val="0"/>
          <w:color w:val="auto"/>
          <w:sz w:val="24"/>
          <w:szCs w:val="24"/>
          <w:highlight w:val="none"/>
        </w:rPr>
        <w:t>五、签订合同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_Toc12078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5"/>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_Toc26142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bCs w:val="0"/>
          <w:color w:val="auto"/>
          <w:sz w:val="24"/>
          <w:szCs w:val="24"/>
          <w:highlight w:val="none"/>
        </w:rPr>
        <w:t>六、其他事项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_Toc26142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4"/>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_Toc20004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color w:val="auto"/>
          <w:sz w:val="24"/>
          <w:szCs w:val="24"/>
          <w:highlight w:val="none"/>
        </w:rPr>
        <w:t xml:space="preserve">第三章 </w:t>
      </w:r>
      <w:r>
        <w:rPr>
          <w:rFonts w:hint="eastAsia" w:ascii="宋体" w:hAnsi="宋体" w:eastAsia="宋体" w:cs="宋体"/>
          <w:color w:val="auto"/>
          <w:sz w:val="24"/>
          <w:szCs w:val="24"/>
          <w:highlight w:val="none"/>
          <w:lang w:eastAsia="zh-CN"/>
        </w:rPr>
        <w:t>工程量清单及施工设计图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_Toc20004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4"/>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_Toc10247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color w:val="auto"/>
          <w:sz w:val="24"/>
          <w:szCs w:val="24"/>
          <w:highlight w:val="none"/>
          <w:lang w:eastAsia="zh-CN"/>
        </w:rPr>
        <w:t>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评审办法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_Toc10247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4"/>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_Toc30114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color w:val="auto"/>
          <w:sz w:val="24"/>
          <w:szCs w:val="24"/>
          <w:highlight w:val="none"/>
          <w:lang w:eastAsia="zh-CN"/>
        </w:rPr>
        <w:t>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采购合同（合同主要条款及格式）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_Toc30114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4"/>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_Toc16044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bCs/>
          <w:color w:val="auto"/>
          <w:kern w:val="44"/>
          <w:sz w:val="24"/>
          <w:szCs w:val="24"/>
          <w:highlight w:val="none"/>
          <w:lang w:val="en-US" w:eastAsia="zh-CN" w:bidi="ar-SA"/>
        </w:rPr>
        <w:t xml:space="preserve">第一部分 </w:t>
      </w:r>
      <w:r>
        <w:rPr>
          <w:rFonts w:hint="eastAsia" w:ascii="宋体" w:hAnsi="宋体" w:eastAsia="宋体" w:cs="宋体"/>
          <w:color w:val="auto"/>
          <w:sz w:val="24"/>
          <w:szCs w:val="24"/>
          <w:highlight w:val="none"/>
        </w:rPr>
        <w:t>合同协议书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_Toc16044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34</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4"/>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_Toc30211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color w:val="auto"/>
          <w:sz w:val="24"/>
          <w:szCs w:val="24"/>
          <w:highlight w:val="none"/>
        </w:rPr>
        <w:t>第二部分 通用合同条款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_Toc30211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4"/>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_Toc20439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color w:val="auto"/>
          <w:sz w:val="24"/>
          <w:szCs w:val="24"/>
          <w:highlight w:val="none"/>
        </w:rPr>
        <w:t>第三部分 专用合同条款</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_Toc20439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5"/>
        <w:tabs>
          <w:tab w:val="right" w:leader="dot" w:pos="9660"/>
        </w:tabs>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_Toc12055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bCs/>
          <w:color w:val="auto"/>
          <w:kern w:val="44"/>
          <w:sz w:val="24"/>
          <w:szCs w:val="24"/>
          <w:highlight w:val="none"/>
        </w:rPr>
        <w:t xml:space="preserve">第六章 </w:t>
      </w:r>
      <w:r>
        <w:rPr>
          <w:rFonts w:hint="eastAsia" w:ascii="宋体" w:hAnsi="宋体" w:eastAsia="宋体" w:cs="宋体"/>
          <w:bCs/>
          <w:color w:val="auto"/>
          <w:sz w:val="24"/>
          <w:szCs w:val="24"/>
          <w:highlight w:val="none"/>
        </w:rPr>
        <w:t>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_Toc12055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4"/>
        <w:tabs>
          <w:tab w:val="right" w:leader="dot" w:pos="9660"/>
        </w:tabs>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_Toc22749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color w:val="auto"/>
          <w:sz w:val="24"/>
          <w:szCs w:val="24"/>
          <w:highlight w:val="none"/>
        </w:rPr>
        <w:t>第七章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图纸</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_Toc22749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pacing w:val="-6"/>
          <w:kern w:val="0"/>
          <w:sz w:val="24"/>
          <w:szCs w:val="24"/>
          <w:highlight w:val="none"/>
        </w:rPr>
      </w:pPr>
      <w:r>
        <w:rPr>
          <w:rFonts w:hint="eastAsia" w:ascii="宋体" w:hAnsi="宋体" w:eastAsia="宋体" w:cs="宋体"/>
          <w:color w:val="auto"/>
          <w:spacing w:val="-6"/>
          <w:kern w:val="0"/>
          <w:sz w:val="24"/>
          <w:szCs w:val="24"/>
          <w:highlight w:val="none"/>
        </w:rPr>
        <w:fldChar w:fldCharType="end"/>
      </w:r>
    </w:p>
    <w:p>
      <w:pPr>
        <w:pStyle w:val="4"/>
        <w:rPr>
          <w:rFonts w:hint="eastAsia" w:ascii="宋体" w:hAnsi="宋体" w:eastAsia="宋体" w:cs="宋体"/>
          <w:color w:val="auto"/>
          <w:spacing w:val="-6"/>
          <w:kern w:val="0"/>
          <w:sz w:val="24"/>
          <w:szCs w:val="24"/>
          <w:highlight w:val="none"/>
        </w:rPr>
      </w:pPr>
    </w:p>
    <w:p>
      <w:pPr>
        <w:rPr>
          <w:rFonts w:hint="eastAsia" w:ascii="宋体" w:hAnsi="宋体" w:eastAsia="宋体" w:cs="宋体"/>
          <w:color w:val="auto"/>
          <w:spacing w:val="-6"/>
          <w:kern w:val="0"/>
          <w:sz w:val="24"/>
          <w:szCs w:val="24"/>
          <w:highlight w:val="none"/>
        </w:rPr>
      </w:pPr>
    </w:p>
    <w:p>
      <w:pPr>
        <w:rPr>
          <w:rFonts w:hint="eastAsia" w:ascii="宋体" w:hAnsi="宋体" w:eastAsia="宋体" w:cs="宋体"/>
          <w:color w:val="auto"/>
          <w:spacing w:val="-6"/>
          <w:kern w:val="0"/>
          <w:sz w:val="24"/>
          <w:szCs w:val="24"/>
          <w:highlight w:val="none"/>
        </w:rPr>
      </w:pPr>
    </w:p>
    <w:p>
      <w:pPr>
        <w:rPr>
          <w:color w:val="auto"/>
          <w:sz w:val="24"/>
          <w:szCs w:val="24"/>
          <w:highlight w:val="none"/>
        </w:rPr>
      </w:pPr>
    </w:p>
    <w:p>
      <w:pPr>
        <w:pStyle w:val="3"/>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auto"/>
          <w:sz w:val="24"/>
          <w:szCs w:val="24"/>
          <w:highlight w:val="none"/>
        </w:rPr>
        <w:sectPr>
          <w:footerReference r:id="rId6" w:type="first"/>
          <w:footerReference r:id="rId5" w:type="default"/>
          <w:pgSz w:w="11906" w:h="16838"/>
          <w:pgMar w:top="1418" w:right="1115" w:bottom="1418" w:left="1131" w:header="851" w:footer="992" w:gutter="0"/>
          <w:pgNumType w:fmt="decimal" w:start="1"/>
          <w:cols w:space="720" w:num="1"/>
          <w:titlePg/>
          <w:docGrid w:type="lines" w:linePitch="312" w:charSpace="0"/>
        </w:sectPr>
      </w:pPr>
      <w:bookmarkStart w:id="0" w:name="_Toc30170"/>
      <w:bookmarkStart w:id="1" w:name="_Toc21930"/>
      <w:bookmarkStart w:id="2" w:name="_Toc28359011"/>
      <w:bookmarkStart w:id="3" w:name="_Toc35393797"/>
      <w:bookmarkStart w:id="4" w:name="_Toc26809"/>
    </w:p>
    <w:p>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360" w:lineRule="auto"/>
        <w:ind w:left="0" w:leftChars="0"/>
        <w:jc w:val="center"/>
        <w:textAlignment w:val="auto"/>
        <w:rPr>
          <w:rFonts w:hint="eastAsia" w:ascii="宋体" w:hAnsi="宋体" w:eastAsia="宋体" w:cs="宋体"/>
          <w:color w:val="auto"/>
          <w:sz w:val="24"/>
          <w:szCs w:val="24"/>
          <w:highlight w:val="none"/>
        </w:rPr>
      </w:pPr>
      <w:bookmarkStart w:id="5" w:name="_Toc6135"/>
      <w:r>
        <w:rPr>
          <w:rFonts w:hint="eastAsia" w:ascii="宋体" w:hAnsi="宋体" w:eastAsia="宋体" w:cs="宋体"/>
          <w:color w:val="auto"/>
          <w:sz w:val="24"/>
          <w:szCs w:val="24"/>
          <w:highlight w:val="none"/>
          <w:lang w:eastAsia="zh-CN"/>
        </w:rPr>
        <w:t>第一章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竞争性磋商公告</w:t>
      </w:r>
      <w:bookmarkEnd w:id="0"/>
      <w:bookmarkEnd w:id="1"/>
      <w:bookmarkEnd w:id="2"/>
      <w:bookmarkEnd w:id="3"/>
      <w:bookmarkEnd w:id="4"/>
      <w:bookmarkEnd w:id="5"/>
    </w:p>
    <w:tbl>
      <w:tblPr>
        <w:tblStyle w:val="19"/>
        <w:tblpPr w:leftFromText="180" w:rightFromText="180" w:vertAnchor="text" w:tblpX="38" w:tblpY="134"/>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9320" w:type="dxa"/>
            <w:vAlign w:val="top"/>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kern w:val="2"/>
                <w:sz w:val="21"/>
                <w:szCs w:val="21"/>
                <w:highlight w:val="none"/>
                <w:u w:val="single"/>
                <w:lang w:val="en-US" w:eastAsia="zh-CN" w:bidi="ar-SA"/>
              </w:rPr>
              <w:t>广西漓江流域上游兴安县溶江镇永安村段生态保护工程</w:t>
            </w:r>
            <w:r>
              <w:rPr>
                <w:rFonts w:hint="eastAsia" w:ascii="宋体" w:hAnsi="宋体" w:eastAsia="宋体" w:cs="宋体"/>
                <w:b w:val="0"/>
                <w:bCs w:val="0"/>
                <w:color w:val="auto"/>
                <w:kern w:val="2"/>
                <w:sz w:val="21"/>
                <w:szCs w:val="21"/>
                <w:highlight w:val="none"/>
                <w:lang w:val="en-US" w:eastAsia="zh-CN" w:bidi="ar-SA"/>
              </w:rPr>
              <w:t>采购项目的潜在供应商应在</w:t>
            </w:r>
            <w:r>
              <w:rPr>
                <w:rFonts w:hint="eastAsia" w:ascii="宋体" w:hAnsi="宋体" w:eastAsia="宋体" w:cs="宋体"/>
                <w:b w:val="0"/>
                <w:bCs w:val="0"/>
                <w:color w:val="auto"/>
                <w:kern w:val="2"/>
                <w:sz w:val="21"/>
                <w:szCs w:val="21"/>
                <w:highlight w:val="none"/>
                <w:u w:val="single"/>
                <w:lang w:val="en-US" w:eastAsia="zh-CN" w:bidi="ar-SA"/>
              </w:rPr>
              <w:t>广西政府采购云平台（ https://www.gcy.zfcg.gxzf.gov.cn/）</w:t>
            </w:r>
            <w:r>
              <w:rPr>
                <w:rFonts w:hint="eastAsia" w:ascii="宋体" w:hAnsi="宋体" w:eastAsia="宋体" w:cs="宋体"/>
                <w:b w:val="0"/>
                <w:bCs w:val="0"/>
                <w:color w:val="auto"/>
                <w:kern w:val="2"/>
                <w:sz w:val="21"/>
                <w:szCs w:val="21"/>
                <w:highlight w:val="none"/>
                <w:lang w:val="en-US" w:eastAsia="zh-CN" w:bidi="ar-SA"/>
              </w:rPr>
              <w:t>获取采购文件，并于</w:t>
            </w:r>
            <w:r>
              <w:rPr>
                <w:rFonts w:hint="eastAsia" w:ascii="宋体" w:hAnsi="宋体" w:eastAsia="宋体" w:cs="宋体"/>
                <w:b w:val="0"/>
                <w:bCs w:val="0"/>
                <w:color w:val="auto"/>
                <w:kern w:val="2"/>
                <w:sz w:val="21"/>
                <w:szCs w:val="21"/>
                <w:highlight w:val="none"/>
                <w:lang w:val="en-US" w:eastAsia="zh-CN" w:bidi="ar-SA"/>
              </w:rPr>
              <w:t>2024年</w:t>
            </w:r>
            <w:r>
              <w:rPr>
                <w:rFonts w:hint="eastAsia" w:ascii="宋体" w:hAnsi="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月</w:t>
            </w:r>
            <w:r>
              <w:rPr>
                <w:rFonts w:hint="eastAsia" w:ascii="宋体" w:hAnsi="宋体" w:cs="宋体"/>
                <w:b w:val="0"/>
                <w:bCs w:val="0"/>
                <w:color w:val="auto"/>
                <w:kern w:val="2"/>
                <w:sz w:val="21"/>
                <w:szCs w:val="21"/>
                <w:highlight w:val="none"/>
                <w:lang w:val="en-US" w:eastAsia="zh-CN" w:bidi="ar-SA"/>
              </w:rPr>
              <w:t>25</w:t>
            </w:r>
            <w:r>
              <w:rPr>
                <w:rFonts w:hint="eastAsia" w:ascii="宋体" w:hAnsi="宋体" w:eastAsia="宋体" w:cs="宋体"/>
                <w:b w:val="0"/>
                <w:bCs w:val="0"/>
                <w:color w:val="auto"/>
                <w:kern w:val="2"/>
                <w:sz w:val="21"/>
                <w:szCs w:val="21"/>
                <w:highlight w:val="none"/>
                <w:lang w:val="en-US" w:eastAsia="zh-CN" w:bidi="ar-SA"/>
              </w:rPr>
              <w:t>日</w:t>
            </w:r>
            <w:r>
              <w:rPr>
                <w:rFonts w:hint="eastAsia" w:ascii="宋体" w:hAnsi="宋体" w:eastAsia="宋体" w:cs="宋体"/>
                <w:b w:val="0"/>
                <w:bCs w:val="0"/>
                <w:color w:val="auto"/>
                <w:kern w:val="2"/>
                <w:sz w:val="21"/>
                <w:szCs w:val="21"/>
                <w:highlight w:val="none"/>
                <w:lang w:val="en-US" w:eastAsia="zh-CN" w:bidi="ar-SA"/>
              </w:rPr>
              <w:t>09：30（北京时间）前提交响应文件。</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bookmarkStart w:id="6" w:name="_Toc35393629"/>
      <w:bookmarkStart w:id="7" w:name="_Toc35393798"/>
      <w:bookmarkStart w:id="8" w:name="_Toc28359012"/>
      <w:bookmarkStart w:id="9" w:name="_Toc28359089"/>
      <w:r>
        <w:rPr>
          <w:rFonts w:hint="eastAsia" w:ascii="宋体" w:hAnsi="宋体" w:eastAsia="宋体" w:cs="宋体"/>
          <w:b/>
          <w:bCs/>
          <w:color w:val="auto"/>
          <w:sz w:val="21"/>
          <w:szCs w:val="21"/>
          <w:highlight w:val="none"/>
        </w:rPr>
        <w:t>一、项目基本情况</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GLZC2024-C2-250153-GXDY</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highlight w:val="none"/>
          <w:u w:val="singl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广西漓江流域上游兴安县溶江镇永安村段生态保护工程</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采购方式：竞争性磋商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预算总金额（元）：</w:t>
      </w:r>
      <w:r>
        <w:rPr>
          <w:rFonts w:hint="eastAsia" w:ascii="宋体" w:hAnsi="宋体" w:eastAsia="宋体" w:cs="宋体"/>
          <w:b w:val="0"/>
          <w:bCs w:val="0"/>
          <w:color w:val="auto"/>
          <w:kern w:val="2"/>
          <w:sz w:val="21"/>
          <w:szCs w:val="21"/>
          <w:highlight w:val="none"/>
          <w:lang w:val="en-US" w:eastAsia="zh-CN" w:bidi="ar-SA"/>
        </w:rPr>
        <w:t>1947855.96</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采购需求：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highlight w:val="none"/>
          <w:u w:val="single"/>
          <w:lang w:eastAsia="zh-CN"/>
        </w:rPr>
      </w:pPr>
      <w:r>
        <w:rPr>
          <w:rFonts w:hint="eastAsia" w:ascii="宋体" w:hAnsi="宋体" w:eastAsia="宋体" w:cs="宋体"/>
          <w:b w:val="0"/>
          <w:bCs w:val="0"/>
          <w:color w:val="auto"/>
          <w:sz w:val="21"/>
          <w:szCs w:val="21"/>
          <w:highlight w:val="none"/>
          <w:lang w:val="en-US" w:eastAsia="zh-CN"/>
        </w:rPr>
        <w:t>标项名称：</w:t>
      </w:r>
      <w:r>
        <w:rPr>
          <w:rFonts w:hint="eastAsia" w:ascii="宋体" w:hAnsi="宋体" w:eastAsia="宋体" w:cs="宋体"/>
          <w:color w:val="auto"/>
          <w:sz w:val="21"/>
          <w:szCs w:val="21"/>
          <w:highlight w:val="none"/>
          <w:lang w:val="en-US" w:eastAsia="zh-CN"/>
        </w:rPr>
        <w:t>广西漓江流域上游兴安县溶江镇永安村段生态保护工程</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数量：1</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简要规格描述或项目基本概况介绍、用途：</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80" w:lineRule="exact"/>
        <w:ind w:right="0" w:rightChars="0" w:firstLine="420" w:firstLineChars="20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（1）新建整治河道两岸防护，护岸长度290m，主要内容有：巡洪通道，左右护岸修复，岸线绿植修复等配套工程，具体详见施工图纸及财评后工程量清单；</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80" w:lineRule="exact"/>
        <w:ind w:right="0" w:rightChars="0" w:firstLine="420" w:firstLineChars="20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（2）要求工期：30日历天；</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80" w:lineRule="exact"/>
        <w:ind w:right="0" w:rightChars="0" w:firstLine="420" w:firstLineChars="20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（3）质量要求：达到国家施工验收规范合格标准；如需进一步了解详细内容，详见竞争性磋商文件。</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80" w:lineRule="exact"/>
        <w:ind w:right="0" w:rightChars="0" w:firstLine="420" w:firstLineChars="20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最高限价（如有） ：1947855.96元</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80" w:lineRule="exact"/>
        <w:ind w:right="0" w:rightChars="0" w:firstLine="420" w:firstLineChars="20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合同履约期限：自合同签订之日起30个日历天内完工。</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80" w:lineRule="exact"/>
        <w:ind w:right="0" w:rightChars="0" w:firstLine="420" w:firstLineChars="20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本标项（否）接受联合体投标</w:t>
      </w:r>
    </w:p>
    <w:p>
      <w:pPr>
        <w:pStyle w:val="2"/>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380" w:lineRule="exact"/>
        <w:ind w:right="0" w:rightChars="0" w:firstLine="420" w:firstLineChars="20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备注：本项目为线上电子标项目，有意向参与本项目的供应商应当做好参与全流程电子标交易的充分准备。</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1"/>
          <w:szCs w:val="21"/>
          <w:highlight w:val="none"/>
        </w:rPr>
      </w:pPr>
      <w:bookmarkStart w:id="10" w:name="_Toc28359013"/>
      <w:bookmarkStart w:id="11" w:name="_Toc35393630"/>
      <w:bookmarkStart w:id="12" w:name="_Toc35393799"/>
      <w:bookmarkStart w:id="13" w:name="_Toc28359090"/>
      <w:r>
        <w:rPr>
          <w:rFonts w:hint="eastAsia" w:ascii="宋体" w:hAnsi="宋体" w:eastAsia="宋体" w:cs="宋体"/>
          <w:b/>
          <w:bCs/>
          <w:color w:val="auto"/>
          <w:sz w:val="21"/>
          <w:szCs w:val="21"/>
          <w:highlight w:val="none"/>
        </w:rPr>
        <w:t>二、申请人的资格要求：</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eastAsia="zh-CN"/>
        </w:rPr>
      </w:pPr>
      <w:bookmarkStart w:id="14" w:name="_Toc28359014"/>
      <w:bookmarkStart w:id="15" w:name="_Toc28359091"/>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eastAsia="zh-CN"/>
        </w:rPr>
        <w:t>本项目为</w:t>
      </w:r>
      <w:r>
        <w:rPr>
          <w:rFonts w:hint="eastAsia" w:ascii="宋体" w:hAnsi="宋体" w:eastAsia="宋体" w:cs="宋体"/>
          <w:color w:val="auto"/>
          <w:sz w:val="21"/>
          <w:szCs w:val="21"/>
          <w:highlight w:val="none"/>
        </w:rPr>
        <w:t>专门面向中小</w:t>
      </w:r>
      <w:r>
        <w:rPr>
          <w:rFonts w:hint="eastAsia" w:ascii="宋体" w:hAnsi="宋体" w:eastAsia="宋体" w:cs="宋体"/>
          <w:color w:val="auto"/>
          <w:sz w:val="21"/>
          <w:szCs w:val="21"/>
          <w:highlight w:val="none"/>
          <w:lang w:eastAsia="zh-CN"/>
        </w:rPr>
        <w:t>微</w:t>
      </w:r>
      <w:r>
        <w:rPr>
          <w:rFonts w:hint="eastAsia" w:ascii="宋体" w:hAnsi="宋体" w:eastAsia="宋体" w:cs="宋体"/>
          <w:color w:val="auto"/>
          <w:sz w:val="21"/>
          <w:szCs w:val="21"/>
          <w:highlight w:val="none"/>
        </w:rPr>
        <w:t>企业采购的项目（供应商应为中小微企业、监狱企业、残疾人福利性单位)</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bCs/>
          <w:color w:val="auto"/>
          <w:sz w:val="21"/>
          <w:szCs w:val="21"/>
          <w:highlight w:val="none"/>
        </w:rPr>
        <w:t>本项目的特定资格要求：</w:t>
      </w:r>
      <w:bookmarkStart w:id="16" w:name="_Toc35393631"/>
      <w:bookmarkStart w:id="17" w:name="_Toc35393800"/>
      <w:r>
        <w:rPr>
          <w:rFonts w:hint="eastAsia" w:ascii="宋体" w:hAnsi="宋体" w:eastAsia="宋体" w:cs="宋体"/>
          <w:color w:val="auto"/>
          <w:sz w:val="21"/>
          <w:szCs w:val="21"/>
          <w:highlight w:val="none"/>
          <w:lang w:val="en-US" w:eastAsia="zh-CN"/>
        </w:rPr>
        <w:t>具备</w:t>
      </w:r>
      <w:bookmarkEnd w:id="14"/>
      <w:bookmarkEnd w:id="15"/>
      <w:bookmarkEnd w:id="16"/>
      <w:bookmarkEnd w:id="17"/>
      <w:bookmarkStart w:id="18" w:name="_Toc35393792"/>
      <w:bookmarkStart w:id="19" w:name="_Toc35393623"/>
      <w:bookmarkStart w:id="20" w:name="_Toc28359018"/>
      <w:bookmarkStart w:id="21" w:name="_Toc35393805"/>
      <w:bookmarkStart w:id="22" w:name="_Toc35393636"/>
      <w:bookmarkStart w:id="23" w:name="_Toc28359095"/>
      <w:r>
        <w:rPr>
          <w:rFonts w:hint="eastAsia" w:ascii="宋体" w:hAnsi="宋体" w:eastAsia="宋体" w:cs="宋体"/>
          <w:color w:val="auto"/>
          <w:sz w:val="21"/>
          <w:szCs w:val="21"/>
          <w:highlight w:val="none"/>
          <w:lang w:val="en-US" w:eastAsia="zh-CN"/>
        </w:rPr>
        <w:t>水利水电工程施工总承包叁级（含本级）或叁级以上资质，并具有省级或以上建设行政主管部门颁发的建筑施工企业安全生产许可证，并在人员、设备、资金等方面具有相应的施工能力。其中，投标人拟派项目经理须具备水利水电工程专业二级以上（含本级）或二级以上注册建造师执业资格，具备有效的安全生产考核合格证书（B类）。</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三、获取</w:t>
      </w:r>
      <w:r>
        <w:rPr>
          <w:rFonts w:hint="eastAsia" w:ascii="宋体" w:hAnsi="宋体" w:eastAsia="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文件</w:t>
      </w:r>
      <w:bookmarkEnd w:id="18"/>
      <w:bookmarkEnd w:id="19"/>
      <w:r>
        <w:rPr>
          <w:rFonts w:hint="eastAsia" w:ascii="宋体" w:hAnsi="宋体" w:eastAsia="宋体" w:cs="宋体"/>
          <w:b/>
          <w:bCs/>
          <w:color w:val="auto"/>
          <w:sz w:val="21"/>
          <w:szCs w:val="21"/>
          <w:highlight w:val="none"/>
          <w:lang w:eastAsia="zh-CN"/>
        </w:rPr>
        <w:t>：</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380" w:lineRule="exact"/>
        <w:ind w:firstLine="420" w:firstLineChars="200"/>
        <w:textAlignment w:val="auto"/>
        <w:rPr>
          <w:rFonts w:hint="eastAsia" w:ascii="宋体" w:hAnsi="宋体" w:eastAsia="宋体" w:cs="宋体"/>
          <w:color w:val="auto"/>
          <w:kern w:val="2"/>
          <w:sz w:val="21"/>
          <w:szCs w:val="21"/>
          <w:highlight w:val="none"/>
          <w:lang w:val="en-US" w:eastAsia="zh-CN" w:bidi="ar-SA"/>
        </w:rPr>
      </w:pPr>
      <w:bookmarkStart w:id="24" w:name="_Toc28359082"/>
      <w:bookmarkStart w:id="25" w:name="_Toc28359005"/>
      <w:bookmarkStart w:id="26" w:name="_Toc35393624"/>
      <w:bookmarkStart w:id="27" w:name="_Toc35393793"/>
      <w:r>
        <w:rPr>
          <w:rFonts w:hint="eastAsia" w:ascii="宋体" w:hAnsi="宋体" w:eastAsia="宋体" w:cs="宋体"/>
          <w:color w:val="auto"/>
          <w:kern w:val="2"/>
          <w:sz w:val="21"/>
          <w:szCs w:val="21"/>
          <w:highlight w:val="none"/>
          <w:lang w:val="en-US" w:eastAsia="zh-CN" w:bidi="ar-SA"/>
        </w:rPr>
        <w:t>时间：</w:t>
      </w:r>
      <w:r>
        <w:rPr>
          <w:rFonts w:hint="eastAsia" w:ascii="宋体" w:hAnsi="宋体" w:eastAsia="宋体" w:cs="宋体"/>
          <w:color w:val="auto"/>
          <w:kern w:val="2"/>
          <w:sz w:val="21"/>
          <w:szCs w:val="21"/>
          <w:highlight w:val="none"/>
          <w:lang w:val="en-US" w:eastAsia="zh-CN" w:bidi="ar-SA"/>
        </w:rPr>
        <w:t>2024年</w:t>
      </w:r>
      <w:r>
        <w:rPr>
          <w:rFonts w:hint="eastAsia"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月</w:t>
      </w:r>
      <w:r>
        <w:rPr>
          <w:rFonts w:hint="eastAsia" w:cs="宋体"/>
          <w:color w:val="auto"/>
          <w:kern w:val="2"/>
          <w:sz w:val="21"/>
          <w:szCs w:val="21"/>
          <w:highlight w:val="none"/>
          <w:lang w:val="en-US" w:eastAsia="zh-CN" w:bidi="ar-SA"/>
        </w:rPr>
        <w:t>13</w:t>
      </w:r>
      <w:r>
        <w:rPr>
          <w:rFonts w:hint="eastAsia" w:ascii="宋体" w:hAnsi="宋体" w:eastAsia="宋体" w:cs="宋体"/>
          <w:color w:val="auto"/>
          <w:kern w:val="2"/>
          <w:sz w:val="21"/>
          <w:szCs w:val="21"/>
          <w:highlight w:val="none"/>
          <w:lang w:val="en-US" w:eastAsia="zh-CN" w:bidi="ar-SA"/>
        </w:rPr>
        <w:t>日至2024年</w:t>
      </w:r>
      <w:r>
        <w:rPr>
          <w:rFonts w:hint="eastAsia"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月</w:t>
      </w:r>
      <w:r>
        <w:rPr>
          <w:rFonts w:hint="eastAsia" w:cs="宋体"/>
          <w:color w:val="auto"/>
          <w:kern w:val="2"/>
          <w:sz w:val="21"/>
          <w:szCs w:val="21"/>
          <w:highlight w:val="none"/>
          <w:lang w:val="en-US" w:eastAsia="zh-CN" w:bidi="ar-SA"/>
        </w:rPr>
        <w:t>25</w:t>
      </w:r>
      <w:r>
        <w:rPr>
          <w:rFonts w:hint="eastAsia" w:ascii="宋体" w:hAnsi="宋体" w:eastAsia="宋体" w:cs="宋体"/>
          <w:color w:val="auto"/>
          <w:kern w:val="2"/>
          <w:sz w:val="21"/>
          <w:szCs w:val="21"/>
          <w:highlight w:val="none"/>
          <w:lang w:val="en-US" w:eastAsia="zh-CN" w:bidi="ar-SA"/>
        </w:rPr>
        <w:t>日</w:t>
      </w:r>
      <w:r>
        <w:rPr>
          <w:rFonts w:hint="eastAsia" w:ascii="宋体" w:hAnsi="宋体" w:eastAsia="宋体" w:cs="宋体"/>
          <w:color w:val="auto"/>
          <w:kern w:val="2"/>
          <w:sz w:val="21"/>
          <w:szCs w:val="21"/>
          <w:highlight w:val="none"/>
          <w:lang w:val="en-US" w:eastAsia="zh-CN" w:bidi="ar-SA"/>
        </w:rPr>
        <w:t>，每天上午00:00至12:00，下午12:00至23:59（北京时间，法定节假日除外）。</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地点（网址）：广西政府采购云平台（ https://www.gcy.zfcg.gxzf.gov.cn/）。</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方式：供应商登录广西政府采购云平台（ https://www.gcy.zfcg.gxzf.gov.cn/）在线申请获取采购文件（进入“项目采购”应用，在获取采购文件菜单中选择项目，申请获取采购文件）。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售价（元）：0 </w:t>
      </w:r>
    </w:p>
    <w:p>
      <w:pPr>
        <w:keepNext w:val="0"/>
        <w:keepLines w:val="0"/>
        <w:pageBreakBefore w:val="0"/>
        <w:widowControl w:val="0"/>
        <w:kinsoku/>
        <w:wordWrap/>
        <w:overflowPunct/>
        <w:topLinePunct w:val="0"/>
        <w:bidi w:val="0"/>
        <w:snapToGrid/>
        <w:spacing w:line="38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w:t>
      </w:r>
      <w:bookmarkEnd w:id="24"/>
      <w:bookmarkEnd w:id="25"/>
      <w:r>
        <w:rPr>
          <w:rFonts w:hint="eastAsia" w:ascii="宋体" w:hAnsi="宋体" w:eastAsia="宋体" w:cs="宋体"/>
          <w:b/>
          <w:bCs/>
          <w:color w:val="auto"/>
          <w:sz w:val="21"/>
          <w:szCs w:val="21"/>
          <w:highlight w:val="none"/>
          <w:lang w:eastAsia="zh-CN"/>
        </w:rPr>
        <w:t>提交</w:t>
      </w:r>
      <w:bookmarkEnd w:id="26"/>
      <w:bookmarkEnd w:id="27"/>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截止</w:t>
      </w:r>
      <w:r>
        <w:rPr>
          <w:rFonts w:hint="eastAsia" w:ascii="宋体" w:hAnsi="宋体" w:eastAsia="宋体" w:cs="宋体"/>
          <w:bCs/>
          <w:color w:val="auto"/>
          <w:sz w:val="21"/>
          <w:szCs w:val="21"/>
          <w:highlight w:val="none"/>
        </w:rPr>
        <w:t>时间：</w:t>
      </w:r>
      <w:r>
        <w:rPr>
          <w:rFonts w:hint="eastAsia"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09：30</w:t>
      </w:r>
      <w:r>
        <w:rPr>
          <w:rFonts w:hint="eastAsia" w:ascii="宋体" w:hAnsi="宋体" w:eastAsia="宋体" w:cs="宋体"/>
          <w:bCs/>
          <w:color w:val="auto"/>
          <w:sz w:val="21"/>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点：通过广西政府采购云平台实行在线投标。</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文件开启</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09：30</w:t>
      </w:r>
      <w:r>
        <w:rPr>
          <w:rFonts w:hint="eastAsia" w:ascii="宋体" w:hAnsi="宋体" w:eastAsia="宋体" w:cs="宋体"/>
          <w:color w:val="auto"/>
          <w:sz w:val="21"/>
          <w:szCs w:val="21"/>
          <w:highlight w:val="none"/>
        </w:rPr>
        <w:t>（北京时间）</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rPr>
        <w:t>桂林市公共资源交易中心</w:t>
      </w:r>
      <w:r>
        <w:rPr>
          <w:rFonts w:hint="eastAsia" w:ascii="宋体" w:hAnsi="宋体" w:cs="宋体"/>
          <w:color w:val="auto"/>
          <w:sz w:val="21"/>
          <w:szCs w:val="21"/>
          <w:highlight w:val="none"/>
          <w:u w:val="single"/>
          <w:lang w:val="en-US" w:eastAsia="zh-CN"/>
        </w:rPr>
        <w:t xml:space="preserve"> 8 </w:t>
      </w:r>
      <w:r>
        <w:rPr>
          <w:rFonts w:hint="eastAsia" w:ascii="宋体" w:hAnsi="宋体" w:eastAsia="宋体" w:cs="宋体"/>
          <w:color w:val="auto"/>
          <w:sz w:val="21"/>
          <w:szCs w:val="21"/>
          <w:highlight w:val="none"/>
        </w:rPr>
        <w:t>号开标室</w:t>
      </w:r>
      <w:r>
        <w:rPr>
          <w:rFonts w:hint="eastAsia" w:ascii="宋体" w:hAnsi="宋体" w:eastAsia="宋体" w:cs="宋体"/>
          <w:color w:val="auto"/>
          <w:sz w:val="21"/>
          <w:szCs w:val="21"/>
          <w:highlight w:val="none"/>
        </w:rPr>
        <w:t>（广西桂林市临桂区西城中路69号创业大厦西辅楼4楼北区）通过广西政府采购云平台实行在线解密开启。</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1"/>
          <w:szCs w:val="21"/>
          <w:highlight w:val="none"/>
        </w:rPr>
      </w:pPr>
      <w:bookmarkStart w:id="28" w:name="_Toc35393625"/>
      <w:bookmarkStart w:id="29" w:name="_Toc35393794"/>
      <w:bookmarkStart w:id="30" w:name="_Toc28359084"/>
      <w:bookmarkStart w:id="31" w:name="_Toc28359007"/>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、公告期限</w:t>
      </w:r>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个工作日</w:t>
      </w:r>
      <w:r>
        <w:rPr>
          <w:rFonts w:hint="eastAsia" w:ascii="宋体" w:hAnsi="宋体" w:eastAsia="宋体" w:cs="宋体"/>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eastAsia="宋体" w:cs="宋体"/>
          <w:b/>
          <w:bCs/>
          <w:color w:val="auto"/>
          <w:sz w:val="21"/>
          <w:szCs w:val="21"/>
          <w:highlight w:val="none"/>
        </w:rPr>
      </w:pPr>
      <w:bookmarkStart w:id="32" w:name="_Toc35393626"/>
      <w:bookmarkStart w:id="33" w:name="_Toc35393795"/>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、其他补充事宜</w:t>
      </w:r>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本项目无需缴纳</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保证金。</w:t>
      </w:r>
    </w:p>
    <w:p>
      <w:pPr>
        <w:keepNext w:val="0"/>
        <w:keepLines w:val="0"/>
        <w:pageBreakBefore w:val="0"/>
        <w:widowControl w:val="0"/>
        <w:numPr>
          <w:ilvl w:val="0"/>
          <w:numId w:val="0"/>
        </w:numPr>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2、本项目所属行业：建筑业。</w:t>
      </w:r>
    </w:p>
    <w:p>
      <w:pPr>
        <w:keepNext w:val="0"/>
        <w:keepLines w:val="0"/>
        <w:pageBreakBefore w:val="0"/>
        <w:widowControl w:val="0"/>
        <w:numPr>
          <w:ilvl w:val="0"/>
          <w:numId w:val="0"/>
        </w:numPr>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numPr>
          <w:ilvl w:val="0"/>
          <w:numId w:val="0"/>
        </w:numPr>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本项目信息发布媒体：http://www.ccgp.gov.cn（中国政府采购网）、http://zfcg.gxzf.gov.cn（广西壮族自治区政府采购网）、http://zfcg.czj.guilin.gov.cn（桂林市政府采购网）</w:t>
      </w:r>
      <w:r>
        <w:rPr>
          <w:rFonts w:hint="eastAsia" w:ascii="宋体" w:hAnsi="宋体" w:eastAsia="宋体" w:cs="宋体"/>
          <w:color w:val="auto"/>
          <w:sz w:val="21"/>
          <w:szCs w:val="21"/>
          <w:highlight w:val="none"/>
          <w:lang w:eastAsia="zh-CN"/>
        </w:rPr>
        <w:t>。</w:t>
      </w:r>
    </w:p>
    <w:p>
      <w:pPr>
        <w:pStyle w:val="24"/>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响应文件解密时间：截标时</w:t>
      </w:r>
      <w:r>
        <w:rPr>
          <w:rFonts w:hint="eastAsia" w:ascii="宋体" w:hAnsi="宋体" w:eastAsia="宋体" w:cs="宋体"/>
          <w:color w:val="auto"/>
          <w:sz w:val="21"/>
          <w:szCs w:val="21"/>
          <w:highlight w:val="none"/>
          <w:u w:val="none"/>
        </w:rPr>
        <w:t>间后30分钟内</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20</w:t>
      </w:r>
      <w:r>
        <w:rPr>
          <w:rFonts w:hint="eastAsia" w:ascii="宋体" w:hAnsi="宋体" w:eastAsia="宋体" w:cs="宋体"/>
          <w:color w:val="auto"/>
          <w:sz w:val="21"/>
          <w:szCs w:val="21"/>
          <w:highlight w:val="none"/>
          <w:u w:val="none"/>
          <w:lang w:val="en-US" w:eastAsia="zh-CN"/>
        </w:rPr>
        <w:t>24</w:t>
      </w:r>
      <w:r>
        <w:rPr>
          <w:rFonts w:hint="eastAsia" w:ascii="宋体" w:hAnsi="宋体" w:eastAsia="宋体" w:cs="宋体"/>
          <w:color w:val="auto"/>
          <w:sz w:val="21"/>
          <w:szCs w:val="21"/>
          <w:highlight w:val="none"/>
          <w:u w:val="none"/>
          <w:lang w:eastAsia="zh-CN"/>
        </w:rPr>
        <w:t>年</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月</w:t>
      </w:r>
      <w:r>
        <w:rPr>
          <w:rFonts w:hint="eastAsia" w:ascii="宋体" w:hAnsi="宋体" w:cs="宋体"/>
          <w:color w:val="auto"/>
          <w:sz w:val="21"/>
          <w:szCs w:val="21"/>
          <w:highlight w:val="none"/>
          <w:u w:val="none"/>
          <w:lang w:val="en-US" w:eastAsia="zh-CN"/>
        </w:rPr>
        <w:t>25</w:t>
      </w:r>
      <w:r>
        <w:rPr>
          <w:rFonts w:hint="eastAsia" w:ascii="宋体" w:hAnsi="宋体" w:eastAsia="宋体" w:cs="宋体"/>
          <w:color w:val="auto"/>
          <w:sz w:val="21"/>
          <w:szCs w:val="21"/>
          <w:highlight w:val="none"/>
          <w:u w:val="none"/>
          <w:lang w:eastAsia="zh-CN"/>
        </w:rPr>
        <w:t>日</w:t>
      </w:r>
      <w:r>
        <w:rPr>
          <w:rFonts w:hint="eastAsia" w:ascii="宋体" w:hAnsi="宋体" w:eastAsia="宋体" w:cs="宋体"/>
          <w:color w:val="auto"/>
          <w:sz w:val="21"/>
          <w:szCs w:val="21"/>
          <w:highlight w:val="none"/>
          <w:u w:val="none"/>
        </w:rPr>
        <w:t>上午</w:t>
      </w:r>
      <w:r>
        <w:rPr>
          <w:rFonts w:hint="eastAsia" w:ascii="宋体" w:hAnsi="宋体" w:eastAsia="宋体" w:cs="宋体"/>
          <w:color w:val="auto"/>
          <w:sz w:val="21"/>
          <w:szCs w:val="21"/>
          <w:highlight w:val="none"/>
          <w:u w:val="none"/>
          <w:lang w:val="en-US" w:eastAsia="zh-CN"/>
        </w:rPr>
        <w:t>9时30</w:t>
      </w:r>
      <w:r>
        <w:rPr>
          <w:rFonts w:hint="eastAsia" w:ascii="宋体" w:hAnsi="宋体" w:eastAsia="宋体" w:cs="宋体"/>
          <w:color w:val="auto"/>
          <w:sz w:val="21"/>
          <w:szCs w:val="21"/>
          <w:highlight w:val="none"/>
          <w:u w:val="none"/>
          <w:lang w:eastAsia="zh-CN"/>
        </w:rPr>
        <w:t>至</w:t>
      </w:r>
      <w:r>
        <w:rPr>
          <w:rFonts w:hint="eastAsia" w:ascii="宋体" w:hAnsi="宋体" w:eastAsia="宋体" w:cs="宋体"/>
          <w:color w:val="auto"/>
          <w:sz w:val="21"/>
          <w:szCs w:val="21"/>
          <w:highlight w:val="none"/>
          <w:u w:val="none"/>
          <w:lang w:val="en-US" w:eastAsia="zh-CN"/>
        </w:rPr>
        <w:t>10时00分)</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供应商可以登录广西政府采购云平台，用“项目采购-开标评标”功能进行解密</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供应商在规定时间内无法解密或解密失败，可以以电子备份</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响应文件作为依据</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在接到无法解密或解密失败的通知后，供应商可根据自身实际情况按通知时要求的时间到</w:t>
      </w:r>
      <w:r>
        <w:rPr>
          <w:rFonts w:hint="eastAsia" w:ascii="宋体" w:hAnsi="宋体" w:eastAsia="宋体" w:cs="宋体"/>
          <w:b/>
          <w:bCs/>
          <w:color w:val="auto"/>
          <w:sz w:val="21"/>
          <w:szCs w:val="21"/>
          <w:highlight w:val="none"/>
          <w:u w:val="none"/>
          <w:lang w:val="en-US" w:eastAsia="zh-CN"/>
        </w:rPr>
        <w:t>桂林市公共资源交易中心</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u w:val="single"/>
          <w:lang w:val="en-US" w:eastAsia="zh-CN"/>
        </w:rPr>
        <w:t>8</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eastAsia="宋体" w:cs="宋体"/>
          <w:b/>
          <w:bCs/>
          <w:color w:val="auto"/>
          <w:sz w:val="21"/>
          <w:szCs w:val="21"/>
          <w:highlight w:val="none"/>
          <w:u w:val="none"/>
          <w:lang w:val="en-US" w:eastAsia="zh-CN"/>
        </w:rPr>
        <w:t>号开标室现场提交或以电子邮件的形式（以通知时所告知的电子邮箱地址为准）提交电子备份磋商响应文件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供应商在规定时间内无法解密或解密失败且未提供电子备份</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w:t>
      </w:r>
      <w:r>
        <w:rPr>
          <w:rFonts w:hint="eastAsia" w:ascii="宋体" w:hAnsi="宋体" w:eastAsia="宋体" w:cs="宋体"/>
          <w:color w:val="auto"/>
          <w:sz w:val="21"/>
          <w:szCs w:val="21"/>
          <w:highlight w:val="none"/>
          <w:lang w:val="en-US" w:eastAsia="zh-CN"/>
        </w:rPr>
        <w:t>(包含提供的电子备份文件无效或无法解密的情况)</w:t>
      </w:r>
      <w:r>
        <w:rPr>
          <w:rFonts w:hint="eastAsia" w:ascii="宋体" w:hAnsi="宋体" w:eastAsia="宋体" w:cs="宋体"/>
          <w:color w:val="auto"/>
          <w:sz w:val="21"/>
          <w:szCs w:val="21"/>
          <w:highlight w:val="none"/>
        </w:rPr>
        <w:t>，视为</w:t>
      </w:r>
      <w:r>
        <w:rPr>
          <w:rFonts w:hint="eastAsia" w:ascii="宋体" w:hAnsi="宋体" w:eastAsia="宋体" w:cs="宋体"/>
          <w:color w:val="auto"/>
          <w:sz w:val="21"/>
          <w:szCs w:val="21"/>
          <w:highlight w:val="none"/>
          <w:lang w:val="en-US" w:eastAsia="zh-CN"/>
        </w:rPr>
        <w:t>无效</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en-US" w:eastAsia="zh-CN"/>
        </w:rPr>
        <w:t>。</w:t>
      </w:r>
    </w:p>
    <w:p>
      <w:pPr>
        <w:pStyle w:val="24"/>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6、本项目需要落实的政府采购政策：</w:t>
      </w:r>
    </w:p>
    <w:p>
      <w:pPr>
        <w:pStyle w:val="24"/>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（1）政府采购促进中小企业发展。</w:t>
      </w:r>
    </w:p>
    <w:p>
      <w:pPr>
        <w:pStyle w:val="24"/>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（2）政府采购促进残疾人就业政策。</w:t>
      </w:r>
    </w:p>
    <w:p>
      <w:pPr>
        <w:pStyle w:val="24"/>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（3）政府采购支持监狱企业发展。</w:t>
      </w:r>
    </w:p>
    <w:p>
      <w:pPr>
        <w:pStyle w:val="24"/>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7. 广西政府采购云平台在线响应（电子响应）相关事宜说明：</w:t>
      </w:r>
    </w:p>
    <w:p>
      <w:pPr>
        <w:pStyle w:val="24"/>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7.1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pPr>
        <w:pStyle w:val="24"/>
        <w:keepNext w:val="0"/>
        <w:keepLines w:val="0"/>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7.2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八、</w:t>
      </w:r>
      <w:r>
        <w:rPr>
          <w:rFonts w:hint="eastAsia" w:ascii="宋体" w:hAnsi="宋体" w:eastAsia="宋体" w:cs="宋体"/>
          <w:b/>
          <w:bCs/>
          <w:color w:val="auto"/>
          <w:sz w:val="21"/>
          <w:szCs w:val="21"/>
          <w:highlight w:val="none"/>
        </w:rPr>
        <w:t>凡对本次采购提出询问，请按以下方式联系。</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    称：兴安县项目投资管理与服务中心</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    址：兴安县兴安镇湘江路21号</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项目联系人：侯昌辉</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项目联系方式：0773-6217661</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2.采购代理机构信息</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名    称：广西鼎誉工程咨询有限公司</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地    址：桂林市临桂区小律住民安置特色街区内小律三组安置点5号位 </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项目联系人：唐智平</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项目联系方式：0773—5899360</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638" w:firstLineChars="304"/>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525" w:firstLineChars="25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3780" w:firstLineChars="180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13</w:t>
      </w:r>
      <w:r>
        <w:rPr>
          <w:rFonts w:hint="eastAsia" w:ascii="宋体" w:hAnsi="宋体" w:eastAsia="宋体" w:cs="宋体"/>
          <w:color w:val="auto"/>
          <w:sz w:val="21"/>
          <w:szCs w:val="21"/>
          <w:highlight w:val="none"/>
        </w:rPr>
        <w:t>日</w:t>
      </w:r>
      <w:bookmarkStart w:id="34" w:name="_Toc26924"/>
    </w:p>
    <w:p>
      <w:pPr>
        <w:pStyle w:val="6"/>
        <w:rPr>
          <w:rFonts w:hint="eastAsia" w:ascii="宋体" w:hAnsi="宋体"/>
          <w:color w:val="auto"/>
          <w:sz w:val="24"/>
          <w:szCs w:val="24"/>
          <w:highlight w:val="none"/>
        </w:rPr>
      </w:pPr>
    </w:p>
    <w:p>
      <w:pPr>
        <w:rPr>
          <w:rFonts w:hint="eastAsia" w:ascii="宋体" w:hAnsi="宋体"/>
          <w:color w:val="auto"/>
          <w:sz w:val="24"/>
          <w:szCs w:val="24"/>
          <w:highlight w:val="none"/>
        </w:rPr>
      </w:pPr>
    </w:p>
    <w:p>
      <w:pPr>
        <w:rPr>
          <w:rFonts w:hint="eastAsia" w:ascii="宋体" w:hAnsi="宋体"/>
          <w:color w:val="auto"/>
          <w:sz w:val="24"/>
          <w:szCs w:val="24"/>
          <w:highlight w:val="none"/>
        </w:rPr>
      </w:pPr>
    </w:p>
    <w:p>
      <w:pPr>
        <w:pStyle w:val="2"/>
        <w:rPr>
          <w:rFonts w:hint="eastAsia" w:ascii="宋体" w:hAnsi="宋体"/>
          <w:color w:val="auto"/>
          <w:sz w:val="24"/>
          <w:szCs w:val="24"/>
          <w:highlight w:val="none"/>
        </w:rPr>
      </w:pPr>
    </w:p>
    <w:p>
      <w:pPr>
        <w:rPr>
          <w:rFonts w:hint="eastAsia" w:ascii="宋体" w:hAnsi="宋体"/>
          <w:color w:val="auto"/>
          <w:sz w:val="24"/>
          <w:szCs w:val="24"/>
          <w:highlight w:val="none"/>
        </w:rPr>
      </w:pPr>
    </w:p>
    <w:p>
      <w:pPr>
        <w:pStyle w:val="2"/>
        <w:rPr>
          <w:rFonts w:hint="eastAsia" w:ascii="宋体" w:hAnsi="宋体"/>
          <w:color w:val="auto"/>
          <w:sz w:val="24"/>
          <w:szCs w:val="24"/>
          <w:highlight w:val="none"/>
        </w:rPr>
      </w:pPr>
    </w:p>
    <w:p>
      <w:pPr>
        <w:rPr>
          <w:rFonts w:hint="eastAsia" w:ascii="宋体" w:hAnsi="宋体"/>
          <w:color w:val="auto"/>
          <w:sz w:val="24"/>
          <w:szCs w:val="24"/>
          <w:highlight w:val="none"/>
        </w:rPr>
      </w:pPr>
    </w:p>
    <w:p>
      <w:pPr>
        <w:pStyle w:val="2"/>
        <w:rPr>
          <w:rFonts w:hint="eastAsia" w:ascii="宋体" w:hAnsi="宋体"/>
          <w:color w:val="auto"/>
          <w:sz w:val="24"/>
          <w:szCs w:val="24"/>
          <w:highlight w:val="none"/>
        </w:rPr>
      </w:pPr>
    </w:p>
    <w:p>
      <w:pPr>
        <w:rPr>
          <w:rFonts w:hint="eastAsia" w:ascii="宋体" w:hAnsi="宋体"/>
          <w:color w:val="auto"/>
          <w:sz w:val="24"/>
          <w:szCs w:val="24"/>
          <w:highlight w:val="none"/>
        </w:rPr>
      </w:pPr>
    </w:p>
    <w:p>
      <w:pPr>
        <w:pStyle w:val="2"/>
        <w:rPr>
          <w:rFonts w:hint="eastAsia" w:ascii="宋体" w:hAnsi="宋体"/>
          <w:color w:val="auto"/>
          <w:sz w:val="24"/>
          <w:szCs w:val="24"/>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rPr>
          <w:rFonts w:hint="eastAsia"/>
          <w:color w:val="auto"/>
          <w:highlight w:val="none"/>
        </w:rPr>
      </w:pPr>
    </w:p>
    <w:p>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360" w:lineRule="auto"/>
        <w:ind w:left="0" w:leftChars="0"/>
        <w:jc w:val="center"/>
        <w:textAlignment w:val="auto"/>
        <w:rPr>
          <w:rFonts w:hint="eastAsia" w:ascii="宋体" w:hAnsi="宋体" w:eastAsia="宋体" w:cs="宋体"/>
          <w:color w:val="auto"/>
          <w:sz w:val="24"/>
          <w:szCs w:val="24"/>
          <w:highlight w:val="none"/>
          <w:lang w:eastAsia="zh-CN"/>
        </w:rPr>
      </w:pPr>
      <w:bookmarkStart w:id="35" w:name="_Toc32635"/>
      <w:r>
        <w:rPr>
          <w:rFonts w:hint="eastAsia" w:ascii="宋体" w:hAnsi="宋体" w:eastAsia="宋体" w:cs="宋体"/>
          <w:color w:val="auto"/>
          <w:sz w:val="24"/>
          <w:szCs w:val="24"/>
          <w:highlight w:val="none"/>
          <w:lang w:eastAsia="zh-CN"/>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供应商须知</w:t>
      </w:r>
      <w:bookmarkEnd w:id="35"/>
    </w:p>
    <w:p>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360" w:lineRule="auto"/>
        <w:ind w:left="0" w:leftChars="0"/>
        <w:jc w:val="center"/>
        <w:textAlignment w:val="auto"/>
        <w:rPr>
          <w:rFonts w:hint="eastAsia" w:ascii="宋体" w:hAnsi="宋体" w:eastAsia="宋体" w:cs="宋体"/>
          <w:color w:val="auto"/>
          <w:sz w:val="24"/>
          <w:szCs w:val="24"/>
          <w:highlight w:val="none"/>
          <w:lang w:eastAsia="zh-CN"/>
        </w:rPr>
      </w:pPr>
      <w:bookmarkStart w:id="36" w:name="_Toc25063"/>
      <w:bookmarkStart w:id="37" w:name="_Toc13547"/>
      <w:bookmarkStart w:id="38" w:name="_Toc1585"/>
      <w:bookmarkStart w:id="39" w:name="_Toc9508"/>
      <w:bookmarkStart w:id="40" w:name="_Toc26326"/>
      <w:r>
        <w:rPr>
          <w:rFonts w:hint="eastAsia" w:ascii="宋体" w:hAnsi="宋体" w:eastAsia="宋体" w:cs="宋体"/>
          <w:color w:val="auto"/>
          <w:sz w:val="24"/>
          <w:szCs w:val="24"/>
          <w:highlight w:val="none"/>
          <w:lang w:eastAsia="zh-CN"/>
        </w:rPr>
        <w:t>供 应 商 须 知 前 附 表</w:t>
      </w:r>
      <w:bookmarkEnd w:id="36"/>
      <w:bookmarkEnd w:id="37"/>
      <w:bookmarkEnd w:id="38"/>
      <w:bookmarkEnd w:id="39"/>
      <w:bookmarkEnd w:id="40"/>
    </w:p>
    <w:bookmarkEnd w:id="34"/>
    <w:tbl>
      <w:tblPr>
        <w:tblStyle w:val="18"/>
        <w:tblW w:w="10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7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711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项目名称及项目编号</w:t>
            </w:r>
          </w:p>
        </w:tc>
        <w:tc>
          <w:tcPr>
            <w:tcW w:w="7112" w:type="dxa"/>
            <w:vAlign w:val="center"/>
          </w:tcPr>
          <w:p>
            <w:pPr>
              <w:pageBreakBefore w:val="0"/>
              <w:widowControl w:val="0"/>
              <w:kinsoku/>
              <w:wordWrap/>
              <w:overflowPunct/>
              <w:topLinePunct w:val="0"/>
              <w:autoSpaceDE/>
              <w:autoSpaceDN/>
              <w:bidi w:val="0"/>
              <w:adjustRightInd/>
              <w:spacing w:line="380" w:lineRule="exact"/>
              <w:ind w:lef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广西漓江流域上游兴安县溶江镇永安村段生态保护工程</w:t>
            </w:r>
          </w:p>
          <w:p>
            <w:pPr>
              <w:pageBreakBefore w:val="0"/>
              <w:widowControl w:val="0"/>
              <w:kinsoku/>
              <w:wordWrap/>
              <w:overflowPunct/>
              <w:topLinePunct w:val="0"/>
              <w:autoSpaceDE/>
              <w:autoSpaceDN/>
              <w:bidi w:val="0"/>
              <w:adjustRightInd/>
              <w:spacing w:line="380" w:lineRule="exact"/>
              <w:ind w:lef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项目编号：</w:t>
            </w:r>
            <w:r>
              <w:rPr>
                <w:rFonts w:hint="eastAsia" w:ascii="宋体" w:hAnsi="宋体" w:cs="宋体"/>
                <w:color w:val="auto"/>
                <w:sz w:val="21"/>
                <w:szCs w:val="21"/>
                <w:highlight w:val="none"/>
                <w:lang w:eastAsia="zh-CN"/>
              </w:rPr>
              <w:t>GLZC2024-C2-250153-GXDY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供应商资格</w:t>
            </w:r>
          </w:p>
        </w:tc>
        <w:tc>
          <w:tcPr>
            <w:tcW w:w="71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3.2、落实政府采购政策需满足的资格要求：本项目为专门面向中小微企业采购的项目（供应商应为中小微企业、监狱企业、残疾人福利性单位)；</w:t>
            </w:r>
          </w:p>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lang w:val="en-US" w:eastAsia="zh-CN"/>
              </w:rPr>
              <w:t>本项目的特定资格要求：具备水利水电工程施工总承包叁级（含本级）或叁级以上资质，并具有省级或以上建设行政主管部门颁发的建筑施工企业安全生产许可证，并在人员、设备、资金等方面具有相应的施工能力。其中，投标人拟派项目经理须具备水利水电工程专业二级以上（含本级）或二级以上注册建造师执业资格，具备有效的安全生产考核合格证书（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磋商费用</w:t>
            </w:r>
          </w:p>
        </w:tc>
        <w:tc>
          <w:tcPr>
            <w:tcW w:w="7112" w:type="dxa"/>
            <w:vAlign w:val="center"/>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13</w:t>
            </w:r>
          </w:p>
        </w:tc>
        <w:tc>
          <w:tcPr>
            <w:tcW w:w="1775" w:type="dxa"/>
            <w:vAlign w:val="center"/>
          </w:tcPr>
          <w:p>
            <w:pPr>
              <w:keepNext w:val="0"/>
              <w:keepLines w:val="0"/>
              <w:pageBreakBefore w:val="0"/>
              <w:kinsoku/>
              <w:wordWrap/>
              <w:overflowPunct/>
              <w:topLinePunct w:val="0"/>
              <w:autoSpaceDE/>
              <w:autoSpaceDN/>
              <w:bidi w:val="0"/>
              <w:adjustRightInd/>
              <w:spacing w:line="380" w:lineRule="exact"/>
              <w:ind w:left="0" w:leftChars="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sz w:val="21"/>
                <w:szCs w:val="21"/>
                <w:highlight w:val="none"/>
              </w:rPr>
              <w:t>磋商报价及</w:t>
            </w:r>
            <w:r>
              <w:rPr>
                <w:rFonts w:hint="eastAsia" w:ascii="宋体" w:hAnsi="宋体" w:eastAsia="宋体" w:cs="宋体"/>
                <w:color w:val="auto"/>
                <w:sz w:val="21"/>
                <w:szCs w:val="21"/>
                <w:highlight w:val="none"/>
                <w:lang w:val="en-US" w:eastAsia="zh-CN"/>
              </w:rPr>
              <w:t>预算</w:t>
            </w:r>
            <w:r>
              <w:rPr>
                <w:rFonts w:hint="eastAsia" w:ascii="宋体" w:hAnsi="宋体" w:eastAsia="宋体" w:cs="宋体"/>
                <w:color w:val="auto"/>
                <w:sz w:val="21"/>
                <w:szCs w:val="21"/>
                <w:highlight w:val="none"/>
              </w:rPr>
              <w:t>控制价</w:t>
            </w:r>
          </w:p>
        </w:tc>
        <w:tc>
          <w:tcPr>
            <w:tcW w:w="7112" w:type="dxa"/>
            <w:vAlign w:val="center"/>
          </w:tcPr>
          <w:p>
            <w:pPr>
              <w:pageBreakBefore w:val="0"/>
              <w:kinsoku/>
              <w:wordWrap/>
              <w:overflowPunct/>
              <w:topLinePunct w:val="0"/>
              <w:autoSpaceDE/>
              <w:autoSpaceDN/>
              <w:bidi w:val="0"/>
              <w:adjustRightInd/>
              <w:spacing w:line="380" w:lineRule="exact"/>
              <w:ind w:left="0"/>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本工程</w:t>
            </w:r>
            <w:r>
              <w:rPr>
                <w:rFonts w:hint="eastAsia" w:ascii="宋体" w:hAnsi="宋体" w:eastAsia="宋体" w:cs="宋体"/>
                <w:b/>
                <w:bCs/>
                <w:color w:val="auto"/>
                <w:sz w:val="21"/>
                <w:szCs w:val="21"/>
                <w:highlight w:val="none"/>
                <w:lang w:eastAsia="zh-CN"/>
              </w:rPr>
              <w:t>财评后的</w:t>
            </w:r>
            <w:r>
              <w:rPr>
                <w:rFonts w:hint="eastAsia" w:ascii="宋体" w:hAnsi="宋体" w:eastAsia="宋体" w:cs="宋体"/>
                <w:b/>
                <w:color w:val="auto"/>
                <w:kern w:val="0"/>
                <w:sz w:val="21"/>
                <w:szCs w:val="21"/>
                <w:highlight w:val="none"/>
                <w:lang w:val="en-US" w:eastAsia="zh-CN"/>
              </w:rPr>
              <w:t>预算控制价为</w:t>
            </w:r>
            <w:r>
              <w:rPr>
                <w:rFonts w:hint="eastAsia" w:ascii="宋体" w:hAnsi="宋体" w:eastAsia="宋体" w:cs="宋体"/>
                <w:b/>
                <w:color w:val="auto"/>
                <w:kern w:val="0"/>
                <w:sz w:val="21"/>
                <w:szCs w:val="21"/>
                <w:highlight w:val="none"/>
              </w:rPr>
              <w:t>人民币</w:t>
            </w:r>
            <w:r>
              <w:rPr>
                <w:rFonts w:hint="eastAsia" w:ascii="宋体" w:hAnsi="宋体" w:eastAsia="宋体" w:cs="宋体"/>
                <w:b/>
                <w:color w:val="auto"/>
                <w:kern w:val="0"/>
                <w:sz w:val="21"/>
                <w:szCs w:val="21"/>
                <w:highlight w:val="none"/>
                <w:lang w:val="en-US" w:eastAsia="zh-CN"/>
              </w:rPr>
              <w:t>1947855.96</w:t>
            </w:r>
            <w:r>
              <w:rPr>
                <w:rFonts w:hint="eastAsia" w:ascii="宋体" w:hAnsi="宋体" w:eastAsia="宋体" w:cs="宋体"/>
                <w:b/>
                <w:color w:val="auto"/>
                <w:kern w:val="0"/>
                <w:sz w:val="21"/>
                <w:szCs w:val="21"/>
                <w:highlight w:val="none"/>
              </w:rPr>
              <w:t>元</w:t>
            </w:r>
            <w:r>
              <w:rPr>
                <w:rFonts w:hint="eastAsia" w:ascii="宋体" w:hAnsi="宋体" w:eastAsia="宋体" w:cs="宋体"/>
                <w:b/>
                <w:color w:val="auto"/>
                <w:kern w:val="0"/>
                <w:sz w:val="21"/>
                <w:szCs w:val="21"/>
                <w:highlight w:val="none"/>
                <w:lang w:eastAsia="zh-CN"/>
              </w:rPr>
              <w:t>。</w:t>
            </w:r>
          </w:p>
          <w:p>
            <w:pPr>
              <w:pageBreakBefore w:val="0"/>
              <w:kinsoku/>
              <w:wordWrap/>
              <w:overflowPunct/>
              <w:topLinePunct w:val="0"/>
              <w:autoSpaceDE/>
              <w:autoSpaceDN/>
              <w:bidi w:val="0"/>
              <w:adjustRightInd/>
              <w:spacing w:line="380" w:lineRule="exact"/>
              <w:ind w:left="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
                <w:bCs/>
                <w:color w:val="auto"/>
                <w:sz w:val="21"/>
                <w:szCs w:val="21"/>
                <w:highlight w:val="none"/>
                <w:lang w:eastAsia="zh-CN"/>
              </w:rPr>
              <w:t>经采购人同意，</w:t>
            </w:r>
            <w:r>
              <w:rPr>
                <w:rFonts w:hint="eastAsia" w:ascii="宋体" w:hAnsi="宋体" w:eastAsia="宋体" w:cs="宋体"/>
                <w:b/>
                <w:bCs/>
                <w:color w:val="auto"/>
                <w:sz w:val="21"/>
                <w:szCs w:val="21"/>
                <w:highlight w:val="none"/>
              </w:rPr>
              <w:t>本工程最高磋商限价</w:t>
            </w:r>
            <w:r>
              <w:rPr>
                <w:rFonts w:hint="eastAsia" w:ascii="宋体" w:hAnsi="宋体" w:eastAsia="宋体" w:cs="宋体"/>
                <w:b/>
                <w:bCs/>
                <w:color w:val="auto"/>
                <w:sz w:val="21"/>
                <w:szCs w:val="21"/>
                <w:highlight w:val="none"/>
                <w:lang w:eastAsia="zh-CN"/>
              </w:rPr>
              <w:t>（预算</w:t>
            </w:r>
            <w:r>
              <w:rPr>
                <w:rFonts w:hint="eastAsia" w:ascii="宋体" w:hAnsi="宋体" w:eastAsia="宋体" w:cs="宋体"/>
                <w:b/>
                <w:bCs/>
                <w:color w:val="auto"/>
                <w:sz w:val="21"/>
                <w:szCs w:val="21"/>
                <w:highlight w:val="none"/>
                <w:lang w:val="en-US" w:eastAsia="zh-CN"/>
              </w:rPr>
              <w:t>控制价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为</w:t>
            </w:r>
            <w:r>
              <w:rPr>
                <w:rFonts w:hint="eastAsia" w:ascii="宋体" w:hAnsi="宋体" w:eastAsia="宋体" w:cs="宋体"/>
                <w:b/>
                <w:bCs/>
                <w:color w:val="auto"/>
                <w:sz w:val="21"/>
                <w:szCs w:val="21"/>
                <w:highlight w:val="none"/>
                <w:lang w:val="en-US" w:eastAsia="zh-CN"/>
              </w:rPr>
              <w:t>1947855.96</w:t>
            </w:r>
            <w:r>
              <w:rPr>
                <w:rFonts w:hint="eastAsia" w:ascii="宋体" w:hAnsi="宋体" w:eastAsia="宋体" w:cs="宋体"/>
                <w:b/>
                <w:bCs/>
                <w:color w:val="auto"/>
                <w:kern w:val="0"/>
                <w:sz w:val="21"/>
                <w:szCs w:val="21"/>
                <w:highlight w:val="none"/>
                <w:u w:val="none"/>
              </w:rPr>
              <w:t>元</w:t>
            </w:r>
            <w:r>
              <w:rPr>
                <w:rFonts w:hint="eastAsia" w:ascii="宋体" w:hAnsi="宋体" w:eastAsia="宋体" w:cs="宋体"/>
                <w:b/>
                <w:bCs/>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val="0"/>
              <w:spacing w:line="380" w:lineRule="exact"/>
              <w:ind w:left="0" w:lef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供应商的磋商报价不得超过本工程</w:t>
            </w:r>
            <w:r>
              <w:rPr>
                <w:rFonts w:hint="eastAsia" w:ascii="宋体" w:hAnsi="宋体" w:eastAsia="宋体" w:cs="宋体"/>
                <w:b/>
                <w:bCs/>
                <w:color w:val="auto"/>
                <w:sz w:val="21"/>
                <w:szCs w:val="21"/>
                <w:highlight w:val="none"/>
              </w:rPr>
              <w:t>最高磋商限价</w:t>
            </w:r>
            <w:r>
              <w:rPr>
                <w:rFonts w:hint="eastAsia" w:ascii="宋体" w:hAnsi="宋体" w:eastAsia="宋体" w:cs="宋体"/>
                <w:b/>
                <w:bCs/>
                <w:color w:val="auto"/>
                <w:sz w:val="21"/>
                <w:szCs w:val="21"/>
                <w:highlight w:val="none"/>
                <w:lang w:eastAsia="zh-CN"/>
              </w:rPr>
              <w:t>（预算</w:t>
            </w:r>
            <w:r>
              <w:rPr>
                <w:rFonts w:hint="eastAsia" w:ascii="宋体" w:hAnsi="宋体" w:eastAsia="宋体" w:cs="宋体"/>
                <w:b/>
                <w:bCs/>
                <w:color w:val="auto"/>
                <w:sz w:val="21"/>
                <w:szCs w:val="21"/>
                <w:highlight w:val="none"/>
                <w:lang w:val="en-US" w:eastAsia="zh-CN"/>
              </w:rPr>
              <w:t>控制价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kern w:val="0"/>
                <w:sz w:val="21"/>
                <w:szCs w:val="21"/>
                <w:highlight w:val="none"/>
                <w:lang w:eastAsia="zh-CN"/>
              </w:rPr>
              <w:t>，否则作无效标处理；</w:t>
            </w:r>
            <w:r>
              <w:rPr>
                <w:rFonts w:hint="eastAsia" w:ascii="宋体" w:hAnsi="宋体" w:eastAsia="宋体" w:cs="宋体"/>
                <w:b/>
                <w:color w:val="auto"/>
                <w:sz w:val="21"/>
                <w:szCs w:val="21"/>
                <w:highlight w:val="none"/>
              </w:rPr>
              <w:t>供应商的第二次磋商报价不得高于该供应商第一次磋商报价，否则做无效标处理。如供应商维持</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报价不变，以原磋商报价作为供应商最后报价</w:t>
            </w:r>
            <w:r>
              <w:rPr>
                <w:rFonts w:hint="eastAsia" w:ascii="宋体" w:hAnsi="宋体" w:eastAsia="宋体" w:cs="宋体"/>
                <w:b/>
                <w:bCs/>
                <w:color w:val="auto"/>
                <w:sz w:val="21"/>
                <w:szCs w:val="21"/>
                <w:highlight w:val="none"/>
              </w:rPr>
              <w:t>；如供应商需要改变原磋商报价时，</w:t>
            </w:r>
            <w:r>
              <w:rPr>
                <w:rFonts w:hint="eastAsia" w:ascii="宋体" w:hAnsi="宋体" w:eastAsia="宋体" w:cs="宋体"/>
                <w:b/>
                <w:color w:val="auto"/>
                <w:sz w:val="21"/>
                <w:szCs w:val="21"/>
                <w:highlight w:val="none"/>
              </w:rPr>
              <w:t>供应商应预先准备好调整后的</w:t>
            </w:r>
            <w:r>
              <w:rPr>
                <w:rFonts w:hint="eastAsia" w:ascii="宋体" w:hAnsi="宋体" w:eastAsia="宋体" w:cs="宋体"/>
                <w:b/>
                <w:color w:val="auto"/>
                <w:sz w:val="21"/>
                <w:szCs w:val="21"/>
                <w:highlight w:val="none"/>
                <w:lang w:eastAsia="zh-CN"/>
              </w:rPr>
              <w:t>已标价的工程量清单</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14.1</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响应文件有效期</w:t>
            </w:r>
          </w:p>
        </w:tc>
        <w:tc>
          <w:tcPr>
            <w:tcW w:w="7112" w:type="dxa"/>
            <w:vAlign w:val="top"/>
          </w:tcPr>
          <w:p>
            <w:pPr>
              <w:pageBreakBefore w:val="0"/>
              <w:widowControl w:val="0"/>
              <w:tabs>
                <w:tab w:val="left" w:pos="1305"/>
              </w:tabs>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15</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保证金</w:t>
            </w:r>
          </w:p>
        </w:tc>
        <w:tc>
          <w:tcPr>
            <w:tcW w:w="7112" w:type="dxa"/>
            <w:vAlign w:val="top"/>
          </w:tcPr>
          <w:p>
            <w:pPr>
              <w:pageBreakBefore w:val="0"/>
              <w:widowControl w:val="0"/>
              <w:tabs>
                <w:tab w:val="left" w:pos="1305"/>
              </w:tabs>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775" w:type="dxa"/>
            <w:vAlign w:val="center"/>
          </w:tcPr>
          <w:p>
            <w:pPr>
              <w:pStyle w:val="5"/>
              <w:pageBreakBefore w:val="0"/>
              <w:widowControl w:val="0"/>
              <w:kinsoku/>
              <w:wordWrap/>
              <w:overflowPunct/>
              <w:topLinePunct w:val="0"/>
              <w:autoSpaceDE/>
              <w:autoSpaceDN/>
              <w:bidi w:val="0"/>
              <w:adjustRightInd/>
              <w:spacing w:before="0" w:after="0" w:line="380" w:lineRule="exact"/>
              <w:ind w:left="0"/>
              <w:jc w:val="center"/>
              <w:textAlignment w:val="auto"/>
              <w:rPr>
                <w:rFonts w:hint="eastAsia" w:ascii="宋体" w:hAnsi="宋体" w:eastAsia="宋体" w:cs="宋体"/>
                <w:b w:val="0"/>
                <w:bCs/>
                <w:color w:val="auto"/>
                <w:sz w:val="21"/>
                <w:szCs w:val="21"/>
                <w:highlight w:val="none"/>
                <w:lang w:eastAsia="zh-CN"/>
              </w:rPr>
            </w:pPr>
            <w:bookmarkStart w:id="41" w:name="_Toc19954"/>
            <w:bookmarkStart w:id="42" w:name="_Toc19911"/>
            <w:bookmarkStart w:id="43" w:name="_Toc27452"/>
            <w:r>
              <w:rPr>
                <w:rFonts w:hint="eastAsia" w:ascii="宋体" w:hAnsi="宋体" w:eastAsia="宋体" w:cs="宋体"/>
                <w:b w:val="0"/>
                <w:bCs/>
                <w:color w:val="auto"/>
                <w:sz w:val="21"/>
                <w:szCs w:val="21"/>
                <w:highlight w:val="none"/>
              </w:rPr>
              <w:t>竞争性</w:t>
            </w:r>
            <w:r>
              <w:rPr>
                <w:rFonts w:hint="eastAsia" w:ascii="宋体" w:hAnsi="宋体" w:eastAsia="宋体" w:cs="宋体"/>
                <w:b w:val="0"/>
                <w:bCs/>
                <w:color w:val="auto"/>
                <w:sz w:val="21"/>
                <w:szCs w:val="21"/>
                <w:highlight w:val="none"/>
                <w:lang w:eastAsia="zh-CN"/>
              </w:rPr>
              <w:t>磋商</w:t>
            </w:r>
            <w:r>
              <w:rPr>
                <w:rFonts w:hint="eastAsia" w:ascii="宋体" w:hAnsi="宋体" w:eastAsia="宋体" w:cs="宋体"/>
                <w:b w:val="0"/>
                <w:bCs/>
                <w:color w:val="auto"/>
                <w:sz w:val="21"/>
                <w:szCs w:val="21"/>
                <w:highlight w:val="none"/>
              </w:rPr>
              <w:t>响应文件的</w:t>
            </w:r>
            <w:r>
              <w:rPr>
                <w:rFonts w:hint="eastAsia" w:ascii="宋体" w:hAnsi="宋体" w:eastAsia="宋体" w:cs="宋体"/>
                <w:b w:val="0"/>
                <w:bCs/>
                <w:color w:val="auto"/>
                <w:sz w:val="21"/>
                <w:szCs w:val="21"/>
                <w:highlight w:val="none"/>
                <w:lang w:eastAsia="zh-CN"/>
              </w:rPr>
              <w:t>制作</w:t>
            </w:r>
            <w:bookmarkEnd w:id="41"/>
            <w:bookmarkEnd w:id="42"/>
            <w:bookmarkEnd w:id="43"/>
          </w:p>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eastAsia="zh-CN"/>
              </w:rPr>
            </w:pPr>
          </w:p>
        </w:tc>
        <w:tc>
          <w:tcPr>
            <w:tcW w:w="7112" w:type="dxa"/>
            <w:vAlign w:val="center"/>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16.1供应商制作电子响应文件前，应登陆“广西政府采购云平台”进行“申请获取采购文件”操作，否则，有可能导致无法在线编制响应文件并参与磋商，其不利后果由供应商自行承担。</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供应商下载或获取竞争性磋商文件后，登录“广西政府采购云平台新版客户端”，按照本磋商文件规定的响应文件格式、顺序以及“广西政府采购云平台”平台的要求，通过“广西政府采购云平台新版客户端”编制电子响应文件。</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磋商响应文件不得涂改，若有修改错漏处，须法定代表人（负责人）或授权委托人签字（或个人CA签章）。磋商响应文件因字迹潦草或表达不清所引起的后果由供应商负责。</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16.6磋商前准备 </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16.6.1本项目实行在线磋商，采用电子磋商响应文件。若供应商参与磋商，自行承担磋商一切费用。 </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16.6.2各供应商应在截标前应确保成为广西政府采购云平台正式注册入库供应商，并完成CA数字证书申领和绑定。因未注册入库、未办理CA数字证书等原因造成无法磋商或磋商失败等后果由供应商自行承担。 </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16.6.3供应商将广西政府采购云平台新版客户端下载、安装完成后，可通过账号密码或CA登录客户端进行响应文件制作。客户端请至网站下载专区查看，如有问题可拨打广西政府采购云平台客户服务热线400-881-7190或95763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p>
        </w:tc>
        <w:tc>
          <w:tcPr>
            <w:tcW w:w="7112" w:type="dxa"/>
            <w:vAlign w:val="center"/>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于202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lang w:eastAsia="zh-CN"/>
              </w:rPr>
              <w:t>年</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25</w:t>
            </w:r>
            <w:r>
              <w:rPr>
                <w:rFonts w:hint="eastAsia" w:ascii="宋体" w:hAnsi="宋体" w:eastAsia="宋体" w:cs="宋体"/>
                <w:color w:val="auto"/>
                <w:sz w:val="21"/>
                <w:szCs w:val="21"/>
                <w:highlight w:val="none"/>
                <w:u w:val="single"/>
                <w:lang w:eastAsia="zh-CN"/>
              </w:rPr>
              <w:t>日</w:t>
            </w:r>
            <w:r>
              <w:rPr>
                <w:rFonts w:hint="eastAsia" w:ascii="宋体" w:hAnsi="宋体" w:eastAsia="宋体" w:cs="宋体"/>
                <w:color w:val="auto"/>
                <w:sz w:val="21"/>
                <w:szCs w:val="21"/>
                <w:highlight w:val="none"/>
                <w:u w:val="single"/>
                <w:lang w:val="en-US" w:eastAsia="zh-CN"/>
              </w:rPr>
              <w:t>9时30分</w:t>
            </w:r>
            <w:r>
              <w:rPr>
                <w:rFonts w:hint="eastAsia" w:ascii="宋体" w:hAnsi="宋体" w:eastAsia="宋体" w:cs="宋体"/>
                <w:color w:val="auto"/>
                <w:sz w:val="21"/>
                <w:szCs w:val="21"/>
                <w:highlight w:val="none"/>
                <w:u w:val="none"/>
                <w:lang w:val="en-US" w:eastAsia="zh-CN"/>
              </w:rPr>
              <w:t>之前将电子磋商响应文件上传到广西政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400-881-7190或95763</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position w:val="-2"/>
                <w:sz w:val="21"/>
                <w:szCs w:val="21"/>
                <w:highlight w:val="none"/>
                <w:lang w:eastAsia="zh-CN"/>
              </w:rPr>
            </w:pPr>
            <w:r>
              <w:rPr>
                <w:rFonts w:hint="eastAsia" w:ascii="宋体" w:hAnsi="宋体" w:eastAsia="宋体" w:cs="宋体"/>
                <w:color w:val="auto"/>
                <w:position w:val="-2"/>
                <w:sz w:val="21"/>
                <w:szCs w:val="21"/>
                <w:highlight w:val="none"/>
                <w:lang w:val="en-US" w:eastAsia="zh-CN"/>
              </w:rPr>
              <w:t>9</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18.2</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sz w:val="21"/>
                <w:szCs w:val="21"/>
                <w:highlight w:val="none"/>
                <w:lang w:eastAsia="zh-CN"/>
              </w:rPr>
              <w:t>磋商响应文件解密时间</w:t>
            </w:r>
          </w:p>
        </w:tc>
        <w:tc>
          <w:tcPr>
            <w:tcW w:w="7112" w:type="dxa"/>
            <w:vAlign w:val="center"/>
          </w:tcPr>
          <w:p>
            <w:pPr>
              <w:pStyle w:val="8"/>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磋商响应文件解密时间</w:t>
            </w:r>
            <w:r>
              <w:rPr>
                <w:rFonts w:hint="eastAsia" w:ascii="宋体" w:hAnsi="宋体" w:eastAsia="宋体" w:cs="宋体"/>
                <w:b w:val="0"/>
                <w:bCs w:val="0"/>
                <w:color w:val="auto"/>
                <w:kern w:val="2"/>
                <w:sz w:val="21"/>
                <w:szCs w:val="21"/>
                <w:highlight w:val="none"/>
                <w:lang w:eastAsia="zh-CN"/>
              </w:rPr>
              <w:t>：截标时间后</w:t>
            </w:r>
            <w:r>
              <w:rPr>
                <w:rFonts w:hint="eastAsia" w:ascii="宋体" w:hAnsi="宋体" w:eastAsia="宋体" w:cs="宋体"/>
                <w:b w:val="0"/>
                <w:bCs w:val="0"/>
                <w:color w:val="auto"/>
                <w:kern w:val="2"/>
                <w:sz w:val="21"/>
                <w:szCs w:val="21"/>
                <w:highlight w:val="none"/>
                <w:u w:val="single"/>
                <w:lang w:eastAsia="zh-CN"/>
              </w:rPr>
              <w:t>30</w:t>
            </w:r>
            <w:r>
              <w:rPr>
                <w:rFonts w:hint="eastAsia" w:ascii="宋体" w:hAnsi="宋体" w:eastAsia="宋体" w:cs="宋体"/>
                <w:b w:val="0"/>
                <w:bCs w:val="0"/>
                <w:color w:val="auto"/>
                <w:kern w:val="2"/>
                <w:sz w:val="21"/>
                <w:szCs w:val="21"/>
                <w:highlight w:val="none"/>
                <w:lang w:eastAsia="zh-CN"/>
              </w:rPr>
              <w:t>分钟内（</w:t>
            </w:r>
            <w:r>
              <w:rPr>
                <w:rFonts w:hint="eastAsia" w:ascii="宋体" w:hAnsi="宋体" w:eastAsia="宋体" w:cs="宋体"/>
                <w:color w:val="auto"/>
                <w:sz w:val="21"/>
                <w:szCs w:val="21"/>
                <w:highlight w:val="none"/>
                <w:u w:val="single"/>
                <w:lang w:eastAsia="zh-CN"/>
              </w:rPr>
              <w:t>20</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lang w:eastAsia="zh-CN"/>
              </w:rPr>
              <w:t>年</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25</w:t>
            </w:r>
            <w:r>
              <w:rPr>
                <w:rFonts w:hint="eastAsia" w:ascii="宋体" w:hAnsi="宋体" w:eastAsia="宋体" w:cs="宋体"/>
                <w:color w:val="auto"/>
                <w:sz w:val="21"/>
                <w:szCs w:val="21"/>
                <w:highlight w:val="none"/>
                <w:u w:val="single"/>
                <w:lang w:eastAsia="zh-CN"/>
              </w:rPr>
              <w:t>日</w:t>
            </w:r>
            <w:r>
              <w:rPr>
                <w:rFonts w:hint="eastAsia" w:ascii="宋体" w:hAnsi="宋体" w:eastAsia="宋体" w:cs="宋体"/>
                <w:color w:val="auto"/>
                <w:sz w:val="21"/>
                <w:szCs w:val="21"/>
                <w:highlight w:val="none"/>
                <w:u w:val="single"/>
                <w:lang w:val="en-US" w:eastAsia="zh-CN"/>
              </w:rPr>
              <w:t>9时30分</w:t>
            </w:r>
            <w:r>
              <w:rPr>
                <w:rFonts w:hint="eastAsia" w:ascii="宋体" w:hAnsi="宋体" w:eastAsia="宋体" w:cs="宋体"/>
                <w:b w:val="0"/>
                <w:bCs w:val="0"/>
                <w:color w:val="auto"/>
                <w:kern w:val="2"/>
                <w:sz w:val="21"/>
                <w:szCs w:val="21"/>
                <w:highlight w:val="none"/>
                <w:u w:val="single"/>
                <w:lang w:eastAsia="zh-CN"/>
              </w:rPr>
              <w:t>至</w:t>
            </w:r>
            <w:r>
              <w:rPr>
                <w:rFonts w:hint="eastAsia" w:ascii="宋体" w:hAnsi="宋体" w:eastAsia="宋体" w:cs="宋体"/>
                <w:b w:val="0"/>
                <w:bCs w:val="0"/>
                <w:color w:val="auto"/>
                <w:kern w:val="2"/>
                <w:sz w:val="21"/>
                <w:szCs w:val="21"/>
                <w:highlight w:val="none"/>
                <w:u w:val="single"/>
                <w:lang w:val="en-US" w:eastAsia="zh-CN"/>
              </w:rPr>
              <w:t>10</w:t>
            </w:r>
            <w:r>
              <w:rPr>
                <w:rFonts w:hint="eastAsia" w:ascii="宋体" w:hAnsi="宋体" w:eastAsia="宋体" w:cs="宋体"/>
                <w:b w:val="0"/>
                <w:bCs w:val="0"/>
                <w:color w:val="auto"/>
                <w:kern w:val="2"/>
                <w:sz w:val="21"/>
                <w:szCs w:val="21"/>
                <w:highlight w:val="none"/>
                <w:u w:val="single"/>
                <w:lang w:eastAsia="zh-CN"/>
              </w:rPr>
              <w:t>时</w:t>
            </w:r>
            <w:r>
              <w:rPr>
                <w:rFonts w:hint="eastAsia" w:ascii="宋体" w:hAnsi="宋体" w:eastAsia="宋体" w:cs="宋体"/>
                <w:b w:val="0"/>
                <w:bCs w:val="0"/>
                <w:color w:val="auto"/>
                <w:kern w:val="2"/>
                <w:sz w:val="21"/>
                <w:szCs w:val="21"/>
                <w:highlight w:val="none"/>
                <w:u w:val="single"/>
                <w:lang w:val="en-US" w:eastAsia="zh-CN"/>
              </w:rPr>
              <w:t>00</w:t>
            </w:r>
            <w:r>
              <w:rPr>
                <w:rFonts w:hint="eastAsia" w:ascii="宋体" w:hAnsi="宋体" w:eastAsia="宋体" w:cs="宋体"/>
                <w:b w:val="0"/>
                <w:bCs w:val="0"/>
                <w:color w:val="auto"/>
                <w:kern w:val="2"/>
                <w:sz w:val="21"/>
                <w:szCs w:val="21"/>
                <w:highlight w:val="none"/>
                <w:u w:val="single"/>
                <w:lang w:eastAsia="zh-CN"/>
              </w:rPr>
              <w:t>分</w:t>
            </w:r>
            <w:r>
              <w:rPr>
                <w:rFonts w:hint="eastAsia" w:ascii="宋体" w:hAnsi="宋体" w:eastAsia="宋体" w:cs="宋体"/>
                <w:b w:val="0"/>
                <w:bCs w:val="0"/>
                <w:color w:val="auto"/>
                <w:kern w:val="2"/>
                <w:sz w:val="21"/>
                <w:szCs w:val="21"/>
                <w:highlight w:val="none"/>
                <w:lang w:eastAsia="zh-CN"/>
              </w:rPr>
              <w:t>)磋商供应商可以登录广西政府采购云平台，用“项目采购-开标评标”功能进行解密磋商响应文件。若磋商供应商在规定时间内无法解密或解密失败，可以以电子备份磋商响应文件作为依据</w:t>
            </w:r>
            <w:r>
              <w:rPr>
                <w:rFonts w:hint="eastAsia" w:ascii="宋体" w:hAnsi="宋体" w:eastAsia="宋体" w:cs="宋体"/>
                <w:b/>
                <w:bCs/>
                <w:color w:val="auto"/>
                <w:kern w:val="2"/>
                <w:sz w:val="21"/>
                <w:szCs w:val="21"/>
                <w:highlight w:val="none"/>
                <w:lang w:eastAsia="zh-CN"/>
              </w:rPr>
              <w:t>【在接到无法解密或解密失败的通知后，磋商供应商可根据自身实际情况按通知时要求的时间到桂林市公共资源交易</w:t>
            </w:r>
            <w:r>
              <w:rPr>
                <w:rFonts w:hint="eastAsia" w:ascii="宋体" w:hAnsi="宋体" w:eastAsia="宋体" w:cs="宋体"/>
                <w:b/>
                <w:bCs/>
                <w:color w:val="auto"/>
                <w:kern w:val="2"/>
                <w:sz w:val="21"/>
                <w:szCs w:val="21"/>
                <w:highlight w:val="none"/>
                <w:lang w:eastAsia="zh-CN"/>
              </w:rPr>
              <w:t>中心</w:t>
            </w:r>
            <w:r>
              <w:rPr>
                <w:rFonts w:hint="eastAsia" w:ascii="宋体" w:hAnsi="宋体" w:cs="宋体"/>
                <w:b/>
                <w:bCs/>
                <w:color w:val="auto"/>
                <w:kern w:val="2"/>
                <w:sz w:val="21"/>
                <w:szCs w:val="21"/>
                <w:highlight w:val="none"/>
                <w:u w:val="single"/>
                <w:lang w:val="en-US" w:eastAsia="zh-CN"/>
              </w:rPr>
              <w:t xml:space="preserve"> 8 </w:t>
            </w:r>
            <w:r>
              <w:rPr>
                <w:rFonts w:hint="eastAsia" w:ascii="宋体" w:hAnsi="宋体" w:eastAsia="宋体" w:cs="宋体"/>
                <w:b/>
                <w:bCs/>
                <w:color w:val="auto"/>
                <w:kern w:val="2"/>
                <w:sz w:val="21"/>
                <w:szCs w:val="21"/>
                <w:highlight w:val="none"/>
                <w:lang w:eastAsia="zh-CN"/>
              </w:rPr>
              <w:t>号</w:t>
            </w:r>
            <w:r>
              <w:rPr>
                <w:rFonts w:hint="eastAsia" w:ascii="宋体" w:hAnsi="宋体" w:eastAsia="宋体" w:cs="宋体"/>
                <w:b/>
                <w:bCs/>
                <w:color w:val="auto"/>
                <w:kern w:val="2"/>
                <w:sz w:val="21"/>
                <w:szCs w:val="21"/>
                <w:highlight w:val="none"/>
                <w:lang w:eastAsia="zh-CN"/>
              </w:rPr>
              <w:t>开标室现场提交或以电子邮件的形式（以通知时所告知的电子邮箱地址为准）提交电子备份磋商响应文件】</w:t>
            </w:r>
            <w:r>
              <w:rPr>
                <w:rFonts w:hint="eastAsia" w:ascii="宋体" w:hAnsi="宋体" w:eastAsia="宋体" w:cs="宋体"/>
                <w:b w:val="0"/>
                <w:bCs w:val="0"/>
                <w:color w:val="auto"/>
                <w:kern w:val="2"/>
                <w:sz w:val="21"/>
                <w:szCs w:val="21"/>
                <w:highlight w:val="none"/>
                <w:lang w:eastAsia="zh-CN"/>
              </w:rPr>
              <w:t>，若磋商供应商在规定时间内无法解密或解密失败且未提供电子备份磋商响应文件的(包含提供的电子备份文件无效或无法解密的情况)，视为无效响应。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42" w:type="dxa"/>
            <w:vAlign w:val="center"/>
          </w:tcPr>
          <w:p>
            <w:pPr>
              <w:pageBreakBefore w:val="0"/>
              <w:widowControl w:val="0"/>
              <w:kinsoku/>
              <w:wordWrap/>
              <w:overflowPunct/>
              <w:topLinePunct w:val="0"/>
              <w:autoSpaceDE/>
              <w:autoSpaceDN/>
              <w:bidi w:val="0"/>
              <w:adjustRightInd/>
              <w:spacing w:line="380" w:lineRule="exact"/>
              <w:ind w:left="0" w:firstLine="105" w:firstLineChars="5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19.1</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磋商小组组成</w:t>
            </w:r>
          </w:p>
        </w:tc>
        <w:tc>
          <w:tcPr>
            <w:tcW w:w="7112" w:type="dxa"/>
            <w:vAlign w:val="center"/>
          </w:tcPr>
          <w:p>
            <w:pPr>
              <w:pageBreakBefore w:val="0"/>
              <w:widowControl w:val="0"/>
              <w:kinsoku/>
              <w:wordWrap/>
              <w:overflowPunct/>
              <w:topLinePunct w:val="0"/>
              <w:autoSpaceDE/>
              <w:autoSpaceDN/>
              <w:bidi w:val="0"/>
              <w:adjustRightInd/>
              <w:spacing w:line="380" w:lineRule="exact"/>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 w:val="21"/>
                <w:szCs w:val="21"/>
                <w:highlight w:val="none"/>
                <w:u w:val="single"/>
              </w:rPr>
              <w:t xml:space="preserve">3 </w:t>
            </w:r>
            <w:r>
              <w:rPr>
                <w:rFonts w:hint="eastAsia" w:ascii="宋体" w:hAnsi="宋体" w:eastAsia="宋体" w:cs="宋体"/>
                <w:color w:val="auto"/>
                <w:sz w:val="21"/>
                <w:szCs w:val="21"/>
                <w:highlight w:val="none"/>
              </w:rPr>
              <w:t>人，其中采购人代表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1 </w:t>
            </w:r>
            <w:r>
              <w:rPr>
                <w:rFonts w:hint="eastAsia" w:ascii="宋体" w:hAnsi="宋体" w:eastAsia="宋体" w:cs="宋体"/>
                <w:color w:val="auto"/>
                <w:sz w:val="21"/>
                <w:szCs w:val="21"/>
                <w:highlight w:val="none"/>
              </w:rPr>
              <w:t>人，专家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2 </w:t>
            </w:r>
            <w:r>
              <w:rPr>
                <w:rFonts w:hint="eastAsia" w:ascii="宋体" w:hAnsi="宋体" w:eastAsia="宋体" w:cs="宋体"/>
                <w:color w:val="auto"/>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磋商时间、地点、人员</w:t>
            </w:r>
          </w:p>
        </w:tc>
        <w:tc>
          <w:tcPr>
            <w:tcW w:w="7112" w:type="dxa"/>
            <w:vAlign w:val="top"/>
          </w:tcPr>
          <w:p>
            <w:pPr>
              <w:pageBreakBefore w:val="0"/>
              <w:widowControl w:val="0"/>
              <w:kinsoku/>
              <w:wordWrap/>
              <w:overflowPunct/>
              <w:topLinePunct w:val="0"/>
              <w:autoSpaceDE/>
              <w:autoSpaceDN/>
              <w:bidi w:val="0"/>
              <w:adjustRightInd/>
              <w:spacing w:line="380" w:lineRule="exact"/>
              <w:ind w:left="0" w:hanging="315" w:hanging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19.2.1磋商时间：响应文件递交截止时间后。</w:t>
            </w:r>
          </w:p>
          <w:p>
            <w:pPr>
              <w:pageBreakBefore w:val="0"/>
              <w:widowControl w:val="0"/>
              <w:kinsoku/>
              <w:wordWrap/>
              <w:overflowPunct/>
              <w:topLinePunct w:val="0"/>
              <w:autoSpaceDE/>
              <w:autoSpaceDN/>
              <w:bidi w:val="0"/>
              <w:adjustRightInd/>
              <w:spacing w:line="380" w:lineRule="exact"/>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19.2.2磋商地点：</w:t>
            </w:r>
            <w:r>
              <w:rPr>
                <w:rFonts w:hint="eastAsia" w:ascii="宋体" w:hAnsi="宋体" w:eastAsia="宋体" w:cs="宋体"/>
                <w:b/>
                <w:bCs/>
                <w:color w:val="auto"/>
                <w:sz w:val="21"/>
                <w:szCs w:val="21"/>
                <w:highlight w:val="none"/>
              </w:rPr>
              <w:t>供应商代表在响应文件提交当天实时登陆“广西政府采购云平台”，按磋商小组要求在线等候参与磋商及提交最后报价。因供应商未保持实时在线，导致磋商小组无法及时与其取得联系，从而造成供应商未按规定参与磋商或报价的，其不利后果由供应商自行承担</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autoSpaceDE/>
              <w:autoSpaceDN/>
              <w:bidi w:val="0"/>
              <w:adjustRightInd/>
              <w:spacing w:line="380" w:lineRule="exact"/>
              <w:ind w:left="0" w:hanging="14" w:hangingChars="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19.2.3磋商参加人员：</w:t>
            </w:r>
            <w:r>
              <w:rPr>
                <w:rFonts w:hint="eastAsia" w:ascii="宋体" w:hAnsi="宋体" w:eastAsia="宋体" w:cs="宋体"/>
                <w:b w:val="0"/>
                <w:bCs w:val="0"/>
                <w:color w:val="auto"/>
                <w:sz w:val="21"/>
                <w:szCs w:val="21"/>
                <w:highlight w:val="none"/>
              </w:rPr>
              <w:t>供应商法定代表人、负责人、自然人或相应的委托代理人持有效身份证原件和供应商广西政府采购云平台CA数字证书参加磋商。请供应商实时登陆“广西政府采购云平台”等候在线磋商</w:t>
            </w:r>
            <w:r>
              <w:rPr>
                <w:rFonts w:hint="eastAsia" w:ascii="宋体" w:hAnsi="宋体" w:eastAsia="宋体" w:cs="宋体"/>
                <w:color w:val="auto"/>
                <w:sz w:val="21"/>
                <w:szCs w:val="21"/>
                <w:highlight w:val="none"/>
              </w:rPr>
              <w:t>。</w:t>
            </w:r>
          </w:p>
          <w:p>
            <w:pPr>
              <w:pageBreakBefore w:val="0"/>
              <w:widowControl w:val="0"/>
              <w:tabs>
                <w:tab w:val="left" w:pos="1140"/>
              </w:tabs>
              <w:kinsoku/>
              <w:wordWrap/>
              <w:overflowPunct/>
              <w:topLinePunct w:val="0"/>
              <w:autoSpaceDE/>
              <w:autoSpaceDN/>
              <w:bidi w:val="0"/>
              <w:adjustRightInd/>
              <w:spacing w:line="38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19.2.4响应文件递交截止时间后，由磋商小组在评标室内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p>
        </w:tc>
        <w:tc>
          <w:tcPr>
            <w:tcW w:w="1775" w:type="dxa"/>
            <w:vAlign w:val="center"/>
          </w:tcPr>
          <w:p>
            <w:pPr>
              <w:pStyle w:val="11"/>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评审办法</w:t>
            </w:r>
          </w:p>
        </w:tc>
        <w:tc>
          <w:tcPr>
            <w:tcW w:w="7112" w:type="dxa"/>
            <w:vAlign w:val="center"/>
          </w:tcPr>
          <w:p>
            <w:pPr>
              <w:pageBreakBefore w:val="0"/>
              <w:widowControl w:val="0"/>
              <w:tabs>
                <w:tab w:val="left" w:pos="1140"/>
              </w:tabs>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w:t>
            </w:r>
          </w:p>
        </w:tc>
        <w:tc>
          <w:tcPr>
            <w:tcW w:w="7112" w:type="dxa"/>
            <w:vAlign w:val="center"/>
          </w:tcPr>
          <w:p>
            <w:pPr>
              <w:pageBreakBefore w:val="0"/>
              <w:widowControl w:val="0"/>
              <w:kinsoku/>
              <w:wordWrap/>
              <w:overflowPunct/>
              <w:topLinePunct w:val="0"/>
              <w:autoSpaceDE/>
              <w:autoSpaceDN/>
              <w:bidi w:val="0"/>
              <w:adjustRightInd/>
              <w:spacing w:line="380" w:lineRule="exact"/>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pPr>
              <w:pageBreakBefore w:val="0"/>
              <w:widowControl w:val="0"/>
              <w:kinsoku/>
              <w:wordWrap/>
              <w:overflowPunct/>
              <w:topLinePunct w:val="0"/>
              <w:autoSpaceDE/>
              <w:autoSpaceDN/>
              <w:bidi w:val="0"/>
              <w:adjustRightInd/>
              <w:spacing w:line="380" w:lineRule="exact"/>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⑴查询渠道：“信用中国”网站(www.creditchina.gov.cn)、中国政府采购网(www.ccgp.gov.cn)等；</w:t>
            </w:r>
          </w:p>
          <w:p>
            <w:pPr>
              <w:pageBreakBefore w:val="0"/>
              <w:widowControl w:val="0"/>
              <w:kinsoku/>
              <w:wordWrap/>
              <w:overflowPunct/>
              <w:topLinePunct w:val="0"/>
              <w:autoSpaceDE/>
              <w:autoSpaceDN/>
              <w:bidi w:val="0"/>
              <w:adjustRightInd/>
              <w:spacing w:line="380" w:lineRule="exact"/>
              <w:ind w:left="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⑵查询时间：成交通知书发出前；</w:t>
            </w:r>
          </w:p>
          <w:p>
            <w:pPr>
              <w:pageBreakBefore w:val="0"/>
              <w:widowControl w:val="0"/>
              <w:kinsoku/>
              <w:wordWrap/>
              <w:overflowPunct/>
              <w:topLinePunct w:val="0"/>
              <w:autoSpaceDE/>
              <w:autoSpaceDN/>
              <w:bidi w:val="0"/>
              <w:adjustRightInd/>
              <w:spacing w:line="380" w:lineRule="exact"/>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⑶信用信息查询记录和证据留存方式：在查询网站中直接打印查询记录，打印材料作为采购活动资料保存；</w:t>
            </w:r>
          </w:p>
          <w:p>
            <w:pPr>
              <w:pageBreakBefore w:val="0"/>
              <w:widowControl w:val="0"/>
              <w:kinsoku/>
              <w:wordWrap/>
              <w:overflowPunct/>
              <w:topLinePunct w:val="0"/>
              <w:autoSpaceDE/>
              <w:autoSpaceDN/>
              <w:bidi w:val="0"/>
              <w:adjustRightInd/>
              <w:spacing w:line="380" w:lineRule="exact"/>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成交结果公告</w:t>
            </w:r>
          </w:p>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及成交通知书</w:t>
            </w:r>
          </w:p>
        </w:tc>
        <w:tc>
          <w:tcPr>
            <w:tcW w:w="7112" w:type="dxa"/>
            <w:vAlign w:val="top"/>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27.2在发布成交公告的同时，采购代理机构向成交供应商发出成交通知书。成交供应商自接到通知之日起七个工作日内，办理成交通知书领取手续。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7112" w:type="dxa"/>
            <w:vAlign w:val="center"/>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签订合同时间</w:t>
            </w:r>
          </w:p>
        </w:tc>
        <w:tc>
          <w:tcPr>
            <w:tcW w:w="7112" w:type="dxa"/>
            <w:vAlign w:val="top"/>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eastAsia="zh-CN"/>
              </w:rPr>
              <w:t>成交通知书</w:t>
            </w:r>
            <w:r>
              <w:rPr>
                <w:rFonts w:hint="eastAsia" w:ascii="宋体" w:hAnsi="宋体" w:eastAsia="宋体" w:cs="宋体"/>
                <w:bCs/>
                <w:color w:val="auto"/>
                <w:kern w:val="0"/>
                <w:sz w:val="21"/>
                <w:szCs w:val="21"/>
                <w:highlight w:val="none"/>
              </w:rPr>
              <w:t>发出之日起</w:t>
            </w:r>
            <w:r>
              <w:rPr>
                <w:rFonts w:hint="eastAsia" w:ascii="宋体" w:hAnsi="宋体" w:eastAsia="宋体" w:cs="宋体"/>
                <w:bCs/>
                <w:color w:val="auto"/>
                <w:kern w:val="0"/>
                <w:sz w:val="21"/>
                <w:szCs w:val="21"/>
                <w:highlight w:val="none"/>
                <w:lang w:val="en-US" w:eastAsia="zh-CN"/>
              </w:rPr>
              <w:t>8个工作日</w:t>
            </w:r>
            <w:r>
              <w:rPr>
                <w:rFonts w:hint="eastAsia" w:ascii="宋体" w:hAnsi="宋体" w:eastAsia="宋体" w:cs="宋体"/>
                <w:bCs/>
                <w:color w:val="auto"/>
                <w:kern w:val="0"/>
                <w:sz w:val="21"/>
                <w:szCs w:val="21"/>
                <w:highlight w:val="none"/>
              </w:rPr>
              <w:t>内</w:t>
            </w:r>
            <w:r>
              <w:rPr>
                <w:rFonts w:hint="eastAsia" w:ascii="宋体" w:hAnsi="宋体" w:eastAsia="宋体" w:cs="宋体"/>
                <w:bCs/>
                <w:color w:val="auto"/>
                <w:kern w:val="0"/>
                <w:sz w:val="21"/>
                <w:szCs w:val="21"/>
                <w:highlight w:val="none"/>
              </w:rPr>
              <w:t>签订合同</w:t>
            </w:r>
            <w:r>
              <w:rPr>
                <w:rFonts w:hint="eastAsia" w:ascii="宋体" w:hAnsi="宋体" w:eastAsia="宋体" w:cs="宋体"/>
                <w:color w:val="auto"/>
                <w:sz w:val="21"/>
                <w:szCs w:val="21"/>
                <w:highlight w:val="none"/>
              </w:rPr>
              <w:t>。成交供应商领取成交通知书后，应按规定与采购人签订合同。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合同备案存档</w:t>
            </w:r>
          </w:p>
        </w:tc>
        <w:tc>
          <w:tcPr>
            <w:tcW w:w="7112" w:type="dxa"/>
            <w:vAlign w:val="center"/>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宋体" w:hAnsi="宋体" w:eastAsia="宋体" w:cs="宋体"/>
                <w:color w:val="auto"/>
                <w:sz w:val="21"/>
                <w:szCs w:val="21"/>
                <w:highlight w:val="none"/>
                <w:lang w:eastAsia="zh-CN"/>
              </w:rPr>
              <w:t>广西鼎誉工程咨询有限公司</w:t>
            </w:r>
            <w:r>
              <w:rPr>
                <w:rFonts w:hint="eastAsia" w:ascii="宋体" w:hAnsi="宋体" w:eastAsia="宋体" w:cs="宋体"/>
                <w:color w:val="auto"/>
                <w:sz w:val="21"/>
                <w:szCs w:val="21"/>
                <w:highlight w:val="none"/>
              </w:rPr>
              <w:t>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采购代理服务费</w:t>
            </w:r>
          </w:p>
        </w:tc>
        <w:tc>
          <w:tcPr>
            <w:tcW w:w="7112" w:type="dxa"/>
            <w:vAlign w:val="top"/>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人领取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通知书前，向</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代理机构一次性付清</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代理服务费，本项目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代理服务收费标准参照计价格[2002]1980号《招标代理服务收费管理暂行办法》</w:t>
            </w:r>
            <w:r>
              <w:rPr>
                <w:rFonts w:hint="eastAsia" w:ascii="宋体" w:hAnsi="宋体" w:eastAsia="宋体" w:cs="宋体"/>
                <w:color w:val="auto"/>
                <w:sz w:val="21"/>
                <w:szCs w:val="21"/>
                <w:highlight w:val="none"/>
                <w:lang w:eastAsia="zh-CN"/>
              </w:rPr>
              <w:t>工程类</w:t>
            </w:r>
            <w:r>
              <w:rPr>
                <w:rFonts w:hint="eastAsia" w:ascii="宋体" w:hAnsi="宋体" w:eastAsia="宋体" w:cs="宋体"/>
                <w:color w:val="auto"/>
                <w:sz w:val="21"/>
                <w:szCs w:val="21"/>
                <w:highlight w:val="none"/>
              </w:rPr>
              <w:t>收费标准向</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人收取（不足人民币</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000元的，按</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000元支付）。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7112" w:type="dxa"/>
            <w:vAlign w:val="top"/>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监督管理机构</w:t>
            </w:r>
          </w:p>
        </w:tc>
        <w:tc>
          <w:tcPr>
            <w:tcW w:w="7112" w:type="dxa"/>
            <w:vAlign w:val="center"/>
          </w:tcPr>
          <w:p>
            <w:pPr>
              <w:pageBreakBefore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兴安县政府采购管理办公室</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0773-6220651</w:t>
            </w:r>
          </w:p>
        </w:tc>
      </w:tr>
    </w:tbl>
    <w:p>
      <w:pPr>
        <w:pStyle w:val="17"/>
        <w:ind w:left="0" w:leftChars="0" w:firstLine="0" w:firstLineChars="0"/>
        <w:rPr>
          <w:rFonts w:hint="eastAsia" w:ascii="宋体" w:hAnsi="宋体" w:eastAsia="宋体" w:cs="宋体"/>
          <w:b/>
          <w:color w:val="auto"/>
          <w:sz w:val="24"/>
          <w:szCs w:val="24"/>
          <w:highlight w:val="none"/>
        </w:rPr>
      </w:pPr>
    </w:p>
    <w:p>
      <w:pPr>
        <w:pStyle w:val="4"/>
        <w:pageBreakBefore w:val="0"/>
        <w:widowControl w:val="0"/>
        <w:tabs>
          <w:tab w:val="left" w:pos="567"/>
        </w:tabs>
        <w:kinsoku/>
        <w:wordWrap/>
        <w:overflowPunct/>
        <w:topLinePunct w:val="0"/>
        <w:bidi w:val="0"/>
        <w:spacing w:line="440" w:lineRule="exact"/>
        <w:jc w:val="both"/>
        <w:textAlignment w:val="auto"/>
        <w:rPr>
          <w:rFonts w:hint="eastAsia" w:ascii="宋体" w:hAnsi="宋体" w:eastAsia="宋体" w:cs="宋体"/>
          <w:b/>
          <w:bCs w:val="0"/>
          <w:color w:val="auto"/>
          <w:sz w:val="24"/>
          <w:szCs w:val="24"/>
          <w:highlight w:val="none"/>
        </w:rPr>
        <w:sectPr>
          <w:footerReference r:id="rId8" w:type="first"/>
          <w:footerReference r:id="rId7" w:type="default"/>
          <w:pgSz w:w="11906" w:h="16838"/>
          <w:pgMar w:top="1077" w:right="1115" w:bottom="1191" w:left="1131" w:header="851" w:footer="992" w:gutter="0"/>
          <w:pgNumType w:fmt="decimal"/>
          <w:cols w:space="720" w:num="1"/>
          <w:titlePg/>
          <w:docGrid w:type="lines" w:linePitch="312" w:charSpace="0"/>
        </w:sectPr>
      </w:pPr>
      <w:bookmarkStart w:id="44" w:name="_Toc27120"/>
      <w:bookmarkStart w:id="45" w:name="_Toc22792"/>
    </w:p>
    <w:p>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auto"/>
          <w:sz w:val="24"/>
          <w:szCs w:val="24"/>
          <w:highlight w:val="none"/>
        </w:rPr>
      </w:pPr>
      <w:bookmarkStart w:id="46" w:name="_Toc20416"/>
      <w:r>
        <w:rPr>
          <w:rFonts w:hint="eastAsia" w:ascii="宋体" w:hAnsi="宋体" w:eastAsia="宋体" w:cs="宋体"/>
          <w:b/>
          <w:bCs w:val="0"/>
          <w:color w:val="auto"/>
          <w:sz w:val="24"/>
          <w:szCs w:val="24"/>
          <w:highlight w:val="none"/>
        </w:rPr>
        <w:t>一、总则</w:t>
      </w:r>
      <w:bookmarkEnd w:id="44"/>
      <w:bookmarkEnd w:id="45"/>
      <w:bookmarkEnd w:id="46"/>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47" w:name="_Toc6626"/>
      <w:bookmarkStart w:id="48" w:name="_Toc3367"/>
      <w:r>
        <w:rPr>
          <w:rFonts w:hint="eastAsia" w:ascii="宋体" w:hAnsi="宋体" w:eastAsia="宋体" w:cs="宋体"/>
          <w:color w:val="auto"/>
          <w:sz w:val="21"/>
          <w:szCs w:val="21"/>
          <w:highlight w:val="none"/>
        </w:rPr>
        <w:t>1. 适应范围</w:t>
      </w:r>
      <w:bookmarkEnd w:id="47"/>
      <w:bookmarkEnd w:id="48"/>
    </w:p>
    <w:p>
      <w:pPr>
        <w:pageBreakBefore w:val="0"/>
        <w:widowControl w:val="0"/>
        <w:kinsoku/>
        <w:wordWrap/>
        <w:overflowPunct/>
        <w:topLinePunct w:val="0"/>
        <w:bidi w:val="0"/>
        <w:snapToGrid/>
        <w:spacing w:line="380" w:lineRule="exac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项目名称及项目编号</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val="en-US" w:eastAsia="zh-CN"/>
        </w:rPr>
        <w:t>广西漓江流域上游兴安县溶江镇永安村段生态保护工程</w:t>
      </w:r>
      <w:r>
        <w:rPr>
          <w:rFonts w:hint="eastAsia" w:ascii="宋体" w:hAnsi="宋体" w:eastAsia="宋体" w:cs="宋体"/>
          <w:color w:val="auto"/>
          <w:sz w:val="21"/>
          <w:szCs w:val="21"/>
          <w:highlight w:val="none"/>
        </w:rPr>
        <w:t xml:space="preserve">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cs="宋体"/>
          <w:color w:val="auto"/>
          <w:sz w:val="21"/>
          <w:szCs w:val="21"/>
          <w:highlight w:val="none"/>
          <w:lang w:eastAsia="zh-CN"/>
        </w:rPr>
        <w:t>GLZC2024-C2-250153-GXDY</w:t>
      </w:r>
    </w:p>
    <w:p>
      <w:pPr>
        <w:pageBreakBefore w:val="0"/>
        <w:widowControl w:val="0"/>
        <w:kinsoku/>
        <w:wordWrap/>
        <w:overflowPunct/>
        <w:topLinePunct w:val="0"/>
        <w:bidi w:val="0"/>
        <w:snapToGrid/>
        <w:spacing w:line="380" w:lineRule="exact"/>
        <w:ind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1.2本竞争性磋商文件（以下简称磋商文件）适用于本磋商项目的磋商、评审、合同履约、验收、付款等行为（法律、法规另有规定的，从其规定）。</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49" w:name="_Toc2845"/>
      <w:bookmarkStart w:id="50" w:name="_Toc28336"/>
      <w:r>
        <w:rPr>
          <w:rFonts w:hint="eastAsia" w:ascii="宋体" w:hAnsi="宋体" w:eastAsia="宋体" w:cs="宋体"/>
          <w:color w:val="auto"/>
          <w:sz w:val="21"/>
          <w:szCs w:val="21"/>
          <w:highlight w:val="none"/>
        </w:rPr>
        <w:t>2. 定义</w:t>
      </w:r>
      <w:bookmarkEnd w:id="49"/>
      <w:bookmarkEnd w:id="50"/>
    </w:p>
    <w:p>
      <w:pPr>
        <w:pageBreakBefore w:val="0"/>
        <w:widowControl w:val="0"/>
        <w:kinsoku/>
        <w:wordWrap/>
        <w:overflowPunct/>
        <w:topLinePunct w:val="0"/>
        <w:bidi w:val="0"/>
        <w:snapToGrid/>
        <w:spacing w:line="380" w:lineRule="exac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2.1“供应商”是指符合本次采购项目的供应商资格并提交响应文件、参加磋商的供应商。如果该供应商在本次磋商中成交，即成为“成交供应商”。</w:t>
      </w:r>
    </w:p>
    <w:p>
      <w:pPr>
        <w:pageBreakBefore w:val="0"/>
        <w:widowControl w:val="0"/>
        <w:kinsoku/>
        <w:wordWrap/>
        <w:overflowPunct/>
        <w:topLinePunct w:val="0"/>
        <w:bidi w:val="0"/>
        <w:snapToGrid/>
        <w:spacing w:line="380" w:lineRule="exac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2.2“货物”系指按磋商文件规定，供应商须向采购人提供的一切设备、保险、税金、备品备件、工具、手册及其它有关技术资料和材料。</w:t>
      </w:r>
    </w:p>
    <w:p>
      <w:pPr>
        <w:pageBreakBefore w:val="0"/>
        <w:widowControl w:val="0"/>
        <w:kinsoku/>
        <w:wordWrap/>
        <w:overflowPunct/>
        <w:topLinePunct w:val="0"/>
        <w:bidi w:val="0"/>
        <w:snapToGrid/>
        <w:spacing w:line="380" w:lineRule="exac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2.3“服务”系指按磋商文件规定，供应商须承担的安装、调试、技术协助、校准、培训、技术指导以及其他类似的义务。</w:t>
      </w:r>
    </w:p>
    <w:p>
      <w:pPr>
        <w:pageBreakBefore w:val="0"/>
        <w:widowControl w:val="0"/>
        <w:kinsoku/>
        <w:wordWrap/>
        <w:overflowPunct/>
        <w:topLinePunct w:val="0"/>
        <w:bidi w:val="0"/>
        <w:snapToGrid/>
        <w:spacing w:line="380" w:lineRule="exac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2.4“项目”系指供应商按磋商文件规定向采购人提供的货物和服务。</w:t>
      </w:r>
    </w:p>
    <w:p>
      <w:pPr>
        <w:pageBreakBefore w:val="0"/>
        <w:widowControl w:val="0"/>
        <w:kinsoku/>
        <w:wordWrap/>
        <w:overflowPunct/>
        <w:topLinePunct w:val="0"/>
        <w:bidi w:val="0"/>
        <w:snapToGrid/>
        <w:spacing w:line="380" w:lineRule="exac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2.5“书面形式”包括信函、传真、电报等。</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51" w:name="_Toc25441"/>
      <w:bookmarkStart w:id="52" w:name="_Toc13017"/>
      <w:r>
        <w:rPr>
          <w:rFonts w:hint="eastAsia" w:ascii="宋体" w:hAnsi="宋体" w:eastAsia="宋体" w:cs="宋体"/>
          <w:color w:val="auto"/>
          <w:sz w:val="21"/>
          <w:szCs w:val="21"/>
          <w:highlight w:val="none"/>
        </w:rPr>
        <w:t>3. 供应商资格</w:t>
      </w:r>
      <w:bookmarkEnd w:id="51"/>
      <w:bookmarkEnd w:id="52"/>
    </w:p>
    <w:p>
      <w:pPr>
        <w:pageBreakBefore w:val="0"/>
        <w:widowControl w:val="0"/>
        <w:kinsoku/>
        <w:wordWrap/>
        <w:overflowPunct/>
        <w:topLinePunct w:val="0"/>
        <w:bidi w:val="0"/>
        <w:snapToGrid/>
        <w:spacing w:line="380" w:lineRule="exact"/>
        <w:ind w:firstLine="43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w:t>
      </w:r>
      <w:r>
        <w:rPr>
          <w:rFonts w:hint="eastAsia" w:ascii="宋体" w:hAnsi="宋体" w:eastAsia="宋体" w:cs="宋体"/>
          <w:color w:val="auto"/>
          <w:sz w:val="21"/>
          <w:szCs w:val="21"/>
          <w:highlight w:val="none"/>
        </w:rPr>
        <w:t>满足《中华人民共和国政府采购法》第二十二条规定</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bCs/>
          <w:color w:val="auto"/>
          <w:sz w:val="21"/>
          <w:szCs w:val="21"/>
          <w:highlight w:val="none"/>
          <w:lang w:val="en-US" w:eastAsia="zh-CN"/>
        </w:rPr>
      </w:pPr>
      <w:bookmarkStart w:id="53" w:name="_Toc16496"/>
      <w:r>
        <w:rPr>
          <w:rFonts w:hint="eastAsia" w:ascii="宋体" w:hAnsi="宋体" w:eastAsia="宋体" w:cs="宋体"/>
          <w:color w:val="auto"/>
          <w:sz w:val="21"/>
          <w:szCs w:val="21"/>
          <w:highlight w:val="none"/>
        </w:rPr>
        <w:t>3.</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eastAsia="zh-CN"/>
        </w:rPr>
        <w:t>本项目为</w:t>
      </w:r>
      <w:r>
        <w:rPr>
          <w:rFonts w:hint="eastAsia" w:ascii="宋体" w:hAnsi="宋体" w:eastAsia="宋体" w:cs="宋体"/>
          <w:color w:val="auto"/>
          <w:sz w:val="21"/>
          <w:szCs w:val="21"/>
          <w:highlight w:val="none"/>
        </w:rPr>
        <w:t>专门面向中小</w:t>
      </w:r>
      <w:r>
        <w:rPr>
          <w:rFonts w:hint="eastAsia" w:ascii="宋体" w:hAnsi="宋体" w:eastAsia="宋体" w:cs="宋体"/>
          <w:color w:val="auto"/>
          <w:sz w:val="21"/>
          <w:szCs w:val="21"/>
          <w:highlight w:val="none"/>
          <w:lang w:eastAsia="zh-CN"/>
        </w:rPr>
        <w:t>微</w:t>
      </w:r>
      <w:r>
        <w:rPr>
          <w:rFonts w:hint="eastAsia" w:ascii="宋体" w:hAnsi="宋体" w:eastAsia="宋体" w:cs="宋体"/>
          <w:color w:val="auto"/>
          <w:sz w:val="21"/>
          <w:szCs w:val="21"/>
          <w:highlight w:val="none"/>
        </w:rPr>
        <w:t>企业采购的项目（供应商应为中小微企业、监狱企业、残疾人福利性单位)</w:t>
      </w:r>
      <w:r>
        <w:rPr>
          <w:rFonts w:hint="eastAsia" w:ascii="宋体" w:hAnsi="宋体" w:eastAsia="宋体" w:cs="宋体"/>
          <w:color w:val="auto"/>
          <w:sz w:val="21"/>
          <w:szCs w:val="21"/>
          <w:highlight w:val="none"/>
          <w:lang w:eastAsia="zh-CN"/>
        </w:rPr>
        <w:t>；</w:t>
      </w:r>
    </w:p>
    <w:p>
      <w:pPr>
        <w:pStyle w:val="5"/>
        <w:pageBreakBefore w:val="0"/>
        <w:widowControl w:val="0"/>
        <w:kinsoku/>
        <w:wordWrap/>
        <w:overflowPunct/>
        <w:topLinePunct w:val="0"/>
        <w:bidi w:val="0"/>
        <w:snapToGrid/>
        <w:spacing w:before="0" w:after="0" w:line="380" w:lineRule="exact"/>
        <w:ind w:firstLine="420" w:firstLineChars="200"/>
        <w:textAlignment w:val="auto"/>
        <w:rPr>
          <w:rFonts w:hint="eastAsia" w:ascii="宋体" w:hAnsi="宋体" w:eastAsia="宋体" w:cs="宋体"/>
          <w:color w:val="auto"/>
          <w:sz w:val="21"/>
          <w:szCs w:val="21"/>
          <w:highlight w:val="none"/>
          <w:lang w:val="en-US" w:eastAsia="zh-CN"/>
        </w:rPr>
      </w:pPr>
      <w:bookmarkStart w:id="54" w:name="_Toc3452"/>
      <w:bookmarkStart w:id="55" w:name="_Toc5736"/>
      <w:bookmarkStart w:id="56" w:name="_Toc4527"/>
      <w:r>
        <w:rPr>
          <w:rFonts w:hint="eastAsia" w:ascii="宋体" w:hAnsi="宋体" w:eastAsia="宋体" w:cs="宋体"/>
          <w:b w:val="0"/>
          <w:bCs w:val="0"/>
          <w:color w:val="auto"/>
          <w:sz w:val="21"/>
          <w:szCs w:val="21"/>
          <w:highlight w:val="none"/>
          <w:lang w:val="en-US" w:eastAsia="zh-CN"/>
        </w:rPr>
        <w:t>3.</w:t>
      </w: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本项目的特定资格要求：</w:t>
      </w:r>
      <w:bookmarkEnd w:id="54"/>
      <w:bookmarkEnd w:id="55"/>
      <w:bookmarkEnd w:id="56"/>
      <w:bookmarkStart w:id="57" w:name="_Toc9216"/>
      <w:r>
        <w:rPr>
          <w:rFonts w:hint="eastAsia" w:ascii="宋体" w:hAnsi="宋体" w:eastAsia="宋体" w:cs="宋体"/>
          <w:color w:val="auto"/>
          <w:sz w:val="21"/>
          <w:szCs w:val="21"/>
          <w:highlight w:val="none"/>
          <w:lang w:val="en-US" w:eastAsia="zh-CN"/>
        </w:rPr>
        <w:t>具备水利水电工程施工总承包叁级（含本级）或叁级以上资质，并具有省级或以上建设行政主管部门颁发的建筑施工企业安全生产许可证，并在人员、设备、资金等方面具有相应的施工能力。其中，投标人拟派项目经理须具备水利水电工程专业二级以上（含本级）或二级以上注册建造师执业资格，具备有效的安全生产考核合格证书（B类）。</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磋商费用</w:t>
      </w:r>
      <w:bookmarkEnd w:id="53"/>
      <w:bookmarkEnd w:id="57"/>
    </w:p>
    <w:p>
      <w:pPr>
        <w:pageBreakBefore w:val="0"/>
        <w:widowControl w:val="0"/>
        <w:tabs>
          <w:tab w:val="left" w:pos="1635"/>
        </w:tabs>
        <w:kinsoku/>
        <w:wordWrap/>
        <w:overflowPunct/>
        <w:topLinePunct w:val="0"/>
        <w:bidi w:val="0"/>
        <w:snapToGrid/>
        <w:spacing w:line="380" w:lineRule="exact"/>
        <w:ind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不论磋商结果如何，供应商均应自行承担所有与磋商有关的全部费用。</w:t>
      </w:r>
    </w:p>
    <w:p>
      <w:pPr>
        <w:pStyle w:val="5"/>
        <w:pageBreakBefore w:val="0"/>
        <w:widowControl w:val="0"/>
        <w:numPr>
          <w:ilvl w:val="0"/>
          <w:numId w:val="2"/>
        </w:numPr>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58" w:name="_Toc22877"/>
      <w:bookmarkStart w:id="59" w:name="_Toc31376"/>
      <w:r>
        <w:rPr>
          <w:rFonts w:hint="eastAsia" w:ascii="宋体" w:hAnsi="宋体" w:eastAsia="宋体" w:cs="宋体"/>
          <w:color w:val="auto"/>
          <w:sz w:val="21"/>
          <w:szCs w:val="21"/>
          <w:highlight w:val="none"/>
        </w:rPr>
        <w:t>联合体要求</w:t>
      </w:r>
      <w:bookmarkEnd w:id="58"/>
      <w:bookmarkEnd w:id="59"/>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本项目不接受联合体参与磋商</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60" w:name="_Toc4152"/>
      <w:bookmarkStart w:id="61" w:name="_Toc18940"/>
      <w:r>
        <w:rPr>
          <w:rFonts w:hint="eastAsia" w:ascii="宋体" w:hAnsi="宋体" w:eastAsia="宋体" w:cs="宋体"/>
          <w:color w:val="auto"/>
          <w:sz w:val="21"/>
          <w:szCs w:val="21"/>
          <w:highlight w:val="none"/>
        </w:rPr>
        <w:t>6. 质疑和投诉</w:t>
      </w:r>
      <w:bookmarkEnd w:id="60"/>
      <w:bookmarkEnd w:id="61"/>
      <w:r>
        <w:rPr>
          <w:rFonts w:hint="eastAsia" w:ascii="宋体" w:hAnsi="宋体" w:eastAsia="宋体" w:cs="宋体"/>
          <w:color w:val="auto"/>
          <w:sz w:val="21"/>
          <w:szCs w:val="21"/>
          <w:highlight w:val="none"/>
        </w:rPr>
        <w:tab/>
      </w:r>
    </w:p>
    <w:p>
      <w:pPr>
        <w:pageBreakBefore w:val="0"/>
        <w:widowControl w:val="0"/>
        <w:tabs>
          <w:tab w:val="left" w:pos="2190"/>
        </w:tabs>
        <w:kinsoku/>
        <w:wordWrap/>
        <w:overflowPunct/>
        <w:topLinePunct w:val="0"/>
        <w:bidi w:val="0"/>
        <w:snapToGrid/>
        <w:spacing w:line="380" w:lineRule="exact"/>
        <w:ind w:firstLine="435"/>
        <w:textAlignment w:val="auto"/>
        <w:rPr>
          <w:rFonts w:hint="eastAsia" w:ascii="宋体" w:hAnsi="宋体" w:eastAsia="宋体" w:cs="宋体"/>
          <w:color w:val="auto"/>
          <w:sz w:val="21"/>
          <w:szCs w:val="21"/>
          <w:highlight w:val="none"/>
          <w:u w:val="none"/>
        </w:rPr>
      </w:pPr>
      <w:bookmarkStart w:id="62" w:name="_Toc26087"/>
      <w:bookmarkStart w:id="63" w:name="_Toc8195"/>
      <w:r>
        <w:rPr>
          <w:rFonts w:hint="eastAsia" w:ascii="宋体" w:hAnsi="宋体" w:eastAsia="宋体" w:cs="宋体"/>
          <w:color w:val="auto"/>
          <w:sz w:val="21"/>
          <w:szCs w:val="21"/>
          <w:highlight w:val="none"/>
          <w:u w:val="none"/>
        </w:rPr>
        <w:t>6.1供应对政府采购活动事项有疑问的，可以向采购人提出询问。</w:t>
      </w:r>
    </w:p>
    <w:p>
      <w:pPr>
        <w:pageBreakBefore w:val="0"/>
        <w:widowControl w:val="0"/>
        <w:tabs>
          <w:tab w:val="left" w:pos="2190"/>
        </w:tabs>
        <w:kinsoku/>
        <w:wordWrap/>
        <w:overflowPunct/>
        <w:topLinePunct w:val="0"/>
        <w:bidi w:val="0"/>
        <w:snapToGrid/>
        <w:spacing w:line="380" w:lineRule="exact"/>
        <w:ind w:firstLine="435"/>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6.2供应商认为磋商文件使自己的合法权益受到损害的，应当在竞争性磋商公告期限届满之日起七个工作日内，以书面形</w:t>
      </w:r>
      <w:r>
        <w:rPr>
          <w:rFonts w:hint="eastAsia" w:ascii="宋体" w:hAnsi="宋体" w:eastAsia="宋体" w:cs="宋体"/>
          <w:color w:val="auto"/>
          <w:sz w:val="21"/>
          <w:szCs w:val="21"/>
          <w:highlight w:val="none"/>
          <w:u w:val="none"/>
        </w:rPr>
        <w:t>式向</w:t>
      </w:r>
      <w:r>
        <w:rPr>
          <w:rFonts w:hint="eastAsia" w:ascii="宋体" w:hAnsi="宋体" w:cs="宋体"/>
          <w:color w:val="auto"/>
          <w:sz w:val="21"/>
          <w:szCs w:val="21"/>
          <w:highlight w:val="none"/>
          <w:u w:val="none"/>
          <w:lang w:eastAsia="zh-CN"/>
        </w:rPr>
        <w:t>本工程</w:t>
      </w:r>
      <w:r>
        <w:rPr>
          <w:rFonts w:hint="eastAsia" w:ascii="宋体" w:hAnsi="宋体" w:eastAsia="宋体" w:cs="宋体"/>
          <w:color w:val="auto"/>
          <w:sz w:val="21"/>
          <w:szCs w:val="21"/>
          <w:highlight w:val="none"/>
          <w:u w:val="none"/>
        </w:rPr>
        <w:t>采购代理机构提出质疑。供应商认为采购过程或成交结果使自己的合法权益受到损害的，应当在各采购程序环节结束之日起七个工作日内，以书面形式向</w:t>
      </w:r>
      <w:r>
        <w:rPr>
          <w:rFonts w:hint="eastAsia" w:ascii="宋体" w:hAnsi="宋体" w:cs="宋体"/>
          <w:color w:val="auto"/>
          <w:sz w:val="21"/>
          <w:szCs w:val="21"/>
          <w:highlight w:val="none"/>
          <w:u w:val="none"/>
          <w:lang w:eastAsia="zh-CN"/>
        </w:rPr>
        <w:t>本工程</w:t>
      </w:r>
      <w:r>
        <w:rPr>
          <w:rFonts w:hint="eastAsia" w:ascii="宋体" w:hAnsi="宋体" w:eastAsia="宋体" w:cs="宋体"/>
          <w:color w:val="auto"/>
          <w:sz w:val="21"/>
          <w:szCs w:val="21"/>
          <w:highlight w:val="none"/>
          <w:u w:val="none"/>
        </w:rPr>
        <w:t>采购代理机构提出质</w:t>
      </w:r>
      <w:r>
        <w:rPr>
          <w:rFonts w:hint="eastAsia" w:ascii="宋体" w:hAnsi="宋体" w:eastAsia="宋体" w:cs="宋体"/>
          <w:color w:val="auto"/>
          <w:sz w:val="21"/>
          <w:szCs w:val="21"/>
          <w:highlight w:val="none"/>
          <w:u w:val="none"/>
        </w:rPr>
        <w:t>疑。采购代理机构应认真做好质疑处理工作。</w:t>
      </w:r>
    </w:p>
    <w:p>
      <w:pPr>
        <w:pageBreakBefore w:val="0"/>
        <w:widowControl w:val="0"/>
        <w:tabs>
          <w:tab w:val="left" w:pos="2190"/>
        </w:tabs>
        <w:kinsoku/>
        <w:wordWrap/>
        <w:overflowPunct/>
        <w:topLinePunct w:val="0"/>
        <w:bidi w:val="0"/>
        <w:snapToGrid/>
        <w:spacing w:line="380" w:lineRule="exact"/>
        <w:ind w:firstLine="435"/>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6.3供应商对采购代理机构的质疑答复不满意或者采购代理机构未在规定的时间内作出答复的，可以在答复期满后十五个工作日内向本级财政部门投诉。</w:t>
      </w:r>
    </w:p>
    <w:p>
      <w:pPr>
        <w:pageBreakBefore w:val="0"/>
        <w:widowControl w:val="0"/>
        <w:tabs>
          <w:tab w:val="left" w:pos="2190"/>
        </w:tabs>
        <w:kinsoku/>
        <w:wordWrap/>
        <w:overflowPunct/>
        <w:topLinePunct w:val="0"/>
        <w:bidi w:val="0"/>
        <w:snapToGrid/>
        <w:spacing w:line="380" w:lineRule="exact"/>
        <w:ind w:firstLine="435"/>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pPr>
        <w:pageBreakBefore w:val="0"/>
        <w:widowControl w:val="0"/>
        <w:tabs>
          <w:tab w:val="left" w:pos="2190"/>
        </w:tabs>
        <w:kinsoku/>
        <w:wordWrap/>
        <w:overflowPunct/>
        <w:topLinePunct w:val="0"/>
        <w:bidi w:val="0"/>
        <w:snapToGrid/>
        <w:spacing w:line="380" w:lineRule="exact"/>
        <w:ind w:firstLine="435"/>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6.5质疑联系</w:t>
      </w:r>
      <w:bookmarkEnd w:id="62"/>
      <w:bookmarkEnd w:id="63"/>
      <w:r>
        <w:rPr>
          <w:rFonts w:hint="eastAsia" w:ascii="宋体" w:hAnsi="宋体" w:eastAsia="宋体" w:cs="宋体"/>
          <w:color w:val="auto"/>
          <w:sz w:val="21"/>
          <w:szCs w:val="21"/>
          <w:highlight w:val="none"/>
          <w:u w:val="none"/>
          <w:lang w:eastAsia="zh-CN"/>
        </w:rPr>
        <w:t>方式，详见磋商公告。</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64" w:name="_Toc5032"/>
      <w:bookmarkStart w:id="65" w:name="_Toc6998"/>
      <w:r>
        <w:rPr>
          <w:rFonts w:hint="eastAsia" w:ascii="宋体" w:hAnsi="宋体" w:eastAsia="宋体" w:cs="宋体"/>
          <w:color w:val="auto"/>
          <w:sz w:val="21"/>
          <w:szCs w:val="21"/>
          <w:highlight w:val="none"/>
        </w:rPr>
        <w:t>7. 转包与分包</w:t>
      </w:r>
      <w:bookmarkEnd w:id="64"/>
      <w:bookmarkEnd w:id="65"/>
    </w:p>
    <w:p>
      <w:pPr>
        <w:pageBreakBefore w:val="0"/>
        <w:widowControl w:val="0"/>
        <w:tabs>
          <w:tab w:val="left" w:pos="2190"/>
        </w:tabs>
        <w:kinsoku/>
        <w:wordWrap/>
        <w:overflowPunct/>
        <w:topLinePunct w:val="0"/>
        <w:bidi w:val="0"/>
        <w:snapToGrid/>
        <w:spacing w:line="380" w:lineRule="exact"/>
        <w:ind w:firstLine="420" w:firstLineChars="200"/>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7</w:t>
      </w:r>
      <w:r>
        <w:rPr>
          <w:rFonts w:hint="eastAsia" w:ascii="宋体" w:hAnsi="宋体" w:eastAsia="宋体" w:cs="宋体"/>
          <w:color w:val="auto"/>
          <w:kern w:val="0"/>
          <w:sz w:val="21"/>
          <w:szCs w:val="21"/>
          <w:highlight w:val="none"/>
          <w:shd w:val="clear" w:color="auto" w:fill="FFFFFF"/>
        </w:rPr>
        <w:t>.1 本项目不允许转包。</w:t>
      </w:r>
    </w:p>
    <w:p>
      <w:pPr>
        <w:pageBreakBefore w:val="0"/>
        <w:widowControl w:val="0"/>
        <w:tabs>
          <w:tab w:val="left" w:pos="2190"/>
        </w:tabs>
        <w:kinsoku/>
        <w:wordWrap/>
        <w:overflowPunct/>
        <w:topLinePunct w:val="0"/>
        <w:bidi w:val="0"/>
        <w:snapToGrid/>
        <w:spacing w:line="380" w:lineRule="exact"/>
        <w:ind w:firstLine="420" w:firstLineChars="200"/>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7.2 本项目不可以分包。</w:t>
      </w:r>
    </w:p>
    <w:p>
      <w:pPr>
        <w:pageBreakBefore w:val="0"/>
        <w:widowControl w:val="0"/>
        <w:tabs>
          <w:tab w:val="left" w:pos="2190"/>
        </w:tabs>
        <w:kinsoku/>
        <w:wordWrap/>
        <w:overflowPunct/>
        <w:topLinePunct w:val="0"/>
        <w:bidi w:val="0"/>
        <w:snapToGrid/>
        <w:spacing w:line="380" w:lineRule="exact"/>
        <w:ind w:firstLine="420" w:firstLineChars="200"/>
        <w:textAlignment w:val="auto"/>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7.3本项目不允许挂靠。</w:t>
      </w:r>
    </w:p>
    <w:p>
      <w:pPr>
        <w:pageBreakBefore w:val="0"/>
        <w:widowControl w:val="0"/>
        <w:tabs>
          <w:tab w:val="left" w:pos="2190"/>
        </w:tabs>
        <w:kinsoku/>
        <w:wordWrap/>
        <w:overflowPunct/>
        <w:topLinePunct w:val="0"/>
        <w:bidi w:val="0"/>
        <w:snapToGrid/>
        <w:spacing w:line="380" w:lineRule="exact"/>
        <w:ind w:firstLine="420" w:firstLineChars="200"/>
        <w:textAlignment w:val="auto"/>
        <w:rPr>
          <w:rFonts w:hint="default"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7.4如发现有以上行为，采购人有权终止合同，所有损失由成交供应商承担。</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66" w:name="_Toc3368"/>
      <w:bookmarkStart w:id="67" w:name="_Toc15097"/>
      <w:r>
        <w:rPr>
          <w:rFonts w:hint="eastAsia" w:ascii="宋体" w:hAnsi="宋体" w:eastAsia="宋体" w:cs="宋体"/>
          <w:color w:val="auto"/>
          <w:sz w:val="21"/>
          <w:szCs w:val="21"/>
          <w:highlight w:val="none"/>
        </w:rPr>
        <w:t>8. 特别说明</w:t>
      </w:r>
      <w:bookmarkEnd w:id="66"/>
      <w:bookmarkEnd w:id="67"/>
    </w:p>
    <w:p>
      <w:pPr>
        <w:pageBreakBefore w:val="0"/>
        <w:widowControl w:val="0"/>
        <w:tabs>
          <w:tab w:val="left" w:pos="1635"/>
        </w:tabs>
        <w:kinsoku/>
        <w:wordWrap/>
        <w:overflowPunct/>
        <w:topLinePunct w:val="0"/>
        <w:bidi w:val="0"/>
        <w:snapToGrid/>
        <w:spacing w:line="3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8.1关联供应商不得参加同一合同项下政府采购活动，否则响应文件将被视为无效：</w:t>
      </w:r>
    </w:p>
    <w:p>
      <w:pPr>
        <w:pageBreakBefore w:val="0"/>
        <w:widowControl w:val="0"/>
        <w:tabs>
          <w:tab w:val="left" w:pos="1635"/>
        </w:tabs>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（1）单位负责人为同一人或者存在直接控股、管理关系的，不得参加同一合同项下的政府采购活动。</w:t>
      </w:r>
    </w:p>
    <w:p>
      <w:pPr>
        <w:pageBreakBefore w:val="0"/>
        <w:widowControl w:val="0"/>
        <w:tabs>
          <w:tab w:val="left" w:pos="1635"/>
        </w:tabs>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）为本采购项目提供整体设计、规范编制或者项目管理、监理、检测等服务的供应商，不得再参加本次采购活动。</w:t>
      </w:r>
    </w:p>
    <w:p>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auto"/>
          <w:sz w:val="24"/>
          <w:szCs w:val="24"/>
          <w:highlight w:val="none"/>
        </w:rPr>
      </w:pPr>
      <w:bookmarkStart w:id="68" w:name="_Toc29496"/>
      <w:bookmarkStart w:id="69" w:name="_Toc22498"/>
    </w:p>
    <w:p>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auto"/>
          <w:sz w:val="24"/>
          <w:szCs w:val="24"/>
          <w:highlight w:val="none"/>
        </w:rPr>
      </w:pPr>
      <w:bookmarkStart w:id="70" w:name="_Toc3581"/>
      <w:r>
        <w:rPr>
          <w:rFonts w:hint="eastAsia" w:ascii="宋体" w:hAnsi="宋体" w:eastAsia="宋体" w:cs="宋体"/>
          <w:b/>
          <w:bCs w:val="0"/>
          <w:color w:val="auto"/>
          <w:sz w:val="24"/>
          <w:szCs w:val="24"/>
          <w:highlight w:val="none"/>
        </w:rPr>
        <w:t>二、磋商文件</w:t>
      </w:r>
      <w:bookmarkEnd w:id="68"/>
      <w:bookmarkEnd w:id="69"/>
      <w:bookmarkEnd w:id="70"/>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lang w:val="pt-BR"/>
        </w:rPr>
      </w:pPr>
      <w:bookmarkStart w:id="71" w:name="_Toc20057"/>
      <w:bookmarkStart w:id="72" w:name="_Toc18964"/>
      <w:r>
        <w:rPr>
          <w:rFonts w:hint="eastAsia" w:ascii="宋体" w:hAnsi="宋体" w:eastAsia="宋体" w:cs="宋体"/>
          <w:color w:val="auto"/>
          <w:sz w:val="21"/>
          <w:szCs w:val="21"/>
          <w:highlight w:val="none"/>
          <w:lang w:val="pt-BR"/>
        </w:rPr>
        <w:t xml:space="preserve">9. </w:t>
      </w:r>
      <w:r>
        <w:rPr>
          <w:rFonts w:hint="eastAsia" w:ascii="宋体" w:hAnsi="宋体" w:eastAsia="宋体" w:cs="宋体"/>
          <w:color w:val="auto"/>
          <w:sz w:val="21"/>
          <w:szCs w:val="21"/>
          <w:highlight w:val="none"/>
        </w:rPr>
        <w:t>磋商文件的构成</w:t>
      </w:r>
      <w:bookmarkEnd w:id="71"/>
      <w:bookmarkEnd w:id="72"/>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（1）竞争性磋商公告；</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（2）供应商须知；</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（3）工程量清单</w:t>
      </w:r>
      <w:r>
        <w:rPr>
          <w:rFonts w:hint="eastAsia" w:ascii="宋体" w:hAnsi="宋体" w:eastAsia="宋体" w:cs="宋体"/>
          <w:bCs/>
          <w:color w:val="auto"/>
          <w:sz w:val="21"/>
          <w:szCs w:val="21"/>
          <w:highlight w:val="none"/>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（4）评审办法；</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（5）采购合同（合同主要条款及格式）；</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（6）响应文件（格式）</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bookmarkStart w:id="73" w:name="_Toc9103"/>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图纸。</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74" w:name="_Toc17932"/>
      <w:r>
        <w:rPr>
          <w:rFonts w:hint="eastAsia" w:ascii="宋体" w:hAnsi="宋体" w:eastAsia="宋体" w:cs="宋体"/>
          <w:color w:val="auto"/>
          <w:sz w:val="21"/>
          <w:szCs w:val="21"/>
          <w:highlight w:val="none"/>
        </w:rPr>
        <w:t>10. 磋商文件的澄清与修改</w:t>
      </w:r>
      <w:bookmarkEnd w:id="73"/>
      <w:bookmarkEnd w:id="74"/>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auto"/>
          <w:sz w:val="21"/>
          <w:szCs w:val="21"/>
          <w:highlight w:val="none"/>
        </w:rPr>
        <w:t>五日</w:t>
      </w:r>
      <w:r>
        <w:rPr>
          <w:rFonts w:hint="eastAsia" w:ascii="宋体" w:hAnsi="宋体" w:eastAsia="宋体" w:cs="宋体"/>
          <w:color w:val="auto"/>
          <w:sz w:val="21"/>
          <w:szCs w:val="21"/>
          <w:highlight w:val="none"/>
        </w:rPr>
        <w:t>前在本项目竞争性磋商公告发布的同一媒体上发布更正公告，不足</w:t>
      </w:r>
      <w:r>
        <w:rPr>
          <w:rFonts w:hint="eastAsia" w:ascii="宋体" w:hAnsi="宋体" w:eastAsia="宋体" w:cs="宋体"/>
          <w:b/>
          <w:bCs/>
          <w:color w:val="auto"/>
          <w:sz w:val="21"/>
          <w:szCs w:val="21"/>
          <w:highlight w:val="none"/>
        </w:rPr>
        <w:t>五日</w:t>
      </w:r>
      <w:r>
        <w:rPr>
          <w:rFonts w:hint="eastAsia" w:ascii="宋体" w:hAnsi="宋体" w:eastAsia="宋体" w:cs="宋体"/>
          <w:color w:val="auto"/>
          <w:sz w:val="21"/>
          <w:szCs w:val="21"/>
          <w:highlight w:val="none"/>
        </w:rPr>
        <w:t>的，应当顺延首次响应文件递交截止时间。</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10.2</w:t>
      </w:r>
      <w:r>
        <w:rPr>
          <w:rFonts w:hint="eastAsia" w:ascii="宋体" w:hAnsi="宋体" w:eastAsia="宋体" w:cs="宋体"/>
          <w:b/>
          <w:bCs/>
          <w:color w:val="auto"/>
          <w:sz w:val="21"/>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10.3澄清或者修改的内容为磋商文件的组成部分。当澄清或者修改通知就同一内容的表述不一致时，以最后发出的文件为准。</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磋商文件的澄清或者修改都应该通过本项目采购代理机构以法定形式发布，采购人非通过本机构，不得擅自澄清或者修改磋商文件。</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10.5采购单位可以视采购具体情况，延长响应文件截止时间和磋商时间，在本项目竞争性磋商公告发布的同一媒体上发布变更公告。</w:t>
      </w:r>
    </w:p>
    <w:p>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auto"/>
          <w:sz w:val="24"/>
          <w:szCs w:val="24"/>
          <w:highlight w:val="none"/>
        </w:rPr>
      </w:pPr>
      <w:bookmarkStart w:id="75" w:name="_Toc17820"/>
      <w:bookmarkStart w:id="76" w:name="_Toc20830"/>
    </w:p>
    <w:p>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auto"/>
          <w:sz w:val="24"/>
          <w:szCs w:val="24"/>
          <w:highlight w:val="none"/>
        </w:rPr>
      </w:pPr>
      <w:bookmarkStart w:id="77" w:name="_Toc9864"/>
      <w:r>
        <w:rPr>
          <w:rFonts w:hint="eastAsia" w:ascii="宋体" w:hAnsi="宋体" w:eastAsia="宋体" w:cs="宋体"/>
          <w:b/>
          <w:bCs w:val="0"/>
          <w:color w:val="auto"/>
          <w:sz w:val="24"/>
          <w:szCs w:val="24"/>
          <w:highlight w:val="none"/>
        </w:rPr>
        <w:t>三、竞争性磋商响应文件的编制</w:t>
      </w:r>
      <w:bookmarkEnd w:id="75"/>
      <w:bookmarkEnd w:id="76"/>
      <w:bookmarkEnd w:id="77"/>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b/>
          <w:color w:val="auto"/>
          <w:sz w:val="21"/>
          <w:szCs w:val="21"/>
          <w:highlight w:val="none"/>
          <w:lang w:val="en-US" w:eastAsia="zh-CN"/>
        </w:rPr>
      </w:pPr>
      <w:bookmarkStart w:id="78" w:name="_Toc19747"/>
      <w:r>
        <w:rPr>
          <w:rFonts w:hint="eastAsia" w:ascii="宋体" w:hAnsi="宋体" w:eastAsia="宋体" w:cs="宋体"/>
          <w:b/>
          <w:color w:val="auto"/>
          <w:sz w:val="21"/>
          <w:szCs w:val="21"/>
          <w:highlight w:val="none"/>
          <w:lang w:val="en-US" w:eastAsia="zh-CN"/>
        </w:rPr>
        <w:t>11.竞争性磋商响应文件编制基本要求</w:t>
      </w:r>
      <w:bookmarkEnd w:id="78"/>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11.1 本项目实行电子响应，供应商应准备电子磋商响应文件：</w:t>
      </w:r>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11.1.1 电子响应文件按广西政府采购云平台要求及本磋商文件要求制作、加密并递交。具体操作流程可参考《政府采购项目电子交易管理操作指南-供应商》，指南可在广西政府采购网（访问地址http://zfcg.gxzf.gov.cn/）—办事服务—下载专区下载。 </w:t>
      </w:r>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竞争性磋商响应文件（以下简称响应文件）的组成及要求</w:t>
      </w:r>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rPr>
        <w:t>响应文件组成【格式见第六章“响应文件（格式）”】</w:t>
      </w:r>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资格性响应证明材料：</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（1）供应商相应的法定代表人、负责人、自然人身份证正反两面复印件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rPr>
        <w:t>（委托代理时必须提供）</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除供应商为以下三种情形的：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①如供应商为截标时间前60日以内成立的公司，可以提供供应商与委托代理人签订的劳动合同复印件代替社保证明复印件；</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②如供应商为事业单位，可以提供事业单位机构编制管理证复印件或事业单位机构为其发放工资的工资条复印件代替社保证明复印件；</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③如委托代理人为免缴纳社保人员，提供免缴纳社保的证明材料复印件及供应商与委托代理人签订的劳动合同复印件代替社保证明复印件。</w:t>
      </w:r>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（委托代理时必须提供）</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（3）供应商参加政府采购活动前3年内在经营活动中没有重大违法记录及有关信用信息的书面声明</w:t>
      </w:r>
      <w:r>
        <w:rPr>
          <w:rFonts w:hint="eastAsia" w:ascii="宋体" w:hAnsi="宋体" w:eastAsia="宋体" w:cs="宋体"/>
          <w:b/>
          <w:bCs/>
          <w:color w:val="auto"/>
          <w:sz w:val="21"/>
          <w:szCs w:val="21"/>
          <w:highlight w:val="none"/>
        </w:rPr>
        <w:t>（必须提供）；</w:t>
      </w:r>
    </w:p>
    <w:p>
      <w:pPr>
        <w:pageBreakBefore w:val="0"/>
        <w:widowControl w:val="0"/>
        <w:numPr>
          <w:ilvl w:val="0"/>
          <w:numId w:val="0"/>
        </w:numPr>
        <w:kinsoku/>
        <w:wordWrap/>
        <w:overflowPunct/>
        <w:topLinePunct w:val="0"/>
        <w:bidi w:val="0"/>
        <w:snapToGrid/>
        <w:spacing w:line="38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供应商的法人或者其他组织营业执照等证明文件复印件</w:t>
      </w:r>
      <w:r>
        <w:rPr>
          <w:rFonts w:hint="eastAsia" w:ascii="宋体" w:hAnsi="宋体" w:eastAsia="宋体" w:cs="宋体"/>
          <w:b/>
          <w:bCs/>
          <w:color w:val="auto"/>
          <w:sz w:val="21"/>
          <w:szCs w:val="21"/>
          <w:highlight w:val="none"/>
        </w:rPr>
        <w:t>（必须提供，自然人除外）；</w:t>
      </w:r>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ageBreakBefore w:val="0"/>
        <w:widowControl w:val="0"/>
        <w:numPr>
          <w:ilvl w:val="0"/>
          <w:numId w:val="0"/>
        </w:numPr>
        <w:kinsoku/>
        <w:wordWrap/>
        <w:overflowPunct/>
        <w:topLinePunct w:val="0"/>
        <w:bidi w:val="0"/>
        <w:snapToGrid/>
        <w:spacing w:line="380" w:lineRule="exact"/>
        <w:ind w:left="0" w:leftChars="0" w:firstLine="420" w:firstLine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lang w:val="en-US" w:eastAsia="zh-CN"/>
        </w:rPr>
        <w:t>供应商有效的资质证书复印件（必须提供）；</w:t>
      </w:r>
    </w:p>
    <w:p>
      <w:pPr>
        <w:pageBreakBefore w:val="0"/>
        <w:widowControl w:val="0"/>
        <w:numPr>
          <w:ilvl w:val="0"/>
          <w:numId w:val="0"/>
        </w:numPr>
        <w:kinsoku/>
        <w:wordWrap/>
        <w:overflowPunct/>
        <w:topLinePunct w:val="0"/>
        <w:bidi w:val="0"/>
        <w:snapToGrid/>
        <w:spacing w:line="380" w:lineRule="exact"/>
        <w:ind w:left="0" w:leftChars="0" w:firstLine="420" w:firstLine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（6）</w:t>
      </w:r>
      <w:r>
        <w:rPr>
          <w:rFonts w:hint="eastAsia" w:ascii="宋体" w:hAnsi="宋体" w:eastAsia="宋体" w:cs="宋体"/>
          <w:bCs/>
          <w:color w:val="auto"/>
          <w:kern w:val="0"/>
          <w:sz w:val="21"/>
          <w:szCs w:val="21"/>
          <w:highlight w:val="none"/>
          <w:lang w:val="en-US" w:eastAsia="zh-CN"/>
        </w:rPr>
        <w:t>中小微企业声明函【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eastAsia="宋体" w:cs="宋体"/>
          <w:b/>
          <w:bCs w:val="0"/>
          <w:color w:val="auto"/>
          <w:kern w:val="0"/>
          <w:sz w:val="21"/>
          <w:szCs w:val="21"/>
          <w:highlight w:val="none"/>
          <w:lang w:val="en-US" w:eastAsia="zh-CN"/>
        </w:rPr>
        <w:t>（必须提供）；</w:t>
      </w:r>
    </w:p>
    <w:p>
      <w:pPr>
        <w:pageBreakBefore w:val="0"/>
        <w:widowControl w:val="0"/>
        <w:numPr>
          <w:ilvl w:val="0"/>
          <w:numId w:val="0"/>
        </w:numPr>
        <w:kinsoku/>
        <w:wordWrap/>
        <w:overflowPunct/>
        <w:topLinePunct w:val="0"/>
        <w:bidi w:val="0"/>
        <w:snapToGrid/>
        <w:spacing w:line="380" w:lineRule="exact"/>
        <w:ind w:left="0" w:leftChars="0" w:firstLine="420" w:firstLine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（7）</w:t>
      </w:r>
      <w:r>
        <w:rPr>
          <w:rFonts w:hint="eastAsia" w:ascii="宋体" w:hAnsi="宋体" w:eastAsia="宋体" w:cs="宋体"/>
          <w:bCs/>
          <w:color w:val="auto"/>
          <w:kern w:val="0"/>
          <w:sz w:val="21"/>
          <w:szCs w:val="21"/>
          <w:highlight w:val="none"/>
          <w:lang w:val="en-US" w:eastAsia="zh-CN"/>
        </w:rPr>
        <w:t>供应商有效的安全生产许可证书复印件</w:t>
      </w:r>
      <w:r>
        <w:rPr>
          <w:rFonts w:hint="eastAsia" w:ascii="宋体" w:hAnsi="宋体" w:eastAsia="宋体" w:cs="宋体"/>
          <w:b/>
          <w:bCs w:val="0"/>
          <w:color w:val="auto"/>
          <w:kern w:val="0"/>
          <w:sz w:val="21"/>
          <w:szCs w:val="21"/>
          <w:highlight w:val="none"/>
          <w:lang w:val="en-US" w:eastAsia="zh-CN"/>
        </w:rPr>
        <w:t>（必须提供）；</w:t>
      </w:r>
    </w:p>
    <w:p>
      <w:pPr>
        <w:pageBreakBefore w:val="0"/>
        <w:widowControl w:val="0"/>
        <w:numPr>
          <w:ilvl w:val="0"/>
          <w:numId w:val="0"/>
        </w:numPr>
        <w:kinsoku/>
        <w:wordWrap/>
        <w:overflowPunct/>
        <w:topLinePunct w:val="0"/>
        <w:bidi w:val="0"/>
        <w:snapToGrid/>
        <w:spacing w:line="38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bCs/>
          <w:color w:val="auto"/>
          <w:kern w:val="0"/>
          <w:sz w:val="21"/>
          <w:szCs w:val="21"/>
          <w:highlight w:val="none"/>
          <w:lang w:eastAsia="zh-CN"/>
        </w:rPr>
        <w:t>供应商</w:t>
      </w:r>
      <w:r>
        <w:rPr>
          <w:rFonts w:hint="eastAsia" w:ascii="宋体" w:hAnsi="宋体" w:eastAsia="宋体" w:cs="宋体"/>
          <w:bCs/>
          <w:color w:val="auto"/>
          <w:kern w:val="0"/>
          <w:sz w:val="21"/>
          <w:szCs w:val="21"/>
          <w:highlight w:val="none"/>
          <w:lang w:eastAsia="zh-CN"/>
        </w:rPr>
        <w:t>2022</w:t>
      </w:r>
      <w:r>
        <w:rPr>
          <w:rFonts w:hint="eastAsia" w:ascii="宋体" w:hAnsi="宋体" w:eastAsia="宋体" w:cs="宋体"/>
          <w:bCs/>
          <w:color w:val="auto"/>
          <w:kern w:val="0"/>
          <w:sz w:val="21"/>
          <w:szCs w:val="21"/>
          <w:highlight w:val="none"/>
          <w:lang w:eastAsia="zh-CN"/>
        </w:rPr>
        <w:t>年度财务状况报告复印件</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可</w:t>
      </w:r>
      <w:r>
        <w:rPr>
          <w:rFonts w:hint="eastAsia" w:ascii="宋体" w:hAnsi="宋体" w:eastAsia="宋体" w:cs="宋体"/>
          <w:b/>
          <w:bCs/>
          <w:color w:val="auto"/>
          <w:sz w:val="21"/>
          <w:szCs w:val="21"/>
          <w:highlight w:val="none"/>
          <w:lang w:eastAsia="zh-CN"/>
        </w:rPr>
        <w:t>以是磋商供应商</w:t>
      </w:r>
      <w:r>
        <w:rPr>
          <w:rFonts w:hint="eastAsia" w:ascii="宋体" w:hAnsi="宋体" w:eastAsia="宋体" w:cs="宋体"/>
          <w:b/>
          <w:bCs/>
          <w:color w:val="auto"/>
          <w:sz w:val="21"/>
          <w:szCs w:val="21"/>
          <w:highlight w:val="none"/>
        </w:rPr>
        <w:t>自行编制也可</w:t>
      </w:r>
      <w:r>
        <w:rPr>
          <w:rFonts w:hint="eastAsia" w:ascii="宋体" w:hAnsi="宋体" w:eastAsia="宋体" w:cs="宋体"/>
          <w:b/>
          <w:bCs/>
          <w:color w:val="auto"/>
          <w:sz w:val="21"/>
          <w:szCs w:val="21"/>
          <w:highlight w:val="none"/>
          <w:lang w:eastAsia="zh-CN"/>
        </w:rPr>
        <w:t>是</w:t>
      </w:r>
      <w:r>
        <w:rPr>
          <w:rFonts w:hint="eastAsia" w:ascii="宋体" w:hAnsi="宋体" w:eastAsia="宋体" w:cs="宋体"/>
          <w:b/>
          <w:bCs/>
          <w:color w:val="auto"/>
          <w:sz w:val="21"/>
          <w:szCs w:val="21"/>
          <w:highlight w:val="none"/>
        </w:rPr>
        <w:t>通过</w:t>
      </w:r>
      <w:r>
        <w:rPr>
          <w:rFonts w:hint="eastAsia" w:ascii="宋体" w:hAnsi="宋体" w:eastAsia="宋体" w:cs="宋体"/>
          <w:b/>
          <w:bCs/>
          <w:color w:val="auto"/>
          <w:sz w:val="21"/>
          <w:szCs w:val="21"/>
          <w:highlight w:val="none"/>
          <w:lang w:eastAsia="zh-CN"/>
        </w:rPr>
        <w:t>第三方</w:t>
      </w:r>
      <w:r>
        <w:rPr>
          <w:rFonts w:hint="eastAsia" w:ascii="宋体" w:hAnsi="宋体" w:eastAsia="宋体" w:cs="宋体"/>
          <w:b/>
          <w:bCs/>
          <w:color w:val="auto"/>
          <w:sz w:val="21"/>
          <w:szCs w:val="21"/>
          <w:highlight w:val="none"/>
        </w:rPr>
        <w:t>审计公司编制，如为自行编制至少须提供现金流量表、负债表及利润表</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color w:val="auto"/>
          <w:sz w:val="21"/>
          <w:szCs w:val="21"/>
          <w:highlight w:val="none"/>
        </w:rPr>
        <w:t>；</w:t>
      </w:r>
    </w:p>
    <w:p>
      <w:pPr>
        <w:pageBreakBefore w:val="0"/>
        <w:widowControl w:val="0"/>
        <w:numPr>
          <w:ilvl w:val="0"/>
          <w:numId w:val="0"/>
        </w:numPr>
        <w:kinsoku/>
        <w:wordWrap/>
        <w:overflowPunct/>
        <w:topLinePunct w:val="0"/>
        <w:bidi w:val="0"/>
        <w:snapToGrid/>
        <w:spacing w:line="38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供应商近半年内任意一个月或任一季度依法缴纳税收的证明材料</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增值税</w:t>
      </w:r>
      <w:r>
        <w:rPr>
          <w:rFonts w:hint="eastAsia" w:ascii="宋体" w:hAnsi="宋体" w:eastAsia="宋体" w:cs="宋体"/>
          <w:color w:val="auto"/>
          <w:sz w:val="21"/>
          <w:szCs w:val="21"/>
          <w:highlight w:val="none"/>
          <w:lang w:eastAsia="zh-CN"/>
        </w:rPr>
        <w:t>缴纳</w:t>
      </w:r>
      <w:r>
        <w:rPr>
          <w:rFonts w:hint="eastAsia" w:ascii="宋体" w:hAnsi="宋体" w:eastAsia="宋体" w:cs="宋体"/>
          <w:color w:val="auto"/>
          <w:sz w:val="21"/>
          <w:szCs w:val="21"/>
          <w:highlight w:val="none"/>
        </w:rPr>
        <w:t>发票(税收完税证明)或企业所得税完税证明或税务部门出具的免税证明</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复印件</w:t>
      </w:r>
      <w:r>
        <w:rPr>
          <w:rFonts w:hint="eastAsia" w:ascii="宋体" w:hAnsi="宋体" w:eastAsia="宋体" w:cs="宋体"/>
          <w:b/>
          <w:bCs/>
          <w:color w:val="auto"/>
          <w:sz w:val="21"/>
          <w:szCs w:val="21"/>
          <w:highlight w:val="none"/>
        </w:rPr>
        <w:t>（必须提供）。</w:t>
      </w:r>
    </w:p>
    <w:p>
      <w:pPr>
        <w:pStyle w:val="17"/>
        <w:pageBreakBefore w:val="0"/>
        <w:widowControl w:val="0"/>
        <w:kinsoku/>
        <w:wordWrap/>
        <w:overflowPunct/>
        <w:topLinePunct w:val="0"/>
        <w:bidi w:val="0"/>
        <w:snapToGrid/>
        <w:spacing w:line="380" w:lineRule="exact"/>
        <w:ind w:left="0" w:leftChars="0" w:firstLine="422"/>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符合性响应证明材料：</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bookmarkStart w:id="79" w:name="_Toc16312"/>
      <w:bookmarkStart w:id="80" w:name="_Toc28932"/>
      <w:bookmarkStart w:id="81" w:name="_Toc2809"/>
      <w:r>
        <w:rPr>
          <w:rFonts w:hint="eastAsia" w:ascii="宋体" w:hAnsi="宋体" w:eastAsia="宋体" w:cs="宋体"/>
          <w:color w:val="auto"/>
          <w:sz w:val="21"/>
          <w:szCs w:val="21"/>
          <w:highlight w:val="none"/>
          <w:lang w:val="en-US"/>
        </w:rPr>
        <w:t>（1）响应函（格式见附件）</w:t>
      </w:r>
      <w:r>
        <w:rPr>
          <w:rFonts w:hint="eastAsia" w:ascii="宋体" w:hAnsi="宋体" w:eastAsia="宋体" w:cs="宋体"/>
          <w:b/>
          <w:bCs/>
          <w:color w:val="auto"/>
          <w:sz w:val="21"/>
          <w:szCs w:val="21"/>
          <w:highlight w:val="none"/>
          <w:lang w:val="en-US"/>
        </w:rPr>
        <w:t>（必须提供）</w:t>
      </w:r>
      <w:bookmarkEnd w:id="79"/>
      <w:r>
        <w:rPr>
          <w:rFonts w:hint="eastAsia" w:ascii="宋体" w:hAnsi="宋体" w:eastAsia="宋体" w:cs="宋体"/>
          <w:color w:val="auto"/>
          <w:sz w:val="21"/>
          <w:szCs w:val="21"/>
          <w:highlight w:val="none"/>
          <w:lang w:val="en-US" w:eastAsia="zh-CN"/>
        </w:rPr>
        <w:t>；</w:t>
      </w:r>
      <w:bookmarkEnd w:id="80"/>
      <w:bookmarkEnd w:id="81"/>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bCs/>
          <w:color w:val="auto"/>
          <w:kern w:val="0"/>
          <w:sz w:val="21"/>
          <w:szCs w:val="21"/>
          <w:highlight w:val="none"/>
        </w:rPr>
        <w:t>工程报价汇总表</w:t>
      </w:r>
      <w:r>
        <w:rPr>
          <w:rFonts w:hint="eastAsia" w:ascii="宋体" w:hAnsi="宋体" w:eastAsia="宋体" w:cs="宋体"/>
          <w:color w:val="auto"/>
          <w:sz w:val="21"/>
          <w:szCs w:val="21"/>
          <w:highlight w:val="none"/>
        </w:rPr>
        <w:t>（格式见附件）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已标价工程量清单</w:t>
      </w:r>
      <w:r>
        <w:rPr>
          <w:rFonts w:hint="eastAsia" w:ascii="宋体" w:hAnsi="宋体" w:eastAsia="宋体" w:cs="宋体"/>
          <w:b/>
          <w:bCs w:val="0"/>
          <w:color w:val="auto"/>
          <w:kern w:val="0"/>
          <w:sz w:val="21"/>
          <w:szCs w:val="21"/>
          <w:highlight w:val="none"/>
        </w:rPr>
        <w:t>（必须提供）</w:t>
      </w:r>
      <w:r>
        <w:rPr>
          <w:rFonts w:hint="eastAsia" w:ascii="宋体" w:hAnsi="宋体" w:eastAsia="宋体" w:cs="宋体"/>
          <w:b w:val="0"/>
          <w:bCs/>
          <w:color w:val="auto"/>
          <w:kern w:val="0"/>
          <w:sz w:val="21"/>
          <w:szCs w:val="21"/>
          <w:highlight w:val="none"/>
          <w:lang w:eastAsia="zh-CN"/>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）拟投入本工程主要施工管理人员表</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pPr>
        <w:pageBreakBefore w:val="0"/>
        <w:widowControl w:val="0"/>
        <w:numPr>
          <w:ilvl w:val="0"/>
          <w:numId w:val="0"/>
        </w:numPr>
        <w:kinsoku/>
        <w:wordWrap/>
        <w:overflowPunct/>
        <w:topLinePunct w:val="0"/>
        <w:bidi w:val="0"/>
        <w:snapToGrid/>
        <w:spacing w:line="38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并一起提供由县级以上（含县级）社会养老保险经办机构出具的供应商为项目实施人员交纳的响应文件递交截止时间前半年内任意连续三个月社保证明复印件</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除供应商为以下三种情形的：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①如供应商为截标时间前60日以内成立的公司，可以提供供应商与委托代理人签订的劳动合同复印件代替社保证明复印件；</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②如供应商为事业单位，可以提供事业单位机构编制管理证复印件或事业单位机构为其发放工资的工资条复印件代替社保证明复印件；</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③如委托代理人为免缴纳社保人员，提供免缴纳社保的证明材料复印件及供应商与委托代理人签订的劳动合同复印件代替社保证明复印件。</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bCs/>
          <w:color w:val="auto"/>
          <w:kern w:val="0"/>
          <w:sz w:val="21"/>
          <w:szCs w:val="21"/>
          <w:highlight w:val="none"/>
        </w:rPr>
        <w:t>担任本工程的项目经理简历表（应附相关证书、身份证复印件）</w:t>
      </w:r>
      <w:r>
        <w:rPr>
          <w:rFonts w:hint="eastAsia" w:ascii="宋体" w:hAnsi="宋体" w:eastAsia="宋体" w:cs="宋体"/>
          <w:b/>
          <w:bCs/>
          <w:color w:val="auto"/>
          <w:sz w:val="21"/>
          <w:szCs w:val="21"/>
          <w:highlight w:val="none"/>
        </w:rPr>
        <w:t>（必须提供）</w:t>
      </w:r>
      <w:r>
        <w:rPr>
          <w:rFonts w:hint="eastAsia" w:ascii="宋体" w:hAnsi="宋体" w:eastAsia="宋体" w:cs="宋体"/>
          <w:b w:val="0"/>
          <w:bCs w:val="0"/>
          <w:color w:val="auto"/>
          <w:sz w:val="21"/>
          <w:szCs w:val="21"/>
          <w:highlight w:val="none"/>
        </w:rPr>
        <w:t>；</w:t>
      </w:r>
    </w:p>
    <w:p>
      <w:pPr>
        <w:pageBreakBefore w:val="0"/>
        <w:widowControl w:val="0"/>
        <w:numPr>
          <w:ilvl w:val="0"/>
          <w:numId w:val="0"/>
        </w:numPr>
        <w:kinsoku/>
        <w:wordWrap/>
        <w:overflowPunct/>
        <w:topLinePunct w:val="0"/>
        <w:bidi w:val="0"/>
        <w:snapToGrid/>
        <w:spacing w:line="380" w:lineRule="exact"/>
        <w:ind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Cs/>
          <w:color w:val="auto"/>
          <w:kern w:val="0"/>
          <w:sz w:val="21"/>
          <w:szCs w:val="21"/>
          <w:highlight w:val="none"/>
        </w:rPr>
        <w:t>施工组织设计方案</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eastAsia="zh-CN"/>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bCs/>
          <w:color w:val="auto"/>
          <w:kern w:val="0"/>
          <w:sz w:val="21"/>
          <w:szCs w:val="21"/>
          <w:highlight w:val="none"/>
          <w:lang w:val="en-US" w:eastAsia="zh-CN"/>
        </w:rPr>
        <w:t>工</w:t>
      </w:r>
      <w:r>
        <w:rPr>
          <w:rFonts w:hint="eastAsia" w:ascii="宋体" w:hAnsi="宋体" w:eastAsia="宋体" w:cs="宋体"/>
          <w:bCs/>
          <w:color w:val="auto"/>
          <w:kern w:val="0"/>
          <w:sz w:val="21"/>
          <w:szCs w:val="21"/>
          <w:highlight w:val="none"/>
        </w:rPr>
        <w:t>程完工服务承诺书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bCs/>
          <w:color w:val="auto"/>
          <w:kern w:val="0"/>
          <w:sz w:val="21"/>
          <w:szCs w:val="21"/>
          <w:highlight w:val="none"/>
        </w:rPr>
        <w:t>农民工工资保障金交纳与使用承诺书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rPr>
        <w:t>）城乡清洁工程渣土清运承诺书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bCs/>
          <w:color w:val="auto"/>
          <w:kern w:val="0"/>
          <w:sz w:val="21"/>
          <w:szCs w:val="21"/>
          <w:highlight w:val="none"/>
          <w:lang w:eastAsia="zh-CN"/>
        </w:rPr>
        <w:t>。</w:t>
      </w:r>
    </w:p>
    <w:p>
      <w:pPr>
        <w:pStyle w:val="17"/>
        <w:pageBreakBefore w:val="0"/>
        <w:widowControl w:val="0"/>
        <w:kinsoku/>
        <w:wordWrap/>
        <w:overflowPunct/>
        <w:topLinePunct w:val="0"/>
        <w:bidi w:val="0"/>
        <w:snapToGrid/>
        <w:spacing w:line="380" w:lineRule="exact"/>
        <w:ind w:left="0" w:leftChars="0" w:firstLine="42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1.3</w:t>
      </w:r>
      <w:r>
        <w:rPr>
          <w:rFonts w:hint="eastAsia" w:ascii="宋体" w:hAnsi="宋体" w:eastAsia="宋体" w:cs="宋体"/>
          <w:b/>
          <w:bCs/>
          <w:color w:val="auto"/>
          <w:sz w:val="21"/>
          <w:szCs w:val="21"/>
          <w:highlight w:val="none"/>
        </w:rPr>
        <w:t>其他有效证明材料</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2020年</w:t>
      </w:r>
      <w:r>
        <w:rPr>
          <w:rFonts w:hint="eastAsia" w:ascii="宋体" w:hAnsi="宋体" w:eastAsia="宋体" w:cs="宋体"/>
          <w:color w:val="auto"/>
          <w:sz w:val="21"/>
          <w:szCs w:val="21"/>
          <w:highlight w:val="none"/>
          <w:lang w:eastAsia="zh-CN"/>
        </w:rPr>
        <w:t>1月1日以来具有与本工程同类似项目</w:t>
      </w:r>
      <w:r>
        <w:rPr>
          <w:rFonts w:hint="eastAsia" w:ascii="宋体" w:hAnsi="宋体" w:eastAsia="宋体" w:cs="宋体"/>
          <w:color w:val="auto"/>
          <w:sz w:val="21"/>
          <w:szCs w:val="21"/>
          <w:highlight w:val="none"/>
        </w:rPr>
        <w:t>业绩相关证明材料（无不良记录，以中标、成交通知书或签订的合同为准，并能清晰反映</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的名称、</w:t>
      </w:r>
      <w:r>
        <w:rPr>
          <w:rFonts w:hint="eastAsia" w:ascii="宋体" w:hAnsi="宋体" w:eastAsia="宋体" w:cs="宋体"/>
          <w:color w:val="auto"/>
          <w:sz w:val="21"/>
          <w:szCs w:val="21"/>
          <w:highlight w:val="none"/>
          <w:lang w:eastAsia="zh-CN"/>
        </w:rPr>
        <w:t>采购内容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eastAsia="zh-CN"/>
        </w:rPr>
        <w:t>、采购时间</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（如有，请提供）；</w:t>
      </w:r>
    </w:p>
    <w:p>
      <w:pPr>
        <w:pageBreakBefore w:val="0"/>
        <w:widowControl w:val="0"/>
        <w:numPr>
          <w:ilvl w:val="0"/>
          <w:numId w:val="0"/>
        </w:numPr>
        <w:tabs>
          <w:tab w:val="left" w:pos="1305"/>
        </w:tabs>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如提供服务的供应商属于监狱企业的，应当提供由省级以上监狱管理局、戒毒管理局等（含新疆生产建设兵团）出具的属于监狱企业的证明文件</w:t>
      </w:r>
      <w:r>
        <w:rPr>
          <w:rFonts w:hint="eastAsia" w:ascii="宋体" w:hAnsi="宋体" w:eastAsia="宋体" w:cs="宋体"/>
          <w:color w:val="auto"/>
          <w:kern w:val="0"/>
          <w:sz w:val="21"/>
          <w:szCs w:val="21"/>
          <w:highlight w:val="none"/>
        </w:rPr>
        <w:t>（</w:t>
      </w:r>
      <w:r>
        <w:rPr>
          <w:rFonts w:hint="eastAsia" w:ascii="宋体" w:hAnsi="宋体" w:eastAsia="宋体" w:cs="宋体"/>
          <w:b/>
          <w:color w:val="auto"/>
          <w:sz w:val="21"/>
          <w:szCs w:val="21"/>
          <w:highlight w:val="none"/>
        </w:rPr>
        <w:t>如有，请提供</w:t>
      </w:r>
      <w:r>
        <w:rPr>
          <w:rFonts w:hint="eastAsia" w:ascii="宋体" w:hAnsi="宋体" w:eastAsia="宋体" w:cs="宋体"/>
          <w:color w:val="auto"/>
          <w:kern w:val="0"/>
          <w:sz w:val="21"/>
          <w:szCs w:val="21"/>
          <w:highlight w:val="none"/>
        </w:rPr>
        <w:t>）；</w:t>
      </w:r>
    </w:p>
    <w:p>
      <w:pPr>
        <w:pStyle w:val="24"/>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rPr>
        <w:t>符合条件的残疾人福利性单位在参加政府采购活动时，应当提供《残疾人福利性单位声明函》，并对声明的真实性负责</w:t>
      </w:r>
      <w:r>
        <w:rPr>
          <w:rFonts w:hint="eastAsia" w:ascii="宋体" w:hAnsi="宋体" w:eastAsia="宋体" w:cs="宋体"/>
          <w:color w:val="auto"/>
          <w:kern w:val="2"/>
          <w:sz w:val="21"/>
          <w:szCs w:val="21"/>
          <w:highlight w:val="none"/>
          <w:lang w:val="en-US" w:eastAsia="zh-CN" w:bidi="ar-SA"/>
        </w:rPr>
        <w:t>（见附件）</w:t>
      </w:r>
      <w:r>
        <w:rPr>
          <w:rFonts w:hint="eastAsia" w:ascii="宋体" w:hAnsi="宋体" w:eastAsia="宋体" w:cs="宋体"/>
          <w:b/>
          <w:bCs/>
          <w:color w:val="auto"/>
          <w:kern w:val="2"/>
          <w:sz w:val="21"/>
          <w:szCs w:val="21"/>
          <w:highlight w:val="none"/>
          <w:lang w:val="en-US" w:eastAsia="zh-CN" w:bidi="ar-SA"/>
        </w:rPr>
        <w:t>（如有，请提供）；</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）供应商可结合本项目的评审办法视自身情况自行提交其它相关证明材料。</w:t>
      </w:r>
    </w:p>
    <w:p>
      <w:pPr>
        <w:pageBreakBefore w:val="0"/>
        <w:widowControl w:val="0"/>
        <w:kinsoku/>
        <w:wordWrap/>
        <w:overflowPunct/>
        <w:topLinePunct w:val="0"/>
        <w:bidi w:val="0"/>
        <w:snapToGrid/>
        <w:spacing w:line="380" w:lineRule="exact"/>
        <w:ind w:firstLine="42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供应商提供的以上相关证明材料属于“必须提供”的文件应加盖</w:t>
      </w:r>
      <w:r>
        <w:rPr>
          <w:rFonts w:hint="eastAsia" w:ascii="宋体" w:hAnsi="宋体" w:eastAsia="宋体" w:cs="宋体"/>
          <w:b/>
          <w:bCs/>
          <w:color w:val="auto"/>
          <w:sz w:val="21"/>
          <w:szCs w:val="21"/>
          <w:highlight w:val="none"/>
          <w:lang w:eastAsia="zh-CN"/>
        </w:rPr>
        <w:t>磋商供应商</w:t>
      </w:r>
      <w:r>
        <w:rPr>
          <w:rFonts w:hint="eastAsia" w:ascii="宋体" w:hAnsi="宋体" w:eastAsia="宋体" w:cs="宋体"/>
          <w:b/>
          <w:bCs/>
          <w:color w:val="auto"/>
          <w:sz w:val="21"/>
          <w:szCs w:val="21"/>
          <w:highlight w:val="none"/>
        </w:rPr>
        <w:t>CA签章，否则</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无效。</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供应商应按竞争性磋商文件第六章“响应文件（格式）”编制响应文件。</w:t>
      </w:r>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w:t>
      </w:r>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（1）响</w:t>
      </w:r>
      <w:r>
        <w:rPr>
          <w:rFonts w:hint="eastAsia" w:ascii="宋体" w:hAnsi="宋体" w:eastAsia="宋体" w:cs="宋体"/>
          <w:b/>
          <w:color w:val="auto"/>
          <w:sz w:val="21"/>
          <w:szCs w:val="21"/>
          <w:highlight w:val="none"/>
        </w:rPr>
        <w:t>应文件（电子响应文件），其中电子响应文件中所须加盖公章部分均采用CA签章。若磋商文件中有专门标注的某关联点，并要求供应商在电子</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系统中作出磋商响应的，如供应商未对关联点进行响应或者在响应文件其它内容进行描述，造成电子评审不能查询的责任由供应商自行承担。</w:t>
      </w:r>
    </w:p>
    <w:p>
      <w:pPr>
        <w:pageBreakBefore w:val="0"/>
        <w:widowControl w:val="0"/>
        <w:numPr>
          <w:ilvl w:val="0"/>
          <w:numId w:val="3"/>
        </w:numPr>
        <w:kinsoku/>
        <w:wordWrap/>
        <w:overflowPunct/>
        <w:topLinePunct w:val="0"/>
        <w:bidi w:val="0"/>
        <w:snapToGrid/>
        <w:spacing w:line="38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eastAsia="zh-CN"/>
        </w:rPr>
        <w:t>磋商文件</w:t>
      </w:r>
      <w:r>
        <w:rPr>
          <w:rFonts w:hint="eastAsia" w:ascii="宋体" w:hAnsi="宋体" w:eastAsia="宋体" w:cs="宋体"/>
          <w:b/>
          <w:bCs/>
          <w:color w:val="auto"/>
          <w:sz w:val="21"/>
          <w:szCs w:val="21"/>
          <w:highlight w:val="none"/>
        </w:rPr>
        <w:t>要求法定代表人（负责人）或委托代理人签字的部分必须签字然后扫描或者拍照做成 pdf 格式上传</w:t>
      </w:r>
      <w:r>
        <w:rPr>
          <w:rFonts w:hint="eastAsia" w:ascii="宋体" w:hAnsi="宋体" w:eastAsia="宋体" w:cs="宋体"/>
          <w:b/>
          <w:bCs/>
          <w:color w:val="auto"/>
          <w:sz w:val="21"/>
          <w:szCs w:val="21"/>
          <w:highlight w:val="none"/>
          <w:lang w:eastAsia="zh-CN"/>
        </w:rPr>
        <w:t>（或加盖个人</w:t>
      </w:r>
      <w:r>
        <w:rPr>
          <w:rFonts w:hint="eastAsia" w:ascii="宋体" w:hAnsi="宋体" w:eastAsia="宋体" w:cs="宋体"/>
          <w:b/>
          <w:bCs/>
          <w:color w:val="auto"/>
          <w:sz w:val="21"/>
          <w:szCs w:val="21"/>
          <w:highlight w:val="none"/>
          <w:lang w:val="en-US" w:eastAsia="zh-CN"/>
        </w:rPr>
        <w:t>CA签章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，无签字的视为</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无效。</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82" w:name="_Toc13660"/>
      <w:bookmarkStart w:id="83" w:name="_Toc2180"/>
      <w:r>
        <w:rPr>
          <w:rFonts w:hint="eastAsia" w:ascii="宋体" w:hAnsi="宋体" w:eastAsia="宋体" w:cs="宋体"/>
          <w:color w:val="auto"/>
          <w:sz w:val="21"/>
          <w:szCs w:val="21"/>
          <w:highlight w:val="none"/>
        </w:rPr>
        <w:t>12. 响应文件的语言及计量</w:t>
      </w:r>
      <w:bookmarkEnd w:id="82"/>
      <w:bookmarkEnd w:id="83"/>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磋商计量单位，磋商文件已有明确规定的，使用磋商文件规定的计量单位；磋商文件没有规定的，应采用中华人民共和国法定计量单位（货币单位：人民币元），否则视同未响应。</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84" w:name="_Toc3058"/>
      <w:bookmarkStart w:id="85" w:name="_Toc10838"/>
      <w:r>
        <w:rPr>
          <w:rFonts w:hint="eastAsia" w:ascii="宋体" w:hAnsi="宋体" w:eastAsia="宋体" w:cs="宋体"/>
          <w:color w:val="auto"/>
          <w:sz w:val="21"/>
          <w:szCs w:val="21"/>
          <w:highlight w:val="none"/>
        </w:rPr>
        <w:t>13. 磋商报价及采购预算金额</w:t>
      </w:r>
      <w:bookmarkEnd w:id="84"/>
      <w:bookmarkEnd w:id="85"/>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13.1、磋商总报价应按采购文件中相关附表格式填写。</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13.2、磋商供应商必须就磋商文件所有内容作完整唯一报价，否则，其磋商将被拒绝。响应文件只允许有一个报价，有选择的或有条件的报价将不予接受。</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13.3、磋商总报价包括本项目采购范围内一切服务价款的总和；供应商综合考虑在报价中。</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13.4、响应文件中磋商总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按上述勘误修正原则及方法调整或修正响应文件的磋商报价，供应商需签字确认。</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13.5、未书面退出磋商的供应商在规定时间内提交最后报价，其最后报价超出采购预算金额导致已通过评审的响应文件无效的，按供应商在提交响应文件截止时间后撤回响应文件处理。</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13.6、最后磋商总报价超出本项目采购预算总金额的将被视为无效磋商。</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13.7、磋商总报价应包括本次采购范围内提供的服务、技术费、人工费、保险、税金、培训、版权费等全部费用，磋商供应商综合考虑在报价中。</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13.8、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13.9、磋商供应商应按磋商文件提供的工程量清单计算工程项目的综合单价和合价。清单中的每一项均需计算填写综合单价和合价，磋商供应商没有填写综合单价和合价的项目将不予支付，并认为此项费用已包括在清单的其他综合单价和合价中。磋商供应商在清单中多报的细目或单价、合价或总额价发包人将不予支持。</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13.10、磋商供应商应对磋商文件中清单所列的各项内容和要求作实质性响应。</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13.11、磋商供应商应采用综合单价对工程量清单进行磋商，不得采用总价让利或以百分比让利等形式进行磋商。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供应商应在规定时间内在政采云系统上提交最后报价，超出</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设定的最后报价时限或其最后报价超出采购预算导致已通过评审的响应文件无效的，按供应商在提交响应文件截止时间后撤回响应文件处理。</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86" w:name="_Toc26881"/>
      <w:bookmarkStart w:id="87" w:name="_Toc30554"/>
      <w:r>
        <w:rPr>
          <w:rFonts w:hint="eastAsia" w:ascii="宋体" w:hAnsi="宋体" w:eastAsia="宋体" w:cs="宋体"/>
          <w:color w:val="auto"/>
          <w:sz w:val="21"/>
          <w:szCs w:val="21"/>
          <w:highlight w:val="none"/>
        </w:rPr>
        <w:t>14. 响应文件有效期</w:t>
      </w:r>
      <w:bookmarkEnd w:id="86"/>
      <w:bookmarkEnd w:id="87"/>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响应文件有效期：响应文件递交截止时间之日起90天，有效期不足的响应文件将被拒绝。</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出现特殊情况下，需要延长响应文件有效期的，采购代理机构</w:t>
      </w:r>
      <w:r>
        <w:rPr>
          <w:rFonts w:hint="eastAsia" w:ascii="宋体" w:hAnsi="宋体" w:eastAsia="宋体" w:cs="宋体"/>
          <w:color w:val="auto"/>
          <w:sz w:val="21"/>
          <w:szCs w:val="21"/>
          <w:highlight w:val="none"/>
          <w:lang w:eastAsia="zh-CN"/>
        </w:rPr>
        <w:t>书面</w:t>
      </w:r>
      <w:r>
        <w:rPr>
          <w:rFonts w:hint="eastAsia" w:ascii="宋体" w:hAnsi="宋体" w:eastAsia="宋体" w:cs="宋体"/>
          <w:color w:val="auto"/>
          <w:sz w:val="21"/>
          <w:szCs w:val="21"/>
          <w:highlight w:val="none"/>
        </w:rPr>
        <w:t>通知供应商延长响应文件有效期。供应商同意延长的，但不能修改响应文件。供应商拒绝延长的，其响应文件无效。</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88" w:name="_Toc20698"/>
      <w:bookmarkStart w:id="89" w:name="_Toc22602"/>
      <w:r>
        <w:rPr>
          <w:rFonts w:hint="eastAsia" w:ascii="宋体" w:hAnsi="宋体" w:eastAsia="宋体" w:cs="宋体"/>
          <w:color w:val="auto"/>
          <w:sz w:val="21"/>
          <w:szCs w:val="21"/>
          <w:highlight w:val="none"/>
        </w:rPr>
        <w:t>15. 保证金</w:t>
      </w:r>
      <w:bookmarkEnd w:id="88"/>
      <w:bookmarkEnd w:id="89"/>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本项目无需缴纳磋商保证金。</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lang w:eastAsia="zh-CN"/>
        </w:rPr>
      </w:pPr>
      <w:bookmarkStart w:id="90" w:name="_Toc387"/>
      <w:bookmarkStart w:id="91" w:name="_Toc30118"/>
      <w:r>
        <w:rPr>
          <w:rFonts w:hint="eastAsia" w:ascii="宋体" w:hAnsi="宋体" w:eastAsia="宋体" w:cs="宋体"/>
          <w:color w:val="auto"/>
          <w:sz w:val="21"/>
          <w:szCs w:val="21"/>
          <w:highlight w:val="none"/>
        </w:rPr>
        <w:t>16. 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w:t>
      </w:r>
      <w:bookmarkEnd w:id="90"/>
      <w:r>
        <w:rPr>
          <w:rFonts w:hint="eastAsia" w:ascii="宋体" w:hAnsi="宋体" w:eastAsia="宋体" w:cs="宋体"/>
          <w:color w:val="auto"/>
          <w:sz w:val="21"/>
          <w:szCs w:val="21"/>
          <w:highlight w:val="none"/>
          <w:lang w:eastAsia="zh-CN"/>
        </w:rPr>
        <w:t>制作</w:t>
      </w:r>
      <w:bookmarkEnd w:id="91"/>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16.1供应商制作电子响应文件前，应登陆“广西政府采购云平台”进行“申请获取采购文件”操作，否则，有可能导致无法在线编制响应文件并参与磋商，其不利后果由供应商自行承担。</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16.2供应商下载或获取竞争性磋商文件后，登录“广西政府采购云平台新版客户端”，按照本磋商文件规定的响应文件格式、顺序以及“广西政府采购云平台”平台的要求，通过“广西政府采购云平台新版客户端”编制电子响应文件。</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16.3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16.4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16.5 磋商响应文件不得涂改，若有修改错漏处，须法定代表人（负责人）或授权委托人签字（或个人CA签章）。磋商响应文件因字迹潦草或表达不清所引起的后果由供应商负责。</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16.6磋商前准备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16.6.1本项目实行在线磋商，采用电子磋商响应文件。若供应商参与磋商，自行承担磋商一切费用。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16.6.2各供应商应在截标前应确保成为广西政府采购云平台正式注册入库供应商，并完成 CA 数字证书申领和绑定。因未注册入库、未办理 CA 数字证书等原因造成无法磋商或磋商失败等后果由供应商自行承担。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16.6.3供应商将广西政府采购云平台新版客户端下载、安装完成后，可通过账号密码或 CA 登录客户端进行响应文件制作。客户端请至网站下载专区查看，如有问题可拨打广西政府采购云平台客户服务热线400-881-7190或95763进行咨询。</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92" w:name="_Toc9738"/>
      <w:r>
        <w:rPr>
          <w:rFonts w:hint="eastAsia" w:ascii="宋体" w:hAnsi="宋体" w:eastAsia="宋体" w:cs="宋体"/>
          <w:color w:val="auto"/>
          <w:sz w:val="21"/>
          <w:szCs w:val="21"/>
          <w:highlight w:val="none"/>
        </w:rPr>
        <w:t>17. 响应文件的修改和撤回</w:t>
      </w:r>
      <w:bookmarkEnd w:id="92"/>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17.1 </w:t>
      </w:r>
      <w:r>
        <w:rPr>
          <w:rFonts w:hint="eastAsia" w:ascii="宋体" w:hAnsi="宋体" w:eastAsia="宋体" w:cs="宋体"/>
          <w:color w:val="auto"/>
          <w:sz w:val="21"/>
          <w:szCs w:val="21"/>
          <w:highlight w:val="none"/>
          <w:lang w:eastAsia="zh-CN"/>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在响应文件递交截止时间后的响应文件有效期内，供应商不得撤回其响应文件。</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lang w:eastAsia="zh-CN"/>
        </w:rPr>
      </w:pPr>
      <w:bookmarkStart w:id="93" w:name="_Toc30156"/>
      <w:bookmarkStart w:id="94" w:name="_Toc24690"/>
      <w:r>
        <w:rPr>
          <w:rFonts w:hint="eastAsia" w:ascii="宋体" w:hAnsi="宋体" w:eastAsia="宋体" w:cs="宋体"/>
          <w:color w:val="auto"/>
          <w:sz w:val="21"/>
          <w:szCs w:val="21"/>
          <w:highlight w:val="none"/>
        </w:rPr>
        <w:t>18. 响应文件的递交</w:t>
      </w:r>
      <w:r>
        <w:rPr>
          <w:rFonts w:hint="eastAsia" w:ascii="宋体" w:hAnsi="宋体" w:eastAsia="宋体" w:cs="宋体"/>
          <w:color w:val="auto"/>
          <w:sz w:val="21"/>
          <w:szCs w:val="21"/>
          <w:highlight w:val="none"/>
          <w:lang w:eastAsia="zh-CN"/>
        </w:rPr>
        <w:t>和解密</w:t>
      </w:r>
      <w:bookmarkEnd w:id="93"/>
      <w:bookmarkEnd w:id="94"/>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18.1响应文件递交截止时间</w:t>
      </w:r>
      <w:r>
        <w:rPr>
          <w:rFonts w:hint="eastAsia" w:ascii="宋体" w:hAnsi="宋体" w:eastAsia="宋体" w:cs="宋体"/>
          <w:color w:val="auto"/>
          <w:sz w:val="21"/>
          <w:szCs w:val="21"/>
          <w:highlight w:val="none"/>
          <w:lang w:eastAsia="zh-CN"/>
        </w:rPr>
        <w:t>：于</w:t>
      </w:r>
      <w:r>
        <w:rPr>
          <w:rFonts w:hint="eastAsia" w:ascii="宋体" w:hAnsi="宋体" w:eastAsia="宋体" w:cs="宋体"/>
          <w:color w:val="auto"/>
          <w:sz w:val="21"/>
          <w:szCs w:val="21"/>
          <w:highlight w:val="none"/>
          <w:u w:val="single"/>
          <w:lang w:eastAsia="zh-CN"/>
        </w:rPr>
        <w:t>20</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lang w:eastAsia="zh-CN"/>
        </w:rPr>
        <w:t>年</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25</w:t>
      </w:r>
      <w:r>
        <w:rPr>
          <w:rFonts w:hint="eastAsia" w:ascii="宋体" w:hAnsi="宋体" w:eastAsia="宋体" w:cs="宋体"/>
          <w:color w:val="auto"/>
          <w:sz w:val="21"/>
          <w:szCs w:val="21"/>
          <w:highlight w:val="none"/>
          <w:u w:val="single"/>
          <w:lang w:eastAsia="zh-CN"/>
        </w:rPr>
        <w:t>日</w:t>
      </w:r>
      <w:r>
        <w:rPr>
          <w:rFonts w:hint="eastAsia" w:ascii="宋体" w:hAnsi="宋体" w:eastAsia="宋体" w:cs="宋体"/>
          <w:color w:val="auto"/>
          <w:sz w:val="21"/>
          <w:szCs w:val="21"/>
          <w:highlight w:val="none"/>
          <w:u w:val="single"/>
          <w:lang w:val="en-US" w:eastAsia="zh-CN"/>
        </w:rPr>
        <w:t>9时30分</w:t>
      </w:r>
      <w:r>
        <w:rPr>
          <w:rFonts w:hint="eastAsia" w:ascii="宋体" w:hAnsi="宋体" w:eastAsia="宋体" w:cs="宋体"/>
          <w:color w:val="auto"/>
          <w:sz w:val="21"/>
          <w:szCs w:val="21"/>
          <w:highlight w:val="none"/>
          <w:u w:val="none"/>
          <w:lang w:val="en-US" w:eastAsia="zh-CN"/>
        </w:rPr>
        <w:t>之前将电子磋商响应文件上传到广西政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400-881-7190或95763</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18.2磋商响应文件解密时间：截标时</w:t>
      </w:r>
      <w:r>
        <w:rPr>
          <w:rFonts w:hint="eastAsia" w:ascii="宋体" w:hAnsi="宋体" w:eastAsia="宋体" w:cs="宋体"/>
          <w:color w:val="auto"/>
          <w:sz w:val="21"/>
          <w:szCs w:val="21"/>
          <w:highlight w:val="none"/>
          <w:u w:val="none"/>
        </w:rPr>
        <w:t>间后30分钟内</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eastAsia="zh-CN"/>
        </w:rPr>
        <w:t>20</w:t>
      </w:r>
      <w:r>
        <w:rPr>
          <w:rFonts w:hint="eastAsia" w:ascii="宋体" w:hAnsi="宋体" w:eastAsia="宋体" w:cs="宋体"/>
          <w:color w:val="auto"/>
          <w:sz w:val="21"/>
          <w:szCs w:val="21"/>
          <w:highlight w:val="none"/>
          <w:u w:val="none"/>
          <w:lang w:val="en-US" w:eastAsia="zh-CN"/>
        </w:rPr>
        <w:t>24</w:t>
      </w:r>
      <w:r>
        <w:rPr>
          <w:rFonts w:hint="eastAsia" w:ascii="宋体" w:hAnsi="宋体" w:eastAsia="宋体" w:cs="宋体"/>
          <w:color w:val="auto"/>
          <w:sz w:val="21"/>
          <w:szCs w:val="21"/>
          <w:highlight w:val="none"/>
          <w:u w:val="none"/>
          <w:lang w:eastAsia="zh-CN"/>
        </w:rPr>
        <w:t>年</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月</w:t>
      </w:r>
      <w:r>
        <w:rPr>
          <w:rFonts w:hint="eastAsia" w:ascii="宋体" w:hAnsi="宋体" w:cs="宋体"/>
          <w:color w:val="auto"/>
          <w:sz w:val="21"/>
          <w:szCs w:val="21"/>
          <w:highlight w:val="none"/>
          <w:u w:val="none"/>
          <w:lang w:val="en-US" w:eastAsia="zh-CN"/>
        </w:rPr>
        <w:t>25</w:t>
      </w:r>
      <w:r>
        <w:rPr>
          <w:rFonts w:hint="eastAsia" w:ascii="宋体" w:hAnsi="宋体" w:eastAsia="宋体" w:cs="宋体"/>
          <w:color w:val="auto"/>
          <w:sz w:val="21"/>
          <w:szCs w:val="21"/>
          <w:highlight w:val="none"/>
          <w:u w:val="none"/>
          <w:lang w:eastAsia="zh-CN"/>
        </w:rPr>
        <w:t>日</w:t>
      </w:r>
      <w:r>
        <w:rPr>
          <w:rFonts w:hint="eastAsia" w:ascii="宋体" w:hAnsi="宋体" w:eastAsia="宋体" w:cs="宋体"/>
          <w:color w:val="auto"/>
          <w:sz w:val="21"/>
          <w:szCs w:val="21"/>
          <w:highlight w:val="none"/>
          <w:u w:val="none"/>
          <w:lang w:val="en-US" w:eastAsia="zh-CN"/>
        </w:rPr>
        <w:t>9时30分</w:t>
      </w:r>
      <w:r>
        <w:rPr>
          <w:rFonts w:hint="eastAsia" w:ascii="宋体" w:hAnsi="宋体" w:eastAsia="宋体" w:cs="宋体"/>
          <w:color w:val="auto"/>
          <w:sz w:val="21"/>
          <w:szCs w:val="21"/>
          <w:highlight w:val="none"/>
          <w:u w:val="none"/>
        </w:rPr>
        <w:t>至</w:t>
      </w:r>
      <w:r>
        <w:rPr>
          <w:rFonts w:hint="eastAsia" w:ascii="宋体" w:hAnsi="宋体" w:eastAsia="宋体" w:cs="宋体"/>
          <w:color w:val="auto"/>
          <w:sz w:val="21"/>
          <w:szCs w:val="21"/>
          <w:highlight w:val="none"/>
          <w:u w:val="none"/>
          <w:lang w:val="en-US" w:eastAsia="zh-CN"/>
        </w:rPr>
        <w:t>10</w:t>
      </w:r>
      <w:r>
        <w:rPr>
          <w:rFonts w:hint="eastAsia" w:ascii="宋体" w:hAnsi="宋体" w:eastAsia="宋体" w:cs="宋体"/>
          <w:color w:val="auto"/>
          <w:sz w:val="21"/>
          <w:szCs w:val="21"/>
          <w:highlight w:val="none"/>
          <w:u w:val="none"/>
        </w:rPr>
        <w:t>时</w:t>
      </w:r>
      <w:r>
        <w:rPr>
          <w:rFonts w:hint="eastAsia" w:ascii="宋体" w:hAnsi="宋体" w:eastAsia="宋体" w:cs="宋体"/>
          <w:color w:val="auto"/>
          <w:sz w:val="21"/>
          <w:szCs w:val="21"/>
          <w:highlight w:val="none"/>
          <w:u w:val="none"/>
          <w:lang w:val="en-US" w:eastAsia="zh-CN"/>
        </w:rPr>
        <w:t>00</w:t>
      </w:r>
      <w:r>
        <w:rPr>
          <w:rFonts w:hint="eastAsia" w:ascii="宋体" w:hAnsi="宋体" w:eastAsia="宋体" w:cs="宋体"/>
          <w:color w:val="auto"/>
          <w:sz w:val="21"/>
          <w:szCs w:val="21"/>
          <w:highlight w:val="none"/>
          <w:u w:val="none"/>
        </w:rPr>
        <w:t>分)磋商供应商可以登录广西政府采购云平台，用“项目采购-开标评标”功能进行解密磋商文件。若磋商供应商在规定时间内无法解密或解密失败，可以以电子备份磋商响应文件作为依据</w:t>
      </w:r>
      <w:r>
        <w:rPr>
          <w:rFonts w:hint="eastAsia" w:ascii="宋体" w:hAnsi="宋体" w:eastAsia="宋体" w:cs="宋体"/>
          <w:b/>
          <w:bCs/>
          <w:color w:val="auto"/>
          <w:sz w:val="21"/>
          <w:szCs w:val="21"/>
          <w:highlight w:val="none"/>
          <w:u w:val="none"/>
        </w:rPr>
        <w:t>【在接到无法解密或解密失败的通知后，磋商供应商可根据自身实际情况按通知时要求的时间到桂林市公共资源交易</w:t>
      </w:r>
      <w:r>
        <w:rPr>
          <w:rFonts w:hint="eastAsia" w:ascii="宋体" w:hAnsi="宋体" w:eastAsia="宋体" w:cs="宋体"/>
          <w:b/>
          <w:bCs/>
          <w:color w:val="auto"/>
          <w:sz w:val="21"/>
          <w:szCs w:val="21"/>
          <w:highlight w:val="none"/>
          <w:u w:val="none"/>
        </w:rPr>
        <w:t>中心</w:t>
      </w:r>
      <w:r>
        <w:rPr>
          <w:rFonts w:hint="eastAsia" w:ascii="宋体" w:hAnsi="宋体" w:cs="宋体"/>
          <w:b/>
          <w:bCs/>
          <w:color w:val="auto"/>
          <w:sz w:val="21"/>
          <w:szCs w:val="21"/>
          <w:highlight w:val="none"/>
          <w:u w:val="single"/>
          <w:lang w:val="en-US" w:eastAsia="zh-CN"/>
        </w:rPr>
        <w:t xml:space="preserve"> 8 </w:t>
      </w:r>
      <w:r>
        <w:rPr>
          <w:rFonts w:hint="eastAsia" w:ascii="宋体" w:hAnsi="宋体" w:eastAsia="宋体" w:cs="宋体"/>
          <w:b/>
          <w:bCs/>
          <w:color w:val="auto"/>
          <w:sz w:val="21"/>
          <w:szCs w:val="21"/>
          <w:highlight w:val="none"/>
          <w:u w:val="none"/>
        </w:rPr>
        <w:t>号</w:t>
      </w:r>
      <w:r>
        <w:rPr>
          <w:rFonts w:hint="eastAsia" w:ascii="宋体" w:hAnsi="宋体" w:eastAsia="宋体" w:cs="宋体"/>
          <w:b/>
          <w:bCs/>
          <w:color w:val="auto"/>
          <w:sz w:val="21"/>
          <w:szCs w:val="21"/>
          <w:highlight w:val="none"/>
          <w:u w:val="none"/>
        </w:rPr>
        <w:t>开标室现场提交或以电子邮件的形式（以通知时所告知的电子邮箱地址为准）提交电子备份磋商响应文件】</w:t>
      </w:r>
      <w:r>
        <w:rPr>
          <w:rFonts w:hint="eastAsia" w:ascii="宋体" w:hAnsi="宋体" w:eastAsia="宋体" w:cs="宋体"/>
          <w:color w:val="auto"/>
          <w:sz w:val="21"/>
          <w:szCs w:val="21"/>
          <w:highlight w:val="none"/>
          <w:u w:val="none"/>
        </w:rPr>
        <w:t>，若磋商供应商在规定时间内无法解密或解密失败且未提供电子备份磋商响应文件的(包含提供的电子备份文件无效或无法解密的情况)，视为响应文件撤回</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除竞争性磋商文件另有规定外，供应商所递交的响应文件不予退还。</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18.4 </w:t>
      </w:r>
      <w:r>
        <w:rPr>
          <w:rFonts w:hint="eastAsia" w:ascii="宋体" w:hAnsi="宋体" w:eastAsia="宋体" w:cs="宋体"/>
          <w:color w:val="auto"/>
          <w:sz w:val="21"/>
          <w:szCs w:val="21"/>
          <w:highlight w:val="none"/>
        </w:rPr>
        <w:t>电子响应文件的相关说明</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（1）供应商进行电子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应安装客户端软件，并按照采购文件和电子交易平台的要求编制并加密</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响应文件。供应商未按规定加密的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响应文件，电子交易平台将拒收。供应商应当在</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截止时间前完成</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响应文件的传输递交，并可以补充、修改或者撤回</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响应文件。补充或者修改</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响应文件的，应当先行撤回原文件，补充、修改后重新传输递交。</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截止时间前未完成传输的，视为撤回</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截止时间后递交的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 xml:space="preserve">响应文件，电子交易平台将拒收。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（2）如有特殊情况，采购代理机构延长截止时间和开标时间，采购代理机构和供应商的权利和义务将受到新的截止时间和开标时间的约束。</w:t>
      </w:r>
    </w:p>
    <w:p>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auto"/>
          <w:sz w:val="24"/>
          <w:szCs w:val="24"/>
          <w:highlight w:val="none"/>
        </w:rPr>
      </w:pPr>
      <w:bookmarkStart w:id="95" w:name="_Toc2433"/>
      <w:bookmarkStart w:id="96" w:name="_Toc5807"/>
    </w:p>
    <w:p>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auto"/>
          <w:sz w:val="24"/>
          <w:szCs w:val="24"/>
          <w:highlight w:val="none"/>
        </w:rPr>
      </w:pPr>
      <w:bookmarkStart w:id="97" w:name="_Toc26768"/>
      <w:r>
        <w:rPr>
          <w:rFonts w:hint="eastAsia" w:ascii="宋体" w:hAnsi="宋体" w:eastAsia="宋体" w:cs="宋体"/>
          <w:b/>
          <w:bCs w:val="0"/>
          <w:color w:val="auto"/>
          <w:sz w:val="24"/>
          <w:szCs w:val="24"/>
          <w:highlight w:val="none"/>
        </w:rPr>
        <w:t>四、竞争性磋商（简称磋商）与评审</w:t>
      </w:r>
      <w:bookmarkEnd w:id="95"/>
      <w:bookmarkEnd w:id="96"/>
      <w:bookmarkEnd w:id="97"/>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98" w:name="_Toc31588"/>
      <w:bookmarkStart w:id="99" w:name="_Toc11021"/>
      <w:r>
        <w:rPr>
          <w:rFonts w:hint="eastAsia" w:ascii="宋体" w:hAnsi="宋体" w:eastAsia="宋体" w:cs="宋体"/>
          <w:color w:val="auto"/>
          <w:sz w:val="21"/>
          <w:szCs w:val="21"/>
          <w:highlight w:val="none"/>
        </w:rPr>
        <w:t>19. 磋商小组组成及磋商时间、地点、人员</w:t>
      </w:r>
      <w:bookmarkEnd w:id="98"/>
      <w:bookmarkEnd w:id="99"/>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磋商小组组成：</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人，其中采购人代表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1 </w:t>
      </w:r>
      <w:r>
        <w:rPr>
          <w:rFonts w:hint="eastAsia" w:ascii="宋体" w:hAnsi="宋体" w:eastAsia="宋体" w:cs="宋体"/>
          <w:color w:val="auto"/>
          <w:sz w:val="21"/>
          <w:szCs w:val="21"/>
          <w:highlight w:val="none"/>
        </w:rPr>
        <w:t>人，专家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2 </w:t>
      </w:r>
      <w:r>
        <w:rPr>
          <w:rFonts w:hint="eastAsia" w:ascii="宋体" w:hAnsi="宋体" w:eastAsia="宋体" w:cs="宋体"/>
          <w:color w:val="auto"/>
          <w:sz w:val="21"/>
          <w:szCs w:val="21"/>
          <w:highlight w:val="none"/>
        </w:rPr>
        <w:t>人。</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磋商时间、地点、人员：</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bookmarkStart w:id="100" w:name="_Toc9878"/>
      <w:r>
        <w:rPr>
          <w:rFonts w:hint="eastAsia" w:ascii="宋体" w:hAnsi="宋体" w:eastAsia="宋体" w:cs="宋体"/>
          <w:color w:val="auto"/>
          <w:sz w:val="21"/>
          <w:szCs w:val="21"/>
          <w:highlight w:val="none"/>
        </w:rPr>
        <w:t>19.2.1磋商时间：响应文件递交截止时间后。</w:t>
      </w:r>
      <w:bookmarkEnd w:id="100"/>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lang w:eastAsia="zh-CN"/>
        </w:rPr>
      </w:pPr>
      <w:bookmarkStart w:id="101" w:name="_Toc29268"/>
      <w:r>
        <w:rPr>
          <w:rFonts w:hint="eastAsia" w:ascii="宋体" w:hAnsi="宋体" w:eastAsia="宋体" w:cs="宋体"/>
          <w:color w:val="auto"/>
          <w:sz w:val="21"/>
          <w:szCs w:val="21"/>
          <w:highlight w:val="none"/>
          <w:lang w:val="en-US" w:eastAsia="zh-CN"/>
        </w:rPr>
        <w:t>19.2.2磋商地点</w:t>
      </w:r>
      <w:r>
        <w:rPr>
          <w:rFonts w:hint="eastAsia" w:ascii="宋体" w:hAnsi="宋体" w:eastAsia="宋体" w:cs="宋体"/>
          <w:color w:val="auto"/>
          <w:sz w:val="21"/>
          <w:szCs w:val="21"/>
          <w:highlight w:val="none"/>
        </w:rPr>
        <w:t>：</w:t>
      </w:r>
      <w:bookmarkEnd w:id="101"/>
      <w:r>
        <w:rPr>
          <w:rFonts w:hint="eastAsia" w:ascii="宋体" w:hAnsi="宋体" w:eastAsia="宋体" w:cs="宋体"/>
          <w:color w:val="auto"/>
          <w:sz w:val="21"/>
          <w:szCs w:val="21"/>
          <w:highlight w:val="none"/>
        </w:rPr>
        <w:t>供应商代表在响应文件提交当天实时登陆“广西政府采购云平台”，按磋商小组要求在线等候参与磋商及提交最后报价。因供应商未保持实时在线，导致磋商小组无法及时与其取得联系，从而造成供应商未按规定参与磋商或报价的，其不利后果由供应商自行承担</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val="0"/>
          <w:bCs/>
          <w:color w:val="auto"/>
          <w:sz w:val="21"/>
          <w:szCs w:val="21"/>
          <w:highlight w:val="none"/>
        </w:rPr>
      </w:pPr>
      <w:bookmarkStart w:id="102" w:name="_Toc21307"/>
      <w:r>
        <w:rPr>
          <w:rFonts w:hint="eastAsia" w:ascii="宋体" w:hAnsi="宋体" w:eastAsia="宋体" w:cs="宋体"/>
          <w:color w:val="auto"/>
          <w:sz w:val="21"/>
          <w:szCs w:val="21"/>
          <w:highlight w:val="none"/>
        </w:rPr>
        <w:t>19</w:t>
      </w:r>
      <w:r>
        <w:rPr>
          <w:rFonts w:hint="eastAsia" w:ascii="宋体" w:hAnsi="宋体" w:eastAsia="宋体" w:cs="宋体"/>
          <w:b w:val="0"/>
          <w:bCs/>
          <w:color w:val="auto"/>
          <w:sz w:val="21"/>
          <w:szCs w:val="21"/>
          <w:highlight w:val="none"/>
        </w:rPr>
        <w:t>.2.3磋商参加人员：供应商法定代表人、负责人、自然人或相应的委托代理人持有效身份证原件和供应商广西政府采购云平台CA数字证书参加磋商。请供应商实时登陆“广西政府采购云平台”等候在线磋商。</w:t>
      </w:r>
      <w:bookmarkEnd w:id="102"/>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val="0"/>
          <w:bCs/>
          <w:color w:val="auto"/>
          <w:sz w:val="21"/>
          <w:szCs w:val="21"/>
          <w:highlight w:val="none"/>
        </w:rPr>
      </w:pPr>
      <w:bookmarkStart w:id="103" w:name="_Toc6288"/>
      <w:r>
        <w:rPr>
          <w:rFonts w:hint="eastAsia" w:ascii="宋体" w:hAnsi="宋体" w:eastAsia="宋体" w:cs="宋体"/>
          <w:b w:val="0"/>
          <w:bCs/>
          <w:color w:val="auto"/>
          <w:sz w:val="21"/>
          <w:szCs w:val="21"/>
          <w:highlight w:val="none"/>
        </w:rPr>
        <w:t>19.2.4响应文件递交截止时间后，由磋商小组在评标室内线上开启响应文件。</w:t>
      </w:r>
      <w:bookmarkEnd w:id="103"/>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104" w:name="_Toc21088"/>
      <w:bookmarkStart w:id="105" w:name="_Toc25258"/>
      <w:r>
        <w:rPr>
          <w:rFonts w:hint="eastAsia" w:ascii="宋体" w:hAnsi="宋体" w:eastAsia="宋体" w:cs="宋体"/>
          <w:color w:val="auto"/>
          <w:sz w:val="21"/>
          <w:szCs w:val="21"/>
          <w:highlight w:val="none"/>
        </w:rPr>
        <w:t>20. 评审原则</w:t>
      </w:r>
      <w:bookmarkEnd w:id="104"/>
      <w:bookmarkEnd w:id="105"/>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 磋商小组必须坚持公平、公正、科学和择优的原则。</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 评审办法：综合评分法，具体详见第四章评审办法。</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磋商小组应按磋商文件进行评审，不得擅自更改评审办法。</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 在评审过程中，磋商小组任何人不得对某个供应商发表任何倾向性意见，不得向其他磋商小组成员明示或者暗示自己的评审意见。</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 磋商小组成员对需要共同认定的事项存在争议的，按照少数服从多数的原则作出结论。持不同意见的磋商小组成员应当在评审报告上签署不同意见并说明理由，否则视为同意。</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 响应文件最后报价出现前后不一致的，除竞争性磋商文件另有规定外，按照下列规定修正：</w:t>
      </w:r>
    </w:p>
    <w:p>
      <w:pPr>
        <w:pStyle w:val="25"/>
        <w:keepNext w:val="0"/>
        <w:keepLines w:val="0"/>
        <w:pageBreakBefore w:val="0"/>
        <w:widowControl w:val="0"/>
        <w:tabs>
          <w:tab w:val="left" w:pos="1099"/>
        </w:tabs>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响应文件中磋商报价表内容与响应文件中相应内容不一致的，以最后磋商报价表为准；</w:t>
      </w:r>
    </w:p>
    <w:p>
      <w:pPr>
        <w:pStyle w:val="25"/>
        <w:keepNext w:val="0"/>
        <w:keepLines w:val="0"/>
        <w:pageBreakBefore w:val="0"/>
        <w:widowControl w:val="0"/>
        <w:tabs>
          <w:tab w:val="left" w:pos="1099"/>
        </w:tabs>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大写金额和小写金额不一致的，以大写金额为准；</w:t>
      </w:r>
    </w:p>
    <w:p>
      <w:pPr>
        <w:pStyle w:val="25"/>
        <w:keepNext w:val="0"/>
        <w:keepLines w:val="0"/>
        <w:pageBreakBefore w:val="0"/>
        <w:widowControl w:val="0"/>
        <w:tabs>
          <w:tab w:val="left" w:pos="1099"/>
        </w:tabs>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单价金额小数点或者百分比有明显错位的，以报价表的总价为准，并修改单价；</w:t>
      </w:r>
    </w:p>
    <w:p>
      <w:pPr>
        <w:pStyle w:val="25"/>
        <w:keepNext w:val="0"/>
        <w:keepLines w:val="0"/>
        <w:pageBreakBefore w:val="0"/>
        <w:widowControl w:val="0"/>
        <w:tabs>
          <w:tab w:val="left" w:pos="1099"/>
        </w:tabs>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106" w:name="_Toc21012"/>
      <w:bookmarkStart w:id="107" w:name="_Toc27193"/>
      <w:r>
        <w:rPr>
          <w:rFonts w:hint="eastAsia" w:ascii="宋体" w:hAnsi="宋体" w:eastAsia="宋体" w:cs="宋体"/>
          <w:color w:val="auto"/>
          <w:sz w:val="21"/>
          <w:szCs w:val="21"/>
          <w:highlight w:val="none"/>
        </w:rPr>
        <w:t>21. 评审程序及磋商要求</w:t>
      </w:r>
      <w:bookmarkEnd w:id="106"/>
      <w:bookmarkEnd w:id="107"/>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21.1磋商小组成员的通讯工具或相关电子设备交由桂林市公共资源交易中心统一保管后到达评标室，采购 </w:t>
      </w:r>
    </w:p>
    <w:p>
      <w:pPr>
        <w:pageBreakBefore w:val="0"/>
        <w:widowControl w:val="0"/>
        <w:kinsoku/>
        <w:wordWrap/>
        <w:overflowPunct/>
        <w:topLinePunct w:val="0"/>
        <w:bidi w:val="0"/>
        <w:snapToGrid/>
        <w:spacing w:line="38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代理机构核实磋商小组成员身份，告知回避要求，宣布评审工作纪律和程序，推选磋商小组组长。</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21.4.1 查询渠道：《国家企业信用信息公示系统》（网址：www.gsxt.gov.cn/index.html）</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21.4.2 审查流程：</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（1）进入《国家企业信用信息公示系统》（网址：www.gsxt.gov.cn/index.html），输入企业名称，进入企业信息主页面；</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（2）查看主页“股东及出资信息”栏，或年报中的“股东及出资信息”栏信息；</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（3）将各供应商的股东及出资信息进行比对，得出审查结论；</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（4）将相关资料作为评审资料打印存档。</w:t>
      </w:r>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21.5 磋商小组如发现供应商提供的证明文件不齐全或不符合规定格式的，应一次性告知供应商，供应商应在规定的时间内</w:t>
      </w:r>
      <w:r>
        <w:rPr>
          <w:rFonts w:hint="eastAsia" w:ascii="宋体" w:hAnsi="宋体" w:eastAsia="宋体" w:cs="宋体"/>
          <w:b/>
          <w:bCs/>
          <w:color w:val="auto"/>
          <w:sz w:val="21"/>
          <w:szCs w:val="21"/>
          <w:highlight w:val="none"/>
          <w:lang w:eastAsia="zh-CN"/>
        </w:rPr>
        <w:t>线上</w:t>
      </w:r>
      <w:r>
        <w:rPr>
          <w:rFonts w:hint="eastAsia" w:ascii="宋体" w:hAnsi="宋体" w:eastAsia="宋体" w:cs="宋体"/>
          <w:b/>
          <w:bCs/>
          <w:color w:val="auto"/>
          <w:sz w:val="21"/>
          <w:szCs w:val="21"/>
          <w:highlight w:val="none"/>
        </w:rPr>
        <w:t>补正或更正。</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个人CA签章)</w:t>
      </w:r>
      <w:r>
        <w:rPr>
          <w:rFonts w:hint="eastAsia" w:ascii="宋体" w:hAnsi="宋体" w:eastAsia="宋体" w:cs="宋体"/>
          <w:color w:val="auto"/>
          <w:sz w:val="21"/>
          <w:szCs w:val="21"/>
          <w:highlight w:val="none"/>
        </w:rPr>
        <w:t>或者加盖供应商公章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根据磋商文件规定的程序、评定成交的标准等事项与实质性响应竞争性磋商文件要求的供应商进行磋商。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未实质性响应磋商文件的响应文件按无效处理，磋商小组应当告知有关供应商。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磋商小组所有成员应当按已确定的磋商顺序集中与单一供应商分别进行磋商，并给予所有实质性响应竞争性磋商文件要求的供应商平等的磋商机会。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磋商中，磋商小组不得透露与磋商有关的其他供应商的技术资料、价格和其他信息。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磋商小组对磋商过程和重要磋商内容进行记录，磋商双方在记录上签字确认。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对磋商文件作出的实质性变动是磋商文件的有效组成部分，磋商小组应当及时</w:t>
      </w:r>
      <w:r>
        <w:rPr>
          <w:rFonts w:hint="eastAsia" w:ascii="宋体" w:hAnsi="宋体" w:eastAsia="宋体" w:cs="宋体"/>
          <w:color w:val="auto"/>
          <w:sz w:val="21"/>
          <w:szCs w:val="21"/>
          <w:highlight w:val="none"/>
          <w:lang w:eastAsia="zh-CN"/>
        </w:rPr>
        <w:t>通过政采云平台同时</w:t>
      </w:r>
      <w:r>
        <w:rPr>
          <w:rFonts w:hint="eastAsia" w:ascii="宋体" w:hAnsi="宋体" w:eastAsia="宋体" w:cs="宋体"/>
          <w:color w:val="auto"/>
          <w:sz w:val="21"/>
          <w:szCs w:val="21"/>
          <w:highlight w:val="none"/>
        </w:rPr>
        <w:t xml:space="preserve">通知所有参加磋商的供应商。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供应商应当按照磋商文件的变动情况和磋商小组的要求重新提交响应文件，并由其法定代表人、负责人、</w:t>
      </w:r>
      <w:r>
        <w:rPr>
          <w:rFonts w:hint="eastAsia" w:ascii="宋体" w:hAnsi="宋体" w:eastAsia="宋体" w:cs="宋体"/>
          <w:color w:val="auto"/>
          <w:sz w:val="21"/>
          <w:szCs w:val="21"/>
          <w:highlight w:val="none"/>
          <w:lang w:eastAsia="zh-CN"/>
        </w:rPr>
        <w:t>自然人或相应的授权委托代表签字（个人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或者加盖供应商公章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 xml:space="preserve">。逾时不交的，视同放弃磋商。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 第二轮磋商</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CA签章确认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磋商后，供应商根据磋商小组统一整理的书面磋商记录要求做出书面承诺，并由其法定代表人或授权代表签字或者加盖公章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后按时</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lang w:val="en-US" w:eastAsia="zh-CN"/>
        </w:rPr>
        <w:t>提交</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21.10 在采购过程中符合竞争要求的供应商或者报价未超过采购预算的供应商不足 3 家的，采购人或者采购代理机构应当终止竞争性磋商采购活动。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21.11 最后报价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21.11.1 磋商文件能够详细列明采购标的的质量要求的，磋商结束后，磋商小组应当要求所有继续参加磋商的供应商在规定时间内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提交最后报价，提交最后报价的供应商不得少于 3 家。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21.11.2 </w:t>
      </w:r>
      <w:r>
        <w:rPr>
          <w:rFonts w:hint="eastAsia" w:ascii="宋体" w:hAnsi="宋体" w:cs="宋体"/>
          <w:color w:val="auto"/>
          <w:sz w:val="21"/>
          <w:szCs w:val="21"/>
          <w:highlight w:val="none"/>
        </w:rPr>
        <w:t>磋商文件不能详细列明采购标的的施工要求，需经磋商由供应商提供最终设计方案或解决方案的</w:t>
      </w:r>
      <w:r>
        <w:rPr>
          <w:rFonts w:hint="eastAsia" w:ascii="宋体" w:hAnsi="宋体" w:eastAsia="宋体" w:cs="宋体"/>
          <w:color w:val="auto"/>
          <w:sz w:val="21"/>
          <w:szCs w:val="21"/>
          <w:highlight w:val="none"/>
        </w:rPr>
        <w:t>，磋商结束后，磋商小组应当按照少数服从多数的原则投票推荐 3 家以上（含 3 家）供应商的设计方案或者解决方案，并要求其在规定时间内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 </w:t>
      </w:r>
    </w:p>
    <w:p>
      <w:pPr>
        <w:pageBreakBefore w:val="0"/>
        <w:widowControl w:val="0"/>
        <w:kinsoku/>
        <w:wordWrap/>
        <w:overflowPunct/>
        <w:topLinePunct w:val="0"/>
        <w:bidi w:val="0"/>
        <w:snapToGrid/>
        <w:spacing w:line="38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21.11.3</w:t>
      </w:r>
      <w:r>
        <w:rPr>
          <w:rFonts w:hint="eastAsia" w:hAnsi="宋体" w:cs="宋体"/>
          <w:color w:val="auto"/>
          <w:kern w:val="0"/>
          <w:sz w:val="21"/>
          <w:szCs w:val="21"/>
          <w:highlight w:val="none"/>
        </w:rPr>
        <w:t>最后报价（应答文件）是供应商响应文件的有效组成部分：</w:t>
      </w:r>
      <w:r>
        <w:rPr>
          <w:rFonts w:hint="eastAsia" w:hAnsi="宋体" w:cs="宋体"/>
          <w:b/>
          <w:color w:val="auto"/>
          <w:spacing w:val="-4"/>
          <w:sz w:val="21"/>
          <w:szCs w:val="21"/>
          <w:highlight w:val="none"/>
        </w:rPr>
        <w:t>供应商做最终报价时，如供应商维持磋商报价不变</w:t>
      </w:r>
      <w:r>
        <w:rPr>
          <w:rFonts w:hint="eastAsia" w:hAnsi="宋体" w:cs="宋体"/>
          <w:b/>
          <w:color w:val="auto"/>
          <w:spacing w:val="-4"/>
          <w:sz w:val="21"/>
          <w:szCs w:val="21"/>
          <w:highlight w:val="none"/>
          <w:lang w:eastAsia="zh-CN"/>
        </w:rPr>
        <w:t>，</w:t>
      </w:r>
      <w:r>
        <w:rPr>
          <w:rFonts w:hint="eastAsia" w:hAnsi="宋体" w:cs="宋体"/>
          <w:b/>
          <w:color w:val="auto"/>
          <w:spacing w:val="-4"/>
          <w:sz w:val="21"/>
          <w:szCs w:val="21"/>
          <w:highlight w:val="none"/>
        </w:rPr>
        <w:t>以原磋商报价作为供应商最后报价；供应商应预先准备好调整后的完整已标价的工程量清单。如供应商在磋商过程中，改变原报价且未按竞争性磋商文件要求提供调整后的磋商报价</w:t>
      </w:r>
      <w:r>
        <w:rPr>
          <w:rFonts w:hint="eastAsia" w:hAnsi="宋体" w:cs="宋体"/>
          <w:b/>
          <w:color w:val="auto"/>
          <w:spacing w:val="-4"/>
          <w:sz w:val="21"/>
          <w:szCs w:val="21"/>
          <w:highlight w:val="none"/>
          <w:lang w:eastAsia="zh-CN"/>
        </w:rPr>
        <w:t>电子</w:t>
      </w:r>
      <w:r>
        <w:rPr>
          <w:rFonts w:hint="eastAsia" w:hAnsi="宋体" w:cs="宋体"/>
          <w:b/>
          <w:color w:val="auto"/>
          <w:spacing w:val="-4"/>
          <w:sz w:val="21"/>
          <w:szCs w:val="21"/>
          <w:highlight w:val="none"/>
        </w:rPr>
        <w:t>版的，其报价不予认可，视供应商维持原磋商报价不变</w:t>
      </w:r>
      <w:r>
        <w:rPr>
          <w:rFonts w:hint="eastAsia" w:hAnsi="宋体" w:cs="宋体"/>
          <w:b/>
          <w:color w:val="auto"/>
          <w:sz w:val="21"/>
          <w:szCs w:val="21"/>
          <w:highlight w:val="none"/>
        </w:rPr>
        <w:t>。</w:t>
      </w:r>
      <w:r>
        <w:rPr>
          <w:rFonts w:hint="eastAsia" w:hAnsi="宋体" w:cs="宋体"/>
          <w:color w:val="auto"/>
          <w:spacing w:val="-4"/>
          <w:sz w:val="21"/>
          <w:szCs w:val="21"/>
          <w:highlight w:val="none"/>
        </w:rPr>
        <w:t>必须由供应商</w:t>
      </w:r>
      <w:r>
        <w:rPr>
          <w:rFonts w:hint="eastAsia" w:ascii="宋体" w:hAnsi="宋体" w:eastAsia="宋体" w:cs="宋体"/>
          <w:color w:val="auto"/>
          <w:sz w:val="21"/>
          <w:szCs w:val="21"/>
          <w:highlight w:val="none"/>
        </w:rPr>
        <w:t>加盖公章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lang w:eastAsia="zh-CN"/>
        </w:rPr>
        <w:t>）</w:t>
      </w:r>
      <w:r>
        <w:rPr>
          <w:rFonts w:hint="eastAsia" w:hAnsi="宋体" w:cs="宋体"/>
          <w:color w:val="auto"/>
          <w:spacing w:val="-4"/>
          <w:sz w:val="21"/>
          <w:szCs w:val="21"/>
          <w:highlight w:val="none"/>
        </w:rPr>
        <w:t>。</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根据《财政部关于政府采购竞争性磋商采购方式管理暂行办法有关问题的补充通知》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财库〔2014〕214 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提交最后报价；采购过程中符合要求的供应商（社会资本）只有 1 家的，采购人或者采购代理机构应当终止竞争性磋商采购活动，发布项目终止公告并说明原因，重新开展采购活动。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21.11.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根据《政府采购竞争性磋商采购方式管理暂行办法》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财库〔2014〕214 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的规定：</w:t>
      </w:r>
      <w:r>
        <w:rPr>
          <w:rFonts w:hint="eastAsia" w:ascii="宋体" w:hAnsi="宋体" w:eastAsia="宋体" w:cs="宋体"/>
          <w:b/>
          <w:bCs/>
          <w:color w:val="auto"/>
          <w:sz w:val="21"/>
          <w:szCs w:val="21"/>
          <w:highlight w:val="none"/>
        </w:rPr>
        <w:t xml:space="preserve">最后报价是供应商响应文件的有效组成部分。 </w:t>
      </w:r>
      <w:r>
        <w:rPr>
          <w:rFonts w:hint="eastAsia" w:ascii="宋体" w:hAnsi="宋体" w:eastAsia="宋体" w:cs="宋体"/>
          <w:color w:val="auto"/>
          <w:sz w:val="21"/>
          <w:szCs w:val="21"/>
          <w:highlight w:val="none"/>
        </w:rPr>
        <w:t>符合本办法(财库〔2014〕214号文)第三条第四项情形的，提交最后报价的供应商可以为2家。</w:t>
      </w:r>
      <w:r>
        <w:rPr>
          <w:rFonts w:hint="eastAsia" w:ascii="宋体" w:hAnsi="宋体" w:eastAsia="宋体" w:cs="宋体"/>
          <w:b/>
          <w:bCs/>
          <w:color w:val="auto"/>
          <w:sz w:val="21"/>
          <w:szCs w:val="21"/>
          <w:highlight w:val="none"/>
        </w:rPr>
        <w:t>（财库〔2014〕214号文第三条第四项：市场竞争不充分的科研项目，以及需要扶持的科技成果转化项目。）</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21.12 已提交响应文件的供应商，在提交最后报价之前，可以根据磋商情况书面退出磋商。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未书面退出磋商的供应商在规定时间内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提交最后报价，其最后报价超出采购预算导致已通过评审的响应文件无效的，按供应商在提交响应文件截止时间后撤回响应文件处理。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21.13 评审报告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磋商小组应当从质量和服务均能满足磋商文件全部实质性响应要求的供应商中，按照最后综合得分由高到低的顺序提出 3 名以上（含 3 名）成交候选人，并编写评审报告。</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21.14 在评审过程中出现法律法规和磋商文件均没有明确规定的情形时，由磋商小组现场协商解决，协商不一致的，由全体磋商小组投票表决，以得票率二分之一以上磋商小组成员的意见为准。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21.15 采购代理机构发现磋商小组有明显的违规倾向或歧视现象，或不按评审办法进行，或其他不正常行为的，应当及时制止。如制止无效，应及时向政府采购监督管理机构报告。</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21.16 本采购项目的评审依据为竞争性磋商文件和竞争性磋商响应文件，采用的评审方法为</w:t>
      </w:r>
      <w:r>
        <w:rPr>
          <w:rFonts w:hint="eastAsia" w:ascii="宋体" w:hAnsi="宋体" w:eastAsia="宋体" w:cs="宋体"/>
          <w:b w:val="0"/>
          <w:bCs w:val="0"/>
          <w:color w:val="auto"/>
          <w:sz w:val="21"/>
          <w:szCs w:val="21"/>
          <w:highlight w:val="none"/>
        </w:rPr>
        <w:t>综合评分法。</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108" w:name="_Toc32470"/>
      <w:bookmarkStart w:id="109" w:name="_Toc18722"/>
      <w:r>
        <w:rPr>
          <w:rFonts w:hint="eastAsia" w:ascii="宋体" w:hAnsi="宋体" w:eastAsia="宋体" w:cs="宋体"/>
          <w:color w:val="auto"/>
          <w:sz w:val="21"/>
          <w:szCs w:val="21"/>
          <w:highlight w:val="none"/>
        </w:rPr>
        <w:t>22. 确定成交供应商</w:t>
      </w:r>
      <w:bookmarkEnd w:id="108"/>
      <w:bookmarkEnd w:id="109"/>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22.2采购单位应当确定磋商小组推荐排名第一的成交候选人为成交供应商。</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排名第一的成交候选人放弃成交、因不可抗力提出不能履行合同，或信用信息记录不符合相关规定的，或者磋商文件规定应当提交履约保证金而在规定的期限内未能提交的（本项目免收履约保证金），采购单位可以确定排名第二的成交候选人为成交供应商。</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22.4排名第二的成交候选人因前款规定的同样原因不能签订合同的，采购单位可以确定排名第三的成交候选人为成交供应商。</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110" w:name="_Toc21715"/>
      <w:bookmarkStart w:id="111" w:name="_Toc15332"/>
      <w:r>
        <w:rPr>
          <w:rFonts w:hint="eastAsia" w:ascii="宋体" w:hAnsi="宋体" w:eastAsia="宋体" w:cs="宋体"/>
          <w:color w:val="auto"/>
          <w:sz w:val="21"/>
          <w:szCs w:val="21"/>
          <w:highlight w:val="none"/>
        </w:rPr>
        <w:t>23. 属于下列情况之一者，响应文件无效</w:t>
      </w:r>
      <w:bookmarkEnd w:id="110"/>
      <w:bookmarkEnd w:id="111"/>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（1）未按磋商文件规定完整</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rPr>
        <w:t>提交响应文件或未按规定要求</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rPr>
        <w:t>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（2）不具备磋商文件规定的资格要求的；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）响应文件未按磋商文件的内容和要求编制，或提供虚假材料的；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）响应文件有效期、质量要求、工期要求不能满足采购文件要求的；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）供应商未就工程量清单中的所有内容作完整唯一报价的；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）未在磋商小组规定的时间内提交响应文件(包括最后报价)的；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）超越了按照法律法规规定必须获得行政许可或者行政审批的经营范围的；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）未满足磋商文件实质性要求的或者响应文件有采购人不能接受的附加条件的；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）响应文件实质性要求未做变动，供应商最后报价高于第一次报价的；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）不符合法律、法规和磋商文件规定的其他实质性要求和条件的。</w:t>
      </w:r>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供应商有下列情形之一的视为供应商相互串通磋商，响应文件将被视为无效</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（1）不同供应商的响应文件由同一单位或者个人编制；或不同供应商报名的IP地址一致的；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（2）不同供应商委托同一单位或者个人办理磋商事宜；</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（3）不同的供应商的响应文件载明的项目管理员为同一个人；</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（4）不同供应商的响应文件异常一致或竞标报价呈规律性差异；</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（5）不同供应商的响应文件相互混</w:t>
      </w:r>
      <w:r>
        <w:rPr>
          <w:rFonts w:hint="eastAsia" w:ascii="宋体" w:hAnsi="宋体" w:cs="宋体"/>
          <w:color w:val="auto"/>
          <w:sz w:val="21"/>
          <w:szCs w:val="21"/>
          <w:highlight w:val="none"/>
          <w:lang w:eastAsia="zh-CN"/>
        </w:rPr>
        <w:t>编</w:t>
      </w:r>
      <w:r>
        <w:rPr>
          <w:rFonts w:hint="eastAsia" w:ascii="宋体" w:hAnsi="宋体" w:eastAsia="宋体" w:cs="宋体"/>
          <w:color w:val="auto"/>
          <w:sz w:val="21"/>
          <w:szCs w:val="21"/>
          <w:highlight w:val="none"/>
        </w:rPr>
        <w:t>。</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112" w:name="_Toc5714"/>
      <w:bookmarkStart w:id="113" w:name="_Toc27786"/>
      <w:r>
        <w:rPr>
          <w:rFonts w:hint="eastAsia" w:ascii="宋体" w:hAnsi="宋体" w:eastAsia="宋体" w:cs="宋体"/>
          <w:color w:val="auto"/>
          <w:sz w:val="21"/>
          <w:szCs w:val="21"/>
          <w:highlight w:val="none"/>
        </w:rPr>
        <w:t>24. 出现下列情形之一的，采购人或者采购代理机构应当终止竞争性磋商采购活动，发布项目终止公告并说明原因，重新开展采购活动</w:t>
      </w:r>
      <w:bookmarkEnd w:id="112"/>
      <w:bookmarkEnd w:id="113"/>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（1）因情况变化，不再符合规定的竞争性磋商采购方式适用情形的；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（2）出现影响采购公正的违法、违规行为的； </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（3）在采购过程中符合竞争要求的供应商或者报价未超过采购预算的供应商不足3家的。</w:t>
      </w:r>
      <w:r>
        <w:rPr>
          <w:rFonts w:hint="eastAsia" w:ascii="宋体" w:hAnsi="宋体" w:eastAsia="宋体" w:cs="宋体"/>
          <w:b/>
          <w:bCs/>
          <w:color w:val="auto"/>
          <w:sz w:val="21"/>
          <w:szCs w:val="21"/>
          <w:highlight w:val="none"/>
        </w:rPr>
        <w:t xml:space="preserve">（除财库〔2014〕214 号《政府采购竞争性磋商采购方式管理暂行办法》第二十一条第三款规定的情形外） </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114" w:name="_Toc19105"/>
      <w:bookmarkStart w:id="115" w:name="_Toc19910"/>
      <w:r>
        <w:rPr>
          <w:rFonts w:hint="eastAsia" w:ascii="宋体" w:hAnsi="宋体" w:eastAsia="宋体" w:cs="宋体"/>
          <w:color w:val="auto"/>
          <w:sz w:val="21"/>
          <w:szCs w:val="21"/>
          <w:highlight w:val="none"/>
        </w:rPr>
        <w:t>25. 磋商过程的监控</w:t>
      </w:r>
      <w:bookmarkEnd w:id="114"/>
      <w:bookmarkEnd w:id="115"/>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本项目磋商过程实行全程录音、录像监控，供应商在磋商过程中所进行的试图影响磋商结果的不公正活动，可能导致其磋商被拒绝。</w:t>
      </w:r>
    </w:p>
    <w:p>
      <w:pPr>
        <w:pStyle w:val="5"/>
        <w:pageBreakBefore w:val="0"/>
        <w:widowControl w:val="0"/>
        <w:numPr>
          <w:ilvl w:val="0"/>
          <w:numId w:val="4"/>
        </w:numPr>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116" w:name="_Toc26291"/>
      <w:bookmarkStart w:id="117" w:name="_Toc14787"/>
      <w:r>
        <w:rPr>
          <w:rFonts w:hint="eastAsia" w:ascii="宋体" w:hAnsi="宋体" w:eastAsia="宋体" w:cs="宋体"/>
          <w:color w:val="auto"/>
          <w:sz w:val="21"/>
          <w:szCs w:val="21"/>
          <w:highlight w:val="none"/>
        </w:rPr>
        <w:t>信用查询</w:t>
      </w:r>
      <w:bookmarkEnd w:id="116"/>
      <w:bookmarkEnd w:id="117"/>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根据《关于做好政府采购有关信用主体标识码登记及在政府采购活动中查询使用信用记录有关问题的通知》桂财采〔2016〕37号的通知，采购代理机构对成交人的成交资格进行信用查询：</w:t>
      </w:r>
    </w:p>
    <w:p>
      <w:pPr>
        <w:pageBreakBefore w:val="0"/>
        <w:widowControl w:val="0"/>
        <w:kinsoku/>
        <w:wordWrap/>
        <w:overflowPunct/>
        <w:topLinePunct w:val="0"/>
        <w:bidi w:val="0"/>
        <w:snapToGrid/>
        <w:spacing w:line="38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（1）查询渠道：“信用中国”网站(www.creditchina.gov.cn)、中国政府采购网(www.ccgp.gov.cn)等；</w:t>
      </w:r>
    </w:p>
    <w:p>
      <w:pPr>
        <w:pageBreakBefore w:val="0"/>
        <w:widowControl w:val="0"/>
        <w:kinsoku/>
        <w:wordWrap/>
        <w:overflowPunct/>
        <w:topLinePunct w:val="0"/>
        <w:bidi w:val="0"/>
        <w:snapToGrid/>
        <w:spacing w:line="38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（2）查询时间：成交通知书发出前；</w:t>
      </w:r>
    </w:p>
    <w:p>
      <w:pPr>
        <w:pageBreakBefore w:val="0"/>
        <w:widowControl w:val="0"/>
        <w:kinsoku/>
        <w:wordWrap/>
        <w:overflowPunct/>
        <w:topLinePunct w:val="0"/>
        <w:bidi w:val="0"/>
        <w:snapToGrid/>
        <w:spacing w:line="38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（3）信用信息查询记录和证据留存方式：在查询网站中直接打印查询记录，打印材料作为采购活动资料保存。</w:t>
      </w:r>
    </w:p>
    <w:p>
      <w:pPr>
        <w:pageBreakBefore w:val="0"/>
        <w:widowControl w:val="0"/>
        <w:kinsoku/>
        <w:wordWrap/>
        <w:overflowPunct/>
        <w:topLinePunct w:val="0"/>
        <w:bidi w:val="0"/>
        <w:snapToGrid/>
        <w:spacing w:line="38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118" w:name="_Toc9438"/>
      <w:bookmarkStart w:id="119" w:name="_Toc25468"/>
      <w:r>
        <w:rPr>
          <w:rFonts w:hint="eastAsia" w:ascii="宋体" w:hAnsi="宋体" w:eastAsia="宋体" w:cs="宋体"/>
          <w:color w:val="auto"/>
          <w:sz w:val="21"/>
          <w:szCs w:val="21"/>
          <w:highlight w:val="none"/>
        </w:rPr>
        <w:t>27. 成交结果公告及成交通知书</w:t>
      </w:r>
      <w:bookmarkEnd w:id="118"/>
      <w:bookmarkEnd w:id="119"/>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 在发布成交公告的同时，采购代理机构向成交供应商发出成交通知书。成交供应商自接到通知之日起七个工作日内，办理成交通知书领取手续。</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 采购代理机构无义务向未成交的供应商解释未成交原因和退还响应文件。</w:t>
      </w:r>
    </w:p>
    <w:p>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auto"/>
          <w:sz w:val="24"/>
          <w:szCs w:val="24"/>
          <w:highlight w:val="none"/>
        </w:rPr>
      </w:pPr>
      <w:bookmarkStart w:id="120" w:name="_Toc25593"/>
      <w:bookmarkStart w:id="121" w:name="_Toc24102"/>
    </w:p>
    <w:p>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auto"/>
          <w:sz w:val="24"/>
          <w:szCs w:val="24"/>
          <w:highlight w:val="none"/>
        </w:rPr>
      </w:pPr>
      <w:bookmarkStart w:id="122" w:name="_Toc12078"/>
      <w:r>
        <w:rPr>
          <w:rFonts w:hint="eastAsia" w:ascii="宋体" w:hAnsi="宋体" w:eastAsia="宋体" w:cs="宋体"/>
          <w:b/>
          <w:bCs w:val="0"/>
          <w:color w:val="auto"/>
          <w:sz w:val="24"/>
          <w:szCs w:val="24"/>
          <w:highlight w:val="none"/>
        </w:rPr>
        <w:t>五、签订合同</w:t>
      </w:r>
      <w:bookmarkEnd w:id="120"/>
      <w:bookmarkEnd w:id="121"/>
      <w:bookmarkEnd w:id="122"/>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123" w:name="_Toc1032"/>
      <w:bookmarkStart w:id="124" w:name="_Toc26520"/>
      <w:r>
        <w:rPr>
          <w:rFonts w:hint="eastAsia" w:ascii="宋体" w:hAnsi="宋体" w:eastAsia="宋体" w:cs="宋体"/>
          <w:color w:val="auto"/>
          <w:sz w:val="21"/>
          <w:szCs w:val="21"/>
          <w:highlight w:val="none"/>
        </w:rPr>
        <w:t>28. 履约保证金</w:t>
      </w:r>
      <w:bookmarkEnd w:id="123"/>
      <w:bookmarkEnd w:id="124"/>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bookmarkStart w:id="125" w:name="_Toc22004"/>
      <w:bookmarkStart w:id="126" w:name="_Toc4956"/>
      <w:r>
        <w:rPr>
          <w:rFonts w:hint="eastAsia" w:ascii="宋体" w:hAnsi="宋体" w:cs="宋体"/>
          <w:color w:val="auto"/>
          <w:sz w:val="21"/>
          <w:szCs w:val="21"/>
          <w:highlight w:val="none"/>
          <w:lang w:eastAsia="zh-CN"/>
        </w:rPr>
        <w:t>本项目不收取履约保证金</w:t>
      </w:r>
      <w:r>
        <w:rPr>
          <w:rFonts w:hint="eastAsia" w:ascii="宋体" w:hAnsi="宋体" w:eastAsia="宋体" w:cs="宋体"/>
          <w:color w:val="auto"/>
          <w:sz w:val="21"/>
          <w:szCs w:val="21"/>
          <w:highlight w:val="none"/>
        </w:rPr>
        <w:t>。</w:t>
      </w:r>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签订合同</w:t>
      </w:r>
      <w:bookmarkEnd w:id="125"/>
      <w:bookmarkEnd w:id="126"/>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29.1 签订合同时间：成交通知书发出之日起</w:t>
      </w:r>
      <w:r>
        <w:rPr>
          <w:rFonts w:hint="eastAsia" w:ascii="宋体" w:hAnsi="宋体" w:eastAsia="宋体" w:cs="宋体"/>
          <w:b/>
          <w:bCs/>
          <w:color w:val="auto"/>
          <w:sz w:val="21"/>
          <w:szCs w:val="21"/>
          <w:highlight w:val="none"/>
        </w:rPr>
        <w:t>8个工作日内</w:t>
      </w:r>
      <w:r>
        <w:rPr>
          <w:rFonts w:hint="eastAsia" w:ascii="宋体" w:hAnsi="宋体" w:eastAsia="宋体" w:cs="宋体"/>
          <w:b/>
          <w:bCs/>
          <w:color w:val="auto"/>
          <w:sz w:val="21"/>
          <w:szCs w:val="21"/>
          <w:highlight w:val="none"/>
        </w:rPr>
        <w:t>签订合同。成交供应商领取成交通知书后，应按规定与采购人签订合同。</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（1）成交后不与采购人签订合同的（不可抗力除外）；</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（2）将成交项目转让给他人，或者在响应文件中未说明，且未经采购人同意，将成交项目分包给他人的；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（3）拒绝履行合同义务的。</w:t>
      </w:r>
    </w:p>
    <w:p>
      <w:pPr>
        <w:pageBreakBefore w:val="0"/>
        <w:widowControl w:val="0"/>
        <w:kinsoku/>
        <w:wordWrap/>
        <w:overflowPunct/>
        <w:topLinePunct w:val="0"/>
        <w:bidi w:val="0"/>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 合同备案存档：政府采购合同双方自签订之日起一个工作日内将合同原件一份交采购代理机构，采购代理机构将政府采购合同在省级以上人民政府财政部门指定媒体上公告。采购人于合同签订之日起七个工作日内将一份合同原件送本级财政部门备案，一份由</w:t>
      </w:r>
      <w:r>
        <w:rPr>
          <w:rFonts w:hint="eastAsia" w:ascii="宋体" w:hAnsi="宋体" w:cs="宋体"/>
          <w:color w:val="auto"/>
          <w:sz w:val="21"/>
          <w:szCs w:val="21"/>
          <w:highlight w:val="none"/>
          <w:lang w:eastAsia="zh-CN"/>
        </w:rPr>
        <w:t>广西鼎誉工程咨询有限公司</w:t>
      </w:r>
      <w:r>
        <w:rPr>
          <w:rFonts w:hint="eastAsia" w:ascii="宋体" w:hAnsi="宋体" w:eastAsia="宋体" w:cs="宋体"/>
          <w:color w:val="auto"/>
          <w:sz w:val="21"/>
          <w:szCs w:val="21"/>
          <w:highlight w:val="none"/>
        </w:rPr>
        <w:t>存档。</w:t>
      </w:r>
    </w:p>
    <w:p>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auto"/>
          <w:sz w:val="24"/>
          <w:szCs w:val="24"/>
          <w:highlight w:val="none"/>
        </w:rPr>
      </w:pPr>
      <w:bookmarkStart w:id="127" w:name="_Toc17898"/>
      <w:bookmarkStart w:id="128" w:name="_Toc16348"/>
    </w:p>
    <w:p>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auto"/>
          <w:sz w:val="24"/>
          <w:szCs w:val="24"/>
          <w:highlight w:val="none"/>
        </w:rPr>
      </w:pPr>
    </w:p>
    <w:p>
      <w:pPr>
        <w:pStyle w:val="4"/>
        <w:keepNext/>
        <w:keepLines/>
        <w:pageBreakBefore w:val="0"/>
        <w:widowControl w:val="0"/>
        <w:tabs>
          <w:tab w:val="left" w:pos="567"/>
        </w:tabs>
        <w:kinsoku/>
        <w:wordWrap/>
        <w:overflowPunct/>
        <w:topLinePunct w:val="0"/>
        <w:autoSpaceDE/>
        <w:autoSpaceDN/>
        <w:bidi w:val="0"/>
        <w:adjustRightInd/>
        <w:snapToGrid/>
        <w:spacing w:before="0" w:after="0" w:line="380" w:lineRule="exact"/>
        <w:jc w:val="center"/>
        <w:textAlignment w:val="auto"/>
        <w:rPr>
          <w:rFonts w:hint="eastAsia" w:ascii="宋体" w:hAnsi="宋体" w:eastAsia="宋体" w:cs="宋体"/>
          <w:b/>
          <w:bCs w:val="0"/>
          <w:color w:val="auto"/>
          <w:sz w:val="24"/>
          <w:szCs w:val="24"/>
          <w:highlight w:val="none"/>
        </w:rPr>
      </w:pPr>
      <w:bookmarkStart w:id="129" w:name="_Toc26142"/>
      <w:r>
        <w:rPr>
          <w:rFonts w:hint="eastAsia" w:ascii="宋体" w:hAnsi="宋体" w:eastAsia="宋体" w:cs="宋体"/>
          <w:b/>
          <w:bCs w:val="0"/>
          <w:color w:val="auto"/>
          <w:sz w:val="24"/>
          <w:szCs w:val="24"/>
          <w:highlight w:val="none"/>
        </w:rPr>
        <w:t>六、其他事项</w:t>
      </w:r>
      <w:bookmarkEnd w:id="127"/>
      <w:bookmarkEnd w:id="128"/>
      <w:bookmarkEnd w:id="129"/>
    </w:p>
    <w:p>
      <w:pPr>
        <w:pStyle w:val="5"/>
        <w:pageBreakBefore w:val="0"/>
        <w:widowControl w:val="0"/>
        <w:kinsoku/>
        <w:wordWrap/>
        <w:overflowPunct/>
        <w:topLinePunct w:val="0"/>
        <w:bidi w:val="0"/>
        <w:snapToGrid/>
        <w:spacing w:before="0" w:after="0" w:line="380" w:lineRule="exact"/>
        <w:ind w:firstLine="422" w:firstLineChars="200"/>
        <w:textAlignment w:val="auto"/>
        <w:rPr>
          <w:rFonts w:hint="eastAsia" w:ascii="宋体" w:hAnsi="宋体" w:eastAsia="宋体" w:cs="宋体"/>
          <w:color w:val="auto"/>
          <w:sz w:val="21"/>
          <w:szCs w:val="21"/>
          <w:highlight w:val="none"/>
        </w:rPr>
      </w:pPr>
      <w:bookmarkStart w:id="130" w:name="_Toc28647"/>
      <w:bookmarkStart w:id="131" w:name="_Toc29572"/>
      <w:r>
        <w:rPr>
          <w:rFonts w:hint="eastAsia" w:ascii="宋体" w:hAnsi="宋体" w:eastAsia="宋体" w:cs="宋体"/>
          <w:color w:val="auto"/>
          <w:sz w:val="21"/>
          <w:szCs w:val="21"/>
          <w:highlight w:val="none"/>
        </w:rPr>
        <w:t>30. 采购代理服务费</w:t>
      </w:r>
      <w:bookmarkEnd w:id="130"/>
      <w:bookmarkEnd w:id="131"/>
    </w:p>
    <w:p>
      <w:pPr>
        <w:pageBreakBefore w:val="0"/>
        <w:widowControl w:val="0"/>
        <w:kinsoku/>
        <w:wordWrap/>
        <w:overflowPunct/>
        <w:topLinePunct w:val="0"/>
        <w:bidi w:val="0"/>
        <w:snapToGrid/>
        <w:spacing w:line="380" w:lineRule="exact"/>
        <w:ind w:firstLine="420"/>
        <w:textAlignment w:val="auto"/>
        <w:rPr>
          <w:rFonts w:hint="eastAsia" w:ascii="宋体" w:hAnsi="宋体" w:eastAsia="宋体" w:cs="宋体"/>
          <w:color w:val="auto"/>
          <w:sz w:val="21"/>
          <w:szCs w:val="21"/>
          <w:highlight w:val="none"/>
        </w:rPr>
      </w:pPr>
      <w:bookmarkStart w:id="132" w:name="_Toc12374"/>
      <w:r>
        <w:rPr>
          <w:rFonts w:hint="eastAsia" w:ascii="宋体" w:hAnsi="宋体" w:eastAsia="宋体" w:cs="宋体"/>
          <w:color w:val="auto"/>
          <w:sz w:val="21"/>
          <w:szCs w:val="21"/>
          <w:highlight w:val="none"/>
          <w:lang w:val="en-US" w:eastAsia="zh-CN"/>
        </w:rPr>
        <w:t>30.1</w:t>
      </w:r>
      <w:r>
        <w:rPr>
          <w:rFonts w:hint="eastAsia" w:ascii="宋体" w:hAnsi="宋体" w:eastAsia="宋体" w:cs="宋体"/>
          <w:color w:val="auto"/>
          <w:sz w:val="21"/>
          <w:szCs w:val="21"/>
          <w:highlight w:val="none"/>
        </w:rPr>
        <w:t>成交供应商领取成交通知书前，向</w:t>
      </w:r>
      <w:r>
        <w:rPr>
          <w:rFonts w:hint="eastAsia" w:ascii="宋体" w:hAnsi="宋体" w:cs="宋体"/>
          <w:color w:val="auto"/>
          <w:sz w:val="21"/>
          <w:szCs w:val="21"/>
          <w:highlight w:val="none"/>
          <w:lang w:eastAsia="zh-CN"/>
        </w:rPr>
        <w:t>广西鼎誉工程咨询有限公司</w:t>
      </w:r>
      <w:r>
        <w:rPr>
          <w:rFonts w:hint="eastAsia" w:ascii="宋体" w:hAnsi="宋体" w:eastAsia="宋体" w:cs="宋体"/>
          <w:color w:val="auto"/>
          <w:sz w:val="21"/>
          <w:szCs w:val="21"/>
          <w:highlight w:val="none"/>
        </w:rPr>
        <w:t>一次性付清代理服务费。本项目招标代理服务收费标准参照计价格[2002]1980号《招标代理服务收费管理暂行办法》</w:t>
      </w:r>
      <w:r>
        <w:rPr>
          <w:rFonts w:hint="eastAsia" w:ascii="宋体" w:hAnsi="宋体" w:eastAsia="宋体" w:cs="宋体"/>
          <w:color w:val="auto"/>
          <w:sz w:val="21"/>
          <w:szCs w:val="21"/>
          <w:highlight w:val="none"/>
          <w:lang w:eastAsia="zh-CN"/>
        </w:rPr>
        <w:t>工程</w:t>
      </w:r>
      <w:r>
        <w:rPr>
          <w:rFonts w:hint="eastAsia" w:ascii="宋体" w:hAnsi="宋体" w:eastAsia="宋体" w:cs="宋体"/>
          <w:color w:val="auto"/>
          <w:sz w:val="21"/>
          <w:szCs w:val="21"/>
          <w:highlight w:val="none"/>
        </w:rPr>
        <w:t>类收费标准向</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收取（不足人民币</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000元的，按</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000元支付）。</w:t>
      </w:r>
    </w:p>
    <w:tbl>
      <w:tblPr>
        <w:tblStyle w:val="18"/>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vAlign w:val="top"/>
          </w:tcPr>
          <w:p>
            <w:pPr>
              <w:pageBreakBefore w:val="0"/>
              <w:widowControl w:val="0"/>
              <w:kinsoku/>
              <w:wordWrap/>
              <w:overflowPunct/>
              <w:topLinePunct w:val="0"/>
              <w:bidi w:val="0"/>
              <w:snapToGrid/>
              <w:spacing w:before="0" w:after="0" w:line="380" w:lineRule="exact"/>
              <w:ind w:left="23"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1026" name="直接连接符 102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FTNNYAAAAIAQAADwAAAAAAAAABACAAAAAiAAAAZHJzL2Rvd25yZXYu&#10;eG1sUEsBAhQAFAAAAAgAh07iQDnnG0P9AQAA+wMAAA4AAAAAAAAAAQAgAAAAJQEAAGRycy9lMm9E&#10;b2MueG1sUEsFBgAAAAAGAAYAWQEAAJQFA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费率           服务类型</w:t>
            </w:r>
          </w:p>
          <w:p>
            <w:pPr>
              <w:pageBreakBefore w:val="0"/>
              <w:widowControl w:val="0"/>
              <w:kinsoku/>
              <w:wordWrap/>
              <w:overflowPunct/>
              <w:topLinePunct w:val="0"/>
              <w:bidi w:val="0"/>
              <w:snapToGrid/>
              <w:spacing w:before="0" w:after="0" w:line="380" w:lineRule="exact"/>
              <w:ind w:left="23"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1027" name="直接连接符 1027"/>
                      <wp:cNvGraphicFramePr/>
                      <a:graphic xmlns:a="http://schemas.openxmlformats.org/drawingml/2006/main">
                        <a:graphicData uri="http://schemas.microsoft.com/office/word/2010/wordprocessingShape">
                          <wps:wsp>
                            <wps:cNvCnPr/>
                            <wps:spPr>
                              <a:xfrm>
                                <a:off x="0" y="0"/>
                                <a:ext cx="1828800" cy="396239"/>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AOr0TWAAAACAEAAA8AAAAAAAAAAQAgAAAAIgAAAGRycy9kb3ducmV2&#10;LnhtbFBLAQIUABQAAAAIAIdO4kDL+yLd/gEAAPsDAAAOAAAAAAAAAAEAIAAAACUBAABkcnMvZTJv&#10;RG9jLnhtbFBLBQYAAAAABgAGAFkBAACVBQAAAAA=&#10;">
                      <v:fill on="f" focussize="0,0"/>
                      <v:stroke color="#000000" joinstyle="round"/>
                      <v:imagedata o:title=""/>
                      <o:lock v:ext="edit" aspectratio="f"/>
                    </v:line>
                  </w:pict>
                </mc:Fallback>
              </mc:AlternateContent>
            </w:r>
          </w:p>
          <w:p>
            <w:pPr>
              <w:pageBreakBefore w:val="0"/>
              <w:widowControl w:val="0"/>
              <w:kinsoku/>
              <w:wordWrap/>
              <w:overflowPunct/>
              <w:topLinePunct w:val="0"/>
              <w:bidi w:val="0"/>
              <w:snapToGrid/>
              <w:spacing w:before="0" w:after="0" w:line="380" w:lineRule="exact"/>
              <w:ind w:left="23"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中标金额（万元）</w:t>
            </w:r>
          </w:p>
        </w:tc>
        <w:tc>
          <w:tcPr>
            <w:tcW w:w="1841" w:type="dxa"/>
            <w:vAlign w:val="center"/>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992" w:type="dxa"/>
            <w:vAlign w:val="center"/>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2293" w:type="dxa"/>
            <w:vAlign w:val="center"/>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vAlign w:val="top"/>
          </w:tcPr>
          <w:p>
            <w:pPr>
              <w:pageBreakBefore w:val="0"/>
              <w:widowControl w:val="0"/>
              <w:kinsoku/>
              <w:wordWrap/>
              <w:overflowPunct/>
              <w:topLinePunct w:val="0"/>
              <w:bidi w:val="0"/>
              <w:snapToGrid/>
              <w:spacing w:before="0" w:after="0" w:line="380" w:lineRule="exact"/>
              <w:ind w:left="23"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841"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92"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293"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vAlign w:val="top"/>
          </w:tcPr>
          <w:p>
            <w:pPr>
              <w:pageBreakBefore w:val="0"/>
              <w:widowControl w:val="0"/>
              <w:kinsoku/>
              <w:wordWrap/>
              <w:overflowPunct/>
              <w:topLinePunct w:val="0"/>
              <w:bidi w:val="0"/>
              <w:snapToGrid/>
              <w:spacing w:before="0" w:after="0" w:line="380" w:lineRule="exact"/>
              <w:ind w:left="23"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1841"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92"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2293"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pPr>
              <w:pageBreakBefore w:val="0"/>
              <w:widowControl w:val="0"/>
              <w:kinsoku/>
              <w:wordWrap/>
              <w:overflowPunct/>
              <w:topLinePunct w:val="0"/>
              <w:bidi w:val="0"/>
              <w:snapToGrid/>
              <w:spacing w:before="0" w:after="0" w:line="380" w:lineRule="exact"/>
              <w:ind w:left="23"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1841"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992"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2293"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pPr>
              <w:pageBreakBefore w:val="0"/>
              <w:widowControl w:val="0"/>
              <w:kinsoku/>
              <w:wordWrap/>
              <w:overflowPunct/>
              <w:topLinePunct w:val="0"/>
              <w:bidi w:val="0"/>
              <w:snapToGrid/>
              <w:spacing w:before="0" w:after="0" w:line="380" w:lineRule="exact"/>
              <w:ind w:left="23"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1841"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992"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2293"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pPr>
              <w:pageBreakBefore w:val="0"/>
              <w:widowControl w:val="0"/>
              <w:kinsoku/>
              <w:wordWrap/>
              <w:overflowPunct/>
              <w:topLinePunct w:val="0"/>
              <w:bidi w:val="0"/>
              <w:snapToGrid/>
              <w:spacing w:before="0" w:after="0" w:line="380" w:lineRule="exact"/>
              <w:ind w:left="23"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1841"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992"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2293" w:type="dxa"/>
            <w:vAlign w:val="top"/>
          </w:tcPr>
          <w:p>
            <w:pPr>
              <w:pageBreakBefore w:val="0"/>
              <w:widowControl w:val="0"/>
              <w:kinsoku/>
              <w:wordWrap/>
              <w:overflowPunct/>
              <w:topLinePunct w:val="0"/>
              <w:bidi w:val="0"/>
              <w:snapToGrid/>
              <w:spacing w:before="0" w:after="0" w:line="380" w:lineRule="exact"/>
              <w:ind w:left="23"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r>
    </w:tbl>
    <w:p>
      <w:pPr>
        <w:pageBreakBefore w:val="0"/>
        <w:widowControl w:val="0"/>
        <w:kinsoku/>
        <w:wordWrap/>
        <w:overflowPunct/>
        <w:topLinePunct w:val="0"/>
        <w:bidi w:val="0"/>
        <w:snapToGrid/>
        <w:spacing w:before="0" w:after="0" w:line="380" w:lineRule="exact"/>
        <w:ind w:left="25"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注：招标代理服务收费按差额定率累进法计算。</w:t>
      </w:r>
    </w:p>
    <w:p>
      <w:pPr>
        <w:pageBreakBefore w:val="0"/>
        <w:widowControl w:val="0"/>
        <w:kinsoku/>
        <w:wordWrap/>
        <w:overflowPunct/>
        <w:topLinePunct w:val="0"/>
        <w:bidi w:val="0"/>
        <w:snapToGrid/>
        <w:spacing w:before="0" w:after="0" w:line="380" w:lineRule="exact"/>
        <w:ind w:firstLine="422"/>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30.2</w:t>
      </w:r>
      <w:r>
        <w:rPr>
          <w:rFonts w:hint="eastAsia" w:ascii="宋体" w:hAnsi="宋体" w:eastAsia="宋体" w:cs="宋体"/>
          <w:b w:val="0"/>
          <w:bCs/>
          <w:color w:val="auto"/>
          <w:sz w:val="21"/>
          <w:szCs w:val="21"/>
          <w:highlight w:val="none"/>
        </w:rPr>
        <w:t>招标代理服务费缴纳账户：</w:t>
      </w:r>
    </w:p>
    <w:p>
      <w:pPr>
        <w:pageBreakBefore w:val="0"/>
        <w:widowControl w:val="0"/>
        <w:kinsoku/>
        <w:wordWrap/>
        <w:overflowPunct/>
        <w:topLinePunct w:val="0"/>
        <w:bidi w:val="0"/>
        <w:snapToGrid/>
        <w:spacing w:line="380" w:lineRule="exact"/>
        <w:ind w:firstLine="420" w:firstLineChars="200"/>
        <w:textAlignment w:val="auto"/>
        <w:rPr>
          <w:rStyle w:val="26"/>
          <w:rFonts w:hint="eastAsia" w:ascii="宋体" w:hAnsi="宋体" w:eastAsia="宋体" w:cs="宋体"/>
          <w:b w:val="0"/>
          <w:bCs/>
          <w:color w:val="auto"/>
          <w:sz w:val="21"/>
          <w:szCs w:val="21"/>
          <w:highlight w:val="none"/>
          <w:lang w:val="en-US"/>
        </w:rPr>
      </w:pPr>
      <w:bookmarkStart w:id="133" w:name="_Toc9779"/>
      <w:r>
        <w:rPr>
          <w:rStyle w:val="26"/>
          <w:rFonts w:hint="eastAsia" w:ascii="宋体" w:hAnsi="宋体" w:eastAsia="宋体" w:cs="宋体"/>
          <w:b w:val="0"/>
          <w:bCs/>
          <w:color w:val="auto"/>
          <w:sz w:val="21"/>
          <w:szCs w:val="21"/>
          <w:highlight w:val="none"/>
          <w:lang w:val="en-US"/>
        </w:rPr>
        <w:t>开户名称：广西鼎誉工程咨询有限公司桂林分公司</w:t>
      </w:r>
    </w:p>
    <w:p>
      <w:pPr>
        <w:pageBreakBefore w:val="0"/>
        <w:widowControl w:val="0"/>
        <w:kinsoku/>
        <w:wordWrap/>
        <w:overflowPunct/>
        <w:topLinePunct w:val="0"/>
        <w:bidi w:val="0"/>
        <w:snapToGrid/>
        <w:spacing w:line="380" w:lineRule="exact"/>
        <w:ind w:firstLine="420" w:firstLineChars="200"/>
        <w:textAlignment w:val="auto"/>
        <w:rPr>
          <w:rStyle w:val="26"/>
          <w:rFonts w:hint="eastAsia" w:ascii="宋体" w:hAnsi="宋体" w:eastAsia="宋体" w:cs="宋体"/>
          <w:b w:val="0"/>
          <w:bCs/>
          <w:color w:val="auto"/>
          <w:sz w:val="21"/>
          <w:szCs w:val="21"/>
          <w:highlight w:val="none"/>
          <w:lang w:val="en-US"/>
        </w:rPr>
      </w:pPr>
      <w:r>
        <w:rPr>
          <w:rStyle w:val="26"/>
          <w:rFonts w:hint="eastAsia" w:ascii="宋体" w:hAnsi="宋体" w:eastAsia="宋体" w:cs="宋体"/>
          <w:b w:val="0"/>
          <w:bCs/>
          <w:color w:val="auto"/>
          <w:sz w:val="21"/>
          <w:szCs w:val="21"/>
          <w:highlight w:val="none"/>
          <w:lang w:val="en-US"/>
        </w:rPr>
        <w:t>开户银行：6600 1111 2860 7000 10</w:t>
      </w:r>
    </w:p>
    <w:p>
      <w:pPr>
        <w:pageBreakBefore w:val="0"/>
        <w:widowControl w:val="0"/>
        <w:kinsoku/>
        <w:wordWrap/>
        <w:overflowPunct/>
        <w:topLinePunct w:val="0"/>
        <w:bidi w:val="0"/>
        <w:snapToGrid/>
        <w:spacing w:line="380" w:lineRule="exact"/>
        <w:ind w:firstLine="420" w:firstLineChars="200"/>
        <w:textAlignment w:val="auto"/>
        <w:rPr>
          <w:rStyle w:val="26"/>
          <w:rFonts w:hint="eastAsia" w:ascii="宋体" w:hAnsi="宋体" w:eastAsia="宋体" w:cs="宋体"/>
          <w:b w:val="0"/>
          <w:bCs/>
          <w:color w:val="auto"/>
          <w:sz w:val="21"/>
          <w:szCs w:val="21"/>
          <w:highlight w:val="none"/>
          <w:lang w:val="en-US"/>
        </w:rPr>
      </w:pPr>
      <w:r>
        <w:rPr>
          <w:rStyle w:val="26"/>
          <w:rFonts w:hint="eastAsia" w:ascii="宋体" w:hAnsi="宋体" w:eastAsia="宋体" w:cs="宋体"/>
          <w:b w:val="0"/>
          <w:bCs/>
          <w:color w:val="auto"/>
          <w:sz w:val="21"/>
          <w:szCs w:val="21"/>
          <w:highlight w:val="none"/>
          <w:lang w:val="en-US"/>
        </w:rPr>
        <w:t>账    号：桂林银行七星支行</w:t>
      </w:r>
    </w:p>
    <w:p>
      <w:pPr>
        <w:pageBreakBefore w:val="0"/>
        <w:widowControl w:val="0"/>
        <w:kinsoku/>
        <w:wordWrap/>
        <w:overflowPunct/>
        <w:topLinePunct w:val="0"/>
        <w:bidi w:val="0"/>
        <w:snapToGrid/>
        <w:spacing w:line="380" w:lineRule="exact"/>
        <w:ind w:firstLine="422" w:firstLineChars="200"/>
        <w:textAlignment w:val="auto"/>
        <w:rPr>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31. 解释权</w:t>
      </w:r>
      <w:bookmarkEnd w:id="132"/>
      <w:bookmarkEnd w:id="133"/>
      <w:r>
        <w:rPr>
          <w:rFonts w:hint="eastAsia" w:ascii="宋体" w:hAnsi="宋体" w:eastAsia="宋体" w:cs="宋体"/>
          <w:color w:val="auto"/>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pageBreakBefore w:val="0"/>
        <w:widowControl w:val="0"/>
        <w:kinsoku/>
        <w:wordWrap/>
        <w:overflowPunct/>
        <w:topLinePunct w:val="0"/>
        <w:bidi w:val="0"/>
        <w:snapToGrid/>
        <w:spacing w:line="380" w:lineRule="exact"/>
        <w:ind w:left="315"/>
        <w:textAlignment w:val="auto"/>
        <w:rPr>
          <w:rFonts w:ascii="宋体" w:hAnsi="宋体"/>
          <w:color w:val="auto"/>
          <w:sz w:val="21"/>
          <w:szCs w:val="21"/>
          <w:highlight w:val="none"/>
        </w:rPr>
      </w:pPr>
      <w:bookmarkStart w:id="134" w:name="_Toc32738"/>
      <w:r>
        <w:rPr>
          <w:rStyle w:val="26"/>
          <w:rFonts w:hint="eastAsia" w:ascii="宋体" w:hAnsi="宋体" w:eastAsia="宋体" w:cs="宋体"/>
          <w:color w:val="auto"/>
          <w:sz w:val="21"/>
          <w:szCs w:val="21"/>
          <w:highlight w:val="none"/>
        </w:rPr>
        <w:t>32. 监督管理机构</w:t>
      </w:r>
      <w:bookmarkEnd w:id="134"/>
      <w:r>
        <w:rPr>
          <w:rFonts w:hint="eastAsia" w:ascii="宋体" w:hAnsi="宋体" w:eastAsia="宋体" w:cs="宋体"/>
          <w:color w:val="auto"/>
          <w:sz w:val="21"/>
          <w:szCs w:val="21"/>
          <w:highlight w:val="none"/>
        </w:rPr>
        <w:t>：</w:t>
      </w:r>
      <w:r>
        <w:rPr>
          <w:rFonts w:hint="eastAsia" w:ascii="宋体" w:hAnsi="宋体"/>
          <w:color w:val="auto"/>
          <w:sz w:val="21"/>
          <w:szCs w:val="21"/>
          <w:highlight w:val="none"/>
          <w:lang w:eastAsia="zh-CN"/>
        </w:rPr>
        <w:t>兴安县政府采购管理办公室</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联系电话：</w:t>
      </w:r>
      <w:r>
        <w:rPr>
          <w:rFonts w:hint="eastAsia" w:ascii="宋体" w:hAnsi="宋体"/>
          <w:color w:val="auto"/>
          <w:sz w:val="21"/>
          <w:szCs w:val="21"/>
          <w:highlight w:val="none"/>
          <w:lang w:eastAsia="zh-CN"/>
        </w:rPr>
        <w:t>0773-6220651</w:t>
      </w:r>
    </w:p>
    <w:p>
      <w:pPr>
        <w:pageBreakBefore w:val="0"/>
        <w:widowControl w:val="0"/>
        <w:kinsoku/>
        <w:wordWrap/>
        <w:overflowPunct/>
        <w:topLinePunct w:val="0"/>
        <w:bidi w:val="0"/>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p>
    <w:p>
      <w:pPr>
        <w:snapToGrid w:val="0"/>
        <w:rPr>
          <w:rFonts w:hint="eastAsia"/>
          <w:b/>
          <w:color w:val="auto"/>
          <w:kern w:val="0"/>
          <w:sz w:val="24"/>
          <w:szCs w:val="24"/>
          <w:highlight w:val="none"/>
        </w:rPr>
      </w:pPr>
    </w:p>
    <w:p>
      <w:pPr>
        <w:snapToGrid w:val="0"/>
        <w:rPr>
          <w:rFonts w:hint="eastAsia"/>
          <w:b/>
          <w:color w:val="auto"/>
          <w:kern w:val="0"/>
          <w:sz w:val="24"/>
          <w:szCs w:val="24"/>
          <w:highlight w:val="none"/>
        </w:rPr>
      </w:pPr>
    </w:p>
    <w:p>
      <w:pPr>
        <w:snapToGrid w:val="0"/>
        <w:rPr>
          <w:rFonts w:hint="eastAsia"/>
          <w:b/>
          <w:color w:val="auto"/>
          <w:kern w:val="0"/>
          <w:sz w:val="24"/>
          <w:szCs w:val="24"/>
          <w:highlight w:val="none"/>
        </w:rPr>
      </w:pPr>
    </w:p>
    <w:p>
      <w:pPr>
        <w:snapToGrid w:val="0"/>
        <w:rPr>
          <w:rFonts w:hint="eastAsia"/>
          <w:b/>
          <w:color w:val="auto"/>
          <w:kern w:val="0"/>
          <w:sz w:val="24"/>
          <w:szCs w:val="24"/>
          <w:highlight w:val="none"/>
        </w:rPr>
      </w:pPr>
    </w:p>
    <w:p>
      <w:pPr>
        <w:snapToGrid w:val="0"/>
        <w:rPr>
          <w:rFonts w:hint="eastAsia"/>
          <w:b/>
          <w:color w:val="auto"/>
          <w:kern w:val="0"/>
          <w:sz w:val="24"/>
          <w:szCs w:val="24"/>
          <w:highlight w:val="none"/>
        </w:rPr>
      </w:pPr>
    </w:p>
    <w:p>
      <w:pPr>
        <w:snapToGrid w:val="0"/>
        <w:rPr>
          <w:rFonts w:hint="eastAsia"/>
          <w:b/>
          <w:color w:val="auto"/>
          <w:kern w:val="0"/>
          <w:sz w:val="24"/>
          <w:szCs w:val="24"/>
          <w:highlight w:val="none"/>
        </w:rPr>
      </w:pPr>
    </w:p>
    <w:p>
      <w:pPr>
        <w:snapToGrid w:val="0"/>
        <w:rPr>
          <w:rFonts w:hint="eastAsia"/>
          <w:b/>
          <w:color w:val="auto"/>
          <w:kern w:val="0"/>
          <w:sz w:val="24"/>
          <w:szCs w:val="24"/>
          <w:highlight w:val="none"/>
        </w:rPr>
      </w:pPr>
    </w:p>
    <w:p>
      <w:pPr>
        <w:snapToGrid w:val="0"/>
        <w:rPr>
          <w:rFonts w:hint="eastAsia"/>
          <w:b/>
          <w:color w:val="auto"/>
          <w:kern w:val="0"/>
          <w:sz w:val="24"/>
          <w:szCs w:val="24"/>
          <w:highlight w:val="none"/>
        </w:rPr>
      </w:pPr>
    </w:p>
    <w:p>
      <w:pPr>
        <w:snapToGrid w:val="0"/>
        <w:rPr>
          <w:rFonts w:hint="eastAsia"/>
          <w:b/>
          <w:color w:val="auto"/>
          <w:kern w:val="0"/>
          <w:sz w:val="24"/>
          <w:szCs w:val="24"/>
          <w:highlight w:val="none"/>
        </w:rPr>
      </w:pPr>
    </w:p>
    <w:p>
      <w:pPr>
        <w:snapToGrid w:val="0"/>
        <w:rPr>
          <w:rFonts w:hint="eastAsia"/>
          <w:b/>
          <w:color w:val="auto"/>
          <w:kern w:val="0"/>
          <w:sz w:val="24"/>
          <w:szCs w:val="24"/>
          <w:highlight w:val="none"/>
        </w:rPr>
      </w:pPr>
    </w:p>
    <w:p>
      <w:pPr>
        <w:snapToGrid w:val="0"/>
        <w:rPr>
          <w:rFonts w:hint="eastAsia"/>
          <w:b/>
          <w:color w:val="auto"/>
          <w:kern w:val="0"/>
          <w:sz w:val="24"/>
          <w:szCs w:val="24"/>
          <w:highlight w:val="none"/>
        </w:rPr>
      </w:pPr>
    </w:p>
    <w:p>
      <w:pPr>
        <w:snapToGrid w:val="0"/>
        <w:rPr>
          <w:rFonts w:hint="eastAsia"/>
          <w:b/>
          <w:color w:val="auto"/>
          <w:kern w:val="0"/>
          <w:sz w:val="24"/>
          <w:szCs w:val="24"/>
          <w:highlight w:val="none"/>
        </w:rPr>
      </w:pPr>
    </w:p>
    <w:p>
      <w:pPr>
        <w:snapToGrid w:val="0"/>
        <w:rPr>
          <w:rFonts w:hint="eastAsia"/>
          <w:b/>
          <w:color w:val="auto"/>
          <w:kern w:val="0"/>
          <w:sz w:val="24"/>
          <w:szCs w:val="24"/>
          <w:highlight w:val="none"/>
        </w:rPr>
      </w:pPr>
    </w:p>
    <w:p>
      <w:pPr>
        <w:snapToGrid w:val="0"/>
        <w:rPr>
          <w:rFonts w:hAnsi="宋体"/>
          <w:b/>
          <w:color w:val="auto"/>
          <w:kern w:val="0"/>
          <w:sz w:val="24"/>
          <w:szCs w:val="24"/>
          <w:highlight w:val="none"/>
        </w:rPr>
      </w:pPr>
      <w:r>
        <w:rPr>
          <w:rFonts w:hint="eastAsia"/>
          <w:b/>
          <w:color w:val="auto"/>
          <w:kern w:val="0"/>
          <w:sz w:val="24"/>
          <w:szCs w:val="24"/>
          <w:highlight w:val="none"/>
        </w:rPr>
        <w:t>附表1：</w:t>
      </w:r>
    </w:p>
    <w:p>
      <w:pPr>
        <w:spacing w:line="4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质疑函（格式）</w:t>
      </w:r>
    </w:p>
    <w:p>
      <w:pPr>
        <w:snapToGrid w:val="0"/>
        <w:spacing w:line="36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一、质疑供应商基本信息：</w:t>
      </w:r>
    </w:p>
    <w:p>
      <w:pPr>
        <w:snapToGrid w:val="0"/>
        <w:spacing w:line="360" w:lineRule="exact"/>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质疑供应商：</w:t>
      </w:r>
    </w:p>
    <w:p>
      <w:pPr>
        <w:snapToGrid w:val="0"/>
        <w:spacing w:line="36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地址：邮编：</w:t>
      </w:r>
    </w:p>
    <w:p>
      <w:pPr>
        <w:snapToGrid w:val="0"/>
        <w:spacing w:line="36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联系人：联系电话：</w:t>
      </w:r>
    </w:p>
    <w:p>
      <w:pPr>
        <w:snapToGrid w:val="0"/>
        <w:spacing w:line="36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授权代表：</w:t>
      </w:r>
    </w:p>
    <w:p>
      <w:pPr>
        <w:snapToGrid w:val="0"/>
        <w:spacing w:line="360" w:lineRule="exact"/>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联系电话：</w:t>
      </w:r>
    </w:p>
    <w:p>
      <w:pPr>
        <w:snapToGrid w:val="0"/>
        <w:spacing w:line="36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地址：邮编：</w:t>
      </w:r>
    </w:p>
    <w:p>
      <w:pPr>
        <w:snapToGrid w:val="0"/>
        <w:spacing w:line="36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二、质疑项目基本情况：</w:t>
      </w: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质疑</w:t>
      </w:r>
      <w:r>
        <w:rPr>
          <w:rFonts w:hint="eastAsia" w:ascii="宋体" w:hAnsi="宋体" w:eastAsia="宋体" w:cs="宋体"/>
          <w:color w:val="auto"/>
          <w:kern w:val="0"/>
          <w:sz w:val="24"/>
          <w:szCs w:val="24"/>
          <w:highlight w:val="none"/>
        </w:rPr>
        <w:t>项目的名称：</w:t>
      </w: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质疑</w:t>
      </w:r>
      <w:r>
        <w:rPr>
          <w:rFonts w:hint="eastAsia" w:ascii="宋体" w:hAnsi="宋体" w:eastAsia="宋体" w:cs="宋体"/>
          <w:color w:val="auto"/>
          <w:kern w:val="0"/>
          <w:sz w:val="24"/>
          <w:szCs w:val="24"/>
          <w:highlight w:val="none"/>
        </w:rPr>
        <w:t>项目的编号：</w:t>
      </w: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采购人名称：</w:t>
      </w: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w:t>
      </w:r>
    </w:p>
    <w:p>
      <w:pPr>
        <w:spacing w:line="360" w:lineRule="exact"/>
        <w:ind w:left="25" w:leftChars="12" w:firstLine="352" w:firstLineChars="14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□采购文件   采购文件获取日期：</w:t>
      </w:r>
    </w:p>
    <w:p>
      <w:pPr>
        <w:spacing w:line="360" w:lineRule="exact"/>
        <w:ind w:left="25" w:leftChars="12" w:firstLine="352" w:firstLineChars="14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□采购过程   </w:t>
      </w:r>
    </w:p>
    <w:p>
      <w:pPr>
        <w:spacing w:line="360" w:lineRule="exact"/>
        <w:ind w:left="25" w:leftChars="12" w:firstLine="352" w:firstLineChars="147"/>
        <w:rPr>
          <w:rFonts w:hint="eastAsia" w:ascii="宋体" w:hAnsi="宋体" w:eastAsia="宋体" w:cs="宋体"/>
          <w:bCs/>
          <w:color w:val="auto"/>
          <w:kern w:val="0"/>
          <w:sz w:val="24"/>
          <w:szCs w:val="24"/>
          <w:highlight w:val="none"/>
          <w:u w:val="single"/>
        </w:rPr>
      </w:pPr>
      <w:r>
        <w:rPr>
          <w:rFonts w:hint="eastAsia" w:ascii="宋体" w:hAnsi="宋体" w:eastAsia="宋体" w:cs="宋体"/>
          <w:color w:val="auto"/>
          <w:kern w:val="0"/>
          <w:sz w:val="24"/>
          <w:szCs w:val="24"/>
          <w:highlight w:val="none"/>
        </w:rPr>
        <w:t xml:space="preserve">□成交结果   </w:t>
      </w:r>
    </w:p>
    <w:p>
      <w:pPr>
        <w:spacing w:line="360" w:lineRule="exact"/>
        <w:ind w:left="25" w:leftChars="12"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三、质疑事项具体内容</w:t>
      </w: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质疑事项1：</w:t>
      </w: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事实依据：</w:t>
      </w: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法律依据：</w:t>
      </w: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质疑事项2</w:t>
      </w: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四、与质疑事项相关的质疑请求：</w:t>
      </w: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请求：</w:t>
      </w:r>
    </w:p>
    <w:p>
      <w:pPr>
        <w:spacing w:line="360" w:lineRule="exact"/>
        <w:ind w:left="25" w:leftChars="12" w:firstLine="352" w:firstLineChars="147"/>
        <w:rPr>
          <w:rFonts w:hint="eastAsia" w:ascii="宋体" w:hAnsi="宋体" w:eastAsia="宋体" w:cs="宋体"/>
          <w:color w:val="auto"/>
          <w:kern w:val="0"/>
          <w:sz w:val="24"/>
          <w:szCs w:val="24"/>
          <w:highlight w:val="none"/>
        </w:rPr>
      </w:pP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签字（签章）：                                       公章：</w:t>
      </w:r>
    </w:p>
    <w:p>
      <w:pPr>
        <w:spacing w:line="360" w:lineRule="exact"/>
        <w:ind w:left="25" w:leftChars="12" w:firstLine="352" w:firstLineChars="147"/>
        <w:rPr>
          <w:rFonts w:hint="eastAsia" w:ascii="宋体" w:hAnsi="宋体" w:eastAsia="宋体" w:cs="宋体"/>
          <w:color w:val="auto"/>
          <w:kern w:val="0"/>
          <w:sz w:val="24"/>
          <w:szCs w:val="24"/>
          <w:highlight w:val="none"/>
        </w:rPr>
      </w:pPr>
    </w:p>
    <w:p>
      <w:pPr>
        <w:spacing w:line="36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snapToGrid w:val="0"/>
        <w:spacing w:line="340" w:lineRule="exact"/>
        <w:rPr>
          <w:rFonts w:hint="eastAsia" w:ascii="宋体" w:hAnsi="宋体" w:eastAsia="宋体" w:cs="宋体"/>
          <w:b/>
          <w:color w:val="auto"/>
          <w:kern w:val="0"/>
          <w:sz w:val="24"/>
          <w:szCs w:val="24"/>
          <w:highlight w:val="none"/>
        </w:rPr>
      </w:pPr>
    </w:p>
    <w:p>
      <w:pPr>
        <w:snapToGrid w:val="0"/>
        <w:spacing w:line="340" w:lineRule="exac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说明：</w:t>
      </w:r>
    </w:p>
    <w:p>
      <w:pPr>
        <w:spacing w:line="340" w:lineRule="exact"/>
        <w:ind w:left="25" w:leftChars="12" w:firstLine="354" w:firstLineChars="147"/>
        <w:rPr>
          <w:rFonts w:hint="eastAsia" w:ascii="宋体" w:hAnsi="宋体" w:eastAsia="宋体" w:cs="宋体"/>
          <w:b/>
          <w:bCs/>
          <w:color w:val="auto"/>
          <w:kern w:val="0"/>
          <w:sz w:val="24"/>
          <w:szCs w:val="24"/>
          <w:highlight w:val="none"/>
        </w:rPr>
      </w:pPr>
      <w:r>
        <w:rPr>
          <w:rFonts w:hint="eastAsia" w:ascii="宋体" w:hAnsi="宋体" w:eastAsia="宋体" w:cs="宋体"/>
          <w:b/>
          <w:color w:val="auto"/>
          <w:kern w:val="0"/>
          <w:sz w:val="24"/>
          <w:szCs w:val="24"/>
          <w:highlight w:val="none"/>
        </w:rPr>
        <w:t>1.供应商提出质疑时，应提交质疑函和必要的证明材料</w:t>
      </w:r>
      <w:r>
        <w:rPr>
          <w:rFonts w:hint="eastAsia" w:ascii="宋体" w:hAnsi="宋体" w:eastAsia="宋体" w:cs="宋体"/>
          <w:b/>
          <w:bCs/>
          <w:color w:val="auto"/>
          <w:kern w:val="0"/>
          <w:sz w:val="24"/>
          <w:szCs w:val="24"/>
          <w:highlight w:val="none"/>
        </w:rPr>
        <w:t>。</w:t>
      </w:r>
    </w:p>
    <w:p>
      <w:pPr>
        <w:spacing w:line="340" w:lineRule="exact"/>
        <w:ind w:left="25" w:leftChars="12"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40" w:lineRule="exact"/>
        <w:ind w:left="25" w:leftChars="12"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3.质疑函的质疑事项应具体、明确，并有必要的事实依据和法律依据。</w:t>
      </w:r>
    </w:p>
    <w:p>
      <w:pPr>
        <w:spacing w:line="340" w:lineRule="exact"/>
        <w:ind w:left="25" w:leftChars="12"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4.质疑函的质疑请求应与质疑事项相关。</w:t>
      </w:r>
    </w:p>
    <w:p>
      <w:pPr>
        <w:spacing w:line="340" w:lineRule="exact"/>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6.质疑供应商为法人或者其他组织的，质疑函应由法定代表人、主要负责人，或者其授权代表签字或者盖章，并加盖公章。</w:t>
      </w:r>
    </w:p>
    <w:p>
      <w:pPr>
        <w:snapToGrid w:val="0"/>
        <w:rPr>
          <w:rFonts w:hAnsi="宋体"/>
          <w:b/>
          <w:color w:val="auto"/>
          <w:kern w:val="0"/>
          <w:sz w:val="24"/>
          <w:szCs w:val="24"/>
          <w:highlight w:val="none"/>
        </w:rPr>
      </w:pPr>
      <w:r>
        <w:rPr>
          <w:rFonts w:hint="eastAsia"/>
          <w:b/>
          <w:color w:val="auto"/>
          <w:kern w:val="0"/>
          <w:sz w:val="24"/>
          <w:szCs w:val="24"/>
          <w:highlight w:val="none"/>
        </w:rPr>
        <w:t>附表2：</w:t>
      </w:r>
    </w:p>
    <w:p>
      <w:pPr>
        <w:spacing w:line="460" w:lineRule="exact"/>
        <w:jc w:val="center"/>
        <w:rPr>
          <w:rFonts w:eastAsia="隶书"/>
          <w:color w:val="auto"/>
          <w:kern w:val="0"/>
          <w:sz w:val="24"/>
          <w:szCs w:val="24"/>
          <w:highlight w:val="none"/>
        </w:rPr>
      </w:pPr>
    </w:p>
    <w:p>
      <w:pPr>
        <w:spacing w:line="4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投诉书（格式）</w:t>
      </w:r>
    </w:p>
    <w:p>
      <w:pPr>
        <w:snapToGrid w:val="0"/>
        <w:spacing w:line="40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一、投诉相关主体基本情况：</w:t>
      </w:r>
    </w:p>
    <w:p>
      <w:pPr>
        <w:snapToGrid w:val="0"/>
        <w:spacing w:line="400" w:lineRule="exact"/>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供应商：</w:t>
      </w:r>
    </w:p>
    <w:p>
      <w:pPr>
        <w:snapToGrid w:val="0"/>
        <w:spacing w:line="40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地址：邮编：</w:t>
      </w:r>
    </w:p>
    <w:p>
      <w:pPr>
        <w:snapToGrid w:val="0"/>
        <w:spacing w:line="400" w:lineRule="exact"/>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法定代表人/主要负责人：</w:t>
      </w:r>
    </w:p>
    <w:p>
      <w:pPr>
        <w:snapToGrid w:val="0"/>
        <w:spacing w:line="40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联系电话：</w:t>
      </w:r>
    </w:p>
    <w:p>
      <w:pPr>
        <w:snapToGrid w:val="0"/>
        <w:spacing w:line="400" w:lineRule="exact"/>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授权代表：联系电话：</w:t>
      </w:r>
    </w:p>
    <w:p>
      <w:pPr>
        <w:snapToGrid w:val="0"/>
        <w:spacing w:line="40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地址：邮编：</w:t>
      </w:r>
    </w:p>
    <w:p>
      <w:pPr>
        <w:snapToGrid w:val="0"/>
        <w:spacing w:line="40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被投诉人1：</w:t>
      </w:r>
    </w:p>
    <w:p>
      <w:pPr>
        <w:snapToGrid w:val="0"/>
        <w:spacing w:line="40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地址：邮编：</w:t>
      </w:r>
    </w:p>
    <w:p>
      <w:pPr>
        <w:snapToGrid w:val="0"/>
        <w:spacing w:line="400" w:lineRule="exact"/>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联系人：联系电话：</w:t>
      </w:r>
    </w:p>
    <w:p>
      <w:pPr>
        <w:snapToGrid w:val="0"/>
        <w:spacing w:line="40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被投诉人2：</w:t>
      </w:r>
    </w:p>
    <w:p>
      <w:pPr>
        <w:snapToGrid w:val="0"/>
        <w:spacing w:line="40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t>
      </w:r>
    </w:p>
    <w:p>
      <w:pPr>
        <w:snapToGrid w:val="0"/>
        <w:spacing w:line="400" w:lineRule="exact"/>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相关供应商：</w:t>
      </w:r>
    </w:p>
    <w:p>
      <w:pPr>
        <w:snapToGrid w:val="0"/>
        <w:spacing w:line="400" w:lineRule="exact"/>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地址：邮编：</w:t>
      </w:r>
    </w:p>
    <w:p>
      <w:pPr>
        <w:snapToGrid w:val="0"/>
        <w:spacing w:line="400" w:lineRule="exact"/>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联系人：联系电话：</w:t>
      </w:r>
    </w:p>
    <w:p>
      <w:pPr>
        <w:snapToGrid w:val="0"/>
        <w:spacing w:line="40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二、投诉项目基本情况：</w:t>
      </w:r>
    </w:p>
    <w:p>
      <w:pPr>
        <w:spacing w:line="40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采购</w:t>
      </w:r>
      <w:r>
        <w:rPr>
          <w:rFonts w:hint="eastAsia" w:ascii="宋体" w:hAnsi="宋体" w:eastAsia="宋体" w:cs="宋体"/>
          <w:color w:val="auto"/>
          <w:kern w:val="0"/>
          <w:sz w:val="24"/>
          <w:szCs w:val="24"/>
          <w:highlight w:val="none"/>
        </w:rPr>
        <w:t>项目的名称：</w:t>
      </w:r>
    </w:p>
    <w:p>
      <w:pPr>
        <w:spacing w:line="40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rPr>
        <w:t>采购</w:t>
      </w:r>
      <w:r>
        <w:rPr>
          <w:rFonts w:hint="eastAsia" w:ascii="宋体" w:hAnsi="宋体" w:eastAsia="宋体" w:cs="宋体"/>
          <w:color w:val="auto"/>
          <w:kern w:val="0"/>
          <w:sz w:val="24"/>
          <w:szCs w:val="24"/>
          <w:highlight w:val="none"/>
        </w:rPr>
        <w:t>项目的编号：</w:t>
      </w:r>
    </w:p>
    <w:p>
      <w:pPr>
        <w:spacing w:line="400" w:lineRule="exact"/>
        <w:ind w:left="25" w:leftChars="12" w:firstLine="472" w:firstLineChars="197"/>
        <w:rPr>
          <w:rFonts w:hint="eastAsia" w:ascii="宋体" w:hAnsi="宋体" w:eastAsia="宋体" w:cs="宋体"/>
          <w:bCs/>
          <w:color w:val="auto"/>
          <w:kern w:val="0"/>
          <w:sz w:val="24"/>
          <w:szCs w:val="24"/>
          <w:highlight w:val="none"/>
          <w:u w:val="single"/>
        </w:rPr>
      </w:pPr>
      <w:r>
        <w:rPr>
          <w:rFonts w:hint="eastAsia" w:ascii="宋体" w:hAnsi="宋体" w:eastAsia="宋体" w:cs="宋体"/>
          <w:color w:val="auto"/>
          <w:kern w:val="0"/>
          <w:sz w:val="24"/>
          <w:szCs w:val="24"/>
          <w:highlight w:val="none"/>
        </w:rPr>
        <w:t>采购人名称：</w:t>
      </w:r>
    </w:p>
    <w:p>
      <w:pPr>
        <w:spacing w:line="400" w:lineRule="exact"/>
        <w:ind w:left="25" w:leftChars="12" w:firstLine="472" w:firstLineChars="197"/>
        <w:rPr>
          <w:rFonts w:hint="eastAsia" w:ascii="宋体" w:hAnsi="宋体" w:eastAsia="宋体" w:cs="宋体"/>
          <w:bCs/>
          <w:color w:val="auto"/>
          <w:kern w:val="0"/>
          <w:sz w:val="24"/>
          <w:szCs w:val="24"/>
          <w:highlight w:val="none"/>
          <w:u w:val="single"/>
        </w:rPr>
      </w:pPr>
      <w:r>
        <w:rPr>
          <w:rFonts w:hint="eastAsia" w:ascii="宋体" w:hAnsi="宋体" w:eastAsia="宋体" w:cs="宋体"/>
          <w:color w:val="auto"/>
          <w:kern w:val="0"/>
          <w:sz w:val="24"/>
          <w:szCs w:val="24"/>
          <w:highlight w:val="none"/>
        </w:rPr>
        <w:t>代理机构名称：</w:t>
      </w:r>
    </w:p>
    <w:p>
      <w:pPr>
        <w:spacing w:line="400" w:lineRule="exact"/>
        <w:ind w:left="25" w:leftChars="12" w:firstLine="472" w:firstLineChars="197"/>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采购文件公告：</w:t>
      </w:r>
      <w:r>
        <w:rPr>
          <w:rFonts w:hint="eastAsia" w:ascii="宋体" w:hAnsi="宋体" w:eastAsia="宋体" w:cs="宋体"/>
          <w:bCs/>
          <w:color w:val="auto"/>
          <w:kern w:val="0"/>
          <w:sz w:val="24"/>
          <w:szCs w:val="24"/>
          <w:highlight w:val="none"/>
          <w:u w:val="single"/>
        </w:rPr>
        <w:t>是/否</w:t>
      </w:r>
      <w:r>
        <w:rPr>
          <w:rFonts w:hint="eastAsia" w:ascii="宋体" w:hAnsi="宋体" w:eastAsia="宋体" w:cs="宋体"/>
          <w:bCs/>
          <w:color w:val="auto"/>
          <w:kern w:val="0"/>
          <w:sz w:val="24"/>
          <w:szCs w:val="24"/>
          <w:highlight w:val="none"/>
        </w:rPr>
        <w:t>公告期限：</w:t>
      </w:r>
    </w:p>
    <w:p>
      <w:pPr>
        <w:spacing w:line="400" w:lineRule="exact"/>
        <w:ind w:left="25" w:leftChars="12" w:firstLine="472" w:firstLineChars="197"/>
        <w:rPr>
          <w:rFonts w:hint="eastAsia" w:ascii="宋体" w:hAnsi="宋体" w:eastAsia="宋体" w:cs="宋体"/>
          <w:b/>
          <w:color w:val="auto"/>
          <w:kern w:val="0"/>
          <w:sz w:val="24"/>
          <w:szCs w:val="24"/>
          <w:highlight w:val="none"/>
        </w:rPr>
      </w:pPr>
      <w:r>
        <w:rPr>
          <w:rFonts w:hint="eastAsia" w:ascii="宋体" w:hAnsi="宋体" w:eastAsia="宋体" w:cs="宋体"/>
          <w:bCs/>
          <w:color w:val="auto"/>
          <w:kern w:val="0"/>
          <w:sz w:val="24"/>
          <w:szCs w:val="24"/>
          <w:highlight w:val="none"/>
        </w:rPr>
        <w:t>采购结果公告：</w:t>
      </w:r>
      <w:r>
        <w:rPr>
          <w:rFonts w:hint="eastAsia" w:ascii="宋体" w:hAnsi="宋体" w:eastAsia="宋体" w:cs="宋体"/>
          <w:bCs/>
          <w:color w:val="auto"/>
          <w:kern w:val="0"/>
          <w:sz w:val="24"/>
          <w:szCs w:val="24"/>
          <w:highlight w:val="none"/>
          <w:u w:val="single"/>
        </w:rPr>
        <w:t>是/否</w:t>
      </w:r>
      <w:r>
        <w:rPr>
          <w:rFonts w:hint="eastAsia" w:ascii="宋体" w:hAnsi="宋体" w:eastAsia="宋体" w:cs="宋体"/>
          <w:bCs/>
          <w:color w:val="auto"/>
          <w:kern w:val="0"/>
          <w:sz w:val="24"/>
          <w:szCs w:val="24"/>
          <w:highlight w:val="none"/>
        </w:rPr>
        <w:t>公告期限：</w:t>
      </w:r>
    </w:p>
    <w:p>
      <w:pPr>
        <w:spacing w:line="400" w:lineRule="exact"/>
        <w:ind w:left="25" w:leftChars="12"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三、质疑基本情况</w:t>
      </w:r>
    </w:p>
    <w:p>
      <w:pPr>
        <w:spacing w:line="400" w:lineRule="exact"/>
        <w:ind w:left="25" w:leftChars="12" w:firstLine="952" w:firstLineChars="3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投诉人于年月日，向提出质疑，质疑事项为：</w:t>
      </w:r>
    </w:p>
    <w:p>
      <w:pPr>
        <w:spacing w:line="400" w:lineRule="exact"/>
        <w:rPr>
          <w:rFonts w:hint="eastAsia" w:ascii="宋体" w:hAnsi="宋体" w:eastAsia="宋体" w:cs="宋体"/>
          <w:bCs/>
          <w:color w:val="auto"/>
          <w:kern w:val="0"/>
          <w:sz w:val="24"/>
          <w:szCs w:val="24"/>
          <w:highlight w:val="none"/>
          <w:u w:val="single"/>
        </w:rPr>
      </w:pPr>
    </w:p>
    <w:p>
      <w:pPr>
        <w:spacing w:line="400" w:lineRule="exact"/>
        <w:rPr>
          <w:rFonts w:hint="eastAsia" w:ascii="宋体" w:hAnsi="宋体" w:eastAsia="宋体" w:cs="宋体"/>
          <w:bCs/>
          <w:color w:val="auto"/>
          <w:kern w:val="0"/>
          <w:sz w:val="24"/>
          <w:szCs w:val="24"/>
          <w:highlight w:val="none"/>
          <w:u w:val="single"/>
        </w:rPr>
      </w:pPr>
    </w:p>
    <w:p>
      <w:pPr>
        <w:spacing w:line="400" w:lineRule="exact"/>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u w:val="single"/>
        </w:rPr>
        <w:t>采购人/代理机构</w:t>
      </w:r>
      <w:r>
        <w:rPr>
          <w:rFonts w:hint="eastAsia" w:ascii="宋体" w:hAnsi="宋体" w:eastAsia="宋体" w:cs="宋体"/>
          <w:bCs/>
          <w:color w:val="auto"/>
          <w:kern w:val="0"/>
          <w:sz w:val="24"/>
          <w:szCs w:val="24"/>
          <w:highlight w:val="none"/>
        </w:rPr>
        <w:t>于</w:t>
      </w:r>
      <w:r>
        <w:rPr>
          <w:rFonts w:hint="eastAsia" w:ascii="宋体" w:hAnsi="宋体" w:eastAsia="宋体" w:cs="宋体"/>
          <w:color w:val="auto"/>
          <w:kern w:val="0"/>
          <w:sz w:val="24"/>
          <w:szCs w:val="24"/>
          <w:highlight w:val="none"/>
        </w:rPr>
        <w:t>年月日，</w:t>
      </w:r>
      <w:r>
        <w:rPr>
          <w:rFonts w:hint="eastAsia" w:ascii="宋体" w:hAnsi="宋体" w:eastAsia="宋体" w:cs="宋体"/>
          <w:bCs/>
          <w:color w:val="auto"/>
          <w:kern w:val="0"/>
          <w:sz w:val="24"/>
          <w:szCs w:val="24"/>
          <w:highlight w:val="none"/>
        </w:rPr>
        <w:t xml:space="preserve">就质疑事项作出了答复/没有在法定期限内作出答复。                                                                                             </w:t>
      </w:r>
    </w:p>
    <w:p>
      <w:pPr>
        <w:spacing w:line="400" w:lineRule="exact"/>
        <w:ind w:left="25" w:leftChars="12"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四、投诉事项具体内容</w:t>
      </w:r>
    </w:p>
    <w:p>
      <w:pPr>
        <w:spacing w:line="400" w:lineRule="exact"/>
        <w:ind w:left="25" w:leftChars="12" w:firstLine="472" w:firstLineChars="197"/>
        <w:rPr>
          <w:rFonts w:hint="eastAsia" w:ascii="宋体" w:hAnsi="宋体" w:eastAsia="宋体" w:cs="宋体"/>
          <w:bCs/>
          <w:color w:val="auto"/>
          <w:kern w:val="0"/>
          <w:sz w:val="24"/>
          <w:szCs w:val="24"/>
          <w:highlight w:val="none"/>
          <w:u w:val="single"/>
        </w:rPr>
      </w:pPr>
      <w:r>
        <w:rPr>
          <w:rFonts w:hint="eastAsia" w:ascii="宋体" w:hAnsi="宋体" w:eastAsia="宋体" w:cs="宋体"/>
          <w:color w:val="auto"/>
          <w:kern w:val="0"/>
          <w:sz w:val="24"/>
          <w:szCs w:val="24"/>
          <w:highlight w:val="none"/>
        </w:rPr>
        <w:t>投诉事项1：</w:t>
      </w:r>
    </w:p>
    <w:p>
      <w:pPr>
        <w:spacing w:line="400" w:lineRule="exact"/>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事实依据：</w:t>
      </w:r>
    </w:p>
    <w:p>
      <w:pPr>
        <w:spacing w:line="400" w:lineRule="exact"/>
        <w:ind w:left="25" w:leftChars="12" w:firstLine="472" w:firstLineChars="197"/>
        <w:rPr>
          <w:rFonts w:hint="eastAsia" w:ascii="宋体" w:hAnsi="宋体" w:eastAsia="宋体" w:cs="宋体"/>
          <w:color w:val="auto"/>
          <w:kern w:val="0"/>
          <w:sz w:val="24"/>
          <w:szCs w:val="24"/>
          <w:highlight w:val="none"/>
        </w:rPr>
      </w:pPr>
    </w:p>
    <w:p>
      <w:pPr>
        <w:spacing w:line="400" w:lineRule="exact"/>
        <w:ind w:firstLine="480" w:firstLineChars="200"/>
        <w:rPr>
          <w:rFonts w:hint="eastAsia" w:ascii="宋体" w:hAnsi="宋体" w:eastAsia="宋体" w:cs="宋体"/>
          <w:bCs/>
          <w:color w:val="auto"/>
          <w:kern w:val="0"/>
          <w:sz w:val="24"/>
          <w:szCs w:val="24"/>
          <w:highlight w:val="none"/>
          <w:u w:val="single"/>
        </w:rPr>
      </w:pPr>
      <w:r>
        <w:rPr>
          <w:rFonts w:hint="eastAsia" w:ascii="宋体" w:hAnsi="宋体" w:eastAsia="宋体" w:cs="宋体"/>
          <w:bCs/>
          <w:color w:val="auto"/>
          <w:kern w:val="0"/>
          <w:sz w:val="24"/>
          <w:szCs w:val="24"/>
          <w:highlight w:val="none"/>
        </w:rPr>
        <w:t>法律依据：</w:t>
      </w:r>
    </w:p>
    <w:p>
      <w:pPr>
        <w:spacing w:line="400" w:lineRule="exact"/>
        <w:ind w:left="25" w:leftChars="12" w:firstLine="352" w:firstLineChars="147"/>
        <w:rPr>
          <w:rFonts w:hint="eastAsia" w:ascii="宋体" w:hAnsi="宋体" w:eastAsia="宋体" w:cs="宋体"/>
          <w:bCs/>
          <w:color w:val="auto"/>
          <w:kern w:val="0"/>
          <w:sz w:val="24"/>
          <w:szCs w:val="24"/>
          <w:highlight w:val="none"/>
          <w:u w:val="single"/>
        </w:rPr>
      </w:pPr>
    </w:p>
    <w:p>
      <w:pPr>
        <w:spacing w:line="400" w:lineRule="exact"/>
        <w:ind w:left="25" w:leftChars="12" w:firstLine="472" w:firstLineChars="197"/>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 xml:space="preserve">投诉事项2  </w:t>
      </w:r>
    </w:p>
    <w:p>
      <w:pPr>
        <w:spacing w:line="400" w:lineRule="exact"/>
        <w:ind w:left="25" w:leftChars="12" w:firstLine="472" w:firstLineChars="197"/>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w:t>
      </w:r>
    </w:p>
    <w:p>
      <w:pPr>
        <w:spacing w:line="400" w:lineRule="exact"/>
        <w:ind w:left="25" w:leftChars="12"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五、与投诉事项相关的投诉请求：</w:t>
      </w:r>
    </w:p>
    <w:p>
      <w:pPr>
        <w:spacing w:line="40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请求：</w:t>
      </w:r>
    </w:p>
    <w:p>
      <w:pPr>
        <w:spacing w:line="400" w:lineRule="exact"/>
        <w:ind w:left="25" w:leftChars="12" w:firstLine="352" w:firstLineChars="147"/>
        <w:rPr>
          <w:rFonts w:hint="eastAsia" w:ascii="宋体" w:hAnsi="宋体" w:eastAsia="宋体" w:cs="宋体"/>
          <w:color w:val="auto"/>
          <w:kern w:val="0"/>
          <w:sz w:val="24"/>
          <w:szCs w:val="24"/>
          <w:highlight w:val="none"/>
        </w:rPr>
      </w:pPr>
    </w:p>
    <w:p>
      <w:pPr>
        <w:spacing w:line="40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签字（签章）：                                       公章：</w:t>
      </w:r>
    </w:p>
    <w:p>
      <w:pPr>
        <w:spacing w:line="400" w:lineRule="exact"/>
        <w:ind w:left="25" w:leftChars="12" w:firstLine="352" w:firstLineChars="147"/>
        <w:rPr>
          <w:rFonts w:hint="eastAsia" w:ascii="宋体" w:hAnsi="宋体" w:eastAsia="宋体" w:cs="宋体"/>
          <w:color w:val="auto"/>
          <w:kern w:val="0"/>
          <w:sz w:val="24"/>
          <w:szCs w:val="24"/>
          <w:highlight w:val="none"/>
        </w:rPr>
      </w:pPr>
    </w:p>
    <w:p>
      <w:pPr>
        <w:spacing w:line="400" w:lineRule="exact"/>
        <w:ind w:left="25" w:leftChars="12" w:firstLine="472" w:firstLineChars="197"/>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spacing w:line="360" w:lineRule="exact"/>
        <w:ind w:left="25" w:leftChars="12" w:firstLine="472" w:firstLineChars="197"/>
        <w:rPr>
          <w:rFonts w:hint="eastAsia" w:ascii="宋体" w:hAnsi="宋体" w:eastAsia="宋体" w:cs="宋体"/>
          <w:color w:val="auto"/>
          <w:kern w:val="0"/>
          <w:sz w:val="24"/>
          <w:szCs w:val="24"/>
          <w:highlight w:val="none"/>
        </w:rPr>
      </w:pPr>
    </w:p>
    <w:p>
      <w:pPr>
        <w:snapToGrid w:val="0"/>
        <w:spacing w:line="340" w:lineRule="exact"/>
        <w:rPr>
          <w:rFonts w:hint="eastAsia" w:ascii="宋体" w:hAnsi="宋体" w:eastAsia="宋体" w:cs="宋体"/>
          <w:b/>
          <w:color w:val="auto"/>
          <w:kern w:val="0"/>
          <w:sz w:val="24"/>
          <w:szCs w:val="24"/>
          <w:highlight w:val="none"/>
        </w:rPr>
      </w:pPr>
    </w:p>
    <w:p>
      <w:pPr>
        <w:snapToGrid w:val="0"/>
        <w:spacing w:line="340" w:lineRule="exact"/>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说明：</w:t>
      </w:r>
    </w:p>
    <w:p>
      <w:pPr>
        <w:spacing w:line="340" w:lineRule="exact"/>
        <w:ind w:left="25" w:leftChars="12" w:firstLine="354" w:firstLineChars="147"/>
        <w:rPr>
          <w:rFonts w:hint="eastAsia" w:ascii="宋体" w:hAnsi="宋体" w:eastAsia="宋体" w:cs="宋体"/>
          <w:b/>
          <w:bCs/>
          <w:color w:val="auto"/>
          <w:kern w:val="0"/>
          <w:sz w:val="24"/>
          <w:szCs w:val="24"/>
          <w:highlight w:val="none"/>
        </w:rPr>
      </w:pPr>
      <w:r>
        <w:rPr>
          <w:rFonts w:hint="eastAsia" w:ascii="宋体" w:hAnsi="宋体" w:eastAsia="宋体" w:cs="宋体"/>
          <w:b/>
          <w:color w:val="auto"/>
          <w:kern w:val="0"/>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sz w:val="24"/>
          <w:szCs w:val="24"/>
          <w:highlight w:val="none"/>
        </w:rPr>
        <w:t>。</w:t>
      </w:r>
    </w:p>
    <w:p>
      <w:pPr>
        <w:spacing w:line="340" w:lineRule="exact"/>
        <w:ind w:left="25" w:leftChars="12"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40" w:lineRule="exact"/>
        <w:ind w:left="25" w:leftChars="12"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3.投诉书应简要列明质疑事项，质疑函、质疑答复等作为附件材料提供。</w:t>
      </w:r>
    </w:p>
    <w:p>
      <w:pPr>
        <w:spacing w:line="340" w:lineRule="exact"/>
        <w:ind w:left="25" w:leftChars="12"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4.投诉书的投诉事项应具体、明确，并有必要的事实依据和法律依据。</w:t>
      </w:r>
    </w:p>
    <w:p>
      <w:pPr>
        <w:spacing w:line="340" w:lineRule="exact"/>
        <w:ind w:left="25" w:leftChars="12"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5.投诉书的投诉请求应与投诉事项相关。</w:t>
      </w:r>
    </w:p>
    <w:p>
      <w:pPr>
        <w:spacing w:line="340" w:lineRule="exact"/>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6.</w:t>
      </w:r>
      <w:r>
        <w:rPr>
          <w:rFonts w:hint="eastAsia" w:ascii="宋体" w:hAnsi="宋体" w:eastAsia="宋体" w:cs="宋体"/>
          <w:b/>
          <w:color w:val="auto"/>
          <w:sz w:val="24"/>
          <w:szCs w:val="24"/>
          <w:highlight w:val="none"/>
        </w:rPr>
        <w:t>投诉人为法人或者其他组织的，投诉书应由法定代表人、主要负责人，或者其授权代表签字或者盖章，并加盖公章。</w:t>
      </w:r>
    </w:p>
    <w:p>
      <w:pPr>
        <w:spacing w:line="340" w:lineRule="exact"/>
        <w:ind w:left="25" w:leftChars="12" w:firstLine="354" w:firstLineChars="147"/>
        <w:rPr>
          <w:rFonts w:hAnsi="宋体"/>
          <w:b/>
          <w:color w:val="auto"/>
          <w:kern w:val="0"/>
          <w:sz w:val="24"/>
          <w:szCs w:val="24"/>
          <w:highlight w:val="none"/>
        </w:rPr>
      </w:pPr>
    </w:p>
    <w:p>
      <w:pPr>
        <w:pStyle w:val="4"/>
        <w:rPr>
          <w:rFonts w:hint="eastAsia"/>
          <w:color w:val="auto"/>
          <w:sz w:val="24"/>
          <w:szCs w:val="24"/>
          <w:highlight w:val="none"/>
          <w:lang w:eastAsia="zh-CN"/>
        </w:rPr>
      </w:pPr>
    </w:p>
    <w:p>
      <w:pPr>
        <w:rPr>
          <w:rFonts w:hint="eastAsia"/>
          <w:color w:val="auto"/>
          <w:sz w:val="24"/>
          <w:szCs w:val="24"/>
          <w:highlight w:val="none"/>
          <w:lang w:eastAsia="zh-CN"/>
        </w:rPr>
      </w:pPr>
    </w:p>
    <w:p>
      <w:pPr>
        <w:pStyle w:val="4"/>
        <w:rPr>
          <w:rFonts w:hint="eastAsia"/>
          <w:color w:val="auto"/>
          <w:sz w:val="24"/>
          <w:szCs w:val="24"/>
          <w:highlight w:val="none"/>
          <w:lang w:eastAsia="zh-CN"/>
        </w:rPr>
      </w:pPr>
    </w:p>
    <w:p>
      <w:pPr>
        <w:rPr>
          <w:rFonts w:hint="eastAsia"/>
          <w:color w:val="auto"/>
          <w:sz w:val="24"/>
          <w:szCs w:val="24"/>
          <w:highlight w:val="none"/>
          <w:lang w:eastAsia="zh-CN"/>
        </w:rPr>
      </w:pPr>
    </w:p>
    <w:p>
      <w:pPr>
        <w:pStyle w:val="2"/>
        <w:rPr>
          <w:rFonts w:hint="eastAsia"/>
          <w:color w:val="auto"/>
          <w:sz w:val="24"/>
          <w:szCs w:val="24"/>
          <w:highlight w:val="none"/>
          <w:lang w:eastAsia="zh-CN"/>
        </w:rPr>
      </w:pPr>
    </w:p>
    <w:p>
      <w:pPr>
        <w:rPr>
          <w:rFonts w:hint="eastAsia"/>
          <w:color w:val="auto"/>
          <w:sz w:val="24"/>
          <w:szCs w:val="24"/>
          <w:highlight w:val="none"/>
          <w:lang w:eastAsia="zh-CN"/>
        </w:rPr>
      </w:pPr>
    </w:p>
    <w:p>
      <w:pPr>
        <w:pStyle w:val="2"/>
        <w:rPr>
          <w:rFonts w:hint="eastAsia"/>
          <w:color w:val="auto"/>
          <w:sz w:val="24"/>
          <w:szCs w:val="24"/>
          <w:highlight w:val="none"/>
          <w:lang w:eastAsia="zh-CN"/>
        </w:rPr>
      </w:pPr>
    </w:p>
    <w:p>
      <w:pPr>
        <w:rPr>
          <w:rFonts w:hint="eastAsia"/>
          <w:color w:val="auto"/>
          <w:sz w:val="24"/>
          <w:szCs w:val="24"/>
          <w:highlight w:val="none"/>
          <w:lang w:eastAsia="zh-CN"/>
        </w:rPr>
      </w:pPr>
    </w:p>
    <w:p>
      <w:pPr>
        <w:pStyle w:val="2"/>
        <w:rPr>
          <w:rFonts w:hint="eastAsia"/>
          <w:color w:val="auto"/>
          <w:sz w:val="24"/>
          <w:szCs w:val="24"/>
          <w:highlight w:val="none"/>
          <w:lang w:eastAsia="zh-CN"/>
        </w:rPr>
      </w:pPr>
    </w:p>
    <w:p>
      <w:pPr>
        <w:rPr>
          <w:rFonts w:hint="eastAsia"/>
          <w:color w:val="auto"/>
          <w:sz w:val="24"/>
          <w:szCs w:val="24"/>
          <w:highlight w:val="none"/>
          <w:lang w:eastAsia="zh-CN"/>
        </w:rPr>
      </w:pPr>
    </w:p>
    <w:p>
      <w:pPr>
        <w:pStyle w:val="2"/>
        <w:rPr>
          <w:rFonts w:hint="eastAsia"/>
          <w:color w:val="auto"/>
          <w:highlight w:val="none"/>
          <w:lang w:eastAsia="zh-CN"/>
        </w:rPr>
      </w:pPr>
    </w:p>
    <w:p>
      <w:pPr>
        <w:pStyle w:val="2"/>
        <w:spacing w:before="191" w:line="219" w:lineRule="auto"/>
        <w:ind w:left="9"/>
        <w:rPr>
          <w:color w:val="auto"/>
          <w:spacing w:val="-8"/>
          <w:sz w:val="24"/>
          <w:szCs w:val="24"/>
          <w:highlight w:val="none"/>
          <w14:textOutline w14:w="4358" w14:cap="sq" w14:cmpd="sng">
            <w14:solidFill>
              <w14:srgbClr w14:val="000000"/>
            </w14:solidFill>
            <w14:prstDash w14:val="solid"/>
            <w14:bevel/>
          </w14:textOutline>
        </w:rPr>
      </w:pPr>
    </w:p>
    <w:p>
      <w:pPr>
        <w:pStyle w:val="2"/>
        <w:spacing w:before="191" w:line="219" w:lineRule="auto"/>
        <w:ind w:left="9"/>
        <w:rPr>
          <w:rFonts w:ascii="Times New Roman" w:hAnsi="Times New Roman" w:eastAsia="Times New Roman" w:cs="Times New Roman"/>
          <w:color w:val="auto"/>
          <w:sz w:val="24"/>
          <w:szCs w:val="24"/>
          <w:highlight w:val="none"/>
        </w:rPr>
      </w:pPr>
      <w:r>
        <w:rPr>
          <w:color w:val="auto"/>
          <w:spacing w:val="-8"/>
          <w:sz w:val="24"/>
          <w:szCs w:val="24"/>
          <w:highlight w:val="none"/>
          <w14:textOutline w14:w="4358" w14:cap="sq" w14:cmpd="sng">
            <w14:solidFill>
              <w14:srgbClr w14:val="000000"/>
            </w14:solidFill>
            <w14:prstDash w14:val="solid"/>
            <w14:bevel/>
          </w14:textOutline>
        </w:rPr>
        <w:t>附表</w:t>
      </w:r>
      <w:r>
        <w:rPr>
          <w:color w:val="auto"/>
          <w:spacing w:val="-54"/>
          <w:sz w:val="24"/>
          <w:szCs w:val="24"/>
          <w:highlight w:val="none"/>
        </w:rPr>
        <w:t xml:space="preserve"> </w:t>
      </w:r>
      <w:r>
        <w:rPr>
          <w:rFonts w:ascii="Times New Roman" w:hAnsi="Times New Roman" w:eastAsia="Times New Roman" w:cs="Times New Roman"/>
          <w:b/>
          <w:bCs/>
          <w:color w:val="auto"/>
          <w:spacing w:val="-8"/>
          <w:sz w:val="24"/>
          <w:szCs w:val="24"/>
          <w:highlight w:val="none"/>
        </w:rPr>
        <w:t>3:</w:t>
      </w:r>
    </w:p>
    <w:p>
      <w:pPr>
        <w:pStyle w:val="2"/>
        <w:keepNext w:val="0"/>
        <w:keepLines w:val="0"/>
        <w:pageBreakBefore w:val="0"/>
        <w:widowControl w:val="0"/>
        <w:kinsoku/>
        <w:wordWrap/>
        <w:overflowPunct/>
        <w:topLinePunct w:val="0"/>
        <w:autoSpaceDE/>
        <w:autoSpaceDN/>
        <w:bidi w:val="0"/>
        <w:adjustRightInd/>
        <w:snapToGrid/>
        <w:spacing w:after="0" w:line="400" w:lineRule="atLeast"/>
        <w:ind w:left="0"/>
        <w:jc w:val="center"/>
        <w:textAlignment w:val="auto"/>
        <w:rPr>
          <w:color w:val="auto"/>
          <w:sz w:val="24"/>
          <w:szCs w:val="24"/>
          <w:highlight w:val="none"/>
        </w:rPr>
      </w:pPr>
      <w:r>
        <w:rPr>
          <w:color w:val="auto"/>
          <w:spacing w:val="9"/>
          <w:sz w:val="24"/>
          <w:szCs w:val="24"/>
          <w:highlight w:val="none"/>
          <w14:textOutline w14:w="5793" w14:cap="sq" w14:cmpd="sng">
            <w14:solidFill>
              <w14:srgbClr w14:val="000000"/>
            </w14:solidFill>
            <w14:prstDash w14:val="solid"/>
            <w14:bevel/>
          </w14:textOutline>
        </w:rPr>
        <w:t>政府采购项目合同验收报告（格式）</w:t>
      </w:r>
    </w:p>
    <w:p>
      <w:pPr>
        <w:spacing w:line="242"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before="65" w:line="229" w:lineRule="auto"/>
        <w:jc w:val="right"/>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根据政府采购项目（</w:t>
      </w:r>
      <w:r>
        <w:rPr>
          <w:rFonts w:ascii="仿宋" w:hAnsi="仿宋" w:eastAsia="仿宋" w:cs="仿宋"/>
          <w:color w:val="auto"/>
          <w:spacing w:val="7"/>
          <w:sz w:val="20"/>
          <w:szCs w:val="20"/>
          <w:highlight w:val="none"/>
          <w:u w:val="single" w:color="auto"/>
        </w:rPr>
        <w:t>采购合同编号</w:t>
      </w:r>
      <w:r>
        <w:rPr>
          <w:rFonts w:ascii="仿宋" w:hAnsi="仿宋" w:eastAsia="仿宋" w:cs="仿宋"/>
          <w:color w:val="auto"/>
          <w:spacing w:val="2"/>
          <w:sz w:val="20"/>
          <w:szCs w:val="20"/>
          <w:highlight w:val="none"/>
          <w:u w:val="single" w:color="auto"/>
        </w:rPr>
        <w:t>：</w:t>
      </w:r>
      <w:r>
        <w:rPr>
          <w:rFonts w:ascii="仿宋" w:hAnsi="仿宋" w:eastAsia="仿宋" w:cs="仿宋"/>
          <w:color w:val="auto"/>
          <w:spacing w:val="17"/>
          <w:sz w:val="20"/>
          <w:szCs w:val="20"/>
          <w:highlight w:val="none"/>
          <w:u w:val="single" w:color="auto"/>
        </w:rPr>
        <w:t xml:space="preserve"> </w:t>
      </w:r>
      <w:r>
        <w:rPr>
          <w:rFonts w:ascii="仿宋" w:hAnsi="仿宋" w:eastAsia="仿宋" w:cs="仿宋"/>
          <w:color w:val="auto"/>
          <w:spacing w:val="-70"/>
          <w:sz w:val="20"/>
          <w:szCs w:val="20"/>
          <w:highlight w:val="none"/>
        </w:rPr>
        <w:t xml:space="preserve"> </w:t>
      </w:r>
      <w:r>
        <w:rPr>
          <w:rFonts w:ascii="仿宋" w:hAnsi="仿宋" w:eastAsia="仿宋" w:cs="仿宋"/>
          <w:color w:val="auto"/>
          <w:spacing w:val="2"/>
          <w:sz w:val="20"/>
          <w:szCs w:val="20"/>
          <w:highlight w:val="none"/>
        </w:rPr>
        <w:t>）</w:t>
      </w:r>
      <w:r>
        <w:rPr>
          <w:rFonts w:ascii="仿宋" w:hAnsi="仿宋" w:eastAsia="仿宋" w:cs="仿宋"/>
          <w:color w:val="auto"/>
          <w:spacing w:val="7"/>
          <w:sz w:val="20"/>
          <w:szCs w:val="20"/>
          <w:highlight w:val="none"/>
        </w:rPr>
        <w:t>的约定，我单位对（</w:t>
      </w:r>
      <w:r>
        <w:rPr>
          <w:rFonts w:ascii="仿宋" w:hAnsi="仿宋" w:eastAsia="仿宋" w:cs="仿宋"/>
          <w:color w:val="auto"/>
          <w:spacing w:val="53"/>
          <w:sz w:val="20"/>
          <w:szCs w:val="20"/>
          <w:highlight w:val="none"/>
          <w:u w:val="single" w:color="auto"/>
        </w:rPr>
        <w:t xml:space="preserve"> </w:t>
      </w:r>
      <w:r>
        <w:rPr>
          <w:rFonts w:ascii="仿宋" w:hAnsi="仿宋" w:eastAsia="仿宋" w:cs="仿宋"/>
          <w:color w:val="auto"/>
          <w:spacing w:val="7"/>
          <w:sz w:val="20"/>
          <w:szCs w:val="20"/>
          <w:highlight w:val="none"/>
          <w:u w:val="single" w:color="auto"/>
        </w:rPr>
        <w:t>项目名称</w:t>
      </w:r>
      <w:r>
        <w:rPr>
          <w:rFonts w:ascii="仿宋" w:hAnsi="仿宋" w:eastAsia="仿宋" w:cs="仿宋"/>
          <w:color w:val="auto"/>
          <w:spacing w:val="38"/>
          <w:sz w:val="20"/>
          <w:szCs w:val="20"/>
          <w:highlight w:val="none"/>
          <w:u w:val="single" w:color="auto"/>
        </w:rPr>
        <w:t xml:space="preserve"> </w:t>
      </w:r>
      <w:r>
        <w:rPr>
          <w:rFonts w:ascii="仿宋" w:hAnsi="仿宋" w:eastAsia="仿宋" w:cs="仿宋"/>
          <w:color w:val="auto"/>
          <w:spacing w:val="7"/>
          <w:sz w:val="20"/>
          <w:szCs w:val="20"/>
          <w:highlight w:val="none"/>
        </w:rPr>
        <w:t>）政府采购项目中</w:t>
      </w:r>
      <w:r>
        <w:rPr>
          <w:rFonts w:ascii="仿宋" w:hAnsi="仿宋" w:eastAsia="仿宋" w:cs="仿宋"/>
          <w:color w:val="auto"/>
          <w:spacing w:val="6"/>
          <w:sz w:val="20"/>
          <w:szCs w:val="20"/>
          <w:highlight w:val="none"/>
        </w:rPr>
        <w:t>标（或成</w:t>
      </w:r>
    </w:p>
    <w:p>
      <w:pPr>
        <w:spacing w:before="73" w:line="221" w:lineRule="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交）供应商</w:t>
      </w:r>
      <w:r>
        <w:rPr>
          <w:rFonts w:ascii="仿宋" w:hAnsi="仿宋" w:eastAsia="仿宋" w:cs="仿宋"/>
          <w:color w:val="auto"/>
          <w:spacing w:val="6"/>
          <w:sz w:val="20"/>
          <w:szCs w:val="20"/>
          <w:highlight w:val="none"/>
          <w:u w:val="single" w:color="auto"/>
        </w:rPr>
        <w:t>（</w:t>
      </w:r>
      <w:r>
        <w:rPr>
          <w:rFonts w:ascii="仿宋" w:hAnsi="仿宋" w:eastAsia="仿宋" w:cs="仿宋"/>
          <w:color w:val="auto"/>
          <w:spacing w:val="72"/>
          <w:sz w:val="20"/>
          <w:szCs w:val="20"/>
          <w:highlight w:val="none"/>
          <w:u w:val="single" w:color="auto"/>
        </w:rPr>
        <w:t xml:space="preserve"> </w:t>
      </w:r>
      <w:r>
        <w:rPr>
          <w:rFonts w:ascii="仿宋" w:hAnsi="仿宋" w:eastAsia="仿宋" w:cs="仿宋"/>
          <w:color w:val="auto"/>
          <w:spacing w:val="6"/>
          <w:sz w:val="20"/>
          <w:szCs w:val="20"/>
          <w:highlight w:val="none"/>
          <w:u w:val="single" w:color="auto"/>
        </w:rPr>
        <w:t>公司名称</w:t>
      </w:r>
      <w:r>
        <w:rPr>
          <w:rFonts w:ascii="仿宋" w:hAnsi="仿宋" w:eastAsia="仿宋" w:cs="仿宋"/>
          <w:color w:val="auto"/>
          <w:spacing w:val="38"/>
          <w:sz w:val="20"/>
          <w:szCs w:val="20"/>
          <w:highlight w:val="none"/>
          <w:u w:val="single" w:color="auto"/>
        </w:rPr>
        <w:t xml:space="preserve"> </w:t>
      </w:r>
      <w:r>
        <w:rPr>
          <w:rFonts w:ascii="仿宋" w:hAnsi="仿宋" w:eastAsia="仿宋" w:cs="仿宋"/>
          <w:color w:val="auto"/>
          <w:spacing w:val="6"/>
          <w:sz w:val="20"/>
          <w:szCs w:val="20"/>
          <w:highlight w:val="none"/>
          <w:u w:val="single" w:color="auto"/>
        </w:rPr>
        <w:t xml:space="preserve">） </w:t>
      </w:r>
      <w:r>
        <w:rPr>
          <w:rFonts w:ascii="仿宋" w:hAnsi="仿宋" w:eastAsia="仿宋" w:cs="仿宋"/>
          <w:color w:val="auto"/>
          <w:spacing w:val="-84"/>
          <w:sz w:val="20"/>
          <w:szCs w:val="20"/>
          <w:highlight w:val="none"/>
        </w:rPr>
        <w:t xml:space="preserve"> </w:t>
      </w:r>
      <w:r>
        <w:rPr>
          <w:rFonts w:ascii="仿宋" w:hAnsi="仿宋" w:eastAsia="仿宋" w:cs="仿宋"/>
          <w:color w:val="auto"/>
          <w:spacing w:val="6"/>
          <w:sz w:val="20"/>
          <w:szCs w:val="20"/>
          <w:highlight w:val="none"/>
        </w:rPr>
        <w:t>提供的货物（或工程、服务）进行了验收，验收情况如下：</w:t>
      </w:r>
    </w:p>
    <w:tbl>
      <w:tblPr>
        <w:tblStyle w:val="48"/>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vAlign w:val="top"/>
          </w:tcPr>
          <w:p>
            <w:pPr>
              <w:pStyle w:val="47"/>
              <w:spacing w:before="172" w:line="228" w:lineRule="auto"/>
              <w:ind w:left="1103"/>
              <w:rPr>
                <w:color w:val="auto"/>
                <w:highlight w:val="none"/>
              </w:rPr>
            </w:pPr>
            <w:r>
              <w:rPr>
                <w:color w:val="auto"/>
                <w:spacing w:val="6"/>
                <w:highlight w:val="none"/>
              </w:rPr>
              <w:t>验收方式：</w:t>
            </w:r>
          </w:p>
        </w:tc>
        <w:tc>
          <w:tcPr>
            <w:tcW w:w="5194" w:type="dxa"/>
            <w:gridSpan w:val="6"/>
            <w:vAlign w:val="top"/>
          </w:tcPr>
          <w:p>
            <w:pPr>
              <w:pStyle w:val="47"/>
              <w:spacing w:before="172" w:line="196" w:lineRule="auto"/>
              <w:ind w:left="1823"/>
              <w:rPr>
                <w:color w:val="auto"/>
                <w:highlight w:val="none"/>
              </w:rPr>
            </w:pPr>
            <w:r>
              <w:rPr>
                <w:rFonts w:ascii="微软雅黑" w:hAnsi="微软雅黑" w:eastAsia="微软雅黑" w:cs="微软雅黑"/>
                <w:color w:val="auto"/>
                <w:spacing w:val="-15"/>
                <w:highlight w:val="none"/>
              </w:rPr>
              <w:t>口</w:t>
            </w:r>
            <w:r>
              <w:rPr>
                <w:rFonts w:ascii="微软雅黑" w:hAnsi="微软雅黑" w:eastAsia="微软雅黑" w:cs="微软雅黑"/>
                <w:color w:val="auto"/>
                <w:spacing w:val="-13"/>
                <w:highlight w:val="none"/>
              </w:rPr>
              <w:t xml:space="preserve"> </w:t>
            </w:r>
            <w:r>
              <w:rPr>
                <w:color w:val="auto"/>
                <w:spacing w:val="-15"/>
                <w:highlight w:val="none"/>
              </w:rPr>
              <w:t>自行验收</w:t>
            </w:r>
            <w:r>
              <w:rPr>
                <w:color w:val="auto"/>
                <w:spacing w:val="23"/>
                <w:highlight w:val="none"/>
              </w:rPr>
              <w:t xml:space="preserve"> </w:t>
            </w:r>
            <w:r>
              <w:rPr>
                <w:rFonts w:ascii="微软雅黑" w:hAnsi="微软雅黑" w:eastAsia="微软雅黑" w:cs="微软雅黑"/>
                <w:color w:val="auto"/>
                <w:spacing w:val="-15"/>
                <w:highlight w:val="none"/>
              </w:rPr>
              <w:t>口</w:t>
            </w:r>
            <w:r>
              <w:rPr>
                <w:color w:val="auto"/>
                <w:spacing w:val="-15"/>
                <w:highlight w:val="none"/>
              </w:rPr>
              <w:t>委托验收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vAlign w:val="top"/>
          </w:tcPr>
          <w:p>
            <w:pPr>
              <w:pStyle w:val="47"/>
              <w:spacing w:before="234" w:line="229" w:lineRule="auto"/>
              <w:ind w:left="458"/>
              <w:rPr>
                <w:color w:val="auto"/>
                <w:highlight w:val="none"/>
              </w:rPr>
            </w:pPr>
            <w:r>
              <w:rPr>
                <w:color w:val="auto"/>
                <w:spacing w:val="5"/>
                <w:highlight w:val="none"/>
              </w:rPr>
              <w:t>序号</w:t>
            </w:r>
          </w:p>
        </w:tc>
        <w:tc>
          <w:tcPr>
            <w:tcW w:w="1917" w:type="dxa"/>
            <w:vAlign w:val="top"/>
          </w:tcPr>
          <w:p>
            <w:pPr>
              <w:pStyle w:val="47"/>
              <w:spacing w:before="234" w:line="230" w:lineRule="auto"/>
              <w:ind w:left="698"/>
              <w:rPr>
                <w:color w:val="auto"/>
                <w:highlight w:val="none"/>
              </w:rPr>
            </w:pPr>
            <w:r>
              <w:rPr>
                <w:color w:val="auto"/>
                <w:highlight w:val="none"/>
              </w:rPr>
              <w:t>名</w:t>
            </w:r>
            <w:r>
              <w:rPr>
                <w:color w:val="auto"/>
                <w:spacing w:val="12"/>
                <w:highlight w:val="none"/>
              </w:rPr>
              <w:t xml:space="preserve"> </w:t>
            </w:r>
            <w:r>
              <w:rPr>
                <w:color w:val="auto"/>
                <w:highlight w:val="none"/>
              </w:rPr>
              <w:t>称</w:t>
            </w:r>
          </w:p>
        </w:tc>
        <w:tc>
          <w:tcPr>
            <w:tcW w:w="2897" w:type="dxa"/>
            <w:gridSpan w:val="3"/>
            <w:vAlign w:val="top"/>
          </w:tcPr>
          <w:p>
            <w:pPr>
              <w:pStyle w:val="47"/>
              <w:spacing w:before="75" w:line="227" w:lineRule="auto"/>
              <w:ind w:left="91"/>
              <w:rPr>
                <w:color w:val="auto"/>
                <w:highlight w:val="none"/>
              </w:rPr>
            </w:pPr>
            <w:r>
              <w:rPr>
                <w:color w:val="auto"/>
                <w:spacing w:val="8"/>
                <w:highlight w:val="none"/>
              </w:rPr>
              <w:t>货物型号规格、标准及配置等</w:t>
            </w:r>
          </w:p>
          <w:p>
            <w:pPr>
              <w:pStyle w:val="47"/>
              <w:spacing w:before="73" w:line="220" w:lineRule="auto"/>
              <w:ind w:left="411"/>
              <w:rPr>
                <w:color w:val="auto"/>
                <w:highlight w:val="none"/>
              </w:rPr>
            </w:pPr>
            <w:r>
              <w:rPr>
                <w:color w:val="auto"/>
                <w:spacing w:val="7"/>
                <w:highlight w:val="none"/>
              </w:rPr>
              <w:t>（或服务内容、标准）</w:t>
            </w:r>
          </w:p>
        </w:tc>
        <w:tc>
          <w:tcPr>
            <w:tcW w:w="862" w:type="dxa"/>
            <w:gridSpan w:val="2"/>
            <w:vAlign w:val="top"/>
          </w:tcPr>
          <w:p>
            <w:pPr>
              <w:pStyle w:val="47"/>
              <w:spacing w:before="234" w:line="228" w:lineRule="auto"/>
              <w:ind w:left="227"/>
              <w:rPr>
                <w:color w:val="auto"/>
                <w:highlight w:val="none"/>
              </w:rPr>
            </w:pPr>
            <w:r>
              <w:rPr>
                <w:color w:val="auto"/>
                <w:spacing w:val="3"/>
                <w:highlight w:val="none"/>
              </w:rPr>
              <w:t>数量</w:t>
            </w:r>
          </w:p>
        </w:tc>
        <w:tc>
          <w:tcPr>
            <w:tcW w:w="1435" w:type="dxa"/>
            <w:vAlign w:val="top"/>
          </w:tcPr>
          <w:p>
            <w:pPr>
              <w:pStyle w:val="47"/>
              <w:spacing w:before="234" w:line="228" w:lineRule="auto"/>
              <w:ind w:left="459"/>
              <w:rPr>
                <w:color w:val="auto"/>
                <w:highlight w:val="none"/>
              </w:rPr>
            </w:pPr>
            <w:r>
              <w:rPr>
                <w:color w:val="auto"/>
                <w:highlight w:val="none"/>
              </w:rPr>
              <w:t>金</w:t>
            </w:r>
            <w:r>
              <w:rPr>
                <w:color w:val="auto"/>
                <w:spacing w:val="13"/>
                <w:highlight w:val="none"/>
              </w:rPr>
              <w:t xml:space="preserve"> </w:t>
            </w:r>
            <w:r>
              <w:rPr>
                <w:color w:val="auto"/>
                <w:highlight w:val="none"/>
              </w:rPr>
              <w:t>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pPr>
              <w:rPr>
                <w:rFonts w:ascii="Arial"/>
                <w:color w:val="auto"/>
                <w:sz w:val="21"/>
                <w:highlight w:val="none"/>
              </w:rPr>
            </w:pPr>
          </w:p>
        </w:tc>
        <w:tc>
          <w:tcPr>
            <w:tcW w:w="1917" w:type="dxa"/>
            <w:vAlign w:val="top"/>
          </w:tcPr>
          <w:p>
            <w:pPr>
              <w:rPr>
                <w:rFonts w:ascii="Arial"/>
                <w:color w:val="auto"/>
                <w:sz w:val="21"/>
                <w:highlight w:val="none"/>
              </w:rPr>
            </w:pPr>
          </w:p>
        </w:tc>
        <w:tc>
          <w:tcPr>
            <w:tcW w:w="2897" w:type="dxa"/>
            <w:gridSpan w:val="3"/>
            <w:vAlign w:val="top"/>
          </w:tcPr>
          <w:p>
            <w:pPr>
              <w:rPr>
                <w:rFonts w:ascii="Arial"/>
                <w:color w:val="auto"/>
                <w:sz w:val="21"/>
                <w:highlight w:val="none"/>
              </w:rPr>
            </w:pPr>
          </w:p>
        </w:tc>
        <w:tc>
          <w:tcPr>
            <w:tcW w:w="862" w:type="dxa"/>
            <w:gridSpan w:val="2"/>
            <w:vAlign w:val="top"/>
          </w:tcPr>
          <w:p>
            <w:pPr>
              <w:rPr>
                <w:rFonts w:ascii="Arial"/>
                <w:color w:val="auto"/>
                <w:sz w:val="21"/>
                <w:highlight w:val="none"/>
              </w:rPr>
            </w:pPr>
          </w:p>
        </w:tc>
        <w:tc>
          <w:tcPr>
            <w:tcW w:w="1435" w:type="dxa"/>
            <w:vAlign w:val="top"/>
          </w:tcPr>
          <w:p>
            <w:pPr>
              <w:rPr>
                <w:rFonts w:ascii="Arial"/>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pPr>
              <w:rPr>
                <w:rFonts w:ascii="Arial"/>
                <w:color w:val="auto"/>
                <w:sz w:val="21"/>
                <w:highlight w:val="none"/>
              </w:rPr>
            </w:pPr>
          </w:p>
        </w:tc>
        <w:tc>
          <w:tcPr>
            <w:tcW w:w="1917" w:type="dxa"/>
            <w:vAlign w:val="top"/>
          </w:tcPr>
          <w:p>
            <w:pPr>
              <w:rPr>
                <w:rFonts w:ascii="Arial"/>
                <w:color w:val="auto"/>
                <w:sz w:val="21"/>
                <w:highlight w:val="none"/>
              </w:rPr>
            </w:pPr>
          </w:p>
        </w:tc>
        <w:tc>
          <w:tcPr>
            <w:tcW w:w="2897" w:type="dxa"/>
            <w:gridSpan w:val="3"/>
            <w:vAlign w:val="top"/>
          </w:tcPr>
          <w:p>
            <w:pPr>
              <w:rPr>
                <w:rFonts w:ascii="Arial"/>
                <w:color w:val="auto"/>
                <w:sz w:val="21"/>
                <w:highlight w:val="none"/>
              </w:rPr>
            </w:pPr>
          </w:p>
        </w:tc>
        <w:tc>
          <w:tcPr>
            <w:tcW w:w="862" w:type="dxa"/>
            <w:gridSpan w:val="2"/>
            <w:vAlign w:val="top"/>
          </w:tcPr>
          <w:p>
            <w:pPr>
              <w:rPr>
                <w:rFonts w:ascii="Arial"/>
                <w:color w:val="auto"/>
                <w:sz w:val="21"/>
                <w:highlight w:val="none"/>
              </w:rPr>
            </w:pPr>
          </w:p>
        </w:tc>
        <w:tc>
          <w:tcPr>
            <w:tcW w:w="1435" w:type="dxa"/>
            <w:vAlign w:val="top"/>
          </w:tcPr>
          <w:p>
            <w:pPr>
              <w:rPr>
                <w:rFonts w:ascii="Arial"/>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vAlign w:val="top"/>
          </w:tcPr>
          <w:p>
            <w:pPr>
              <w:rPr>
                <w:rFonts w:ascii="Arial"/>
                <w:color w:val="auto"/>
                <w:sz w:val="21"/>
                <w:highlight w:val="none"/>
              </w:rPr>
            </w:pPr>
          </w:p>
        </w:tc>
        <w:tc>
          <w:tcPr>
            <w:tcW w:w="1917" w:type="dxa"/>
            <w:vAlign w:val="top"/>
          </w:tcPr>
          <w:p>
            <w:pPr>
              <w:rPr>
                <w:rFonts w:ascii="Arial"/>
                <w:color w:val="auto"/>
                <w:sz w:val="21"/>
                <w:highlight w:val="none"/>
              </w:rPr>
            </w:pPr>
          </w:p>
        </w:tc>
        <w:tc>
          <w:tcPr>
            <w:tcW w:w="2897" w:type="dxa"/>
            <w:gridSpan w:val="3"/>
            <w:vAlign w:val="top"/>
          </w:tcPr>
          <w:p>
            <w:pPr>
              <w:rPr>
                <w:rFonts w:ascii="Arial"/>
                <w:color w:val="auto"/>
                <w:sz w:val="21"/>
                <w:highlight w:val="none"/>
              </w:rPr>
            </w:pPr>
          </w:p>
        </w:tc>
        <w:tc>
          <w:tcPr>
            <w:tcW w:w="862" w:type="dxa"/>
            <w:gridSpan w:val="2"/>
            <w:vAlign w:val="top"/>
          </w:tcPr>
          <w:p>
            <w:pPr>
              <w:rPr>
                <w:rFonts w:ascii="Arial"/>
                <w:color w:val="auto"/>
                <w:sz w:val="21"/>
                <w:highlight w:val="none"/>
              </w:rPr>
            </w:pPr>
          </w:p>
        </w:tc>
        <w:tc>
          <w:tcPr>
            <w:tcW w:w="1435" w:type="dxa"/>
            <w:vAlign w:val="top"/>
          </w:tcPr>
          <w:p>
            <w:pPr>
              <w:rPr>
                <w:rFonts w:ascii="Arial"/>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pPr>
              <w:pStyle w:val="47"/>
              <w:spacing w:before="161" w:line="229" w:lineRule="auto"/>
              <w:ind w:left="2821"/>
              <w:rPr>
                <w:color w:val="auto"/>
                <w:highlight w:val="none"/>
              </w:rPr>
            </w:pPr>
            <w:r>
              <w:rPr>
                <w:color w:val="auto"/>
                <w:highlight w:val="none"/>
              </w:rPr>
              <w:t>合</w:t>
            </w:r>
            <w:r>
              <w:rPr>
                <w:color w:val="auto"/>
                <w:spacing w:val="13"/>
                <w:highlight w:val="none"/>
              </w:rPr>
              <w:t xml:space="preserve"> </w:t>
            </w:r>
            <w:r>
              <w:rPr>
                <w:color w:val="auto"/>
                <w:highlight w:val="none"/>
              </w:rPr>
              <w:t>计</w:t>
            </w:r>
          </w:p>
        </w:tc>
        <w:tc>
          <w:tcPr>
            <w:tcW w:w="862" w:type="dxa"/>
            <w:gridSpan w:val="2"/>
            <w:vAlign w:val="top"/>
          </w:tcPr>
          <w:p>
            <w:pPr>
              <w:rPr>
                <w:rFonts w:ascii="Arial"/>
                <w:color w:val="auto"/>
                <w:sz w:val="21"/>
                <w:highlight w:val="none"/>
              </w:rPr>
            </w:pPr>
          </w:p>
        </w:tc>
        <w:tc>
          <w:tcPr>
            <w:tcW w:w="1435" w:type="dxa"/>
            <w:vAlign w:val="top"/>
          </w:tcPr>
          <w:p>
            <w:pPr>
              <w:rPr>
                <w:rFonts w:ascii="Arial"/>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pPr>
              <w:pStyle w:val="47"/>
              <w:spacing w:before="238" w:line="228" w:lineRule="auto"/>
              <w:ind w:left="15"/>
              <w:rPr>
                <w:color w:val="auto"/>
                <w:highlight w:val="none"/>
              </w:rPr>
            </w:pPr>
            <w:r>
              <w:rPr>
                <w:color w:val="auto"/>
                <w:spacing w:val="6"/>
                <w:highlight w:val="none"/>
              </w:rPr>
              <w:t>合计大写金额：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vAlign w:val="top"/>
          </w:tcPr>
          <w:p>
            <w:pPr>
              <w:pStyle w:val="47"/>
              <w:spacing w:before="240" w:line="227" w:lineRule="auto"/>
              <w:ind w:left="44"/>
              <w:rPr>
                <w:color w:val="auto"/>
                <w:highlight w:val="none"/>
              </w:rPr>
            </w:pPr>
            <w:r>
              <w:rPr>
                <w:color w:val="auto"/>
                <w:spacing w:val="7"/>
                <w:highlight w:val="none"/>
              </w:rPr>
              <w:t>实际供货日期</w:t>
            </w:r>
          </w:p>
        </w:tc>
        <w:tc>
          <w:tcPr>
            <w:tcW w:w="2714" w:type="dxa"/>
            <w:gridSpan w:val="3"/>
            <w:vAlign w:val="top"/>
          </w:tcPr>
          <w:p>
            <w:pPr>
              <w:rPr>
                <w:rFonts w:ascii="Arial"/>
                <w:color w:val="auto"/>
                <w:sz w:val="21"/>
                <w:highlight w:val="none"/>
              </w:rPr>
            </w:pPr>
          </w:p>
        </w:tc>
        <w:tc>
          <w:tcPr>
            <w:tcW w:w="2278" w:type="dxa"/>
            <w:gridSpan w:val="2"/>
            <w:vAlign w:val="top"/>
          </w:tcPr>
          <w:p>
            <w:pPr>
              <w:pStyle w:val="47"/>
              <w:spacing w:before="240" w:line="227" w:lineRule="auto"/>
              <w:ind w:left="324"/>
              <w:rPr>
                <w:color w:val="auto"/>
                <w:highlight w:val="none"/>
              </w:rPr>
            </w:pPr>
            <w:r>
              <w:rPr>
                <w:color w:val="auto"/>
                <w:spacing w:val="8"/>
                <w:highlight w:val="none"/>
              </w:rPr>
              <w:t>合同交货验收日期</w:t>
            </w:r>
          </w:p>
        </w:tc>
        <w:tc>
          <w:tcPr>
            <w:tcW w:w="2119" w:type="dxa"/>
            <w:gridSpan w:val="2"/>
            <w:vAlign w:val="top"/>
          </w:tcPr>
          <w:p>
            <w:pPr>
              <w:rPr>
                <w:rFonts w:ascii="Arial"/>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vAlign w:val="top"/>
          </w:tcPr>
          <w:p>
            <w:pPr>
              <w:rPr>
                <w:rFonts w:ascii="Arial"/>
                <w:color w:val="auto"/>
                <w:sz w:val="21"/>
                <w:highlight w:val="none"/>
              </w:rPr>
            </w:pPr>
          </w:p>
        </w:tc>
        <w:tc>
          <w:tcPr>
            <w:tcW w:w="2714" w:type="dxa"/>
            <w:gridSpan w:val="3"/>
            <w:vAlign w:val="top"/>
          </w:tcPr>
          <w:p>
            <w:pPr>
              <w:rPr>
                <w:rFonts w:ascii="Arial"/>
                <w:color w:val="auto"/>
                <w:sz w:val="21"/>
                <w:highlight w:val="none"/>
              </w:rPr>
            </w:pPr>
          </w:p>
        </w:tc>
        <w:tc>
          <w:tcPr>
            <w:tcW w:w="2278" w:type="dxa"/>
            <w:gridSpan w:val="2"/>
            <w:vAlign w:val="top"/>
          </w:tcPr>
          <w:p>
            <w:pPr>
              <w:rPr>
                <w:rFonts w:ascii="Arial"/>
                <w:color w:val="auto"/>
                <w:sz w:val="21"/>
                <w:highlight w:val="none"/>
              </w:rPr>
            </w:pPr>
          </w:p>
        </w:tc>
        <w:tc>
          <w:tcPr>
            <w:tcW w:w="2119" w:type="dxa"/>
            <w:gridSpan w:val="2"/>
            <w:vAlign w:val="top"/>
          </w:tcPr>
          <w:p>
            <w:pPr>
              <w:rPr>
                <w:rFonts w:ascii="Arial"/>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vAlign w:val="top"/>
          </w:tcPr>
          <w:p>
            <w:pPr>
              <w:spacing w:line="332" w:lineRule="auto"/>
              <w:rPr>
                <w:rFonts w:ascii="Arial"/>
                <w:color w:val="auto"/>
                <w:sz w:val="21"/>
                <w:highlight w:val="none"/>
              </w:rPr>
            </w:pPr>
          </w:p>
          <w:p>
            <w:pPr>
              <w:pStyle w:val="47"/>
              <w:spacing w:before="65" w:line="263" w:lineRule="auto"/>
              <w:ind w:left="113" w:right="171" w:hanging="3"/>
              <w:rPr>
                <w:color w:val="auto"/>
                <w:highlight w:val="none"/>
              </w:rPr>
            </w:pPr>
            <w:r>
              <w:rPr>
                <w:color w:val="auto"/>
                <w:spacing w:val="8"/>
                <w:highlight w:val="none"/>
              </w:rPr>
              <w:t>验收具体内</w:t>
            </w:r>
            <w:r>
              <w:rPr>
                <w:color w:val="auto"/>
                <w:highlight w:val="none"/>
              </w:rPr>
              <w:t xml:space="preserve"> 容</w:t>
            </w:r>
          </w:p>
        </w:tc>
        <w:tc>
          <w:tcPr>
            <w:tcW w:w="7111" w:type="dxa"/>
            <w:gridSpan w:val="7"/>
            <w:vAlign w:val="top"/>
          </w:tcPr>
          <w:p>
            <w:pPr>
              <w:pStyle w:val="47"/>
              <w:spacing w:before="79" w:line="255" w:lineRule="auto"/>
              <w:ind w:left="103" w:right="103" w:firstLine="9"/>
              <w:rPr>
                <w:rFonts w:ascii="微软雅黑" w:hAnsi="微软雅黑" w:eastAsia="微软雅黑" w:cs="微软雅黑"/>
                <w:color w:val="auto"/>
                <w:highlight w:val="none"/>
              </w:rPr>
            </w:pPr>
            <w:r>
              <w:rPr>
                <w:color w:val="auto"/>
                <w:spacing w:val="8"/>
                <w:highlight w:val="none"/>
              </w:rPr>
              <w:t>（应按采购合同、采购文件、投标响应文件及验收方案等进行验收；并核对</w:t>
            </w:r>
            <w:r>
              <w:rPr>
                <w:color w:val="auto"/>
                <w:spacing w:val="14"/>
                <w:highlight w:val="none"/>
              </w:rPr>
              <w:t xml:space="preserve"> </w:t>
            </w:r>
            <w:r>
              <w:rPr>
                <w:color w:val="auto"/>
                <w:spacing w:val="9"/>
                <w:highlight w:val="none"/>
              </w:rPr>
              <w:t>中标或者成交供应商在安装调试等方面是否违反合同</w:t>
            </w:r>
            <w:r>
              <w:rPr>
                <w:color w:val="auto"/>
                <w:spacing w:val="8"/>
                <w:highlight w:val="none"/>
              </w:rPr>
              <w:t>约定或服务规范要求、</w:t>
            </w:r>
            <w:r>
              <w:rPr>
                <w:color w:val="auto"/>
                <w:highlight w:val="none"/>
              </w:rPr>
              <w:t xml:space="preserve"> </w:t>
            </w:r>
            <w:r>
              <w:rPr>
                <w:color w:val="auto"/>
                <w:spacing w:val="9"/>
                <w:highlight w:val="none"/>
              </w:rPr>
              <w:t xml:space="preserve">提供的质量保证证明材料是否齐全、应有的配件及附件是否达到合同约定  </w:t>
            </w:r>
            <w:r>
              <w:rPr>
                <w:color w:val="auto"/>
                <w:spacing w:val="11"/>
                <w:highlight w:val="none"/>
              </w:rPr>
              <w:t>等。可附件</w:t>
            </w:r>
            <w:r>
              <w:rPr>
                <w:rFonts w:ascii="微软雅黑" w:hAnsi="微软雅黑" w:eastAsia="微软雅黑" w:cs="微软雅黑"/>
                <w:color w:val="auto"/>
                <w:spacing w:val="1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vAlign w:val="top"/>
          </w:tcPr>
          <w:p>
            <w:pPr>
              <w:spacing w:line="267" w:lineRule="auto"/>
              <w:rPr>
                <w:rFonts w:ascii="Arial"/>
                <w:color w:val="auto"/>
                <w:sz w:val="21"/>
                <w:highlight w:val="none"/>
              </w:rPr>
            </w:pPr>
          </w:p>
          <w:p>
            <w:pPr>
              <w:spacing w:line="268" w:lineRule="auto"/>
              <w:rPr>
                <w:rFonts w:ascii="Arial"/>
                <w:color w:val="auto"/>
                <w:sz w:val="21"/>
                <w:highlight w:val="none"/>
              </w:rPr>
            </w:pPr>
          </w:p>
          <w:p>
            <w:pPr>
              <w:spacing w:line="268" w:lineRule="auto"/>
              <w:rPr>
                <w:rFonts w:ascii="Arial"/>
                <w:color w:val="auto"/>
                <w:sz w:val="21"/>
                <w:highlight w:val="none"/>
              </w:rPr>
            </w:pPr>
          </w:p>
          <w:p>
            <w:pPr>
              <w:pStyle w:val="47"/>
              <w:spacing w:before="66" w:line="261" w:lineRule="auto"/>
              <w:ind w:left="114" w:right="171" w:hanging="4"/>
              <w:rPr>
                <w:color w:val="auto"/>
                <w:highlight w:val="none"/>
              </w:rPr>
            </w:pPr>
            <w:r>
              <w:rPr>
                <w:color w:val="auto"/>
                <w:spacing w:val="8"/>
                <w:highlight w:val="none"/>
              </w:rPr>
              <w:t>验收小组意</w:t>
            </w:r>
            <w:r>
              <w:rPr>
                <w:color w:val="auto"/>
                <w:highlight w:val="none"/>
              </w:rPr>
              <w:t xml:space="preserve"> 见</w:t>
            </w:r>
          </w:p>
        </w:tc>
        <w:tc>
          <w:tcPr>
            <w:tcW w:w="7111" w:type="dxa"/>
            <w:gridSpan w:val="7"/>
            <w:vAlign w:val="top"/>
          </w:tcPr>
          <w:p>
            <w:pPr>
              <w:spacing w:line="247" w:lineRule="auto"/>
              <w:rPr>
                <w:rFonts w:ascii="Arial"/>
                <w:color w:val="auto"/>
                <w:sz w:val="21"/>
                <w:highlight w:val="none"/>
              </w:rPr>
            </w:pPr>
          </w:p>
          <w:p>
            <w:pPr>
              <w:spacing w:line="248" w:lineRule="auto"/>
              <w:rPr>
                <w:rFonts w:ascii="Arial"/>
                <w:color w:val="auto"/>
                <w:sz w:val="21"/>
                <w:highlight w:val="none"/>
              </w:rPr>
            </w:pPr>
          </w:p>
          <w:p>
            <w:pPr>
              <w:pStyle w:val="47"/>
              <w:spacing w:before="65" w:line="228" w:lineRule="auto"/>
              <w:ind w:left="5"/>
              <w:rPr>
                <w:color w:val="auto"/>
                <w:highlight w:val="none"/>
              </w:rPr>
            </w:pPr>
            <w:r>
              <w:rPr>
                <w:color w:val="auto"/>
                <w:spacing w:val="7"/>
                <w:highlight w:val="none"/>
              </w:rPr>
              <w:t>验收结论性意见：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vAlign w:val="top"/>
          </w:tcPr>
          <w:p>
            <w:pPr>
              <w:rPr>
                <w:rFonts w:ascii="Arial"/>
                <w:color w:val="auto"/>
                <w:sz w:val="21"/>
                <w:highlight w:val="none"/>
              </w:rPr>
            </w:pPr>
          </w:p>
        </w:tc>
        <w:tc>
          <w:tcPr>
            <w:tcW w:w="7111" w:type="dxa"/>
            <w:gridSpan w:val="7"/>
            <w:vAlign w:val="top"/>
          </w:tcPr>
          <w:p>
            <w:pPr>
              <w:pStyle w:val="47"/>
              <w:spacing w:before="85" w:line="600" w:lineRule="exact"/>
              <w:ind w:left="7"/>
              <w:rPr>
                <w:color w:val="auto"/>
                <w:highlight w:val="none"/>
              </w:rPr>
            </w:pPr>
            <w:r>
              <w:rPr>
                <w:color w:val="auto"/>
                <w:spacing w:val="8"/>
                <w:position w:val="30"/>
                <w:highlight w:val="none"/>
              </w:rPr>
              <w:t>有异议的意见和说明理由：</w:t>
            </w:r>
          </w:p>
          <w:p>
            <w:pPr>
              <w:pStyle w:val="47"/>
              <w:spacing w:line="210" w:lineRule="auto"/>
              <w:ind w:left="6"/>
              <w:rPr>
                <w:color w:val="auto"/>
                <w:highlight w:val="none"/>
              </w:rPr>
            </w:pPr>
            <w:r>
              <w:rPr>
                <w:color w:val="auto"/>
                <w:spacing w:val="3"/>
                <w:highlight w:val="none"/>
              </w:rPr>
              <w:t>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pPr>
              <w:pStyle w:val="47"/>
              <w:spacing w:before="178" w:line="228" w:lineRule="auto"/>
              <w:ind w:left="110"/>
              <w:rPr>
                <w:color w:val="auto"/>
                <w:highlight w:val="none"/>
              </w:rPr>
            </w:pPr>
            <w:r>
              <w:rPr>
                <w:color w:val="auto"/>
                <w:spacing w:val="7"/>
                <w:highlight w:val="none"/>
              </w:rPr>
              <w:t>验收小组成员签字：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pPr>
              <w:pStyle w:val="47"/>
              <w:spacing w:before="87" w:line="600" w:lineRule="exact"/>
              <w:ind w:left="111"/>
              <w:rPr>
                <w:color w:val="auto"/>
                <w:highlight w:val="none"/>
              </w:rPr>
            </w:pPr>
            <w:r>
              <w:rPr>
                <w:color w:val="auto"/>
                <w:spacing w:val="8"/>
                <w:position w:val="30"/>
                <w:highlight w:val="none"/>
              </w:rPr>
              <w:t>监督人员或其他相关人员签字：</w:t>
            </w:r>
          </w:p>
          <w:p>
            <w:pPr>
              <w:pStyle w:val="47"/>
              <w:spacing w:line="209" w:lineRule="auto"/>
              <w:ind w:left="113"/>
              <w:rPr>
                <w:color w:val="auto"/>
                <w:highlight w:val="none"/>
              </w:rPr>
            </w:pPr>
            <w:r>
              <w:rPr>
                <w:color w:val="auto"/>
                <w:spacing w:val="8"/>
                <w:highlight w:val="none"/>
              </w:rPr>
              <w:t>或受邀机构的意见（盖章</w:t>
            </w:r>
            <w:r>
              <w:rPr>
                <w:color w:val="auto"/>
                <w:spacing w:val="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vAlign w:val="top"/>
          </w:tcPr>
          <w:p>
            <w:pPr>
              <w:pStyle w:val="47"/>
              <w:spacing w:before="89" w:line="600" w:lineRule="exact"/>
              <w:ind w:left="130"/>
              <w:rPr>
                <w:color w:val="auto"/>
                <w:highlight w:val="none"/>
              </w:rPr>
            </w:pPr>
            <w:r>
              <w:rPr>
                <w:color w:val="auto"/>
                <w:spacing w:val="7"/>
                <w:position w:val="30"/>
                <w:highlight w:val="none"/>
              </w:rPr>
              <w:t>中标或者成交供应商负责人签字或盖章：</w:t>
            </w:r>
          </w:p>
          <w:p>
            <w:pPr>
              <w:pStyle w:val="47"/>
              <w:spacing w:before="1" w:line="215" w:lineRule="auto"/>
              <w:ind w:left="111"/>
              <w:rPr>
                <w:color w:val="auto"/>
                <w:highlight w:val="none"/>
              </w:rPr>
            </w:pPr>
            <w:r>
              <w:rPr>
                <w:color w:val="auto"/>
                <w:spacing w:val="3"/>
                <w:highlight w:val="none"/>
              </w:rPr>
              <w:t>联系电话：</w:t>
            </w:r>
            <w:r>
              <w:rPr>
                <w:color w:val="auto"/>
                <w:spacing w:val="25"/>
                <w:highlight w:val="none"/>
              </w:rPr>
              <w:t xml:space="preserve"> </w:t>
            </w:r>
            <w:r>
              <w:rPr>
                <w:color w:val="auto"/>
                <w:spacing w:val="3"/>
                <w:highlight w:val="none"/>
              </w:rPr>
              <w:t>年</w:t>
            </w:r>
            <w:r>
              <w:rPr>
                <w:color w:val="auto"/>
                <w:spacing w:val="12"/>
                <w:highlight w:val="none"/>
              </w:rPr>
              <w:t xml:space="preserve">  </w:t>
            </w:r>
            <w:r>
              <w:rPr>
                <w:color w:val="auto"/>
                <w:spacing w:val="3"/>
                <w:highlight w:val="none"/>
              </w:rPr>
              <w:t>月</w:t>
            </w:r>
            <w:r>
              <w:rPr>
                <w:color w:val="auto"/>
                <w:spacing w:val="27"/>
                <w:highlight w:val="none"/>
              </w:rPr>
              <w:t xml:space="preserve">  </w:t>
            </w:r>
            <w:r>
              <w:rPr>
                <w:color w:val="auto"/>
                <w:spacing w:val="3"/>
                <w:highlight w:val="none"/>
              </w:rPr>
              <w:t>日</w:t>
            </w:r>
          </w:p>
        </w:tc>
        <w:tc>
          <w:tcPr>
            <w:tcW w:w="4499" w:type="dxa"/>
            <w:gridSpan w:val="5"/>
            <w:tcBorders>
              <w:left w:val="single" w:color="000000" w:sz="2" w:space="0"/>
            </w:tcBorders>
            <w:vAlign w:val="top"/>
          </w:tcPr>
          <w:p>
            <w:pPr>
              <w:pStyle w:val="47"/>
              <w:spacing w:before="89" w:line="600" w:lineRule="exact"/>
              <w:ind w:left="209"/>
              <w:rPr>
                <w:color w:val="auto"/>
                <w:highlight w:val="none"/>
              </w:rPr>
            </w:pPr>
            <w:r>
              <w:rPr>
                <w:color w:val="auto"/>
                <w:spacing w:val="9"/>
                <w:position w:val="30"/>
                <w:highlight w:val="none"/>
              </w:rPr>
              <w:t>采购人或受托机构的意见（盖章</w:t>
            </w:r>
            <w:r>
              <w:rPr>
                <w:color w:val="auto"/>
                <w:spacing w:val="1"/>
                <w:position w:val="30"/>
                <w:highlight w:val="none"/>
              </w:rPr>
              <w:t>）：</w:t>
            </w:r>
          </w:p>
          <w:p>
            <w:pPr>
              <w:pStyle w:val="47"/>
              <w:spacing w:before="1" w:line="215" w:lineRule="auto"/>
              <w:ind w:left="210"/>
              <w:rPr>
                <w:color w:val="auto"/>
                <w:highlight w:val="none"/>
              </w:rPr>
            </w:pPr>
            <w:r>
              <w:rPr>
                <w:color w:val="auto"/>
                <w:spacing w:val="3"/>
                <w:highlight w:val="none"/>
              </w:rPr>
              <w:t>联系电话：</w:t>
            </w:r>
            <w:r>
              <w:rPr>
                <w:color w:val="auto"/>
                <w:spacing w:val="25"/>
                <w:highlight w:val="none"/>
              </w:rPr>
              <w:t xml:space="preserve"> </w:t>
            </w:r>
            <w:r>
              <w:rPr>
                <w:color w:val="auto"/>
                <w:spacing w:val="3"/>
                <w:highlight w:val="none"/>
              </w:rPr>
              <w:t>年</w:t>
            </w:r>
            <w:r>
              <w:rPr>
                <w:color w:val="auto"/>
                <w:spacing w:val="12"/>
                <w:highlight w:val="none"/>
              </w:rPr>
              <w:t xml:space="preserve">  </w:t>
            </w:r>
            <w:r>
              <w:rPr>
                <w:color w:val="auto"/>
                <w:spacing w:val="3"/>
                <w:highlight w:val="none"/>
              </w:rPr>
              <w:t>月</w:t>
            </w:r>
            <w:r>
              <w:rPr>
                <w:color w:val="auto"/>
                <w:spacing w:val="27"/>
                <w:highlight w:val="none"/>
              </w:rPr>
              <w:t xml:space="preserve">  </w:t>
            </w:r>
            <w:r>
              <w:rPr>
                <w:color w:val="auto"/>
                <w:spacing w:val="3"/>
                <w:highlight w:val="none"/>
              </w:rPr>
              <w:t>日</w:t>
            </w:r>
          </w:p>
        </w:tc>
      </w:tr>
    </w:tbl>
    <w:p>
      <w:pPr>
        <w:rPr>
          <w:rFonts w:ascii="Arial"/>
          <w:color w:val="auto"/>
          <w:sz w:val="21"/>
          <w:highlight w:val="none"/>
        </w:rPr>
      </w:pPr>
    </w:p>
    <w:p>
      <w:pPr>
        <w:rPr>
          <w:rFonts w:ascii="Arial" w:hAnsi="Arial" w:eastAsia="Arial" w:cs="Arial"/>
          <w:color w:val="auto"/>
          <w:sz w:val="21"/>
          <w:szCs w:val="21"/>
          <w:highlight w:val="none"/>
        </w:rPr>
        <w:sectPr>
          <w:footerReference r:id="rId9" w:type="default"/>
          <w:pgSz w:w="11906" w:h="16839"/>
          <w:pgMar w:top="1431" w:right="1158" w:bottom="1362" w:left="1151" w:header="0" w:footer="1200" w:gutter="0"/>
          <w:cols w:space="720" w:num="1"/>
        </w:sectPr>
      </w:pPr>
    </w:p>
    <w:p>
      <w:pPr>
        <w:keepNext w:val="0"/>
        <w:keepLines w:val="0"/>
        <w:pageBreakBefore w:val="0"/>
        <w:widowControl w:val="0"/>
        <w:kinsoku/>
        <w:wordWrap/>
        <w:overflowPunct/>
        <w:topLinePunct w:val="0"/>
        <w:autoSpaceDE/>
        <w:autoSpaceDN/>
        <w:bidi w:val="0"/>
        <w:adjustRightInd/>
        <w:snapToGrid/>
        <w:spacing w:line="231"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附件</w:t>
      </w:r>
    </w:p>
    <w:p>
      <w:pPr>
        <w:spacing w:before="184" w:line="18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广西线上“政采贷”政策告知函</w:t>
      </w:r>
    </w:p>
    <w:p>
      <w:pPr>
        <w:spacing w:line="291" w:lineRule="auto"/>
        <w:rPr>
          <w:rFonts w:hint="eastAsia" w:ascii="宋体" w:hAnsi="宋体" w:eastAsia="宋体" w:cs="宋体"/>
          <w:color w:val="auto"/>
          <w:sz w:val="24"/>
          <w:szCs w:val="24"/>
          <w:highlight w:val="none"/>
        </w:rPr>
      </w:pPr>
    </w:p>
    <w:p>
      <w:pPr>
        <w:spacing w:before="101" w:line="229" w:lineRule="auto"/>
        <w:ind w:left="1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各供应商：</w:t>
      </w:r>
    </w:p>
    <w:p>
      <w:pPr>
        <w:spacing w:before="196" w:line="228" w:lineRule="auto"/>
        <w:ind w:left="65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欢迎贵公司参与广西政府采购活动！</w:t>
      </w:r>
    </w:p>
    <w:p>
      <w:pPr>
        <w:spacing w:before="203" w:line="345" w:lineRule="auto"/>
        <w:ind w:left="13" w:firstLine="64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线上“政采贷</w:t>
      </w:r>
      <w:r>
        <w:rPr>
          <w:rFonts w:hint="eastAsia" w:ascii="宋体" w:hAnsi="宋体" w:eastAsia="宋体" w:cs="宋体"/>
          <w:color w:val="auto"/>
          <w:spacing w:val="-97"/>
          <w:sz w:val="24"/>
          <w:szCs w:val="24"/>
          <w:highlight w:val="none"/>
        </w:rPr>
        <w:t xml:space="preserve"> </w:t>
      </w:r>
      <w:r>
        <w:rPr>
          <w:rFonts w:hint="eastAsia" w:ascii="宋体" w:hAnsi="宋体" w:eastAsia="宋体" w:cs="宋体"/>
          <w:color w:val="auto"/>
          <w:spacing w:val="8"/>
          <w:sz w:val="24"/>
          <w:szCs w:val="24"/>
          <w:highlight w:val="none"/>
        </w:rPr>
        <w:t>”是人民银行南宁中心支行和自治区财政厅共同支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持企业发展，针对参与政府采购活动的企业融资难、融资贵、融资慢、</w:t>
      </w:r>
      <w:r>
        <w:rPr>
          <w:rFonts w:hint="eastAsia" w:ascii="宋体" w:hAnsi="宋体" w:eastAsia="宋体" w:cs="宋体"/>
          <w:color w:val="auto"/>
          <w:spacing w:val="10"/>
          <w:sz w:val="24"/>
          <w:szCs w:val="24"/>
          <w:highlight w:val="none"/>
        </w:rPr>
        <w:t xml:space="preserve">融资繁问题推出的一项融资政策。贵公司若成为本次政府采购项目的中标（成交）供应商，可持政府采购合同在线向银行业金融机构申请 </w:t>
      </w:r>
      <w:r>
        <w:rPr>
          <w:rFonts w:hint="eastAsia" w:ascii="宋体" w:hAnsi="宋体" w:eastAsia="宋体" w:cs="宋体"/>
          <w:color w:val="auto"/>
          <w:spacing w:val="5"/>
          <w:sz w:val="24"/>
          <w:szCs w:val="24"/>
          <w:highlight w:val="none"/>
        </w:rPr>
        <w:t>贷款，融资机构将根据《中国人民银行南宁中心支行 广西壮族自治区</w:t>
      </w:r>
      <w:r>
        <w:rPr>
          <w:rFonts w:hint="eastAsia" w:ascii="宋体" w:hAnsi="宋体" w:eastAsia="宋体" w:cs="宋体"/>
          <w:color w:val="auto"/>
          <w:spacing w:val="2"/>
          <w:sz w:val="24"/>
          <w:szCs w:val="24"/>
          <w:highlight w:val="none"/>
        </w:rPr>
        <w:t>财政厅关于推广线上“政采贷</w:t>
      </w:r>
      <w:r>
        <w:rPr>
          <w:rFonts w:hint="eastAsia" w:ascii="宋体" w:hAnsi="宋体" w:eastAsia="宋体" w:cs="宋体"/>
          <w:color w:val="auto"/>
          <w:spacing w:val="-112"/>
          <w:sz w:val="24"/>
          <w:szCs w:val="24"/>
          <w:highlight w:val="none"/>
        </w:rPr>
        <w:t xml:space="preserve"> </w:t>
      </w:r>
      <w:r>
        <w:rPr>
          <w:rFonts w:hint="eastAsia" w:ascii="宋体" w:hAnsi="宋体" w:eastAsia="宋体" w:cs="宋体"/>
          <w:color w:val="auto"/>
          <w:spacing w:val="2"/>
          <w:sz w:val="24"/>
          <w:szCs w:val="24"/>
          <w:highlight w:val="none"/>
        </w:rPr>
        <w:t>”融资模式的通知》（南宁银发〔202</w:t>
      </w: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6"/>
          <w:sz w:val="24"/>
          <w:szCs w:val="24"/>
          <w:highlight w:val="none"/>
        </w:rPr>
        <w:t>258</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6"/>
          <w:sz w:val="24"/>
          <w:szCs w:val="24"/>
          <w:highlight w:val="none"/>
        </w:rPr>
        <w:t>号</w:t>
      </w:r>
      <w:r>
        <w:rPr>
          <w:rFonts w:hint="eastAsia" w:ascii="宋体" w:hAnsi="宋体" w:eastAsia="宋体" w:cs="宋体"/>
          <w:color w:val="auto"/>
          <w:spacing w:val="27"/>
          <w:sz w:val="24"/>
          <w:szCs w:val="24"/>
          <w:highlight w:val="none"/>
        </w:rPr>
        <w:t>），</w:t>
      </w:r>
      <w:r>
        <w:rPr>
          <w:rFonts w:hint="eastAsia" w:ascii="宋体" w:hAnsi="宋体" w:eastAsia="宋体" w:cs="宋体"/>
          <w:color w:val="auto"/>
          <w:spacing w:val="6"/>
          <w:sz w:val="24"/>
          <w:szCs w:val="24"/>
          <w:highlight w:val="none"/>
        </w:rPr>
        <w:t>按照双方自愿的原则提供便捷、优惠的贷款服务。</w:t>
      </w:r>
    </w:p>
    <w:p>
      <w:pPr>
        <w:spacing w:before="196" w:line="346" w:lineRule="auto"/>
        <w:ind w:left="27" w:right="104" w:firstLine="627"/>
        <w:rPr>
          <w:rFonts w:hint="eastAsia" w:ascii="宋体" w:hAnsi="宋体" w:eastAsia="宋体" w:cs="宋体"/>
          <w:color w:val="auto"/>
          <w:spacing w:val="3"/>
          <w:sz w:val="24"/>
          <w:szCs w:val="24"/>
          <w:highlight w:val="none"/>
        </w:rPr>
      </w:pPr>
      <w:r>
        <w:rPr>
          <w:rFonts w:hint="eastAsia" w:ascii="宋体" w:hAnsi="宋体" w:eastAsia="宋体" w:cs="宋体"/>
          <w:color w:val="auto"/>
          <w:spacing w:val="10"/>
          <w:sz w:val="24"/>
          <w:szCs w:val="24"/>
          <w:highlight w:val="none"/>
        </w:rPr>
        <w:t>相关金融产品和银行业金融机构联系方式，可在中征应收账款融</w:t>
      </w:r>
      <w:r>
        <w:rPr>
          <w:rFonts w:hint="eastAsia" w:ascii="宋体" w:hAnsi="宋体" w:eastAsia="宋体" w:cs="宋体"/>
          <w:color w:val="auto"/>
          <w:spacing w:val="-3"/>
          <w:sz w:val="24"/>
          <w:szCs w:val="24"/>
          <w:highlight w:val="none"/>
        </w:rPr>
        <w:t>资</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3"/>
          <w:sz w:val="24"/>
          <w:szCs w:val="24"/>
          <w:highlight w:val="none"/>
        </w:rPr>
        <w:t>服</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3"/>
          <w:sz w:val="24"/>
          <w:szCs w:val="24"/>
          <w:highlight w:val="none"/>
        </w:rPr>
        <w:t>务</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3"/>
          <w:sz w:val="24"/>
          <w:szCs w:val="24"/>
          <w:highlight w:val="none"/>
        </w:rPr>
        <w:t>平</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3"/>
          <w:sz w:val="24"/>
          <w:szCs w:val="24"/>
          <w:highlight w:val="none"/>
        </w:rPr>
        <w:t>台</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3"/>
          <w:sz w:val="24"/>
          <w:szCs w:val="24"/>
          <w:highlight w:val="none"/>
        </w:rPr>
        <w:t>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询</w:t>
      </w:r>
      <w:r>
        <w:rPr>
          <w:rFonts w:hint="eastAsia" w:ascii="宋体" w:hAnsi="宋体" w:eastAsia="宋体" w:cs="宋体"/>
          <w:color w:val="auto"/>
          <w:spacing w:val="-92"/>
          <w:sz w:val="24"/>
          <w:szCs w:val="24"/>
          <w:highlight w:val="none"/>
        </w:rPr>
        <w:t xml:space="preserve"> </w:t>
      </w:r>
      <w:r>
        <w:rPr>
          <w:rFonts w:hint="eastAsia" w:ascii="宋体" w:hAnsi="宋体" w:eastAsia="宋体" w:cs="宋体"/>
          <w:color w:val="auto"/>
          <w:spacing w:val="-3"/>
          <w:sz w:val="24"/>
          <w:szCs w:val="24"/>
          <w:highlight w:val="none"/>
        </w:rPr>
        <w:t>（网</w:t>
      </w:r>
      <w:r>
        <w:rPr>
          <w:rFonts w:hint="eastAsia" w:ascii="宋体" w:hAnsi="宋体" w:eastAsia="宋体" w:cs="宋体"/>
          <w:color w:val="auto"/>
          <w:spacing w:val="-72"/>
          <w:sz w:val="24"/>
          <w:szCs w:val="24"/>
          <w:highlight w:val="none"/>
        </w:rPr>
        <w:t xml:space="preserve"> </w:t>
      </w:r>
      <w:r>
        <w:rPr>
          <w:rFonts w:hint="eastAsia" w:ascii="宋体" w:hAnsi="宋体" w:eastAsia="宋体" w:cs="宋体"/>
          <w:color w:val="auto"/>
          <w:spacing w:val="-3"/>
          <w:sz w:val="24"/>
          <w:szCs w:val="24"/>
          <w:highlight w:val="none"/>
        </w:rPr>
        <w:t>址</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92"/>
          <w:sz w:val="24"/>
          <w:szCs w:val="24"/>
          <w:highlight w:val="none"/>
        </w:rPr>
        <w:t xml:space="preserve">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"https://www.crcrfsp.com/"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3"/>
          <w:sz w:val="24"/>
          <w:szCs w:val="24"/>
          <w:highlight w:val="none"/>
          <w:u w:val="single" w:color="auto"/>
        </w:rPr>
        <w:t>https://www.crcrfsp.com/</w:t>
      </w:r>
      <w:r>
        <w:rPr>
          <w:rFonts w:hint="eastAsia" w:ascii="宋体" w:hAnsi="宋体" w:eastAsia="宋体" w:cs="宋体"/>
          <w:color w:val="auto"/>
          <w:spacing w:val="-3"/>
          <w:sz w:val="24"/>
          <w:szCs w:val="24"/>
          <w:highlight w:val="none"/>
          <w:u w:val="single" w:color="auto"/>
        </w:rPr>
        <w:fldChar w:fldCharType="end"/>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65"/>
          <w:sz w:val="24"/>
          <w:szCs w:val="24"/>
          <w:highlight w:val="none"/>
        </w:rPr>
        <w:t xml:space="preserve"> </w:t>
      </w:r>
      <w:r>
        <w:rPr>
          <w:rFonts w:hint="eastAsia" w:ascii="宋体" w:hAnsi="宋体" w:eastAsia="宋体" w:cs="宋体"/>
          <w:color w:val="auto"/>
          <w:spacing w:val="-3"/>
          <w:sz w:val="24"/>
          <w:szCs w:val="24"/>
          <w:highlight w:val="none"/>
        </w:rPr>
        <w:t>客</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3"/>
          <w:sz w:val="24"/>
          <w:szCs w:val="24"/>
          <w:highlight w:val="none"/>
        </w:rPr>
        <w:t>服</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3"/>
          <w:sz w:val="24"/>
          <w:szCs w:val="24"/>
          <w:highlight w:val="none"/>
        </w:rPr>
        <w:t>电</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3"/>
          <w:sz w:val="24"/>
          <w:szCs w:val="24"/>
          <w:highlight w:val="none"/>
        </w:rPr>
        <w:t>话：</w:t>
      </w:r>
      <w:r>
        <w:rPr>
          <w:rFonts w:hint="eastAsia" w:ascii="宋体" w:hAnsi="宋体" w:eastAsia="宋体" w:cs="宋体"/>
          <w:color w:val="auto"/>
          <w:spacing w:val="3"/>
          <w:sz w:val="24"/>
          <w:szCs w:val="24"/>
          <w:highlight w:val="none"/>
        </w:rPr>
        <w:t>400-009-0001）。</w:t>
      </w:r>
    </w:p>
    <w:p>
      <w:pPr>
        <w:pStyle w:val="2"/>
        <w:rPr>
          <w:rFonts w:hint="eastAsia"/>
          <w:color w:val="auto"/>
          <w:highlight w:val="none"/>
          <w:lang w:eastAsia="zh-CN"/>
        </w:rPr>
      </w:pPr>
    </w:p>
    <w:p>
      <w:pPr>
        <w:pStyle w:val="2"/>
        <w:rPr>
          <w:rFonts w:hint="eastAsia"/>
          <w:color w:val="auto"/>
          <w:sz w:val="24"/>
          <w:szCs w:val="24"/>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rPr>
          <w:rFonts w:hint="eastAsia"/>
          <w:color w:val="auto"/>
          <w:sz w:val="24"/>
          <w:szCs w:val="24"/>
          <w:highlight w:val="none"/>
          <w:lang w:eastAsia="zh-CN"/>
        </w:rPr>
      </w:pPr>
    </w:p>
    <w:p>
      <w:pPr>
        <w:pStyle w:val="2"/>
        <w:rPr>
          <w:rFonts w:hint="eastAsia"/>
          <w:color w:val="auto"/>
          <w:sz w:val="24"/>
          <w:szCs w:val="24"/>
          <w:highlight w:val="none"/>
          <w:lang w:eastAsia="zh-CN"/>
        </w:rPr>
      </w:pPr>
    </w:p>
    <w:p>
      <w:pPr>
        <w:rPr>
          <w:rFonts w:hint="eastAsia"/>
          <w:color w:val="auto"/>
          <w:sz w:val="24"/>
          <w:szCs w:val="24"/>
          <w:highlight w:val="none"/>
          <w:lang w:eastAsia="zh-CN"/>
        </w:rPr>
      </w:pPr>
    </w:p>
    <w:p>
      <w:pPr>
        <w:pStyle w:val="2"/>
        <w:rPr>
          <w:rFonts w:hint="eastAsia"/>
          <w:color w:val="auto"/>
          <w:sz w:val="24"/>
          <w:szCs w:val="24"/>
          <w:highlight w:val="none"/>
          <w:lang w:eastAsia="zh-CN"/>
        </w:rPr>
      </w:pPr>
    </w:p>
    <w:p>
      <w:pPr>
        <w:rPr>
          <w:rFonts w:hint="eastAsia"/>
          <w:color w:val="auto"/>
          <w:sz w:val="24"/>
          <w:szCs w:val="24"/>
          <w:highlight w:val="none"/>
          <w:lang w:eastAsia="zh-CN"/>
        </w:rPr>
      </w:pPr>
    </w:p>
    <w:p>
      <w:pPr>
        <w:pStyle w:val="2"/>
        <w:rPr>
          <w:rFonts w:hint="eastAsia"/>
          <w:color w:val="auto"/>
          <w:sz w:val="24"/>
          <w:szCs w:val="24"/>
          <w:highlight w:val="none"/>
          <w:lang w:eastAsia="zh-CN"/>
        </w:rPr>
      </w:pPr>
    </w:p>
    <w:p>
      <w:pPr>
        <w:rPr>
          <w:rFonts w:hint="eastAsia"/>
          <w:color w:val="auto"/>
          <w:sz w:val="24"/>
          <w:szCs w:val="24"/>
          <w:highlight w:val="none"/>
          <w:lang w:eastAsia="zh-CN"/>
        </w:rPr>
      </w:pPr>
    </w:p>
    <w:p>
      <w:pPr>
        <w:pStyle w:val="2"/>
        <w:rPr>
          <w:rFonts w:hint="eastAsia"/>
          <w:color w:val="auto"/>
          <w:sz w:val="24"/>
          <w:szCs w:val="24"/>
          <w:highlight w:val="none"/>
          <w:lang w:eastAsia="zh-CN"/>
        </w:rPr>
      </w:pPr>
    </w:p>
    <w:p>
      <w:pPr>
        <w:rPr>
          <w:rFonts w:hint="eastAsia"/>
          <w:color w:val="auto"/>
          <w:sz w:val="24"/>
          <w:szCs w:val="24"/>
          <w:highlight w:val="none"/>
          <w:lang w:eastAsia="zh-CN"/>
        </w:rPr>
      </w:pPr>
    </w:p>
    <w:p>
      <w:pPr>
        <w:pStyle w:val="2"/>
        <w:rPr>
          <w:rFonts w:hint="eastAsia"/>
          <w:color w:val="auto"/>
          <w:sz w:val="24"/>
          <w:szCs w:val="24"/>
          <w:highlight w:val="none"/>
          <w:lang w:eastAsia="zh-CN"/>
        </w:rPr>
      </w:pPr>
    </w:p>
    <w:p>
      <w:pPr>
        <w:rPr>
          <w:rFonts w:hint="eastAsia"/>
          <w:color w:val="auto"/>
          <w:sz w:val="24"/>
          <w:szCs w:val="24"/>
          <w:highlight w:val="none"/>
          <w:lang w:eastAsia="zh-CN"/>
        </w:rPr>
      </w:pPr>
    </w:p>
    <w:p>
      <w:pPr>
        <w:pStyle w:val="2"/>
        <w:rPr>
          <w:rFonts w:hint="eastAsia"/>
          <w:color w:val="auto"/>
          <w:sz w:val="24"/>
          <w:szCs w:val="24"/>
          <w:highlight w:val="none"/>
          <w:lang w:eastAsia="zh-CN"/>
        </w:rPr>
      </w:pPr>
    </w:p>
    <w:p>
      <w:pPr>
        <w:rPr>
          <w:rFonts w:hint="eastAsia"/>
          <w:color w:val="auto"/>
          <w:sz w:val="24"/>
          <w:szCs w:val="24"/>
          <w:highlight w:val="none"/>
          <w:lang w:eastAsia="zh-CN"/>
        </w:rPr>
      </w:pPr>
    </w:p>
    <w:p>
      <w:pPr>
        <w:pStyle w:val="2"/>
        <w:rPr>
          <w:rFonts w:hint="eastAsia"/>
          <w:color w:val="auto"/>
          <w:sz w:val="24"/>
          <w:szCs w:val="24"/>
          <w:highlight w:val="none"/>
          <w:lang w:eastAsia="zh-CN"/>
        </w:rPr>
      </w:pPr>
    </w:p>
    <w:p>
      <w:pPr>
        <w:rPr>
          <w:rFonts w:hint="eastAsia"/>
          <w:color w:val="auto"/>
          <w:sz w:val="24"/>
          <w:szCs w:val="24"/>
          <w:highlight w:val="none"/>
          <w:lang w:eastAsia="zh-CN"/>
        </w:rPr>
      </w:pPr>
    </w:p>
    <w:p>
      <w:pPr>
        <w:pStyle w:val="2"/>
        <w:rPr>
          <w:rFonts w:hint="eastAsia"/>
          <w:color w:val="auto"/>
          <w:sz w:val="24"/>
          <w:szCs w:val="24"/>
          <w:highlight w:val="none"/>
          <w:lang w:eastAsia="zh-CN"/>
        </w:rPr>
      </w:pPr>
    </w:p>
    <w:p>
      <w:pPr>
        <w:rPr>
          <w:rFonts w:hint="eastAsia"/>
          <w:color w:val="auto"/>
          <w:highlight w:val="none"/>
          <w:lang w:eastAsia="zh-CN"/>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eastAsia="宋体"/>
          <w:color w:val="auto"/>
          <w:sz w:val="24"/>
          <w:szCs w:val="24"/>
          <w:highlight w:val="none"/>
          <w:lang w:eastAsia="zh-CN"/>
        </w:rPr>
      </w:pPr>
      <w:bookmarkStart w:id="135" w:name="_Toc28939"/>
      <w:bookmarkStart w:id="136" w:name="_Toc20004"/>
      <w:bookmarkStart w:id="137" w:name="_Toc2989"/>
      <w:r>
        <w:rPr>
          <w:rFonts w:hint="eastAsia"/>
          <w:color w:val="auto"/>
          <w:sz w:val="24"/>
          <w:szCs w:val="24"/>
          <w:highlight w:val="none"/>
        </w:rPr>
        <w:t xml:space="preserve">第三章 </w:t>
      </w:r>
      <w:r>
        <w:rPr>
          <w:rFonts w:hint="eastAsia"/>
          <w:color w:val="auto"/>
          <w:sz w:val="24"/>
          <w:szCs w:val="24"/>
          <w:highlight w:val="none"/>
          <w:lang w:eastAsia="zh-CN"/>
        </w:rPr>
        <w:t>工程量清单</w:t>
      </w:r>
      <w:bookmarkEnd w:id="135"/>
      <w:r>
        <w:rPr>
          <w:rFonts w:hint="eastAsia"/>
          <w:color w:val="auto"/>
          <w:sz w:val="24"/>
          <w:szCs w:val="24"/>
          <w:highlight w:val="none"/>
          <w:lang w:eastAsia="zh-CN"/>
        </w:rPr>
        <w:t>及施工设计图</w:t>
      </w:r>
      <w:bookmarkEnd w:id="136"/>
    </w:p>
    <w:p>
      <w:pPr>
        <w:pStyle w:val="11"/>
        <w:keepNext w:val="0"/>
        <w:keepLines w:val="0"/>
        <w:pageBreakBefore w:val="0"/>
        <w:widowControl w:val="0"/>
        <w:kinsoku/>
        <w:wordWrap/>
        <w:overflowPunct/>
        <w:topLinePunct w:val="0"/>
        <w:autoSpaceDE/>
        <w:autoSpaceDN/>
        <w:bidi w:val="0"/>
        <w:snapToGrid/>
        <w:spacing w:line="380" w:lineRule="exact"/>
        <w:textAlignment w:val="auto"/>
        <w:rPr>
          <w:rFonts w:hint="eastAsia" w:hAnsi="宋体" w:cs="宋体"/>
          <w:color w:val="auto"/>
          <w:kern w:val="21"/>
          <w:sz w:val="21"/>
          <w:szCs w:val="21"/>
          <w:highlight w:val="none"/>
        </w:rPr>
      </w:pPr>
      <w:bookmarkStart w:id="138" w:name="_Toc164138057"/>
      <w:bookmarkStart w:id="139" w:name="_Toc160609998"/>
      <w:bookmarkStart w:id="140" w:name="_Toc194308407"/>
      <w:r>
        <w:rPr>
          <w:rFonts w:hint="eastAsia" w:hAnsi="宋体" w:cs="宋体"/>
          <w:b/>
          <w:color w:val="auto"/>
          <w:sz w:val="21"/>
          <w:szCs w:val="21"/>
          <w:highlight w:val="none"/>
        </w:rPr>
        <w:t>一、工程量清单说明</w:t>
      </w:r>
      <w:bookmarkEnd w:id="138"/>
      <w:bookmarkEnd w:id="139"/>
      <w:r>
        <w:rPr>
          <w:rFonts w:hint="eastAsia" w:hAnsi="宋体" w:cs="宋体"/>
          <w:color w:val="auto"/>
          <w:kern w:val="21"/>
          <w:sz w:val="21"/>
          <w:szCs w:val="21"/>
          <w:highlight w:val="none"/>
        </w:rPr>
        <w:t>：</w:t>
      </w:r>
      <w:bookmarkEnd w:id="140"/>
      <w:r>
        <w:rPr>
          <w:rFonts w:hint="eastAsia" w:hAnsi="宋体" w:cs="宋体"/>
          <w:color w:val="auto"/>
          <w:kern w:val="21"/>
          <w:sz w:val="21"/>
          <w:szCs w:val="21"/>
          <w:highlight w:val="none"/>
        </w:rPr>
        <w:t xml:space="preserve"> </w:t>
      </w:r>
    </w:p>
    <w:p>
      <w:pPr>
        <w:keepNext w:val="0"/>
        <w:keepLines w:val="0"/>
        <w:pageBreakBefore w:val="0"/>
        <w:widowControl w:val="0"/>
        <w:tabs>
          <w:tab w:val="left" w:pos="210"/>
        </w:tabs>
        <w:kinsoku/>
        <w:wordWrap/>
        <w:overflowPunct/>
        <w:topLinePunct w:val="0"/>
        <w:autoSpaceDE/>
        <w:autoSpaceDN/>
        <w:bidi w:val="0"/>
        <w:adjustRightInd/>
        <w:snapToGrid/>
        <w:spacing w:line="38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1"/>
          <w:sz w:val="21"/>
          <w:szCs w:val="21"/>
          <w:highlight w:val="none"/>
          <w:lang w:val="en-US" w:eastAsia="zh-CN"/>
        </w:rPr>
        <w:t>1、</w:t>
      </w:r>
      <w:r>
        <w:rPr>
          <w:rFonts w:hint="eastAsia" w:ascii="宋体" w:hAnsi="宋体" w:eastAsia="宋体" w:cs="宋体"/>
          <w:color w:val="auto"/>
          <w:sz w:val="21"/>
          <w:szCs w:val="21"/>
          <w:highlight w:val="none"/>
          <w:lang w:eastAsia="zh-CN"/>
        </w:rPr>
        <w:t>工程概况：</w:t>
      </w:r>
    </w:p>
    <w:p>
      <w:pPr>
        <w:keepNext w:val="0"/>
        <w:keepLines w:val="0"/>
        <w:pageBreakBefore w:val="0"/>
        <w:widowControl w:val="0"/>
        <w:tabs>
          <w:tab w:val="left" w:pos="210"/>
        </w:tabs>
        <w:kinsoku/>
        <w:wordWrap/>
        <w:overflowPunct/>
        <w:topLinePunct w:val="0"/>
        <w:autoSpaceDE/>
        <w:autoSpaceDN/>
        <w:bidi w:val="0"/>
        <w:adjustRightInd/>
        <w:snapToGrid/>
        <w:spacing w:line="38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工程名称：</w:t>
      </w:r>
      <w:r>
        <w:rPr>
          <w:rFonts w:hint="eastAsia" w:ascii="宋体" w:hAnsi="宋体" w:eastAsia="宋体" w:cs="宋体"/>
          <w:color w:val="auto"/>
          <w:sz w:val="21"/>
          <w:szCs w:val="21"/>
          <w:highlight w:val="none"/>
          <w:lang w:val="en-US" w:eastAsia="zh-CN"/>
        </w:rPr>
        <w:t>广西漓江流域上游兴安县溶江镇永安村段生态保护工程</w:t>
      </w:r>
    </w:p>
    <w:p>
      <w:pPr>
        <w:keepNext w:val="0"/>
        <w:keepLines w:val="0"/>
        <w:pageBreakBefore w:val="0"/>
        <w:widowControl w:val="0"/>
        <w:tabs>
          <w:tab w:val="left" w:pos="210"/>
        </w:tabs>
        <w:kinsoku/>
        <w:wordWrap/>
        <w:overflowPunct/>
        <w:topLinePunct w:val="0"/>
        <w:autoSpaceDE/>
        <w:autoSpaceDN/>
        <w:bidi w:val="0"/>
        <w:adjustRightInd/>
        <w:snapToGrid/>
        <w:spacing w:line="38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建设地址：桂林市兴安县溶江镇永安村</w:t>
      </w:r>
    </w:p>
    <w:p>
      <w:pPr>
        <w:keepNext w:val="0"/>
        <w:keepLines w:val="0"/>
        <w:pageBreakBefore w:val="0"/>
        <w:widowControl w:val="0"/>
        <w:tabs>
          <w:tab w:val="left" w:pos="210"/>
        </w:tabs>
        <w:kinsoku/>
        <w:wordWrap/>
        <w:overflowPunct/>
        <w:topLinePunct w:val="0"/>
        <w:autoSpaceDE/>
        <w:autoSpaceDN/>
        <w:bidi w:val="0"/>
        <w:adjustRightInd/>
        <w:snapToGrid/>
        <w:spacing w:line="380" w:lineRule="exact"/>
        <w:ind w:lef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建设内容：</w:t>
      </w:r>
      <w:r>
        <w:rPr>
          <w:rFonts w:hint="eastAsia" w:ascii="宋体" w:hAnsi="宋体" w:eastAsia="宋体" w:cs="宋体"/>
          <w:color w:val="auto"/>
          <w:sz w:val="21"/>
          <w:szCs w:val="21"/>
          <w:highlight w:val="none"/>
          <w:lang w:val="en-US" w:eastAsia="zh-CN"/>
        </w:rPr>
        <w:t>新建整治河道两岸防护，护岸长度290m，主要内容有：巡洪通道，左右护岸修复，岸线绿植修复等配套工程。</w:t>
      </w:r>
    </w:p>
    <w:p>
      <w:pPr>
        <w:keepNext w:val="0"/>
        <w:keepLines w:val="0"/>
        <w:pageBreakBefore w:val="0"/>
        <w:widowControl w:val="0"/>
        <w:tabs>
          <w:tab w:val="left" w:pos="210"/>
        </w:tabs>
        <w:kinsoku/>
        <w:wordWrap/>
        <w:overflowPunct/>
        <w:topLinePunct w:val="0"/>
        <w:autoSpaceDE/>
        <w:autoSpaceDN/>
        <w:bidi w:val="0"/>
        <w:adjustRightInd/>
        <w:snapToGrid/>
        <w:spacing w:line="380" w:lineRule="exact"/>
        <w:ind w:firstLine="422" w:firstLineChars="200"/>
        <w:textAlignment w:val="auto"/>
        <w:rPr>
          <w:rFonts w:hint="eastAsia" w:ascii="宋体" w:hAnsi="宋体" w:cs="宋体"/>
          <w:b/>
          <w:bCs/>
          <w:color w:val="auto"/>
          <w:sz w:val="21"/>
          <w:szCs w:val="21"/>
          <w:highlight w:val="none"/>
          <w:lang w:eastAsia="zh-CN"/>
        </w:rPr>
      </w:pPr>
      <w:r>
        <w:rPr>
          <w:rFonts w:hint="eastAsia" w:ascii="宋体" w:hAnsi="宋体" w:cs="宋体"/>
          <w:b/>
          <w:bCs/>
          <w:color w:val="auto"/>
          <w:sz w:val="21"/>
          <w:szCs w:val="21"/>
          <w:highlight w:val="none"/>
          <w:lang w:val="en-US" w:eastAsia="zh-CN"/>
        </w:rPr>
        <w:t>2、</w:t>
      </w:r>
      <w:r>
        <w:rPr>
          <w:rFonts w:hint="eastAsia" w:ascii="宋体" w:hAnsi="宋体" w:cs="宋体"/>
          <w:b/>
          <w:bCs/>
          <w:color w:val="auto"/>
          <w:sz w:val="21"/>
          <w:szCs w:val="21"/>
          <w:highlight w:val="none"/>
          <w:lang w:eastAsia="zh-CN"/>
        </w:rPr>
        <w:t>编制依据：</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（1）采用“正弘设计有限公司”设计的施工图纸；正弘设计有限公司编制的预算；</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（2）广西水利厅、广西发展和改革委员会、广西财政厅桂水基[2007]第38号文，“关于发布《广西水利水电工程设计概（预）算编制规定》、《广西水利水电工程设计概（预）算系列定额》的通知；</w:t>
      </w:r>
      <w:r>
        <w:rPr>
          <w:rFonts w:hint="eastAsia" w:ascii="宋体" w:hAnsi="宋体" w:eastAsia="宋体" w:cs="宋体"/>
          <w:b w:val="0"/>
          <w:bCs/>
          <w:color w:val="auto"/>
          <w:sz w:val="21"/>
          <w:szCs w:val="21"/>
          <w:highlight w:val="none"/>
          <w:lang w:val="en-US" w:eastAsia="zh-CN"/>
        </w:rPr>
        <w:tab/>
      </w:r>
      <w:r>
        <w:rPr>
          <w:rFonts w:hint="eastAsia" w:ascii="宋体" w:hAnsi="宋体" w:eastAsia="宋体" w:cs="宋体"/>
          <w:b w:val="0"/>
          <w:bCs/>
          <w:color w:val="auto"/>
          <w:sz w:val="21"/>
          <w:szCs w:val="21"/>
          <w:highlight w:val="none"/>
          <w:lang w:val="en-US" w:eastAsia="zh-CN"/>
        </w:rPr>
        <w:t>（3）广西水利厅2007年颁发的《广西水利水电建筑工程概（预）算定额》；</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（4）广西水利厅“桂水基[2014]41号”文，“关于发布《广西壮族自治区水利水电工程设计概（预）算补充定额》的通知”；</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（5）广西水利厅2007年颁发的《广西水利水电设备安装工程概（预）算定额》；</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（6）广西水利厅2007年颁发的《广西水利水电工程机械台时费定额》；</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（7）广西水利厅“桂水基[2016]1号”文，关于调整广西水利水电建设工程定额人工预算单价的通知；</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（8）广西水利厅以桂水基（2004）46文发布的《关于在我区水利水电建设工程实行建筑意外伤害保险制度的通知》；</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（9）（桂水建设〔2019〕4号）自治区水利厅关于调整水利工程增值税计算标准的通知；</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（10）《广西水利水电工程造价系统2018版本》；</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（11）（桂水建设〔2023〕4号）自治区水利厅关于调整水利工程安全文明施工措施费费率的通知；</w:t>
      </w:r>
    </w:p>
    <w:p>
      <w:pPr>
        <w:keepNext w:val="0"/>
        <w:keepLines w:val="0"/>
        <w:pageBreakBefore w:val="0"/>
        <w:widowControl w:val="0"/>
        <w:kinsoku/>
        <w:wordWrap/>
        <w:overflowPunct/>
        <w:topLinePunct w:val="0"/>
        <w:autoSpaceDE/>
        <w:autoSpaceDN/>
        <w:bidi w:val="0"/>
        <w:adjustRightInd w:val="0"/>
        <w:snapToGrid/>
        <w:spacing w:line="380" w:lineRule="exact"/>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12)应业主要求，主要材料信息价按《桂林市建设工程造价信息》2023年4月兴安县材料信息价（除税价格）、缺项的参考桂林市或者市场询价。项目距兴安县县城约65公里，材料超运距55公里，10公里以上每公里增加运费为：砂、石0.48元/m3，水泥0.53元/t。</w:t>
      </w:r>
    </w:p>
    <w:p>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、注意事项及要求：</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cs="宋体"/>
          <w:color w:val="auto"/>
          <w:sz w:val="21"/>
          <w:szCs w:val="21"/>
          <w:highlight w:val="none"/>
        </w:rPr>
        <w:t>严格按国家标准及本项目工程量清单、图纸要求施工；</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2</w:t>
      </w:r>
      <w:r>
        <w:rPr>
          <w:rFonts w:hint="eastAsia" w:hAnsi="宋体" w:cs="宋体"/>
          <w:color w:val="auto"/>
          <w:sz w:val="21"/>
          <w:szCs w:val="21"/>
          <w:highlight w:val="none"/>
          <w:lang w:val="en-US" w:eastAsia="zh-CN"/>
        </w:rPr>
        <w:t>.</w:t>
      </w:r>
      <w:r>
        <w:rPr>
          <w:rFonts w:hint="eastAsia" w:hAnsi="宋体" w:cs="宋体"/>
          <w:color w:val="auto"/>
          <w:sz w:val="21"/>
          <w:szCs w:val="21"/>
          <w:highlight w:val="none"/>
        </w:rPr>
        <w:t>要求工期</w:t>
      </w:r>
      <w:r>
        <w:rPr>
          <w:rFonts w:hint="eastAsia" w:ascii="宋体" w:hAnsi="宋体" w:eastAsia="宋体" w:cs="宋体"/>
          <w:color w:val="auto"/>
          <w:sz w:val="21"/>
          <w:szCs w:val="21"/>
          <w:highlight w:val="none"/>
        </w:rPr>
        <w:t>：</w:t>
      </w:r>
      <w:r>
        <w:rPr>
          <w:rFonts w:hint="eastAsia" w:ascii="宋体" w:hAnsi="宋体"/>
          <w:color w:val="auto"/>
          <w:sz w:val="21"/>
          <w:szCs w:val="21"/>
          <w:highlight w:val="none"/>
          <w:lang w:val="en-US" w:eastAsia="zh-CN"/>
        </w:rPr>
        <w:t>自合同签订之日起</w:t>
      </w:r>
      <w:r>
        <w:rPr>
          <w:rFonts w:hint="eastAsia" w:hAnsi="宋体"/>
          <w:color w:val="auto"/>
          <w:sz w:val="21"/>
          <w:szCs w:val="21"/>
          <w:highlight w:val="none"/>
          <w:lang w:val="en-US" w:eastAsia="zh-CN"/>
        </w:rPr>
        <w:t>30</w:t>
      </w:r>
      <w:r>
        <w:rPr>
          <w:rFonts w:hint="eastAsia" w:ascii="宋体" w:hAnsi="宋体"/>
          <w:color w:val="auto"/>
          <w:sz w:val="21"/>
          <w:szCs w:val="21"/>
          <w:highlight w:val="none"/>
          <w:lang w:val="en-US" w:eastAsia="zh-CN"/>
        </w:rPr>
        <w:t>个日历天内完工</w:t>
      </w:r>
      <w:r>
        <w:rPr>
          <w:rFonts w:hint="eastAsia" w:ascii="宋体" w:hAnsi="宋体" w:eastAsia="宋体" w:cs="宋体"/>
          <w:i w:val="0"/>
          <w:iCs w:val="0"/>
          <w:color w:val="auto"/>
          <w:sz w:val="21"/>
          <w:szCs w:val="21"/>
          <w:highlight w:val="none"/>
          <w:lang w:val="en-US" w:eastAsia="zh-CN"/>
        </w:rPr>
        <w:t>。</w:t>
      </w:r>
      <w:r>
        <w:rPr>
          <w:rFonts w:hint="eastAsia" w:hAnsi="宋体" w:cs="宋体"/>
          <w:color w:val="auto"/>
          <w:sz w:val="21"/>
          <w:szCs w:val="21"/>
          <w:highlight w:val="none"/>
        </w:rPr>
        <w:t xml:space="preserve"> </w:t>
      </w:r>
    </w:p>
    <w:p>
      <w:pPr>
        <w:keepNext w:val="0"/>
        <w:keepLines w:val="0"/>
        <w:pageBreakBefore w:val="0"/>
        <w:widowControl w:val="0"/>
        <w:tabs>
          <w:tab w:val="left" w:pos="210"/>
        </w:tabs>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质量标准：</w:t>
      </w:r>
      <w:r>
        <w:rPr>
          <w:rFonts w:hint="eastAsia" w:ascii="宋体" w:hAnsi="宋体" w:cs="宋体"/>
          <w:color w:val="auto"/>
          <w:sz w:val="21"/>
          <w:szCs w:val="21"/>
          <w:highlight w:val="none"/>
          <w:lang w:eastAsia="zh-CN"/>
        </w:rPr>
        <w:t>达到国家施工验收规范合格标准</w:t>
      </w:r>
      <w:r>
        <w:rPr>
          <w:rFonts w:hint="eastAsia" w:ascii="宋体" w:hAnsi="宋体" w:cs="宋体"/>
          <w:color w:val="auto"/>
          <w:sz w:val="21"/>
          <w:szCs w:val="21"/>
          <w:highlight w:val="none"/>
        </w:rPr>
        <w:t>。</w:t>
      </w:r>
    </w:p>
    <w:p>
      <w:pPr>
        <w:keepNext w:val="0"/>
        <w:keepLines w:val="0"/>
        <w:pageBreakBefore w:val="0"/>
        <w:widowControl w:val="0"/>
        <w:tabs>
          <w:tab w:val="left" w:pos="210"/>
        </w:tabs>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b/>
          <w:bCs/>
          <w:color w:val="auto"/>
          <w:sz w:val="21"/>
          <w:szCs w:val="21"/>
          <w:highlight w:val="none"/>
        </w:rPr>
        <w:t>供应商承诺工程竣工后，供应商应按照采购人的要求免费对开工的工程场地进行清理及清洁。</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工程量</w:t>
      </w:r>
      <w:r>
        <w:rPr>
          <w:rFonts w:hint="eastAsia" w:ascii="宋体" w:hAnsi="宋体" w:cs="宋体"/>
          <w:color w:val="auto"/>
          <w:sz w:val="21"/>
          <w:szCs w:val="21"/>
          <w:highlight w:val="none"/>
          <w:lang w:eastAsia="zh-CN"/>
        </w:rPr>
        <w:t>按采购人提供的工程量清单，供应商进行自行报价。</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cs="宋体"/>
          <w:b/>
          <w:color w:val="auto"/>
          <w:kern w:val="0"/>
          <w:sz w:val="21"/>
          <w:szCs w:val="21"/>
          <w:highlight w:val="none"/>
          <w:lang w:eastAsia="zh-CN"/>
        </w:rPr>
      </w:pPr>
      <w:r>
        <w:rPr>
          <w:rFonts w:hint="eastAsia" w:ascii="宋体" w:hAnsi="宋体" w:cs="宋体"/>
          <w:color w:val="auto"/>
          <w:sz w:val="21"/>
          <w:szCs w:val="21"/>
          <w:highlight w:val="none"/>
          <w:lang w:val="en-US" w:eastAsia="zh-CN"/>
        </w:rPr>
        <w:t>6.</w:t>
      </w:r>
      <w:r>
        <w:rPr>
          <w:rFonts w:hint="eastAsia" w:ascii="宋体" w:hAnsi="宋体" w:cs="宋体"/>
          <w:b/>
          <w:color w:val="auto"/>
          <w:kern w:val="0"/>
          <w:sz w:val="21"/>
          <w:szCs w:val="21"/>
          <w:highlight w:val="none"/>
        </w:rPr>
        <w:t>本工程</w:t>
      </w:r>
      <w:r>
        <w:rPr>
          <w:rFonts w:hint="eastAsia" w:ascii="宋体" w:hAnsi="宋体" w:cs="宋体"/>
          <w:b/>
          <w:bCs/>
          <w:color w:val="auto"/>
          <w:sz w:val="21"/>
          <w:szCs w:val="21"/>
          <w:highlight w:val="none"/>
          <w:lang w:eastAsia="zh-CN"/>
        </w:rPr>
        <w:t>财评后的</w:t>
      </w:r>
      <w:r>
        <w:rPr>
          <w:rFonts w:hint="eastAsia" w:ascii="宋体" w:hAnsi="宋体" w:cs="宋体"/>
          <w:b/>
          <w:color w:val="auto"/>
          <w:kern w:val="0"/>
          <w:sz w:val="21"/>
          <w:szCs w:val="21"/>
          <w:highlight w:val="none"/>
          <w:lang w:val="en-US" w:eastAsia="zh-CN"/>
        </w:rPr>
        <w:t>预算控制价为</w:t>
      </w:r>
      <w:r>
        <w:rPr>
          <w:rFonts w:hint="eastAsia" w:ascii="宋体" w:hAnsi="宋体" w:cs="宋体"/>
          <w:b/>
          <w:color w:val="auto"/>
          <w:kern w:val="0"/>
          <w:sz w:val="21"/>
          <w:szCs w:val="21"/>
          <w:highlight w:val="none"/>
        </w:rPr>
        <w:t>人民币</w:t>
      </w:r>
      <w:r>
        <w:rPr>
          <w:rFonts w:hint="eastAsia" w:ascii="宋体" w:hAnsi="宋体" w:cs="宋体"/>
          <w:b/>
          <w:color w:val="auto"/>
          <w:kern w:val="0"/>
          <w:sz w:val="21"/>
          <w:szCs w:val="21"/>
          <w:highlight w:val="none"/>
          <w:lang w:val="en-US" w:eastAsia="zh-CN"/>
        </w:rPr>
        <w:t>1947855.96元</w:t>
      </w:r>
      <w:r>
        <w:rPr>
          <w:rFonts w:hint="eastAsia" w:ascii="宋体" w:hAnsi="宋体" w:cs="宋体"/>
          <w:b/>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
          <w:bCs/>
          <w:color w:val="auto"/>
          <w:sz w:val="21"/>
          <w:szCs w:val="21"/>
          <w:highlight w:val="none"/>
          <w:lang w:eastAsia="zh-CN"/>
        </w:rPr>
        <w:t>经采购人同意，</w:t>
      </w:r>
      <w:r>
        <w:rPr>
          <w:rFonts w:hint="eastAsia" w:ascii="宋体" w:hAnsi="宋体" w:cs="宋体"/>
          <w:b/>
          <w:bCs/>
          <w:color w:val="auto"/>
          <w:sz w:val="21"/>
          <w:szCs w:val="21"/>
          <w:highlight w:val="none"/>
        </w:rPr>
        <w:t>本工程最高磋商限价</w:t>
      </w:r>
      <w:r>
        <w:rPr>
          <w:rFonts w:hint="eastAsia" w:ascii="宋体" w:hAnsi="宋体" w:cs="宋体"/>
          <w:b/>
          <w:bCs/>
          <w:color w:val="auto"/>
          <w:sz w:val="21"/>
          <w:szCs w:val="21"/>
          <w:highlight w:val="none"/>
          <w:lang w:eastAsia="zh-CN"/>
        </w:rPr>
        <w:t>（预算</w:t>
      </w:r>
      <w:r>
        <w:rPr>
          <w:rFonts w:hint="eastAsia" w:ascii="宋体" w:hAnsi="宋体" w:cs="宋体"/>
          <w:b/>
          <w:bCs/>
          <w:color w:val="auto"/>
          <w:sz w:val="21"/>
          <w:szCs w:val="21"/>
          <w:highlight w:val="none"/>
          <w:lang w:val="en-US" w:eastAsia="zh-CN"/>
        </w:rPr>
        <w:t>控制价</w:t>
      </w:r>
      <w:r>
        <w:rPr>
          <w:rFonts w:hint="eastAsia" w:ascii="宋体" w:hAnsi="宋体" w:cs="宋体"/>
          <w:b/>
          <w:bCs/>
          <w:color w:val="auto"/>
          <w:sz w:val="21"/>
          <w:szCs w:val="21"/>
          <w:highlight w:val="none"/>
          <w:lang w:eastAsia="zh-CN"/>
        </w:rPr>
        <w:t>）</w:t>
      </w:r>
      <w:r>
        <w:rPr>
          <w:rFonts w:hint="eastAsia" w:ascii="宋体" w:hAnsi="宋体" w:cs="宋体"/>
          <w:b/>
          <w:bCs/>
          <w:color w:val="auto"/>
          <w:sz w:val="21"/>
          <w:szCs w:val="21"/>
          <w:highlight w:val="none"/>
        </w:rPr>
        <w:t>为</w:t>
      </w:r>
      <w:r>
        <w:rPr>
          <w:rFonts w:hint="eastAsia" w:ascii="宋体" w:hAnsi="宋体" w:cs="宋体"/>
          <w:b/>
          <w:bCs/>
          <w:color w:val="auto"/>
          <w:sz w:val="21"/>
          <w:szCs w:val="21"/>
          <w:highlight w:val="none"/>
          <w:lang w:val="en-US" w:eastAsia="zh-CN"/>
        </w:rPr>
        <w:t>1947855.96元</w:t>
      </w:r>
      <w:r>
        <w:rPr>
          <w:rFonts w:hint="eastAsia" w:ascii="宋体" w:hAnsi="宋体" w:cs="宋体"/>
          <w:b/>
          <w:bCs/>
          <w:color w:val="auto"/>
          <w:sz w:val="21"/>
          <w:szCs w:val="21"/>
          <w:highlight w:val="none"/>
          <w:lang w:eastAsia="zh-CN"/>
        </w:rPr>
        <w:t>。</w:t>
      </w:r>
    </w:p>
    <w:p>
      <w:pPr>
        <w:keepNext w:val="0"/>
        <w:keepLines w:val="0"/>
        <w:pageBreakBefore w:val="0"/>
        <w:widowControl w:val="0"/>
        <w:tabs>
          <w:tab w:val="left" w:pos="1305"/>
        </w:tabs>
        <w:kinsoku/>
        <w:wordWrap/>
        <w:overflowPunct/>
        <w:topLinePunct w:val="0"/>
        <w:autoSpaceDE/>
        <w:autoSpaceDN/>
        <w:bidi w:val="0"/>
        <w:snapToGrid/>
        <w:spacing w:line="380" w:lineRule="exact"/>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供应商的磋商报价不得超过本工程</w:t>
      </w:r>
      <w:r>
        <w:rPr>
          <w:rFonts w:hint="eastAsia" w:ascii="宋体" w:hAnsi="宋体" w:cs="宋体"/>
          <w:b/>
          <w:bCs/>
          <w:color w:val="auto"/>
          <w:sz w:val="21"/>
          <w:szCs w:val="21"/>
          <w:highlight w:val="none"/>
        </w:rPr>
        <w:t>最高磋商限价</w:t>
      </w:r>
      <w:r>
        <w:rPr>
          <w:rFonts w:hint="eastAsia" w:ascii="宋体" w:hAnsi="宋体" w:cs="宋体"/>
          <w:b/>
          <w:bCs/>
          <w:color w:val="auto"/>
          <w:sz w:val="21"/>
          <w:szCs w:val="21"/>
          <w:highlight w:val="none"/>
          <w:lang w:eastAsia="zh-CN"/>
        </w:rPr>
        <w:t>（预算</w:t>
      </w:r>
      <w:r>
        <w:rPr>
          <w:rFonts w:hint="eastAsia" w:ascii="宋体" w:hAnsi="宋体" w:cs="宋体"/>
          <w:b/>
          <w:bCs/>
          <w:color w:val="auto"/>
          <w:sz w:val="21"/>
          <w:szCs w:val="21"/>
          <w:highlight w:val="none"/>
          <w:lang w:val="en-US" w:eastAsia="zh-CN"/>
        </w:rPr>
        <w:t>控制价</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kern w:val="0"/>
          <w:sz w:val="21"/>
          <w:szCs w:val="21"/>
          <w:highlight w:val="none"/>
          <w:lang w:eastAsia="zh-CN"/>
        </w:rPr>
        <w:t>，否则作无效标处理；</w:t>
      </w:r>
      <w:r>
        <w:rPr>
          <w:rFonts w:hint="eastAsia" w:ascii="宋体" w:hAnsi="宋体" w:eastAsia="宋体" w:cs="宋体"/>
          <w:b/>
          <w:color w:val="auto"/>
          <w:sz w:val="21"/>
          <w:szCs w:val="21"/>
          <w:highlight w:val="none"/>
        </w:rPr>
        <w:t>供应商的第二次磋商报价不得高于该供应商第一次磋商报价，否则做无效标处理。如供应商维持</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报价不变，以原磋商报价作为供应商最后报价</w:t>
      </w:r>
      <w:r>
        <w:rPr>
          <w:rFonts w:hint="eastAsia" w:ascii="宋体" w:hAnsi="宋体" w:eastAsia="宋体" w:cs="宋体"/>
          <w:b/>
          <w:bCs/>
          <w:color w:val="auto"/>
          <w:sz w:val="21"/>
          <w:szCs w:val="21"/>
          <w:highlight w:val="none"/>
        </w:rPr>
        <w:t>；如供应商需要改变原磋商报价时，</w:t>
      </w:r>
      <w:r>
        <w:rPr>
          <w:rFonts w:hint="eastAsia" w:ascii="宋体" w:hAnsi="宋体" w:eastAsia="宋体" w:cs="宋体"/>
          <w:b/>
          <w:color w:val="auto"/>
          <w:sz w:val="21"/>
          <w:szCs w:val="21"/>
          <w:highlight w:val="none"/>
        </w:rPr>
        <w:t>供应商应预先准备好调整后的</w:t>
      </w:r>
      <w:r>
        <w:rPr>
          <w:rFonts w:hint="eastAsia" w:ascii="宋体" w:hAnsi="宋体" w:eastAsia="宋体" w:cs="宋体"/>
          <w:b/>
          <w:color w:val="auto"/>
          <w:sz w:val="21"/>
          <w:szCs w:val="21"/>
          <w:highlight w:val="none"/>
          <w:lang w:eastAsia="zh-CN"/>
        </w:rPr>
        <w:t>已标价的工程量清单</w:t>
      </w:r>
      <w:r>
        <w:rPr>
          <w:rFonts w:hint="eastAsia" w:ascii="宋体" w:hAnsi="宋体" w:eastAsia="宋体" w:cs="宋体"/>
          <w:b/>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宋体" w:hAnsi="宋体" w:eastAsia="宋体" w:cs="宋体"/>
          <w:color w:val="auto"/>
          <w:kern w:val="0"/>
          <w:sz w:val="21"/>
          <w:szCs w:val="21"/>
          <w:highlight w:val="none"/>
          <w:lang w:eastAsia="zh-CN"/>
        </w:rPr>
      </w:pPr>
      <w:r>
        <w:rPr>
          <w:rFonts w:hint="eastAsia" w:ascii="宋体" w:hAnsi="宋体" w:cs="宋体"/>
          <w:b/>
          <w:color w:val="auto"/>
          <w:sz w:val="21"/>
          <w:szCs w:val="21"/>
          <w:highlight w:val="none"/>
        </w:rPr>
        <w:t>三、</w:t>
      </w:r>
      <w:r>
        <w:rPr>
          <w:rFonts w:hint="eastAsia" w:ascii="宋体" w:hAnsi="宋体" w:cs="宋体"/>
          <w:b/>
          <w:color w:val="auto"/>
          <w:sz w:val="21"/>
          <w:szCs w:val="21"/>
          <w:highlight w:val="none"/>
        </w:rPr>
        <w:t>工程量清单</w:t>
      </w:r>
      <w:r>
        <w:rPr>
          <w:rFonts w:hint="eastAsia" w:ascii="宋体" w:hAnsi="宋体" w:cs="宋体"/>
          <w:b/>
          <w:color w:val="auto"/>
          <w:sz w:val="21"/>
          <w:szCs w:val="21"/>
          <w:highlight w:val="none"/>
          <w:lang w:eastAsia="zh-CN"/>
        </w:rPr>
        <w:t>及施工设计图</w:t>
      </w:r>
      <w:r>
        <w:rPr>
          <w:rFonts w:hint="eastAsia" w:ascii="宋体" w:hAnsi="宋体" w:cs="宋体"/>
          <w:b/>
          <w:color w:val="auto"/>
          <w:sz w:val="21"/>
          <w:szCs w:val="21"/>
          <w:highlight w:val="none"/>
        </w:rPr>
        <w:t>（另册），是本竞争</w:t>
      </w:r>
      <w:r>
        <w:rPr>
          <w:rFonts w:hint="eastAsia" w:ascii="宋体" w:hAnsi="宋体" w:cs="宋体"/>
          <w:b/>
          <w:color w:val="auto"/>
          <w:sz w:val="21"/>
          <w:szCs w:val="21"/>
          <w:highlight w:val="none"/>
          <w:lang w:val="en-US" w:eastAsia="zh-CN"/>
        </w:rPr>
        <w:t>性磋商</w:t>
      </w:r>
      <w:r>
        <w:rPr>
          <w:rFonts w:hint="eastAsia" w:ascii="宋体" w:hAnsi="宋体" w:cs="宋体"/>
          <w:b/>
          <w:color w:val="auto"/>
          <w:sz w:val="21"/>
          <w:szCs w:val="21"/>
          <w:highlight w:val="none"/>
        </w:rPr>
        <w:t>文件的一个重要组成部分</w:t>
      </w:r>
      <w:r>
        <w:rPr>
          <w:rFonts w:hint="eastAsia" w:ascii="宋体" w:hAnsi="宋体" w:cs="宋体"/>
          <w:b/>
          <w:color w:val="auto"/>
          <w:sz w:val="21"/>
          <w:szCs w:val="21"/>
          <w:highlight w:val="none"/>
          <w:lang w:eastAsia="zh-CN"/>
        </w:rPr>
        <w:t>。</w:t>
      </w:r>
    </w:p>
    <w:p>
      <w:pPr>
        <w:rPr>
          <w:rFonts w:hint="eastAsia"/>
          <w:color w:val="auto"/>
          <w:sz w:val="24"/>
          <w:szCs w:val="24"/>
          <w:highlight w:val="none"/>
          <w:lang w:eastAsia="zh-CN"/>
        </w:rPr>
      </w:pPr>
    </w:p>
    <w:p>
      <w:pPr>
        <w:pStyle w:val="6"/>
        <w:rPr>
          <w:rFonts w:hint="eastAsia"/>
          <w:color w:val="auto"/>
          <w:sz w:val="24"/>
          <w:szCs w:val="24"/>
          <w:highlight w:val="none"/>
          <w:lang w:eastAsia="zh-CN"/>
        </w:rPr>
      </w:pPr>
    </w:p>
    <w:p>
      <w:pPr>
        <w:rPr>
          <w:rFonts w:hint="eastAsia"/>
          <w:color w:val="auto"/>
          <w:sz w:val="24"/>
          <w:szCs w:val="24"/>
          <w:highlight w:val="none"/>
          <w:lang w:eastAsia="zh-CN"/>
        </w:rPr>
      </w:pPr>
    </w:p>
    <w:p>
      <w:pPr>
        <w:pStyle w:val="6"/>
        <w:rPr>
          <w:rFonts w:hint="eastAsia"/>
          <w:color w:val="auto"/>
          <w:sz w:val="24"/>
          <w:szCs w:val="24"/>
          <w:highlight w:val="none"/>
          <w:lang w:eastAsia="zh-CN"/>
        </w:rPr>
      </w:pPr>
    </w:p>
    <w:p>
      <w:pPr>
        <w:rPr>
          <w:rFonts w:hint="eastAsia"/>
          <w:color w:val="auto"/>
          <w:sz w:val="24"/>
          <w:szCs w:val="24"/>
          <w:highlight w:val="none"/>
          <w:lang w:eastAsia="zh-CN"/>
        </w:rPr>
      </w:pPr>
    </w:p>
    <w:p>
      <w:pPr>
        <w:pStyle w:val="6"/>
        <w:rPr>
          <w:rFonts w:hint="eastAsia"/>
          <w:color w:val="auto"/>
          <w:sz w:val="24"/>
          <w:szCs w:val="24"/>
          <w:highlight w:val="none"/>
          <w:lang w:eastAsia="zh-CN"/>
        </w:rPr>
      </w:pPr>
    </w:p>
    <w:p>
      <w:pPr>
        <w:rPr>
          <w:rFonts w:hint="eastAsia"/>
          <w:color w:val="auto"/>
          <w:sz w:val="24"/>
          <w:szCs w:val="24"/>
          <w:highlight w:val="none"/>
          <w:lang w:eastAsia="zh-CN"/>
        </w:rPr>
      </w:pPr>
    </w:p>
    <w:p>
      <w:pPr>
        <w:pStyle w:val="6"/>
        <w:rPr>
          <w:rFonts w:hint="eastAsia"/>
          <w:color w:val="auto"/>
          <w:sz w:val="24"/>
          <w:szCs w:val="24"/>
          <w:highlight w:val="none"/>
          <w:lang w:eastAsia="zh-CN"/>
        </w:rPr>
      </w:pPr>
    </w:p>
    <w:p>
      <w:pPr>
        <w:rPr>
          <w:rFonts w:hint="eastAsia"/>
          <w:color w:val="auto"/>
          <w:sz w:val="24"/>
          <w:szCs w:val="24"/>
          <w:highlight w:val="none"/>
          <w:lang w:eastAsia="zh-CN"/>
        </w:rPr>
      </w:pPr>
    </w:p>
    <w:p>
      <w:pPr>
        <w:pStyle w:val="2"/>
        <w:rPr>
          <w:rFonts w:hint="eastAsia"/>
          <w:color w:val="auto"/>
          <w:sz w:val="24"/>
          <w:szCs w:val="24"/>
          <w:highlight w:val="none"/>
          <w:lang w:eastAsia="zh-CN"/>
        </w:rPr>
      </w:pPr>
    </w:p>
    <w:p>
      <w:pPr>
        <w:rPr>
          <w:rFonts w:hint="eastAsia"/>
          <w:color w:val="auto"/>
          <w:sz w:val="24"/>
          <w:szCs w:val="24"/>
          <w:highlight w:val="none"/>
          <w:lang w:eastAsia="zh-CN"/>
        </w:rPr>
      </w:pPr>
    </w:p>
    <w:p>
      <w:pPr>
        <w:pStyle w:val="2"/>
        <w:rPr>
          <w:rFonts w:hint="eastAsia"/>
          <w:color w:val="auto"/>
          <w:sz w:val="24"/>
          <w:szCs w:val="24"/>
          <w:highlight w:val="none"/>
          <w:lang w:eastAsia="zh-CN"/>
        </w:rPr>
      </w:pPr>
    </w:p>
    <w:p>
      <w:pPr>
        <w:rPr>
          <w:rFonts w:hint="eastAsia"/>
          <w:color w:val="auto"/>
          <w:sz w:val="24"/>
          <w:szCs w:val="24"/>
          <w:highlight w:val="none"/>
          <w:lang w:eastAsia="zh-CN"/>
        </w:rPr>
      </w:pPr>
    </w:p>
    <w:p>
      <w:pPr>
        <w:pStyle w:val="2"/>
        <w:rPr>
          <w:rFonts w:hint="eastAsia"/>
          <w:color w:val="auto"/>
          <w:sz w:val="24"/>
          <w:szCs w:val="24"/>
          <w:highlight w:val="none"/>
          <w:lang w:eastAsia="zh-CN"/>
        </w:rPr>
      </w:pPr>
    </w:p>
    <w:p>
      <w:pPr>
        <w:rPr>
          <w:rFonts w:hint="eastAsia"/>
          <w:color w:val="auto"/>
          <w:sz w:val="24"/>
          <w:szCs w:val="24"/>
          <w:highlight w:val="none"/>
          <w:lang w:eastAsia="zh-CN"/>
        </w:rPr>
      </w:pPr>
    </w:p>
    <w:p>
      <w:pPr>
        <w:pStyle w:val="2"/>
        <w:rPr>
          <w:rFonts w:hint="eastAsia"/>
          <w:color w:val="auto"/>
          <w:sz w:val="24"/>
          <w:szCs w:val="24"/>
          <w:highlight w:val="none"/>
          <w:lang w:eastAsia="zh-CN"/>
        </w:rPr>
      </w:pPr>
    </w:p>
    <w:p>
      <w:pPr>
        <w:rPr>
          <w:rFonts w:hint="eastAsia"/>
          <w:color w:val="auto"/>
          <w:sz w:val="24"/>
          <w:szCs w:val="24"/>
          <w:highlight w:val="none"/>
          <w:lang w:eastAsia="zh-CN"/>
        </w:rPr>
      </w:pPr>
    </w:p>
    <w:p>
      <w:pPr>
        <w:pStyle w:val="2"/>
        <w:rPr>
          <w:rFonts w:hint="eastAsia"/>
          <w:color w:val="auto"/>
          <w:sz w:val="24"/>
          <w:szCs w:val="24"/>
          <w:highlight w:val="none"/>
          <w:lang w:eastAsia="zh-CN"/>
        </w:rPr>
      </w:pPr>
    </w:p>
    <w:p>
      <w:pPr>
        <w:rPr>
          <w:rFonts w:hint="eastAsia"/>
          <w:color w:val="auto"/>
          <w:sz w:val="24"/>
          <w:szCs w:val="24"/>
          <w:highlight w:val="none"/>
          <w:lang w:eastAsia="zh-CN"/>
        </w:rPr>
      </w:pPr>
    </w:p>
    <w:p>
      <w:pPr>
        <w:pStyle w:val="2"/>
        <w:rPr>
          <w:rFonts w:hint="eastAsia"/>
          <w:color w:val="auto"/>
          <w:sz w:val="24"/>
          <w:szCs w:val="24"/>
          <w:highlight w:val="none"/>
          <w:lang w:eastAsia="zh-CN"/>
        </w:rPr>
      </w:pPr>
    </w:p>
    <w:p>
      <w:pPr>
        <w:rPr>
          <w:rFonts w:hint="eastAsia"/>
          <w:color w:val="auto"/>
          <w:sz w:val="24"/>
          <w:szCs w:val="24"/>
          <w:highlight w:val="none"/>
          <w:lang w:eastAsia="zh-CN"/>
        </w:rPr>
      </w:pPr>
    </w:p>
    <w:p>
      <w:pPr>
        <w:pStyle w:val="2"/>
        <w:rPr>
          <w:rFonts w:hint="eastAsia"/>
          <w:color w:val="auto"/>
          <w:sz w:val="24"/>
          <w:szCs w:val="24"/>
          <w:highlight w:val="none"/>
          <w:lang w:eastAsia="zh-CN"/>
        </w:rPr>
      </w:pPr>
    </w:p>
    <w:p>
      <w:pPr>
        <w:rPr>
          <w:rFonts w:hint="eastAsia"/>
          <w:color w:val="auto"/>
          <w:sz w:val="24"/>
          <w:szCs w:val="24"/>
          <w:highlight w:val="none"/>
          <w:lang w:eastAsia="zh-CN"/>
        </w:rPr>
      </w:pPr>
    </w:p>
    <w:p>
      <w:pPr>
        <w:pStyle w:val="2"/>
        <w:rPr>
          <w:rFonts w:hint="eastAsia"/>
          <w:color w:val="auto"/>
          <w:sz w:val="24"/>
          <w:szCs w:val="24"/>
          <w:highlight w:val="none"/>
          <w:lang w:eastAsia="zh-CN"/>
        </w:rPr>
      </w:pPr>
    </w:p>
    <w:p>
      <w:pPr>
        <w:rPr>
          <w:rFonts w:hint="eastAsia"/>
          <w:color w:val="auto"/>
          <w:sz w:val="24"/>
          <w:szCs w:val="24"/>
          <w:highlight w:val="none"/>
          <w:lang w:eastAsia="zh-CN"/>
        </w:rPr>
      </w:pPr>
    </w:p>
    <w:p>
      <w:pPr>
        <w:pStyle w:val="2"/>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rPr>
          <w:rFonts w:hint="eastAsia"/>
          <w:color w:val="auto"/>
          <w:highlight w:val="none"/>
          <w:lang w:eastAsia="zh-CN"/>
        </w:rPr>
      </w:pPr>
    </w:p>
    <w:p>
      <w:pPr>
        <w:pStyle w:val="2"/>
        <w:rPr>
          <w:rFonts w:hint="eastAsia"/>
          <w:color w:val="auto"/>
          <w:highlight w:val="none"/>
          <w:lang w:eastAsia="zh-CN"/>
        </w:rPr>
      </w:pPr>
    </w:p>
    <w:p>
      <w:pPr>
        <w:rPr>
          <w:rFonts w:hint="eastAsia"/>
          <w:color w:val="auto"/>
          <w:highlight w:val="none"/>
          <w:lang w:eastAsia="zh-CN"/>
        </w:rPr>
      </w:pPr>
    </w:p>
    <w:bookmarkEnd w:id="137"/>
    <w:p>
      <w:pPr>
        <w:pStyle w:val="3"/>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ascii="宋体" w:hAnsi="宋体" w:eastAsia="宋体" w:cs="宋体"/>
          <w:b/>
          <w:bCs/>
          <w:color w:val="auto"/>
          <w:sz w:val="24"/>
          <w:szCs w:val="24"/>
          <w:highlight w:val="none"/>
        </w:rPr>
      </w:pPr>
      <w:bookmarkStart w:id="141" w:name="_Toc10247"/>
      <w:r>
        <w:rPr>
          <w:rFonts w:hint="eastAsia" w:ascii="宋体" w:hAnsi="宋体" w:eastAsia="宋体" w:cs="宋体"/>
          <w:color w:val="auto"/>
          <w:sz w:val="24"/>
          <w:szCs w:val="24"/>
          <w:highlight w:val="none"/>
          <w:lang w:eastAsia="zh-CN"/>
        </w:rPr>
        <w:t>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评审办法</w:t>
      </w:r>
      <w:bookmarkEnd w:id="141"/>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一、评审依据及方式</w:t>
      </w:r>
      <w:r>
        <w:rPr>
          <w:rFonts w:hint="eastAsia" w:ascii="宋体" w:hAnsi="宋体" w:eastAsia="宋体" w:cs="宋体"/>
          <w:b/>
          <w:bCs/>
          <w:color w:val="auto"/>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1.评审依据：磋商小组以竞争性磋商文件和响应文件为评审依据，</w:t>
      </w:r>
      <w:r>
        <w:rPr>
          <w:rFonts w:hint="eastAsia" w:ascii="宋体" w:hAnsi="宋体" w:eastAsia="宋体" w:cs="宋体"/>
          <w:color w:val="auto"/>
          <w:sz w:val="21"/>
          <w:szCs w:val="21"/>
          <w:highlight w:val="none"/>
          <w:lang w:val="en-US" w:eastAsia="zh-CN"/>
        </w:rPr>
        <w:t>对磋商供应商的响应文件按百分制打分</w:t>
      </w:r>
      <w:r>
        <w:rPr>
          <w:rFonts w:hint="eastAsia" w:ascii="宋体" w:hAnsi="宋体" w:eastAsia="宋体" w:cs="宋体"/>
          <w:color w:val="auto"/>
          <w:sz w:val="21"/>
          <w:szCs w:val="21"/>
          <w:highlight w:val="none"/>
        </w:rPr>
        <w:t>。</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2.评审方式：以封闭方式进行评审。</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3.根据财库〔2012〕69号文规定，采购人和采购代理机构，磋商小组成员要严格遵守政府采购相关法律制度，依法履行各自职责，公正、客观、审慎地组织和参与评审工作。</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二、评审办法</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（一）本次评标采用综合评分法。</w:t>
      </w:r>
      <w:r>
        <w:rPr>
          <w:rFonts w:hint="eastAsia" w:ascii="宋体" w:hAnsi="宋体" w:eastAsia="宋体" w:cs="宋体"/>
          <w:bCs/>
          <w:color w:val="auto"/>
          <w:sz w:val="21"/>
          <w:szCs w:val="21"/>
          <w:highlight w:val="none"/>
          <w:lang w:eastAsia="zh-CN"/>
        </w:rPr>
        <w:t>磋商小组</w:t>
      </w:r>
      <w:r>
        <w:rPr>
          <w:rFonts w:hint="eastAsia" w:ascii="宋体" w:hAnsi="宋体" w:eastAsia="宋体" w:cs="宋体"/>
          <w:bCs/>
          <w:color w:val="auto"/>
          <w:sz w:val="21"/>
          <w:szCs w:val="21"/>
          <w:highlight w:val="none"/>
        </w:rPr>
        <w:t>会首先对</w:t>
      </w:r>
      <w:r>
        <w:rPr>
          <w:rFonts w:hint="eastAsia" w:ascii="宋体" w:hAnsi="宋体" w:eastAsia="宋体" w:cs="宋体"/>
          <w:bCs/>
          <w:color w:val="auto"/>
          <w:sz w:val="21"/>
          <w:szCs w:val="21"/>
          <w:highlight w:val="none"/>
          <w:lang w:eastAsia="zh-CN"/>
        </w:rPr>
        <w:t>磋商供应商</w:t>
      </w:r>
      <w:r>
        <w:rPr>
          <w:rFonts w:hint="eastAsia" w:ascii="宋体" w:hAnsi="宋体" w:eastAsia="宋体" w:cs="宋体"/>
          <w:bCs/>
          <w:color w:val="auto"/>
          <w:sz w:val="21"/>
          <w:szCs w:val="21"/>
          <w:highlight w:val="none"/>
        </w:rPr>
        <w:t>提交的响应文件进行资格性审查和符合性审查，只有通过了资格性审查和符合性审查才能进入详评。</w:t>
      </w:r>
    </w:p>
    <w:p>
      <w:pPr>
        <w:keepNext w:val="0"/>
        <w:keepLines w:val="0"/>
        <w:pageBreakBefore w:val="0"/>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b/>
          <w:color w:val="auto"/>
          <w:w w:val="99"/>
          <w:kern w:val="0"/>
          <w:sz w:val="21"/>
          <w:szCs w:val="21"/>
          <w:highlight w:val="none"/>
          <w:lang w:val="en-US" w:eastAsia="zh-CN"/>
        </w:rPr>
      </w:pPr>
      <w:r>
        <w:rPr>
          <w:rFonts w:hint="eastAsia" w:ascii="宋体" w:hAnsi="宋体" w:eastAsia="宋体" w:cs="宋体"/>
          <w:b/>
          <w:color w:val="auto"/>
          <w:w w:val="99"/>
          <w:kern w:val="0"/>
          <w:sz w:val="21"/>
          <w:szCs w:val="21"/>
          <w:highlight w:val="none"/>
          <w:lang w:val="en-US" w:eastAsia="zh-CN"/>
        </w:rPr>
        <w:t>初步评审：</w:t>
      </w:r>
    </w:p>
    <w:tbl>
      <w:tblPr>
        <w:tblStyle w:val="18"/>
        <w:tblW w:w="10040" w:type="dxa"/>
        <w:jc w:val="center"/>
        <w:tblLayout w:type="fixed"/>
        <w:tblCellMar>
          <w:top w:w="0" w:type="dxa"/>
          <w:left w:w="108" w:type="dxa"/>
          <w:bottom w:w="0" w:type="dxa"/>
          <w:right w:w="108" w:type="dxa"/>
        </w:tblCellMar>
      </w:tblPr>
      <w:tblGrid>
        <w:gridCol w:w="944"/>
        <w:gridCol w:w="1304"/>
        <w:gridCol w:w="2700"/>
        <w:gridCol w:w="5092"/>
      </w:tblGrid>
      <w:tr>
        <w:tblPrEx>
          <w:tblCellMar>
            <w:top w:w="0" w:type="dxa"/>
            <w:left w:w="108" w:type="dxa"/>
            <w:bottom w:w="0" w:type="dxa"/>
            <w:right w:w="108" w:type="dxa"/>
          </w:tblCellMar>
        </w:tblPrEx>
        <w:trPr>
          <w:trHeight w:val="449" w:hRule="atLeast"/>
          <w:jc w:val="center"/>
        </w:trPr>
        <w:tc>
          <w:tcPr>
            <w:tcW w:w="944" w:type="dxa"/>
            <w:tcBorders>
              <w:top w:val="single" w:color="auto" w:sz="4" w:space="0"/>
              <w:left w:val="single" w:color="auto" w:sz="4" w:space="0"/>
              <w:bottom w:val="single" w:color="auto" w:sz="4" w:space="0"/>
              <w:right w:val="single" w:color="000000" w:sz="4" w:space="0"/>
            </w:tcBorders>
            <w:vAlign w:val="center"/>
          </w:tcPr>
          <w:p>
            <w:pPr>
              <w:pStyle w:val="27"/>
              <w:keepNext w:val="0"/>
              <w:keepLines w:val="0"/>
              <w:pageBreakBefore w:val="0"/>
              <w:kinsoku/>
              <w:wordWrap/>
              <w:overflowPunct/>
              <w:topLinePunct w:val="0"/>
              <w:autoSpaceDE/>
              <w:autoSpaceDN/>
              <w:bidi w:val="0"/>
              <w:adjustRightInd/>
              <w:snapToGrid w:val="0"/>
              <w:spacing w:line="380" w:lineRule="exact"/>
              <w:ind w:left="0" w:lef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条款号</w:t>
            </w:r>
          </w:p>
        </w:tc>
        <w:tc>
          <w:tcPr>
            <w:tcW w:w="9096" w:type="dxa"/>
            <w:gridSpan w:val="3"/>
            <w:tcBorders>
              <w:top w:val="single" w:color="auto" w:sz="4" w:space="0"/>
              <w:left w:val="nil"/>
              <w:bottom w:val="single" w:color="auto" w:sz="4" w:space="0"/>
              <w:right w:val="single" w:color="auto" w:sz="4" w:space="0"/>
            </w:tcBorders>
            <w:vAlign w:val="center"/>
          </w:tcPr>
          <w:p>
            <w:pPr>
              <w:pStyle w:val="27"/>
              <w:keepNext w:val="0"/>
              <w:keepLines w:val="0"/>
              <w:pageBreakBefore w:val="0"/>
              <w:kinsoku/>
              <w:wordWrap/>
              <w:overflowPunct/>
              <w:topLinePunct w:val="0"/>
              <w:autoSpaceDE/>
              <w:autoSpaceDN/>
              <w:bidi w:val="0"/>
              <w:adjustRightInd/>
              <w:snapToGrid w:val="0"/>
              <w:spacing w:line="380" w:lineRule="exact"/>
              <w:ind w:left="0" w:lef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评审标准</w:t>
            </w:r>
          </w:p>
        </w:tc>
      </w:tr>
      <w:tr>
        <w:tblPrEx>
          <w:tblCellMar>
            <w:top w:w="0" w:type="dxa"/>
            <w:left w:w="108" w:type="dxa"/>
            <w:bottom w:w="0" w:type="dxa"/>
            <w:right w:w="108" w:type="dxa"/>
          </w:tblCellMar>
        </w:tblPrEx>
        <w:trPr>
          <w:trHeight w:val="453" w:hRule="atLeast"/>
          <w:jc w:val="center"/>
        </w:trPr>
        <w:tc>
          <w:tcPr>
            <w:tcW w:w="9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304" w:type="dxa"/>
            <w:vMerge w:val="restart"/>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kinsoku/>
              <w:wordWrap/>
              <w:overflowPunct/>
              <w:topLinePunct w:val="0"/>
              <w:autoSpaceDE/>
              <w:autoSpaceDN/>
              <w:bidi w:val="0"/>
              <w:adjustRightInd/>
              <w:snapToGrid w:val="0"/>
              <w:spacing w:line="380" w:lineRule="exact"/>
              <w:ind w:left="0" w:leftChars="0"/>
              <w:jc w:val="center"/>
              <w:textAlignment w:val="auto"/>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z w:val="21"/>
                <w:szCs w:val="21"/>
                <w:highlight w:val="none"/>
              </w:rPr>
              <w:t>资格</w:t>
            </w:r>
            <w:r>
              <w:rPr>
                <w:rFonts w:hint="eastAsia" w:ascii="宋体" w:hAnsi="宋体" w:eastAsia="宋体" w:cs="宋体"/>
                <w:color w:val="auto"/>
                <w:sz w:val="21"/>
                <w:szCs w:val="21"/>
                <w:highlight w:val="none"/>
                <w:lang w:eastAsia="zh-CN"/>
              </w:rPr>
              <w:t>评审</w:t>
            </w:r>
          </w:p>
          <w:p>
            <w:pPr>
              <w:pStyle w:val="14"/>
              <w:keepNext w:val="0"/>
              <w:keepLines w:val="0"/>
              <w:pageBreakBefore w:val="0"/>
              <w:kinsoku/>
              <w:wordWrap/>
              <w:overflowPunct/>
              <w:topLinePunct w:val="0"/>
              <w:autoSpaceDE/>
              <w:autoSpaceDN/>
              <w:bidi w:val="0"/>
              <w:adjustRightInd/>
              <w:snapToGrid w:val="0"/>
              <w:spacing w:line="380" w:lineRule="exact"/>
              <w:ind w:left="0" w:leftChars="0"/>
              <w:jc w:val="center"/>
              <w:textAlignment w:val="auto"/>
              <w:rPr>
                <w:rFonts w:hint="eastAsia" w:ascii="宋体" w:hAnsi="宋体" w:eastAsia="宋体" w:cs="宋体"/>
                <w:color w:val="auto"/>
                <w:spacing w:val="-6"/>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kinsoku/>
              <w:wordWrap/>
              <w:overflowPunct/>
              <w:topLinePunct w:val="0"/>
              <w:autoSpaceDE/>
              <w:autoSpaceDN/>
              <w:bidi w:val="0"/>
              <w:adjustRightInd/>
              <w:snapToGrid w:val="0"/>
              <w:spacing w:line="380" w:lineRule="exact"/>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5092"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kinsoku/>
              <w:wordWrap/>
              <w:overflowPunct/>
              <w:topLinePunct w:val="0"/>
              <w:autoSpaceDE/>
              <w:autoSpaceDN/>
              <w:bidi w:val="0"/>
              <w:adjustRightInd/>
              <w:snapToGrid w:val="0"/>
              <w:spacing w:line="380" w:lineRule="exact"/>
              <w:ind w:left="0" w:leftChars="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r>
              <w:rPr>
                <w:rFonts w:hint="eastAsia" w:ascii="宋体" w:hAnsi="宋体" w:eastAsia="宋体" w:cs="宋体"/>
                <w:b/>
                <w:bCs/>
                <w:color w:val="auto"/>
                <w:sz w:val="21"/>
                <w:szCs w:val="21"/>
                <w:highlight w:val="none"/>
              </w:rPr>
              <w:t>（合格标准：缺少任何一项或有任何一项不合格者，其资格</w:t>
            </w:r>
            <w:r>
              <w:rPr>
                <w:rFonts w:hint="eastAsia" w:ascii="宋体" w:hAnsi="宋体" w:eastAsia="宋体" w:cs="宋体"/>
                <w:b/>
                <w:bCs/>
                <w:color w:val="auto"/>
                <w:sz w:val="21"/>
                <w:szCs w:val="21"/>
                <w:highlight w:val="none"/>
                <w:lang w:eastAsia="zh-CN"/>
              </w:rPr>
              <w:t>评审</w:t>
            </w:r>
            <w:r>
              <w:rPr>
                <w:rFonts w:hint="eastAsia" w:ascii="宋体" w:hAnsi="宋体" w:eastAsia="宋体" w:cs="宋体"/>
                <w:b/>
                <w:bCs/>
                <w:color w:val="auto"/>
                <w:sz w:val="21"/>
                <w:szCs w:val="21"/>
                <w:highlight w:val="none"/>
              </w:rPr>
              <w:t>视为不合格）</w:t>
            </w:r>
          </w:p>
        </w:tc>
      </w:tr>
      <w:tr>
        <w:tblPrEx>
          <w:tblCellMar>
            <w:top w:w="0" w:type="dxa"/>
            <w:left w:w="108" w:type="dxa"/>
            <w:bottom w:w="0" w:type="dxa"/>
            <w:right w:w="108" w:type="dxa"/>
          </w:tblCellMar>
        </w:tblPrEx>
        <w:trPr>
          <w:trHeight w:val="537" w:hRule="atLeast"/>
          <w:jc w:val="center"/>
        </w:trPr>
        <w:tc>
          <w:tcPr>
            <w:tcW w:w="944"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sz w:val="21"/>
                <w:szCs w:val="21"/>
                <w:highlight w:val="none"/>
              </w:rPr>
            </w:pPr>
          </w:p>
        </w:tc>
        <w:tc>
          <w:tcPr>
            <w:tcW w:w="1304"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kern w:val="0"/>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kinsoku/>
              <w:wordWrap/>
              <w:overflowPunct/>
              <w:topLinePunct w:val="0"/>
              <w:autoSpaceDE/>
              <w:autoSpaceDN/>
              <w:bidi w:val="0"/>
              <w:adjustRightInd/>
              <w:snapToGrid w:val="0"/>
              <w:spacing w:line="380" w:lineRule="exact"/>
              <w:ind w:left="0" w:leftChars="0" w:firstLine="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、委托代理人身份</w:t>
            </w:r>
            <w:r>
              <w:rPr>
                <w:rFonts w:hint="eastAsia" w:ascii="宋体" w:hAnsi="宋体" w:cs="宋体"/>
                <w:color w:val="auto"/>
                <w:sz w:val="21"/>
                <w:szCs w:val="21"/>
                <w:highlight w:val="none"/>
                <w:lang w:eastAsia="zh-CN"/>
              </w:rPr>
              <w:t>证明</w:t>
            </w:r>
            <w:bookmarkStart w:id="2057" w:name="_GoBack"/>
            <w:bookmarkEnd w:id="2057"/>
          </w:p>
        </w:tc>
        <w:tc>
          <w:tcPr>
            <w:tcW w:w="5092"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kinsoku/>
              <w:wordWrap/>
              <w:overflowPunct/>
              <w:topLinePunct w:val="0"/>
              <w:autoSpaceDE/>
              <w:autoSpaceDN/>
              <w:bidi w:val="0"/>
              <w:adjustRightInd/>
              <w:snapToGrid w:val="0"/>
              <w:spacing w:line="38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有效的法定代表人身份</w:t>
            </w:r>
            <w:r>
              <w:rPr>
                <w:rFonts w:hint="eastAsia" w:ascii="宋体" w:hAnsi="宋体" w:eastAsia="宋体" w:cs="宋体"/>
                <w:color w:val="auto"/>
                <w:sz w:val="21"/>
                <w:szCs w:val="21"/>
                <w:highlight w:val="none"/>
                <w:lang w:eastAsia="zh-CN"/>
              </w:rPr>
              <w:t>证</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法人授权委托书（附身份证复印件，</w:t>
            </w:r>
            <w:r>
              <w:rPr>
                <w:rFonts w:hint="eastAsia" w:ascii="宋体" w:hAnsi="宋体" w:eastAsia="宋体" w:cs="宋体"/>
                <w:color w:val="auto"/>
                <w:sz w:val="21"/>
                <w:szCs w:val="21"/>
                <w:highlight w:val="none"/>
                <w:lang w:eastAsia="zh-CN"/>
              </w:rPr>
              <w:t>社会保险缴纳证明材料</w:t>
            </w:r>
            <w:r>
              <w:rPr>
                <w:rFonts w:hint="eastAsia" w:ascii="宋体" w:hAnsi="宋体" w:eastAsia="宋体" w:cs="宋体"/>
                <w:color w:val="auto"/>
                <w:sz w:val="21"/>
                <w:szCs w:val="21"/>
                <w:highlight w:val="none"/>
              </w:rPr>
              <w:t>授权代理时提供）</w:t>
            </w:r>
          </w:p>
        </w:tc>
      </w:tr>
      <w:tr>
        <w:tblPrEx>
          <w:tblCellMar>
            <w:top w:w="0" w:type="dxa"/>
            <w:left w:w="108" w:type="dxa"/>
            <w:bottom w:w="0" w:type="dxa"/>
            <w:right w:w="108" w:type="dxa"/>
          </w:tblCellMar>
        </w:tblPrEx>
        <w:trPr>
          <w:trHeight w:val="537" w:hRule="atLeast"/>
          <w:jc w:val="center"/>
        </w:trPr>
        <w:tc>
          <w:tcPr>
            <w:tcW w:w="94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sz w:val="21"/>
                <w:szCs w:val="21"/>
                <w:highlight w:val="none"/>
              </w:rPr>
            </w:pPr>
          </w:p>
        </w:tc>
        <w:tc>
          <w:tcPr>
            <w:tcW w:w="130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kern w:val="0"/>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kinsoku/>
              <w:wordWrap/>
              <w:overflowPunct/>
              <w:topLinePunct w:val="0"/>
              <w:autoSpaceDE/>
              <w:autoSpaceDN/>
              <w:bidi w:val="0"/>
              <w:adjustRightInd/>
              <w:snapToGrid w:val="0"/>
              <w:spacing w:line="380" w:lineRule="exact"/>
              <w:ind w:left="0" w:leftChars="0" w:firstLine="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无</w:t>
            </w:r>
            <w:r>
              <w:rPr>
                <w:rFonts w:hint="eastAsia" w:ascii="宋体" w:hAnsi="宋体" w:eastAsia="宋体" w:cs="宋体"/>
                <w:color w:val="auto"/>
                <w:sz w:val="21"/>
                <w:szCs w:val="21"/>
                <w:highlight w:val="none"/>
              </w:rPr>
              <w:t>重大违法记录的书面声明</w:t>
            </w:r>
          </w:p>
        </w:tc>
        <w:tc>
          <w:tcPr>
            <w:tcW w:w="5092"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kinsoku/>
              <w:wordWrap/>
              <w:overflowPunct/>
              <w:topLinePunct w:val="0"/>
              <w:autoSpaceDE/>
              <w:autoSpaceDN/>
              <w:bidi w:val="0"/>
              <w:adjustRightInd/>
              <w:snapToGrid w:val="0"/>
              <w:spacing w:line="380" w:lineRule="exact"/>
              <w:ind w:left="0" w:leftChars="0"/>
              <w:textAlignment w:val="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参加政府采购活动前3年内在经营活动中没有重大违法记录的书面声明</w:t>
            </w:r>
          </w:p>
        </w:tc>
      </w:tr>
      <w:tr>
        <w:tblPrEx>
          <w:tblCellMar>
            <w:top w:w="0" w:type="dxa"/>
            <w:left w:w="108" w:type="dxa"/>
            <w:bottom w:w="0" w:type="dxa"/>
            <w:right w:w="108" w:type="dxa"/>
          </w:tblCellMar>
        </w:tblPrEx>
        <w:trPr>
          <w:trHeight w:val="544" w:hRule="atLeast"/>
          <w:jc w:val="center"/>
        </w:trPr>
        <w:tc>
          <w:tcPr>
            <w:tcW w:w="94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sz w:val="21"/>
                <w:szCs w:val="21"/>
                <w:highlight w:val="none"/>
              </w:rPr>
            </w:pPr>
          </w:p>
        </w:tc>
        <w:tc>
          <w:tcPr>
            <w:tcW w:w="130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kern w:val="0"/>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kinsoku/>
              <w:wordWrap/>
              <w:overflowPunct/>
              <w:topLinePunct w:val="0"/>
              <w:autoSpaceDE/>
              <w:autoSpaceDN/>
              <w:bidi w:val="0"/>
              <w:adjustRightInd/>
              <w:snapToGrid w:val="0"/>
              <w:spacing w:line="380" w:lineRule="exact"/>
              <w:ind w:left="0" w:leftChars="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092"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kinsoku/>
              <w:wordWrap/>
              <w:overflowPunct/>
              <w:topLinePunct w:val="0"/>
              <w:autoSpaceDE/>
              <w:autoSpaceDN/>
              <w:bidi w:val="0"/>
              <w:adjustRightInd/>
              <w:snapToGrid w:val="0"/>
              <w:spacing w:line="380" w:lineRule="exact"/>
              <w:ind w:left="0" w:left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有效的营业执照</w:t>
            </w:r>
            <w:r>
              <w:rPr>
                <w:rFonts w:hint="eastAsia" w:ascii="宋体" w:hAnsi="宋体" w:eastAsia="宋体" w:cs="宋体"/>
                <w:color w:val="auto"/>
                <w:sz w:val="21"/>
                <w:szCs w:val="21"/>
                <w:highlight w:val="none"/>
                <w:lang w:eastAsia="zh-CN"/>
              </w:rPr>
              <w:t>复印件</w:t>
            </w:r>
          </w:p>
        </w:tc>
      </w:tr>
      <w:tr>
        <w:tblPrEx>
          <w:tblCellMar>
            <w:top w:w="0" w:type="dxa"/>
            <w:left w:w="108" w:type="dxa"/>
            <w:bottom w:w="0" w:type="dxa"/>
            <w:right w:w="108" w:type="dxa"/>
          </w:tblCellMar>
        </w:tblPrEx>
        <w:trPr>
          <w:trHeight w:val="507" w:hRule="atLeast"/>
          <w:jc w:val="center"/>
        </w:trPr>
        <w:tc>
          <w:tcPr>
            <w:tcW w:w="94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sz w:val="21"/>
                <w:szCs w:val="21"/>
                <w:highlight w:val="none"/>
              </w:rPr>
            </w:pPr>
          </w:p>
        </w:tc>
        <w:tc>
          <w:tcPr>
            <w:tcW w:w="130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kern w:val="0"/>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kinsoku/>
              <w:wordWrap/>
              <w:overflowPunct/>
              <w:topLinePunct w:val="0"/>
              <w:autoSpaceDE/>
              <w:autoSpaceDN/>
              <w:bidi w:val="0"/>
              <w:adjustRightInd/>
              <w:snapToGrid w:val="0"/>
              <w:spacing w:line="380" w:lineRule="exact"/>
              <w:ind w:left="0" w:leftChars="0" w:firstLine="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资质证书</w:t>
            </w:r>
          </w:p>
        </w:tc>
        <w:tc>
          <w:tcPr>
            <w:tcW w:w="5092"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kinsoku/>
              <w:wordWrap/>
              <w:overflowPunct/>
              <w:topLinePunct w:val="0"/>
              <w:autoSpaceDE/>
              <w:autoSpaceDN/>
              <w:bidi w:val="0"/>
              <w:adjustRightInd/>
              <w:snapToGrid w:val="0"/>
              <w:spacing w:line="380" w:lineRule="exact"/>
              <w:ind w:left="0" w:left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采购文件要求。</w:t>
            </w:r>
          </w:p>
        </w:tc>
      </w:tr>
      <w:tr>
        <w:tblPrEx>
          <w:tblCellMar>
            <w:top w:w="0" w:type="dxa"/>
            <w:left w:w="108" w:type="dxa"/>
            <w:bottom w:w="0" w:type="dxa"/>
            <w:right w:w="108" w:type="dxa"/>
          </w:tblCellMar>
        </w:tblPrEx>
        <w:trPr>
          <w:trHeight w:val="557" w:hRule="atLeast"/>
          <w:jc w:val="center"/>
        </w:trPr>
        <w:tc>
          <w:tcPr>
            <w:tcW w:w="94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sz w:val="21"/>
                <w:szCs w:val="21"/>
                <w:highlight w:val="none"/>
              </w:rPr>
            </w:pPr>
          </w:p>
        </w:tc>
        <w:tc>
          <w:tcPr>
            <w:tcW w:w="130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kern w:val="0"/>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kinsoku/>
              <w:wordWrap/>
              <w:overflowPunct/>
              <w:topLinePunct w:val="0"/>
              <w:autoSpaceDE/>
              <w:autoSpaceDN/>
              <w:bidi w:val="0"/>
              <w:adjustRightInd/>
              <w:snapToGrid w:val="0"/>
              <w:spacing w:line="380" w:lineRule="exact"/>
              <w:ind w:left="0" w:leftChars="0" w:firstLine="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中小微企业声明函</w:t>
            </w:r>
          </w:p>
        </w:tc>
        <w:tc>
          <w:tcPr>
            <w:tcW w:w="5092"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kinsoku/>
              <w:wordWrap/>
              <w:overflowPunct/>
              <w:topLinePunct w:val="0"/>
              <w:autoSpaceDE/>
              <w:autoSpaceDN/>
              <w:bidi w:val="0"/>
              <w:adjustRightInd/>
              <w:snapToGrid w:val="0"/>
              <w:spacing w:line="38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按采购文件要求提供。</w:t>
            </w:r>
          </w:p>
        </w:tc>
      </w:tr>
      <w:tr>
        <w:tblPrEx>
          <w:tblCellMar>
            <w:top w:w="0" w:type="dxa"/>
            <w:left w:w="108" w:type="dxa"/>
            <w:bottom w:w="0" w:type="dxa"/>
            <w:right w:w="108" w:type="dxa"/>
          </w:tblCellMar>
        </w:tblPrEx>
        <w:trPr>
          <w:trHeight w:val="497" w:hRule="atLeast"/>
          <w:jc w:val="center"/>
        </w:trPr>
        <w:tc>
          <w:tcPr>
            <w:tcW w:w="94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sz w:val="21"/>
                <w:szCs w:val="21"/>
                <w:highlight w:val="none"/>
              </w:rPr>
            </w:pPr>
          </w:p>
        </w:tc>
        <w:tc>
          <w:tcPr>
            <w:tcW w:w="130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kern w:val="0"/>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kinsoku/>
              <w:wordWrap/>
              <w:overflowPunct/>
              <w:topLinePunct w:val="0"/>
              <w:autoSpaceDE/>
              <w:autoSpaceDN/>
              <w:bidi w:val="0"/>
              <w:adjustRightInd/>
              <w:snapToGrid w:val="0"/>
              <w:spacing w:line="380" w:lineRule="exact"/>
              <w:ind w:left="0" w:leftChars="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安全生产许可证</w:t>
            </w:r>
          </w:p>
        </w:tc>
        <w:tc>
          <w:tcPr>
            <w:tcW w:w="5092"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kinsoku/>
              <w:wordWrap/>
              <w:overflowPunct/>
              <w:topLinePunct w:val="0"/>
              <w:autoSpaceDE/>
              <w:autoSpaceDN/>
              <w:bidi w:val="0"/>
              <w:adjustRightInd/>
              <w:snapToGrid w:val="0"/>
              <w:spacing w:line="38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有效的安全生产许可证</w:t>
            </w:r>
            <w:r>
              <w:rPr>
                <w:rFonts w:hint="eastAsia" w:ascii="宋体" w:hAnsi="宋体" w:eastAsia="宋体" w:cs="宋体"/>
                <w:color w:val="auto"/>
                <w:sz w:val="21"/>
                <w:szCs w:val="21"/>
                <w:highlight w:val="none"/>
                <w:lang w:eastAsia="zh-CN"/>
              </w:rPr>
              <w:t>复印件取得“三证合一”的除外。</w:t>
            </w:r>
          </w:p>
        </w:tc>
      </w:tr>
      <w:tr>
        <w:tblPrEx>
          <w:tblCellMar>
            <w:top w:w="0" w:type="dxa"/>
            <w:left w:w="108" w:type="dxa"/>
            <w:bottom w:w="0" w:type="dxa"/>
            <w:right w:w="108" w:type="dxa"/>
          </w:tblCellMar>
        </w:tblPrEx>
        <w:trPr>
          <w:trHeight w:val="475" w:hRule="atLeast"/>
          <w:jc w:val="center"/>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sz w:val="21"/>
                <w:szCs w:val="21"/>
                <w:highlight w:val="none"/>
              </w:rPr>
            </w:pPr>
          </w:p>
        </w:tc>
        <w:tc>
          <w:tcPr>
            <w:tcW w:w="13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kern w:val="0"/>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kinsoku/>
              <w:wordWrap/>
              <w:overflowPunct/>
              <w:topLinePunct w:val="0"/>
              <w:autoSpaceDE/>
              <w:autoSpaceDN/>
              <w:bidi w:val="0"/>
              <w:adjustRightInd/>
              <w:snapToGrid w:val="0"/>
              <w:spacing w:line="380" w:lineRule="exact"/>
              <w:ind w:left="0" w:leftChars="0" w:firstLine="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财务状况报告</w:t>
            </w:r>
          </w:p>
        </w:tc>
        <w:tc>
          <w:tcPr>
            <w:tcW w:w="5092"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kinsoku/>
              <w:wordWrap/>
              <w:overflowPunct/>
              <w:topLinePunct w:val="0"/>
              <w:autoSpaceDE/>
              <w:autoSpaceDN/>
              <w:bidi w:val="0"/>
              <w:adjustRightInd/>
              <w:snapToGrid w:val="0"/>
              <w:spacing w:line="38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按采购文件要求提供。</w:t>
            </w:r>
          </w:p>
        </w:tc>
      </w:tr>
      <w:tr>
        <w:tblPrEx>
          <w:tblCellMar>
            <w:top w:w="0" w:type="dxa"/>
            <w:left w:w="108" w:type="dxa"/>
            <w:bottom w:w="0" w:type="dxa"/>
            <w:right w:w="108" w:type="dxa"/>
          </w:tblCellMar>
        </w:tblPrEx>
        <w:trPr>
          <w:trHeight w:val="525" w:hRule="atLeast"/>
          <w:jc w:val="center"/>
        </w:trPr>
        <w:tc>
          <w:tcPr>
            <w:tcW w:w="94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sz w:val="21"/>
                <w:szCs w:val="21"/>
                <w:highlight w:val="none"/>
              </w:rPr>
            </w:pPr>
          </w:p>
        </w:tc>
        <w:tc>
          <w:tcPr>
            <w:tcW w:w="130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kern w:val="0"/>
                <w:sz w:val="21"/>
                <w:szCs w:val="21"/>
                <w:highlight w:val="none"/>
              </w:rPr>
            </w:pPr>
          </w:p>
        </w:tc>
        <w:tc>
          <w:tcPr>
            <w:tcW w:w="2700"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widowControl/>
              <w:kinsoku/>
              <w:wordWrap/>
              <w:overflowPunct/>
              <w:topLinePunct w:val="0"/>
              <w:autoSpaceDE/>
              <w:autoSpaceDN/>
              <w:bidi w:val="0"/>
              <w:adjustRightInd/>
              <w:snapToGrid w:val="0"/>
              <w:spacing w:line="380" w:lineRule="exact"/>
              <w:ind w:left="0" w:leftChars="0" w:firstLine="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依法纳税证明材料</w:t>
            </w:r>
          </w:p>
        </w:tc>
        <w:tc>
          <w:tcPr>
            <w:tcW w:w="5092"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pageBreakBefore w:val="0"/>
              <w:kinsoku/>
              <w:wordWrap/>
              <w:overflowPunct/>
              <w:topLinePunct w:val="0"/>
              <w:autoSpaceDE/>
              <w:autoSpaceDN/>
              <w:bidi w:val="0"/>
              <w:adjustRightInd/>
              <w:snapToGrid w:val="0"/>
              <w:spacing w:line="38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按采购文件要求提供。</w:t>
            </w:r>
          </w:p>
        </w:tc>
      </w:tr>
      <w:tr>
        <w:tblPrEx>
          <w:tblCellMar>
            <w:top w:w="0" w:type="dxa"/>
            <w:left w:w="108" w:type="dxa"/>
            <w:bottom w:w="0" w:type="dxa"/>
            <w:right w:w="108" w:type="dxa"/>
          </w:tblCellMar>
        </w:tblPrEx>
        <w:trPr>
          <w:trHeight w:val="487" w:hRule="atLeast"/>
          <w:jc w:val="center"/>
        </w:trPr>
        <w:tc>
          <w:tcPr>
            <w:tcW w:w="944"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80" w:lineRule="exact"/>
              <w:ind w:left="0" w:leftChars="0"/>
              <w:jc w:val="center"/>
              <w:textAlignment w:val="auto"/>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2.1.2</w:t>
            </w:r>
          </w:p>
        </w:tc>
        <w:tc>
          <w:tcPr>
            <w:tcW w:w="1304"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80" w:lineRule="exact"/>
              <w:ind w:left="0" w:left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符合性评审</w:t>
            </w:r>
          </w:p>
        </w:tc>
        <w:tc>
          <w:tcPr>
            <w:tcW w:w="270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8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5092"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80" w:lineRule="exact"/>
              <w:ind w:left="0" w:left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评审标准（合格标准：缺少任何一项或有任何一项不合格者，其</w:t>
            </w:r>
            <w:r>
              <w:rPr>
                <w:rFonts w:hint="eastAsia" w:ascii="宋体" w:hAnsi="宋体" w:eastAsia="宋体" w:cs="宋体"/>
                <w:b/>
                <w:bCs/>
                <w:color w:val="auto"/>
                <w:sz w:val="21"/>
                <w:szCs w:val="21"/>
                <w:highlight w:val="none"/>
                <w:lang w:eastAsia="zh-CN"/>
              </w:rPr>
              <w:t>符合性评审</w:t>
            </w:r>
            <w:r>
              <w:rPr>
                <w:rFonts w:hint="eastAsia" w:ascii="宋体" w:hAnsi="宋体" w:eastAsia="宋体" w:cs="宋体"/>
                <w:b/>
                <w:bCs/>
                <w:color w:val="auto"/>
                <w:sz w:val="21"/>
                <w:szCs w:val="21"/>
                <w:highlight w:val="none"/>
              </w:rPr>
              <w:t>视为不合格）</w:t>
            </w:r>
          </w:p>
        </w:tc>
      </w:tr>
      <w:tr>
        <w:tblPrEx>
          <w:tblCellMar>
            <w:top w:w="0" w:type="dxa"/>
            <w:left w:w="108" w:type="dxa"/>
            <w:bottom w:w="0" w:type="dxa"/>
            <w:right w:w="108" w:type="dxa"/>
          </w:tblCellMar>
        </w:tblPrEx>
        <w:trPr>
          <w:trHeight w:val="430"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80" w:lineRule="exact"/>
              <w:ind w:left="0" w:leftChars="0"/>
              <w:textAlignment w:val="auto"/>
              <w:rPr>
                <w:rFonts w:hint="eastAsia" w:ascii="宋体" w:hAnsi="宋体" w:eastAsia="宋体" w:cs="宋体"/>
                <w:color w:val="auto"/>
                <w:sz w:val="21"/>
                <w:szCs w:val="21"/>
                <w:highlight w:val="none"/>
              </w:rPr>
            </w:pPr>
          </w:p>
        </w:tc>
        <w:tc>
          <w:tcPr>
            <w:tcW w:w="130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80" w:lineRule="exact"/>
              <w:ind w:left="0" w:leftChars="0"/>
              <w:textAlignment w:val="auto"/>
              <w:rPr>
                <w:rFonts w:hint="eastAsia" w:ascii="宋体" w:hAnsi="宋体" w:eastAsia="宋体" w:cs="宋体"/>
                <w:color w:val="auto"/>
                <w:sz w:val="21"/>
                <w:szCs w:val="21"/>
                <w:highlight w:val="none"/>
              </w:rPr>
            </w:pPr>
          </w:p>
        </w:tc>
        <w:tc>
          <w:tcPr>
            <w:tcW w:w="2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响应函</w:t>
            </w:r>
          </w:p>
        </w:tc>
        <w:tc>
          <w:tcPr>
            <w:tcW w:w="50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8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必须提供</w:t>
            </w:r>
          </w:p>
        </w:tc>
      </w:tr>
      <w:tr>
        <w:tblPrEx>
          <w:tblCellMar>
            <w:top w:w="0" w:type="dxa"/>
            <w:left w:w="108" w:type="dxa"/>
            <w:bottom w:w="0" w:type="dxa"/>
            <w:right w:w="108" w:type="dxa"/>
          </w:tblCellMar>
        </w:tblPrEx>
        <w:trPr>
          <w:trHeight w:val="474"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sz w:val="21"/>
                <w:szCs w:val="21"/>
                <w:highlight w:val="none"/>
              </w:rPr>
            </w:pPr>
          </w:p>
        </w:tc>
        <w:tc>
          <w:tcPr>
            <w:tcW w:w="130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sz w:val="21"/>
                <w:szCs w:val="21"/>
                <w:highlight w:val="none"/>
              </w:rPr>
            </w:pPr>
          </w:p>
        </w:tc>
        <w:tc>
          <w:tcPr>
            <w:tcW w:w="2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工程报价汇总表</w:t>
            </w:r>
          </w:p>
        </w:tc>
        <w:tc>
          <w:tcPr>
            <w:tcW w:w="50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8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必须提供</w:t>
            </w:r>
          </w:p>
        </w:tc>
      </w:tr>
      <w:tr>
        <w:tblPrEx>
          <w:tblCellMar>
            <w:top w:w="0" w:type="dxa"/>
            <w:left w:w="108" w:type="dxa"/>
            <w:bottom w:w="0" w:type="dxa"/>
            <w:right w:w="108" w:type="dxa"/>
          </w:tblCellMar>
        </w:tblPrEx>
        <w:trPr>
          <w:trHeight w:val="478"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sz w:val="21"/>
                <w:szCs w:val="21"/>
                <w:highlight w:val="none"/>
              </w:rPr>
            </w:pPr>
          </w:p>
        </w:tc>
        <w:tc>
          <w:tcPr>
            <w:tcW w:w="130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sz w:val="21"/>
                <w:szCs w:val="21"/>
                <w:highlight w:val="none"/>
              </w:rPr>
            </w:pPr>
          </w:p>
        </w:tc>
        <w:tc>
          <w:tcPr>
            <w:tcW w:w="270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已标价工程量清单</w:t>
            </w:r>
          </w:p>
        </w:tc>
        <w:tc>
          <w:tcPr>
            <w:tcW w:w="509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8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必须提供</w:t>
            </w:r>
          </w:p>
        </w:tc>
      </w:tr>
      <w:tr>
        <w:tblPrEx>
          <w:tblCellMar>
            <w:top w:w="0" w:type="dxa"/>
            <w:left w:w="108" w:type="dxa"/>
            <w:bottom w:w="0" w:type="dxa"/>
            <w:right w:w="108" w:type="dxa"/>
          </w:tblCellMar>
        </w:tblPrEx>
        <w:trPr>
          <w:trHeight w:val="491"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sz w:val="21"/>
                <w:szCs w:val="21"/>
                <w:highlight w:val="none"/>
              </w:rPr>
            </w:pPr>
          </w:p>
        </w:tc>
        <w:tc>
          <w:tcPr>
            <w:tcW w:w="130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sz w:val="21"/>
                <w:szCs w:val="21"/>
                <w:highlight w:val="none"/>
              </w:rPr>
            </w:pPr>
          </w:p>
        </w:tc>
        <w:tc>
          <w:tcPr>
            <w:tcW w:w="2700"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拟投入主要施工管理人员</w:t>
            </w:r>
          </w:p>
        </w:tc>
        <w:tc>
          <w:tcPr>
            <w:tcW w:w="5092"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8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符合采购文件要求</w:t>
            </w:r>
          </w:p>
        </w:tc>
      </w:tr>
      <w:tr>
        <w:tblPrEx>
          <w:tblCellMar>
            <w:top w:w="0" w:type="dxa"/>
            <w:left w:w="108" w:type="dxa"/>
            <w:bottom w:w="0" w:type="dxa"/>
            <w:right w:w="108" w:type="dxa"/>
          </w:tblCellMar>
        </w:tblPrEx>
        <w:trPr>
          <w:trHeight w:val="429"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sz w:val="21"/>
                <w:szCs w:val="21"/>
                <w:highlight w:val="none"/>
              </w:rPr>
            </w:pPr>
          </w:p>
        </w:tc>
        <w:tc>
          <w:tcPr>
            <w:tcW w:w="130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sz w:val="21"/>
                <w:szCs w:val="21"/>
                <w:highlight w:val="none"/>
              </w:rPr>
            </w:pPr>
          </w:p>
        </w:tc>
        <w:tc>
          <w:tcPr>
            <w:tcW w:w="2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项目经理</w:t>
            </w:r>
          </w:p>
        </w:tc>
        <w:tc>
          <w:tcPr>
            <w:tcW w:w="509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38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符合采购文件要求</w:t>
            </w:r>
          </w:p>
        </w:tc>
      </w:tr>
      <w:tr>
        <w:tblPrEx>
          <w:tblCellMar>
            <w:top w:w="0" w:type="dxa"/>
            <w:left w:w="108" w:type="dxa"/>
            <w:bottom w:w="0" w:type="dxa"/>
            <w:right w:w="108" w:type="dxa"/>
          </w:tblCellMar>
        </w:tblPrEx>
        <w:trPr>
          <w:trHeight w:val="470"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sz w:val="21"/>
                <w:szCs w:val="21"/>
                <w:highlight w:val="none"/>
              </w:rPr>
            </w:pPr>
          </w:p>
        </w:tc>
        <w:tc>
          <w:tcPr>
            <w:tcW w:w="130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sz w:val="21"/>
                <w:szCs w:val="21"/>
                <w:highlight w:val="none"/>
              </w:rPr>
            </w:pPr>
          </w:p>
        </w:tc>
        <w:tc>
          <w:tcPr>
            <w:tcW w:w="2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施工组织方案</w:t>
            </w:r>
          </w:p>
        </w:tc>
        <w:tc>
          <w:tcPr>
            <w:tcW w:w="509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38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必须提供</w:t>
            </w:r>
          </w:p>
        </w:tc>
      </w:tr>
      <w:tr>
        <w:tblPrEx>
          <w:tblCellMar>
            <w:top w:w="0" w:type="dxa"/>
            <w:left w:w="108" w:type="dxa"/>
            <w:bottom w:w="0" w:type="dxa"/>
            <w:right w:w="108" w:type="dxa"/>
          </w:tblCellMar>
        </w:tblPrEx>
        <w:trPr>
          <w:trHeight w:val="523"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sz w:val="21"/>
                <w:szCs w:val="21"/>
                <w:highlight w:val="none"/>
              </w:rPr>
            </w:pPr>
          </w:p>
        </w:tc>
        <w:tc>
          <w:tcPr>
            <w:tcW w:w="130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sz w:val="21"/>
                <w:szCs w:val="21"/>
                <w:highlight w:val="none"/>
              </w:rPr>
            </w:pPr>
          </w:p>
        </w:tc>
        <w:tc>
          <w:tcPr>
            <w:tcW w:w="2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工程完工服务承诺书</w:t>
            </w:r>
          </w:p>
        </w:tc>
        <w:tc>
          <w:tcPr>
            <w:tcW w:w="509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38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必须提供</w:t>
            </w:r>
          </w:p>
        </w:tc>
      </w:tr>
      <w:tr>
        <w:tblPrEx>
          <w:tblCellMar>
            <w:top w:w="0" w:type="dxa"/>
            <w:left w:w="108" w:type="dxa"/>
            <w:bottom w:w="0" w:type="dxa"/>
            <w:right w:w="108" w:type="dxa"/>
          </w:tblCellMar>
        </w:tblPrEx>
        <w:trPr>
          <w:trHeight w:val="577"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sz w:val="21"/>
                <w:szCs w:val="21"/>
                <w:highlight w:val="none"/>
              </w:rPr>
            </w:pPr>
          </w:p>
        </w:tc>
        <w:tc>
          <w:tcPr>
            <w:tcW w:w="130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sz w:val="21"/>
                <w:szCs w:val="21"/>
                <w:highlight w:val="none"/>
              </w:rPr>
            </w:pPr>
          </w:p>
        </w:tc>
        <w:tc>
          <w:tcPr>
            <w:tcW w:w="2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color w:val="auto"/>
                <w:kern w:val="0"/>
                <w:sz w:val="21"/>
                <w:szCs w:val="21"/>
                <w:highlight w:val="none"/>
                <w:lang w:eastAsia="zh-CN"/>
              </w:rPr>
              <w:t>农民工工资保障金缴纳与使用承诺书</w:t>
            </w:r>
          </w:p>
        </w:tc>
        <w:tc>
          <w:tcPr>
            <w:tcW w:w="5092"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380" w:lineRule="exact"/>
              <w:ind w:left="0" w:leftChars="0"/>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eastAsia="zh-CN"/>
              </w:rPr>
              <w:t>必须提供</w:t>
            </w:r>
          </w:p>
        </w:tc>
      </w:tr>
      <w:tr>
        <w:tblPrEx>
          <w:tblCellMar>
            <w:top w:w="0" w:type="dxa"/>
            <w:left w:w="108" w:type="dxa"/>
            <w:bottom w:w="0" w:type="dxa"/>
            <w:right w:w="108" w:type="dxa"/>
          </w:tblCellMar>
        </w:tblPrEx>
        <w:trPr>
          <w:trHeight w:val="1039" w:hRule="exac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sz w:val="21"/>
                <w:szCs w:val="21"/>
                <w:highlight w:val="none"/>
              </w:rPr>
            </w:pPr>
          </w:p>
        </w:tc>
        <w:tc>
          <w:tcPr>
            <w:tcW w:w="130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80" w:lineRule="exact"/>
              <w:ind w:left="0" w:leftChars="0"/>
              <w:jc w:val="left"/>
              <w:textAlignment w:val="auto"/>
              <w:rPr>
                <w:rFonts w:hint="eastAsia" w:ascii="宋体" w:hAnsi="宋体" w:eastAsia="宋体" w:cs="宋体"/>
                <w:color w:val="auto"/>
                <w:sz w:val="21"/>
                <w:szCs w:val="21"/>
                <w:highlight w:val="none"/>
              </w:rPr>
            </w:pPr>
          </w:p>
        </w:tc>
        <w:tc>
          <w:tcPr>
            <w:tcW w:w="270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城乡清洁工程渣土清运承诺书</w:t>
            </w:r>
          </w:p>
        </w:tc>
        <w:tc>
          <w:tcPr>
            <w:tcW w:w="5092"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80" w:lineRule="exact"/>
              <w:ind w:left="0" w:leftChars="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必须提供</w:t>
            </w:r>
          </w:p>
        </w:tc>
      </w:tr>
    </w:tbl>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eastAsia="zh-CN"/>
        </w:rPr>
        <w:t>详细</w:t>
      </w:r>
      <w:r>
        <w:rPr>
          <w:rFonts w:hint="eastAsia" w:ascii="宋体" w:hAnsi="宋体" w:eastAsia="宋体" w:cs="宋体"/>
          <w:b/>
          <w:color w:val="auto"/>
          <w:sz w:val="21"/>
          <w:szCs w:val="21"/>
          <w:highlight w:val="none"/>
        </w:rPr>
        <w:t>价格分………………………………………………………………</w:t>
      </w:r>
      <w:r>
        <w:rPr>
          <w:rFonts w:hint="eastAsia" w:ascii="宋体" w:hAnsi="宋体" w:eastAsia="宋体" w:cs="宋体"/>
          <w:b/>
          <w:bCs w:val="0"/>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bCs w:val="0"/>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bCs w:val="0"/>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满分30</w:t>
      </w:r>
      <w:r>
        <w:rPr>
          <w:rFonts w:hint="eastAsia" w:ascii="宋体" w:hAnsi="宋体" w:eastAsia="宋体" w:cs="宋体"/>
          <w:b/>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（1）本项目为专门面向中小微企业采购的项目（供应商应为中小微企业、监狱企业、残疾人福利性单位)，不再执行价格评审优惠的扶持政策。即评标价=最终报价。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b w:val="0"/>
          <w:bCs/>
          <w:color w:val="auto"/>
          <w:sz w:val="21"/>
          <w:szCs w:val="21"/>
          <w:highlight w:val="none"/>
        </w:rPr>
        <w:t>人为残疾人福利性单位的，随</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b w:val="0"/>
          <w:bCs/>
          <w:color w:val="auto"/>
          <w:sz w:val="21"/>
          <w:szCs w:val="21"/>
          <w:highlight w:val="none"/>
        </w:rPr>
        <w:t>结果公告其《残疾人福利性单位声明函》，接受社会监督。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（2）以进入评审的最低的评标价为</w:t>
      </w:r>
      <w:r>
        <w:rPr>
          <w:rFonts w:hint="eastAsia" w:ascii="宋体" w:hAnsi="宋体" w:eastAsia="宋体" w:cs="宋体"/>
          <w:b w:val="0"/>
          <w:bCs/>
          <w:color w:val="auto"/>
          <w:sz w:val="21"/>
          <w:szCs w:val="21"/>
          <w:highlight w:val="none"/>
          <w:lang w:val="en-US" w:eastAsia="zh-CN"/>
        </w:rPr>
        <w:t>30</w:t>
      </w:r>
      <w:r>
        <w:rPr>
          <w:rFonts w:hint="eastAsia" w:ascii="宋体" w:hAnsi="宋体" w:eastAsia="宋体" w:cs="宋体"/>
          <w:b w:val="0"/>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（3）某供应商价格分 = 供应商最低评</w:t>
      </w:r>
      <w:r>
        <w:rPr>
          <w:rFonts w:hint="eastAsia" w:ascii="宋体" w:hAnsi="宋体" w:eastAsia="宋体" w:cs="宋体"/>
          <w:b w:val="0"/>
          <w:bCs/>
          <w:color w:val="auto"/>
          <w:sz w:val="21"/>
          <w:szCs w:val="21"/>
          <w:highlight w:val="none"/>
          <w:lang w:eastAsia="zh-CN"/>
        </w:rPr>
        <w:t>审</w:t>
      </w:r>
      <w:r>
        <w:rPr>
          <w:rFonts w:hint="eastAsia" w:ascii="宋体" w:hAnsi="宋体" w:eastAsia="宋体" w:cs="宋体"/>
          <w:b w:val="0"/>
          <w:bCs/>
          <w:color w:val="auto"/>
          <w:sz w:val="21"/>
          <w:szCs w:val="21"/>
          <w:highlight w:val="none"/>
        </w:rPr>
        <w:t>报价（金额）/某供应商评</w:t>
      </w:r>
      <w:r>
        <w:rPr>
          <w:rFonts w:hint="eastAsia" w:ascii="宋体" w:hAnsi="宋体" w:eastAsia="宋体" w:cs="宋体"/>
          <w:b w:val="0"/>
          <w:bCs/>
          <w:color w:val="auto"/>
          <w:sz w:val="21"/>
          <w:szCs w:val="21"/>
          <w:highlight w:val="none"/>
          <w:lang w:eastAsia="zh-CN"/>
        </w:rPr>
        <w:t>审</w:t>
      </w:r>
      <w:r>
        <w:rPr>
          <w:rFonts w:hint="eastAsia" w:ascii="宋体" w:hAnsi="宋体" w:eastAsia="宋体" w:cs="宋体"/>
          <w:b w:val="0"/>
          <w:bCs/>
          <w:color w:val="auto"/>
          <w:sz w:val="21"/>
          <w:szCs w:val="21"/>
          <w:highlight w:val="none"/>
        </w:rPr>
        <w:t>报价（金额）×</w:t>
      </w:r>
      <w:r>
        <w:rPr>
          <w:rFonts w:hint="eastAsia" w:ascii="宋体" w:hAnsi="宋体" w:eastAsia="宋体" w:cs="宋体"/>
          <w:b w:val="0"/>
          <w:bCs/>
          <w:color w:val="auto"/>
          <w:sz w:val="21"/>
          <w:szCs w:val="21"/>
          <w:highlight w:val="none"/>
          <w:lang w:val="en-US" w:eastAsia="zh-CN"/>
        </w:rPr>
        <w:t>30</w:t>
      </w:r>
      <w:r>
        <w:rPr>
          <w:rFonts w:hint="eastAsia" w:ascii="宋体" w:hAnsi="宋体" w:eastAsia="宋体" w:cs="宋体"/>
          <w:b w:val="0"/>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2.技术分</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bCs w:val="0"/>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bCs w:val="0"/>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满分60</w:t>
      </w:r>
      <w:r>
        <w:rPr>
          <w:rFonts w:hint="eastAsia" w:ascii="宋体" w:hAnsi="宋体" w:eastAsia="宋体" w:cs="宋体"/>
          <w:b/>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outlineLvl w:val="0"/>
        <w:rPr>
          <w:rFonts w:hint="eastAsia" w:ascii="宋体" w:hAnsi="宋体" w:eastAsia="宋体" w:cs="宋体"/>
          <w:b/>
          <w:color w:val="auto"/>
          <w:kern w:val="0"/>
          <w:sz w:val="21"/>
          <w:szCs w:val="21"/>
          <w:highlight w:val="none"/>
        </w:rPr>
      </w:pPr>
      <w:bookmarkStart w:id="142" w:name="_Toc31532"/>
      <w:r>
        <w:rPr>
          <w:rFonts w:hint="eastAsia" w:ascii="宋体" w:hAnsi="宋体" w:eastAsia="宋体" w:cs="宋体"/>
          <w:b/>
          <w:color w:val="auto"/>
          <w:kern w:val="0"/>
          <w:sz w:val="21"/>
          <w:szCs w:val="21"/>
          <w:highlight w:val="none"/>
        </w:rPr>
        <w:t>（1）总体施工组织布置及规划（满分</w:t>
      </w:r>
      <w:r>
        <w:rPr>
          <w:rFonts w:hint="eastAsia" w:ascii="宋体" w:hAnsi="宋体" w:eastAsia="宋体" w:cs="宋体"/>
          <w:b/>
          <w:color w:val="auto"/>
          <w:kern w:val="0"/>
          <w:sz w:val="21"/>
          <w:szCs w:val="21"/>
          <w:highlight w:val="none"/>
          <w:lang w:val="en-US" w:eastAsia="zh-CN"/>
        </w:rPr>
        <w:t>10</w:t>
      </w:r>
      <w:r>
        <w:rPr>
          <w:rFonts w:hint="eastAsia" w:ascii="宋体" w:hAnsi="宋体" w:eastAsia="宋体" w:cs="宋体"/>
          <w:b/>
          <w:color w:val="auto"/>
          <w:kern w:val="0"/>
          <w:sz w:val="21"/>
          <w:szCs w:val="21"/>
          <w:highlight w:val="none"/>
        </w:rPr>
        <w:t>分）</w:t>
      </w:r>
      <w:bookmarkEnd w:id="142"/>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43" w:name="_Toc23362"/>
      <w:r>
        <w:rPr>
          <w:rFonts w:hint="eastAsia" w:ascii="宋体" w:hAnsi="宋体" w:eastAsia="宋体" w:cs="宋体"/>
          <w:b w:val="0"/>
          <w:bCs/>
          <w:color w:val="auto"/>
          <w:kern w:val="0"/>
          <w:sz w:val="21"/>
          <w:szCs w:val="21"/>
          <w:highlight w:val="none"/>
          <w:lang w:eastAsia="zh-CN"/>
        </w:rPr>
        <w:t>优</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10</w:t>
      </w:r>
      <w:r>
        <w:rPr>
          <w:rFonts w:hint="eastAsia" w:ascii="宋体" w:hAnsi="宋体" w:eastAsia="宋体" w:cs="宋体"/>
          <w:b w:val="0"/>
          <w:bCs/>
          <w:color w:val="auto"/>
          <w:kern w:val="0"/>
          <w:sz w:val="21"/>
          <w:szCs w:val="21"/>
          <w:highlight w:val="none"/>
        </w:rPr>
        <w:t>分）：总体概述（施工程序总体设想及施工段）对项目总体有深刻认识，表述清晰、完整、 严谨、合理，措施先进、具体、有效、成熟；施工段划分呼应总体表述，划分清晰、合理，符合规范要求。施工进度计划和各阶段进度的保证措施关键线路清晰、准确、完整、计划编划合理、可行，关键节点的控制措施有力、合理、可行。</w:t>
      </w:r>
      <w:bookmarkEnd w:id="143"/>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44" w:name="_Toc31392"/>
      <w:r>
        <w:rPr>
          <w:rFonts w:hint="eastAsia" w:ascii="宋体" w:hAnsi="宋体" w:eastAsia="宋体" w:cs="宋体"/>
          <w:b w:val="0"/>
          <w:bCs/>
          <w:color w:val="auto"/>
          <w:kern w:val="0"/>
          <w:sz w:val="21"/>
          <w:szCs w:val="21"/>
          <w:highlight w:val="none"/>
          <w:lang w:eastAsia="zh-CN"/>
        </w:rPr>
        <w:t>良</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7</w:t>
      </w:r>
      <w:r>
        <w:rPr>
          <w:rFonts w:hint="eastAsia" w:ascii="宋体" w:hAnsi="宋体" w:eastAsia="宋体" w:cs="宋体"/>
          <w:b w:val="0"/>
          <w:bCs/>
          <w:color w:val="auto"/>
          <w:kern w:val="0"/>
          <w:sz w:val="21"/>
          <w:szCs w:val="21"/>
          <w:highlight w:val="none"/>
        </w:rPr>
        <w:t>分）：总体概述（施工程序总体设想及施工段）对项目总体有认识，表述完整、合理，措施 具体；施工段划分呼应总体表述，划分合理，符合规范要求。施工进度计划和各阶段进度的保证措施关键线路准确、完整、计划编划可行，关键节点的控制措施可行。</w:t>
      </w:r>
      <w:bookmarkEnd w:id="144"/>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45" w:name="_Toc14612"/>
      <w:r>
        <w:rPr>
          <w:rFonts w:hint="eastAsia" w:ascii="宋体" w:hAnsi="宋体" w:eastAsia="宋体" w:cs="宋体"/>
          <w:b w:val="0"/>
          <w:bCs/>
          <w:color w:val="auto"/>
          <w:kern w:val="0"/>
          <w:sz w:val="21"/>
          <w:szCs w:val="21"/>
          <w:highlight w:val="none"/>
          <w:lang w:eastAsia="zh-CN"/>
        </w:rPr>
        <w:t>中</w:t>
      </w:r>
      <w:r>
        <w:rPr>
          <w:rFonts w:hint="eastAsia" w:ascii="宋体" w:hAnsi="宋体" w:eastAsia="宋体" w:cs="宋体"/>
          <w:b w:val="0"/>
          <w:bCs/>
          <w:color w:val="auto"/>
          <w:kern w:val="0"/>
          <w:sz w:val="21"/>
          <w:szCs w:val="21"/>
          <w:highlight w:val="none"/>
        </w:rPr>
        <w:t>（3分）：总体概述（施工程序总体设想及施工段）对项目总体有基本认识，表述欠完整，措施 一般但符合规范要求。施工进度计划和各阶段进度的保证措施关键线路基本满足要求、计划编划基本可行，关键节点的控制措施基本可行。</w:t>
      </w:r>
      <w:bookmarkEnd w:id="145"/>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46" w:name="_Toc21946"/>
      <w:r>
        <w:rPr>
          <w:rFonts w:hint="eastAsia" w:ascii="宋体" w:hAnsi="宋体" w:eastAsia="宋体" w:cs="宋体"/>
          <w:b w:val="0"/>
          <w:bCs/>
          <w:color w:val="auto"/>
          <w:kern w:val="0"/>
          <w:sz w:val="21"/>
          <w:szCs w:val="21"/>
          <w:highlight w:val="none"/>
          <w:lang w:eastAsia="zh-CN"/>
        </w:rPr>
        <w:t>差</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分）：总体概述（施工程序总体设想及施工段）对项目认识不足，表达不清晰，措施不具体；施工段划分不合理。</w:t>
      </w:r>
      <w:bookmarkEnd w:id="146"/>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outlineLvl w:val="0"/>
        <w:rPr>
          <w:rFonts w:hint="eastAsia" w:ascii="宋体" w:hAnsi="宋体" w:eastAsia="宋体" w:cs="宋体"/>
          <w:b/>
          <w:color w:val="auto"/>
          <w:kern w:val="0"/>
          <w:sz w:val="21"/>
          <w:szCs w:val="21"/>
          <w:highlight w:val="none"/>
        </w:rPr>
      </w:pPr>
      <w:bookmarkStart w:id="147" w:name="_Toc11957"/>
      <w:r>
        <w:rPr>
          <w:rFonts w:hint="eastAsia" w:ascii="宋体" w:hAnsi="宋体" w:eastAsia="宋体" w:cs="宋体"/>
          <w:b/>
          <w:color w:val="auto"/>
          <w:kern w:val="0"/>
          <w:sz w:val="21"/>
          <w:szCs w:val="21"/>
          <w:highlight w:val="none"/>
        </w:rPr>
        <w:t>（2）主要工程项目的施工方案、方法与技术措施（满分</w:t>
      </w:r>
      <w:r>
        <w:rPr>
          <w:rFonts w:hint="eastAsia" w:ascii="宋体" w:hAnsi="宋体" w:eastAsia="宋体" w:cs="宋体"/>
          <w:b/>
          <w:color w:val="auto"/>
          <w:kern w:val="0"/>
          <w:sz w:val="21"/>
          <w:szCs w:val="21"/>
          <w:highlight w:val="none"/>
          <w:lang w:val="en-US" w:eastAsia="zh-CN"/>
        </w:rPr>
        <w:t>12</w:t>
      </w:r>
      <w:r>
        <w:rPr>
          <w:rFonts w:hint="eastAsia" w:ascii="宋体" w:hAnsi="宋体" w:eastAsia="宋体" w:cs="宋体"/>
          <w:b/>
          <w:color w:val="auto"/>
          <w:kern w:val="0"/>
          <w:sz w:val="21"/>
          <w:szCs w:val="21"/>
          <w:highlight w:val="none"/>
        </w:rPr>
        <w:t>分）</w:t>
      </w:r>
      <w:bookmarkEnd w:id="147"/>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48" w:name="_Toc12844"/>
      <w:r>
        <w:rPr>
          <w:rFonts w:hint="eastAsia" w:ascii="宋体" w:hAnsi="宋体" w:eastAsia="宋体" w:cs="宋体"/>
          <w:b w:val="0"/>
          <w:bCs/>
          <w:color w:val="auto"/>
          <w:kern w:val="0"/>
          <w:sz w:val="21"/>
          <w:szCs w:val="21"/>
          <w:highlight w:val="none"/>
          <w:lang w:eastAsia="zh-CN"/>
        </w:rPr>
        <w:t>优</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12</w:t>
      </w:r>
      <w:r>
        <w:rPr>
          <w:rFonts w:hint="eastAsia" w:ascii="宋体" w:hAnsi="宋体" w:eastAsia="宋体" w:cs="宋体"/>
          <w:b w:val="0"/>
          <w:bCs/>
          <w:color w:val="auto"/>
          <w:kern w:val="0"/>
          <w:sz w:val="21"/>
          <w:szCs w:val="21"/>
          <w:highlight w:val="none"/>
        </w:rPr>
        <w:t>分）：主要工程的施工方案、方法与技术措施符合项目实际，有详尽的施工技术方案，工艺 先进、方法科学合理、可行，能指导具体施工并确保安全。投入的施工材料有详细的组织计划且计划周密，数量、选型配置、进场时间安排合理，完全满足施工需要。</w:t>
      </w:r>
      <w:bookmarkEnd w:id="148"/>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49" w:name="_Toc27390"/>
      <w:r>
        <w:rPr>
          <w:rFonts w:hint="eastAsia" w:ascii="宋体" w:hAnsi="宋体" w:eastAsia="宋体" w:cs="宋体"/>
          <w:b w:val="0"/>
          <w:bCs/>
          <w:color w:val="auto"/>
          <w:kern w:val="0"/>
          <w:sz w:val="21"/>
          <w:szCs w:val="21"/>
          <w:highlight w:val="none"/>
          <w:lang w:eastAsia="zh-CN"/>
        </w:rPr>
        <w:t>良</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8</w:t>
      </w:r>
      <w:r>
        <w:rPr>
          <w:rFonts w:hint="eastAsia" w:ascii="宋体" w:hAnsi="宋体" w:eastAsia="宋体" w:cs="宋体"/>
          <w:b w:val="0"/>
          <w:bCs/>
          <w:color w:val="auto"/>
          <w:kern w:val="0"/>
          <w:sz w:val="21"/>
          <w:szCs w:val="21"/>
          <w:highlight w:val="none"/>
        </w:rPr>
        <w:t>分）：主要工程的施工方案、方法与技术措施符合项目实际，有施工技术方案，工艺及方法可行，能指导施工并确保安全。投入的施工材料有组织计划且计划可行，数量、选型配置、进场时间安排满足施工需要。</w:t>
      </w:r>
      <w:bookmarkEnd w:id="149"/>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50" w:name="_Toc27544"/>
      <w:r>
        <w:rPr>
          <w:rFonts w:hint="eastAsia" w:ascii="宋体" w:hAnsi="宋体" w:eastAsia="宋体" w:cs="宋体"/>
          <w:b w:val="0"/>
          <w:bCs/>
          <w:color w:val="auto"/>
          <w:kern w:val="0"/>
          <w:sz w:val="21"/>
          <w:szCs w:val="21"/>
          <w:highlight w:val="none"/>
          <w:lang w:val="en-US" w:eastAsia="zh-CN"/>
        </w:rPr>
        <w:t>中</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分）：主要工程的施工方案、方法与技术措施符合项目实际，有施工技术方案，工艺及方法</w:t>
      </w:r>
      <w:r>
        <w:rPr>
          <w:rFonts w:hint="eastAsia" w:ascii="宋体" w:hAnsi="宋体" w:eastAsia="宋体" w:cs="宋体"/>
          <w:b w:val="0"/>
          <w:bCs/>
          <w:color w:val="auto"/>
          <w:kern w:val="0"/>
          <w:sz w:val="21"/>
          <w:szCs w:val="21"/>
          <w:highlight w:val="none"/>
          <w:lang w:val="en-US" w:eastAsia="zh-CN"/>
        </w:rPr>
        <w:t xml:space="preserve"> </w:t>
      </w:r>
      <w:r>
        <w:rPr>
          <w:rFonts w:hint="eastAsia" w:ascii="宋体" w:hAnsi="宋体" w:eastAsia="宋体" w:cs="宋体"/>
          <w:b w:val="0"/>
          <w:bCs/>
          <w:color w:val="auto"/>
          <w:kern w:val="0"/>
          <w:sz w:val="21"/>
          <w:szCs w:val="21"/>
          <w:highlight w:val="none"/>
        </w:rPr>
        <w:t>基本可行，能指导具体施工。投入的施工材料有组织计划，满足施工需要。</w:t>
      </w:r>
      <w:bookmarkEnd w:id="150"/>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51" w:name="_Toc19081"/>
      <w:r>
        <w:rPr>
          <w:rFonts w:hint="eastAsia" w:ascii="宋体" w:hAnsi="宋体" w:eastAsia="宋体" w:cs="宋体"/>
          <w:b w:val="0"/>
          <w:bCs/>
          <w:color w:val="auto"/>
          <w:kern w:val="0"/>
          <w:sz w:val="21"/>
          <w:szCs w:val="21"/>
          <w:highlight w:val="none"/>
          <w:lang w:eastAsia="zh-CN"/>
        </w:rPr>
        <w:t>差</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分）：主要工程的施工方案、方法与技术措施不能满足项目需求，没有施工技术方案，不能指导具体施工并确保安全。</w:t>
      </w:r>
      <w:bookmarkEnd w:id="151"/>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outlineLvl w:val="0"/>
        <w:rPr>
          <w:rFonts w:hint="eastAsia" w:ascii="宋体" w:hAnsi="宋体" w:eastAsia="宋体" w:cs="宋体"/>
          <w:b/>
          <w:color w:val="auto"/>
          <w:kern w:val="0"/>
          <w:sz w:val="21"/>
          <w:szCs w:val="21"/>
          <w:highlight w:val="none"/>
        </w:rPr>
      </w:pPr>
      <w:bookmarkStart w:id="152" w:name="_Toc9637"/>
      <w:r>
        <w:rPr>
          <w:rFonts w:hint="eastAsia" w:ascii="宋体" w:hAnsi="宋体" w:eastAsia="宋体" w:cs="宋体"/>
          <w:b/>
          <w:color w:val="auto"/>
          <w:kern w:val="0"/>
          <w:sz w:val="21"/>
          <w:szCs w:val="21"/>
          <w:highlight w:val="none"/>
        </w:rPr>
        <w:t>（3）人员及机械设备配置（满分</w:t>
      </w:r>
      <w:r>
        <w:rPr>
          <w:rFonts w:hint="eastAsia" w:ascii="宋体" w:hAnsi="宋体" w:eastAsia="宋体" w:cs="宋体"/>
          <w:b/>
          <w:color w:val="auto"/>
          <w:kern w:val="0"/>
          <w:sz w:val="21"/>
          <w:szCs w:val="21"/>
          <w:highlight w:val="none"/>
          <w:lang w:val="en-US" w:eastAsia="zh-CN"/>
        </w:rPr>
        <w:t>7</w:t>
      </w:r>
      <w:r>
        <w:rPr>
          <w:rFonts w:hint="eastAsia" w:ascii="宋体" w:hAnsi="宋体" w:eastAsia="宋体" w:cs="宋体"/>
          <w:b/>
          <w:color w:val="auto"/>
          <w:kern w:val="0"/>
          <w:sz w:val="21"/>
          <w:szCs w:val="21"/>
          <w:highlight w:val="none"/>
        </w:rPr>
        <w:t>分）</w:t>
      </w:r>
      <w:bookmarkEnd w:id="152"/>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53" w:name="_Toc7672"/>
      <w:r>
        <w:rPr>
          <w:rFonts w:hint="eastAsia" w:ascii="宋体" w:hAnsi="宋体" w:eastAsia="宋体" w:cs="宋体"/>
          <w:b w:val="0"/>
          <w:bCs/>
          <w:color w:val="auto"/>
          <w:kern w:val="0"/>
          <w:sz w:val="21"/>
          <w:szCs w:val="21"/>
          <w:highlight w:val="none"/>
          <w:lang w:eastAsia="zh-CN"/>
        </w:rPr>
        <w:t>优</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7</w:t>
      </w:r>
      <w:r>
        <w:rPr>
          <w:rFonts w:hint="eastAsia" w:ascii="宋体" w:hAnsi="宋体" w:eastAsia="宋体" w:cs="宋体"/>
          <w:b w:val="0"/>
          <w:bCs/>
          <w:color w:val="auto"/>
          <w:kern w:val="0"/>
          <w:sz w:val="21"/>
          <w:szCs w:val="21"/>
          <w:highlight w:val="none"/>
        </w:rPr>
        <w:t>分）：管理人员、机械设备配置完全满足要求，各主要施工工序有详细周密的劳动力、施工 机械、设备、机具的组织安排计划较好，劳动力投入合理，设备数量、选型配置、进场时间安排较合理，较好满足施工需要。</w:t>
      </w:r>
      <w:bookmarkEnd w:id="153"/>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54" w:name="_Toc953"/>
      <w:r>
        <w:rPr>
          <w:rFonts w:hint="eastAsia" w:ascii="宋体" w:hAnsi="宋体" w:eastAsia="宋体" w:cs="宋体"/>
          <w:b w:val="0"/>
          <w:bCs/>
          <w:color w:val="auto"/>
          <w:kern w:val="0"/>
          <w:sz w:val="21"/>
          <w:szCs w:val="21"/>
          <w:highlight w:val="none"/>
          <w:lang w:val="en-US" w:eastAsia="zh-CN"/>
        </w:rPr>
        <w:t>良</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分）：管理人员、机械设备配置满足要求，各主要施工工序有劳动力、施工机械、设备、机具的组织安排计划，劳动力投入合理，设备数量、选型配置、进场时间安排基本合理，满足施工需要。</w:t>
      </w:r>
      <w:bookmarkEnd w:id="154"/>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55" w:name="_Toc25398"/>
      <w:r>
        <w:rPr>
          <w:rFonts w:hint="eastAsia" w:ascii="宋体" w:hAnsi="宋体" w:eastAsia="宋体" w:cs="宋体"/>
          <w:b w:val="0"/>
          <w:bCs/>
          <w:color w:val="auto"/>
          <w:kern w:val="0"/>
          <w:sz w:val="21"/>
          <w:szCs w:val="21"/>
          <w:highlight w:val="none"/>
          <w:lang w:eastAsia="zh-CN"/>
        </w:rPr>
        <w:t>中</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rPr>
        <w:t>分）：管理人员、机械设备配置满足要求，各主要施工工序应有劳动力、施工机械、设备、 机具的组织安排计划，劳动力投入基本合理，设备数量、选型配置、进场时间安排欠合理，基本满足施工需要。</w:t>
      </w:r>
      <w:bookmarkEnd w:id="155"/>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56" w:name="_Toc23470"/>
      <w:r>
        <w:rPr>
          <w:rFonts w:hint="eastAsia" w:ascii="宋体" w:hAnsi="宋体" w:eastAsia="宋体" w:cs="宋体"/>
          <w:b w:val="0"/>
          <w:bCs/>
          <w:color w:val="auto"/>
          <w:kern w:val="0"/>
          <w:sz w:val="21"/>
          <w:szCs w:val="21"/>
          <w:highlight w:val="none"/>
          <w:lang w:eastAsia="zh-CN"/>
        </w:rPr>
        <w:t>差</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分）：管理人员、机械设备配置基本满足要求，各主要施工工序应有劳动力、施工机械、设 备、机具的组织安排计划，劳动力投入欠合理，设备数量、选型配置、进场时间安排不合理，不能完全满足施工需要。</w:t>
      </w:r>
      <w:bookmarkEnd w:id="156"/>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outlineLvl w:val="0"/>
        <w:rPr>
          <w:rFonts w:hint="eastAsia" w:ascii="宋体" w:hAnsi="宋体" w:eastAsia="宋体" w:cs="宋体"/>
          <w:b/>
          <w:color w:val="auto"/>
          <w:kern w:val="0"/>
          <w:sz w:val="21"/>
          <w:szCs w:val="21"/>
          <w:highlight w:val="none"/>
        </w:rPr>
      </w:pPr>
      <w:bookmarkStart w:id="157" w:name="_Toc4587"/>
      <w:r>
        <w:rPr>
          <w:rFonts w:hint="eastAsia" w:ascii="宋体" w:hAnsi="宋体" w:eastAsia="宋体" w:cs="宋体"/>
          <w:b/>
          <w:color w:val="auto"/>
          <w:kern w:val="0"/>
          <w:sz w:val="21"/>
          <w:szCs w:val="21"/>
          <w:highlight w:val="none"/>
        </w:rPr>
        <w:t>（4）工期保证体系及保证措施（满分6分）</w:t>
      </w:r>
      <w:bookmarkEnd w:id="157"/>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58" w:name="_Toc8949"/>
      <w:r>
        <w:rPr>
          <w:rFonts w:hint="eastAsia" w:ascii="宋体" w:hAnsi="宋体" w:eastAsia="宋体" w:cs="宋体"/>
          <w:b w:val="0"/>
          <w:bCs/>
          <w:color w:val="auto"/>
          <w:kern w:val="0"/>
          <w:sz w:val="21"/>
          <w:szCs w:val="21"/>
          <w:highlight w:val="none"/>
          <w:lang w:val="en-US" w:eastAsia="zh-CN"/>
        </w:rPr>
        <w:t>优</w:t>
      </w:r>
      <w:r>
        <w:rPr>
          <w:rFonts w:hint="eastAsia" w:ascii="宋体" w:hAnsi="宋体" w:eastAsia="宋体" w:cs="宋体"/>
          <w:b w:val="0"/>
          <w:bCs/>
          <w:color w:val="auto"/>
          <w:kern w:val="0"/>
          <w:sz w:val="21"/>
          <w:szCs w:val="21"/>
          <w:highlight w:val="none"/>
        </w:rPr>
        <w:t>（6分）：有工期保证体系，且工期保证措施合理得当。有控制工期的施工进度计划。有施工总进度表或施工网络图，各项计划图表编制详细且完善，安排科学合理，完全符合本项目施工实际要求。</w:t>
      </w:r>
      <w:bookmarkEnd w:id="158"/>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59" w:name="_Toc23684"/>
      <w:r>
        <w:rPr>
          <w:rFonts w:hint="eastAsia" w:ascii="宋体" w:hAnsi="宋体" w:eastAsia="宋体" w:cs="宋体"/>
          <w:b w:val="0"/>
          <w:bCs/>
          <w:color w:val="auto"/>
          <w:kern w:val="0"/>
          <w:sz w:val="21"/>
          <w:szCs w:val="21"/>
          <w:highlight w:val="none"/>
          <w:lang w:eastAsia="zh-CN"/>
        </w:rPr>
        <w:t>良</w:t>
      </w:r>
      <w:r>
        <w:rPr>
          <w:rFonts w:hint="eastAsia" w:ascii="宋体" w:hAnsi="宋体" w:eastAsia="宋体" w:cs="宋体"/>
          <w:b w:val="0"/>
          <w:bCs/>
          <w:color w:val="auto"/>
          <w:kern w:val="0"/>
          <w:sz w:val="21"/>
          <w:szCs w:val="21"/>
          <w:highlight w:val="none"/>
        </w:rPr>
        <w:t>（4分）：有工期保证体系，且工期保证措施基本满足要求。有控制工期的施工进度计划。有施 工总进度表或施工网络图，各项计划图表编制基本完善，安排基本满足要求，基本符合本项目施工实际要求。</w:t>
      </w:r>
      <w:bookmarkEnd w:id="159"/>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60" w:name="_Toc4610"/>
      <w:r>
        <w:rPr>
          <w:rFonts w:hint="eastAsia" w:ascii="宋体" w:hAnsi="宋体" w:eastAsia="宋体" w:cs="宋体"/>
          <w:b w:val="0"/>
          <w:bCs/>
          <w:color w:val="auto"/>
          <w:kern w:val="0"/>
          <w:sz w:val="21"/>
          <w:szCs w:val="21"/>
          <w:highlight w:val="none"/>
          <w:lang w:eastAsia="zh-CN"/>
        </w:rPr>
        <w:t>中</w:t>
      </w:r>
      <w:r>
        <w:rPr>
          <w:rFonts w:hint="eastAsia" w:ascii="宋体" w:hAnsi="宋体" w:eastAsia="宋体" w:cs="宋体"/>
          <w:b w:val="0"/>
          <w:bCs/>
          <w:color w:val="auto"/>
          <w:kern w:val="0"/>
          <w:sz w:val="21"/>
          <w:szCs w:val="21"/>
          <w:highlight w:val="none"/>
        </w:rPr>
        <w:t>（2分）：有工期保证体系、工期保证措施欠合理。有控制工期的施工进度计划。有施工总进度表或施工网络图，各项计划图表编制基本完善但欠合理，安排基本合理，基本符合本项目施工实际要求。</w:t>
      </w:r>
      <w:bookmarkEnd w:id="160"/>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61" w:name="_Toc4726"/>
      <w:r>
        <w:rPr>
          <w:rFonts w:hint="eastAsia" w:ascii="宋体" w:hAnsi="宋体" w:eastAsia="宋体" w:cs="宋体"/>
          <w:b w:val="0"/>
          <w:bCs/>
          <w:color w:val="auto"/>
          <w:kern w:val="0"/>
          <w:sz w:val="21"/>
          <w:szCs w:val="21"/>
          <w:highlight w:val="none"/>
          <w:lang w:eastAsia="zh-CN"/>
        </w:rPr>
        <w:t>差</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分）：有工期保证体系、工期保证措施不合理。有控制工期的施工进度计划。有施工总进度表或施工网络图，各项计划图表编制基本完善但不合理，安排不合理，不符合本项目施工实际要求。</w:t>
      </w:r>
      <w:bookmarkEnd w:id="161"/>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outlineLvl w:val="0"/>
        <w:rPr>
          <w:rFonts w:hint="eastAsia" w:ascii="宋体" w:hAnsi="宋体" w:eastAsia="宋体" w:cs="宋体"/>
          <w:b/>
          <w:color w:val="auto"/>
          <w:kern w:val="0"/>
          <w:sz w:val="21"/>
          <w:szCs w:val="21"/>
          <w:highlight w:val="none"/>
        </w:rPr>
      </w:pPr>
      <w:bookmarkStart w:id="162" w:name="_Toc6142"/>
      <w:r>
        <w:rPr>
          <w:rFonts w:hint="eastAsia" w:ascii="宋体" w:hAnsi="宋体" w:eastAsia="宋体" w:cs="宋体"/>
          <w:b/>
          <w:color w:val="auto"/>
          <w:kern w:val="0"/>
          <w:sz w:val="21"/>
          <w:szCs w:val="21"/>
          <w:highlight w:val="none"/>
        </w:rPr>
        <w:t>（5）工程质量管理体系及保证措施（满分5分）</w:t>
      </w:r>
      <w:bookmarkEnd w:id="162"/>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63" w:name="_Toc30123"/>
      <w:r>
        <w:rPr>
          <w:rFonts w:hint="eastAsia" w:ascii="宋体" w:hAnsi="宋体" w:eastAsia="宋体" w:cs="宋体"/>
          <w:b w:val="0"/>
          <w:bCs/>
          <w:color w:val="auto"/>
          <w:kern w:val="0"/>
          <w:sz w:val="21"/>
          <w:szCs w:val="21"/>
          <w:highlight w:val="none"/>
          <w:lang w:eastAsia="zh-CN"/>
        </w:rPr>
        <w:t>优</w:t>
      </w:r>
      <w:r>
        <w:rPr>
          <w:rFonts w:hint="eastAsia" w:ascii="宋体" w:hAnsi="宋体" w:eastAsia="宋体" w:cs="宋体"/>
          <w:b w:val="0"/>
          <w:bCs/>
          <w:color w:val="auto"/>
          <w:kern w:val="0"/>
          <w:sz w:val="21"/>
          <w:szCs w:val="21"/>
          <w:highlight w:val="none"/>
        </w:rPr>
        <w:t>（5分）：有质量管理体系、保证措施可行较合理。主要工序有质量技术保证措施和手段，自控体系合理完整，能有效保证技术质量，达到承诺的质量标准。</w:t>
      </w:r>
      <w:bookmarkEnd w:id="163"/>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64" w:name="_Toc18697"/>
      <w:r>
        <w:rPr>
          <w:rFonts w:hint="eastAsia" w:ascii="宋体" w:hAnsi="宋体" w:eastAsia="宋体" w:cs="宋体"/>
          <w:b w:val="0"/>
          <w:bCs/>
          <w:color w:val="auto"/>
          <w:kern w:val="0"/>
          <w:sz w:val="21"/>
          <w:szCs w:val="21"/>
          <w:highlight w:val="none"/>
          <w:lang w:eastAsia="zh-CN"/>
        </w:rPr>
        <w:t>良</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分）：有质量管理体系、保证措施可行合理。主要工序有质量技术保证措施和手段，自控体系完整，能保证技术质量，达到承诺的质量标准。</w:t>
      </w:r>
      <w:bookmarkEnd w:id="164"/>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65" w:name="_Toc9268"/>
      <w:r>
        <w:rPr>
          <w:rFonts w:hint="eastAsia" w:ascii="宋体" w:hAnsi="宋体" w:eastAsia="宋体" w:cs="宋体"/>
          <w:b w:val="0"/>
          <w:bCs/>
          <w:color w:val="auto"/>
          <w:kern w:val="0"/>
          <w:sz w:val="21"/>
          <w:szCs w:val="21"/>
          <w:highlight w:val="none"/>
          <w:lang w:eastAsia="zh-CN"/>
        </w:rPr>
        <w:t>中</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2</w:t>
      </w:r>
      <w:r>
        <w:rPr>
          <w:rFonts w:hint="eastAsia" w:ascii="宋体" w:hAnsi="宋体" w:eastAsia="宋体" w:cs="宋体"/>
          <w:b w:val="0"/>
          <w:bCs/>
          <w:color w:val="auto"/>
          <w:kern w:val="0"/>
          <w:sz w:val="21"/>
          <w:szCs w:val="21"/>
          <w:highlight w:val="none"/>
        </w:rPr>
        <w:t>分）：有质量管理体系、保证措施基本可行合理。主要工序有质量技术保证措施，自控体系基本完整，能基本保证技术质量，达到承诺的质量标准。</w:t>
      </w:r>
      <w:bookmarkEnd w:id="165"/>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color w:val="auto"/>
          <w:kern w:val="0"/>
          <w:sz w:val="21"/>
          <w:szCs w:val="21"/>
          <w:highlight w:val="none"/>
        </w:rPr>
      </w:pPr>
      <w:bookmarkStart w:id="166" w:name="_Toc917"/>
      <w:r>
        <w:rPr>
          <w:rFonts w:hint="eastAsia" w:ascii="宋体" w:hAnsi="宋体" w:eastAsia="宋体" w:cs="宋体"/>
          <w:b w:val="0"/>
          <w:bCs/>
          <w:color w:val="auto"/>
          <w:kern w:val="0"/>
          <w:sz w:val="21"/>
          <w:szCs w:val="21"/>
          <w:highlight w:val="none"/>
          <w:lang w:eastAsia="zh-CN"/>
        </w:rPr>
        <w:t>差</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分）：质量管理体系、保证措施基本可行但欠合理。主要工序有质量技术保证措施欠合理，基本达到承诺的质量标准。</w:t>
      </w:r>
      <w:bookmarkEnd w:id="166"/>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outlineLvl w:val="0"/>
        <w:rPr>
          <w:rFonts w:hint="eastAsia" w:ascii="宋体" w:hAnsi="宋体" w:eastAsia="宋体" w:cs="宋体"/>
          <w:b/>
          <w:color w:val="auto"/>
          <w:kern w:val="0"/>
          <w:sz w:val="21"/>
          <w:szCs w:val="21"/>
          <w:highlight w:val="none"/>
        </w:rPr>
      </w:pPr>
      <w:bookmarkStart w:id="167" w:name="_Toc184"/>
      <w:r>
        <w:rPr>
          <w:rFonts w:hint="eastAsia" w:ascii="宋体" w:hAnsi="宋体" w:eastAsia="宋体" w:cs="宋体"/>
          <w:b/>
          <w:color w:val="auto"/>
          <w:kern w:val="0"/>
          <w:sz w:val="21"/>
          <w:szCs w:val="21"/>
          <w:highlight w:val="none"/>
        </w:rPr>
        <w:t>（6）安全生产管理体系及保证措施（满分5分）</w:t>
      </w:r>
      <w:bookmarkEnd w:id="167"/>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68" w:name="_Toc11689"/>
      <w:r>
        <w:rPr>
          <w:rFonts w:hint="eastAsia" w:ascii="宋体" w:hAnsi="宋体" w:eastAsia="宋体" w:cs="宋体"/>
          <w:b w:val="0"/>
          <w:bCs/>
          <w:color w:val="auto"/>
          <w:kern w:val="0"/>
          <w:sz w:val="21"/>
          <w:szCs w:val="21"/>
          <w:highlight w:val="none"/>
          <w:lang w:eastAsia="zh-CN"/>
        </w:rPr>
        <w:t>优</w:t>
      </w:r>
      <w:r>
        <w:rPr>
          <w:rFonts w:hint="eastAsia" w:ascii="宋体" w:hAnsi="宋体" w:eastAsia="宋体" w:cs="宋体"/>
          <w:b w:val="0"/>
          <w:bCs/>
          <w:color w:val="auto"/>
          <w:kern w:val="0"/>
          <w:sz w:val="21"/>
          <w:szCs w:val="21"/>
          <w:highlight w:val="none"/>
        </w:rPr>
        <w:t>（5 分）：有安全生产管理体系、保证措施可行合理，各道工序安全技术措施针对性强，符合实际且满足有关安全技术标准要求。现场防火、应急救援、社会治安安全措施得力。</w:t>
      </w:r>
      <w:bookmarkEnd w:id="168"/>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69" w:name="_Toc5949"/>
      <w:r>
        <w:rPr>
          <w:rFonts w:hint="eastAsia" w:ascii="宋体" w:hAnsi="宋体" w:eastAsia="宋体" w:cs="宋体"/>
          <w:b w:val="0"/>
          <w:bCs/>
          <w:color w:val="auto"/>
          <w:kern w:val="0"/>
          <w:sz w:val="21"/>
          <w:szCs w:val="21"/>
          <w:highlight w:val="none"/>
          <w:lang w:eastAsia="zh-CN"/>
        </w:rPr>
        <w:t>良</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 xml:space="preserve"> 分）：有安全生产管理体系、保证措施可行合理，有各道工序安全技术措施，基本符合实际且有关安全技术标准要求。有现场防火、应急救援、社会治安安全措施。</w:t>
      </w:r>
      <w:bookmarkEnd w:id="169"/>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70" w:name="_Toc12542"/>
      <w:r>
        <w:rPr>
          <w:rFonts w:hint="eastAsia" w:ascii="宋体" w:hAnsi="宋体" w:eastAsia="宋体" w:cs="宋体"/>
          <w:b w:val="0"/>
          <w:bCs/>
          <w:color w:val="auto"/>
          <w:kern w:val="0"/>
          <w:sz w:val="21"/>
          <w:szCs w:val="21"/>
          <w:highlight w:val="none"/>
          <w:lang w:eastAsia="zh-CN"/>
        </w:rPr>
        <w:t>中</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2</w:t>
      </w:r>
      <w:r>
        <w:rPr>
          <w:rFonts w:hint="eastAsia" w:ascii="宋体" w:hAnsi="宋体" w:eastAsia="宋体" w:cs="宋体"/>
          <w:b w:val="0"/>
          <w:bCs/>
          <w:color w:val="auto"/>
          <w:kern w:val="0"/>
          <w:sz w:val="21"/>
          <w:szCs w:val="21"/>
          <w:highlight w:val="none"/>
        </w:rPr>
        <w:t>分）：有安全生产管理体系、保证措施基本可行，符合实际且基本满足有关安全技术标准要求。有现场防火、应急救援、社会治安安全措施。</w:t>
      </w:r>
      <w:bookmarkEnd w:id="170"/>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71" w:name="_Toc10546"/>
      <w:r>
        <w:rPr>
          <w:rFonts w:hint="eastAsia" w:ascii="宋体" w:hAnsi="宋体" w:eastAsia="宋体" w:cs="宋体"/>
          <w:b w:val="0"/>
          <w:bCs/>
          <w:color w:val="auto"/>
          <w:kern w:val="0"/>
          <w:sz w:val="21"/>
          <w:szCs w:val="21"/>
          <w:highlight w:val="none"/>
          <w:lang w:val="en-US" w:eastAsia="zh-CN"/>
        </w:rPr>
        <w:t>差</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分）：没有安全生产管理体系、保证措施基本，不符合实际不满足有关安全技术标准要求。没有现场防火、应急救援、社会治安安全措施。</w:t>
      </w:r>
      <w:bookmarkEnd w:id="171"/>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outlineLvl w:val="0"/>
        <w:rPr>
          <w:rFonts w:hint="eastAsia" w:ascii="宋体" w:hAnsi="宋体" w:eastAsia="宋体" w:cs="宋体"/>
          <w:b/>
          <w:color w:val="auto"/>
          <w:kern w:val="0"/>
          <w:sz w:val="21"/>
          <w:szCs w:val="21"/>
          <w:highlight w:val="none"/>
        </w:rPr>
      </w:pPr>
      <w:bookmarkStart w:id="172" w:name="_Toc21854"/>
      <w:r>
        <w:rPr>
          <w:rFonts w:hint="eastAsia" w:ascii="宋体" w:hAnsi="宋体" w:eastAsia="宋体" w:cs="宋体"/>
          <w:b/>
          <w:color w:val="auto"/>
          <w:kern w:val="0"/>
          <w:sz w:val="21"/>
          <w:szCs w:val="21"/>
          <w:highlight w:val="none"/>
        </w:rPr>
        <w:t>（7）环境保护、水土保持保证体系及保证措施（满分</w:t>
      </w:r>
      <w:r>
        <w:rPr>
          <w:rFonts w:hint="eastAsia" w:ascii="宋体" w:hAnsi="宋体" w:eastAsia="宋体" w:cs="宋体"/>
          <w:b/>
          <w:color w:val="auto"/>
          <w:kern w:val="0"/>
          <w:sz w:val="21"/>
          <w:szCs w:val="21"/>
          <w:highlight w:val="none"/>
          <w:lang w:val="en-US" w:eastAsia="zh-CN"/>
        </w:rPr>
        <w:t>5</w:t>
      </w:r>
      <w:r>
        <w:rPr>
          <w:rFonts w:hint="eastAsia" w:ascii="宋体" w:hAnsi="宋体" w:eastAsia="宋体" w:cs="宋体"/>
          <w:b/>
          <w:color w:val="auto"/>
          <w:kern w:val="0"/>
          <w:sz w:val="21"/>
          <w:szCs w:val="21"/>
          <w:highlight w:val="none"/>
        </w:rPr>
        <w:t>分）</w:t>
      </w:r>
      <w:bookmarkEnd w:id="172"/>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73" w:name="_Toc8943"/>
      <w:r>
        <w:rPr>
          <w:rFonts w:hint="eastAsia" w:ascii="宋体" w:hAnsi="宋体" w:eastAsia="宋体" w:cs="宋体"/>
          <w:b w:val="0"/>
          <w:bCs/>
          <w:color w:val="auto"/>
          <w:kern w:val="0"/>
          <w:sz w:val="21"/>
          <w:szCs w:val="21"/>
          <w:highlight w:val="none"/>
          <w:lang w:eastAsia="zh-CN"/>
        </w:rPr>
        <w:t>优</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分）：有环境保护、水土保持保证体系、保证措施可行，针对本工程项目特点，有现场环境保护、水土保护措施，且各项措施内容周全、具体、有效。</w:t>
      </w:r>
      <w:bookmarkEnd w:id="173"/>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74" w:name="_Toc21169"/>
      <w:r>
        <w:rPr>
          <w:rFonts w:hint="eastAsia" w:ascii="宋体" w:hAnsi="宋体" w:eastAsia="宋体" w:cs="宋体"/>
          <w:b w:val="0"/>
          <w:bCs/>
          <w:color w:val="auto"/>
          <w:kern w:val="0"/>
          <w:sz w:val="21"/>
          <w:szCs w:val="21"/>
          <w:highlight w:val="none"/>
          <w:lang w:eastAsia="zh-CN"/>
        </w:rPr>
        <w:t>良</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分）：有环境保护、水土保持保证体系、保证措施可行，针对本工程项目，有现场环境保护、水土保护措施。</w:t>
      </w:r>
      <w:bookmarkEnd w:id="174"/>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75" w:name="_Toc3582"/>
      <w:r>
        <w:rPr>
          <w:rFonts w:hint="eastAsia" w:ascii="宋体" w:hAnsi="宋体" w:eastAsia="宋体" w:cs="宋体"/>
          <w:b w:val="0"/>
          <w:bCs/>
          <w:color w:val="auto"/>
          <w:kern w:val="0"/>
          <w:sz w:val="21"/>
          <w:szCs w:val="21"/>
          <w:highlight w:val="none"/>
          <w:lang w:eastAsia="zh-CN"/>
        </w:rPr>
        <w:t>中</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2</w:t>
      </w:r>
      <w:r>
        <w:rPr>
          <w:rFonts w:hint="eastAsia" w:ascii="宋体" w:hAnsi="宋体" w:eastAsia="宋体" w:cs="宋体"/>
          <w:b w:val="0"/>
          <w:bCs/>
          <w:color w:val="auto"/>
          <w:kern w:val="0"/>
          <w:sz w:val="21"/>
          <w:szCs w:val="21"/>
          <w:highlight w:val="none"/>
        </w:rPr>
        <w:t>分）：有环境保护、水土保持保证体系、保证措施基本可行，有现场环境保护、水土保护措施。</w:t>
      </w:r>
      <w:bookmarkEnd w:id="175"/>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76" w:name="_Toc141"/>
      <w:r>
        <w:rPr>
          <w:rFonts w:hint="eastAsia" w:ascii="宋体" w:hAnsi="宋体" w:eastAsia="宋体" w:cs="宋体"/>
          <w:b w:val="0"/>
          <w:bCs/>
          <w:color w:val="auto"/>
          <w:kern w:val="0"/>
          <w:sz w:val="21"/>
          <w:szCs w:val="21"/>
          <w:highlight w:val="none"/>
          <w:lang w:eastAsia="zh-CN"/>
        </w:rPr>
        <w:t>差</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分）：环境保护、水土保持保证体系、保证措施不可行。</w:t>
      </w:r>
      <w:bookmarkEnd w:id="176"/>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outlineLvl w:val="0"/>
        <w:rPr>
          <w:rFonts w:hint="eastAsia" w:ascii="宋体" w:hAnsi="宋体" w:eastAsia="宋体" w:cs="宋体"/>
          <w:b/>
          <w:color w:val="auto"/>
          <w:kern w:val="0"/>
          <w:sz w:val="21"/>
          <w:szCs w:val="21"/>
          <w:highlight w:val="none"/>
        </w:rPr>
      </w:pPr>
      <w:bookmarkStart w:id="177" w:name="_Toc28398"/>
      <w:r>
        <w:rPr>
          <w:rFonts w:hint="eastAsia" w:ascii="宋体" w:hAnsi="宋体" w:eastAsia="宋体" w:cs="宋体"/>
          <w:b/>
          <w:color w:val="auto"/>
          <w:kern w:val="0"/>
          <w:sz w:val="21"/>
          <w:szCs w:val="21"/>
          <w:highlight w:val="none"/>
        </w:rPr>
        <w:t>（8）文明施工、文物保护保证体系及保证措施（满分</w:t>
      </w:r>
      <w:r>
        <w:rPr>
          <w:rFonts w:hint="eastAsia" w:ascii="宋体" w:hAnsi="宋体" w:eastAsia="宋体" w:cs="宋体"/>
          <w:b/>
          <w:color w:val="auto"/>
          <w:kern w:val="0"/>
          <w:sz w:val="21"/>
          <w:szCs w:val="21"/>
          <w:highlight w:val="none"/>
          <w:lang w:val="en-US" w:eastAsia="zh-CN"/>
        </w:rPr>
        <w:t>5</w:t>
      </w:r>
      <w:r>
        <w:rPr>
          <w:rFonts w:hint="eastAsia" w:ascii="宋体" w:hAnsi="宋体" w:eastAsia="宋体" w:cs="宋体"/>
          <w:b/>
          <w:color w:val="auto"/>
          <w:kern w:val="0"/>
          <w:sz w:val="21"/>
          <w:szCs w:val="21"/>
          <w:highlight w:val="none"/>
        </w:rPr>
        <w:t>分）</w:t>
      </w:r>
      <w:bookmarkEnd w:id="177"/>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78" w:name="_Toc30546"/>
      <w:r>
        <w:rPr>
          <w:rFonts w:hint="eastAsia" w:ascii="宋体" w:hAnsi="宋体" w:eastAsia="宋体" w:cs="宋体"/>
          <w:b w:val="0"/>
          <w:bCs/>
          <w:color w:val="auto"/>
          <w:kern w:val="0"/>
          <w:sz w:val="21"/>
          <w:szCs w:val="21"/>
          <w:highlight w:val="none"/>
          <w:lang w:eastAsia="zh-CN"/>
        </w:rPr>
        <w:t>优</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分）：有文明施工、文物保护保证体系、保证措施可行。针对本工程项目特点，有现场文明施工、环境保护措施，且各项措施周全、具体、有效。有具体实现现场文明施工目标的承诺。</w:t>
      </w:r>
      <w:bookmarkEnd w:id="178"/>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79" w:name="_Toc12928"/>
      <w:r>
        <w:rPr>
          <w:rFonts w:hint="eastAsia" w:ascii="宋体" w:hAnsi="宋体" w:eastAsia="宋体" w:cs="宋体"/>
          <w:b w:val="0"/>
          <w:bCs/>
          <w:color w:val="auto"/>
          <w:kern w:val="0"/>
          <w:sz w:val="21"/>
          <w:szCs w:val="21"/>
          <w:highlight w:val="none"/>
          <w:lang w:eastAsia="zh-CN"/>
        </w:rPr>
        <w:t>良</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分）：有文明施工、文物保护保证体系、保证措施可行。针对本工程项目特点，有现场文明施工、环境保护措施。有具体实现现场文明施工目标的承诺。</w:t>
      </w:r>
      <w:bookmarkEnd w:id="179"/>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80" w:name="_Toc22293"/>
      <w:r>
        <w:rPr>
          <w:rFonts w:hint="eastAsia" w:ascii="宋体" w:hAnsi="宋体" w:eastAsia="宋体" w:cs="宋体"/>
          <w:b w:val="0"/>
          <w:bCs/>
          <w:color w:val="auto"/>
          <w:kern w:val="0"/>
          <w:sz w:val="21"/>
          <w:szCs w:val="21"/>
          <w:highlight w:val="none"/>
          <w:lang w:eastAsia="zh-CN"/>
        </w:rPr>
        <w:t>中</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2</w:t>
      </w:r>
      <w:r>
        <w:rPr>
          <w:rFonts w:hint="eastAsia" w:ascii="宋体" w:hAnsi="宋体" w:eastAsia="宋体" w:cs="宋体"/>
          <w:b w:val="0"/>
          <w:bCs/>
          <w:color w:val="auto"/>
          <w:kern w:val="0"/>
          <w:sz w:val="21"/>
          <w:szCs w:val="21"/>
          <w:highlight w:val="none"/>
        </w:rPr>
        <w:t>分）：有文明施工、文物保护保证体系、保证措施基本可行。有现场文明施工、环境保护措施，有文明施工目标的承诺。</w:t>
      </w:r>
      <w:bookmarkEnd w:id="180"/>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81" w:name="_Toc11625"/>
      <w:r>
        <w:rPr>
          <w:rFonts w:hint="eastAsia" w:ascii="宋体" w:hAnsi="宋体" w:eastAsia="宋体" w:cs="宋体"/>
          <w:b w:val="0"/>
          <w:bCs/>
          <w:color w:val="auto"/>
          <w:kern w:val="0"/>
          <w:sz w:val="21"/>
          <w:szCs w:val="21"/>
          <w:highlight w:val="none"/>
          <w:lang w:val="en-US" w:eastAsia="zh-CN"/>
        </w:rPr>
        <w:t>差</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分）：文明施工、文物保护保证体系、保证措施不可行。</w:t>
      </w:r>
      <w:bookmarkEnd w:id="181"/>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outlineLvl w:val="0"/>
        <w:rPr>
          <w:rFonts w:hint="eastAsia" w:ascii="宋体" w:hAnsi="宋体" w:eastAsia="宋体" w:cs="宋体"/>
          <w:b/>
          <w:color w:val="auto"/>
          <w:kern w:val="0"/>
          <w:sz w:val="21"/>
          <w:szCs w:val="21"/>
          <w:highlight w:val="none"/>
        </w:rPr>
      </w:pPr>
      <w:bookmarkStart w:id="182" w:name="_Toc19171"/>
      <w:r>
        <w:rPr>
          <w:rFonts w:hint="eastAsia" w:ascii="宋体" w:hAnsi="宋体" w:eastAsia="宋体" w:cs="宋体"/>
          <w:b/>
          <w:color w:val="auto"/>
          <w:kern w:val="0"/>
          <w:sz w:val="21"/>
          <w:szCs w:val="21"/>
          <w:highlight w:val="none"/>
        </w:rPr>
        <w:t>（9）项目风险预测与防范，事故应急预案（满分</w:t>
      </w:r>
      <w:r>
        <w:rPr>
          <w:rFonts w:hint="eastAsia" w:ascii="宋体" w:hAnsi="宋体" w:eastAsia="宋体" w:cs="宋体"/>
          <w:b/>
          <w:color w:val="auto"/>
          <w:kern w:val="0"/>
          <w:sz w:val="21"/>
          <w:szCs w:val="21"/>
          <w:highlight w:val="none"/>
          <w:lang w:val="en-US" w:eastAsia="zh-CN"/>
        </w:rPr>
        <w:t>5</w:t>
      </w:r>
      <w:r>
        <w:rPr>
          <w:rFonts w:hint="eastAsia" w:ascii="宋体" w:hAnsi="宋体" w:eastAsia="宋体" w:cs="宋体"/>
          <w:b/>
          <w:color w:val="auto"/>
          <w:kern w:val="0"/>
          <w:sz w:val="21"/>
          <w:szCs w:val="21"/>
          <w:highlight w:val="none"/>
        </w:rPr>
        <w:t>分）</w:t>
      </w:r>
      <w:bookmarkEnd w:id="182"/>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83" w:name="_Toc2819"/>
      <w:r>
        <w:rPr>
          <w:rFonts w:hint="eastAsia" w:ascii="宋体" w:hAnsi="宋体" w:eastAsia="宋体" w:cs="宋体"/>
          <w:b w:val="0"/>
          <w:bCs/>
          <w:color w:val="auto"/>
          <w:kern w:val="0"/>
          <w:sz w:val="21"/>
          <w:szCs w:val="21"/>
          <w:highlight w:val="none"/>
          <w:lang w:eastAsia="zh-CN"/>
        </w:rPr>
        <w:t>优</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5</w:t>
      </w:r>
      <w:r>
        <w:rPr>
          <w:rFonts w:hint="eastAsia" w:ascii="宋体" w:hAnsi="宋体" w:eastAsia="宋体" w:cs="宋体"/>
          <w:b w:val="0"/>
          <w:bCs/>
          <w:color w:val="auto"/>
          <w:kern w:val="0"/>
          <w:sz w:val="21"/>
          <w:szCs w:val="21"/>
          <w:highlight w:val="none"/>
        </w:rPr>
        <w:t>分）：有项目风险预测与防范，事故应急预案。针对本工程项目特点，有较好的风险预测和应急预案及防范风险事故措施，且各项措施周全、具体、有效。</w:t>
      </w:r>
      <w:bookmarkEnd w:id="183"/>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84" w:name="_Toc21288"/>
      <w:r>
        <w:rPr>
          <w:rFonts w:hint="eastAsia" w:ascii="宋体" w:hAnsi="宋体" w:eastAsia="宋体" w:cs="宋体"/>
          <w:b w:val="0"/>
          <w:bCs/>
          <w:color w:val="auto"/>
          <w:kern w:val="0"/>
          <w:sz w:val="21"/>
          <w:szCs w:val="21"/>
          <w:highlight w:val="none"/>
          <w:lang w:eastAsia="zh-CN"/>
        </w:rPr>
        <w:t>良</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rPr>
        <w:t>分）：有项目风险预测与防范，事故应急预案。针对本工程项目特点，有风险预测和应急预案及防范风险事故措施，且各项措施具体。</w:t>
      </w:r>
      <w:bookmarkEnd w:id="184"/>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85" w:name="_Toc10911"/>
      <w:r>
        <w:rPr>
          <w:rFonts w:hint="eastAsia" w:ascii="宋体" w:hAnsi="宋体" w:eastAsia="宋体" w:cs="宋体"/>
          <w:b w:val="0"/>
          <w:bCs/>
          <w:color w:val="auto"/>
          <w:kern w:val="0"/>
          <w:sz w:val="21"/>
          <w:szCs w:val="21"/>
          <w:highlight w:val="none"/>
          <w:lang w:eastAsia="zh-CN"/>
        </w:rPr>
        <w:t>中</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2</w:t>
      </w:r>
      <w:r>
        <w:rPr>
          <w:rFonts w:hint="eastAsia" w:ascii="宋体" w:hAnsi="宋体" w:eastAsia="宋体" w:cs="宋体"/>
          <w:b w:val="0"/>
          <w:bCs/>
          <w:color w:val="auto"/>
          <w:kern w:val="0"/>
          <w:sz w:val="21"/>
          <w:szCs w:val="21"/>
          <w:highlight w:val="none"/>
        </w:rPr>
        <w:t>分）：有项目风险预测与防范，事故应急预案。有风险预测和应急预案及防范风险事故措施。</w:t>
      </w:r>
      <w:bookmarkEnd w:id="185"/>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outlineLvl w:val="0"/>
        <w:rPr>
          <w:rFonts w:hint="eastAsia" w:ascii="宋体" w:hAnsi="宋体" w:eastAsia="宋体" w:cs="宋体"/>
          <w:b w:val="0"/>
          <w:bCs/>
          <w:color w:val="auto"/>
          <w:kern w:val="0"/>
          <w:sz w:val="21"/>
          <w:szCs w:val="21"/>
          <w:highlight w:val="none"/>
        </w:rPr>
      </w:pPr>
      <w:bookmarkStart w:id="186" w:name="_Toc30777"/>
      <w:r>
        <w:rPr>
          <w:rFonts w:hint="eastAsia" w:ascii="宋体" w:hAnsi="宋体" w:eastAsia="宋体" w:cs="宋体"/>
          <w:b w:val="0"/>
          <w:bCs/>
          <w:color w:val="auto"/>
          <w:kern w:val="0"/>
          <w:sz w:val="21"/>
          <w:szCs w:val="21"/>
          <w:highlight w:val="none"/>
          <w:lang w:eastAsia="zh-CN"/>
        </w:rPr>
        <w:t>差</w:t>
      </w:r>
      <w:r>
        <w:rPr>
          <w:rFonts w:hint="eastAsia" w:ascii="宋体" w:hAnsi="宋体" w:eastAsia="宋体" w:cs="宋体"/>
          <w:b w:val="0"/>
          <w:bCs/>
          <w:color w:val="auto"/>
          <w:kern w:val="0"/>
          <w:sz w:val="21"/>
          <w:szCs w:val="21"/>
          <w:highlight w:val="none"/>
        </w:rPr>
        <w:t>（</w:t>
      </w:r>
      <w:r>
        <w:rPr>
          <w:rFonts w:hint="eastAsia" w:ascii="宋体" w:hAnsi="宋体" w:eastAsia="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rPr>
        <w:t>分）：有项目风险预测与防范，事故应急预案但欠合理。有风险预测和应急预案及防范风险事故措施但欠合理。</w:t>
      </w:r>
      <w:bookmarkEnd w:id="186"/>
    </w:p>
    <w:p>
      <w:pPr>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outlineLvl w:val="0"/>
        <w:rPr>
          <w:rFonts w:hint="eastAsia" w:ascii="宋体" w:hAnsi="宋体" w:eastAsia="宋体" w:cs="宋体"/>
          <w:b/>
          <w:bCs/>
          <w:color w:val="auto"/>
          <w:kern w:val="0"/>
          <w:sz w:val="21"/>
          <w:szCs w:val="21"/>
          <w:highlight w:val="none"/>
        </w:rPr>
      </w:pPr>
      <w:bookmarkStart w:id="187" w:name="_Toc10331"/>
      <w:r>
        <w:rPr>
          <w:rFonts w:hint="eastAsia" w:ascii="宋体" w:hAnsi="宋体" w:eastAsia="宋体" w:cs="宋体"/>
          <w:b/>
          <w:color w:val="auto"/>
          <w:kern w:val="0"/>
          <w:sz w:val="21"/>
          <w:szCs w:val="21"/>
          <w:highlight w:val="none"/>
        </w:rPr>
        <w:t>注：</w:t>
      </w:r>
      <w:r>
        <w:rPr>
          <w:rFonts w:hint="eastAsia" w:ascii="宋体" w:hAnsi="宋体" w:eastAsia="宋体" w:cs="宋体"/>
          <w:b/>
          <w:bCs/>
          <w:color w:val="auto"/>
          <w:kern w:val="0"/>
          <w:sz w:val="21"/>
          <w:szCs w:val="21"/>
          <w:highlight w:val="none"/>
        </w:rPr>
        <w:t>供应商未提供上述“</w:t>
      </w:r>
      <w:r>
        <w:rPr>
          <w:rFonts w:hint="eastAsia" w:ascii="宋体" w:hAnsi="宋体" w:eastAsia="宋体" w:cs="宋体"/>
          <w:b/>
          <w:bCs/>
          <w:color w:val="auto"/>
          <w:kern w:val="0"/>
          <w:sz w:val="21"/>
          <w:szCs w:val="21"/>
          <w:highlight w:val="none"/>
          <w:lang w:eastAsia="zh-CN"/>
        </w:rPr>
        <w:t>技术分</w:t>
      </w:r>
      <w:r>
        <w:rPr>
          <w:rFonts w:hint="eastAsia" w:ascii="宋体" w:hAnsi="宋体" w:eastAsia="宋体" w:cs="宋体"/>
          <w:b/>
          <w:bCs/>
          <w:color w:val="auto"/>
          <w:kern w:val="0"/>
          <w:sz w:val="21"/>
          <w:szCs w:val="21"/>
          <w:highlight w:val="none"/>
        </w:rPr>
        <w:t>”相应内容的，相应项不得分。</w:t>
      </w:r>
      <w:bookmarkEnd w:id="187"/>
    </w:p>
    <w:p>
      <w:pPr>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3.信誉业绩分</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bCs w:val="0"/>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eastAsia="zh-CN"/>
        </w:rPr>
        <w:t>满分</w:t>
      </w:r>
      <w:r>
        <w:rPr>
          <w:rFonts w:hint="eastAsia" w:ascii="宋体" w:hAnsi="宋体" w:eastAsia="宋体" w:cs="宋体"/>
          <w:b/>
          <w:bCs/>
          <w:color w:val="auto"/>
          <w:sz w:val="21"/>
          <w:szCs w:val="21"/>
          <w:highlight w:val="none"/>
          <w:lang w:val="en-US" w:eastAsia="zh-CN"/>
        </w:rPr>
        <w:t>10</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供应商2020年1月1日以来具有</w:t>
      </w:r>
      <w:r>
        <w:rPr>
          <w:rFonts w:hint="eastAsia" w:ascii="宋体" w:hAnsi="宋体" w:eastAsia="宋体" w:cs="宋体"/>
          <w:color w:val="auto"/>
          <w:kern w:val="2"/>
          <w:sz w:val="21"/>
          <w:szCs w:val="21"/>
          <w:highlight w:val="none"/>
          <w:lang w:val="en-US" w:eastAsia="zh-CN"/>
        </w:rPr>
        <w:t>类似工程</w:t>
      </w:r>
      <w:r>
        <w:rPr>
          <w:rFonts w:hint="eastAsia" w:ascii="宋体" w:hAnsi="宋体" w:eastAsia="宋体" w:cs="宋体"/>
          <w:color w:val="auto"/>
          <w:sz w:val="21"/>
          <w:szCs w:val="21"/>
          <w:highlight w:val="none"/>
        </w:rPr>
        <w:t>的业绩</w:t>
      </w:r>
      <w:r>
        <w:rPr>
          <w:rFonts w:hint="eastAsia" w:ascii="宋体" w:hAnsi="宋体" w:eastAsia="宋体" w:cs="宋体"/>
          <w:color w:val="auto"/>
          <w:sz w:val="21"/>
          <w:szCs w:val="21"/>
          <w:highlight w:val="none"/>
          <w:lang w:eastAsia="zh-CN"/>
        </w:rPr>
        <w:t>，每提供一个得</w:t>
      </w:r>
      <w:r>
        <w:rPr>
          <w:rFonts w:hint="eastAsia" w:ascii="宋体" w:hAnsi="宋体" w:eastAsia="宋体" w:cs="宋体"/>
          <w:color w:val="auto"/>
          <w:sz w:val="21"/>
          <w:szCs w:val="21"/>
          <w:highlight w:val="none"/>
          <w:lang w:val="en-US" w:eastAsia="zh-CN"/>
        </w:rPr>
        <w:t>5分，满分10分。</w:t>
      </w:r>
      <w:r>
        <w:rPr>
          <w:rFonts w:hint="eastAsia" w:ascii="宋体" w:hAnsi="宋体" w:eastAsia="宋体" w:cs="宋体"/>
          <w:color w:val="auto"/>
          <w:kern w:val="2"/>
          <w:sz w:val="21"/>
          <w:szCs w:val="21"/>
          <w:highlight w:val="none"/>
          <w:lang w:val="en-US" w:eastAsia="zh-CN" w:bidi="ar-SA"/>
        </w:rPr>
        <w:t>以中标、成交通知书或签订的合同</w:t>
      </w:r>
      <w:r>
        <w:rPr>
          <w:rFonts w:hint="eastAsia" w:ascii="宋体" w:hAnsi="宋体" w:eastAsia="宋体" w:cs="宋体"/>
          <w:color w:val="auto"/>
          <w:kern w:val="2"/>
          <w:sz w:val="21"/>
          <w:szCs w:val="21"/>
          <w:highlight w:val="none"/>
          <w:lang w:val="en-US" w:eastAsia="zh-CN" w:bidi="ar-SA"/>
        </w:rPr>
        <w:t>复印件</w:t>
      </w:r>
      <w:r>
        <w:rPr>
          <w:rFonts w:hint="eastAsia" w:ascii="宋体" w:hAnsi="宋体" w:eastAsia="宋体" w:cs="宋体"/>
          <w:color w:val="auto"/>
          <w:kern w:val="2"/>
          <w:sz w:val="21"/>
          <w:szCs w:val="21"/>
          <w:highlight w:val="none"/>
          <w:lang w:val="en-US" w:eastAsia="zh-CN" w:bidi="ar-SA"/>
        </w:rPr>
        <w:t>为准。</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4.综合得分＝1+2+3</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推荐成交候选人原则</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应当根据综合评分情况，按照综合得分由高到低顺序推荐三名成交候选供应商，并编写评审报告。磋商小组根据综合得分由高到低排列次序，若得分相同时，以最后报价由低到高顺序排列；若仍相同的，依次按技术分、</w:t>
      </w:r>
      <w:r>
        <w:rPr>
          <w:rFonts w:hint="eastAsia" w:ascii="宋体" w:hAnsi="宋体" w:eastAsia="宋体" w:cs="宋体"/>
          <w:color w:val="auto"/>
          <w:sz w:val="21"/>
          <w:szCs w:val="21"/>
          <w:highlight w:val="none"/>
          <w:lang w:val="en-US" w:eastAsia="zh-CN"/>
        </w:rPr>
        <w:t>企业信誉实力</w:t>
      </w:r>
      <w:r>
        <w:rPr>
          <w:rFonts w:hint="eastAsia" w:ascii="宋体" w:hAnsi="宋体" w:eastAsia="宋体" w:cs="宋体"/>
          <w:color w:val="auto"/>
          <w:sz w:val="21"/>
          <w:szCs w:val="21"/>
          <w:highlight w:val="none"/>
        </w:rPr>
        <w:t>分由高到低顺序排列并推荐成交候选供应商。</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（2）采购人应当确定磋商小组推荐排名第一的成交候选供应商为成交供应商。</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（3）排名第一的成交候选供应商放弃成交、因不可抗力提出不能履行合同，采购人可以按照评审报告推荐的成交候选供应商名单排序，确定下一候选供应商为成交供应商，也可以重新开展政府采购活动。</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pPr>
        <w:pStyle w:val="4"/>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0"/>
        <w:ind w:left="0" w:leftChars="0" w:firstLine="0" w:firstLineChars="0"/>
        <w:rPr>
          <w:rFonts w:hint="eastAsia"/>
          <w:color w:val="auto"/>
          <w:sz w:val="24"/>
          <w:szCs w:val="24"/>
          <w:highlight w:val="none"/>
        </w:rPr>
      </w:pPr>
    </w:p>
    <w:p>
      <w:pPr>
        <w:pStyle w:val="10"/>
        <w:ind w:left="0" w:leftChars="0" w:firstLine="0" w:firstLineChars="0"/>
        <w:rPr>
          <w:rFonts w:hint="eastAsia"/>
          <w:color w:val="auto"/>
          <w:sz w:val="24"/>
          <w:szCs w:val="24"/>
          <w:highlight w:val="none"/>
        </w:rPr>
      </w:pPr>
    </w:p>
    <w:p>
      <w:pPr>
        <w:pStyle w:val="10"/>
        <w:ind w:left="0" w:leftChars="0" w:firstLine="0" w:firstLineChars="0"/>
        <w:rPr>
          <w:rFonts w:hint="eastAsia"/>
          <w:color w:val="auto"/>
          <w:sz w:val="24"/>
          <w:szCs w:val="24"/>
          <w:highlight w:val="none"/>
        </w:rPr>
      </w:pPr>
    </w:p>
    <w:p>
      <w:pPr>
        <w:pStyle w:val="10"/>
        <w:ind w:left="0" w:leftChars="0" w:firstLine="0" w:firstLineChars="0"/>
        <w:rPr>
          <w:rFonts w:hint="eastAsia"/>
          <w:color w:val="auto"/>
          <w:sz w:val="24"/>
          <w:szCs w:val="24"/>
          <w:highlight w:val="none"/>
        </w:rPr>
      </w:pPr>
    </w:p>
    <w:p>
      <w:pPr>
        <w:pStyle w:val="10"/>
        <w:ind w:left="0" w:leftChars="0" w:firstLine="0" w:firstLineChars="0"/>
        <w:rPr>
          <w:rFonts w:hint="eastAsia"/>
          <w:color w:val="auto"/>
          <w:sz w:val="24"/>
          <w:szCs w:val="24"/>
          <w:highlight w:val="none"/>
        </w:rPr>
      </w:pPr>
    </w:p>
    <w:p>
      <w:pPr>
        <w:pStyle w:val="10"/>
        <w:ind w:left="0" w:leftChars="0" w:firstLine="0" w:firstLineChars="0"/>
        <w:rPr>
          <w:rFonts w:hint="eastAsia"/>
          <w:color w:val="auto"/>
          <w:sz w:val="24"/>
          <w:szCs w:val="24"/>
          <w:highlight w:val="none"/>
        </w:rPr>
      </w:pPr>
    </w:p>
    <w:p>
      <w:pPr>
        <w:pStyle w:val="10"/>
        <w:ind w:left="0" w:leftChars="0" w:firstLine="0" w:firstLineChars="0"/>
        <w:rPr>
          <w:rFonts w:hint="eastAsia"/>
          <w:color w:val="auto"/>
          <w:sz w:val="24"/>
          <w:szCs w:val="24"/>
          <w:highlight w:val="none"/>
        </w:rPr>
      </w:pPr>
    </w:p>
    <w:p>
      <w:pPr>
        <w:pStyle w:val="24"/>
        <w:rPr>
          <w:rFonts w:hint="eastAsia" w:ascii="宋体" w:hAnsi="宋体" w:eastAsia="宋体" w:cs="宋体"/>
          <w:color w:val="auto"/>
          <w:sz w:val="24"/>
          <w:szCs w:val="24"/>
          <w:highlight w:val="none"/>
        </w:rPr>
      </w:pPr>
      <w:bookmarkStart w:id="188" w:name="_Toc8466"/>
      <w:bookmarkStart w:id="189" w:name="_Toc4774"/>
    </w:p>
    <w:p>
      <w:pPr>
        <w:pStyle w:val="24"/>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3"/>
        <w:keepNext/>
        <w:keepLines/>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00" w:lineRule="exact"/>
        <w:jc w:val="center"/>
        <w:textAlignment w:val="auto"/>
        <w:rPr>
          <w:rFonts w:hint="eastAsia" w:ascii="宋体" w:hAnsi="宋体" w:eastAsia="宋体" w:cs="宋体"/>
          <w:color w:val="auto"/>
          <w:sz w:val="24"/>
          <w:szCs w:val="24"/>
          <w:highlight w:val="none"/>
        </w:rPr>
      </w:pPr>
      <w:bookmarkStart w:id="190" w:name="_Toc25717"/>
      <w:bookmarkStart w:id="191" w:name="_Toc30114"/>
      <w:r>
        <w:rPr>
          <w:rFonts w:hint="eastAsia" w:ascii="宋体" w:hAnsi="宋体" w:eastAsia="宋体" w:cs="宋体"/>
          <w:color w:val="auto"/>
          <w:sz w:val="24"/>
          <w:szCs w:val="24"/>
          <w:highlight w:val="none"/>
          <w:lang w:eastAsia="zh-CN"/>
        </w:rPr>
        <w:t>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采购合同（合同主要条款及格式）</w:t>
      </w:r>
      <w:bookmarkEnd w:id="188"/>
      <w:bookmarkEnd w:id="189"/>
      <w:bookmarkEnd w:id="190"/>
      <w:bookmarkEnd w:id="191"/>
    </w:p>
    <w:p>
      <w:pPr>
        <w:pStyle w:val="29"/>
        <w:keepNext/>
        <w:keepLines/>
        <w:pageBreakBefore w:val="0"/>
        <w:widowControl w:val="0"/>
        <w:numPr>
          <w:ilvl w:val="0"/>
          <w:numId w:val="0"/>
        </w:numPr>
        <w:kinsoku/>
        <w:wordWrap/>
        <w:overflowPunct/>
        <w:topLinePunct w:val="0"/>
        <w:bidi w:val="0"/>
        <w:snapToGrid/>
        <w:spacing w:line="400" w:lineRule="exact"/>
        <w:jc w:val="center"/>
        <w:textAlignment w:val="auto"/>
        <w:rPr>
          <w:rFonts w:ascii="宋体"/>
          <w:color w:val="auto"/>
          <w:sz w:val="24"/>
          <w:szCs w:val="24"/>
          <w:highlight w:val="none"/>
        </w:rPr>
      </w:pPr>
      <w:bookmarkStart w:id="192" w:name="_Toc522201558"/>
      <w:bookmarkStart w:id="193" w:name="_Toc256000031"/>
      <w:bookmarkStart w:id="194" w:name="_Toc16044"/>
      <w:bookmarkStart w:id="195" w:name="_Toc10014"/>
      <w:bookmarkStart w:id="196" w:name="_Toc24269"/>
      <w:r>
        <w:rPr>
          <w:rFonts w:hint="eastAsia" w:ascii="宋体" w:hAnsi="宋体" w:eastAsia="宋体" w:cs="Times New Roman"/>
          <w:b/>
          <w:bCs/>
          <w:color w:val="auto"/>
          <w:kern w:val="44"/>
          <w:sz w:val="24"/>
          <w:szCs w:val="24"/>
          <w:highlight w:val="none"/>
          <w:lang w:val="en-US" w:eastAsia="zh-CN" w:bidi="ar-SA"/>
        </w:rPr>
        <w:t>第一部分</w:t>
      </w:r>
      <w:r>
        <w:rPr>
          <w:rFonts w:hint="eastAsia" w:ascii="宋体" w:cs="Times New Roman"/>
          <w:b/>
          <w:bCs/>
          <w:color w:val="auto"/>
          <w:kern w:val="44"/>
          <w:sz w:val="24"/>
          <w:szCs w:val="24"/>
          <w:highlight w:val="none"/>
          <w:lang w:val="en-US" w:eastAsia="zh-CN" w:bidi="ar-SA"/>
        </w:rPr>
        <w:t xml:space="preserve"> </w:t>
      </w:r>
      <w:r>
        <w:rPr>
          <w:rFonts w:ascii="宋体"/>
          <w:color w:val="auto"/>
          <w:sz w:val="24"/>
          <w:szCs w:val="24"/>
          <w:highlight w:val="none"/>
        </w:rPr>
        <w:t>合同协议书</w:t>
      </w:r>
      <w:bookmarkEnd w:id="192"/>
      <w:bookmarkEnd w:id="193"/>
      <w:bookmarkEnd w:id="194"/>
    </w:p>
    <w:p>
      <w:pPr>
        <w:pStyle w:val="29"/>
        <w:numPr>
          <w:ilvl w:val="0"/>
          <w:numId w:val="0"/>
        </w:numPr>
        <w:spacing w:line="340" w:lineRule="exact"/>
        <w:jc w:val="both"/>
        <w:rPr>
          <w:rFonts w:ascii="宋体"/>
          <w:color w:val="auto"/>
          <w:sz w:val="24"/>
          <w:szCs w:val="24"/>
          <w:highlight w:val="none"/>
        </w:rPr>
      </w:pPr>
    </w:p>
    <w:p>
      <w:pPr>
        <w:pStyle w:val="33"/>
        <w:adjustRightInd w:val="0"/>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lang w:eastAsia="zh-CN"/>
        </w:rPr>
        <w:t>兴安县项目投资管理与服务中心</w:t>
      </w:r>
      <w:r>
        <w:rPr>
          <w:rFonts w:hint="eastAsia" w:ascii="宋体" w:hAnsi="宋体" w:eastAsia="宋体" w:cs="宋体"/>
          <w:color w:val="auto"/>
          <w:sz w:val="21"/>
          <w:szCs w:val="21"/>
          <w:highlight w:val="none"/>
          <w:lang w:val="en-US" w:eastAsia="zh-CN"/>
        </w:rPr>
        <w:t xml:space="preserve"> </w:t>
      </w:r>
    </w:p>
    <w:p>
      <w:pPr>
        <w:pStyle w:val="33"/>
        <w:adjustRightInd w:val="0"/>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pPr>
        <w:pStyle w:val="33"/>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eastAsia="宋体" w:cs="宋体"/>
          <w:color w:val="auto"/>
          <w:sz w:val="21"/>
          <w:szCs w:val="21"/>
          <w:highlight w:val="none"/>
          <w:lang w:eastAsia="zh-CN"/>
        </w:rPr>
        <w:t>民法典</w:t>
      </w:r>
      <w:r>
        <w:rPr>
          <w:rFonts w:hint="eastAsia" w:ascii="宋体" w:hAnsi="宋体" w:eastAsia="宋体" w:cs="宋体"/>
          <w:color w:val="auto"/>
          <w:sz w:val="21"/>
          <w:szCs w:val="21"/>
          <w:highlight w:val="none"/>
        </w:rPr>
        <w:t>》、《中华人民共和国建筑法》及有关法律规定，遵循平等、自愿、公平和诚实信用的原则，双方就</w:t>
      </w:r>
      <w:r>
        <w:rPr>
          <w:rFonts w:hint="eastAsia" w:ascii="宋体" w:hAnsi="宋体" w:eastAsia="宋体" w:cs="宋体"/>
          <w:color w:val="auto"/>
          <w:sz w:val="21"/>
          <w:szCs w:val="21"/>
          <w:highlight w:val="none"/>
          <w:u w:val="single"/>
          <w:lang w:val="en-US" w:eastAsia="zh-CN"/>
        </w:rPr>
        <w:t xml:space="preserve">  广西漓江流域上游兴安县溶江镇永安村段生态保护工程</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施工及有关事项协商一致，共同达成如下协议：</w:t>
      </w:r>
      <w:bookmarkStart w:id="197" w:name="_Toc351203481"/>
    </w:p>
    <w:p>
      <w:pPr>
        <w:pStyle w:val="34"/>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198" w:name="_Toc20764"/>
      <w:bookmarkStart w:id="199" w:name="_Toc406419153"/>
      <w:bookmarkStart w:id="200" w:name="_Toc406522028"/>
      <w:bookmarkStart w:id="201" w:name="_Toc522201559"/>
      <w:bookmarkStart w:id="202" w:name="_Toc18120"/>
      <w:r>
        <w:rPr>
          <w:rFonts w:hint="eastAsia" w:ascii="宋体" w:hAnsi="宋体" w:eastAsia="宋体" w:cs="宋体"/>
          <w:b/>
          <w:color w:val="auto"/>
          <w:sz w:val="21"/>
          <w:szCs w:val="21"/>
          <w:highlight w:val="none"/>
        </w:rPr>
        <w:t>一、工程概况</w:t>
      </w:r>
      <w:bookmarkEnd w:id="197"/>
      <w:bookmarkEnd w:id="198"/>
      <w:bookmarkEnd w:id="199"/>
      <w:bookmarkEnd w:id="200"/>
      <w:bookmarkEnd w:id="201"/>
      <w:bookmarkEnd w:id="202"/>
    </w:p>
    <w:p>
      <w:pPr>
        <w:pStyle w:val="33"/>
        <w:adjustRightInd w:val="0"/>
        <w:snapToGrid w:val="0"/>
        <w:spacing w:line="400" w:lineRule="exact"/>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1.工程名称：</w:t>
      </w:r>
      <w:r>
        <w:rPr>
          <w:rFonts w:hint="eastAsia" w:ascii="宋体" w:hAnsi="宋体" w:eastAsia="宋体" w:cs="宋体"/>
          <w:color w:val="auto"/>
          <w:sz w:val="21"/>
          <w:szCs w:val="21"/>
          <w:highlight w:val="none"/>
          <w:u w:val="single"/>
          <w:lang w:val="en-US" w:eastAsia="zh-CN"/>
        </w:rPr>
        <w:t>广西漓江流域上游兴安县溶江镇永安村段生态保护工程</w:t>
      </w:r>
      <w:r>
        <w:rPr>
          <w:rFonts w:hint="eastAsia" w:ascii="宋体" w:hAnsi="宋体" w:eastAsia="宋体" w:cs="宋体"/>
          <w:color w:val="auto"/>
          <w:sz w:val="21"/>
          <w:szCs w:val="21"/>
          <w:highlight w:val="none"/>
        </w:rPr>
        <w:t>。</w:t>
      </w:r>
    </w:p>
    <w:p>
      <w:pPr>
        <w:pStyle w:val="33"/>
        <w:adjustRightInd w:val="0"/>
        <w:snapToGrid w:val="0"/>
        <w:spacing w:line="400" w:lineRule="exact"/>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lang w:eastAsia="zh-CN"/>
        </w:rPr>
        <w:t>桂林市兴安县溶江镇永安村</w:t>
      </w:r>
      <w:r>
        <w:rPr>
          <w:rFonts w:hint="eastAsia" w:ascii="宋体" w:hAnsi="宋体" w:eastAsia="宋体" w:cs="宋体"/>
          <w:color w:val="auto"/>
          <w:sz w:val="21"/>
          <w:szCs w:val="21"/>
          <w:highlight w:val="none"/>
        </w:rPr>
        <w:t>。</w:t>
      </w:r>
    </w:p>
    <w:p>
      <w:pPr>
        <w:pStyle w:val="33"/>
        <w:adjustRightInd w:val="0"/>
        <w:snapToGrid w:val="0"/>
        <w:spacing w:line="400" w:lineRule="exact"/>
        <w:ind w:firstLine="45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3.资金来源：</w:t>
      </w:r>
      <w:r>
        <w:rPr>
          <w:rFonts w:hint="eastAsia" w:ascii="宋体" w:hAnsi="宋体" w:eastAsia="宋体" w:cs="宋体"/>
          <w:color w:val="auto"/>
          <w:sz w:val="21"/>
          <w:szCs w:val="21"/>
          <w:highlight w:val="none"/>
          <w:u w:val="single"/>
          <w:lang w:val="en-US" w:eastAsia="zh-CN"/>
        </w:rPr>
        <w:t>财政资金。</w:t>
      </w:r>
    </w:p>
    <w:p>
      <w:pPr>
        <w:pStyle w:val="33"/>
        <w:adjustRightInd w:val="0"/>
        <w:snapToGrid w:val="0"/>
        <w:spacing w:line="400" w:lineRule="exact"/>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.工程内容：</w:t>
      </w:r>
      <w:r>
        <w:rPr>
          <w:rFonts w:hint="eastAsia" w:ascii="宋体" w:hAnsi="宋体" w:eastAsia="宋体" w:cs="宋体"/>
          <w:color w:val="auto"/>
          <w:sz w:val="21"/>
          <w:szCs w:val="21"/>
          <w:highlight w:val="none"/>
          <w:u w:val="single"/>
          <w:lang w:val="en-US" w:eastAsia="zh-CN"/>
        </w:rPr>
        <w:t>新建整治河道两岸防护，护岸长度290m，主要内容有：巡洪通道，左右护岸修复，岸线绿植修复等配套工程，具体详见施工图纸及财评后工程量清单</w:t>
      </w:r>
      <w:r>
        <w:rPr>
          <w:rFonts w:hint="eastAsia" w:ascii="宋体" w:hAnsi="宋体" w:eastAsia="宋体" w:cs="宋体"/>
          <w:color w:val="auto"/>
          <w:sz w:val="21"/>
          <w:szCs w:val="21"/>
          <w:highlight w:val="none"/>
        </w:rPr>
        <w:t>。</w:t>
      </w:r>
    </w:p>
    <w:p>
      <w:pPr>
        <w:pStyle w:val="33"/>
        <w:adjustRightInd w:val="0"/>
        <w:snapToGrid w:val="0"/>
        <w:spacing w:line="400" w:lineRule="exact"/>
        <w:ind w:firstLine="459"/>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.工程承包范围：</w:t>
      </w:r>
      <w:r>
        <w:rPr>
          <w:rFonts w:hint="eastAsia" w:ascii="宋体" w:hAnsi="宋体" w:eastAsia="宋体" w:cs="宋体"/>
          <w:color w:val="auto"/>
          <w:sz w:val="21"/>
          <w:szCs w:val="21"/>
          <w:highlight w:val="none"/>
          <w:u w:val="single"/>
          <w:lang w:val="en-US" w:eastAsia="zh-CN"/>
        </w:rPr>
        <w:t>新建整治河道两岸防护，护岸长度290m，主要内容有：巡洪通道，左右护岸修复，岸线绿植修复等配套工程，具体详见施工图纸及财评后工程量清单。</w:t>
      </w:r>
    </w:p>
    <w:p>
      <w:pPr>
        <w:pStyle w:val="34"/>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203" w:name="_Toc349"/>
      <w:bookmarkStart w:id="204" w:name="_Toc351203482"/>
      <w:bookmarkStart w:id="205" w:name="_Toc522201560"/>
      <w:bookmarkStart w:id="206" w:name="_Toc406522029"/>
      <w:bookmarkStart w:id="207" w:name="_Toc406419154"/>
      <w:bookmarkStart w:id="208" w:name="_Toc25845"/>
      <w:r>
        <w:rPr>
          <w:rFonts w:hint="eastAsia" w:ascii="宋体" w:hAnsi="宋体" w:eastAsia="宋体" w:cs="宋体"/>
          <w:b/>
          <w:color w:val="auto"/>
          <w:sz w:val="21"/>
          <w:szCs w:val="21"/>
          <w:highlight w:val="none"/>
        </w:rPr>
        <w:t>二、合同工期</w:t>
      </w:r>
      <w:bookmarkEnd w:id="203"/>
      <w:bookmarkEnd w:id="204"/>
      <w:bookmarkEnd w:id="205"/>
      <w:bookmarkEnd w:id="206"/>
      <w:bookmarkEnd w:id="207"/>
      <w:bookmarkEnd w:id="208"/>
    </w:p>
    <w:p>
      <w:pPr>
        <w:pStyle w:val="33"/>
        <w:adjustRightInd w:val="0"/>
        <w:snapToGrid w:val="0"/>
        <w:spacing w:line="400" w:lineRule="exact"/>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日。（实际开工日期以开工令为准）</w:t>
      </w:r>
    </w:p>
    <w:p>
      <w:pPr>
        <w:pStyle w:val="33"/>
        <w:adjustRightInd w:val="0"/>
        <w:snapToGrid w:val="0"/>
        <w:spacing w:line="400" w:lineRule="exact"/>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33"/>
        <w:adjustRightInd w:val="0"/>
        <w:snapToGrid w:val="0"/>
        <w:spacing w:line="400" w:lineRule="exact"/>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天。工期总日历天数与根据前述计划开竣工日期计算的工期天数不一致的，以工期总日历天数为准。</w:t>
      </w:r>
    </w:p>
    <w:p>
      <w:pPr>
        <w:pStyle w:val="34"/>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209" w:name="_Toc15140"/>
      <w:bookmarkStart w:id="210" w:name="_Toc406419155"/>
      <w:bookmarkStart w:id="211" w:name="_Toc522201561"/>
      <w:bookmarkStart w:id="212" w:name="_Toc406522030"/>
      <w:bookmarkStart w:id="213" w:name="_Toc351203483"/>
      <w:bookmarkStart w:id="214" w:name="_Toc1627"/>
      <w:r>
        <w:rPr>
          <w:rFonts w:hint="eastAsia" w:ascii="宋体" w:hAnsi="宋体" w:eastAsia="宋体" w:cs="宋体"/>
          <w:b/>
          <w:color w:val="auto"/>
          <w:sz w:val="21"/>
          <w:szCs w:val="21"/>
          <w:highlight w:val="none"/>
        </w:rPr>
        <w:t>三、质量标准</w:t>
      </w:r>
      <w:bookmarkEnd w:id="209"/>
      <w:bookmarkEnd w:id="210"/>
      <w:bookmarkEnd w:id="211"/>
      <w:bookmarkEnd w:id="212"/>
      <w:bookmarkEnd w:id="213"/>
      <w:bookmarkEnd w:id="214"/>
    </w:p>
    <w:p>
      <w:pPr>
        <w:tabs>
          <w:tab w:val="left" w:pos="210"/>
        </w:tabs>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质量标准：</w:t>
      </w:r>
      <w:r>
        <w:rPr>
          <w:rFonts w:hint="eastAsia" w:ascii="宋体" w:hAnsi="宋体" w:eastAsia="宋体" w:cs="宋体"/>
          <w:color w:val="auto"/>
          <w:sz w:val="21"/>
          <w:szCs w:val="21"/>
          <w:highlight w:val="none"/>
          <w:lang w:eastAsia="zh-CN"/>
        </w:rPr>
        <w:t>达到国家施工验收规范合格标准</w:t>
      </w:r>
      <w:r>
        <w:rPr>
          <w:rFonts w:hint="eastAsia" w:ascii="宋体" w:hAnsi="宋体" w:eastAsia="宋体" w:cs="宋体"/>
          <w:color w:val="auto"/>
          <w:sz w:val="21"/>
          <w:szCs w:val="21"/>
          <w:highlight w:val="none"/>
        </w:rPr>
        <w:t>。</w:t>
      </w:r>
    </w:p>
    <w:p>
      <w:pPr>
        <w:pStyle w:val="34"/>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215" w:name="_Toc522201562"/>
      <w:bookmarkStart w:id="216" w:name="_Toc8031"/>
      <w:bookmarkStart w:id="217" w:name="_Toc406419156"/>
      <w:bookmarkStart w:id="218" w:name="_Toc406522031"/>
      <w:bookmarkStart w:id="219" w:name="_Toc351203484"/>
      <w:bookmarkStart w:id="220" w:name="_Toc4115"/>
      <w:r>
        <w:rPr>
          <w:rFonts w:hint="eastAsia" w:ascii="宋体" w:hAnsi="宋体" w:eastAsia="宋体" w:cs="宋体"/>
          <w:b/>
          <w:color w:val="auto"/>
          <w:sz w:val="21"/>
          <w:szCs w:val="21"/>
          <w:highlight w:val="none"/>
        </w:rPr>
        <w:t>四、签约合同价与合同价格形式</w:t>
      </w:r>
      <w:bookmarkEnd w:id="215"/>
      <w:bookmarkEnd w:id="216"/>
      <w:bookmarkEnd w:id="217"/>
      <w:bookmarkEnd w:id="218"/>
      <w:bookmarkEnd w:id="219"/>
      <w:bookmarkEnd w:id="220"/>
    </w:p>
    <w:p>
      <w:pPr>
        <w:pStyle w:val="33"/>
        <w:adjustRightInd w:val="0"/>
        <w:snapToGrid w:val="0"/>
        <w:spacing w:line="400" w:lineRule="exact"/>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签约合同价为：</w:t>
      </w:r>
    </w:p>
    <w:p>
      <w:pPr>
        <w:pStyle w:val="33"/>
        <w:adjustRightInd w:val="0"/>
        <w:snapToGrid w:val="0"/>
        <w:spacing w:line="400" w:lineRule="exact"/>
        <w:ind w:firstLine="525" w:firstLineChars="2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Style w:val="33"/>
        <w:adjustRightInd w:val="0"/>
        <w:snapToGrid w:val="0"/>
        <w:spacing w:line="40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pPr>
        <w:pStyle w:val="33"/>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w:t>
      </w:r>
    </w:p>
    <w:p>
      <w:pPr>
        <w:pStyle w:val="33"/>
        <w:adjustRightInd w:val="0"/>
        <w:snapToGrid w:val="0"/>
        <w:spacing w:line="400" w:lineRule="exact"/>
        <w:ind w:firstLine="978" w:firstLineChars="4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3"/>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（2）安全文明施工费：</w:t>
      </w:r>
    </w:p>
    <w:p>
      <w:pPr>
        <w:pStyle w:val="33"/>
        <w:adjustRightInd w:val="0"/>
        <w:snapToGrid w:val="0"/>
        <w:spacing w:line="400" w:lineRule="exact"/>
        <w:ind w:firstLine="978" w:firstLineChars="4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3"/>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（3）规费：人民币（大写）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3"/>
        <w:adjustRightInd w:val="0"/>
        <w:snapToGrid w:val="0"/>
        <w:spacing w:line="400" w:lineRule="exact"/>
        <w:ind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其中社会保险费：</w:t>
      </w:r>
    </w:p>
    <w:p>
      <w:pPr>
        <w:pStyle w:val="33"/>
        <w:adjustRightInd w:val="0"/>
        <w:snapToGrid w:val="0"/>
        <w:spacing w:line="400" w:lineRule="exact"/>
        <w:ind w:left="420" w:leftChars="200" w:firstLine="638" w:firstLineChars="3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3"/>
        <w:adjustRightInd w:val="0"/>
        <w:snapToGrid w:val="0"/>
        <w:spacing w:line="400" w:lineRule="exact"/>
        <w:ind w:firstLine="945" w:firstLineChars="4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3"/>
        <w:numPr>
          <w:ilvl w:val="0"/>
          <w:numId w:val="5"/>
        </w:num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增值税：</w:t>
      </w:r>
    </w:p>
    <w:p>
      <w:pPr>
        <w:pStyle w:val="33"/>
        <w:adjustRightInd w:val="0"/>
        <w:snapToGrid w:val="0"/>
        <w:spacing w:line="400" w:lineRule="exact"/>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3"/>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（5）材料和工程设备暂估价金额：</w:t>
      </w:r>
    </w:p>
    <w:p>
      <w:pPr>
        <w:pStyle w:val="33"/>
        <w:adjustRightInd w:val="0"/>
        <w:snapToGrid w:val="0"/>
        <w:spacing w:line="400" w:lineRule="exact"/>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3"/>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（6）专业工程暂估价金额：</w:t>
      </w:r>
    </w:p>
    <w:p>
      <w:pPr>
        <w:pStyle w:val="33"/>
        <w:adjustRightInd w:val="0"/>
        <w:snapToGrid w:val="0"/>
        <w:spacing w:line="400" w:lineRule="exact"/>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3"/>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（7）暂列金额：</w:t>
      </w:r>
    </w:p>
    <w:p>
      <w:pPr>
        <w:pStyle w:val="33"/>
        <w:adjustRightInd w:val="0"/>
        <w:snapToGrid w:val="0"/>
        <w:spacing w:line="400" w:lineRule="exact"/>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3"/>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合同价格形式：</w:t>
      </w:r>
      <w:r>
        <w:rPr>
          <w:rFonts w:hint="eastAsia" w:ascii="宋体" w:hAnsi="宋体" w:eastAsia="宋体" w:cs="宋体"/>
          <w:color w:val="auto"/>
          <w:sz w:val="21"/>
          <w:szCs w:val="21"/>
          <w:highlight w:val="none"/>
          <w:u w:val="single"/>
        </w:rPr>
        <w:t>采用固定综合单价合同形式</w:t>
      </w:r>
      <w:r>
        <w:rPr>
          <w:rFonts w:hint="eastAsia" w:ascii="宋体" w:hAnsi="宋体" w:eastAsia="宋体" w:cs="宋体"/>
          <w:color w:val="auto"/>
          <w:sz w:val="21"/>
          <w:szCs w:val="21"/>
          <w:highlight w:val="none"/>
        </w:rPr>
        <w:t>。</w:t>
      </w:r>
    </w:p>
    <w:p>
      <w:pPr>
        <w:pStyle w:val="34"/>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221" w:name="_Toc351203485"/>
      <w:bookmarkStart w:id="222" w:name="_Toc406522032"/>
      <w:bookmarkStart w:id="223" w:name="_Toc10860"/>
      <w:bookmarkStart w:id="224" w:name="_Toc406419157"/>
      <w:bookmarkStart w:id="225" w:name="_Toc522201563"/>
      <w:bookmarkStart w:id="226" w:name="_Toc17438"/>
      <w:r>
        <w:rPr>
          <w:rFonts w:hint="eastAsia" w:ascii="宋体" w:hAnsi="宋体" w:eastAsia="宋体" w:cs="宋体"/>
          <w:b/>
          <w:color w:val="auto"/>
          <w:sz w:val="21"/>
          <w:szCs w:val="21"/>
          <w:highlight w:val="none"/>
        </w:rPr>
        <w:t>五、</w:t>
      </w:r>
      <w:bookmarkEnd w:id="221"/>
      <w:r>
        <w:rPr>
          <w:rFonts w:hint="eastAsia" w:ascii="宋体" w:hAnsi="宋体" w:eastAsia="宋体" w:cs="宋体"/>
          <w:b/>
          <w:color w:val="auto"/>
          <w:sz w:val="21"/>
          <w:szCs w:val="21"/>
          <w:highlight w:val="none"/>
        </w:rPr>
        <w:t>项目经理</w:t>
      </w:r>
      <w:bookmarkEnd w:id="222"/>
      <w:bookmarkEnd w:id="223"/>
      <w:bookmarkEnd w:id="224"/>
      <w:bookmarkEnd w:id="225"/>
      <w:bookmarkEnd w:id="226"/>
    </w:p>
    <w:p>
      <w:pPr>
        <w:pStyle w:val="33"/>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34"/>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227" w:name="_Toc522201564"/>
      <w:bookmarkStart w:id="228" w:name="_Toc406419158"/>
      <w:bookmarkStart w:id="229" w:name="_Toc351203486"/>
      <w:bookmarkStart w:id="230" w:name="_Toc406522033"/>
      <w:bookmarkStart w:id="231" w:name="_Toc23735"/>
      <w:bookmarkStart w:id="232" w:name="_Toc9111"/>
      <w:r>
        <w:rPr>
          <w:rFonts w:hint="eastAsia" w:ascii="宋体" w:hAnsi="宋体" w:eastAsia="宋体" w:cs="宋体"/>
          <w:b/>
          <w:color w:val="auto"/>
          <w:sz w:val="21"/>
          <w:szCs w:val="21"/>
          <w:highlight w:val="none"/>
        </w:rPr>
        <w:t>六、合同文件构成</w:t>
      </w:r>
      <w:bookmarkEnd w:id="227"/>
      <w:bookmarkEnd w:id="228"/>
      <w:bookmarkEnd w:id="229"/>
      <w:bookmarkEnd w:id="230"/>
      <w:bookmarkEnd w:id="231"/>
      <w:bookmarkEnd w:id="232"/>
    </w:p>
    <w:p>
      <w:pPr>
        <w:pStyle w:val="33"/>
        <w:adjustRightInd w:val="0"/>
        <w:snapToGrid w:val="0"/>
        <w:spacing w:line="400" w:lineRule="exact"/>
        <w:ind w:firstLine="420" w:firstLineChars="200"/>
        <w:rPr>
          <w:rFonts w:hint="eastAsia" w:ascii="宋体" w:hAnsi="宋体" w:eastAsia="宋体" w:cs="宋体"/>
          <w:color w:val="auto"/>
          <w:sz w:val="21"/>
          <w:szCs w:val="21"/>
          <w:highlight w:val="none"/>
        </w:rPr>
      </w:pPr>
      <w:bookmarkStart w:id="233" w:name="_Toc406522034"/>
      <w:bookmarkStart w:id="234" w:name="_Toc351203487"/>
      <w:bookmarkStart w:id="235" w:name="_Toc7021"/>
      <w:bookmarkStart w:id="236" w:name="_Toc406419159"/>
      <w:r>
        <w:rPr>
          <w:rFonts w:hint="eastAsia" w:ascii="宋体" w:hAnsi="宋体" w:eastAsia="宋体" w:cs="宋体"/>
          <w:color w:val="auto"/>
          <w:sz w:val="21"/>
          <w:szCs w:val="21"/>
          <w:highlight w:val="none"/>
        </w:rPr>
        <w:t>本协议书与下列文件一起构成合同文件：</w:t>
      </w:r>
    </w:p>
    <w:p>
      <w:pPr>
        <w:pStyle w:val="33"/>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（1）中标通知书（如果有）；</w:t>
      </w:r>
    </w:p>
    <w:p>
      <w:pPr>
        <w:pStyle w:val="33"/>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（2）投标函及其附录（如果有）； </w:t>
      </w:r>
    </w:p>
    <w:p>
      <w:pPr>
        <w:pStyle w:val="33"/>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pPr>
        <w:pStyle w:val="33"/>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pPr>
        <w:pStyle w:val="33"/>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pPr>
        <w:pStyle w:val="33"/>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pPr>
        <w:pStyle w:val="33"/>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pPr>
        <w:pStyle w:val="33"/>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pPr>
        <w:pStyle w:val="33"/>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pPr>
        <w:pStyle w:val="33"/>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34"/>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237" w:name="_Toc522201565"/>
      <w:bookmarkStart w:id="238" w:name="_Toc1231"/>
      <w:r>
        <w:rPr>
          <w:rFonts w:hint="eastAsia" w:ascii="宋体" w:hAnsi="宋体" w:eastAsia="宋体" w:cs="宋体"/>
          <w:b/>
          <w:color w:val="auto"/>
          <w:sz w:val="21"/>
          <w:szCs w:val="21"/>
          <w:highlight w:val="none"/>
        </w:rPr>
        <w:t>七、承诺</w:t>
      </w:r>
      <w:bookmarkEnd w:id="233"/>
      <w:bookmarkEnd w:id="234"/>
      <w:bookmarkEnd w:id="235"/>
      <w:bookmarkEnd w:id="236"/>
      <w:bookmarkEnd w:id="237"/>
      <w:bookmarkEnd w:id="238"/>
    </w:p>
    <w:p>
      <w:pPr>
        <w:pStyle w:val="33"/>
        <w:adjustRightInd w:val="0"/>
        <w:snapToGrid w:val="0"/>
        <w:spacing w:line="400" w:lineRule="exact"/>
        <w:ind w:firstLine="420" w:firstLineChars="200"/>
        <w:rPr>
          <w:rFonts w:hint="eastAsia" w:ascii="宋体" w:hAnsi="宋体" w:eastAsia="宋体" w:cs="宋体"/>
          <w:color w:val="auto"/>
          <w:sz w:val="21"/>
          <w:szCs w:val="21"/>
          <w:highlight w:val="none"/>
        </w:rPr>
      </w:pPr>
      <w:bookmarkStart w:id="239" w:name="_Toc406522035"/>
      <w:bookmarkStart w:id="240" w:name="_Toc351203488"/>
      <w:bookmarkStart w:id="241" w:name="_Toc11962"/>
      <w:bookmarkStart w:id="242" w:name="_Toc406419160"/>
      <w:r>
        <w:rPr>
          <w:rFonts w:hint="eastAsia" w:ascii="宋体" w:hAnsi="宋体" w:eastAsia="宋体" w:cs="宋体"/>
          <w:color w:val="auto"/>
          <w:sz w:val="21"/>
          <w:szCs w:val="21"/>
          <w:highlight w:val="none"/>
        </w:rPr>
        <w:t>1.发包人承诺按照法律规定履行项目审批手续、筹集工程建设资金并按照合同约定的期限和方式支付合同价款。</w:t>
      </w:r>
    </w:p>
    <w:p>
      <w:pPr>
        <w:pStyle w:val="33"/>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pPr>
        <w:pStyle w:val="33"/>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3.发包人和承包人通过招投标形式签订合同的，双方理解并承诺不再就同一工程另行签订与合同实质性内容相背离的协议。</w:t>
      </w:r>
    </w:p>
    <w:p>
      <w:pPr>
        <w:pStyle w:val="34"/>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243" w:name="_Toc522201566"/>
      <w:bookmarkStart w:id="244" w:name="_Toc19184"/>
      <w:r>
        <w:rPr>
          <w:rFonts w:hint="eastAsia" w:ascii="宋体" w:hAnsi="宋体" w:eastAsia="宋体" w:cs="宋体"/>
          <w:b/>
          <w:color w:val="auto"/>
          <w:sz w:val="21"/>
          <w:szCs w:val="21"/>
          <w:highlight w:val="none"/>
        </w:rPr>
        <w:t>八、词语含义</w:t>
      </w:r>
      <w:bookmarkEnd w:id="239"/>
      <w:bookmarkEnd w:id="240"/>
      <w:bookmarkEnd w:id="241"/>
      <w:bookmarkEnd w:id="242"/>
      <w:bookmarkEnd w:id="243"/>
      <w:bookmarkEnd w:id="244"/>
    </w:p>
    <w:p>
      <w:pPr>
        <w:pStyle w:val="33"/>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本协议书中词语含义与第二部分通用合同条款中赋予的含义相同。</w:t>
      </w:r>
    </w:p>
    <w:p>
      <w:pPr>
        <w:pStyle w:val="34"/>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245" w:name="_Toc22011"/>
      <w:bookmarkStart w:id="246" w:name="_Toc522201567"/>
      <w:bookmarkStart w:id="247" w:name="_Toc406419161"/>
      <w:bookmarkStart w:id="248" w:name="_Toc351203489"/>
      <w:bookmarkStart w:id="249" w:name="_Toc406522036"/>
      <w:bookmarkStart w:id="250" w:name="_Toc16675"/>
      <w:r>
        <w:rPr>
          <w:rFonts w:hint="eastAsia" w:ascii="宋体" w:hAnsi="宋体" w:eastAsia="宋体" w:cs="宋体"/>
          <w:b/>
          <w:color w:val="auto"/>
          <w:sz w:val="21"/>
          <w:szCs w:val="21"/>
          <w:highlight w:val="none"/>
        </w:rPr>
        <w:t>九、签订时间</w:t>
      </w:r>
      <w:bookmarkEnd w:id="245"/>
      <w:bookmarkEnd w:id="246"/>
      <w:bookmarkEnd w:id="247"/>
      <w:bookmarkEnd w:id="248"/>
      <w:bookmarkEnd w:id="249"/>
      <w:bookmarkEnd w:id="250"/>
    </w:p>
    <w:p>
      <w:pPr>
        <w:pStyle w:val="33"/>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pPr>
        <w:pStyle w:val="34"/>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251" w:name="_Toc3692"/>
      <w:bookmarkStart w:id="252" w:name="_Toc351203490"/>
      <w:bookmarkStart w:id="253" w:name="_Toc406419162"/>
      <w:bookmarkStart w:id="254" w:name="_Toc406522037"/>
      <w:bookmarkStart w:id="255" w:name="_Toc522201568"/>
      <w:bookmarkStart w:id="256" w:name="_Toc13047"/>
      <w:r>
        <w:rPr>
          <w:rFonts w:hint="eastAsia" w:ascii="宋体" w:hAnsi="宋体" w:eastAsia="宋体" w:cs="宋体"/>
          <w:b/>
          <w:color w:val="auto"/>
          <w:sz w:val="21"/>
          <w:szCs w:val="21"/>
          <w:highlight w:val="none"/>
        </w:rPr>
        <w:t>十、签订地点</w:t>
      </w:r>
      <w:bookmarkEnd w:id="251"/>
      <w:bookmarkEnd w:id="252"/>
      <w:bookmarkEnd w:id="253"/>
      <w:bookmarkEnd w:id="254"/>
      <w:bookmarkEnd w:id="255"/>
      <w:bookmarkEnd w:id="256"/>
    </w:p>
    <w:p>
      <w:pPr>
        <w:pStyle w:val="33"/>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广西桂林市</w:t>
      </w:r>
      <w:r>
        <w:rPr>
          <w:rFonts w:hint="eastAsia" w:ascii="宋体" w:hAnsi="宋体" w:eastAsia="宋体" w:cs="宋体"/>
          <w:bCs/>
          <w:color w:val="auto"/>
          <w:sz w:val="21"/>
          <w:szCs w:val="21"/>
          <w:highlight w:val="none"/>
          <w:u w:val="single"/>
          <w:lang w:val="en-US" w:eastAsia="zh-CN"/>
        </w:rPr>
        <w:t>兴安县</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pPr>
        <w:pStyle w:val="34"/>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257" w:name="_Toc522201569"/>
      <w:bookmarkStart w:id="258" w:name="_Toc406419163"/>
      <w:bookmarkStart w:id="259" w:name="_Toc9576"/>
      <w:bookmarkStart w:id="260" w:name="_Toc406522038"/>
      <w:bookmarkStart w:id="261" w:name="_Toc351203491"/>
      <w:bookmarkStart w:id="262" w:name="_Toc5536"/>
      <w:r>
        <w:rPr>
          <w:rFonts w:hint="eastAsia" w:ascii="宋体" w:hAnsi="宋体" w:eastAsia="宋体" w:cs="宋体"/>
          <w:b/>
          <w:color w:val="auto"/>
          <w:sz w:val="21"/>
          <w:szCs w:val="21"/>
          <w:highlight w:val="none"/>
        </w:rPr>
        <w:t>十一、补充协议</w:t>
      </w:r>
      <w:bookmarkEnd w:id="257"/>
      <w:bookmarkEnd w:id="258"/>
      <w:bookmarkEnd w:id="259"/>
      <w:bookmarkEnd w:id="260"/>
      <w:bookmarkEnd w:id="261"/>
      <w:bookmarkEnd w:id="262"/>
    </w:p>
    <w:p>
      <w:pPr>
        <w:pStyle w:val="33"/>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pPr>
        <w:pStyle w:val="34"/>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263" w:name="_Toc351203492"/>
      <w:bookmarkStart w:id="264" w:name="_Toc406419164"/>
      <w:bookmarkStart w:id="265" w:name="_Toc32443"/>
      <w:bookmarkStart w:id="266" w:name="_Toc406522039"/>
      <w:bookmarkStart w:id="267" w:name="_Toc522201570"/>
      <w:bookmarkStart w:id="268" w:name="_Toc25831"/>
      <w:r>
        <w:rPr>
          <w:rFonts w:hint="eastAsia" w:ascii="宋体" w:hAnsi="宋体" w:eastAsia="宋体" w:cs="宋体"/>
          <w:b/>
          <w:color w:val="auto"/>
          <w:sz w:val="21"/>
          <w:szCs w:val="21"/>
          <w:highlight w:val="none"/>
        </w:rPr>
        <w:t>十二、合同生效</w:t>
      </w:r>
      <w:bookmarkEnd w:id="263"/>
      <w:bookmarkEnd w:id="264"/>
      <w:bookmarkEnd w:id="265"/>
      <w:bookmarkEnd w:id="266"/>
      <w:bookmarkEnd w:id="267"/>
      <w:bookmarkEnd w:id="268"/>
    </w:p>
    <w:p>
      <w:pPr>
        <w:pStyle w:val="33"/>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u w:val="single"/>
        </w:rPr>
        <w:t>双方法定代表人或其委托代理人签字或盖章并加盖单位</w:t>
      </w:r>
      <w:r>
        <w:rPr>
          <w:rFonts w:hint="eastAsia" w:ascii="宋体" w:hAnsi="宋体" w:eastAsia="宋体" w:cs="宋体"/>
          <w:color w:val="auto"/>
          <w:sz w:val="21"/>
          <w:szCs w:val="21"/>
          <w:highlight w:val="none"/>
          <w:u w:val="single"/>
          <w:lang w:eastAsia="zh-CN"/>
        </w:rPr>
        <w:t>公</w:t>
      </w:r>
      <w:r>
        <w:rPr>
          <w:rFonts w:hint="eastAsia" w:ascii="宋体" w:hAnsi="宋体" w:eastAsia="宋体" w:cs="宋体"/>
          <w:color w:val="auto"/>
          <w:sz w:val="21"/>
          <w:szCs w:val="21"/>
          <w:highlight w:val="none"/>
          <w:u w:val="single"/>
        </w:rPr>
        <w:t>章后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生效。</w:t>
      </w:r>
    </w:p>
    <w:p>
      <w:pPr>
        <w:pStyle w:val="34"/>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269" w:name="_Toc522201571"/>
      <w:bookmarkStart w:id="270" w:name="_Toc14945"/>
      <w:bookmarkStart w:id="271" w:name="_Toc406419165"/>
      <w:bookmarkStart w:id="272" w:name="_Toc351203493"/>
      <w:bookmarkStart w:id="273" w:name="_Toc406522040"/>
      <w:bookmarkStart w:id="274" w:name="_Toc29241"/>
      <w:r>
        <w:rPr>
          <w:rFonts w:hint="eastAsia" w:ascii="宋体" w:hAnsi="宋体" w:eastAsia="宋体" w:cs="宋体"/>
          <w:b/>
          <w:color w:val="auto"/>
          <w:sz w:val="21"/>
          <w:szCs w:val="21"/>
          <w:highlight w:val="none"/>
        </w:rPr>
        <w:t>十三、合同份数</w:t>
      </w:r>
      <w:bookmarkEnd w:id="269"/>
      <w:bookmarkEnd w:id="270"/>
      <w:bookmarkEnd w:id="271"/>
      <w:bookmarkEnd w:id="272"/>
      <w:bookmarkEnd w:id="273"/>
      <w:bookmarkEnd w:id="274"/>
    </w:p>
    <w:p>
      <w:pPr>
        <w:pStyle w:val="33"/>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份，招标代理机构执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p>
    <w:p>
      <w:pPr>
        <w:pStyle w:val="33"/>
        <w:adjustRightInd w:val="0"/>
        <w:snapToGrid w:val="0"/>
        <w:spacing w:line="400" w:lineRule="exact"/>
        <w:ind w:firstLine="480" w:firstLineChars="200"/>
        <w:rPr>
          <w:rFonts w:ascii="宋体" w:hAnsi="宋体" w:cs="宋体"/>
          <w:bCs/>
          <w:color w:val="auto"/>
          <w:sz w:val="24"/>
          <w:szCs w:val="24"/>
          <w:highlight w:val="none"/>
        </w:rPr>
      </w:pPr>
    </w:p>
    <w:tbl>
      <w:tblPr>
        <w:tblStyle w:val="19"/>
        <w:tblW w:w="8900" w:type="dxa"/>
        <w:tblInd w:w="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03"/>
        <w:gridCol w:w="4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发包人：（公章）</w:t>
            </w:r>
          </w:p>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 </w:t>
            </w:r>
          </w:p>
        </w:tc>
        <w:tc>
          <w:tcPr>
            <w:tcW w:w="4597" w:type="dxa"/>
            <w:vAlign w:val="top"/>
          </w:tcPr>
          <w:p>
            <w:pPr>
              <w:spacing w:line="360" w:lineRule="auto"/>
              <w:rPr>
                <w:rFonts w:hint="eastAsia"/>
                <w:color w:val="auto"/>
                <w:sz w:val="21"/>
                <w:szCs w:val="21"/>
                <w:highlight w:val="none"/>
                <w:lang w:val="en-US" w:eastAsia="zh-CN"/>
              </w:rPr>
            </w:pPr>
            <w:r>
              <w:rPr>
                <w:rFonts w:hint="eastAsia"/>
                <w:color w:val="auto"/>
                <w:sz w:val="21"/>
                <w:szCs w:val="21"/>
                <w:highlight w:val="none"/>
                <w:lang w:val="en-US" w:eastAsia="zh-CN"/>
              </w:rPr>
              <w:t>承包人：（公章）</w:t>
            </w:r>
          </w:p>
          <w:p>
            <w:pPr>
              <w:pStyle w:val="2"/>
              <w:rPr>
                <w:rFonts w:hint="eastAsia"/>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法定代表人</w:t>
            </w:r>
            <w:r>
              <w:rPr>
                <w:rFonts w:hint="eastAsia" w:hAnsi="宋体" w:cs="宋体"/>
                <w:color w:val="auto"/>
                <w:sz w:val="21"/>
                <w:szCs w:val="21"/>
                <w:highlight w:val="none"/>
              </w:rPr>
              <w:t>或其委托代理人</w:t>
            </w:r>
            <w:r>
              <w:rPr>
                <w:rFonts w:hint="eastAsia" w:ascii="宋体" w:hAnsi="宋体" w:eastAsia="宋体" w:cs="宋体"/>
                <w:color w:val="auto"/>
                <w:kern w:val="0"/>
                <w:sz w:val="21"/>
                <w:szCs w:val="21"/>
                <w:highlight w:val="none"/>
                <w:u w:val="none"/>
                <w:lang w:val="en-US" w:eastAsia="zh-CN"/>
              </w:rPr>
              <w:t>：</w:t>
            </w:r>
          </w:p>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（签字或盖章）</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法定代表人</w:t>
            </w:r>
            <w:r>
              <w:rPr>
                <w:rFonts w:hint="eastAsia" w:hAnsi="宋体" w:cs="宋体"/>
                <w:color w:val="auto"/>
                <w:sz w:val="21"/>
                <w:szCs w:val="21"/>
                <w:highlight w:val="none"/>
              </w:rPr>
              <w:t>或其委托代理人</w:t>
            </w:r>
            <w:r>
              <w:rPr>
                <w:rFonts w:hint="eastAsia" w:ascii="宋体" w:hAnsi="宋体" w:eastAsia="宋体" w:cs="宋体"/>
                <w:color w:val="auto"/>
                <w:kern w:val="0"/>
                <w:sz w:val="21"/>
                <w:szCs w:val="21"/>
                <w:highlight w:val="none"/>
                <w:u w:val="none"/>
                <w:lang w:val="en-US" w:eastAsia="zh-CN"/>
              </w:rPr>
              <w:t>：</w:t>
            </w:r>
          </w:p>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统一社会信用代码：</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统一社会信用代码：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地址：</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地址：</w:t>
            </w:r>
            <w:r>
              <w:rPr>
                <w:rFonts w:hint="eastAsia" w:ascii="宋体" w:hAnsi="宋体" w:eastAsia="宋体" w:cs="宋体"/>
                <w:color w:val="auto"/>
                <w:sz w:val="21"/>
                <w:szCs w:val="21"/>
                <w:highlight w:val="none"/>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邮政编码：</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邮政编码：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联系人：</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电话：</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传真：</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传真：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电子信箱：</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电子信箱：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开户银行：</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default"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开户名称：</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开户名称：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rPr>
              <w:t>账号：</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rPr>
              <w:t xml:space="preserve">账号： </w:t>
            </w:r>
          </w:p>
        </w:tc>
      </w:tr>
    </w:tbl>
    <w:p>
      <w:pPr>
        <w:pStyle w:val="33"/>
        <w:adjustRightInd w:val="0"/>
        <w:snapToGrid w:val="0"/>
        <w:spacing w:line="400" w:lineRule="exact"/>
        <w:jc w:val="center"/>
        <w:rPr>
          <w:rFonts w:ascii="宋体" w:hAnsi="宋体" w:cs="宋体"/>
          <w:b/>
          <w:bCs/>
          <w:color w:val="auto"/>
          <w:sz w:val="24"/>
          <w:szCs w:val="24"/>
          <w:highlight w:val="none"/>
        </w:rPr>
      </w:pPr>
    </w:p>
    <w:p>
      <w:pPr>
        <w:pStyle w:val="29"/>
        <w:jc w:val="center"/>
        <w:rPr>
          <w:rFonts w:eastAsia="黑体"/>
          <w:b w:val="0"/>
          <w:bCs w:val="0"/>
          <w:color w:val="auto"/>
          <w:sz w:val="24"/>
          <w:szCs w:val="24"/>
          <w:highlight w:val="none"/>
        </w:rPr>
      </w:pPr>
      <w:r>
        <w:rPr>
          <w:b w:val="0"/>
          <w:bCs w:val="0"/>
          <w:color w:val="auto"/>
          <w:sz w:val="24"/>
          <w:szCs w:val="24"/>
          <w:highlight w:val="none"/>
        </w:rPr>
        <w:br w:type="page"/>
      </w:r>
      <w:bookmarkStart w:id="275" w:name="_Toc30211"/>
      <w:bookmarkStart w:id="276" w:name="_Toc351203494"/>
      <w:bookmarkStart w:id="277" w:name="_Toc522201572"/>
      <w:bookmarkStart w:id="278" w:name="_Toc2370"/>
      <w:bookmarkStart w:id="279" w:name="_Toc256000032"/>
      <w:r>
        <w:rPr>
          <w:rFonts w:ascii="宋体"/>
          <w:color w:val="auto"/>
          <w:sz w:val="24"/>
          <w:szCs w:val="24"/>
          <w:highlight w:val="none"/>
        </w:rPr>
        <w:t>第二部分 通用合同条款</w:t>
      </w:r>
      <w:bookmarkEnd w:id="275"/>
      <w:bookmarkEnd w:id="276"/>
      <w:bookmarkEnd w:id="277"/>
      <w:bookmarkEnd w:id="278"/>
      <w:bookmarkEnd w:id="279"/>
      <w:bookmarkStart w:id="280" w:name="_Toc337558727"/>
    </w:p>
    <w:bookmarkEnd w:id="280"/>
    <w:p>
      <w:pPr>
        <w:pStyle w:val="5"/>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b w:val="0"/>
          <w:bCs w:val="0"/>
          <w:color w:val="auto"/>
          <w:sz w:val="24"/>
          <w:szCs w:val="24"/>
          <w:highlight w:val="none"/>
        </w:rPr>
      </w:pPr>
      <w:bookmarkStart w:id="281" w:name="_Toc16978"/>
    </w:p>
    <w:p>
      <w:pPr>
        <w:pStyle w:val="5"/>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本工程的施工合同通用条款按国家工商行政管理局和建设部颁布的：《建设工程施工合同（示范文本）》（GF-2017-0201）通用条款执行。</w:t>
      </w:r>
      <w:bookmarkEnd w:id="281"/>
    </w:p>
    <w:p>
      <w:pPr>
        <w:pStyle w:val="32"/>
        <w:ind w:left="63" w:right="63"/>
        <w:rPr>
          <w:color w:val="auto"/>
          <w:sz w:val="24"/>
          <w:szCs w:val="24"/>
          <w:highlight w:val="none"/>
        </w:rPr>
        <w:sectPr>
          <w:footerReference r:id="rId10" w:type="default"/>
          <w:pgSz w:w="11906" w:h="16838"/>
          <w:pgMar w:top="1134" w:right="1134" w:bottom="1134" w:left="1418" w:header="851" w:footer="992" w:gutter="0"/>
          <w:cols w:space="720" w:num="1"/>
          <w:docGrid w:type="lines" w:linePitch="312" w:charSpace="0"/>
        </w:sectPr>
      </w:pPr>
    </w:p>
    <w:p>
      <w:pPr>
        <w:pStyle w:val="29"/>
        <w:spacing w:line="400" w:lineRule="atLeast"/>
        <w:jc w:val="center"/>
        <w:rPr>
          <w:color w:val="auto"/>
          <w:sz w:val="24"/>
          <w:szCs w:val="24"/>
          <w:highlight w:val="none"/>
        </w:rPr>
      </w:pPr>
      <w:bookmarkStart w:id="282" w:name="_Toc256000171"/>
      <w:bookmarkStart w:id="283" w:name="_Toc20439"/>
      <w:r>
        <w:rPr>
          <w:rFonts w:ascii="宋体"/>
          <w:color w:val="auto"/>
          <w:sz w:val="24"/>
          <w:szCs w:val="24"/>
          <w:highlight w:val="none"/>
        </w:rPr>
        <w:t>第</w:t>
      </w:r>
      <w:r>
        <w:rPr>
          <w:rFonts w:hint="eastAsia" w:ascii="宋体"/>
          <w:color w:val="auto"/>
          <w:sz w:val="24"/>
          <w:szCs w:val="24"/>
          <w:highlight w:val="none"/>
        </w:rPr>
        <w:t>三</w:t>
      </w:r>
      <w:r>
        <w:rPr>
          <w:rFonts w:ascii="宋体"/>
          <w:color w:val="auto"/>
          <w:sz w:val="24"/>
          <w:szCs w:val="24"/>
          <w:highlight w:val="none"/>
        </w:rPr>
        <w:t>部分 专用合同条款</w:t>
      </w:r>
      <w:bookmarkEnd w:id="282"/>
      <w:bookmarkEnd w:id="283"/>
    </w:p>
    <w:p>
      <w:pPr>
        <w:pStyle w:val="29"/>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284" w:name="_Toc522201723"/>
      <w:bookmarkStart w:id="285" w:name="_Toc6517"/>
      <w:bookmarkStart w:id="286" w:name="_Toc418751789"/>
      <w:bookmarkStart w:id="287" w:name="_Toc351203633"/>
      <w:bookmarkStart w:id="288" w:name="_Toc418752235"/>
      <w:bookmarkStart w:id="289" w:name="_Toc406522213"/>
      <w:bookmarkStart w:id="290" w:name="_Toc497746774"/>
      <w:bookmarkStart w:id="291" w:name="_Toc497747171"/>
      <w:bookmarkStart w:id="292" w:name="_Toc256000172"/>
      <w:bookmarkStart w:id="293" w:name="_Toc484024116"/>
      <w:r>
        <w:rPr>
          <w:rFonts w:hint="eastAsia" w:ascii="宋体" w:hAnsi="宋体" w:eastAsia="宋体" w:cs="宋体"/>
          <w:color w:val="auto"/>
          <w:sz w:val="21"/>
          <w:szCs w:val="21"/>
          <w:highlight w:val="none"/>
        </w:rPr>
        <w:t>1</w:t>
      </w:r>
      <w:bookmarkStart w:id="294" w:name="_Toc296347155"/>
      <w:bookmarkStart w:id="295" w:name="_Toc297048342"/>
      <w:bookmarkStart w:id="296" w:name="_Toc296346657"/>
      <w:bookmarkStart w:id="297" w:name="_Toc292559866"/>
      <w:bookmarkStart w:id="298" w:name="_Toc296503156"/>
      <w:bookmarkStart w:id="299" w:name="_Toc292559361"/>
      <w:bookmarkStart w:id="300" w:name="_Toc297120456"/>
      <w:bookmarkStart w:id="301" w:name="_Toc296890984"/>
      <w:bookmarkStart w:id="302" w:name="_Toc296891196"/>
      <w:bookmarkStart w:id="303" w:name="_Toc296944495"/>
      <w:r>
        <w:rPr>
          <w:rFonts w:hint="eastAsia" w:ascii="宋体" w:hAnsi="宋体" w:eastAsia="宋体" w:cs="宋体"/>
          <w:color w:val="auto"/>
          <w:sz w:val="21"/>
          <w:szCs w:val="21"/>
          <w:highlight w:val="none"/>
        </w:rPr>
        <w:t>. 一般约定</w:t>
      </w:r>
      <w:bookmarkEnd w:id="284"/>
      <w:bookmarkEnd w:id="285"/>
      <w:bookmarkEnd w:id="286"/>
      <w:bookmarkEnd w:id="287"/>
      <w:bookmarkEnd w:id="288"/>
      <w:bookmarkEnd w:id="289"/>
      <w:bookmarkEnd w:id="290"/>
      <w:bookmarkEnd w:id="291"/>
      <w:bookmarkEnd w:id="292"/>
    </w:p>
    <w:bookmarkEnd w:id="294"/>
    <w:bookmarkEnd w:id="295"/>
    <w:bookmarkEnd w:id="296"/>
    <w:bookmarkEnd w:id="297"/>
    <w:bookmarkEnd w:id="298"/>
    <w:bookmarkEnd w:id="299"/>
    <w:bookmarkEnd w:id="300"/>
    <w:bookmarkEnd w:id="301"/>
    <w:bookmarkEnd w:id="302"/>
    <w:bookmarkEnd w:id="303"/>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304" w:name="_Toc25405"/>
      <w:bookmarkStart w:id="305" w:name="_Toc497746775"/>
      <w:bookmarkStart w:id="306" w:name="_Toc418751790"/>
      <w:bookmarkStart w:id="307" w:name="_Toc406522214"/>
      <w:bookmarkStart w:id="308" w:name="_Toc522201724"/>
      <w:bookmarkStart w:id="309" w:name="_Toc256000173"/>
      <w:bookmarkStart w:id="310" w:name="_Toc497747172"/>
      <w:bookmarkStart w:id="311" w:name="_Toc418752236"/>
      <w:r>
        <w:rPr>
          <w:rFonts w:hint="eastAsia" w:ascii="宋体" w:hAnsi="宋体" w:eastAsia="宋体" w:cs="宋体"/>
          <w:color w:val="auto"/>
          <w:sz w:val="21"/>
          <w:szCs w:val="21"/>
          <w:highlight w:val="none"/>
        </w:rPr>
        <w:t>1.1 词语定义</w:t>
      </w:r>
      <w:bookmarkEnd w:id="304"/>
      <w:bookmarkEnd w:id="305"/>
      <w:bookmarkEnd w:id="306"/>
      <w:bookmarkEnd w:id="307"/>
      <w:bookmarkEnd w:id="308"/>
      <w:bookmarkEnd w:id="309"/>
      <w:bookmarkEnd w:id="310"/>
      <w:bookmarkEnd w:id="311"/>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1.1.1合同</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1.1.1.10其他合同文件包括：</w:t>
      </w:r>
      <w:r>
        <w:rPr>
          <w:rFonts w:hint="eastAsia" w:ascii="宋体" w:hAnsi="宋体" w:eastAsia="宋体" w:cs="宋体"/>
          <w:color w:val="auto"/>
          <w:sz w:val="21"/>
          <w:szCs w:val="21"/>
          <w:highlight w:val="none"/>
          <w:u w:val="single"/>
        </w:rPr>
        <w:t>（1）本合同协议书；（2）中标通知书；（3）投标书及其附件；（4）本合同专用条款及补充条款；（5）本合同通用条款；（6）标准、规范及有关技术文件；（7）图纸（含图纸修改通知单及图纸设计变更文件）；（8）工程量清单；（9）本工程预算控制价造价成果文件及其他合同文件</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合同当事人及其他相关方</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1.1.2.4监理人：</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color w:val="auto"/>
          <w:sz w:val="21"/>
          <w:szCs w:val="21"/>
          <w:highlight w:val="none"/>
          <w:u w:val="single"/>
        </w:rPr>
        <w:t xml:space="preserve">  按通用条款执行</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1.1.3.9 永久占地包括：</w:t>
      </w:r>
      <w:r>
        <w:rPr>
          <w:rFonts w:hint="eastAsia" w:ascii="宋体" w:hAnsi="宋体" w:eastAsia="宋体" w:cs="宋体"/>
          <w:color w:val="auto"/>
          <w:sz w:val="21"/>
          <w:szCs w:val="21"/>
          <w:highlight w:val="none"/>
          <w:u w:val="single"/>
        </w:rPr>
        <w:t xml:space="preserve">  为实施工程需永久占用的土地</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 临时占地包括：</w:t>
      </w:r>
      <w:r>
        <w:rPr>
          <w:rFonts w:hint="eastAsia" w:ascii="宋体" w:hAnsi="宋体" w:eastAsia="宋体" w:cs="宋体"/>
          <w:color w:val="auto"/>
          <w:sz w:val="21"/>
          <w:szCs w:val="21"/>
          <w:highlight w:val="none"/>
          <w:u w:val="single"/>
        </w:rPr>
        <w:t xml:space="preserve"> 为实施工程需临时占用的土地 </w:t>
      </w:r>
      <w:r>
        <w:rPr>
          <w:rFonts w:hint="eastAsia" w:ascii="宋体" w:hAnsi="宋体" w:eastAsia="宋体" w:cs="宋体"/>
          <w:color w:val="auto"/>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312" w:name="_Toc418752237"/>
      <w:bookmarkStart w:id="313" w:name="_Toc256000174"/>
      <w:bookmarkStart w:id="314" w:name="_Toc497746776"/>
      <w:bookmarkStart w:id="315" w:name="_Toc497747173"/>
      <w:bookmarkStart w:id="316" w:name="_Toc406522215"/>
      <w:bookmarkStart w:id="317" w:name="_Toc418751791"/>
      <w:bookmarkStart w:id="318" w:name="_Toc522201725"/>
      <w:bookmarkStart w:id="319" w:name="_Toc20017"/>
      <w:r>
        <w:rPr>
          <w:rFonts w:hint="eastAsia" w:ascii="宋体" w:hAnsi="宋体" w:eastAsia="宋体" w:cs="宋体"/>
          <w:color w:val="auto"/>
          <w:sz w:val="21"/>
          <w:szCs w:val="21"/>
          <w:highlight w:val="none"/>
        </w:rPr>
        <w:t>1.3法律</w:t>
      </w:r>
      <w:bookmarkEnd w:id="312"/>
      <w:bookmarkEnd w:id="313"/>
      <w:bookmarkEnd w:id="314"/>
      <w:bookmarkEnd w:id="315"/>
      <w:bookmarkEnd w:id="316"/>
      <w:bookmarkEnd w:id="317"/>
      <w:bookmarkEnd w:id="318"/>
      <w:bookmarkEnd w:id="319"/>
      <w:r>
        <w:rPr>
          <w:rFonts w:hint="eastAsia" w:ascii="宋体" w:hAnsi="宋体" w:eastAsia="宋体" w:cs="宋体"/>
          <w:color w:val="auto"/>
          <w:sz w:val="21"/>
          <w:szCs w:val="21"/>
          <w:highlight w:val="none"/>
        </w:rPr>
        <w:t xml:space="preserve"> </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color w:val="auto"/>
          <w:sz w:val="21"/>
          <w:szCs w:val="21"/>
          <w:highlight w:val="none"/>
          <w:u w:val="single"/>
        </w:rPr>
        <w:t>同通用条款</w:t>
      </w:r>
      <w:r>
        <w:rPr>
          <w:rFonts w:hint="eastAsia" w:ascii="宋体" w:hAnsi="宋体" w:eastAsia="宋体" w:cs="宋体"/>
          <w:color w:val="auto"/>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320" w:name="_Toc497746777"/>
      <w:bookmarkStart w:id="321" w:name="_Toc406522216"/>
      <w:bookmarkStart w:id="322" w:name="_Toc418751792"/>
      <w:bookmarkStart w:id="323" w:name="_Toc522201726"/>
      <w:bookmarkStart w:id="324" w:name="_Toc418752238"/>
      <w:bookmarkStart w:id="325" w:name="_Toc256000175"/>
      <w:bookmarkStart w:id="326" w:name="_Toc497747174"/>
      <w:bookmarkStart w:id="327" w:name="_Toc16352"/>
      <w:r>
        <w:rPr>
          <w:rFonts w:hint="eastAsia" w:ascii="宋体" w:hAnsi="宋体" w:eastAsia="宋体" w:cs="宋体"/>
          <w:color w:val="auto"/>
          <w:sz w:val="21"/>
          <w:szCs w:val="21"/>
          <w:highlight w:val="none"/>
        </w:rPr>
        <w:t>1.4 标准和规范</w:t>
      </w:r>
      <w:bookmarkEnd w:id="320"/>
      <w:bookmarkEnd w:id="321"/>
      <w:bookmarkEnd w:id="322"/>
      <w:bookmarkEnd w:id="323"/>
      <w:bookmarkEnd w:id="324"/>
      <w:bookmarkEnd w:id="325"/>
      <w:bookmarkEnd w:id="326"/>
      <w:bookmarkEnd w:id="327"/>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1.4.1适用于工程的标准规范包括：</w:t>
      </w:r>
      <w:r>
        <w:rPr>
          <w:rFonts w:hint="eastAsia" w:ascii="宋体" w:hAnsi="宋体" w:eastAsia="宋体" w:cs="宋体"/>
          <w:color w:val="auto"/>
          <w:sz w:val="21"/>
          <w:szCs w:val="21"/>
          <w:highlight w:val="none"/>
          <w:u w:val="single"/>
        </w:rPr>
        <w:t>现行国家、地方、部门有关标准规范</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发包人提供国外标准、规范的名称：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发包人提供国外标准、规范的份数：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发包人提供国外标准、规范的名称：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1.4.3发包人对工程的技术标准和功能要求的特殊要求：</w:t>
      </w:r>
      <w:r>
        <w:rPr>
          <w:rFonts w:hint="eastAsia" w:ascii="宋体" w:hAnsi="宋体" w:eastAsia="宋体" w:cs="宋体"/>
          <w:color w:val="auto"/>
          <w:sz w:val="21"/>
          <w:szCs w:val="21"/>
          <w:highlight w:val="none"/>
          <w:u w:val="single"/>
        </w:rPr>
        <w:t xml:space="preserve">无 </w:t>
      </w:r>
      <w:r>
        <w:rPr>
          <w:rFonts w:hint="eastAsia" w:ascii="宋体" w:hAnsi="宋体" w:eastAsia="宋体" w:cs="宋体"/>
          <w:color w:val="auto"/>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328" w:name="_Toc497747175"/>
      <w:bookmarkStart w:id="329" w:name="_Toc256000176"/>
      <w:bookmarkStart w:id="330" w:name="_Toc522201727"/>
      <w:bookmarkStart w:id="331" w:name="_Toc418752239"/>
      <w:bookmarkStart w:id="332" w:name="_Toc406522217"/>
      <w:bookmarkStart w:id="333" w:name="_Toc418751793"/>
      <w:bookmarkStart w:id="334" w:name="_Toc497746778"/>
      <w:bookmarkStart w:id="335" w:name="_Toc28894"/>
      <w:r>
        <w:rPr>
          <w:rFonts w:hint="eastAsia" w:ascii="宋体" w:hAnsi="宋体" w:eastAsia="宋体" w:cs="宋体"/>
          <w:color w:val="auto"/>
          <w:sz w:val="21"/>
          <w:szCs w:val="21"/>
          <w:highlight w:val="none"/>
        </w:rPr>
        <w:t>1.5 合同文件的优先顺序</w:t>
      </w:r>
      <w:bookmarkEnd w:id="328"/>
      <w:bookmarkEnd w:id="329"/>
      <w:bookmarkEnd w:id="330"/>
      <w:bookmarkEnd w:id="331"/>
      <w:bookmarkEnd w:id="332"/>
      <w:bookmarkEnd w:id="333"/>
      <w:bookmarkEnd w:id="334"/>
      <w:bookmarkEnd w:id="335"/>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（1）合同协议书；</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（2）中标通知书（如果有）；</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（3）投标函及其附录（如果有）；</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（4）专用合同条款及其附件；</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（5）通用合同条款；</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（6）技术标准和要求 ；</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（7）图纸（含图纸修改通知单及图纸设计变更文件） ；</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（8）已标价工程量清单 ；</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（9）其他合同文件（包括本工程预算控制价造价成果文件、招标文件等文件）；</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建设工程工程量清单计价规范（GB5050-2013）》及其广西实施细则及《关于建筑业实施营业税改征增值税后广西壮族自治区建设工程计价依据调整的通知》（桂建标〔2016〕17号）、《建设工程工程量清单计算规范（</w:t>
      </w:r>
      <w:r>
        <w:rPr>
          <w:rFonts w:hint="eastAsia" w:ascii="宋体" w:hAnsi="宋体" w:eastAsia="宋体" w:cs="宋体"/>
          <w:color w:val="auto"/>
          <w:kern w:val="0"/>
          <w:sz w:val="21"/>
          <w:szCs w:val="21"/>
          <w:highlight w:val="none"/>
          <w:lang w:eastAsia="zh-CN"/>
        </w:rPr>
        <w:t>GB50854</w:t>
      </w:r>
      <w:r>
        <w:rPr>
          <w:rFonts w:hint="eastAsia" w:ascii="宋体" w:hAnsi="宋体" w:eastAsia="宋体" w:cs="宋体"/>
          <w:color w:val="auto"/>
          <w:kern w:val="0"/>
          <w:sz w:val="21"/>
          <w:szCs w:val="21"/>
          <w:highlight w:val="none"/>
        </w:rPr>
        <w:t>～50862-2013）》及其广西实施细则（修订本）。</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kern w:val="0"/>
          <w:sz w:val="21"/>
          <w:szCs w:val="21"/>
          <w:highlight w:val="none"/>
        </w:rPr>
      </w:pPr>
      <w:bookmarkStart w:id="336" w:name="_Toc256000177"/>
      <w:bookmarkStart w:id="337" w:name="_Toc12974"/>
      <w:bookmarkStart w:id="338" w:name="_Toc497746779"/>
      <w:bookmarkStart w:id="339" w:name="_Toc497747176"/>
      <w:bookmarkStart w:id="340" w:name="_Toc418752240"/>
      <w:bookmarkStart w:id="341" w:name="_Toc418751794"/>
      <w:bookmarkStart w:id="342" w:name="_Toc522201728"/>
      <w:bookmarkStart w:id="343" w:name="_Toc406522218"/>
      <w:r>
        <w:rPr>
          <w:rFonts w:hint="eastAsia" w:ascii="宋体" w:hAnsi="宋体" w:eastAsia="宋体" w:cs="宋体"/>
          <w:color w:val="auto"/>
          <w:kern w:val="0"/>
          <w:sz w:val="21"/>
          <w:szCs w:val="21"/>
          <w:highlight w:val="none"/>
        </w:rPr>
        <w:t>说明：（6）、（7）、（8）、（9）填空内容分别限于技术标准和要求、图纸、已标价工程量清单或预算书、其他合同文件四者之一，其优先顺序可根据采取的不同合同方式由双方约定。</w:t>
      </w:r>
      <w:bookmarkEnd w:id="336"/>
      <w:bookmarkEnd w:id="337"/>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344" w:name="_Toc256000178"/>
      <w:bookmarkStart w:id="345" w:name="_Toc31251"/>
      <w:r>
        <w:rPr>
          <w:rFonts w:hint="eastAsia" w:ascii="宋体" w:hAnsi="宋体" w:eastAsia="宋体" w:cs="宋体"/>
          <w:color w:val="auto"/>
          <w:sz w:val="21"/>
          <w:szCs w:val="21"/>
          <w:highlight w:val="none"/>
        </w:rPr>
        <w:t>1.6 图纸和承包人文件</w:t>
      </w:r>
      <w:bookmarkEnd w:id="338"/>
      <w:bookmarkEnd w:id="339"/>
      <w:bookmarkEnd w:id="340"/>
      <w:bookmarkEnd w:id="341"/>
      <w:bookmarkEnd w:id="342"/>
      <w:bookmarkEnd w:id="343"/>
      <w:bookmarkEnd w:id="344"/>
      <w:bookmarkEnd w:id="345"/>
      <w:r>
        <w:rPr>
          <w:rFonts w:hint="eastAsia" w:ascii="宋体" w:hAnsi="宋体" w:eastAsia="宋体" w:cs="宋体"/>
          <w:color w:val="auto"/>
          <w:sz w:val="21"/>
          <w:szCs w:val="21"/>
          <w:highlight w:val="none"/>
        </w:rPr>
        <w:tab/>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color w:val="auto"/>
          <w:sz w:val="21"/>
          <w:szCs w:val="21"/>
          <w:highlight w:val="none"/>
          <w:u w:val="single"/>
        </w:rPr>
        <w:t>合同签订生效后7天内</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color w:val="auto"/>
          <w:sz w:val="21"/>
          <w:szCs w:val="21"/>
          <w:highlight w:val="none"/>
          <w:u w:val="single"/>
        </w:rPr>
        <w:t>贰份，上述图纸及技术资料，未经监理工程师和发包人同意，承包人不得提供给与本工程无关的第三方。承包人需要增加图纸套数的，承包人自行复制，复制费用由承包人承担。</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color w:val="auto"/>
          <w:kern w:val="0"/>
          <w:sz w:val="21"/>
          <w:szCs w:val="21"/>
          <w:highlight w:val="none"/>
          <w:u w:val="single"/>
        </w:rPr>
        <w:t>经备案的全套施工图纸和其他技术资料</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rPr>
        <w:t>1、施工组织设计；2、工程进度计划；3、管理人员名单、职称、职务、上岗证等；4、安全文明施工措施；5、质量保证体系；6、每月25日前提供当月施工统计报表和下月进度计划各一份交监理工程师及发包人；7</w:t>
      </w:r>
      <w:r>
        <w:rPr>
          <w:rFonts w:hint="eastAsia" w:ascii="宋体" w:hAnsi="宋体" w:eastAsia="宋体" w:cs="宋体"/>
          <w:color w:val="auto"/>
          <w:sz w:val="21"/>
          <w:szCs w:val="21"/>
          <w:highlight w:val="none"/>
          <w:u w:val="single"/>
          <w:lang w:val="zh-CN"/>
        </w:rPr>
        <w:t>、</w:t>
      </w:r>
      <w:r>
        <w:rPr>
          <w:rFonts w:hint="eastAsia" w:ascii="宋体" w:hAnsi="宋体" w:eastAsia="宋体" w:cs="宋体"/>
          <w:color w:val="auto"/>
          <w:sz w:val="21"/>
          <w:szCs w:val="21"/>
          <w:highlight w:val="none"/>
          <w:u w:val="single"/>
        </w:rPr>
        <w:t>施工图以外的大样图、加工图、标准图、以及建筑装饰深化设计图纸设计优化建议等。但设计成果文件需经原设计单位审核及认可。最终设计成果归发包人所有。</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开始施工前7天内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rPr>
        <w:t xml:space="preserve">  6</w:t>
      </w:r>
      <w:r>
        <w:rPr>
          <w:rFonts w:hint="eastAsia" w:ascii="宋体" w:hAnsi="宋体" w:eastAsia="宋体" w:cs="宋体"/>
          <w:color w:val="auto"/>
          <w:kern w:val="0"/>
          <w:sz w:val="21"/>
          <w:szCs w:val="21"/>
          <w:highlight w:val="none"/>
          <w:u w:val="single"/>
        </w:rPr>
        <w:t>份</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纸质版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 w:val="21"/>
          <w:szCs w:val="21"/>
          <w:highlight w:val="none"/>
          <w:u w:val="single"/>
        </w:rPr>
        <w:t xml:space="preserve"> 收到承包人提供的文件后七天内 </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color w:val="auto"/>
          <w:sz w:val="21"/>
          <w:szCs w:val="21"/>
          <w:highlight w:val="none"/>
          <w:u w:val="single"/>
        </w:rPr>
        <w:t xml:space="preserve">  按通用条款执行</w:t>
      </w:r>
      <w:r>
        <w:rPr>
          <w:rFonts w:hint="eastAsia" w:ascii="宋体" w:hAnsi="宋体" w:eastAsia="宋体" w:cs="宋体"/>
          <w:color w:val="auto"/>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346" w:name="_Toc522201729"/>
      <w:bookmarkStart w:id="347" w:name="_Toc497747177"/>
      <w:bookmarkStart w:id="348" w:name="_Toc406522219"/>
      <w:bookmarkStart w:id="349" w:name="_Toc497746780"/>
      <w:bookmarkStart w:id="350" w:name="_Toc418752241"/>
      <w:bookmarkStart w:id="351" w:name="_Toc418751795"/>
      <w:bookmarkStart w:id="352" w:name="_Toc256000179"/>
      <w:bookmarkStart w:id="353" w:name="_Toc7126"/>
      <w:r>
        <w:rPr>
          <w:rFonts w:hint="eastAsia" w:ascii="宋体" w:hAnsi="宋体" w:eastAsia="宋体" w:cs="宋体"/>
          <w:color w:val="auto"/>
          <w:sz w:val="21"/>
          <w:szCs w:val="21"/>
          <w:highlight w:val="none"/>
        </w:rPr>
        <w:t>1.7 联络</w:t>
      </w:r>
      <w:bookmarkEnd w:id="346"/>
      <w:bookmarkEnd w:id="347"/>
      <w:bookmarkEnd w:id="348"/>
      <w:bookmarkEnd w:id="349"/>
      <w:bookmarkEnd w:id="350"/>
      <w:bookmarkEnd w:id="351"/>
      <w:bookmarkEnd w:id="352"/>
      <w:bookmarkEnd w:id="353"/>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1.7.1发包人和承包人应当在</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天内将与合同有关的通知、批准、证明、证书、指示、指令、要求、请求、同意、意见、确定和决定等书面函件送达对方当事人。</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1.7.2发包人接收文件的地点：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施工现场项目部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354" w:name="_Toc522201730"/>
      <w:bookmarkStart w:id="355" w:name="_Toc406522220"/>
      <w:bookmarkStart w:id="356" w:name="_Toc418752242"/>
      <w:bookmarkStart w:id="357" w:name="_Toc497746781"/>
      <w:bookmarkStart w:id="358" w:name="_Toc497747178"/>
      <w:bookmarkStart w:id="359" w:name="_Toc256000180"/>
      <w:bookmarkStart w:id="360" w:name="_Toc418751796"/>
      <w:bookmarkStart w:id="361" w:name="_Toc13159"/>
      <w:r>
        <w:rPr>
          <w:rFonts w:hint="eastAsia" w:ascii="宋体" w:hAnsi="宋体" w:eastAsia="宋体" w:cs="宋体"/>
          <w:color w:val="auto"/>
          <w:sz w:val="21"/>
          <w:szCs w:val="21"/>
          <w:highlight w:val="none"/>
        </w:rPr>
        <w:t>1.10 交通运输</w:t>
      </w:r>
      <w:bookmarkEnd w:id="354"/>
      <w:bookmarkEnd w:id="355"/>
      <w:bookmarkEnd w:id="356"/>
      <w:bookmarkEnd w:id="357"/>
      <w:bookmarkEnd w:id="358"/>
      <w:bookmarkEnd w:id="359"/>
      <w:bookmarkEnd w:id="360"/>
      <w:bookmarkEnd w:id="361"/>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362" w:name="_Toc303539100"/>
      <w:bookmarkStart w:id="363" w:name="_Toc318581155"/>
      <w:bookmarkStart w:id="364" w:name="_Toc312677986"/>
      <w:bookmarkStart w:id="365" w:name="_Toc300934943"/>
      <w:bookmarkStart w:id="366" w:name="_Toc304295521"/>
      <w:r>
        <w:rPr>
          <w:rFonts w:hint="eastAsia" w:ascii="宋体" w:hAnsi="宋体" w:eastAsia="宋体" w:cs="宋体"/>
          <w:color w:val="auto"/>
          <w:sz w:val="21"/>
          <w:szCs w:val="21"/>
          <w:highlight w:val="none"/>
        </w:rPr>
        <w:t>.10.1 出入现场的权利</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 xml:space="preserve"> 除正常施工涉及的人员及车辆外，其他人员及车辆进出场内须经过发包人同意，且由承包人进行管理登记 </w:t>
      </w:r>
      <w:r>
        <w:rPr>
          <w:rFonts w:hint="eastAsia" w:ascii="宋体" w:hAnsi="宋体" w:eastAsia="宋体" w:cs="宋体"/>
          <w:color w:val="auto"/>
          <w:sz w:val="21"/>
          <w:szCs w:val="21"/>
          <w:highlight w:val="none"/>
        </w:rPr>
        <w:t>。</w:t>
      </w:r>
    </w:p>
    <w:bookmarkEnd w:id="362"/>
    <w:bookmarkEnd w:id="363"/>
    <w:bookmarkEnd w:id="364"/>
    <w:bookmarkEnd w:id="365"/>
    <w:bookmarkEnd w:id="366"/>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367" w:name="_Toc300934944"/>
      <w:bookmarkStart w:id="368" w:name="_Toc312677987"/>
      <w:bookmarkStart w:id="369" w:name="_Toc318581156"/>
      <w:bookmarkStart w:id="370" w:name="_Toc304295522"/>
      <w:bookmarkStart w:id="371" w:name="_Toc303539101"/>
      <w:r>
        <w:rPr>
          <w:rFonts w:hint="eastAsia" w:ascii="宋体" w:hAnsi="宋体" w:eastAsia="宋体" w:cs="宋体"/>
          <w:color w:val="auto"/>
          <w:sz w:val="21"/>
          <w:szCs w:val="21"/>
          <w:highlight w:val="none"/>
        </w:rPr>
        <w:t>.10.3 场内交通</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关于场外交通和场内交通的边界的约定：</w:t>
      </w:r>
      <w:r>
        <w:rPr>
          <w:rFonts w:hint="eastAsia" w:ascii="宋体" w:hAnsi="宋体" w:eastAsia="宋体" w:cs="宋体"/>
          <w:color w:val="auto"/>
          <w:sz w:val="21"/>
          <w:szCs w:val="21"/>
          <w:highlight w:val="none"/>
          <w:u w:val="single"/>
        </w:rPr>
        <w:t xml:space="preserve">  规划批复总平用地红线  </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color w:val="auto"/>
          <w:sz w:val="21"/>
          <w:szCs w:val="21"/>
          <w:highlight w:val="none"/>
          <w:u w:val="single"/>
        </w:rPr>
        <w:t>承包人负责场内道路和交通设施的修建并承担相应费用</w:t>
      </w:r>
      <w:r>
        <w:rPr>
          <w:rFonts w:hint="eastAsia" w:ascii="宋体" w:hAnsi="宋体" w:eastAsia="宋体" w:cs="宋体"/>
          <w:color w:val="auto"/>
          <w:sz w:val="21"/>
          <w:szCs w:val="21"/>
          <w:highlight w:val="none"/>
        </w:rPr>
        <w:t>。</w:t>
      </w:r>
      <w:bookmarkEnd w:id="367"/>
      <w:bookmarkEnd w:id="368"/>
      <w:bookmarkEnd w:id="369"/>
      <w:bookmarkEnd w:id="370"/>
      <w:bookmarkEnd w:id="371"/>
      <w:r>
        <w:rPr>
          <w:rFonts w:hint="eastAsia" w:ascii="宋体" w:hAnsi="宋体" w:eastAsia="宋体" w:cs="宋体"/>
          <w:color w:val="auto"/>
          <w:sz w:val="21"/>
          <w:szCs w:val="21"/>
          <w:highlight w:val="none"/>
        </w:rPr>
        <w:t xml:space="preserve">  </w:t>
      </w:r>
      <w:bookmarkStart w:id="372" w:name="_Toc318581157"/>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rPr>
        <w:t>承包人</w:t>
      </w:r>
      <w:r>
        <w:rPr>
          <w:rFonts w:hint="eastAsia" w:ascii="宋体" w:hAnsi="宋体" w:eastAsia="宋体" w:cs="宋体"/>
          <w:color w:val="auto"/>
          <w:sz w:val="21"/>
          <w:szCs w:val="21"/>
          <w:highlight w:val="none"/>
        </w:rPr>
        <w:t>承担。</w:t>
      </w:r>
    </w:p>
    <w:bookmarkEnd w:id="372"/>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373" w:name="_Toc497746782"/>
      <w:bookmarkStart w:id="374" w:name="_Toc522201731"/>
      <w:bookmarkStart w:id="375" w:name="_Toc256000181"/>
      <w:bookmarkStart w:id="376" w:name="_Toc406522221"/>
      <w:bookmarkStart w:id="377" w:name="_Toc497747179"/>
      <w:bookmarkStart w:id="378" w:name="_Toc418752243"/>
      <w:bookmarkStart w:id="379" w:name="_Toc418751797"/>
      <w:bookmarkStart w:id="380" w:name="_Toc2066"/>
      <w:r>
        <w:rPr>
          <w:rFonts w:hint="eastAsia" w:ascii="宋体" w:hAnsi="宋体" w:eastAsia="宋体" w:cs="宋体"/>
          <w:color w:val="auto"/>
          <w:sz w:val="21"/>
          <w:szCs w:val="21"/>
          <w:highlight w:val="none"/>
        </w:rPr>
        <w:t>1.11 知识产权</w:t>
      </w:r>
      <w:bookmarkEnd w:id="373"/>
      <w:bookmarkEnd w:id="374"/>
      <w:bookmarkEnd w:id="375"/>
      <w:bookmarkEnd w:id="376"/>
      <w:bookmarkEnd w:id="377"/>
      <w:bookmarkEnd w:id="378"/>
      <w:bookmarkEnd w:id="379"/>
      <w:bookmarkEnd w:id="380"/>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highlight w:val="none"/>
          <w:u w:val="single"/>
        </w:rPr>
        <w:t>著作权属于发包人</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未经发包人同意，承包人不得为了合同以外的目的而复制、使用上述文件或将之提供给任何第三方</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color w:val="auto"/>
          <w:sz w:val="21"/>
          <w:szCs w:val="21"/>
          <w:highlight w:val="none"/>
          <w:u w:val="single"/>
        </w:rPr>
        <w:t>除署名以外著作权属于发包人</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color w:val="auto"/>
          <w:sz w:val="21"/>
          <w:szCs w:val="21"/>
          <w:highlight w:val="none"/>
          <w:u w:val="single"/>
        </w:rPr>
        <w:t>未经发包人同意，承包人不得为了合同以外的目的而复制、使用上述文件或将之提供给任何第三方</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color w:val="auto"/>
          <w:sz w:val="21"/>
          <w:szCs w:val="21"/>
          <w:highlight w:val="none"/>
          <w:u w:val="single"/>
        </w:rPr>
        <w:t>由承包人承担</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lang w:val="en-US" w:eastAsia="zh-CN"/>
        </w:rPr>
        <w:t>是，</w:t>
      </w:r>
      <w:r>
        <w:rPr>
          <w:rFonts w:hint="eastAsia" w:ascii="宋体" w:hAnsi="宋体" w:eastAsia="宋体" w:cs="宋体"/>
          <w:color w:val="auto"/>
          <w:sz w:val="21"/>
          <w:szCs w:val="21"/>
          <w:highlight w:val="none"/>
          <w:u w:val="single"/>
        </w:rPr>
        <w:t>按《建设工程工程量清单计价规范（GB5050-2013）》及其广西实施细则、《建设工程工程量清单计算规范（</w:t>
      </w:r>
      <w:r>
        <w:rPr>
          <w:rFonts w:hint="eastAsia" w:ascii="宋体" w:hAnsi="宋体" w:eastAsia="宋体" w:cs="宋体"/>
          <w:color w:val="auto"/>
          <w:sz w:val="21"/>
          <w:szCs w:val="21"/>
          <w:highlight w:val="none"/>
          <w:u w:val="single"/>
          <w:lang w:eastAsia="zh-CN"/>
        </w:rPr>
        <w:t>GB50854</w:t>
      </w:r>
      <w:r>
        <w:rPr>
          <w:rFonts w:hint="eastAsia" w:ascii="宋体" w:hAnsi="宋体" w:eastAsia="宋体" w:cs="宋体"/>
          <w:color w:val="auto"/>
          <w:sz w:val="21"/>
          <w:szCs w:val="21"/>
          <w:highlight w:val="none"/>
          <w:u w:val="single"/>
        </w:rPr>
        <w:t>～50862-2013）》及其广西实施细则（修订本）等规定。</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允许调整合同价格的工程量偏差范围： </w:t>
      </w:r>
      <w:r>
        <w:rPr>
          <w:rFonts w:hint="eastAsia" w:ascii="宋体" w:hAnsi="宋体" w:eastAsia="宋体" w:cs="宋体"/>
          <w:color w:val="auto"/>
          <w:sz w:val="21"/>
          <w:szCs w:val="21"/>
          <w:highlight w:val="none"/>
          <w:u w:val="single"/>
          <w:lang w:val="en-US" w:eastAsia="zh-CN"/>
        </w:rPr>
        <w:t>除严重不平衡报价外，分部分项工程量清单项目中工程量增减均不调整价格</w:t>
      </w:r>
      <w:r>
        <w:rPr>
          <w:rFonts w:hint="eastAsia" w:ascii="宋体" w:hAnsi="宋体" w:eastAsia="宋体" w:cs="宋体"/>
          <w:color w:val="auto"/>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381" w:name="_Toc497747180"/>
      <w:bookmarkStart w:id="382" w:name="_Toc418752244"/>
      <w:bookmarkStart w:id="383" w:name="_Toc497746783"/>
      <w:bookmarkStart w:id="384" w:name="_Toc418751798"/>
      <w:bookmarkStart w:id="385" w:name="_Toc522201732"/>
      <w:bookmarkStart w:id="386" w:name="_Toc351203634"/>
      <w:bookmarkStart w:id="387" w:name="_Toc406522222"/>
      <w:bookmarkStart w:id="388" w:name="_Toc256000182"/>
      <w:bookmarkStart w:id="389" w:name="_Toc16940"/>
      <w:r>
        <w:rPr>
          <w:rFonts w:hint="eastAsia" w:ascii="宋体" w:hAnsi="宋体" w:eastAsia="宋体" w:cs="宋体"/>
          <w:color w:val="auto"/>
          <w:sz w:val="21"/>
          <w:szCs w:val="21"/>
          <w:highlight w:val="none"/>
        </w:rPr>
        <w:t>2</w:t>
      </w:r>
      <w:bookmarkStart w:id="390" w:name="_Toc296944496"/>
      <w:bookmarkStart w:id="391" w:name="_Toc296346658"/>
      <w:bookmarkStart w:id="392" w:name="_Toc297048343"/>
      <w:bookmarkStart w:id="393" w:name="_Toc296503157"/>
      <w:bookmarkStart w:id="394" w:name="_Toc292559867"/>
      <w:bookmarkStart w:id="395" w:name="_Toc292559362"/>
      <w:bookmarkStart w:id="396" w:name="_Toc296891197"/>
      <w:bookmarkStart w:id="397" w:name="_Toc296347156"/>
      <w:bookmarkStart w:id="398" w:name="_Toc296890985"/>
      <w:bookmarkStart w:id="399" w:name="_Toc297120457"/>
      <w:r>
        <w:rPr>
          <w:rFonts w:hint="eastAsia" w:ascii="宋体" w:hAnsi="宋体" w:eastAsia="宋体" w:cs="宋体"/>
          <w:color w:val="auto"/>
          <w:sz w:val="21"/>
          <w:szCs w:val="21"/>
          <w:highlight w:val="none"/>
        </w:rPr>
        <w:t>. 发包人</w:t>
      </w:r>
      <w:bookmarkEnd w:id="381"/>
      <w:bookmarkEnd w:id="382"/>
      <w:bookmarkEnd w:id="383"/>
      <w:bookmarkEnd w:id="384"/>
      <w:bookmarkEnd w:id="385"/>
      <w:bookmarkEnd w:id="386"/>
      <w:bookmarkEnd w:id="387"/>
      <w:bookmarkEnd w:id="388"/>
      <w:bookmarkEnd w:id="389"/>
    </w:p>
    <w:bookmarkEnd w:id="390"/>
    <w:bookmarkEnd w:id="391"/>
    <w:bookmarkEnd w:id="392"/>
    <w:bookmarkEnd w:id="393"/>
    <w:bookmarkEnd w:id="394"/>
    <w:bookmarkEnd w:id="395"/>
    <w:bookmarkEnd w:id="396"/>
    <w:bookmarkEnd w:id="397"/>
    <w:bookmarkEnd w:id="398"/>
    <w:bookmarkEnd w:id="399"/>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400" w:name="_Toc406522223"/>
      <w:bookmarkStart w:id="401" w:name="_Toc522201733"/>
      <w:bookmarkStart w:id="402" w:name="_Toc418752245"/>
      <w:bookmarkStart w:id="403" w:name="_Toc256000183"/>
      <w:bookmarkStart w:id="404" w:name="_Toc418751799"/>
      <w:bookmarkStart w:id="405" w:name="_Toc497747181"/>
      <w:bookmarkStart w:id="406" w:name="_Toc497746784"/>
      <w:bookmarkStart w:id="407" w:name="_Toc3330"/>
      <w:r>
        <w:rPr>
          <w:rFonts w:hint="eastAsia" w:ascii="宋体" w:hAnsi="宋体" w:eastAsia="宋体" w:cs="宋体"/>
          <w:color w:val="auto"/>
          <w:sz w:val="21"/>
          <w:szCs w:val="21"/>
          <w:highlight w:val="none"/>
        </w:rPr>
        <w:t>2.2 发包人代表</w:t>
      </w:r>
      <w:bookmarkEnd w:id="400"/>
      <w:bookmarkEnd w:id="401"/>
      <w:bookmarkEnd w:id="402"/>
      <w:bookmarkEnd w:id="403"/>
      <w:bookmarkEnd w:id="404"/>
      <w:bookmarkEnd w:id="405"/>
      <w:bookmarkEnd w:id="406"/>
      <w:bookmarkEnd w:id="407"/>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 w:val="21"/>
          <w:szCs w:val="21"/>
          <w:highlight w:val="none"/>
          <w:u w:val="single"/>
        </w:rPr>
        <w:t>对工程进度、质量进行监督、办理中间交工工程验收手续，负责现场签证，解决由发包人授权处理的事宜</w:t>
      </w:r>
      <w:r>
        <w:rPr>
          <w:rFonts w:hint="eastAsia" w:ascii="宋体" w:hAnsi="宋体" w:eastAsia="宋体" w:cs="宋体"/>
          <w:color w:val="auto"/>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408" w:name="_Toc406522224"/>
      <w:bookmarkStart w:id="409" w:name="_Toc497747182"/>
      <w:bookmarkStart w:id="410" w:name="_Toc256000184"/>
      <w:bookmarkStart w:id="411" w:name="_Toc522201734"/>
      <w:bookmarkStart w:id="412" w:name="_Toc418752246"/>
      <w:bookmarkStart w:id="413" w:name="_Toc418751800"/>
      <w:bookmarkStart w:id="414" w:name="_Toc497746785"/>
      <w:bookmarkStart w:id="415" w:name="_Toc7366"/>
      <w:r>
        <w:rPr>
          <w:rFonts w:hint="eastAsia" w:ascii="宋体" w:hAnsi="宋体" w:eastAsia="宋体" w:cs="宋体"/>
          <w:color w:val="auto"/>
          <w:sz w:val="21"/>
          <w:szCs w:val="21"/>
          <w:highlight w:val="none"/>
        </w:rPr>
        <w:t>2.4 施工现场、施工条件和基础资料的提供</w:t>
      </w:r>
      <w:bookmarkEnd w:id="408"/>
      <w:bookmarkEnd w:id="409"/>
      <w:bookmarkEnd w:id="410"/>
      <w:bookmarkEnd w:id="411"/>
      <w:bookmarkEnd w:id="412"/>
      <w:bookmarkEnd w:id="413"/>
      <w:bookmarkEnd w:id="414"/>
      <w:bookmarkEnd w:id="415"/>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color w:val="auto"/>
          <w:sz w:val="21"/>
          <w:szCs w:val="21"/>
          <w:highlight w:val="none"/>
          <w:u w:val="single"/>
        </w:rPr>
        <w:t xml:space="preserve"> 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关于发包人应负责提供施工所需要的条件，包括：</w:t>
      </w:r>
      <w:r>
        <w:rPr>
          <w:rFonts w:hint="eastAsia" w:ascii="宋体" w:hAnsi="宋体" w:eastAsia="宋体" w:cs="宋体"/>
          <w:color w:val="auto"/>
          <w:sz w:val="21"/>
          <w:szCs w:val="21"/>
          <w:highlight w:val="none"/>
          <w:u w:val="single"/>
        </w:rPr>
        <w:t>发包人可配合承包人办理开工所需手续及相关申请，费用由承包人自行解决，施工场地与公共道路的通道，由承包人负责实施，费用已包含在合同价中</w:t>
      </w:r>
      <w:r>
        <w:rPr>
          <w:rFonts w:hint="eastAsia" w:ascii="宋体" w:hAnsi="宋体" w:eastAsia="宋体" w:cs="宋体"/>
          <w:color w:val="auto"/>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416" w:name="_Toc256000185"/>
      <w:bookmarkStart w:id="417" w:name="_Toc497747183"/>
      <w:bookmarkStart w:id="418" w:name="_Toc418751801"/>
      <w:bookmarkStart w:id="419" w:name="_Toc406522225"/>
      <w:bookmarkStart w:id="420" w:name="_Toc497746786"/>
      <w:bookmarkStart w:id="421" w:name="_Toc418752247"/>
      <w:bookmarkStart w:id="422" w:name="_Toc522201735"/>
      <w:bookmarkStart w:id="423" w:name="_Toc18837"/>
      <w:r>
        <w:rPr>
          <w:rFonts w:hint="eastAsia" w:ascii="宋体" w:hAnsi="宋体" w:eastAsia="宋体" w:cs="宋体"/>
          <w:color w:val="auto"/>
          <w:sz w:val="21"/>
          <w:szCs w:val="21"/>
          <w:highlight w:val="none"/>
        </w:rPr>
        <w:t>2.5 资金来源证明及支付担保</w:t>
      </w:r>
      <w:bookmarkEnd w:id="416"/>
      <w:bookmarkEnd w:id="417"/>
      <w:bookmarkEnd w:id="418"/>
      <w:bookmarkEnd w:id="419"/>
      <w:bookmarkEnd w:id="420"/>
      <w:bookmarkEnd w:id="421"/>
      <w:bookmarkEnd w:id="422"/>
      <w:bookmarkEnd w:id="423"/>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color w:val="auto"/>
          <w:sz w:val="21"/>
          <w:szCs w:val="21"/>
          <w:highlight w:val="none"/>
          <w:u w:val="single"/>
        </w:rPr>
        <w:t xml:space="preserve">    否　　　   </w:t>
      </w:r>
      <w:r>
        <w:rPr>
          <w:rFonts w:hint="eastAsia" w:ascii="宋体" w:hAnsi="宋体" w:eastAsia="宋体" w:cs="宋体"/>
          <w:color w:val="auto"/>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424" w:name="_Toc497747184"/>
      <w:bookmarkStart w:id="425" w:name="_Toc418752248"/>
      <w:bookmarkStart w:id="426" w:name="_Toc497746787"/>
      <w:bookmarkStart w:id="427" w:name="_Toc418751802"/>
      <w:bookmarkStart w:id="428" w:name="_Toc522201736"/>
      <w:bookmarkStart w:id="429" w:name="_Toc406522226"/>
      <w:bookmarkStart w:id="430" w:name="_Toc351203635"/>
      <w:bookmarkStart w:id="431" w:name="_Toc256000186"/>
      <w:bookmarkStart w:id="432" w:name="_Toc26626"/>
      <w:r>
        <w:rPr>
          <w:rFonts w:hint="eastAsia" w:ascii="宋体" w:hAnsi="宋体" w:eastAsia="宋体" w:cs="宋体"/>
          <w:color w:val="auto"/>
          <w:sz w:val="21"/>
          <w:szCs w:val="21"/>
          <w:highlight w:val="none"/>
        </w:rPr>
        <w:t>3</w:t>
      </w:r>
      <w:bookmarkStart w:id="433" w:name="_Toc297048344"/>
      <w:bookmarkStart w:id="434" w:name="_Toc296944497"/>
      <w:bookmarkStart w:id="435" w:name="_Toc296347157"/>
      <w:bookmarkStart w:id="436" w:name="_Toc292559868"/>
      <w:bookmarkStart w:id="437" w:name="_Toc292559363"/>
      <w:bookmarkStart w:id="438" w:name="_Toc297120458"/>
      <w:bookmarkStart w:id="439" w:name="_Toc296346659"/>
      <w:bookmarkStart w:id="440" w:name="_Toc296503158"/>
      <w:bookmarkStart w:id="441" w:name="_Toc296891198"/>
      <w:bookmarkStart w:id="442" w:name="_Toc296890986"/>
      <w:r>
        <w:rPr>
          <w:rFonts w:hint="eastAsia" w:ascii="宋体" w:hAnsi="宋体" w:eastAsia="宋体" w:cs="宋体"/>
          <w:color w:val="auto"/>
          <w:sz w:val="21"/>
          <w:szCs w:val="21"/>
          <w:highlight w:val="none"/>
        </w:rPr>
        <w:t>. 承包人</w:t>
      </w:r>
      <w:bookmarkEnd w:id="424"/>
      <w:bookmarkEnd w:id="425"/>
      <w:bookmarkEnd w:id="426"/>
      <w:bookmarkEnd w:id="427"/>
      <w:bookmarkEnd w:id="428"/>
      <w:bookmarkEnd w:id="429"/>
      <w:bookmarkEnd w:id="430"/>
      <w:bookmarkEnd w:id="431"/>
      <w:bookmarkEnd w:id="432"/>
    </w:p>
    <w:bookmarkEnd w:id="433"/>
    <w:bookmarkEnd w:id="434"/>
    <w:bookmarkEnd w:id="435"/>
    <w:bookmarkEnd w:id="436"/>
    <w:bookmarkEnd w:id="437"/>
    <w:bookmarkEnd w:id="438"/>
    <w:bookmarkEnd w:id="439"/>
    <w:bookmarkEnd w:id="440"/>
    <w:bookmarkEnd w:id="441"/>
    <w:bookmarkEnd w:id="442"/>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443" w:name="_Toc497747185"/>
      <w:bookmarkStart w:id="444" w:name="_Toc256000187"/>
      <w:bookmarkStart w:id="445" w:name="_Toc497746788"/>
      <w:bookmarkStart w:id="446" w:name="_Toc522201737"/>
      <w:bookmarkStart w:id="447" w:name="_Toc406522227"/>
      <w:bookmarkStart w:id="448" w:name="_Toc418752249"/>
      <w:bookmarkStart w:id="449" w:name="_Toc418751803"/>
      <w:bookmarkStart w:id="450" w:name="_Toc12958"/>
      <w:r>
        <w:rPr>
          <w:rFonts w:hint="eastAsia" w:ascii="宋体" w:hAnsi="宋体" w:eastAsia="宋体" w:cs="宋体"/>
          <w:color w:val="auto"/>
          <w:sz w:val="21"/>
          <w:szCs w:val="21"/>
          <w:highlight w:val="none"/>
        </w:rPr>
        <w:t>3.1 承包人的一般义务</w:t>
      </w:r>
      <w:bookmarkEnd w:id="443"/>
      <w:bookmarkEnd w:id="444"/>
      <w:bookmarkEnd w:id="445"/>
      <w:bookmarkEnd w:id="446"/>
      <w:bookmarkEnd w:id="447"/>
      <w:bookmarkEnd w:id="448"/>
      <w:bookmarkEnd w:id="449"/>
      <w:bookmarkEnd w:id="450"/>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（9）</w:t>
      </w:r>
      <w:r>
        <w:rPr>
          <w:rFonts w:hint="eastAsia" w:ascii="宋体" w:hAnsi="宋体" w:eastAsia="宋体" w:cs="宋体"/>
          <w:color w:val="auto"/>
          <w:sz w:val="21"/>
          <w:szCs w:val="21"/>
          <w:highlight w:val="none"/>
        </w:rPr>
        <w:t>承包人提交的竣工资料的内容：</w:t>
      </w:r>
      <w:r>
        <w:rPr>
          <w:rFonts w:hint="eastAsia" w:ascii="宋体" w:hAnsi="宋体" w:eastAsia="宋体" w:cs="宋体"/>
          <w:color w:val="auto"/>
          <w:sz w:val="21"/>
          <w:szCs w:val="21"/>
          <w:highlight w:val="none"/>
          <w:u w:val="single"/>
        </w:rPr>
        <w:t>工程具备竣工验收条件，承包人按工程竣工验收有关规定，向发包人提交符合《建设工程文件归档整理规范》内容装订成册的完整竣工资料及竣工验收报告、工程竣工图</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color w:val="auto"/>
          <w:sz w:val="21"/>
          <w:szCs w:val="21"/>
          <w:highlight w:val="none"/>
          <w:u w:val="single"/>
        </w:rPr>
        <w:t xml:space="preserve">  承包人向发包人提交竣工档案份数为一式四份；备案资料一式两份；建设工程质量监督档案一式两份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承包人提交的竣工资料的费用承担：</w:t>
      </w:r>
      <w:r>
        <w:rPr>
          <w:rFonts w:hint="eastAsia" w:ascii="宋体" w:hAnsi="宋体" w:eastAsia="宋体" w:cs="宋体"/>
          <w:color w:val="auto"/>
          <w:sz w:val="21"/>
          <w:szCs w:val="21"/>
          <w:highlight w:val="none"/>
          <w:u w:val="single"/>
        </w:rPr>
        <w:t xml:space="preserve">  由承包人承担相关费用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承包人提交的竣工资料移交时间：</w:t>
      </w:r>
      <w:r>
        <w:rPr>
          <w:rFonts w:hint="eastAsia" w:ascii="宋体" w:hAnsi="宋体" w:eastAsia="宋体" w:cs="宋体"/>
          <w:color w:val="auto"/>
          <w:sz w:val="21"/>
          <w:szCs w:val="21"/>
          <w:highlight w:val="none"/>
          <w:u w:val="single"/>
        </w:rPr>
        <w:t xml:space="preserve">  工程竣工验收合格后30天内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color w:val="auto"/>
          <w:sz w:val="21"/>
          <w:szCs w:val="21"/>
          <w:highlight w:val="none"/>
          <w:u w:val="single"/>
        </w:rPr>
        <w:t>竣工档案（竣工档案的内容：施工单位竣工验收文件、施工文件、竣工图（按城市建设档案馆要求整理，相关费用由承包人承担）、备案资料（应由承包人提供的部分按</w:t>
      </w:r>
      <w:r>
        <w:rPr>
          <w:rFonts w:hint="eastAsia" w:ascii="宋体" w:hAnsi="宋体" w:eastAsia="宋体" w:cs="宋体"/>
          <w:color w:val="auto"/>
          <w:sz w:val="21"/>
          <w:szCs w:val="21"/>
          <w:highlight w:val="none"/>
          <w:u w:val="single"/>
          <w:lang w:val="en-US" w:eastAsia="zh-CN"/>
        </w:rPr>
        <w:t>兴安县</w:t>
      </w:r>
      <w:r>
        <w:rPr>
          <w:rFonts w:hint="eastAsia" w:ascii="宋体" w:hAnsi="宋体" w:eastAsia="宋体" w:cs="宋体"/>
          <w:color w:val="auto"/>
          <w:sz w:val="21"/>
          <w:szCs w:val="21"/>
          <w:highlight w:val="none"/>
          <w:u w:val="single"/>
        </w:rPr>
        <w:t>住建局要求整理）、建设工程质量监督档案（应由承包人提供的部分按</w:t>
      </w:r>
      <w:r>
        <w:rPr>
          <w:rFonts w:hint="eastAsia" w:ascii="宋体" w:hAnsi="宋体" w:eastAsia="宋体" w:cs="宋体"/>
          <w:color w:val="auto"/>
          <w:sz w:val="21"/>
          <w:szCs w:val="21"/>
          <w:highlight w:val="none"/>
          <w:u w:val="single"/>
          <w:lang w:val="en-US" w:eastAsia="zh-CN"/>
        </w:rPr>
        <w:t>兴安县</w:t>
      </w:r>
      <w:r>
        <w:rPr>
          <w:rFonts w:hint="eastAsia" w:ascii="宋体" w:hAnsi="宋体" w:eastAsia="宋体" w:cs="宋体"/>
          <w:color w:val="auto"/>
          <w:sz w:val="21"/>
          <w:szCs w:val="21"/>
          <w:highlight w:val="none"/>
          <w:u w:val="single"/>
        </w:rPr>
        <w:t>建设工程质量监督管理站要求整理）</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（10）承包人应履行的其他义务：</w:t>
      </w:r>
      <w:r>
        <w:rPr>
          <w:rFonts w:hint="eastAsia" w:ascii="宋体" w:hAnsi="宋体" w:eastAsia="宋体" w:cs="宋体"/>
          <w:color w:val="auto"/>
          <w:sz w:val="21"/>
          <w:szCs w:val="21"/>
          <w:highlight w:val="none"/>
          <w:u w:val="single"/>
        </w:rPr>
        <w:t>①施工用水、用电按表计量，费用由承包人承担，由承包人指派专人配合发包人的计量工作，水费及电费按发包人要求进行交付；单位工程内其他单位用水、用电由承包人与相关用水、用电单位协商解决。②本工程在施工过程中如存在多个施工单位同时作业时，承包人必须顾全大局、相互协作、密切配合，严格服从发包人和监理单位的协调指挥；承包人须积极协调解决施工过程中存在的各类问题，处理好与相邻施工单位的施工接口关系，否则，发包人有权要求承包人整改或另行指定其他单位来完成相关配合工作，其发生的费用从承包人的工程进度款中扣除，且并不需要承包人同意。承包人应始终采取各种合理的预防措施，对于存在的问题及时反映，对于需要发包人协调解决的问题，要提前提出，否则，由此所造成的损失由承包人承担 。③承包人负责办理施工有关的交通特别通告证、有害污水、环卫、环保和噪音等审批手续，并承担费用，如因承包人未交纳相关费用，发包人有权从工程款中扣除用于支付相关费用并计入结算。承包人负责对施工场地内的化石、文物具有保护责任，</w:t>
      </w:r>
      <w:r>
        <w:rPr>
          <w:rFonts w:hint="eastAsia" w:ascii="宋体" w:hAnsi="宋体" w:eastAsia="宋体" w:cs="宋体"/>
          <w:color w:val="auto"/>
          <w:sz w:val="21"/>
          <w:szCs w:val="21"/>
          <w:highlight w:val="none"/>
          <w:u w:val="single"/>
          <w:lang w:val="en-US" w:eastAsia="zh-CN"/>
        </w:rPr>
        <w:t>采取的保护措施产生的费用由发包人</w:t>
      </w:r>
      <w:r>
        <w:rPr>
          <w:rFonts w:hint="eastAsia" w:ascii="宋体" w:hAnsi="宋体" w:eastAsia="宋体" w:cs="宋体"/>
          <w:color w:val="auto"/>
          <w:sz w:val="21"/>
          <w:szCs w:val="21"/>
          <w:highlight w:val="none"/>
          <w:u w:val="single"/>
        </w:rPr>
        <w:t>承担。承包人负责满足施工期间政府职能部门对工地消防设施有关要求，并承担相关费用。④承包人应负责协调解决本项目当地居民对工程施工的人为干扰，施工机械进出、材料运输如需通过村道及村民土地；承包人应当协调与施工现场周边农村及村民的关系，确保项目施工顺利进行</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如因施工原因造成损失，由承包人</w:t>
      </w:r>
      <w:r>
        <w:rPr>
          <w:rFonts w:hint="eastAsia" w:ascii="宋体" w:hAnsi="宋体" w:eastAsia="宋体" w:cs="宋体"/>
          <w:color w:val="auto"/>
          <w:sz w:val="21"/>
          <w:szCs w:val="21"/>
          <w:highlight w:val="none"/>
          <w:u w:val="single"/>
        </w:rPr>
        <w:t>承担相关费用，</w:t>
      </w:r>
      <w:r>
        <w:rPr>
          <w:rFonts w:hint="eastAsia" w:ascii="宋体" w:hAnsi="宋体" w:eastAsia="宋体" w:cs="宋体"/>
          <w:color w:val="auto"/>
          <w:sz w:val="21"/>
          <w:szCs w:val="21"/>
          <w:highlight w:val="none"/>
          <w:u w:val="single"/>
          <w:lang w:val="en-US" w:eastAsia="zh-CN"/>
        </w:rPr>
        <w:t>除此之外产生的费用，不由承包人承担</w:t>
      </w:r>
      <w:r>
        <w:rPr>
          <w:rFonts w:hint="eastAsia" w:ascii="宋体" w:hAnsi="宋体" w:eastAsia="宋体" w:cs="宋体"/>
          <w:color w:val="auto"/>
          <w:sz w:val="21"/>
          <w:szCs w:val="21"/>
          <w:highlight w:val="none"/>
          <w:u w:val="single"/>
        </w:rPr>
        <w:t>。⑤承包人应始终采取各种合理的预防措施，防止承包人员或其内部发生任何非法的、骚动的或无序的行为，以保持安定，保护现场及第三人的财产和人身安全。⑥为发包人和监理人在施工现场提供必要的办公室和办公桌椅等设备。⑦按建设行政主管部门有关规定配合发包人其他工程的施工等。⑧施工期间和施工完毕后，均应及时对施工场地和为其施工提供的公共道路进行保洁、维护以及维修，产生的垃圾和被破坏的场地，必须遵照监理人和发包人的指示进行清理、修复，并根据实际情况将场地恢复到原有状态，费用自理。⑨由于本工程施工现场为居民区，承包人应合理安排施工时间，确保做到不影响周边居民的正常生活，对居民的合理意见应积极整改，确保工程顺利进行。⑩配合发包人做好安全文明工程、领导检查、宣传等工作。以上相关费用均由承包人承担，并在投标报价清单中综合考虑，不再另计。⑪承包人在工程施工期间由于承包人原因引起的责任事故，全部由承包人承担经济责任和法律责任。⑫满足国家、行业、控制标准和验收规范，在质量管理过程中达到或超过质量标准，杜绝重大设备一般及以上质量事故，确保工程无永久性缺陷。</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451" w:name="_Toc256000188"/>
      <w:bookmarkStart w:id="452" w:name="_Toc403578942"/>
      <w:bookmarkStart w:id="453" w:name="_Toc373478355"/>
      <w:bookmarkStart w:id="454" w:name="_Toc418518118"/>
      <w:bookmarkStart w:id="455" w:name="_Toc418061319"/>
      <w:bookmarkStart w:id="456" w:name="_Toc418752250"/>
      <w:bookmarkStart w:id="457" w:name="_Toc497747186"/>
      <w:bookmarkStart w:id="458" w:name="_Toc373227708"/>
      <w:bookmarkStart w:id="459" w:name="_Toc418518354"/>
      <w:bookmarkStart w:id="460" w:name="_Toc497746789"/>
      <w:bookmarkStart w:id="461" w:name="_Toc418751804"/>
      <w:bookmarkStart w:id="462" w:name="_Toc389065274"/>
      <w:bookmarkStart w:id="463" w:name="_Toc522201738"/>
      <w:bookmarkStart w:id="464" w:name="_Toc25559"/>
      <w:r>
        <w:rPr>
          <w:rFonts w:hint="eastAsia" w:ascii="宋体" w:hAnsi="宋体" w:eastAsia="宋体" w:cs="宋体"/>
          <w:color w:val="auto"/>
          <w:sz w:val="21"/>
          <w:szCs w:val="21"/>
          <w:highlight w:val="none"/>
        </w:rPr>
        <w:t>3.2 项目经理</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3.2.1 </w:t>
      </w:r>
      <w:r>
        <w:rPr>
          <w:rFonts w:hint="eastAsia" w:ascii="宋体" w:hAnsi="宋体" w:eastAsia="宋体" w:cs="宋体"/>
          <w:color w:val="auto"/>
          <w:sz w:val="21"/>
          <w:szCs w:val="21"/>
          <w:highlight w:val="none"/>
        </w:rPr>
        <w:t>项目经理：</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建造师执业资格等级：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承包人对项目经理的授权范围如下： </w:t>
      </w:r>
      <w:r>
        <w:rPr>
          <w:rFonts w:hint="eastAsia" w:ascii="宋体" w:hAnsi="宋体" w:eastAsia="宋体" w:cs="宋体"/>
          <w:color w:val="auto"/>
          <w:sz w:val="21"/>
          <w:szCs w:val="21"/>
          <w:highlight w:val="none"/>
          <w:u w:val="single"/>
        </w:rPr>
        <w:t>（1）对本工程的建设进行全面管理，行使合同约定的权利，履行合同约定的义务；（2）负责本工程的施工组织方案制定和施工组织设计；（3）负责本工程的劳动力组织和机械设备组织；（4）经发包人同意分包的专业工程，项目经理参与选择并使用具有相应资质的分包人； （5）合同约定由承包人采购的材料、工程设备，项目经理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令。但未经承包人盖章同意不得以承包人名义向外融资、 采购材料设备、 租用建筑周转材料、 雇佣劳动力、签订分包合同等从事一切为承包人设立义务或责任的行为</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关于项目经理每月在施工现场的时间要求：</w:t>
      </w:r>
      <w:r>
        <w:rPr>
          <w:rFonts w:hint="eastAsia" w:ascii="宋体" w:hAnsi="宋体" w:eastAsia="宋体" w:cs="宋体"/>
          <w:color w:val="auto"/>
          <w:sz w:val="21"/>
          <w:szCs w:val="21"/>
          <w:highlight w:val="none"/>
          <w:u w:val="single"/>
        </w:rPr>
        <w:t xml:space="preserve">  不少于22个工作日,若项目经理每月在岗时间少于22个工作日，发包人有权更换项目经理，由此造成的一切损失由承包人承担</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承包人未提交劳动合同，以及没有为项目经理缴纳社会保险证明的违约责任：</w:t>
      </w:r>
      <w:r>
        <w:rPr>
          <w:rFonts w:hint="eastAsia" w:ascii="宋体" w:hAnsi="宋体" w:eastAsia="宋体" w:cs="宋体"/>
          <w:color w:val="auto"/>
          <w:sz w:val="21"/>
          <w:szCs w:val="21"/>
          <w:highlight w:val="none"/>
          <w:u w:val="single"/>
        </w:rPr>
        <w:t>承包人不提交上述文件的，项目经理无权履行职责，发包人有权要求更换项目经理，由此增加的费用和延误的工期由承包人承担</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项目经理未经批准，擅自离开施工现场的违约责任：</w:t>
      </w:r>
      <w:r>
        <w:rPr>
          <w:rFonts w:hint="eastAsia" w:ascii="宋体" w:hAnsi="宋体" w:eastAsia="宋体" w:cs="宋体"/>
          <w:color w:val="auto"/>
          <w:sz w:val="21"/>
          <w:szCs w:val="21"/>
          <w:highlight w:val="none"/>
          <w:u w:val="single"/>
        </w:rPr>
        <w:t>项目经理每月在岗带班时间不得少于22天。未经发包人同意或正当理由，项目经理每月在岗带班时间少于22天的，少在岗带班一天，发包人有权处违约金 500元/日（人民币）</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 承包人擅自更换项目经理的违约责任：</w:t>
      </w:r>
      <w:r>
        <w:rPr>
          <w:rFonts w:hint="eastAsia" w:ascii="宋体" w:hAnsi="宋体" w:eastAsia="宋体" w:cs="宋体"/>
          <w:color w:val="auto"/>
          <w:sz w:val="21"/>
          <w:szCs w:val="21"/>
          <w:highlight w:val="none"/>
          <w:u w:val="single"/>
        </w:rPr>
        <w:t>承包人项目经理必须与承包人投标时所承诺的人员一致，并在（开工日期）前到任。在监理人向承包人颁发（竣工证明材料名称）前，项目经理不得同时兼任其他任何项目的项目经理（符合桂建管﹝2013﹞17号和桂建管﹝2014﹞25号文除外）。未经发包人书面同意，承包人擅自更换项目经理的视为违约，违约金处10000元/人•次（人民币）</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承包人无正当理由拒绝更换项目经理的违约责任：</w:t>
      </w:r>
      <w:r>
        <w:rPr>
          <w:rFonts w:hint="eastAsia" w:ascii="宋体" w:hAnsi="宋体" w:eastAsia="宋体" w:cs="宋体"/>
          <w:color w:val="auto"/>
          <w:sz w:val="21"/>
          <w:szCs w:val="21"/>
          <w:highlight w:val="none"/>
          <w:u w:val="single"/>
        </w:rPr>
        <w:t>因承包人项目经理不称职，发包人要求调换而未及时调换的，视为承包人违约，必须向发包人交纳处罚金5000元/人•次（人民币）</w:t>
      </w:r>
      <w:r>
        <w:rPr>
          <w:rFonts w:hint="eastAsia" w:ascii="宋体" w:hAnsi="宋体" w:eastAsia="宋体" w:cs="宋体"/>
          <w:color w:val="auto"/>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465" w:name="_Toc389065275"/>
      <w:bookmarkStart w:id="466" w:name="_Toc403578943"/>
      <w:bookmarkStart w:id="467" w:name="_Toc418752251"/>
      <w:bookmarkStart w:id="468" w:name="_Toc418518119"/>
      <w:bookmarkStart w:id="469" w:name="_Toc418518355"/>
      <w:bookmarkStart w:id="470" w:name="_Toc418751805"/>
      <w:bookmarkStart w:id="471" w:name="_Toc497747187"/>
      <w:bookmarkStart w:id="472" w:name="_Toc373227709"/>
      <w:bookmarkStart w:id="473" w:name="_Toc418061320"/>
      <w:bookmarkStart w:id="474" w:name="_Toc497746790"/>
      <w:bookmarkStart w:id="475" w:name="_Toc256000189"/>
      <w:bookmarkStart w:id="476" w:name="_Toc373478356"/>
      <w:bookmarkStart w:id="477" w:name="_Toc522201739"/>
      <w:bookmarkStart w:id="478" w:name="_Toc21748"/>
      <w:r>
        <w:rPr>
          <w:rFonts w:hint="eastAsia" w:ascii="宋体" w:hAnsi="宋体" w:eastAsia="宋体" w:cs="宋体"/>
          <w:color w:val="auto"/>
          <w:sz w:val="21"/>
          <w:szCs w:val="21"/>
          <w:highlight w:val="none"/>
        </w:rPr>
        <w:t>3.3 承包人人员</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承包人提交项目管理机构及施工现场管理人员安排报告（格式见合同附件6）的期限：</w:t>
      </w:r>
      <w:r>
        <w:rPr>
          <w:rFonts w:hint="eastAsia" w:ascii="宋体" w:hAnsi="宋体" w:eastAsia="宋体" w:cs="宋体"/>
          <w:color w:val="auto"/>
          <w:sz w:val="21"/>
          <w:szCs w:val="21"/>
          <w:highlight w:val="none"/>
          <w:u w:val="single"/>
        </w:rPr>
        <w:t>开工前7日内</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color w:val="auto"/>
          <w:sz w:val="21"/>
          <w:szCs w:val="21"/>
          <w:highlight w:val="none"/>
          <w:u w:val="single"/>
        </w:rPr>
        <w:t>因承包人主要施工管理人员不称职，发包人要求调换而无正当理由拒绝撤换或未及时调换的，视为承包人违约，必须向发包人交纳处罚金，处罚标准：技术负责人3000元/人•次（人民币）；专业工程师1000元/人•次（人民币）</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color w:val="auto"/>
          <w:sz w:val="21"/>
          <w:szCs w:val="21"/>
          <w:highlight w:val="none"/>
          <w:u w:val="single"/>
        </w:rPr>
        <w:t>经建设单位及监理单位批准同意后</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 承包人擅自更换主要施工管理人员的违约责任：</w:t>
      </w:r>
      <w:r>
        <w:rPr>
          <w:rFonts w:hint="eastAsia" w:ascii="宋体" w:hAnsi="宋体" w:eastAsia="宋体" w:cs="宋体"/>
          <w:color w:val="auto"/>
          <w:sz w:val="21"/>
          <w:szCs w:val="21"/>
          <w:highlight w:val="none"/>
          <w:u w:val="single"/>
        </w:rPr>
        <w:t>项目技术负责人、专职安全员及其承诺的其它在场管理人员未经发包人书面同意不准擅自更换，擅自更换项目技术负责人处 3000元/人•次（人民币）违约金；擅自更换专职安全员处1000元/人•次（人民币）违约金；擅自更换其它在场管理人员处500元/人•次（人民币）违约金</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color w:val="auto"/>
          <w:sz w:val="21"/>
          <w:szCs w:val="21"/>
          <w:highlight w:val="none"/>
          <w:u w:val="single"/>
        </w:rPr>
        <w:t>未经发包人同意，项目技术负责人擅自离岗的，视为承包人违约，发包人有权处违约金500元/人•次（人民币）；未经发包人同意，专职安全员擅自离岗的，视为承包人违约，发包人有权处违约金500元/人•次（人民币）；其它在场管理人员擅自离岗的，视为承包人违约，发包人有权处违约金300元/人•次（人民币）</w:t>
      </w:r>
      <w:r>
        <w:rPr>
          <w:rFonts w:hint="eastAsia" w:ascii="宋体" w:hAnsi="宋体" w:eastAsia="宋体" w:cs="宋体"/>
          <w:color w:val="auto"/>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479" w:name="_Toc256000190"/>
      <w:bookmarkStart w:id="480" w:name="_Toc403578944"/>
      <w:bookmarkStart w:id="481" w:name="_Toc418752252"/>
      <w:bookmarkStart w:id="482" w:name="_Toc418751806"/>
      <w:bookmarkStart w:id="483" w:name="_Toc522201740"/>
      <w:bookmarkStart w:id="484" w:name="_Toc497747188"/>
      <w:bookmarkStart w:id="485" w:name="_Toc373227710"/>
      <w:bookmarkStart w:id="486" w:name="_Toc418518356"/>
      <w:bookmarkStart w:id="487" w:name="_Toc389065276"/>
      <w:bookmarkStart w:id="488" w:name="_Toc418518120"/>
      <w:bookmarkStart w:id="489" w:name="_Toc373478357"/>
      <w:bookmarkStart w:id="490" w:name="_Toc497746791"/>
      <w:bookmarkStart w:id="491" w:name="_Toc418061321"/>
      <w:bookmarkStart w:id="492" w:name="_Toc2932"/>
      <w:r>
        <w:rPr>
          <w:rFonts w:hint="eastAsia" w:ascii="宋体" w:hAnsi="宋体" w:eastAsia="宋体" w:cs="宋体"/>
          <w:color w:val="auto"/>
          <w:sz w:val="21"/>
          <w:szCs w:val="21"/>
          <w:highlight w:val="none"/>
        </w:rPr>
        <w:t>3</w:t>
      </w:r>
      <w:bookmarkStart w:id="493" w:name="_Toc297048345"/>
      <w:bookmarkStart w:id="494" w:name="_Toc297123492"/>
      <w:bookmarkStart w:id="495" w:name="_Toc296346660"/>
      <w:bookmarkStart w:id="496" w:name="_Toc296347158"/>
      <w:bookmarkStart w:id="497" w:name="_Toc296944498"/>
      <w:bookmarkStart w:id="498" w:name="_Toc296891199"/>
      <w:bookmarkStart w:id="499" w:name="_Toc297120459"/>
      <w:bookmarkStart w:id="500" w:name="_Toc296503159"/>
      <w:bookmarkStart w:id="501" w:name="_Toc297216151"/>
      <w:bookmarkStart w:id="502" w:name="_Toc296890987"/>
      <w:bookmarkStart w:id="503" w:name="_Toc292559364"/>
      <w:bookmarkStart w:id="504" w:name="_Toc304295523"/>
      <w:bookmarkStart w:id="505" w:name="_Toc300934945"/>
      <w:bookmarkStart w:id="506" w:name="_Toc292559869"/>
      <w:bookmarkStart w:id="507" w:name="_Toc303539102"/>
      <w:bookmarkStart w:id="508" w:name="_Toc312677988"/>
      <w:r>
        <w:rPr>
          <w:rFonts w:hint="eastAsia" w:ascii="宋体" w:hAnsi="宋体" w:eastAsia="宋体" w:cs="宋体"/>
          <w:color w:val="auto"/>
          <w:sz w:val="21"/>
          <w:szCs w:val="21"/>
          <w:highlight w:val="none"/>
        </w:rPr>
        <w:t>.5 分包</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509" w:name="_Toc296347159"/>
      <w:bookmarkStart w:id="510" w:name="_Toc300934946"/>
      <w:bookmarkStart w:id="511" w:name="_Toc296890988"/>
      <w:bookmarkStart w:id="512" w:name="_Toc303539103"/>
      <w:bookmarkStart w:id="513" w:name="_Toc304295524"/>
      <w:bookmarkStart w:id="514" w:name="_Toc297120460"/>
      <w:bookmarkStart w:id="515" w:name="_Toc297048346"/>
      <w:bookmarkStart w:id="516" w:name="_Toc296944499"/>
      <w:bookmarkStart w:id="517" w:name="_Toc292559365"/>
      <w:bookmarkStart w:id="518" w:name="_Toc292559870"/>
      <w:bookmarkStart w:id="519" w:name="_Toc297123493"/>
      <w:bookmarkStart w:id="520" w:name="_Toc296346661"/>
      <w:bookmarkStart w:id="521" w:name="_Toc318581158"/>
      <w:bookmarkStart w:id="522" w:name="_Toc297216152"/>
      <w:bookmarkStart w:id="523" w:name="_Toc312677989"/>
      <w:bookmarkStart w:id="524" w:name="_Toc296891200"/>
      <w:bookmarkStart w:id="525" w:name="_Toc296503160"/>
      <w:r>
        <w:rPr>
          <w:rFonts w:hint="eastAsia" w:ascii="宋体" w:hAnsi="宋体" w:eastAsia="宋体" w:cs="宋体"/>
          <w:color w:val="auto"/>
          <w:sz w:val="21"/>
          <w:szCs w:val="21"/>
          <w:highlight w:val="none"/>
        </w:rPr>
        <w:t>.5.1 分包的一般约定</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w:t>
      </w:r>
      <w:r>
        <w:rPr>
          <w:rFonts w:hint="eastAsia" w:ascii="宋体" w:hAnsi="宋体" w:eastAsia="宋体" w:cs="宋体"/>
          <w:color w:val="auto"/>
          <w:sz w:val="21"/>
          <w:szCs w:val="21"/>
          <w:highlight w:val="none"/>
          <w:u w:val="single"/>
        </w:rPr>
        <w:t xml:space="preserve">除劳务工程外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主体结构、关键性工作的范围：</w:t>
      </w:r>
      <w:r>
        <w:rPr>
          <w:rFonts w:hint="eastAsia" w:ascii="宋体" w:hAnsi="宋体" w:eastAsia="宋体" w:cs="宋体"/>
          <w:color w:val="auto"/>
          <w:sz w:val="21"/>
          <w:szCs w:val="21"/>
          <w:highlight w:val="none"/>
          <w:u w:val="single"/>
        </w:rPr>
        <w:t xml:space="preserve">禁止分包  </w:t>
      </w:r>
      <w:r>
        <w:rPr>
          <w:rFonts w:hint="eastAsia" w:ascii="宋体" w:hAnsi="宋体" w:eastAsia="宋体" w:cs="宋体"/>
          <w:color w:val="auto"/>
          <w:sz w:val="21"/>
          <w:szCs w:val="21"/>
          <w:highlight w:val="none"/>
        </w:rPr>
        <w:t>。</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526" w:name="_Toc318581159"/>
      <w:bookmarkStart w:id="527" w:name="_Toc312677990"/>
      <w:r>
        <w:rPr>
          <w:rFonts w:hint="eastAsia" w:ascii="宋体" w:hAnsi="宋体" w:eastAsia="宋体" w:cs="宋体"/>
          <w:color w:val="auto"/>
          <w:sz w:val="21"/>
          <w:szCs w:val="21"/>
          <w:highlight w:val="none"/>
        </w:rPr>
        <w:t>.5.2 分包的确定</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允许分包的专业工程包括：</w:t>
      </w:r>
      <w:r>
        <w:rPr>
          <w:rFonts w:hint="eastAsia" w:ascii="宋体" w:hAnsi="宋体" w:eastAsia="宋体" w:cs="宋体"/>
          <w:color w:val="auto"/>
          <w:sz w:val="21"/>
          <w:szCs w:val="21"/>
          <w:highlight w:val="none"/>
          <w:u w:val="single"/>
        </w:rPr>
        <w:t xml:space="preserve">劳务工程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其他关于分包的约定：</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7。</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（2）在相关分包合同签订并报送有关建设行政主管部门备案后7天内，承包人应当将一份副本提交给监理人，承包人应保障分包工作不得再次分包。</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（3）未经承包人和监理人审批同意的分包工程和分包人，承包人有权拒绝验收分包工程和支付相应款项，由此引起的发包人费用增加和(或)延误的工期由发包人承担。</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3.5.4 分包合同价款 </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关于分包合同价款支付的约定：</w:t>
      </w:r>
      <w:r>
        <w:rPr>
          <w:rFonts w:hint="eastAsia" w:ascii="宋体" w:hAnsi="宋体" w:eastAsia="宋体" w:cs="宋体"/>
          <w:color w:val="auto"/>
          <w:sz w:val="21"/>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bookmarkEnd w:id="526"/>
    <w:bookmarkEnd w:id="527"/>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528" w:name="_Toc497746792"/>
      <w:bookmarkStart w:id="529" w:name="_Toc418518121"/>
      <w:bookmarkStart w:id="530" w:name="_Toc418751807"/>
      <w:bookmarkStart w:id="531" w:name="_Toc256000191"/>
      <w:bookmarkStart w:id="532" w:name="_Toc522201741"/>
      <w:bookmarkStart w:id="533" w:name="_Toc418752253"/>
      <w:bookmarkStart w:id="534" w:name="_Toc389065277"/>
      <w:bookmarkStart w:id="535" w:name="_Toc497747189"/>
      <w:bookmarkStart w:id="536" w:name="_Toc418061322"/>
      <w:bookmarkStart w:id="537" w:name="_Toc373227711"/>
      <w:bookmarkStart w:id="538" w:name="_Toc418518357"/>
      <w:bookmarkStart w:id="539" w:name="_Toc403578945"/>
      <w:bookmarkStart w:id="540" w:name="_Toc373478358"/>
      <w:bookmarkStart w:id="541" w:name="_Toc16862"/>
      <w:r>
        <w:rPr>
          <w:rFonts w:hint="eastAsia" w:ascii="宋体" w:hAnsi="宋体" w:eastAsia="宋体" w:cs="宋体"/>
          <w:color w:val="auto"/>
          <w:sz w:val="21"/>
          <w:szCs w:val="21"/>
          <w:highlight w:val="none"/>
        </w:rPr>
        <w:t>3.6 工程照管与成品、半成品保护</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承包人负责照管工程及工程相关的材料、工程设备的起始时间：</w:t>
      </w:r>
      <w:r>
        <w:rPr>
          <w:rFonts w:hint="eastAsia" w:ascii="宋体" w:hAnsi="宋体" w:eastAsia="宋体" w:cs="宋体"/>
          <w:color w:val="auto"/>
          <w:sz w:val="21"/>
          <w:szCs w:val="21"/>
          <w:highlight w:val="none"/>
          <w:u w:val="single"/>
        </w:rPr>
        <w:t>自发包人向承包人移交施工现场之日起，到颁发工程接收证书之日止</w:t>
      </w:r>
      <w:r>
        <w:rPr>
          <w:rFonts w:hint="eastAsia" w:ascii="宋体" w:hAnsi="宋体" w:eastAsia="宋体" w:cs="宋体"/>
          <w:color w:val="auto"/>
          <w:kern w:val="0"/>
          <w:sz w:val="21"/>
          <w:szCs w:val="21"/>
          <w:highlight w:val="none"/>
        </w:rPr>
        <w:t>。</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承包人负责照管工程及工程相关的材料、工程设备的范围：</w:t>
      </w:r>
      <w:r>
        <w:rPr>
          <w:rFonts w:hint="eastAsia" w:ascii="宋体" w:hAnsi="宋体" w:eastAsia="宋体" w:cs="宋体"/>
          <w:color w:val="auto"/>
          <w:sz w:val="21"/>
          <w:szCs w:val="21"/>
          <w:highlight w:val="none"/>
          <w:u w:val="single"/>
        </w:rPr>
        <w:t>除承包人自身承包范围内的材料、工程设备外，也有义务照管与本项目相关的由发包人另行发包的其他专业工程设备。并有义务避免因自身的原因造成对其他承包人的成品、半成品的损坏、污染</w:t>
      </w:r>
      <w:r>
        <w:rPr>
          <w:rFonts w:hint="eastAsia" w:ascii="宋体" w:hAnsi="宋体" w:eastAsia="宋体" w:cs="宋体"/>
          <w:color w:val="auto"/>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542" w:name="_Toc373227712"/>
      <w:bookmarkStart w:id="543" w:name="_Toc418061323"/>
      <w:bookmarkStart w:id="544" w:name="_Toc403578946"/>
      <w:bookmarkStart w:id="545" w:name="_Toc418518358"/>
      <w:bookmarkStart w:id="546" w:name="_Toc418752254"/>
      <w:bookmarkStart w:id="547" w:name="_Toc418751808"/>
      <w:bookmarkStart w:id="548" w:name="_Toc373478359"/>
      <w:bookmarkStart w:id="549" w:name="_Toc497747190"/>
      <w:bookmarkStart w:id="550" w:name="_Toc418518122"/>
      <w:bookmarkStart w:id="551" w:name="_Toc522201742"/>
      <w:bookmarkStart w:id="552" w:name="_Toc497746793"/>
      <w:bookmarkStart w:id="553" w:name="_Toc389065278"/>
      <w:bookmarkStart w:id="554" w:name="_Toc256000192"/>
      <w:bookmarkStart w:id="555" w:name="_Toc27280"/>
      <w:r>
        <w:rPr>
          <w:rFonts w:hint="eastAsia" w:ascii="宋体" w:hAnsi="宋体" w:eastAsia="宋体" w:cs="宋体"/>
          <w:color w:val="auto"/>
          <w:sz w:val="21"/>
          <w:szCs w:val="21"/>
          <w:highlight w:val="none"/>
        </w:rPr>
        <w:t>3.7 履约</w:t>
      </w:r>
      <w:bookmarkEnd w:id="542"/>
      <w:bookmarkEnd w:id="543"/>
      <w:bookmarkEnd w:id="544"/>
      <w:bookmarkEnd w:id="545"/>
      <w:bookmarkEnd w:id="546"/>
      <w:bookmarkEnd w:id="547"/>
      <w:bookmarkEnd w:id="548"/>
      <w:bookmarkEnd w:id="549"/>
      <w:bookmarkEnd w:id="550"/>
      <w:bookmarkEnd w:id="551"/>
      <w:bookmarkEnd w:id="552"/>
      <w:bookmarkEnd w:id="553"/>
      <w:r>
        <w:rPr>
          <w:rFonts w:hint="eastAsia" w:ascii="宋体" w:hAnsi="宋体" w:eastAsia="宋体" w:cs="宋体"/>
          <w:color w:val="auto"/>
          <w:sz w:val="21"/>
          <w:szCs w:val="21"/>
          <w:highlight w:val="none"/>
        </w:rPr>
        <w:t>担保</w:t>
      </w:r>
      <w:bookmarkEnd w:id="554"/>
      <w:bookmarkEnd w:id="555"/>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556" w:name="_Toc351203636"/>
      <w:bookmarkStart w:id="557" w:name="_Toc418751809"/>
      <w:bookmarkStart w:id="558" w:name="_Toc373227713"/>
      <w:bookmarkStart w:id="559" w:name="_Toc403578947"/>
      <w:bookmarkStart w:id="560" w:name="_Toc418061324"/>
      <w:bookmarkStart w:id="561" w:name="_Toc418518123"/>
      <w:bookmarkStart w:id="562" w:name="_Toc418518359"/>
      <w:bookmarkStart w:id="563" w:name="_Toc389065279"/>
      <w:bookmarkStart w:id="564" w:name="_Toc418752255"/>
      <w:bookmarkStart w:id="565" w:name="_Toc373478360"/>
      <w:r>
        <w:rPr>
          <w:rFonts w:hint="eastAsia" w:ascii="宋体" w:hAnsi="宋体" w:eastAsia="宋体" w:cs="宋体"/>
          <w:color w:val="auto"/>
          <w:sz w:val="21"/>
          <w:szCs w:val="21"/>
          <w:highlight w:val="none"/>
        </w:rPr>
        <w:t>承包人是否提供履约担保：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承包人提供履约担保的形式、金额及期限的：</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工程竣工验收合格并对验收发现的问题完成整改后的7个日历天内，</w:t>
      </w:r>
      <w:r>
        <w:rPr>
          <w:rFonts w:hint="eastAsia" w:ascii="宋体" w:hAnsi="宋体" w:eastAsia="宋体" w:cs="宋体"/>
          <w:color w:val="auto"/>
          <w:sz w:val="21"/>
          <w:szCs w:val="21"/>
          <w:highlight w:val="none"/>
        </w:rPr>
        <w:t>承包人可向发包人申请退还履约保证金。发包人应在收到申请之日起28个日历天内</w:t>
      </w:r>
      <w:r>
        <w:rPr>
          <w:rFonts w:hint="eastAsia" w:ascii="宋体" w:hAnsi="宋体" w:eastAsia="宋体" w:cs="宋体"/>
          <w:color w:val="auto"/>
          <w:kern w:val="0"/>
          <w:sz w:val="21"/>
          <w:szCs w:val="21"/>
          <w:highlight w:val="none"/>
        </w:rPr>
        <w:t>扣减承包人赔偿金和其他应从承包人扣回的款项后，</w:t>
      </w:r>
      <w:r>
        <w:rPr>
          <w:rFonts w:hint="eastAsia" w:ascii="宋体" w:hAnsi="宋体" w:eastAsia="宋体" w:cs="宋体"/>
          <w:color w:val="auto"/>
          <w:sz w:val="21"/>
          <w:szCs w:val="21"/>
          <w:highlight w:val="none"/>
        </w:rPr>
        <w:t>将履约保证金退还给承包人（无息）。</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签订合同前承包人必须按市财建（2018）73号文规定将农民工工资保障金存入帐户。工程竣工验收结算经审定后，按照规定程序，将农民工工资保障金没有使用或剩余的金额退还给承包人。</w:t>
      </w:r>
    </w:p>
    <w:p>
      <w:pPr>
        <w:pStyle w:val="29"/>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566" w:name="_Toc497747191"/>
      <w:bookmarkStart w:id="567" w:name="_Toc497746794"/>
      <w:bookmarkStart w:id="568" w:name="_Toc256000193"/>
      <w:bookmarkStart w:id="569" w:name="_Toc522201743"/>
      <w:bookmarkStart w:id="570" w:name="_Toc16281"/>
      <w:r>
        <w:rPr>
          <w:rFonts w:hint="eastAsia" w:ascii="宋体" w:hAnsi="宋体" w:eastAsia="宋体" w:cs="宋体"/>
          <w:color w:val="auto"/>
          <w:sz w:val="21"/>
          <w:szCs w:val="21"/>
          <w:highlight w:val="none"/>
        </w:rPr>
        <w:t>4</w:t>
      </w:r>
      <w:bookmarkStart w:id="571" w:name="_Toc296890990"/>
      <w:bookmarkStart w:id="572" w:name="_Toc296891202"/>
      <w:bookmarkStart w:id="573" w:name="_Toc292559366"/>
      <w:bookmarkStart w:id="574" w:name="_Toc297048348"/>
      <w:bookmarkStart w:id="575" w:name="_Toc296503162"/>
      <w:bookmarkStart w:id="576" w:name="_Toc267251413"/>
      <w:bookmarkStart w:id="577" w:name="_Toc292559871"/>
      <w:bookmarkStart w:id="578" w:name="_Toc296944501"/>
      <w:bookmarkStart w:id="579" w:name="_Toc297120462"/>
      <w:bookmarkStart w:id="580" w:name="_Toc296346663"/>
      <w:bookmarkStart w:id="581" w:name="_Toc296347161"/>
      <w:r>
        <w:rPr>
          <w:rFonts w:hint="eastAsia" w:ascii="宋体" w:hAnsi="宋体" w:eastAsia="宋体" w:cs="宋体"/>
          <w:color w:val="auto"/>
          <w:sz w:val="21"/>
          <w:szCs w:val="21"/>
          <w:highlight w:val="none"/>
        </w:rPr>
        <w:t>. 监</w:t>
      </w:r>
      <w:bookmarkEnd w:id="571"/>
      <w:bookmarkEnd w:id="572"/>
      <w:bookmarkEnd w:id="573"/>
      <w:bookmarkEnd w:id="574"/>
      <w:bookmarkEnd w:id="575"/>
      <w:bookmarkEnd w:id="576"/>
      <w:bookmarkEnd w:id="577"/>
      <w:bookmarkEnd w:id="578"/>
      <w:bookmarkEnd w:id="579"/>
      <w:bookmarkEnd w:id="580"/>
      <w:bookmarkEnd w:id="581"/>
      <w:r>
        <w:rPr>
          <w:rFonts w:hint="eastAsia" w:ascii="宋体" w:hAnsi="宋体" w:eastAsia="宋体" w:cs="宋体"/>
          <w:color w:val="auto"/>
          <w:sz w:val="21"/>
          <w:szCs w:val="21"/>
          <w:highlight w:val="none"/>
        </w:rPr>
        <w:t>理人</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582" w:name="_Toc418751810"/>
      <w:bookmarkStart w:id="583" w:name="_Toc418061325"/>
      <w:bookmarkStart w:id="584" w:name="_Toc497746795"/>
      <w:bookmarkStart w:id="585" w:name="_Toc418518124"/>
      <w:bookmarkStart w:id="586" w:name="_Toc522201744"/>
      <w:bookmarkStart w:id="587" w:name="_Toc403578948"/>
      <w:bookmarkStart w:id="588" w:name="_Toc418752256"/>
      <w:bookmarkStart w:id="589" w:name="_Toc418518360"/>
      <w:bookmarkStart w:id="590" w:name="_Toc373478361"/>
      <w:bookmarkStart w:id="591" w:name="_Toc373227714"/>
      <w:bookmarkStart w:id="592" w:name="_Toc497747192"/>
      <w:bookmarkStart w:id="593" w:name="_Toc389065280"/>
      <w:bookmarkStart w:id="594" w:name="_Toc256000194"/>
      <w:bookmarkStart w:id="595" w:name="_Toc31310"/>
      <w:r>
        <w:rPr>
          <w:rFonts w:hint="eastAsia" w:ascii="宋体" w:hAnsi="宋体" w:eastAsia="宋体" w:cs="宋体"/>
          <w:color w:val="auto"/>
          <w:sz w:val="21"/>
          <w:szCs w:val="21"/>
          <w:highlight w:val="none"/>
        </w:rPr>
        <w:t>4.1 监理人的一般规定</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color w:val="auto"/>
          <w:sz w:val="21"/>
          <w:szCs w:val="21"/>
          <w:highlight w:val="none"/>
          <w:u w:val="single"/>
        </w:rPr>
        <w:t xml:space="preserve"> 检查施工承包人工程质量，安全生产管理制度及组织机构人员资格；审查施工承包人员提交的施工进度计划及工程施工范围内所有内容。</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color w:val="auto"/>
          <w:sz w:val="21"/>
          <w:szCs w:val="21"/>
          <w:highlight w:val="none"/>
          <w:u w:val="single"/>
        </w:rPr>
        <w:t>代表发包人对工程施工相关事项进行检查、查验、审核、验收，并签发相关指示，但监理人无权修改合同，且无权减轻或免除合同约定的承包人的任何责任与义务: 1、在发出施工进度计划和施工方案说明以及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5、工程内容和材料变更确认应得到发包人的书面批准。不管通用合同条款如何约定，监理人履行须经发包人批准行使的权利时，应当向承包人出示其行使该权利已经取得发包人批准的文件或者其他合法有效的证明 。</w:t>
      </w:r>
      <w:r>
        <w:rPr>
          <w:rFonts w:hint="eastAsia" w:ascii="宋体" w:hAnsi="宋体" w:eastAsia="宋体" w:cs="宋体"/>
          <w:color w:val="auto"/>
          <w:sz w:val="21"/>
          <w:szCs w:val="21"/>
          <w:highlight w:val="none"/>
        </w:rPr>
        <w:t xml:space="preserve">  </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color w:val="auto"/>
          <w:sz w:val="21"/>
          <w:szCs w:val="21"/>
          <w:highlight w:val="none"/>
          <w:u w:val="single"/>
        </w:rPr>
        <w:t>由承包人为发包人、监理单位免费提供三间办公室并承担相关费用</w:t>
      </w:r>
      <w:r>
        <w:rPr>
          <w:rFonts w:hint="eastAsia" w:ascii="宋体" w:hAnsi="宋体" w:eastAsia="宋体" w:cs="宋体"/>
          <w:color w:val="auto"/>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596" w:name="_Toc256000195"/>
      <w:bookmarkStart w:id="597" w:name="_Toc522201745"/>
      <w:bookmarkStart w:id="598" w:name="_Toc418518125"/>
      <w:bookmarkStart w:id="599" w:name="_Toc418061326"/>
      <w:bookmarkStart w:id="600" w:name="_Toc497746796"/>
      <w:bookmarkStart w:id="601" w:name="_Toc418518361"/>
      <w:bookmarkStart w:id="602" w:name="_Toc403578949"/>
      <w:bookmarkStart w:id="603" w:name="_Toc373227715"/>
      <w:bookmarkStart w:id="604" w:name="_Toc373478362"/>
      <w:bookmarkStart w:id="605" w:name="_Toc418752257"/>
      <w:bookmarkStart w:id="606" w:name="_Toc389065281"/>
      <w:bookmarkStart w:id="607" w:name="_Toc497747193"/>
      <w:bookmarkStart w:id="608" w:name="_Toc418751811"/>
      <w:bookmarkStart w:id="609" w:name="_Toc26417"/>
      <w:r>
        <w:rPr>
          <w:rFonts w:hint="eastAsia" w:ascii="宋体" w:hAnsi="宋体" w:eastAsia="宋体" w:cs="宋体"/>
          <w:color w:val="auto"/>
          <w:sz w:val="21"/>
          <w:szCs w:val="21"/>
          <w:highlight w:val="none"/>
        </w:rPr>
        <w:t>4.2 监理人员</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关于监理人的其他约定：</w:t>
      </w:r>
      <w:r>
        <w:rPr>
          <w:rFonts w:hint="eastAsia" w:ascii="宋体" w:hAnsi="宋体" w:eastAsia="宋体" w:cs="宋体"/>
          <w:color w:val="auto"/>
          <w:sz w:val="21"/>
          <w:szCs w:val="21"/>
          <w:highlight w:val="none"/>
          <w:u w:val="single"/>
        </w:rPr>
        <w:t xml:space="preserve"> 见监理合同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610" w:name="_Toc418518126"/>
      <w:bookmarkStart w:id="611" w:name="_Toc418061327"/>
      <w:bookmarkStart w:id="612" w:name="_Toc497746797"/>
      <w:bookmarkStart w:id="613" w:name="_Toc373478363"/>
      <w:bookmarkStart w:id="614" w:name="_Toc256000196"/>
      <w:bookmarkStart w:id="615" w:name="_Toc497747194"/>
      <w:bookmarkStart w:id="616" w:name="_Toc418752258"/>
      <w:bookmarkStart w:id="617" w:name="_Toc389065282"/>
      <w:bookmarkStart w:id="618" w:name="_Toc522201746"/>
      <w:bookmarkStart w:id="619" w:name="_Toc373227716"/>
      <w:bookmarkStart w:id="620" w:name="_Toc418518362"/>
      <w:bookmarkStart w:id="621" w:name="_Toc403578950"/>
      <w:bookmarkStart w:id="622" w:name="_Toc418751812"/>
      <w:bookmarkStart w:id="623" w:name="_Toc10807"/>
      <w:r>
        <w:rPr>
          <w:rFonts w:hint="eastAsia" w:ascii="宋体" w:hAnsi="宋体" w:eastAsia="宋体" w:cs="宋体"/>
          <w:color w:val="auto"/>
          <w:sz w:val="21"/>
          <w:szCs w:val="21"/>
          <w:highlight w:val="none"/>
        </w:rPr>
        <w:t>4.4 商定或确定</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bookmarkStart w:id="624" w:name="_Toc267251418"/>
      <w:r>
        <w:rPr>
          <w:rFonts w:hint="eastAsia" w:ascii="宋体" w:hAnsi="宋体" w:eastAsia="宋体" w:cs="宋体"/>
          <w:color w:val="auto"/>
          <w:sz w:val="21"/>
          <w:szCs w:val="21"/>
          <w:highlight w:val="none"/>
        </w:rPr>
        <w:t>在发包人和承包人不能通过协商达成一致意见时，发包人授权监理人对以下事项进行确定：</w:t>
      </w:r>
      <w:r>
        <w:rPr>
          <w:rFonts w:hint="eastAsia" w:ascii="宋体" w:hAnsi="宋体" w:eastAsia="宋体" w:cs="宋体"/>
          <w:color w:val="auto"/>
          <w:kern w:val="0"/>
          <w:sz w:val="21"/>
          <w:szCs w:val="21"/>
          <w:highlight w:val="none"/>
          <w:u w:val="single"/>
        </w:rPr>
        <w:t>无</w:t>
      </w:r>
      <w:r>
        <w:rPr>
          <w:rFonts w:hint="eastAsia" w:ascii="宋体" w:hAnsi="宋体" w:eastAsia="宋体" w:cs="宋体"/>
          <w:color w:val="auto"/>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625" w:name="_Toc418751813"/>
      <w:bookmarkStart w:id="626" w:name="_Toc522201747"/>
      <w:bookmarkStart w:id="627" w:name="_Toc403578951"/>
      <w:bookmarkStart w:id="628" w:name="_Toc373227717"/>
      <w:bookmarkStart w:id="629" w:name="_Toc351203637"/>
      <w:bookmarkStart w:id="630" w:name="_Toc373478364"/>
      <w:bookmarkStart w:id="631" w:name="_Toc418752259"/>
      <w:bookmarkStart w:id="632" w:name="_Toc497747195"/>
      <w:bookmarkStart w:id="633" w:name="_Toc418518127"/>
      <w:bookmarkStart w:id="634" w:name="_Toc497746798"/>
      <w:bookmarkStart w:id="635" w:name="_Toc418061328"/>
      <w:bookmarkStart w:id="636" w:name="_Toc256000197"/>
      <w:bookmarkStart w:id="637" w:name="_Toc418518363"/>
      <w:bookmarkStart w:id="638" w:name="_Toc389065283"/>
      <w:bookmarkStart w:id="639" w:name="_Toc25096"/>
      <w:r>
        <w:rPr>
          <w:rFonts w:hint="eastAsia" w:ascii="宋体" w:hAnsi="宋体" w:eastAsia="宋体" w:cs="宋体"/>
          <w:color w:val="auto"/>
          <w:sz w:val="21"/>
          <w:szCs w:val="21"/>
          <w:highlight w:val="none"/>
        </w:rPr>
        <w:t>5</w:t>
      </w:r>
      <w:bookmarkEnd w:id="624"/>
      <w:bookmarkStart w:id="640" w:name="_Toc296891203"/>
      <w:bookmarkStart w:id="641" w:name="_Toc297120463"/>
      <w:bookmarkStart w:id="642" w:name="_Toc296890991"/>
      <w:bookmarkStart w:id="643" w:name="_Toc296347162"/>
      <w:bookmarkStart w:id="644" w:name="_Toc296346664"/>
      <w:bookmarkStart w:id="645" w:name="_Toc292559872"/>
      <w:bookmarkStart w:id="646" w:name="_Toc297048349"/>
      <w:bookmarkStart w:id="647" w:name="_Toc296944502"/>
      <w:bookmarkStart w:id="648" w:name="_Toc296503163"/>
      <w:bookmarkStart w:id="649" w:name="_Toc292559367"/>
      <w:r>
        <w:rPr>
          <w:rFonts w:hint="eastAsia" w:ascii="宋体" w:hAnsi="宋体" w:eastAsia="宋体" w:cs="宋体"/>
          <w:color w:val="auto"/>
          <w:sz w:val="21"/>
          <w:szCs w:val="21"/>
          <w:highlight w:val="none"/>
        </w:rPr>
        <w:t>. 工程质量</w:t>
      </w:r>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650" w:name="_Toc418061329"/>
      <w:bookmarkStart w:id="651" w:name="_Toc418751814"/>
      <w:bookmarkStart w:id="652" w:name="_Toc497746799"/>
      <w:bookmarkStart w:id="653" w:name="_Toc256000198"/>
      <w:bookmarkStart w:id="654" w:name="_Toc373478365"/>
      <w:bookmarkStart w:id="655" w:name="_Toc389065284"/>
      <w:bookmarkStart w:id="656" w:name="_Toc497747196"/>
      <w:bookmarkStart w:id="657" w:name="_Toc522201748"/>
      <w:bookmarkStart w:id="658" w:name="_Toc403578952"/>
      <w:bookmarkStart w:id="659" w:name="_Toc418518364"/>
      <w:bookmarkStart w:id="660" w:name="_Toc418518128"/>
      <w:bookmarkStart w:id="661" w:name="_Toc373227718"/>
      <w:bookmarkStart w:id="662" w:name="_Toc418752260"/>
      <w:bookmarkStart w:id="663" w:name="_Toc7707"/>
      <w:r>
        <w:rPr>
          <w:rFonts w:hint="eastAsia" w:ascii="宋体" w:hAnsi="宋体" w:eastAsia="宋体" w:cs="宋体"/>
          <w:color w:val="auto"/>
          <w:sz w:val="21"/>
          <w:szCs w:val="21"/>
          <w:highlight w:val="none"/>
        </w:rPr>
        <w:t>5.1 质量要求</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w:t>
      </w:r>
      <w:bookmarkStart w:id="664" w:name="_Toc300934949"/>
      <w:bookmarkStart w:id="665" w:name="_Toc312677997"/>
      <w:bookmarkStart w:id="666" w:name="_Toc318581164"/>
      <w:bookmarkStart w:id="667" w:name="_Toc303539106"/>
      <w:bookmarkStart w:id="668" w:name="_Toc304295527"/>
      <w:bookmarkStart w:id="669" w:name="_Toc297123496"/>
      <w:bookmarkStart w:id="670" w:name="_Toc297216155"/>
      <w:r>
        <w:rPr>
          <w:rFonts w:hint="eastAsia" w:ascii="宋体" w:hAnsi="宋体" w:eastAsia="宋体" w:cs="宋体"/>
          <w:color w:val="auto"/>
          <w:sz w:val="21"/>
          <w:szCs w:val="21"/>
          <w:highlight w:val="none"/>
        </w:rPr>
        <w:t>.1.1 特殊质量标准和要求：</w:t>
      </w:r>
      <w:r>
        <w:rPr>
          <w:rFonts w:hint="eastAsia" w:ascii="宋体" w:hAnsi="宋体" w:eastAsia="宋体" w:cs="宋体"/>
          <w:color w:val="auto"/>
          <w:sz w:val="21"/>
          <w:szCs w:val="21"/>
          <w:highlight w:val="none"/>
          <w:u w:val="single"/>
        </w:rPr>
        <w:t xml:space="preserve"> 工程质量达到国家验收合格标准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关于工程奖项的约定：</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隐蔽工程检查</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5.3.2承包人提前通知监理人隐蔽工程检查的期限的约定：</w:t>
      </w:r>
      <w:r>
        <w:rPr>
          <w:rFonts w:hint="eastAsia" w:ascii="宋体" w:hAnsi="宋体" w:eastAsia="宋体" w:cs="宋体"/>
          <w:color w:val="auto"/>
          <w:kern w:val="0"/>
          <w:sz w:val="21"/>
          <w:szCs w:val="21"/>
          <w:highlight w:val="none"/>
          <w:u w:val="single"/>
        </w:rPr>
        <w:t>任何部位的隐蔽工程需要覆盖或隐蔽前，承包人均应提前 48 小时通知发包人、监理工程师和质量监督站进行中间验收并拍照，没有发包人、监理工程师和质量监督站的批准，均不得隐蔽或验收。对相关单位所提出涉及工程质量、安全管理等存在问题时，必须进行整改，承包人应在监理人及相关人员指示的时间内修正返工后，由监理人及相关人员重新检查。否则发包人按规定有权进行经济处罚</w:t>
      </w:r>
      <w:r>
        <w:rPr>
          <w:rFonts w:hint="eastAsia" w:ascii="宋体" w:hAnsi="宋体" w:eastAsia="宋体" w:cs="宋体"/>
          <w:bCs/>
          <w:color w:val="auto"/>
          <w:sz w:val="21"/>
          <w:szCs w:val="21"/>
          <w:highlight w:val="none"/>
          <w:u w:val="singl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color w:val="auto"/>
          <w:sz w:val="21"/>
          <w:szCs w:val="21"/>
          <w:highlight w:val="none"/>
          <w:u w:val="single"/>
        </w:rPr>
        <w:t xml:space="preserve"> 24 </w:t>
      </w:r>
      <w:r>
        <w:rPr>
          <w:rFonts w:hint="eastAsia" w:ascii="宋体" w:hAnsi="宋体" w:eastAsia="宋体" w:cs="宋体"/>
          <w:color w:val="auto"/>
          <w:sz w:val="21"/>
          <w:szCs w:val="21"/>
          <w:highlight w:val="none"/>
        </w:rPr>
        <w:t>小时提交书面延期要求。</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48 </w:t>
      </w:r>
      <w:r>
        <w:rPr>
          <w:rFonts w:hint="eastAsia" w:ascii="宋体" w:hAnsi="宋体" w:eastAsia="宋体" w:cs="宋体"/>
          <w:color w:val="auto"/>
          <w:sz w:val="21"/>
          <w:szCs w:val="21"/>
          <w:highlight w:val="none"/>
        </w:rPr>
        <w:t>小时。</w:t>
      </w:r>
    </w:p>
    <w:p>
      <w:pPr>
        <w:pStyle w:val="29"/>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671" w:name="_Toc373227719"/>
      <w:bookmarkStart w:id="672" w:name="_Toc389065285"/>
      <w:bookmarkStart w:id="673" w:name="_Toc418518129"/>
      <w:bookmarkStart w:id="674" w:name="_Toc497746800"/>
      <w:bookmarkStart w:id="675" w:name="_Toc497747197"/>
      <w:bookmarkStart w:id="676" w:name="_Toc373478366"/>
      <w:bookmarkStart w:id="677" w:name="_Toc351203638"/>
      <w:bookmarkStart w:id="678" w:name="_Toc403578953"/>
      <w:bookmarkStart w:id="679" w:name="_Toc418751815"/>
      <w:bookmarkStart w:id="680" w:name="_Toc418061330"/>
      <w:bookmarkStart w:id="681" w:name="_Toc418752261"/>
      <w:bookmarkStart w:id="682" w:name="_Toc522201749"/>
      <w:bookmarkStart w:id="683" w:name="_Toc418518365"/>
      <w:bookmarkStart w:id="684" w:name="_Toc256000199"/>
      <w:bookmarkStart w:id="685" w:name="_Toc19652"/>
      <w:r>
        <w:rPr>
          <w:rFonts w:hint="eastAsia" w:ascii="宋体" w:hAnsi="宋体" w:eastAsia="宋体" w:cs="宋体"/>
          <w:color w:val="auto"/>
          <w:sz w:val="21"/>
          <w:szCs w:val="21"/>
          <w:highlight w:val="none"/>
        </w:rPr>
        <w:t>6. 安全文明施工与环境保护</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686" w:name="_Toc497747198"/>
      <w:bookmarkStart w:id="687" w:name="_Toc418518366"/>
      <w:bookmarkStart w:id="688" w:name="_Toc418518130"/>
      <w:bookmarkStart w:id="689" w:name="_Toc418751816"/>
      <w:bookmarkStart w:id="690" w:name="_Toc418752262"/>
      <w:bookmarkStart w:id="691" w:name="_Toc373478367"/>
      <w:bookmarkStart w:id="692" w:name="_Toc403578954"/>
      <w:bookmarkStart w:id="693" w:name="_Toc497746801"/>
      <w:bookmarkStart w:id="694" w:name="_Toc418061331"/>
      <w:bookmarkStart w:id="695" w:name="_Toc389065286"/>
      <w:bookmarkStart w:id="696" w:name="_Toc522201750"/>
      <w:bookmarkStart w:id="697" w:name="_Toc373227720"/>
      <w:bookmarkStart w:id="698" w:name="_Toc256000200"/>
      <w:bookmarkStart w:id="699" w:name="_Toc12242"/>
      <w:r>
        <w:rPr>
          <w:rFonts w:hint="eastAsia" w:ascii="宋体" w:hAnsi="宋体" w:eastAsia="宋体" w:cs="宋体"/>
          <w:color w:val="auto"/>
          <w:sz w:val="21"/>
          <w:szCs w:val="21"/>
          <w:highlight w:val="none"/>
        </w:rPr>
        <w:t>6.1 安全文明施工</w:t>
      </w:r>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 xml:space="preserve"> 按照国家及地方安全文明施工的有关规定执行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关于安全文明施工奖项的约定：</w:t>
      </w:r>
      <w:r>
        <w:rPr>
          <w:rFonts w:hint="eastAsia" w:ascii="宋体" w:hAnsi="宋体" w:eastAsia="宋体" w:cs="宋体"/>
          <w:color w:val="auto"/>
          <w:sz w:val="21"/>
          <w:szCs w:val="21"/>
          <w:highlight w:val="none"/>
          <w:u w:val="single"/>
        </w:rPr>
        <w:t xml:space="preserve">  承包人应当负责统一管理施工场地的治安保卫事项，履行合同工程的治安保卫职责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承包人应承担施工安全保卫工作及非夜间施工照明的责任，承包人应采取一切合理的预防措施，防止人员伤亡、财产损失事故，</w:t>
      </w:r>
      <w:r>
        <w:rPr>
          <w:rFonts w:hint="eastAsia" w:ascii="宋体" w:hAnsi="宋体" w:eastAsia="宋体" w:cs="宋体"/>
          <w:color w:val="auto"/>
          <w:sz w:val="21"/>
          <w:szCs w:val="21"/>
          <w:highlight w:val="none"/>
          <w:u w:val="single"/>
          <w:lang w:val="en-US" w:eastAsia="zh-CN"/>
        </w:rPr>
        <w:t>由承包人造成损失的，</w:t>
      </w:r>
      <w:r>
        <w:rPr>
          <w:rFonts w:hint="eastAsia" w:ascii="宋体" w:hAnsi="宋体" w:eastAsia="宋体" w:cs="宋体"/>
          <w:color w:val="auto"/>
          <w:sz w:val="21"/>
          <w:szCs w:val="21"/>
          <w:highlight w:val="none"/>
          <w:u w:val="single"/>
        </w:rPr>
        <w:t>费用由承包人承担。承包人生活设施及施工场应自费配备消防设备，防止火灾发生</w:t>
      </w:r>
      <w:r>
        <w:rPr>
          <w:rFonts w:hint="eastAsia" w:ascii="宋体" w:hAnsi="宋体" w:eastAsia="宋体" w:cs="宋体"/>
          <w:color w:val="auto"/>
          <w:sz w:val="21"/>
          <w:szCs w:val="21"/>
          <w:highlight w:val="none"/>
        </w:rPr>
        <w:t>。</w:t>
      </w:r>
    </w:p>
    <w:p>
      <w:pPr>
        <w:pStyle w:val="32"/>
        <w:pageBreakBefore w:val="0"/>
        <w:widowControl w:val="0"/>
        <w:kinsoku/>
        <w:wordWrap/>
        <w:overflowPunct/>
        <w:topLinePunct w:val="0"/>
        <w:bidi w:val="0"/>
        <w:snapToGrid/>
        <w:spacing w:after="0" w:line="380" w:lineRule="exact"/>
        <w:ind w:left="0" w:leftChars="0" w:right="0" w:rightChars="0"/>
        <w:textAlignment w:val="auto"/>
        <w:rPr>
          <w:rFonts w:hint="eastAsia" w:ascii="宋体" w:hAnsi="宋体" w:eastAsia="宋体" w:cs="宋体"/>
          <w:color w:val="auto"/>
          <w:sz w:val="21"/>
          <w:szCs w:val="21"/>
          <w:highlight w:val="none"/>
        </w:rPr>
      </w:pP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 xml:space="preserve">  开工前7天内承包人编制施工场地治安管理计划和突发治安事件紧急预案</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rPr>
        <w:t>按照国家及地方安全文明施工的有关规定执行</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color w:val="auto"/>
          <w:kern w:val="0"/>
          <w:sz w:val="21"/>
          <w:szCs w:val="21"/>
          <w:highlight w:val="none"/>
          <w:u w:val="single"/>
        </w:rPr>
        <w:t>专款专用</w:t>
      </w:r>
      <w:r>
        <w:rPr>
          <w:rFonts w:hint="eastAsia" w:ascii="宋体" w:hAnsi="宋体" w:eastAsia="宋体" w:cs="宋体"/>
          <w:color w:val="auto"/>
          <w:kern w:val="0"/>
          <w:sz w:val="21"/>
          <w:szCs w:val="21"/>
          <w:highlight w:val="none"/>
        </w:rPr>
        <w:t>。具体按《广西壮族自治区建筑工程安全防护、文明施工措施费及管理细则》（桂建质〔2006〕22号）和</w:t>
      </w:r>
      <w:r>
        <w:rPr>
          <w:rFonts w:hint="eastAsia" w:ascii="宋体" w:hAnsi="宋体" w:eastAsia="宋体" w:cs="宋体"/>
          <w:color w:val="auto"/>
          <w:sz w:val="21"/>
          <w:szCs w:val="21"/>
          <w:highlight w:val="none"/>
          <w:u w:val="single"/>
        </w:rPr>
        <w:t>桂林市建规[2007]131号文及市建规[2008]224号文</w:t>
      </w:r>
      <w:r>
        <w:rPr>
          <w:rFonts w:hint="eastAsia" w:ascii="宋体" w:hAnsi="宋体" w:eastAsia="宋体" w:cs="宋体"/>
          <w:color w:val="auto"/>
          <w:kern w:val="0"/>
          <w:sz w:val="21"/>
          <w:szCs w:val="21"/>
          <w:highlight w:val="none"/>
        </w:rPr>
        <w:t>相关规定执行。</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（3）支付约定：</w:t>
      </w:r>
      <w:r>
        <w:rPr>
          <w:rFonts w:hint="eastAsia" w:ascii="宋体" w:hAnsi="宋体" w:eastAsia="宋体" w:cs="宋体"/>
          <w:color w:val="auto"/>
          <w:sz w:val="21"/>
          <w:szCs w:val="21"/>
          <w:highlight w:val="none"/>
          <w:u w:val="single"/>
        </w:rPr>
        <w:t>具体按《广西壮族自治区建筑工程安全防护、文明施工措施费及管理细则》（桂建质〔2006〕22号）和桂林市建规[2007]131号文及市建规[2008]224号文相关规定执行。。</w:t>
      </w:r>
      <w:r>
        <w:rPr>
          <w:rFonts w:hint="eastAsia" w:ascii="宋体" w:hAnsi="宋体" w:eastAsia="宋体" w:cs="宋体"/>
          <w:color w:val="auto"/>
          <w:sz w:val="21"/>
          <w:szCs w:val="21"/>
          <w:highlight w:val="none"/>
        </w:rPr>
        <w:t xml:space="preserve">  </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u w:val="single"/>
        </w:rPr>
      </w:pPr>
      <w:bookmarkStart w:id="700" w:name="_Toc373478368"/>
      <w:bookmarkStart w:id="701" w:name="_Toc418752263"/>
      <w:bookmarkStart w:id="702" w:name="_Toc389065287"/>
      <w:bookmarkStart w:id="703" w:name="_Toc497747199"/>
      <w:bookmarkStart w:id="704" w:name="_Toc418518131"/>
      <w:bookmarkStart w:id="705" w:name="_Toc497746802"/>
      <w:bookmarkStart w:id="706" w:name="_Toc373227721"/>
      <w:bookmarkStart w:id="707" w:name="_Toc418751817"/>
      <w:bookmarkStart w:id="708" w:name="_Toc418061332"/>
      <w:bookmarkStart w:id="709" w:name="_Toc403578955"/>
      <w:bookmarkStart w:id="710" w:name="_Toc418518367"/>
      <w:r>
        <w:rPr>
          <w:rFonts w:hint="eastAsia" w:ascii="宋体" w:hAnsi="宋体" w:eastAsia="宋体" w:cs="宋体"/>
          <w:color w:val="auto"/>
          <w:sz w:val="21"/>
          <w:szCs w:val="21"/>
          <w:highlight w:val="none"/>
        </w:rPr>
        <w:t>6.2职业健康</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6.2.3 扬尘防治：严格执行市住建【2016】71号《关于进一步加强全市建筑工地扬尘治理工作的通知》的相关规定。关于扬尘防治费支付比例和支付期限的约定为：</w:t>
      </w:r>
      <w:r>
        <w:rPr>
          <w:rFonts w:hint="eastAsia" w:ascii="宋体" w:hAnsi="宋体" w:eastAsia="宋体" w:cs="宋体"/>
          <w:color w:val="auto"/>
          <w:sz w:val="21"/>
          <w:szCs w:val="21"/>
          <w:highlight w:val="none"/>
          <w:u w:val="single"/>
        </w:rPr>
        <w:t>市住建〔2016〕34号文规定 。</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6.3 环境保护</w:t>
      </w:r>
      <w:bookmarkEnd w:id="700"/>
      <w:bookmarkEnd w:id="701"/>
      <w:bookmarkEnd w:id="702"/>
      <w:bookmarkEnd w:id="703"/>
      <w:bookmarkEnd w:id="704"/>
      <w:bookmarkEnd w:id="705"/>
      <w:bookmarkEnd w:id="706"/>
      <w:bookmarkEnd w:id="707"/>
      <w:bookmarkEnd w:id="708"/>
      <w:bookmarkEnd w:id="709"/>
      <w:bookmarkEnd w:id="710"/>
      <w:r>
        <w:rPr>
          <w:rFonts w:hint="eastAsia" w:ascii="宋体" w:hAnsi="宋体" w:eastAsia="宋体" w:cs="宋体"/>
          <w:color w:val="auto"/>
          <w:sz w:val="21"/>
          <w:szCs w:val="21"/>
          <w:highlight w:val="none"/>
        </w:rPr>
        <w:t>因施工需要，经发包人批准，由承包人办理有关施工场地交通、环卫和施工噪音管理等手续，费用由承包人负责。</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经过城市道路的施工车辆，必须按交警、城管、运输等部门相关规定执行。由于施工车辆造成的道路、环境等污染，其责任和费用均由承包人承担。</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环保工作的约定：</w:t>
      </w:r>
      <w:r>
        <w:rPr>
          <w:rFonts w:hint="eastAsia" w:ascii="宋体" w:hAnsi="宋体" w:eastAsia="宋体" w:cs="宋体"/>
          <w:color w:val="auto"/>
          <w:sz w:val="21"/>
          <w:szCs w:val="21"/>
          <w:highlight w:val="none"/>
          <w:u w:val="single"/>
        </w:rPr>
        <w:t>承包人负责办理有关环保报批手续，并承担相应的费用。在施工期间对环境主要影响是机械声和废水、废渣、尘埃，对此承包人应采取相应的防治措施和严格管理，严格控制污染物排放，污染物排放前必须处理，达到排污标准后再排放。严禁把污染物直接排入江中。控制标准：《地面环境质量标准》GB3838-88Ⅱ。施工完毕后，承包人应及时将被破坏的场地，遵照监理工程师的指示进行清理、修正，并根据实际情况将场地恢复到原有状态，费用自理。</w:t>
      </w:r>
    </w:p>
    <w:bookmarkEnd w:id="664"/>
    <w:bookmarkEnd w:id="665"/>
    <w:bookmarkEnd w:id="666"/>
    <w:bookmarkEnd w:id="667"/>
    <w:bookmarkEnd w:id="668"/>
    <w:bookmarkEnd w:id="669"/>
    <w:bookmarkEnd w:id="670"/>
    <w:p>
      <w:pPr>
        <w:pStyle w:val="29"/>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711" w:name="_Toc418518368"/>
      <w:bookmarkStart w:id="712" w:name="_Toc389065288"/>
      <w:bookmarkStart w:id="713" w:name="_Toc256000201"/>
      <w:bookmarkStart w:id="714" w:name="_Toc497747200"/>
      <w:bookmarkStart w:id="715" w:name="_Toc351203639"/>
      <w:bookmarkStart w:id="716" w:name="_Toc403578956"/>
      <w:bookmarkStart w:id="717" w:name="_Toc418061333"/>
      <w:bookmarkStart w:id="718" w:name="_Toc497746803"/>
      <w:bookmarkStart w:id="719" w:name="_Toc522201751"/>
      <w:bookmarkStart w:id="720" w:name="_Toc373478369"/>
      <w:bookmarkStart w:id="721" w:name="_Toc418518132"/>
      <w:bookmarkStart w:id="722" w:name="_Toc373227722"/>
      <w:bookmarkStart w:id="723" w:name="_Toc418751818"/>
      <w:bookmarkStart w:id="724" w:name="_Toc418752264"/>
      <w:bookmarkStart w:id="725" w:name="_Toc12921"/>
      <w:r>
        <w:rPr>
          <w:rFonts w:hint="eastAsia" w:ascii="宋体" w:hAnsi="宋体" w:eastAsia="宋体" w:cs="宋体"/>
          <w:color w:val="auto"/>
          <w:sz w:val="21"/>
          <w:szCs w:val="21"/>
          <w:highlight w:val="none"/>
        </w:rPr>
        <w:t>7. 工期和进度</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726" w:name="_Toc418751819"/>
      <w:bookmarkStart w:id="727" w:name="_Toc522201752"/>
      <w:bookmarkStart w:id="728" w:name="_Toc418752265"/>
      <w:bookmarkStart w:id="729" w:name="_Toc418061334"/>
      <w:bookmarkStart w:id="730" w:name="_Toc418518369"/>
      <w:bookmarkStart w:id="731" w:name="_Toc373478370"/>
      <w:bookmarkStart w:id="732" w:name="_Toc389065289"/>
      <w:bookmarkStart w:id="733" w:name="_Toc418518133"/>
      <w:bookmarkStart w:id="734" w:name="_Toc373227723"/>
      <w:bookmarkStart w:id="735" w:name="_Toc256000202"/>
      <w:bookmarkStart w:id="736" w:name="_Toc497746804"/>
      <w:bookmarkStart w:id="737" w:name="_Toc497747201"/>
      <w:bookmarkStart w:id="738" w:name="_Toc403578957"/>
      <w:bookmarkStart w:id="739" w:name="_Toc31802"/>
      <w:r>
        <w:rPr>
          <w:rFonts w:hint="eastAsia" w:ascii="宋体" w:hAnsi="宋体" w:eastAsia="宋体" w:cs="宋体"/>
          <w:color w:val="auto"/>
          <w:sz w:val="21"/>
          <w:szCs w:val="21"/>
          <w:highlight w:val="none"/>
        </w:rPr>
        <w:t>7.1 施工组织设计</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7.1.1 合同当事人约定的施工组织设计应包括的其他内容：</w:t>
      </w:r>
      <w:r>
        <w:rPr>
          <w:rFonts w:hint="eastAsia" w:ascii="宋体" w:hAnsi="宋体" w:eastAsia="宋体" w:cs="宋体"/>
          <w:color w:val="auto"/>
          <w:sz w:val="21"/>
          <w:szCs w:val="21"/>
          <w:highlight w:val="none"/>
          <w:u w:val="single"/>
        </w:rPr>
        <w:t>(1)管理人员名单，含职称、职务并附相关人员岗位证书等复印件；（2）施工进度计划包括总进度计划、分阶段和分项进度计划、设备材料人员进场计划；施工方案说明包括分部、分项工程或工程部位的名称及施工顺序和方法；（3）国家及地方有关规定应当提交的内容。</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eastAsia="宋体" w:cs="宋体"/>
          <w:color w:val="auto"/>
          <w:kern w:val="0"/>
          <w:sz w:val="21"/>
          <w:szCs w:val="21"/>
          <w:highlight w:val="none"/>
        </w:rPr>
        <w:t>施工组织设计的提交和修改</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承包人提交详细施工组织设计的期限的约定：</w:t>
      </w:r>
      <w:r>
        <w:rPr>
          <w:rFonts w:hint="eastAsia" w:ascii="宋体" w:hAnsi="宋体" w:eastAsia="宋体" w:cs="宋体"/>
          <w:color w:val="auto"/>
          <w:sz w:val="21"/>
          <w:szCs w:val="21"/>
          <w:highlight w:val="none"/>
          <w:u w:val="single"/>
        </w:rPr>
        <w:t xml:space="preserve">  合同签订后14天内，最迟不得晚于开工通知载明的开工日期前7天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收到施工组织设计后7天内确认或提出修改意见。</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740" w:name="_Toc389065290"/>
      <w:bookmarkStart w:id="741" w:name="_Toc418518370"/>
      <w:bookmarkStart w:id="742" w:name="_Toc497747202"/>
      <w:bookmarkStart w:id="743" w:name="_Toc403578958"/>
      <w:bookmarkStart w:id="744" w:name="_Toc373227724"/>
      <w:bookmarkStart w:id="745" w:name="_Toc418752266"/>
      <w:bookmarkStart w:id="746" w:name="_Toc418061335"/>
      <w:bookmarkStart w:id="747" w:name="_Toc497746805"/>
      <w:bookmarkStart w:id="748" w:name="_Toc418751820"/>
      <w:bookmarkStart w:id="749" w:name="_Toc418518134"/>
      <w:bookmarkStart w:id="750" w:name="_Toc522201753"/>
      <w:bookmarkStart w:id="751" w:name="_Toc373478371"/>
      <w:bookmarkStart w:id="752" w:name="_Toc256000203"/>
      <w:bookmarkStart w:id="753" w:name="_Toc27207"/>
      <w:r>
        <w:rPr>
          <w:rFonts w:hint="eastAsia" w:ascii="宋体" w:hAnsi="宋体" w:eastAsia="宋体" w:cs="宋体"/>
          <w:color w:val="auto"/>
          <w:sz w:val="21"/>
          <w:szCs w:val="21"/>
          <w:highlight w:val="none"/>
        </w:rPr>
        <w:t>7</w:t>
      </w:r>
      <w:bookmarkStart w:id="754" w:name="_Toc303539123"/>
      <w:bookmarkStart w:id="755" w:name="_Toc312678005"/>
      <w:bookmarkStart w:id="756" w:name="_Toc304295541"/>
      <w:bookmarkStart w:id="757" w:name="_Toc300934966"/>
      <w:bookmarkStart w:id="758" w:name="_Toc312677479"/>
      <w:bookmarkStart w:id="759" w:name="_Toc297123514"/>
      <w:bookmarkStart w:id="760" w:name="_Toc297216173"/>
      <w:r>
        <w:rPr>
          <w:rFonts w:hint="eastAsia" w:ascii="宋体" w:hAnsi="宋体" w:eastAsia="宋体" w:cs="宋体"/>
          <w:color w:val="auto"/>
          <w:sz w:val="21"/>
          <w:szCs w:val="21"/>
          <w:highlight w:val="none"/>
        </w:rPr>
        <w:t>.2 施工进度计划</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（1）发包人和监理人在收到修订的施工进度计划后确认或提出修改意见的期限：</w:t>
      </w:r>
      <w:r>
        <w:rPr>
          <w:rFonts w:hint="eastAsia" w:ascii="宋体" w:hAnsi="宋体" w:eastAsia="宋体" w:cs="宋体"/>
          <w:color w:val="auto"/>
          <w:sz w:val="21"/>
          <w:szCs w:val="21"/>
          <w:highlight w:val="none"/>
          <w:u w:val="single"/>
        </w:rPr>
        <w:t>自监理人收到承包人报送的相关进度计划后 7天内。</w:t>
      </w:r>
      <w:r>
        <w:rPr>
          <w:rFonts w:hint="eastAsia" w:ascii="宋体" w:hAnsi="宋体" w:eastAsia="宋体" w:cs="宋体"/>
          <w:color w:val="auto"/>
          <w:sz w:val="21"/>
          <w:szCs w:val="21"/>
          <w:highlight w:val="none"/>
        </w:rPr>
        <w:t xml:space="preserve"> </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（2）承包人编制分阶段或分项施工进度计划和施工方案说明的内容：</w:t>
      </w:r>
      <w:r>
        <w:rPr>
          <w:rFonts w:hint="eastAsia" w:ascii="宋体" w:hAnsi="宋体" w:eastAsia="宋体" w:cs="宋体"/>
          <w:color w:val="auto"/>
          <w:sz w:val="21"/>
          <w:szCs w:val="21"/>
          <w:highlight w:val="none"/>
          <w:u w:val="single"/>
        </w:rPr>
        <w:t>包含但不限于月进度计划、原地面测量方案、不良地基处理方案等。</w:t>
      </w:r>
      <w:r>
        <w:rPr>
          <w:rFonts w:hint="eastAsia" w:ascii="宋体" w:hAnsi="宋体" w:eastAsia="宋体" w:cs="宋体"/>
          <w:color w:val="auto"/>
          <w:sz w:val="21"/>
          <w:szCs w:val="21"/>
          <w:highlight w:val="none"/>
        </w:rPr>
        <w:t xml:space="preserve"> </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承包人报送分阶段或分项施工进度计划和施工方案说明的期限： </w:t>
      </w:r>
      <w:r>
        <w:rPr>
          <w:rFonts w:hint="eastAsia" w:ascii="宋体" w:hAnsi="宋体" w:eastAsia="宋体" w:cs="宋体"/>
          <w:color w:val="auto"/>
          <w:sz w:val="21"/>
          <w:szCs w:val="21"/>
          <w:highlight w:val="none"/>
          <w:u w:val="single"/>
        </w:rPr>
        <w:t>月进度计划于上月 30 日前提交，分项施工进度计划和施工方案说明应不迟于该分项工程施工前14 天提交。</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761" w:name="_Toc373478372"/>
      <w:bookmarkStart w:id="762" w:name="_Toc418752267"/>
      <w:bookmarkStart w:id="763" w:name="_Toc497746806"/>
      <w:bookmarkStart w:id="764" w:name="_Toc403578959"/>
      <w:bookmarkStart w:id="765" w:name="_Toc418518135"/>
      <w:bookmarkStart w:id="766" w:name="_Toc522201754"/>
      <w:bookmarkStart w:id="767" w:name="_Toc256000204"/>
      <w:bookmarkStart w:id="768" w:name="_Toc389065291"/>
      <w:bookmarkStart w:id="769" w:name="_Toc373227725"/>
      <w:bookmarkStart w:id="770" w:name="_Toc418751821"/>
      <w:bookmarkStart w:id="771" w:name="_Toc418061336"/>
      <w:bookmarkStart w:id="772" w:name="_Toc418518371"/>
      <w:bookmarkStart w:id="773" w:name="_Toc497747203"/>
      <w:bookmarkStart w:id="774" w:name="_Toc15584"/>
      <w:r>
        <w:rPr>
          <w:rFonts w:hint="eastAsia" w:ascii="宋体" w:hAnsi="宋体" w:eastAsia="宋体" w:cs="宋体"/>
          <w:color w:val="auto"/>
          <w:sz w:val="21"/>
          <w:szCs w:val="21"/>
          <w:highlight w:val="none"/>
        </w:rPr>
        <w:t>7.3 开工</w:t>
      </w:r>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pPr>
        <w:pStyle w:val="31"/>
        <w:pageBreakBefore w:val="0"/>
        <w:widowControl w:val="0"/>
        <w:kinsoku/>
        <w:wordWrap/>
        <w:overflowPunct/>
        <w:topLinePunct w:val="0"/>
        <w:bidi w:val="0"/>
        <w:snapToGrid/>
        <w:spacing w:line="380" w:lineRule="exact"/>
        <w:ind w:left="0" w:leftChars="0" w:right="0" w:rightChars="0" w:firstLine="525" w:firstLineChars="25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w:t>
      </w:r>
      <w:r>
        <w:rPr>
          <w:rFonts w:hint="eastAsia" w:ascii="宋体" w:hAnsi="宋体" w:eastAsia="宋体" w:cs="宋体"/>
          <w:color w:val="auto"/>
          <w:kern w:val="0"/>
          <w:sz w:val="21"/>
          <w:szCs w:val="21"/>
          <w:highlight w:val="none"/>
        </w:rPr>
        <w:t>工程开工报审表的期限：</w:t>
      </w:r>
      <w:r>
        <w:rPr>
          <w:rFonts w:hint="eastAsia" w:ascii="宋体" w:hAnsi="宋体" w:eastAsia="宋体" w:cs="宋体"/>
          <w:color w:val="auto"/>
          <w:sz w:val="21"/>
          <w:szCs w:val="21"/>
          <w:highlight w:val="none"/>
          <w:u w:val="single"/>
        </w:rPr>
        <w:t xml:space="preserve">  7天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关于发包人应完成的其他开工准备工作及期限：</w:t>
      </w:r>
      <w:r>
        <w:rPr>
          <w:rFonts w:hint="eastAsia" w:ascii="宋体" w:hAnsi="宋体" w:eastAsia="宋体" w:cs="宋体"/>
          <w:color w:val="auto"/>
          <w:sz w:val="21"/>
          <w:szCs w:val="21"/>
          <w:highlight w:val="none"/>
          <w:u w:val="single"/>
        </w:rPr>
        <w:t xml:space="preserve">   7天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关于承包人应完成的其他开工准备工作及期限：</w:t>
      </w:r>
      <w:r>
        <w:rPr>
          <w:rFonts w:hint="eastAsia" w:ascii="宋体" w:hAnsi="宋体" w:eastAsia="宋体" w:cs="宋体"/>
          <w:color w:val="auto"/>
          <w:sz w:val="21"/>
          <w:szCs w:val="21"/>
          <w:highlight w:val="none"/>
          <w:u w:val="single"/>
        </w:rPr>
        <w:t xml:space="preserve">   7天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 开工通知</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因发包人原因造成监理人未能在计划开工日期之日起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天内发出开工通知的，承包人有权提出价格调整要求，或者解除合同。</w:t>
      </w:r>
    </w:p>
    <w:bookmarkEnd w:id="754"/>
    <w:bookmarkEnd w:id="755"/>
    <w:bookmarkEnd w:id="756"/>
    <w:bookmarkEnd w:id="757"/>
    <w:bookmarkEnd w:id="758"/>
    <w:bookmarkEnd w:id="759"/>
    <w:bookmarkEnd w:id="760"/>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775" w:name="_Toc389065292"/>
      <w:bookmarkStart w:id="776" w:name="_Toc418751822"/>
      <w:bookmarkStart w:id="777" w:name="_Toc497746807"/>
      <w:bookmarkStart w:id="778" w:name="_Toc418752268"/>
      <w:bookmarkStart w:id="779" w:name="_Toc403578960"/>
      <w:bookmarkStart w:id="780" w:name="_Toc522201755"/>
      <w:bookmarkStart w:id="781" w:name="_Toc256000205"/>
      <w:bookmarkStart w:id="782" w:name="_Toc418061337"/>
      <w:bookmarkStart w:id="783" w:name="_Toc373227726"/>
      <w:bookmarkStart w:id="784" w:name="_Toc418518372"/>
      <w:bookmarkStart w:id="785" w:name="_Toc373478373"/>
      <w:bookmarkStart w:id="786" w:name="_Toc418518136"/>
      <w:bookmarkStart w:id="787" w:name="_Toc497747204"/>
      <w:bookmarkStart w:id="788" w:name="_Toc12998"/>
      <w:r>
        <w:rPr>
          <w:rFonts w:hint="eastAsia" w:ascii="宋体" w:hAnsi="宋体" w:eastAsia="宋体" w:cs="宋体"/>
          <w:color w:val="auto"/>
          <w:sz w:val="21"/>
          <w:szCs w:val="21"/>
          <w:highlight w:val="none"/>
        </w:rPr>
        <w:t>7.4 测量放线</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7.4.1发包人通过监理人向承包人提供测量基准点、基准线和水准点及其书面资料的期限：</w:t>
      </w:r>
      <w:r>
        <w:rPr>
          <w:rFonts w:hint="eastAsia" w:ascii="宋体" w:hAnsi="宋体" w:eastAsia="宋体" w:cs="宋体"/>
          <w:color w:val="auto"/>
          <w:sz w:val="21"/>
          <w:szCs w:val="21"/>
          <w:highlight w:val="none"/>
          <w:u w:val="single"/>
        </w:rPr>
        <w:t>开工通知载明的开工日前 7 天，承包人进入工地后进行现场书面交桩。水准点、座标控制点交验完毕，即由承包人负责保护，此后由于破坏或失准带来的重新测量、放点费用及由此造成的其他损失均由承包人负担； 承包人应于开工通知后七天内现场校验，并根据国家测绘基准、测绘系统和工程测量技术规范，按上述基准点（线）以及合同工程精度要求，测设施工控制网，三方做好签认工作；承包人应于开工前3天，并在工程竣工后将施工控制网点移交发包人 。</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789" w:name="_Toc256000206"/>
      <w:bookmarkStart w:id="790" w:name="_Toc418518373"/>
      <w:bookmarkStart w:id="791" w:name="_Toc497747205"/>
      <w:bookmarkStart w:id="792" w:name="_Toc522201756"/>
      <w:bookmarkStart w:id="793" w:name="_Toc373227727"/>
      <w:bookmarkStart w:id="794" w:name="_Toc418752269"/>
      <w:bookmarkStart w:id="795" w:name="_Toc403578961"/>
      <w:bookmarkStart w:id="796" w:name="_Toc418518137"/>
      <w:bookmarkStart w:id="797" w:name="_Toc389065293"/>
      <w:bookmarkStart w:id="798" w:name="_Toc418751823"/>
      <w:bookmarkStart w:id="799" w:name="_Toc497746808"/>
      <w:bookmarkStart w:id="800" w:name="_Toc373478374"/>
      <w:bookmarkStart w:id="801" w:name="_Toc418061338"/>
      <w:bookmarkStart w:id="802" w:name="_Toc31796"/>
      <w:r>
        <w:rPr>
          <w:rFonts w:hint="eastAsia" w:ascii="宋体" w:hAnsi="宋体" w:eastAsia="宋体" w:cs="宋体"/>
          <w:color w:val="auto"/>
          <w:sz w:val="21"/>
          <w:szCs w:val="21"/>
          <w:highlight w:val="none"/>
        </w:rPr>
        <w:t>7</w:t>
      </w:r>
      <w:bookmarkStart w:id="803" w:name="_Toc312678010"/>
      <w:bookmarkStart w:id="804" w:name="_Toc312677484"/>
      <w:bookmarkStart w:id="805" w:name="_Toc304295546"/>
      <w:bookmarkStart w:id="806" w:name="_Toc300934968"/>
      <w:bookmarkStart w:id="807" w:name="_Toc303539125"/>
      <w:bookmarkStart w:id="808" w:name="_Toc297123516"/>
      <w:bookmarkStart w:id="809" w:name="_Toc297216175"/>
      <w:r>
        <w:rPr>
          <w:rFonts w:hint="eastAsia" w:ascii="宋体" w:hAnsi="宋体" w:eastAsia="宋体" w:cs="宋体"/>
          <w:color w:val="auto"/>
          <w:sz w:val="21"/>
          <w:szCs w:val="21"/>
          <w:highlight w:val="none"/>
        </w:rPr>
        <w:t>.5 工期延误</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bookmarkEnd w:id="803"/>
    <w:bookmarkEnd w:id="804"/>
    <w:bookmarkEnd w:id="805"/>
    <w:bookmarkEnd w:id="806"/>
    <w:bookmarkEnd w:id="807"/>
    <w:bookmarkEnd w:id="808"/>
    <w:bookmarkEnd w:id="809"/>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7.5.1 因发包人原因导致工期延误</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rPr>
        <w:t xml:space="preserve">无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810" w:name="_Toc312678012"/>
      <w:bookmarkStart w:id="811" w:name="_Toc318581169"/>
      <w:bookmarkStart w:id="812" w:name="_Toc312677486"/>
      <w:bookmarkStart w:id="813" w:name="_Toc297216177"/>
      <w:bookmarkStart w:id="814" w:name="_Toc300934970"/>
      <w:bookmarkStart w:id="815" w:name="_Toc303539127"/>
      <w:bookmarkStart w:id="816" w:name="_Toc304295548"/>
      <w:bookmarkStart w:id="817" w:name="_Toc297123518"/>
      <w:r>
        <w:rPr>
          <w:rFonts w:hint="eastAsia" w:ascii="宋体" w:hAnsi="宋体" w:eastAsia="宋体" w:cs="宋体"/>
          <w:color w:val="auto"/>
          <w:sz w:val="21"/>
          <w:szCs w:val="21"/>
          <w:highlight w:val="none"/>
        </w:rPr>
        <w:t>.5.2 因承包人原因导致工期延误</w:t>
      </w:r>
    </w:p>
    <w:bookmarkEnd w:id="810"/>
    <w:bookmarkEnd w:id="811"/>
    <w:bookmarkEnd w:id="812"/>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双方约定经监理工程师确认，工期相应顺延的情况：</w:t>
      </w:r>
      <w:r>
        <w:rPr>
          <w:rFonts w:hint="eastAsia" w:ascii="宋体" w:hAnsi="宋体" w:eastAsia="宋体" w:cs="宋体"/>
          <w:color w:val="auto"/>
          <w:sz w:val="21"/>
          <w:szCs w:val="21"/>
          <w:highlight w:val="none"/>
          <w:u w:val="single"/>
        </w:rPr>
        <w:t xml:space="preserve">  非承包人原因导致的工期延误，合同工期相应顺延</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w:t>
      </w:r>
      <w:bookmarkStart w:id="818" w:name="_Toc312677487"/>
      <w:bookmarkStart w:id="819" w:name="_Toc318581170"/>
      <w:bookmarkStart w:id="820" w:name="_Toc312678013"/>
      <w:r>
        <w:rPr>
          <w:rFonts w:hint="eastAsia" w:ascii="宋体" w:hAnsi="宋体" w:eastAsia="宋体" w:cs="宋体"/>
          <w:color w:val="auto"/>
          <w:sz w:val="21"/>
          <w:szCs w:val="21"/>
          <w:highlight w:val="none"/>
        </w:rPr>
        <w:t>承包人原因造成工期延误，逾期竣工违约金的计算方法为：</w:t>
      </w:r>
      <w:r>
        <w:rPr>
          <w:rFonts w:hint="eastAsia" w:ascii="宋体" w:hAnsi="宋体" w:eastAsia="宋体" w:cs="宋体"/>
          <w:color w:val="auto"/>
          <w:sz w:val="21"/>
          <w:szCs w:val="21"/>
          <w:highlight w:val="none"/>
          <w:u w:val="single"/>
        </w:rPr>
        <w:t xml:space="preserve">非上述原因，承包人不能按合同约定的时间竣工，承包人应承担违约责任，并应向发包人支付误期赔偿费（每天赔偿金额为合同价款扣除社会保险费、发包人材料价款、暂估专业工程、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如非承包人原因造成工期延误则承包人须在规定的时间内提出书面意见，逾期则视为承包人自行放弃。由于承包人原因造成本工程延期三个月的，除按上述标准赔偿给发包人外，发包人有权中止合同，并依法追究承包人的违约责任，由此造成的一切损失均由责任人负责。 </w:t>
      </w:r>
    </w:p>
    <w:bookmarkEnd w:id="813"/>
    <w:bookmarkEnd w:id="814"/>
    <w:bookmarkEnd w:id="815"/>
    <w:bookmarkEnd w:id="816"/>
    <w:bookmarkEnd w:id="817"/>
    <w:bookmarkEnd w:id="818"/>
    <w:bookmarkEnd w:id="819"/>
    <w:bookmarkEnd w:id="820"/>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因承包人原因造成工期延误，逾</w:t>
      </w:r>
      <w:bookmarkStart w:id="821" w:name="_Toc318581171"/>
      <w:bookmarkStart w:id="822" w:name="_Toc312678014"/>
      <w:r>
        <w:rPr>
          <w:rFonts w:hint="eastAsia" w:ascii="宋体" w:hAnsi="宋体" w:eastAsia="宋体" w:cs="宋体"/>
          <w:color w:val="auto"/>
          <w:sz w:val="21"/>
          <w:szCs w:val="21"/>
          <w:highlight w:val="none"/>
        </w:rPr>
        <w:t>期竣工违约金的上限：</w:t>
      </w:r>
      <w:r>
        <w:rPr>
          <w:rFonts w:hint="eastAsia" w:ascii="宋体" w:hAnsi="宋体" w:eastAsia="宋体" w:cs="宋体"/>
          <w:color w:val="auto"/>
          <w:sz w:val="21"/>
          <w:szCs w:val="21"/>
          <w:highlight w:val="none"/>
          <w:u w:val="single"/>
          <w:lang w:eastAsia="zh-CN"/>
        </w:rPr>
        <w:t>结算</w:t>
      </w:r>
      <w:r>
        <w:rPr>
          <w:rFonts w:hint="eastAsia" w:ascii="宋体" w:hAnsi="宋体" w:eastAsia="宋体" w:cs="宋体"/>
          <w:color w:val="auto"/>
          <w:sz w:val="21"/>
          <w:szCs w:val="21"/>
          <w:highlight w:val="none"/>
          <w:u w:val="single"/>
        </w:rPr>
        <w:t>价扣除社会保险费、发包人材料价款、暂估专业工程、暂列金额后的3%</w:t>
      </w:r>
      <w:r>
        <w:rPr>
          <w:rFonts w:hint="eastAsia" w:ascii="宋体" w:hAnsi="宋体" w:eastAsia="宋体" w:cs="宋体"/>
          <w:color w:val="auto"/>
          <w:sz w:val="21"/>
          <w:szCs w:val="21"/>
          <w:highlight w:val="none"/>
        </w:rPr>
        <w:t>。</w:t>
      </w:r>
    </w:p>
    <w:bookmarkEnd w:id="821"/>
    <w:bookmarkEnd w:id="822"/>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823" w:name="_Toc418518138"/>
      <w:bookmarkStart w:id="824" w:name="_Toc389065294"/>
      <w:bookmarkStart w:id="825" w:name="_Toc403578962"/>
      <w:bookmarkStart w:id="826" w:name="_Toc418752270"/>
      <w:bookmarkStart w:id="827" w:name="_Toc522201757"/>
      <w:bookmarkStart w:id="828" w:name="_Toc497747206"/>
      <w:bookmarkStart w:id="829" w:name="_Toc418061339"/>
      <w:bookmarkStart w:id="830" w:name="_Toc256000207"/>
      <w:bookmarkStart w:id="831" w:name="_Toc373478375"/>
      <w:bookmarkStart w:id="832" w:name="_Toc418751824"/>
      <w:bookmarkStart w:id="833" w:name="_Toc418518374"/>
      <w:bookmarkStart w:id="834" w:name="_Toc497746809"/>
      <w:bookmarkStart w:id="835" w:name="_Toc373227728"/>
      <w:bookmarkStart w:id="836" w:name="_Toc501"/>
      <w:r>
        <w:rPr>
          <w:rFonts w:hint="eastAsia" w:ascii="宋体" w:hAnsi="宋体" w:eastAsia="宋体" w:cs="宋体"/>
          <w:color w:val="auto"/>
          <w:sz w:val="21"/>
          <w:szCs w:val="21"/>
          <w:highlight w:val="none"/>
        </w:rPr>
        <w:t>7</w:t>
      </w:r>
      <w:bookmarkStart w:id="837" w:name="_Toc304295549"/>
      <w:bookmarkStart w:id="838" w:name="_Toc300934971"/>
      <w:bookmarkStart w:id="839" w:name="_Toc303539128"/>
      <w:bookmarkStart w:id="840" w:name="_Toc312678015"/>
      <w:bookmarkStart w:id="841" w:name="_Toc297216178"/>
      <w:bookmarkStart w:id="842" w:name="_Toc297123519"/>
      <w:r>
        <w:rPr>
          <w:rFonts w:hint="eastAsia" w:ascii="宋体" w:hAnsi="宋体" w:eastAsia="宋体" w:cs="宋体"/>
          <w:color w:val="auto"/>
          <w:sz w:val="21"/>
          <w:szCs w:val="21"/>
          <w:highlight w:val="none"/>
        </w:rPr>
        <w:t>.6 不</w:t>
      </w:r>
      <w:bookmarkEnd w:id="837"/>
      <w:bookmarkEnd w:id="838"/>
      <w:bookmarkEnd w:id="839"/>
      <w:bookmarkEnd w:id="840"/>
      <w:bookmarkEnd w:id="841"/>
      <w:bookmarkEnd w:id="842"/>
      <w:r>
        <w:rPr>
          <w:rFonts w:hint="eastAsia" w:ascii="宋体" w:hAnsi="宋体" w:eastAsia="宋体" w:cs="宋体"/>
          <w:color w:val="auto"/>
          <w:sz w:val="21"/>
          <w:szCs w:val="21"/>
          <w:highlight w:val="none"/>
        </w:rPr>
        <w:t>利物质条件</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bookmarkStart w:id="843" w:name="_Toc300934972"/>
      <w:bookmarkStart w:id="844" w:name="_Toc318581172"/>
      <w:bookmarkStart w:id="845" w:name="_Toc304295550"/>
      <w:bookmarkStart w:id="846" w:name="_Toc297216179"/>
      <w:bookmarkStart w:id="847" w:name="_Toc297123520"/>
      <w:bookmarkStart w:id="848" w:name="_Toc312678016"/>
      <w:bookmarkStart w:id="849" w:name="_Toc303539129"/>
      <w:r>
        <w:rPr>
          <w:rFonts w:hint="eastAsia" w:ascii="宋体" w:hAnsi="宋体" w:eastAsia="宋体" w:cs="宋体"/>
          <w:color w:val="auto"/>
          <w:sz w:val="21"/>
          <w:szCs w:val="21"/>
          <w:highlight w:val="none"/>
        </w:rPr>
        <w:t>不利物质条件的其他情形和有关约定：</w:t>
      </w:r>
      <w:r>
        <w:rPr>
          <w:rFonts w:hint="eastAsia" w:ascii="宋体" w:hAnsi="宋体" w:eastAsia="宋体" w:cs="宋体"/>
          <w:color w:val="auto"/>
          <w:sz w:val="21"/>
          <w:szCs w:val="21"/>
          <w:highlight w:val="none"/>
          <w:u w:val="single"/>
        </w:rPr>
        <w:t xml:space="preserve">  一周内非承包人原因，停水、停电、停气造成停工连续超过8小时；重大设计变更和工程量增加；发包人手续不全致使施工不能正常进行；发包人未能按约定时间支付工程款致使施工不能正常进行的；非承包人原因的政府及发包人有关的停工通知，以上不利物质条件延误工期的相应延长工期，因发包人原因给承包人造成损失的由发包人相应赔偿承包人，属政府和环境等原因的，双方协商处理</w:t>
      </w:r>
      <w:r>
        <w:rPr>
          <w:rFonts w:hint="eastAsia" w:ascii="宋体" w:hAnsi="宋体" w:eastAsia="宋体" w:cs="宋体"/>
          <w:color w:val="auto"/>
          <w:sz w:val="21"/>
          <w:szCs w:val="21"/>
          <w:highlight w:val="none"/>
        </w:rPr>
        <w:t>。</w:t>
      </w:r>
    </w:p>
    <w:bookmarkEnd w:id="843"/>
    <w:bookmarkEnd w:id="844"/>
    <w:bookmarkEnd w:id="845"/>
    <w:bookmarkEnd w:id="846"/>
    <w:bookmarkEnd w:id="847"/>
    <w:bookmarkEnd w:id="848"/>
    <w:bookmarkEnd w:id="849"/>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850" w:name="_Toc418518375"/>
      <w:bookmarkStart w:id="851" w:name="_Toc418061340"/>
      <w:bookmarkStart w:id="852" w:name="_Toc418518139"/>
      <w:bookmarkStart w:id="853" w:name="_Toc256000208"/>
      <w:bookmarkStart w:id="854" w:name="_Toc497747207"/>
      <w:bookmarkStart w:id="855" w:name="_Toc522201758"/>
      <w:bookmarkStart w:id="856" w:name="_Toc373478376"/>
      <w:bookmarkStart w:id="857" w:name="_Toc418751825"/>
      <w:bookmarkStart w:id="858" w:name="_Toc418752271"/>
      <w:bookmarkStart w:id="859" w:name="_Toc497746810"/>
      <w:bookmarkStart w:id="860" w:name="_Toc373227729"/>
      <w:bookmarkStart w:id="861" w:name="_Toc389065295"/>
      <w:bookmarkStart w:id="862" w:name="_Toc403578963"/>
      <w:bookmarkStart w:id="863" w:name="_Toc24646"/>
      <w:r>
        <w:rPr>
          <w:rFonts w:hint="eastAsia" w:ascii="宋体" w:hAnsi="宋体" w:eastAsia="宋体" w:cs="宋体"/>
          <w:color w:val="auto"/>
          <w:sz w:val="21"/>
          <w:szCs w:val="21"/>
          <w:highlight w:val="none"/>
        </w:rPr>
        <w:t>7</w:t>
      </w:r>
      <w:bookmarkStart w:id="864" w:name="_Toc303539130"/>
      <w:bookmarkStart w:id="865" w:name="_Toc300934973"/>
      <w:bookmarkStart w:id="866" w:name="_Toc297216180"/>
      <w:bookmarkStart w:id="867" w:name="_Toc312678017"/>
      <w:bookmarkStart w:id="868" w:name="_Toc304295551"/>
      <w:bookmarkStart w:id="869" w:name="_Toc297123521"/>
      <w:r>
        <w:rPr>
          <w:rFonts w:hint="eastAsia" w:ascii="宋体" w:hAnsi="宋体" w:eastAsia="宋体" w:cs="宋体"/>
          <w:color w:val="auto"/>
          <w:sz w:val="21"/>
          <w:szCs w:val="21"/>
          <w:highlight w:val="none"/>
        </w:rPr>
        <w:t>.7 异常恶劣的气候条件</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p>
    <w:bookmarkEnd w:id="864"/>
    <w:bookmarkEnd w:id="865"/>
    <w:bookmarkEnd w:id="866"/>
    <w:bookmarkEnd w:id="867"/>
    <w:bookmarkEnd w:id="868"/>
    <w:bookmarkEnd w:id="869"/>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bookmarkStart w:id="870" w:name="_Toc418061341"/>
      <w:bookmarkStart w:id="871" w:name="_Toc373478377"/>
      <w:bookmarkStart w:id="872" w:name="_Toc373227730"/>
      <w:bookmarkStart w:id="873" w:name="_Toc418752272"/>
      <w:bookmarkStart w:id="874" w:name="_Toc497746811"/>
      <w:bookmarkStart w:id="875" w:name="_Toc418751826"/>
      <w:bookmarkStart w:id="876" w:name="_Toc389065296"/>
      <w:bookmarkStart w:id="877" w:name="_Toc418518376"/>
      <w:bookmarkStart w:id="878" w:name="_Toc497747208"/>
      <w:bookmarkStart w:id="879" w:name="_Toc403578964"/>
      <w:bookmarkStart w:id="880" w:name="_Toc418518140"/>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10级以上持续1天的大风；</w:t>
      </w:r>
    </w:p>
    <w:p>
      <w:pPr>
        <w:pStyle w:val="31"/>
        <w:pageBreakBefore w:val="0"/>
        <w:widowControl w:val="0"/>
        <w:numPr>
          <w:ilvl w:val="0"/>
          <w:numId w:val="0"/>
        </w:numPr>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u w:val="single"/>
        </w:rPr>
        <w:t>暴雨级以上持续2天的大雨；</w:t>
      </w:r>
    </w:p>
    <w:p>
      <w:pPr>
        <w:pStyle w:val="31"/>
        <w:pageBreakBefore w:val="0"/>
        <w:widowControl w:val="0"/>
        <w:numPr>
          <w:ilvl w:val="0"/>
          <w:numId w:val="0"/>
        </w:numPr>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u w:val="single"/>
        </w:rPr>
        <w:t>当地6级以上的破坏性地震；</w:t>
      </w:r>
    </w:p>
    <w:p>
      <w:pPr>
        <w:pStyle w:val="31"/>
        <w:pageBreakBefore w:val="0"/>
        <w:widowControl w:val="0"/>
        <w:numPr>
          <w:ilvl w:val="0"/>
          <w:numId w:val="0"/>
        </w:numPr>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u w:val="single"/>
        </w:rPr>
        <w:t>50年以上未发生过的持续2天的高温天气；</w:t>
      </w:r>
    </w:p>
    <w:p>
      <w:pPr>
        <w:pStyle w:val="31"/>
        <w:pageBreakBefore w:val="0"/>
        <w:widowControl w:val="0"/>
        <w:numPr>
          <w:ilvl w:val="0"/>
          <w:numId w:val="0"/>
        </w:numPr>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u w:val="single"/>
        </w:rPr>
        <w:t>50年以上未发生的持续2天的低温天气。</w:t>
      </w:r>
    </w:p>
    <w:p>
      <w:pPr>
        <w:pStyle w:val="31"/>
        <w:pageBreakBefore w:val="0"/>
        <w:widowControl w:val="0"/>
        <w:kinsoku/>
        <w:wordWrap/>
        <w:overflowPunct/>
        <w:topLinePunct w:val="0"/>
        <w:bidi w:val="0"/>
        <w:snapToGrid/>
        <w:spacing w:line="380" w:lineRule="exact"/>
        <w:ind w:left="0" w:leftChars="0" w:right="0" w:rightChars="0" w:firstLine="630" w:firstLineChars="3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施工场地受淹超过发包人提供设计图纸指明的设计洪水位以及因天气原因无法施工并经监理确认引起延误的情况。承包人有权要求发包人延长工期, 但对上述几种情形，对工程施工造成影响和灾害的，需提供政府相关部门对不可抗力认定的证明材料为依据。</w:t>
      </w:r>
    </w:p>
    <w:p>
      <w:pPr>
        <w:pStyle w:val="31"/>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7.8暂停施工</w:t>
      </w:r>
    </w:p>
    <w:p>
      <w:pPr>
        <w:pStyle w:val="36"/>
        <w:pageBreakBefore w:val="0"/>
        <w:widowControl w:val="0"/>
        <w:kinsoku/>
        <w:wordWrap/>
        <w:overflowPunct/>
        <w:topLinePunct w:val="0"/>
        <w:bidi w:val="0"/>
        <w:snapToGrid/>
        <w:spacing w:line="380" w:lineRule="exact"/>
        <w:ind w:left="0" w:leftChars="0" w:right="0" w:righ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7.8.2承包人原因引起的暂停施工</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承包人承担暂停施工责任的其他情形：</w:t>
      </w:r>
      <w:r>
        <w:rPr>
          <w:rFonts w:hint="eastAsia" w:ascii="宋体" w:hAnsi="宋体" w:eastAsia="宋体" w:cs="宋体"/>
          <w:color w:val="auto"/>
          <w:sz w:val="21"/>
          <w:szCs w:val="21"/>
          <w:highlight w:val="none"/>
          <w:u w:val="single"/>
        </w:rPr>
        <w:t>（1）监理工程师为保证工程质量和施工安全所指令的暂停施工；（2）因质量安全隐患或事故，被建设行政主管部门及安全生产监督责令暂停施工或自行暂停施工；（3）因承包人违反规范或任何工程质量不合格而进行返工、重建、修建的工期；（4）未按设计要求进行施工、或因施工组织方案不可行导致发包人未能按时审批而影响开工的；（5）工程验收不合格发现存在质量问题或技术问题需要修改的；（6）承包人与发包人未能在约定时间内达成一致而暂停施工；（7）工程质量未达到等级标准要求，发包人要求承包人返工的；（8）承包人因农忙时期而暂停施工；综述其工期不予顺延，责任自负。</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因承包人责任暂停施工延误施工时机而导致遭遇不利条件物质条件和异常恶劣的气候条件、不可抗力造成的工期延误和费用增加由承包人承担。</w:t>
      </w:r>
    </w:p>
    <w:p>
      <w:pPr>
        <w:pStyle w:val="36"/>
        <w:pageBreakBefore w:val="0"/>
        <w:widowControl w:val="0"/>
        <w:kinsoku/>
        <w:wordWrap/>
        <w:overflowPunct/>
        <w:topLinePunct w:val="0"/>
        <w:bidi w:val="0"/>
        <w:snapToGrid/>
        <w:spacing w:line="380" w:lineRule="exact"/>
        <w:ind w:left="0" w:leftChars="0" w:right="0" w:rightChars="0" w:firstLine="0" w:firstLineChars="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7.8.5暂停施工后的复工</w:t>
      </w:r>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881" w:name="_Toc256000209"/>
      <w:bookmarkStart w:id="882" w:name="_Toc522201759"/>
      <w:bookmarkStart w:id="883" w:name="_Toc30088"/>
      <w:r>
        <w:rPr>
          <w:rFonts w:hint="eastAsia" w:ascii="宋体" w:hAnsi="宋体" w:eastAsia="宋体" w:cs="宋体"/>
          <w:color w:val="auto"/>
          <w:sz w:val="21"/>
          <w:szCs w:val="21"/>
          <w:highlight w:val="none"/>
        </w:rPr>
        <w:t>7.9 提前竣工</w:t>
      </w:r>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7.9.2提前竣工的奖励：</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29"/>
        <w:pageBreakBefore w:val="0"/>
        <w:widowControl w:val="0"/>
        <w:numPr>
          <w:ilvl w:val="0"/>
          <w:numId w:val="6"/>
        </w:numPr>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884" w:name="_Toc389065297"/>
      <w:bookmarkStart w:id="885" w:name="_Toc351203640"/>
      <w:bookmarkStart w:id="886" w:name="_Toc418518377"/>
      <w:bookmarkStart w:id="887" w:name="_Toc418752273"/>
      <w:bookmarkStart w:id="888" w:name="_Toc373227731"/>
      <w:bookmarkStart w:id="889" w:name="_Toc497747209"/>
      <w:bookmarkStart w:id="890" w:name="_Toc418518141"/>
      <w:bookmarkStart w:id="891" w:name="_Toc418061342"/>
      <w:bookmarkStart w:id="892" w:name="_Toc522201760"/>
      <w:bookmarkStart w:id="893" w:name="_Toc497746812"/>
      <w:bookmarkStart w:id="894" w:name="_Toc418751827"/>
      <w:bookmarkStart w:id="895" w:name="_Toc256000210"/>
      <w:bookmarkStart w:id="896" w:name="_Toc403578965"/>
      <w:bookmarkStart w:id="897" w:name="_Toc373478378"/>
      <w:bookmarkStart w:id="898" w:name="_Toc26701"/>
      <w:r>
        <w:rPr>
          <w:rFonts w:hint="eastAsia" w:ascii="宋体" w:hAnsi="宋体" w:eastAsia="宋体" w:cs="宋体"/>
          <w:color w:val="auto"/>
          <w:sz w:val="21"/>
          <w:szCs w:val="21"/>
          <w:highlight w:val="none"/>
        </w:rPr>
        <w:t>材料与设备</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pPr>
        <w:pStyle w:val="36"/>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承包人采购材料和设备的约定：</w:t>
      </w:r>
    </w:p>
    <w:bookmarkEnd w:id="640"/>
    <w:bookmarkEnd w:id="641"/>
    <w:bookmarkEnd w:id="642"/>
    <w:bookmarkEnd w:id="643"/>
    <w:bookmarkEnd w:id="644"/>
    <w:bookmarkEnd w:id="645"/>
    <w:bookmarkEnd w:id="646"/>
    <w:bookmarkEnd w:id="647"/>
    <w:bookmarkEnd w:id="648"/>
    <w:bookmarkEnd w:id="649"/>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899" w:name="_Toc418752274"/>
      <w:bookmarkStart w:id="900" w:name="_Toc497747210"/>
      <w:bookmarkStart w:id="901" w:name="_Toc403578966"/>
      <w:bookmarkStart w:id="902" w:name="_Toc256000211"/>
      <w:bookmarkStart w:id="903" w:name="_Toc522201761"/>
      <w:bookmarkStart w:id="904" w:name="_Toc373227732"/>
      <w:bookmarkStart w:id="905" w:name="_Toc418518142"/>
      <w:bookmarkStart w:id="906" w:name="_Toc497746813"/>
      <w:bookmarkStart w:id="907" w:name="_Toc418751828"/>
      <w:bookmarkStart w:id="908" w:name="_Toc418518378"/>
      <w:bookmarkStart w:id="909" w:name="_Toc418061343"/>
      <w:bookmarkStart w:id="910" w:name="_Toc373478379"/>
      <w:bookmarkStart w:id="911" w:name="_Toc389065298"/>
      <w:bookmarkStart w:id="912" w:name="_Toc28366"/>
      <w:r>
        <w:rPr>
          <w:rFonts w:hint="eastAsia" w:ascii="宋体" w:hAnsi="宋体" w:eastAsia="宋体" w:cs="宋体"/>
          <w:color w:val="auto"/>
          <w:sz w:val="21"/>
          <w:szCs w:val="21"/>
          <w:highlight w:val="none"/>
        </w:rPr>
        <w:t>8.2 承包人采购材料与工程设备</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除已标价工程量清单《发包人提供主要材料和工程设备一览表》（表-21）中明确的材料、工程设备外，由承包人负责材料和工程设备的采购、运输和保管。《</w:t>
      </w:r>
      <w:r>
        <w:rPr>
          <w:rFonts w:hint="eastAsia" w:ascii="宋体" w:hAnsi="宋体" w:eastAsia="宋体" w:cs="宋体"/>
          <w:color w:val="auto"/>
          <w:sz w:val="21"/>
          <w:szCs w:val="21"/>
          <w:highlight w:val="none"/>
        </w:rPr>
        <w:t>承包人提供主要材料和工程设备一览表》</w:t>
      </w:r>
      <w:r>
        <w:rPr>
          <w:rFonts w:hint="eastAsia" w:ascii="宋体" w:hAnsi="宋体" w:eastAsia="宋体" w:cs="宋体"/>
          <w:color w:val="auto"/>
          <w:kern w:val="0"/>
          <w:sz w:val="21"/>
          <w:szCs w:val="21"/>
          <w:highlight w:val="none"/>
        </w:rPr>
        <w:t>（表-22）见已标价工程量清单。</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913" w:name="_Toc497747211"/>
      <w:bookmarkStart w:id="914" w:name="_Toc418518143"/>
      <w:bookmarkStart w:id="915" w:name="_Toc373227733"/>
      <w:bookmarkStart w:id="916" w:name="_Toc522201762"/>
      <w:bookmarkStart w:id="917" w:name="_Toc418752275"/>
      <w:bookmarkStart w:id="918" w:name="_Toc373478380"/>
      <w:bookmarkStart w:id="919" w:name="_Toc497746814"/>
      <w:bookmarkStart w:id="920" w:name="_Toc389065299"/>
      <w:bookmarkStart w:id="921" w:name="_Toc418061344"/>
      <w:bookmarkStart w:id="922" w:name="_Toc418751829"/>
      <w:bookmarkStart w:id="923" w:name="_Toc403578967"/>
      <w:bookmarkStart w:id="924" w:name="_Toc418518379"/>
      <w:bookmarkStart w:id="925" w:name="_Toc256000212"/>
      <w:bookmarkStart w:id="926" w:name="_Toc7052"/>
      <w:r>
        <w:rPr>
          <w:rFonts w:hint="eastAsia" w:ascii="宋体" w:hAnsi="宋体" w:eastAsia="宋体" w:cs="宋体"/>
          <w:color w:val="auto"/>
          <w:sz w:val="21"/>
          <w:szCs w:val="21"/>
          <w:highlight w:val="none"/>
        </w:rPr>
        <w:t>8</w:t>
      </w:r>
      <w:bookmarkStart w:id="927" w:name="_Toc312678019"/>
      <w:bookmarkStart w:id="928" w:name="_Toc312677493"/>
      <w:bookmarkStart w:id="929" w:name="_Toc280868654"/>
      <w:bookmarkStart w:id="930" w:name="_Toc297048353"/>
      <w:bookmarkStart w:id="931" w:name="_Toc297120467"/>
      <w:bookmarkStart w:id="932" w:name="_Toc304295556"/>
      <w:bookmarkStart w:id="933" w:name="_Toc296346668"/>
      <w:bookmarkStart w:id="934" w:name="_Toc292559372"/>
      <w:bookmarkStart w:id="935" w:name="_Toc292559877"/>
      <w:bookmarkStart w:id="936" w:name="_Toc296890995"/>
      <w:bookmarkStart w:id="937" w:name="_Toc297216186"/>
      <w:bookmarkStart w:id="938" w:name="_Toc300934979"/>
      <w:bookmarkStart w:id="939" w:name="_Toc296944506"/>
      <w:bookmarkStart w:id="940" w:name="_Toc296891207"/>
      <w:bookmarkStart w:id="941" w:name="_Toc296347166"/>
      <w:bookmarkStart w:id="942" w:name="_Toc296503167"/>
      <w:bookmarkStart w:id="943" w:name="_Toc303539136"/>
      <w:bookmarkStart w:id="944" w:name="_Toc297123527"/>
      <w:bookmarkStart w:id="945" w:name="_Toc280868655"/>
      <w:bookmarkStart w:id="946" w:name="_Toc280868656"/>
      <w:bookmarkStart w:id="947" w:name="_Toc267251424"/>
      <w:r>
        <w:rPr>
          <w:rFonts w:hint="eastAsia" w:ascii="宋体" w:hAnsi="宋体" w:eastAsia="宋体" w:cs="宋体"/>
          <w:color w:val="auto"/>
          <w:sz w:val="21"/>
          <w:szCs w:val="21"/>
          <w:highlight w:val="none"/>
        </w:rPr>
        <w:t>.4 材料与工程设备的保管与使用</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948" w:name="_Toc292559878"/>
      <w:bookmarkStart w:id="949" w:name="_Toc292559373"/>
      <w:bookmarkStart w:id="950" w:name="_Toc297120468"/>
      <w:bookmarkStart w:id="951" w:name="_Toc296346669"/>
      <w:bookmarkStart w:id="952" w:name="_Toc296890996"/>
      <w:bookmarkStart w:id="953" w:name="_Toc296503168"/>
      <w:bookmarkStart w:id="954" w:name="_Toc303539137"/>
      <w:bookmarkStart w:id="955" w:name="_Toc297048354"/>
      <w:bookmarkStart w:id="956" w:name="_Toc300934980"/>
      <w:bookmarkStart w:id="957" w:name="_Toc304295557"/>
      <w:bookmarkStart w:id="958" w:name="_Toc297123528"/>
      <w:bookmarkStart w:id="959" w:name="_Toc318581173"/>
      <w:bookmarkStart w:id="960" w:name="_Toc312678020"/>
      <w:bookmarkStart w:id="961" w:name="_Toc296944507"/>
      <w:bookmarkStart w:id="962" w:name="_Toc297216187"/>
      <w:bookmarkStart w:id="963" w:name="_Toc312677494"/>
      <w:bookmarkStart w:id="964" w:name="_Toc296347167"/>
      <w:bookmarkStart w:id="965" w:name="_Toc296891208"/>
      <w:r>
        <w:rPr>
          <w:rFonts w:hint="eastAsia" w:ascii="宋体" w:hAnsi="宋体" w:eastAsia="宋体" w:cs="宋体"/>
          <w:color w:val="auto"/>
          <w:sz w:val="21"/>
          <w:szCs w:val="21"/>
          <w:highlight w:val="none"/>
        </w:rPr>
        <w:t>.4.1发包人供应的材料设备的保管费用的承担：</w:t>
      </w:r>
      <w:r>
        <w:rPr>
          <w:rFonts w:hint="eastAsia" w:ascii="宋体" w:hAnsi="宋体" w:eastAsia="宋体" w:cs="宋体"/>
          <w:color w:val="auto"/>
          <w:sz w:val="21"/>
          <w:szCs w:val="21"/>
          <w:highlight w:val="none"/>
          <w:u w:val="single"/>
        </w:rPr>
        <w:t>发包人供应的材料和设备经三方验收合格后，保管费用由承包人承担</w:t>
      </w:r>
      <w:r>
        <w:rPr>
          <w:rFonts w:hint="eastAsia" w:ascii="宋体" w:hAnsi="宋体" w:eastAsia="宋体" w:cs="宋体"/>
          <w:color w:val="auto"/>
          <w:sz w:val="21"/>
          <w:szCs w:val="21"/>
          <w:highlight w:val="none"/>
        </w:rPr>
        <w:t>。</w:t>
      </w:r>
    </w:p>
    <w:bookmarkEnd w:id="948"/>
    <w:bookmarkEnd w:id="949"/>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966" w:name="_Toc418752276"/>
      <w:bookmarkStart w:id="967" w:name="_Toc389065300"/>
      <w:bookmarkStart w:id="968" w:name="_Toc373227734"/>
      <w:bookmarkStart w:id="969" w:name="_Toc497747212"/>
      <w:bookmarkStart w:id="970" w:name="_Toc418518380"/>
      <w:bookmarkStart w:id="971" w:name="_Toc373478381"/>
      <w:bookmarkStart w:id="972" w:name="_Toc256000213"/>
      <w:bookmarkStart w:id="973" w:name="_Toc418061345"/>
      <w:bookmarkStart w:id="974" w:name="_Toc418751830"/>
      <w:bookmarkStart w:id="975" w:name="_Toc497746815"/>
      <w:bookmarkStart w:id="976" w:name="_Toc522201763"/>
      <w:bookmarkStart w:id="977" w:name="_Toc418518144"/>
      <w:bookmarkStart w:id="978" w:name="_Toc403578968"/>
      <w:bookmarkStart w:id="979" w:name="_Toc32381"/>
      <w:r>
        <w:rPr>
          <w:rFonts w:hint="eastAsia" w:ascii="宋体" w:hAnsi="宋体" w:eastAsia="宋体" w:cs="宋体"/>
          <w:color w:val="auto"/>
          <w:sz w:val="21"/>
          <w:szCs w:val="21"/>
          <w:highlight w:val="none"/>
        </w:rPr>
        <w:t>8.6 样品</w:t>
      </w:r>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8.6.1 样品的报送与封存</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主要材料涉及品种、款式、颜色等方面内容的，承包人在进货前需将货物样品报送监理或发包人现场办公室，待设计及发包人确认样品，并封存样品后，承包人方可订货。除上述材料外招标文件和招标工程量清单中对材料、设备有档次或质量要求的，按招标文件和招标工程量清单确定；其他由合同各方协商确定。</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980" w:name="_Toc418518145"/>
      <w:bookmarkStart w:id="981" w:name="_Toc403578969"/>
      <w:bookmarkStart w:id="982" w:name="_Toc373227735"/>
      <w:bookmarkStart w:id="983" w:name="_Toc418518381"/>
      <w:bookmarkStart w:id="984" w:name="_Toc256000214"/>
      <w:bookmarkStart w:id="985" w:name="_Toc373478382"/>
      <w:bookmarkStart w:id="986" w:name="_Toc418751831"/>
      <w:bookmarkStart w:id="987" w:name="_Toc497747213"/>
      <w:bookmarkStart w:id="988" w:name="_Toc418061346"/>
      <w:bookmarkStart w:id="989" w:name="_Toc389065301"/>
      <w:bookmarkStart w:id="990" w:name="_Toc418752277"/>
      <w:bookmarkStart w:id="991" w:name="_Toc497746816"/>
      <w:bookmarkStart w:id="992" w:name="_Toc522201764"/>
      <w:bookmarkStart w:id="993" w:name="_Toc23641"/>
      <w:r>
        <w:rPr>
          <w:rFonts w:hint="eastAsia" w:ascii="宋体" w:hAnsi="宋体" w:eastAsia="宋体" w:cs="宋体"/>
          <w:color w:val="auto"/>
          <w:sz w:val="21"/>
          <w:szCs w:val="21"/>
          <w:highlight w:val="none"/>
        </w:rPr>
        <w:t>8.8 施工设备和临时设施</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5。</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关于修建临时设施费用承担的约定：</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①承包人的临时用地（含项目部驻地等）租用费（含拆迁补偿）、临时用地的环保、恢复、临时用地的青苗补偿及地面附着物拆除等费用均由承包人负责，以上费用在投标报价中综合考虑。 </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②承包人负责合同实施期间其合同段内临时交通道路和交通设施的修建、维修、养护和交通管理工作，并承担一切费用。 </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 </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④承包人在发包人拟开发区域内已经搭设的施工现场办公等临时设施，一旦发包人因开发需要，通知承包人搬迁、拆除的，承包人应无条件在规定期限内搬迁、拆除，发包人不另行支付搬迁、拆除等费用。承包人自行解决民工住宿问题，并承担因此而增加的交通费用、工人生产降效等相关费用。</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8.8.2 发包人提供的施工设备和临时设施</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p>
      <w:pPr>
        <w:pStyle w:val="29"/>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994" w:name="_Toc418061347"/>
      <w:bookmarkStart w:id="995" w:name="_Toc373227736"/>
      <w:bookmarkStart w:id="996" w:name="_Toc351203641"/>
      <w:bookmarkStart w:id="997" w:name="_Toc256000215"/>
      <w:bookmarkStart w:id="998" w:name="_Toc418518146"/>
      <w:bookmarkStart w:id="999" w:name="_Toc418751832"/>
      <w:bookmarkStart w:id="1000" w:name="_Toc522201765"/>
      <w:bookmarkStart w:id="1001" w:name="_Toc418752278"/>
      <w:bookmarkStart w:id="1002" w:name="_Toc403578970"/>
      <w:bookmarkStart w:id="1003" w:name="_Toc373478383"/>
      <w:bookmarkStart w:id="1004" w:name="_Toc418518382"/>
      <w:bookmarkStart w:id="1005" w:name="_Toc497747214"/>
      <w:bookmarkStart w:id="1006" w:name="_Toc497746817"/>
      <w:bookmarkStart w:id="1007" w:name="_Toc389065302"/>
      <w:bookmarkStart w:id="1008" w:name="_Toc10279"/>
      <w:r>
        <w:rPr>
          <w:rFonts w:hint="eastAsia" w:ascii="宋体" w:hAnsi="宋体" w:eastAsia="宋体" w:cs="宋体"/>
          <w:color w:val="auto"/>
          <w:sz w:val="21"/>
          <w:szCs w:val="21"/>
          <w:highlight w:val="none"/>
        </w:rPr>
        <w:t>9</w:t>
      </w:r>
      <w:bookmarkEnd w:id="945"/>
      <w:bookmarkEnd w:id="946"/>
      <w:bookmarkEnd w:id="947"/>
      <w:bookmarkStart w:id="1009" w:name="_Toc303539139"/>
      <w:bookmarkStart w:id="1010" w:name="_Toc312677495"/>
      <w:bookmarkStart w:id="1011" w:name="_Toc304295559"/>
      <w:bookmarkStart w:id="1012" w:name="_Toc297216192"/>
      <w:bookmarkStart w:id="1013" w:name="_Toc312678021"/>
      <w:bookmarkStart w:id="1014" w:name="_Toc300934982"/>
      <w:bookmarkStart w:id="1015" w:name="_Toc297123533"/>
      <w:bookmarkStart w:id="1016" w:name="_Toc267251428"/>
      <w:bookmarkStart w:id="1017" w:name="_Toc292559883"/>
      <w:bookmarkStart w:id="1018" w:name="_Toc267251427"/>
      <w:bookmarkStart w:id="1019" w:name="_Toc296944512"/>
      <w:bookmarkStart w:id="1020" w:name="_Toc292559378"/>
      <w:bookmarkStart w:id="1021" w:name="_Toc297048359"/>
      <w:bookmarkStart w:id="1022" w:name="_Toc297120473"/>
      <w:bookmarkStart w:id="1023" w:name="_Toc296503173"/>
      <w:bookmarkStart w:id="1024" w:name="_Toc296346674"/>
      <w:bookmarkStart w:id="1025" w:name="_Toc296891213"/>
      <w:bookmarkStart w:id="1026" w:name="_Toc296347172"/>
      <w:bookmarkStart w:id="1027" w:name="_Toc296891001"/>
      <w:r>
        <w:rPr>
          <w:rFonts w:hint="eastAsia" w:ascii="宋体" w:hAnsi="宋体" w:eastAsia="宋体" w:cs="宋体"/>
          <w:color w:val="auto"/>
          <w:sz w:val="21"/>
          <w:szCs w:val="21"/>
          <w:highlight w:val="none"/>
        </w:rPr>
        <w:t>. 试验与检验</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p>
    <w:bookmarkEnd w:id="1009"/>
    <w:bookmarkEnd w:id="1010"/>
    <w:bookmarkEnd w:id="1011"/>
    <w:bookmarkEnd w:id="1012"/>
    <w:bookmarkEnd w:id="1013"/>
    <w:bookmarkEnd w:id="1014"/>
    <w:bookmarkEnd w:id="1015"/>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028" w:name="_Toc418752279"/>
      <w:bookmarkStart w:id="1029" w:name="_Toc403578971"/>
      <w:bookmarkStart w:id="1030" w:name="_Toc497746818"/>
      <w:bookmarkStart w:id="1031" w:name="_Toc256000216"/>
      <w:bookmarkStart w:id="1032" w:name="_Toc497747215"/>
      <w:bookmarkStart w:id="1033" w:name="_Toc522201766"/>
      <w:bookmarkStart w:id="1034" w:name="_Toc418518383"/>
      <w:bookmarkStart w:id="1035" w:name="_Toc418061348"/>
      <w:bookmarkStart w:id="1036" w:name="_Toc373227737"/>
      <w:bookmarkStart w:id="1037" w:name="_Toc389065303"/>
      <w:bookmarkStart w:id="1038" w:name="_Toc418518147"/>
      <w:bookmarkStart w:id="1039" w:name="_Toc373478384"/>
      <w:bookmarkStart w:id="1040" w:name="_Toc418751833"/>
      <w:bookmarkStart w:id="1041" w:name="_Toc26697"/>
      <w:r>
        <w:rPr>
          <w:rFonts w:hint="eastAsia" w:ascii="宋体" w:hAnsi="宋体" w:eastAsia="宋体" w:cs="宋体"/>
          <w:color w:val="auto"/>
          <w:sz w:val="21"/>
          <w:szCs w:val="21"/>
          <w:highlight w:val="none"/>
        </w:rPr>
        <w:t>9</w:t>
      </w:r>
      <w:bookmarkStart w:id="1042" w:name="_Toc297123534"/>
      <w:bookmarkStart w:id="1043" w:name="_Toc300934983"/>
      <w:bookmarkStart w:id="1044" w:name="_Toc312677496"/>
      <w:bookmarkStart w:id="1045" w:name="_Toc304295560"/>
      <w:bookmarkStart w:id="1046" w:name="_Toc312678022"/>
      <w:bookmarkStart w:id="1047" w:name="_Toc297216193"/>
      <w:bookmarkStart w:id="1048" w:name="_Toc303539140"/>
      <w:r>
        <w:rPr>
          <w:rFonts w:hint="eastAsia" w:ascii="宋体" w:hAnsi="宋体" w:eastAsia="宋体" w:cs="宋体"/>
          <w:color w:val="auto"/>
          <w:sz w:val="21"/>
          <w:szCs w:val="21"/>
          <w:highlight w:val="none"/>
        </w:rPr>
        <w:t>.1 试验设备与试验人员</w:t>
      </w:r>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bookmarkEnd w:id="1042"/>
    <w:bookmarkEnd w:id="1043"/>
    <w:bookmarkEnd w:id="1044"/>
    <w:bookmarkEnd w:id="1045"/>
    <w:bookmarkEnd w:id="1046"/>
    <w:bookmarkEnd w:id="1047"/>
    <w:bookmarkEnd w:id="1048"/>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1049" w:name="_Toc303539141"/>
      <w:bookmarkStart w:id="1050" w:name="_Toc297216194"/>
      <w:bookmarkStart w:id="1051" w:name="_Toc300934984"/>
      <w:bookmarkStart w:id="1052" w:name="_Toc312678023"/>
      <w:bookmarkStart w:id="1053" w:name="_Toc312677497"/>
      <w:bookmarkStart w:id="1054" w:name="_Toc297123535"/>
      <w:bookmarkStart w:id="1055" w:name="_Toc304295561"/>
      <w:bookmarkStart w:id="1056" w:name="_Toc318581174"/>
      <w:r>
        <w:rPr>
          <w:rFonts w:hint="eastAsia" w:ascii="宋体" w:hAnsi="宋体" w:eastAsia="宋体" w:cs="宋体"/>
          <w:color w:val="auto"/>
          <w:sz w:val="21"/>
          <w:szCs w:val="21"/>
          <w:highlight w:val="none"/>
        </w:rPr>
        <w:t>.1.2 试验设备</w:t>
      </w:r>
    </w:p>
    <w:bookmarkEnd w:id="1049"/>
    <w:bookmarkEnd w:id="1050"/>
    <w:bookmarkEnd w:id="1051"/>
    <w:bookmarkEnd w:id="1052"/>
    <w:bookmarkEnd w:id="1053"/>
    <w:bookmarkEnd w:id="1054"/>
    <w:bookmarkEnd w:id="1055"/>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057" w:name="_Toc312677498"/>
      <w:bookmarkStart w:id="1058" w:name="_Toc312678024"/>
      <w:bookmarkStart w:id="1059" w:name="_Toc303539142"/>
      <w:bookmarkStart w:id="1060" w:name="_Toc300934985"/>
      <w:bookmarkStart w:id="1061" w:name="_Toc304295562"/>
      <w:bookmarkStart w:id="1062" w:name="_Toc297216195"/>
      <w:bookmarkStart w:id="1063" w:name="_Toc297123536"/>
      <w:r>
        <w:rPr>
          <w:rFonts w:hint="eastAsia" w:ascii="宋体" w:hAnsi="宋体" w:eastAsia="宋体" w:cs="宋体"/>
          <w:color w:val="auto"/>
          <w:sz w:val="21"/>
          <w:szCs w:val="21"/>
          <w:highlight w:val="none"/>
        </w:rPr>
        <w:t>施工现场需要配置的试验场所：</w:t>
      </w:r>
      <w:r>
        <w:rPr>
          <w:rFonts w:hint="eastAsia" w:ascii="宋体" w:hAnsi="宋体" w:eastAsia="宋体" w:cs="宋体"/>
          <w:color w:val="auto"/>
          <w:sz w:val="21"/>
          <w:szCs w:val="21"/>
          <w:highlight w:val="none"/>
          <w:u w:val="single"/>
        </w:rPr>
        <w:t xml:space="preserve"> 由承包人承担，所需费用包含在投标报价中 </w:t>
      </w:r>
      <w:r>
        <w:rPr>
          <w:rFonts w:hint="eastAsia" w:ascii="宋体" w:hAnsi="宋体" w:eastAsia="宋体" w:cs="宋体"/>
          <w:color w:val="auto"/>
          <w:sz w:val="21"/>
          <w:szCs w:val="21"/>
          <w:highlight w:val="none"/>
        </w:rPr>
        <w:t xml:space="preserve">。 </w:t>
      </w:r>
    </w:p>
    <w:p>
      <w:pPr>
        <w:pStyle w:val="31"/>
        <w:pageBreakBefore w:val="0"/>
        <w:widowControl w:val="0"/>
        <w:kinsoku/>
        <w:wordWrap/>
        <w:overflowPunct/>
        <w:topLinePunct w:val="0"/>
        <w:bidi w:val="0"/>
        <w:snapToGrid/>
        <w:spacing w:line="380" w:lineRule="exact"/>
        <w:ind w:left="0" w:leftChars="0" w:right="0" w:righ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施工现场需要配备的试验设备：</w:t>
      </w:r>
      <w:r>
        <w:rPr>
          <w:rFonts w:hint="eastAsia" w:ascii="宋体" w:hAnsi="宋体" w:eastAsia="宋体" w:cs="宋体"/>
          <w:color w:val="auto"/>
          <w:sz w:val="21"/>
          <w:szCs w:val="21"/>
          <w:highlight w:val="none"/>
          <w:u w:val="single"/>
        </w:rPr>
        <w:t xml:space="preserve"> 由承包人承担，所需费用包含在投标报价中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color w:val="auto"/>
          <w:sz w:val="21"/>
          <w:szCs w:val="21"/>
          <w:highlight w:val="none"/>
          <w:u w:val="single"/>
        </w:rPr>
        <w:t xml:space="preserve"> 由承包人承担，所需费用包含在投标报价中 </w:t>
      </w:r>
      <w:r>
        <w:rPr>
          <w:rFonts w:hint="eastAsia" w:ascii="宋体" w:hAnsi="宋体" w:eastAsia="宋体" w:cs="宋体"/>
          <w:color w:val="auto"/>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064" w:name="_Toc522201767"/>
      <w:bookmarkStart w:id="1065" w:name="_Toc418518384"/>
      <w:bookmarkStart w:id="1066" w:name="_Toc418061349"/>
      <w:bookmarkStart w:id="1067" w:name="_Toc497746819"/>
      <w:bookmarkStart w:id="1068" w:name="_Toc418518148"/>
      <w:bookmarkStart w:id="1069" w:name="_Toc256000217"/>
      <w:bookmarkStart w:id="1070" w:name="_Toc373478385"/>
      <w:bookmarkStart w:id="1071" w:name="_Toc373227738"/>
      <w:bookmarkStart w:id="1072" w:name="_Toc389065304"/>
      <w:bookmarkStart w:id="1073" w:name="_Toc403578972"/>
      <w:bookmarkStart w:id="1074" w:name="_Toc418751834"/>
      <w:bookmarkStart w:id="1075" w:name="_Toc418752280"/>
      <w:bookmarkStart w:id="1076" w:name="_Toc497747216"/>
      <w:bookmarkStart w:id="1077" w:name="_Toc558"/>
      <w:r>
        <w:rPr>
          <w:rFonts w:hint="eastAsia" w:ascii="宋体" w:hAnsi="宋体" w:eastAsia="宋体" w:cs="宋体"/>
          <w:color w:val="auto"/>
          <w:sz w:val="21"/>
          <w:szCs w:val="21"/>
          <w:highlight w:val="none"/>
        </w:rPr>
        <w:t>9.4 现场工艺试验</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rPr>
          <w:rFonts w:hint="eastAsia" w:ascii="宋体" w:hAnsi="宋体" w:eastAsia="宋体" w:cs="宋体"/>
          <w:color w:val="auto"/>
          <w:sz w:val="21"/>
          <w:szCs w:val="21"/>
          <w:highlight w:val="none"/>
        </w:rPr>
        <w:t xml:space="preserve"> </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color w:val="auto"/>
          <w:sz w:val="21"/>
          <w:szCs w:val="21"/>
          <w:highlight w:val="none"/>
          <w:u w:val="single"/>
        </w:rPr>
        <w:t xml:space="preserve">  按通用条款执行</w:t>
      </w:r>
      <w:r>
        <w:rPr>
          <w:rFonts w:hint="eastAsia" w:ascii="宋体" w:hAnsi="宋体" w:eastAsia="宋体" w:cs="宋体"/>
          <w:color w:val="auto"/>
          <w:sz w:val="21"/>
          <w:szCs w:val="21"/>
          <w:highlight w:val="none"/>
        </w:rPr>
        <w:t>。</w:t>
      </w:r>
      <w:bookmarkStart w:id="1078" w:name="_Toc395382541"/>
      <w:bookmarkStart w:id="1079" w:name="_Toc406522259"/>
      <w:bookmarkStart w:id="1080" w:name="_Toc406420990"/>
      <w:bookmarkStart w:id="1081" w:name="OLE_LINK1"/>
    </w:p>
    <w:p>
      <w:pPr>
        <w:pStyle w:val="31"/>
        <w:pageBreakBefore w:val="0"/>
        <w:widowControl w:val="0"/>
        <w:kinsoku/>
        <w:wordWrap/>
        <w:overflowPunct/>
        <w:topLinePunct w:val="0"/>
        <w:bidi w:val="0"/>
        <w:snapToGrid/>
        <w:spacing w:line="380" w:lineRule="exact"/>
        <w:ind w:left="0" w:leftChars="0" w:right="0" w:rightChars="0" w:firstLine="422"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9.5 检验费用</w:t>
      </w:r>
      <w:bookmarkEnd w:id="1078"/>
      <w:bookmarkEnd w:id="1079"/>
      <w:bookmarkEnd w:id="1080"/>
    </w:p>
    <w:p>
      <w:pPr>
        <w:pStyle w:val="31"/>
        <w:pageBreakBefore w:val="0"/>
        <w:widowControl w:val="0"/>
        <w:kinsoku/>
        <w:wordWrap/>
        <w:overflowPunct/>
        <w:topLinePunct w:val="0"/>
        <w:bidi w:val="0"/>
        <w:snapToGrid/>
        <w:spacing w:line="380" w:lineRule="exact"/>
        <w:ind w:left="0" w:leftChars="0" w:right="0" w:righ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根据《建设工程质量检测管理办法》（建设部令第141号）以及</w:t>
      </w:r>
      <w:r>
        <w:rPr>
          <w:rFonts w:hint="eastAsia" w:ascii="宋体" w:hAnsi="宋体" w:eastAsia="宋体" w:cs="宋体"/>
          <w:bCs/>
          <w:color w:val="auto"/>
          <w:sz w:val="21"/>
          <w:szCs w:val="21"/>
          <w:highlight w:val="none"/>
        </w:rPr>
        <w:t>《广西壮族自治区建设工程质量检测管理规定》（桂建管〔2013〕11号）</w:t>
      </w:r>
      <w:r>
        <w:rPr>
          <w:rFonts w:hint="eastAsia" w:ascii="宋体" w:hAnsi="宋体" w:eastAsia="宋体" w:cs="宋体"/>
          <w:color w:val="auto"/>
          <w:sz w:val="21"/>
          <w:szCs w:val="21"/>
          <w:highlight w:val="none"/>
        </w:rPr>
        <w:t>规定，工程质量检测业务由发包人委托有相应资质的检测机构检测。费用从发包人的项目建设经费中支出并直接支付给检测机构，不计入合同价款内。</w:t>
      </w:r>
      <w:bookmarkEnd w:id="1081"/>
    </w:p>
    <w:bookmarkEnd w:id="1056"/>
    <w:bookmarkEnd w:id="1057"/>
    <w:bookmarkEnd w:id="1058"/>
    <w:bookmarkEnd w:id="1059"/>
    <w:bookmarkEnd w:id="1060"/>
    <w:bookmarkEnd w:id="1061"/>
    <w:bookmarkEnd w:id="1062"/>
    <w:bookmarkEnd w:id="1063"/>
    <w:p>
      <w:pPr>
        <w:pStyle w:val="29"/>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1082" w:name="_Toc418752282"/>
      <w:bookmarkStart w:id="1083" w:name="_Toc522201768"/>
      <w:bookmarkStart w:id="1084" w:name="_Toc373478386"/>
      <w:bookmarkStart w:id="1085" w:name="_Toc418751836"/>
      <w:bookmarkStart w:id="1086" w:name="_Toc418518150"/>
      <w:bookmarkStart w:id="1087" w:name="_Toc351203642"/>
      <w:bookmarkStart w:id="1088" w:name="_Toc389065305"/>
      <w:bookmarkStart w:id="1089" w:name="_Toc497746821"/>
      <w:bookmarkStart w:id="1090" w:name="_Toc418061351"/>
      <w:bookmarkStart w:id="1091" w:name="_Toc373227739"/>
      <w:bookmarkStart w:id="1092" w:name="_Toc256000218"/>
      <w:bookmarkStart w:id="1093" w:name="_Toc497747218"/>
      <w:bookmarkStart w:id="1094" w:name="_Toc418518386"/>
      <w:bookmarkStart w:id="1095" w:name="_Toc403578974"/>
      <w:bookmarkStart w:id="1096" w:name="_Toc5841"/>
      <w:r>
        <w:rPr>
          <w:rFonts w:hint="eastAsia" w:ascii="宋体" w:hAnsi="宋体" w:eastAsia="宋体" w:cs="宋体"/>
          <w:color w:val="auto"/>
          <w:sz w:val="21"/>
          <w:szCs w:val="21"/>
          <w:highlight w:val="none"/>
        </w:rPr>
        <w:t>1</w:t>
      </w:r>
      <w:bookmarkEnd w:id="1016"/>
      <w:bookmarkEnd w:id="1017"/>
      <w:bookmarkEnd w:id="1018"/>
      <w:bookmarkEnd w:id="1019"/>
      <w:bookmarkEnd w:id="1020"/>
      <w:bookmarkEnd w:id="1021"/>
      <w:bookmarkEnd w:id="1022"/>
      <w:bookmarkEnd w:id="1023"/>
      <w:bookmarkEnd w:id="1024"/>
      <w:bookmarkEnd w:id="1025"/>
      <w:bookmarkEnd w:id="1026"/>
      <w:bookmarkEnd w:id="1027"/>
      <w:bookmarkStart w:id="1097" w:name="_Toc296346694"/>
      <w:bookmarkStart w:id="1098" w:name="_Toc297216199"/>
      <w:bookmarkStart w:id="1099" w:name="_Toc303539146"/>
      <w:bookmarkStart w:id="1100" w:name="_Toc296503193"/>
      <w:bookmarkStart w:id="1101" w:name="_Toc297120493"/>
      <w:bookmarkStart w:id="1102" w:name="_Toc304295566"/>
      <w:bookmarkStart w:id="1103" w:name="_Toc296891233"/>
      <w:bookmarkStart w:id="1104" w:name="_Toc300934989"/>
      <w:bookmarkStart w:id="1105" w:name="_Toc296891021"/>
      <w:bookmarkStart w:id="1106" w:name="_Toc297048379"/>
      <w:bookmarkStart w:id="1107" w:name="_Toc296944532"/>
      <w:bookmarkStart w:id="1108" w:name="_Toc292559903"/>
      <w:bookmarkStart w:id="1109" w:name="_Toc296347192"/>
      <w:bookmarkStart w:id="1110" w:name="_Toc292559398"/>
      <w:bookmarkStart w:id="1111" w:name="_Toc297123540"/>
      <w:bookmarkStart w:id="1112" w:name="_Toc312677499"/>
      <w:bookmarkStart w:id="1113" w:name="_Toc312678025"/>
      <w:bookmarkStart w:id="1114" w:name="_Toc267251439"/>
      <w:bookmarkStart w:id="1115" w:name="_Toc267251433"/>
      <w:bookmarkStart w:id="1116" w:name="_Toc267251440"/>
      <w:bookmarkStart w:id="1117" w:name="_Toc267251437"/>
      <w:bookmarkStart w:id="1118" w:name="_Toc267251441"/>
      <w:bookmarkStart w:id="1119" w:name="_Toc267251435"/>
      <w:bookmarkStart w:id="1120" w:name="_Toc267251442"/>
      <w:r>
        <w:rPr>
          <w:rFonts w:hint="eastAsia" w:ascii="宋体" w:hAnsi="宋体" w:eastAsia="宋体" w:cs="宋体"/>
          <w:color w:val="auto"/>
          <w:sz w:val="21"/>
          <w:szCs w:val="21"/>
          <w:highlight w:val="none"/>
        </w:rPr>
        <w:t>0. 变更</w:t>
      </w:r>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bookmarkEnd w:id="1112"/>
    <w:bookmarkEnd w:id="1113"/>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121" w:name="_Toc403578975"/>
      <w:bookmarkStart w:id="1122" w:name="_Toc373478387"/>
      <w:bookmarkStart w:id="1123" w:name="_Toc497747219"/>
      <w:bookmarkStart w:id="1124" w:name="_Toc497746822"/>
      <w:bookmarkStart w:id="1125" w:name="_Toc418518387"/>
      <w:bookmarkStart w:id="1126" w:name="_Toc256000219"/>
      <w:bookmarkStart w:id="1127" w:name="_Toc418752283"/>
      <w:bookmarkStart w:id="1128" w:name="_Toc418751837"/>
      <w:bookmarkStart w:id="1129" w:name="_Toc373227740"/>
      <w:bookmarkStart w:id="1130" w:name="_Toc418518151"/>
      <w:bookmarkStart w:id="1131" w:name="_Toc389065306"/>
      <w:bookmarkStart w:id="1132" w:name="_Toc522201769"/>
      <w:bookmarkStart w:id="1133" w:name="_Toc418061352"/>
      <w:bookmarkStart w:id="1134" w:name="_Toc7781"/>
      <w:r>
        <w:rPr>
          <w:rFonts w:hint="eastAsia" w:ascii="宋体" w:hAnsi="宋体" w:eastAsia="宋体" w:cs="宋体"/>
          <w:color w:val="auto"/>
          <w:sz w:val="21"/>
          <w:szCs w:val="21"/>
          <w:highlight w:val="none"/>
        </w:rPr>
        <w:t>1</w:t>
      </w:r>
      <w:bookmarkStart w:id="1135" w:name="_Toc296346695"/>
      <w:bookmarkStart w:id="1136" w:name="_Toc297120494"/>
      <w:bookmarkStart w:id="1137" w:name="_Toc297123541"/>
      <w:bookmarkStart w:id="1138" w:name="_Toc292559904"/>
      <w:bookmarkStart w:id="1139" w:name="_Toc297216200"/>
      <w:bookmarkStart w:id="1140" w:name="_Toc296347193"/>
      <w:bookmarkStart w:id="1141" w:name="_Toc297048380"/>
      <w:bookmarkStart w:id="1142" w:name="_Toc296503194"/>
      <w:bookmarkStart w:id="1143" w:name="_Toc312677500"/>
      <w:bookmarkStart w:id="1144" w:name="_Toc300934990"/>
      <w:bookmarkStart w:id="1145" w:name="_Toc296891234"/>
      <w:bookmarkStart w:id="1146" w:name="_Toc296944533"/>
      <w:bookmarkStart w:id="1147" w:name="_Toc292559399"/>
      <w:bookmarkStart w:id="1148" w:name="_Toc296891022"/>
      <w:bookmarkStart w:id="1149" w:name="_Toc303539147"/>
      <w:bookmarkStart w:id="1150" w:name="_Toc312678026"/>
      <w:bookmarkStart w:id="1151" w:name="_Toc304295567"/>
      <w:r>
        <w:rPr>
          <w:rFonts w:hint="eastAsia" w:ascii="宋体" w:hAnsi="宋体" w:eastAsia="宋体" w:cs="宋体"/>
          <w:color w:val="auto"/>
          <w:sz w:val="21"/>
          <w:szCs w:val="21"/>
          <w:highlight w:val="none"/>
        </w:rPr>
        <w:t>0.1 变更的范围</w:t>
      </w:r>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pPr>
        <w:pStyle w:val="31"/>
        <w:pageBreakBefore w:val="0"/>
        <w:widowControl w:val="0"/>
        <w:kinsoku/>
        <w:wordWrap/>
        <w:overflowPunct/>
        <w:topLinePunct w:val="0"/>
        <w:bidi w:val="0"/>
        <w:snapToGrid/>
        <w:spacing w:line="380" w:lineRule="exact"/>
        <w:ind w:left="0" w:leftChars="0" w:right="0" w:righ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color w:val="auto"/>
          <w:sz w:val="21"/>
          <w:szCs w:val="21"/>
          <w:highlight w:val="none"/>
          <w:u w:val="single"/>
        </w:rPr>
        <w:t>施工期间因不可预见因素或发包人要求所发生的工程量增减（由变更、签证产生），其工程量按实际发生并经监理工程师及发包人签证认可，工程变更综合单价按专用条款第10.4点规定执行</w:t>
      </w:r>
      <w:r>
        <w:rPr>
          <w:rFonts w:hint="eastAsia" w:ascii="宋体" w:hAnsi="宋体" w:eastAsia="宋体" w:cs="宋体"/>
          <w:color w:val="auto"/>
          <w:sz w:val="21"/>
          <w:szCs w:val="21"/>
          <w:highlight w:val="none"/>
        </w:rPr>
        <w:t>。</w:t>
      </w:r>
      <w:bookmarkStart w:id="1152" w:name="_Toc389065307"/>
      <w:bookmarkStart w:id="1153" w:name="_Toc395382544"/>
      <w:bookmarkStart w:id="1154" w:name="_Toc373227741"/>
      <w:bookmarkStart w:id="1155" w:name="_Toc373478388"/>
      <w:bookmarkStart w:id="1156" w:name="_Toc406522262"/>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157" w:name="_Toc256000220"/>
      <w:bookmarkStart w:id="1158" w:name="_Toc12764"/>
      <w:r>
        <w:rPr>
          <w:rFonts w:hint="eastAsia" w:ascii="宋体" w:hAnsi="宋体" w:eastAsia="宋体" w:cs="宋体"/>
          <w:color w:val="auto"/>
          <w:sz w:val="21"/>
          <w:szCs w:val="21"/>
          <w:highlight w:val="none"/>
        </w:rPr>
        <w:t>10.3 变更程序</w:t>
      </w:r>
      <w:bookmarkEnd w:id="1152"/>
      <w:bookmarkEnd w:id="1153"/>
      <w:bookmarkEnd w:id="1154"/>
      <w:bookmarkEnd w:id="1155"/>
      <w:bookmarkEnd w:id="1156"/>
      <w:bookmarkEnd w:id="1157"/>
      <w:bookmarkEnd w:id="1158"/>
    </w:p>
    <w:p>
      <w:pPr>
        <w:pStyle w:val="31"/>
        <w:pageBreakBefore w:val="0"/>
        <w:widowControl w:val="0"/>
        <w:kinsoku/>
        <w:wordWrap/>
        <w:overflowPunct/>
        <w:topLinePunct w:val="0"/>
        <w:bidi w:val="0"/>
        <w:snapToGrid/>
        <w:spacing w:line="380" w:lineRule="exact"/>
        <w:ind w:left="0" w:leftChars="0" w:right="0" w:righ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10.3.1 国有投资项目：</w:t>
      </w:r>
    </w:p>
    <w:p>
      <w:pPr>
        <w:pStyle w:val="31"/>
        <w:pageBreakBefore w:val="0"/>
        <w:widowControl w:val="0"/>
        <w:kinsoku/>
        <w:wordWrap/>
        <w:overflowPunct/>
        <w:topLinePunct w:val="0"/>
        <w:bidi w:val="0"/>
        <w:snapToGrid/>
        <w:spacing w:line="380" w:lineRule="exact"/>
        <w:ind w:left="0" w:leftChars="0" w:right="0" w:righ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⑴设计变更和工程签证，按各市政府或相关部门的规定办理。属不可抗力（自然灾害、突发事件等）造成变更的，按特事特办原则予以办理。</w:t>
      </w:r>
    </w:p>
    <w:p>
      <w:pPr>
        <w:pStyle w:val="31"/>
        <w:pageBreakBefore w:val="0"/>
        <w:widowControl w:val="0"/>
        <w:kinsoku/>
        <w:wordWrap/>
        <w:overflowPunct/>
        <w:topLinePunct w:val="0"/>
        <w:bidi w:val="0"/>
        <w:snapToGrid/>
        <w:spacing w:line="380" w:lineRule="exact"/>
        <w:ind w:left="0" w:leftChars="0" w:right="0" w:righ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⑵发包人在实施项目过程中，若发生单价变动，由发包人、监理单位、承包人及其他相关单位共同商定并签字确认。</w:t>
      </w:r>
    </w:p>
    <w:p>
      <w:pPr>
        <w:pStyle w:val="31"/>
        <w:pageBreakBefore w:val="0"/>
        <w:widowControl w:val="0"/>
        <w:kinsoku/>
        <w:wordWrap/>
        <w:overflowPunct/>
        <w:topLinePunct w:val="0"/>
        <w:bidi w:val="0"/>
        <w:snapToGrid/>
        <w:spacing w:line="380" w:lineRule="exact"/>
        <w:ind w:left="0" w:leftChars="0" w:right="0" w:righ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pPr>
        <w:pStyle w:val="31"/>
        <w:pageBreakBefore w:val="0"/>
        <w:widowControl w:val="0"/>
        <w:kinsoku/>
        <w:wordWrap/>
        <w:overflowPunct/>
        <w:topLinePunct w:val="0"/>
        <w:bidi w:val="0"/>
        <w:snapToGrid/>
        <w:spacing w:line="380" w:lineRule="exact"/>
        <w:ind w:left="0" w:leftChars="0" w:right="0" w:righ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10.3.2 非国有投资项目： 同通用条款。</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159" w:name="_Toc522201770"/>
      <w:bookmarkStart w:id="1160" w:name="_Toc418752285"/>
      <w:bookmarkStart w:id="1161" w:name="_Toc256000221"/>
      <w:bookmarkStart w:id="1162" w:name="_Toc418518153"/>
      <w:bookmarkStart w:id="1163" w:name="_Toc418061354"/>
      <w:bookmarkStart w:id="1164" w:name="_Toc389065308"/>
      <w:bookmarkStart w:id="1165" w:name="_Toc373227742"/>
      <w:bookmarkStart w:id="1166" w:name="_Toc497747221"/>
      <w:bookmarkStart w:id="1167" w:name="_Toc373478389"/>
      <w:bookmarkStart w:id="1168" w:name="_Toc403578977"/>
      <w:bookmarkStart w:id="1169" w:name="_Toc497746824"/>
      <w:bookmarkStart w:id="1170" w:name="_Toc418518389"/>
      <w:bookmarkStart w:id="1171" w:name="_Toc418751839"/>
      <w:bookmarkStart w:id="1172" w:name="_Toc18638"/>
      <w:r>
        <w:rPr>
          <w:rFonts w:hint="eastAsia" w:ascii="宋体" w:hAnsi="宋体" w:eastAsia="宋体" w:cs="宋体"/>
          <w:color w:val="auto"/>
          <w:sz w:val="21"/>
          <w:szCs w:val="21"/>
          <w:highlight w:val="none"/>
        </w:rPr>
        <w:t>10.4 变更估价</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pPr>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关于变更估价的约定: </w:t>
      </w:r>
      <w:r>
        <w:rPr>
          <w:rFonts w:hint="eastAsia" w:ascii="宋体" w:hAnsi="宋体" w:eastAsia="宋体" w:cs="宋体"/>
          <w:color w:val="auto"/>
          <w:sz w:val="21"/>
          <w:szCs w:val="21"/>
          <w:highlight w:val="none"/>
        </w:rPr>
        <w:t xml:space="preserve"> </w:t>
      </w:r>
      <w:bookmarkStart w:id="1173" w:name="_Toc251051742"/>
      <w:r>
        <w:rPr>
          <w:rFonts w:hint="eastAsia" w:ascii="宋体" w:hAnsi="宋体" w:eastAsia="宋体" w:cs="宋体"/>
          <w:color w:val="auto"/>
          <w:sz w:val="21"/>
          <w:szCs w:val="21"/>
          <w:highlight w:val="none"/>
          <w:u w:val="single"/>
        </w:rPr>
        <w:t>因发包人要求的设计变更、相关签证和工程量清单错误引起的工程项目及工程量任何变化的（本工程的工程量以实际完成计算），其变更合同价款按下列方法进行：</w:t>
      </w:r>
    </w:p>
    <w:p>
      <w:pPr>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（1）合同中已有相同清单项目的，按合同该清单项目价格进行计算；</w:t>
      </w:r>
    </w:p>
    <w:p>
      <w:pPr>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（2）合同中只有类似清单项目的，参照该类似清单项目价格进行计算；</w:t>
      </w:r>
    </w:p>
    <w:p>
      <w:pPr>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（3）合同中没有适用或类似清单项目的价格计算方法：</w:t>
      </w:r>
      <w:r>
        <w:rPr>
          <w:rFonts w:hint="eastAsia" w:ascii="宋体" w:hAnsi="宋体" w:eastAsia="宋体" w:cs="宋体"/>
          <w:color w:val="auto"/>
          <w:sz w:val="21"/>
          <w:szCs w:val="21"/>
          <w:highlight w:val="none"/>
          <w:u w:val="single"/>
        </w:rPr>
        <w:t>有定额的套用定额</w:t>
      </w:r>
      <w:r>
        <w:rPr>
          <w:rFonts w:hint="eastAsia" w:ascii="宋体" w:hAnsi="宋体" w:eastAsia="宋体" w:cs="宋体"/>
          <w:color w:val="auto"/>
          <w:sz w:val="21"/>
          <w:szCs w:val="21"/>
          <w:highlight w:val="none"/>
          <w:u w:val="single"/>
          <w:lang w:eastAsia="zh-CN"/>
        </w:rPr>
        <w:t>，并按照</w:t>
      </w:r>
      <w:r>
        <w:rPr>
          <w:rFonts w:hint="eastAsia" w:ascii="宋体" w:hAnsi="宋体" w:eastAsia="宋体" w:cs="宋体"/>
          <w:color w:val="auto"/>
          <w:sz w:val="21"/>
          <w:szCs w:val="21"/>
          <w:highlight w:val="none"/>
          <w:u w:val="single"/>
        </w:rPr>
        <w:t>本工程编制招标控制价的依据</w:t>
      </w:r>
      <w:r>
        <w:rPr>
          <w:rFonts w:hint="eastAsia" w:ascii="宋体" w:hAnsi="宋体" w:eastAsia="宋体" w:cs="宋体"/>
          <w:color w:val="auto"/>
          <w:sz w:val="21"/>
          <w:szCs w:val="21"/>
          <w:highlight w:val="none"/>
          <w:u w:val="single"/>
          <w:lang w:eastAsia="zh-CN"/>
        </w:rPr>
        <w:t>及</w:t>
      </w:r>
      <w:r>
        <w:rPr>
          <w:rFonts w:hint="eastAsia" w:ascii="宋体" w:hAnsi="宋体" w:eastAsia="宋体" w:cs="宋体"/>
          <w:color w:val="auto"/>
          <w:sz w:val="21"/>
          <w:szCs w:val="21"/>
          <w:highlight w:val="none"/>
          <w:u w:val="single"/>
        </w:rPr>
        <w:t>相关文件规定</w:t>
      </w:r>
      <w:r>
        <w:rPr>
          <w:rFonts w:hint="eastAsia" w:ascii="宋体" w:hAnsi="宋体" w:eastAsia="宋体" w:cs="宋体"/>
          <w:color w:val="auto"/>
          <w:sz w:val="21"/>
          <w:szCs w:val="21"/>
          <w:highlight w:val="none"/>
          <w:u w:val="single"/>
          <w:lang w:eastAsia="zh-CN"/>
        </w:rPr>
        <w:t>计算</w:t>
      </w:r>
      <w:r>
        <w:rPr>
          <w:rFonts w:hint="eastAsia" w:ascii="宋体" w:hAnsi="宋体" w:eastAsia="宋体" w:cs="宋体"/>
          <w:color w:val="auto"/>
          <w:sz w:val="21"/>
          <w:szCs w:val="21"/>
          <w:highlight w:val="none"/>
          <w:u w:val="single"/>
        </w:rPr>
        <w:t>，并乘以下浮系数（中标报价÷评审预算控制价）计算，其中材料价格按评审</w:t>
      </w:r>
      <w:r>
        <w:rPr>
          <w:rFonts w:hint="eastAsia" w:ascii="宋体" w:hAnsi="宋体" w:eastAsia="宋体" w:cs="宋体"/>
          <w:color w:val="auto"/>
          <w:sz w:val="21"/>
          <w:szCs w:val="21"/>
          <w:highlight w:val="none"/>
          <w:u w:val="single"/>
          <w:lang w:eastAsia="zh-CN"/>
        </w:rPr>
        <w:t>期</w:t>
      </w:r>
      <w:r>
        <w:rPr>
          <w:rFonts w:hint="eastAsia" w:ascii="宋体" w:hAnsi="宋体" w:eastAsia="宋体" w:cs="宋体"/>
          <w:color w:val="auto"/>
          <w:sz w:val="21"/>
          <w:szCs w:val="21"/>
          <w:highlight w:val="none"/>
          <w:u w:val="single"/>
        </w:rPr>
        <w:t>的《桂林市建设工程造价信息》(兴安县)相应价格信息进行计算；《桂林市建设工程造价信息》(兴安县)评审</w:t>
      </w:r>
      <w:r>
        <w:rPr>
          <w:rFonts w:hint="eastAsia" w:ascii="宋体" w:hAnsi="宋体" w:eastAsia="宋体" w:cs="宋体"/>
          <w:color w:val="auto"/>
          <w:sz w:val="21"/>
          <w:szCs w:val="21"/>
          <w:highlight w:val="none"/>
          <w:u w:val="single"/>
          <w:lang w:eastAsia="zh-CN"/>
        </w:rPr>
        <w:t>期</w:t>
      </w:r>
      <w:r>
        <w:rPr>
          <w:rFonts w:hint="eastAsia" w:ascii="宋体" w:hAnsi="宋体" w:eastAsia="宋体" w:cs="宋体"/>
          <w:color w:val="auto"/>
          <w:sz w:val="21"/>
          <w:szCs w:val="21"/>
          <w:highlight w:val="none"/>
          <w:u w:val="single"/>
        </w:rPr>
        <w:t>没有相应价格信息的参照《桂林市建设工程造价信息》桂林市评审</w:t>
      </w:r>
      <w:r>
        <w:rPr>
          <w:rFonts w:hint="eastAsia" w:ascii="宋体" w:hAnsi="宋体" w:eastAsia="宋体" w:cs="宋体"/>
          <w:color w:val="auto"/>
          <w:sz w:val="21"/>
          <w:szCs w:val="21"/>
          <w:highlight w:val="none"/>
          <w:u w:val="single"/>
          <w:lang w:eastAsia="zh-CN"/>
        </w:rPr>
        <w:t>期</w:t>
      </w:r>
      <w:r>
        <w:rPr>
          <w:rFonts w:hint="eastAsia" w:ascii="宋体" w:hAnsi="宋体" w:eastAsia="宋体" w:cs="宋体"/>
          <w:color w:val="auto"/>
          <w:sz w:val="21"/>
          <w:szCs w:val="21"/>
          <w:highlight w:val="none"/>
          <w:u w:val="single"/>
        </w:rPr>
        <w:t>相应价格信息或按市场</w:t>
      </w:r>
      <w:r>
        <w:rPr>
          <w:rFonts w:hint="eastAsia" w:ascii="宋体" w:hAnsi="宋体" w:eastAsia="宋体" w:cs="宋体"/>
          <w:color w:val="auto"/>
          <w:sz w:val="21"/>
          <w:szCs w:val="21"/>
          <w:highlight w:val="none"/>
          <w:u w:val="single"/>
          <w:lang w:eastAsia="zh-CN"/>
        </w:rPr>
        <w:t>询</w:t>
      </w:r>
      <w:r>
        <w:rPr>
          <w:rFonts w:hint="eastAsia" w:ascii="宋体" w:hAnsi="宋体" w:eastAsia="宋体" w:cs="宋体"/>
          <w:color w:val="auto"/>
          <w:sz w:val="21"/>
          <w:szCs w:val="21"/>
          <w:highlight w:val="none"/>
          <w:u w:val="single"/>
        </w:rPr>
        <w:t>价计算；无定额可套的，根据市场价格协商确定综合价格；</w:t>
      </w:r>
      <w:bookmarkEnd w:id="1173"/>
    </w:p>
    <w:p>
      <w:pPr>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4）若发包人和监理人认为有关的工作不能以实物工程量的方法计算及估值时，则按以下的方法计算：若工程量清单中有计日工价目表，则以计日工价目表中相应的项目计价；若计日工作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w:t>
      </w:r>
    </w:p>
    <w:p>
      <w:pPr>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暂定价调整方法为：暂定材料价格部分仅调整合同实施期间材料市场价与暂定价之间的材差并计相应的规费和增值税，投标书中相应的综合单价不再调整。专业工程暂估价的确定方法：由承包人申报单价，发包人组织监理人、造价审核机构共同询价确定。如发包人认为材料暂估价及专业工程暂估价需要进行市场询价的，应以询价小组（询价小组由发包人、承包人、监理人组成）调查确认的单价为准。</w:t>
      </w:r>
    </w:p>
    <w:p>
      <w:pPr>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（6）无约定的参照我区现行《建设工程工程量清单计价规范》及配套定额相关规定执行。</w:t>
      </w:r>
    </w:p>
    <w:p>
      <w:pPr>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（7）本工程最终结算以审计部门投资审计中心审核后并经发包人及承包人双方确认的金额为准 </w:t>
      </w:r>
      <w:r>
        <w:rPr>
          <w:rFonts w:hint="eastAsia" w:ascii="宋体" w:hAnsi="宋体" w:eastAsia="宋体" w:cs="宋体"/>
          <w:color w:val="auto"/>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174" w:name="_Toc389065309"/>
      <w:bookmarkStart w:id="1175" w:name="_Toc403578978"/>
      <w:bookmarkStart w:id="1176" w:name="_Toc418751840"/>
      <w:bookmarkStart w:id="1177" w:name="_Toc497747222"/>
      <w:bookmarkStart w:id="1178" w:name="_Toc256000222"/>
      <w:bookmarkStart w:id="1179" w:name="_Toc373227743"/>
      <w:bookmarkStart w:id="1180" w:name="_Toc497746825"/>
      <w:bookmarkStart w:id="1181" w:name="_Toc522201771"/>
      <w:bookmarkStart w:id="1182" w:name="_Toc418518154"/>
      <w:bookmarkStart w:id="1183" w:name="_Toc418752286"/>
      <w:bookmarkStart w:id="1184" w:name="_Toc418061355"/>
      <w:bookmarkStart w:id="1185" w:name="_Toc418518390"/>
      <w:bookmarkStart w:id="1186" w:name="_Toc373478390"/>
      <w:bookmarkStart w:id="1187" w:name="_Toc24614"/>
      <w:r>
        <w:rPr>
          <w:rFonts w:hint="eastAsia" w:ascii="宋体" w:hAnsi="宋体" w:eastAsia="宋体" w:cs="宋体"/>
          <w:color w:val="auto"/>
          <w:sz w:val="21"/>
          <w:szCs w:val="21"/>
          <w:highlight w:val="none"/>
        </w:rPr>
        <w:t>1</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Start w:id="1188" w:name="_Toc297216203"/>
      <w:bookmarkStart w:id="1189" w:name="_Toc296891025"/>
      <w:bookmarkStart w:id="1190" w:name="_Toc297120497"/>
      <w:bookmarkStart w:id="1191" w:name="_Toc292559907"/>
      <w:bookmarkStart w:id="1192" w:name="_Toc292559402"/>
      <w:bookmarkStart w:id="1193" w:name="_Toc303539150"/>
      <w:bookmarkStart w:id="1194" w:name="_Toc296891237"/>
      <w:bookmarkStart w:id="1195" w:name="_Toc296346698"/>
      <w:bookmarkStart w:id="1196" w:name="_Toc297048383"/>
      <w:bookmarkStart w:id="1197" w:name="_Toc296503197"/>
      <w:bookmarkStart w:id="1198" w:name="_Toc296944536"/>
      <w:bookmarkStart w:id="1199" w:name="_Toc296347196"/>
      <w:bookmarkStart w:id="1200" w:name="_Toc297123544"/>
      <w:bookmarkStart w:id="1201" w:name="_Toc300934993"/>
      <w:bookmarkStart w:id="1202" w:name="_Toc312677503"/>
      <w:bookmarkStart w:id="1203" w:name="_Toc304295570"/>
      <w:bookmarkStart w:id="1204" w:name="_Toc312678029"/>
      <w:r>
        <w:rPr>
          <w:rFonts w:hint="eastAsia" w:ascii="宋体" w:hAnsi="宋体" w:eastAsia="宋体" w:cs="宋体"/>
          <w:color w:val="auto"/>
          <w:sz w:val="21"/>
          <w:szCs w:val="21"/>
          <w:highlight w:val="none"/>
        </w:rPr>
        <w:t>0.5 承</w:t>
      </w:r>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Start w:id="1205" w:name="_Toc292559913"/>
      <w:bookmarkStart w:id="1206" w:name="_Toc297123545"/>
      <w:bookmarkStart w:id="1207" w:name="_Toc292559408"/>
      <w:bookmarkStart w:id="1208" w:name="_Toc297120503"/>
      <w:bookmarkStart w:id="1209" w:name="_Toc296347202"/>
      <w:bookmarkStart w:id="1210" w:name="_Toc303539151"/>
      <w:bookmarkStart w:id="1211" w:name="_Toc296891243"/>
      <w:bookmarkStart w:id="1212" w:name="_Toc297048389"/>
      <w:bookmarkStart w:id="1213" w:name="_Toc297216204"/>
      <w:bookmarkStart w:id="1214" w:name="_Toc296891031"/>
      <w:bookmarkStart w:id="1215" w:name="_Toc300934994"/>
      <w:bookmarkStart w:id="1216" w:name="_Toc296503203"/>
      <w:bookmarkStart w:id="1217" w:name="_Toc296944542"/>
      <w:bookmarkStart w:id="1218" w:name="_Toc296346704"/>
      <w:r>
        <w:rPr>
          <w:rFonts w:hint="eastAsia" w:ascii="宋体" w:hAnsi="宋体" w:eastAsia="宋体" w:cs="宋体"/>
          <w:color w:val="auto"/>
          <w:sz w:val="21"/>
          <w:szCs w:val="21"/>
          <w:highlight w:val="none"/>
        </w:rPr>
        <w:t>包人的合理化建议</w:t>
      </w:r>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color w:val="auto"/>
          <w:sz w:val="21"/>
          <w:szCs w:val="21"/>
          <w:highlight w:val="none"/>
          <w:u w:val="single"/>
        </w:rPr>
        <w:t>监理人应在收到承包人提交的合理化建议后7天内审查完毕并报送发包人，发现其中存在技术上的缺陷，应通知承包人修改</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发包人应在收到监理人报送的合理化建议后7天内审批完毕</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1219" w:name="_Toc300934995"/>
      <w:bookmarkStart w:id="1220" w:name="_Toc318581175"/>
      <w:bookmarkStart w:id="1221" w:name="_Toc297048390"/>
      <w:bookmarkStart w:id="1222" w:name="_Toc296346705"/>
      <w:bookmarkStart w:id="1223" w:name="_Toc304295571"/>
      <w:bookmarkStart w:id="1224" w:name="_Toc296503204"/>
      <w:bookmarkStart w:id="1225" w:name="_Toc297123546"/>
      <w:bookmarkStart w:id="1226" w:name="_Toc296347203"/>
      <w:bookmarkStart w:id="1227" w:name="_Toc296891244"/>
      <w:bookmarkStart w:id="1228" w:name="_Toc297216205"/>
      <w:bookmarkStart w:id="1229" w:name="_Toc296944543"/>
      <w:bookmarkStart w:id="1230" w:name="_Toc303539152"/>
      <w:bookmarkStart w:id="1231" w:name="_Toc312677504"/>
      <w:bookmarkStart w:id="1232" w:name="_Toc297120504"/>
      <w:bookmarkStart w:id="1233" w:name="_Toc296891032"/>
      <w:bookmarkStart w:id="1234" w:name="_Toc292559409"/>
      <w:bookmarkStart w:id="1235" w:name="_Toc292559914"/>
      <w:bookmarkStart w:id="1236" w:name="_Toc312678030"/>
      <w:r>
        <w:rPr>
          <w:rFonts w:hint="eastAsia" w:ascii="宋体" w:hAnsi="宋体" w:eastAsia="宋体" w:cs="宋体"/>
          <w:color w:val="auto"/>
          <w:sz w:val="21"/>
          <w:szCs w:val="21"/>
          <w:highlight w:val="none"/>
        </w:rPr>
        <w:t>包人提出的合理化建议降低了合同价格或者提高了工程经济效益的奖励的方法和金额为：</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237" w:name="_Toc256000223"/>
      <w:bookmarkStart w:id="1238" w:name="_Toc403578979"/>
      <w:bookmarkStart w:id="1239" w:name="_Toc373478391"/>
      <w:bookmarkStart w:id="1240" w:name="_Toc418518391"/>
      <w:bookmarkStart w:id="1241" w:name="_Toc418061356"/>
      <w:bookmarkStart w:id="1242" w:name="_Toc497747223"/>
      <w:bookmarkStart w:id="1243" w:name="_Toc389065310"/>
      <w:bookmarkStart w:id="1244" w:name="_Toc497746826"/>
      <w:bookmarkStart w:id="1245" w:name="_Toc418752287"/>
      <w:bookmarkStart w:id="1246" w:name="_Toc522201772"/>
      <w:bookmarkStart w:id="1247" w:name="_Toc373227744"/>
      <w:bookmarkStart w:id="1248" w:name="_Toc418751841"/>
      <w:bookmarkStart w:id="1249" w:name="_Toc418518155"/>
      <w:bookmarkStart w:id="1250" w:name="_Toc21766"/>
      <w:r>
        <w:rPr>
          <w:rFonts w:hint="eastAsia" w:ascii="宋体" w:hAnsi="宋体" w:eastAsia="宋体" w:cs="宋体"/>
          <w:color w:val="auto"/>
          <w:sz w:val="21"/>
          <w:szCs w:val="21"/>
          <w:highlight w:val="none"/>
        </w:rPr>
        <w:t>1</w:t>
      </w:r>
      <w:bookmarkStart w:id="1251" w:name="_Toc296944538"/>
      <w:bookmarkStart w:id="1252" w:name="_Toc296891239"/>
      <w:bookmarkStart w:id="1253" w:name="_Toc296346700"/>
      <w:bookmarkStart w:id="1254" w:name="_Toc292559404"/>
      <w:bookmarkStart w:id="1255" w:name="_Toc312677507"/>
      <w:bookmarkStart w:id="1256" w:name="_Toc292559909"/>
      <w:bookmarkStart w:id="1257" w:name="_Toc300934997"/>
      <w:bookmarkStart w:id="1258" w:name="_Toc296503199"/>
      <w:bookmarkStart w:id="1259" w:name="_Toc297216207"/>
      <w:bookmarkStart w:id="1260" w:name="_Toc303539154"/>
      <w:bookmarkStart w:id="1261" w:name="_Toc296347198"/>
      <w:bookmarkStart w:id="1262" w:name="_Toc312678033"/>
      <w:bookmarkStart w:id="1263" w:name="_Toc297123548"/>
      <w:bookmarkStart w:id="1264" w:name="_Toc297120499"/>
      <w:bookmarkStart w:id="1265" w:name="_Toc304295574"/>
      <w:bookmarkStart w:id="1266" w:name="_Toc297048385"/>
      <w:bookmarkStart w:id="1267" w:name="_Toc296891027"/>
      <w:r>
        <w:rPr>
          <w:rFonts w:hint="eastAsia" w:ascii="宋体" w:hAnsi="宋体" w:eastAsia="宋体" w:cs="宋体"/>
          <w:color w:val="auto"/>
          <w:sz w:val="21"/>
          <w:szCs w:val="21"/>
          <w:highlight w:val="none"/>
        </w:rPr>
        <w:t>0.7 暂估价</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暂</w:t>
      </w:r>
      <w:bookmarkStart w:id="1268" w:name="_Toc312677508"/>
      <w:bookmarkStart w:id="1269" w:name="_Toc312678034"/>
      <w:bookmarkStart w:id="1270" w:name="_Toc318581176"/>
      <w:r>
        <w:rPr>
          <w:rFonts w:hint="eastAsia" w:ascii="宋体" w:hAnsi="宋体" w:eastAsia="宋体" w:cs="宋体"/>
          <w:color w:val="auto"/>
          <w:kern w:val="0"/>
          <w:sz w:val="21"/>
          <w:szCs w:val="21"/>
          <w:highlight w:val="none"/>
        </w:rPr>
        <w:t>估价材料和工程设备的明细详见已标价工程量清单《</w:t>
      </w:r>
      <w:r>
        <w:rPr>
          <w:rFonts w:hint="eastAsia" w:ascii="宋体" w:hAnsi="宋体" w:eastAsia="宋体" w:cs="宋体"/>
          <w:color w:val="auto"/>
          <w:sz w:val="21"/>
          <w:szCs w:val="21"/>
          <w:highlight w:val="none"/>
        </w:rPr>
        <w:t>材料（工程设备）暂估价格及调整表》</w:t>
      </w:r>
      <w:r>
        <w:rPr>
          <w:rFonts w:hint="eastAsia" w:ascii="宋体" w:hAnsi="宋体" w:eastAsia="宋体" w:cs="宋体"/>
          <w:color w:val="auto"/>
          <w:kern w:val="0"/>
          <w:sz w:val="21"/>
          <w:szCs w:val="21"/>
          <w:highlight w:val="none"/>
        </w:rPr>
        <w:t>（表12-2）和《</w:t>
      </w:r>
      <w:r>
        <w:rPr>
          <w:rFonts w:hint="eastAsia" w:ascii="宋体" w:hAnsi="宋体" w:eastAsia="宋体" w:cs="宋体"/>
          <w:color w:val="auto"/>
          <w:sz w:val="21"/>
          <w:szCs w:val="21"/>
          <w:highlight w:val="none"/>
        </w:rPr>
        <w:t>专业工程暂估价表》（</w:t>
      </w:r>
      <w:r>
        <w:rPr>
          <w:rFonts w:hint="eastAsia" w:ascii="宋体" w:hAnsi="宋体" w:eastAsia="宋体" w:cs="宋体"/>
          <w:color w:val="auto"/>
          <w:kern w:val="0"/>
          <w:sz w:val="21"/>
          <w:szCs w:val="21"/>
          <w:highlight w:val="none"/>
        </w:rPr>
        <w:t>表12-3）。</w:t>
      </w:r>
    </w:p>
    <w:bookmarkEnd w:id="1268"/>
    <w:bookmarkEnd w:id="1269"/>
    <w:bookmarkEnd w:id="1270"/>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1271" w:name="_Toc318581177"/>
      <w:bookmarkStart w:id="1272" w:name="_Toc312677509"/>
      <w:bookmarkStart w:id="1273" w:name="_Toc312678035"/>
      <w:r>
        <w:rPr>
          <w:rFonts w:hint="eastAsia" w:ascii="宋体" w:hAnsi="宋体" w:eastAsia="宋体" w:cs="宋体"/>
          <w:color w:val="auto"/>
          <w:sz w:val="21"/>
          <w:szCs w:val="21"/>
          <w:highlight w:val="none"/>
        </w:rPr>
        <w:t>0.7.1 依法必须招标的暂估价项目</w:t>
      </w:r>
    </w:p>
    <w:bookmarkEnd w:id="1271"/>
    <w:bookmarkEnd w:id="1272"/>
    <w:bookmarkEnd w:id="1273"/>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对于依法必须招标的暂估价项目的确认和批准采取第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种方式确定。</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不属于依法必须招标的暂估价项目</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对于不属于依法必须招标的暂估价项目的确认和批准采取第</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 xml:space="preserve"> 种方式确定。</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第3种方式：</w:t>
      </w:r>
      <w:r>
        <w:rPr>
          <w:rFonts w:hint="eastAsia" w:ascii="宋体" w:hAnsi="宋体" w:eastAsia="宋体" w:cs="宋体"/>
          <w:color w:val="auto"/>
          <w:kern w:val="0"/>
          <w:sz w:val="21"/>
          <w:szCs w:val="21"/>
          <w:highlight w:val="none"/>
        </w:rPr>
        <w:t>承包人直接实施的暂估价项目</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274" w:name="_Toc389065311"/>
      <w:bookmarkStart w:id="1275" w:name="_Toc256000224"/>
      <w:bookmarkStart w:id="1276" w:name="_Toc373227745"/>
      <w:bookmarkStart w:id="1277" w:name="_Toc373478392"/>
      <w:bookmarkStart w:id="1278" w:name="_Toc497746827"/>
      <w:bookmarkStart w:id="1279" w:name="_Toc418751842"/>
      <w:bookmarkStart w:id="1280" w:name="_Toc418518392"/>
      <w:bookmarkStart w:id="1281" w:name="_Toc418752288"/>
      <w:bookmarkStart w:id="1282" w:name="_Toc497747224"/>
      <w:bookmarkStart w:id="1283" w:name="_Toc403578980"/>
      <w:bookmarkStart w:id="1284" w:name="_Toc418061357"/>
      <w:bookmarkStart w:id="1285" w:name="_Toc418518156"/>
      <w:bookmarkStart w:id="1286" w:name="_Toc522201773"/>
      <w:bookmarkStart w:id="1287" w:name="_Toc5981"/>
      <w:r>
        <w:rPr>
          <w:rFonts w:hint="eastAsia" w:ascii="宋体" w:hAnsi="宋体" w:eastAsia="宋体" w:cs="宋体"/>
          <w:color w:val="auto"/>
          <w:sz w:val="21"/>
          <w:szCs w:val="21"/>
          <w:highlight w:val="none"/>
        </w:rPr>
        <w:t>10.8 暂列金额</w:t>
      </w:r>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合同当事人关于暂列金额使用的约定：</w:t>
      </w:r>
      <w:r>
        <w:rPr>
          <w:rFonts w:hint="eastAsia" w:ascii="宋体" w:hAnsi="宋体" w:eastAsia="宋体" w:cs="宋体"/>
          <w:color w:val="auto"/>
          <w:sz w:val="21"/>
          <w:szCs w:val="21"/>
          <w:highlight w:val="none"/>
          <w:u w:val="single"/>
        </w:rPr>
        <w:t xml:space="preserve">（1）已签约合同价中的暂列金额由发包人掌握使用。（2）发包人按照规定所作支付后，暂列金额如有余额归发包人 </w:t>
      </w:r>
      <w:r>
        <w:rPr>
          <w:rFonts w:hint="eastAsia" w:ascii="宋体" w:hAnsi="宋体" w:eastAsia="宋体" w:cs="宋体"/>
          <w:color w:val="auto"/>
          <w:kern w:val="0"/>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1288" w:name="_Toc373227746"/>
      <w:bookmarkStart w:id="1289" w:name="_Toc403578981"/>
      <w:bookmarkStart w:id="1290" w:name="_Toc418752289"/>
      <w:bookmarkStart w:id="1291" w:name="_Toc522201774"/>
      <w:bookmarkStart w:id="1292" w:name="_Toc497747225"/>
      <w:bookmarkStart w:id="1293" w:name="_Toc373478393"/>
      <w:bookmarkStart w:id="1294" w:name="_Toc418751843"/>
      <w:bookmarkStart w:id="1295" w:name="_Toc351203643"/>
      <w:bookmarkStart w:id="1296" w:name="_Toc497746828"/>
      <w:bookmarkStart w:id="1297" w:name="_Toc418518393"/>
      <w:bookmarkStart w:id="1298" w:name="_Toc418518157"/>
      <w:bookmarkStart w:id="1299" w:name="_Toc389065312"/>
      <w:bookmarkStart w:id="1300" w:name="_Toc256000225"/>
      <w:bookmarkStart w:id="1301" w:name="_Toc418061358"/>
      <w:bookmarkStart w:id="1302" w:name="_Toc14436"/>
      <w:r>
        <w:rPr>
          <w:rFonts w:hint="eastAsia" w:ascii="宋体" w:hAnsi="宋体" w:eastAsia="宋体" w:cs="宋体"/>
          <w:color w:val="auto"/>
          <w:sz w:val="21"/>
          <w:szCs w:val="21"/>
          <w:highlight w:val="none"/>
        </w:rPr>
        <w:t>11. 价格调整</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303" w:name="_Toc497747226"/>
      <w:bookmarkStart w:id="1304" w:name="_Toc256000226"/>
      <w:bookmarkStart w:id="1305" w:name="_Toc389065313"/>
      <w:bookmarkStart w:id="1306" w:name="_Toc418751844"/>
      <w:bookmarkStart w:id="1307" w:name="_Toc522201775"/>
      <w:bookmarkStart w:id="1308" w:name="_Toc418518394"/>
      <w:bookmarkStart w:id="1309" w:name="_Toc418518158"/>
      <w:bookmarkStart w:id="1310" w:name="_Toc497746829"/>
      <w:bookmarkStart w:id="1311" w:name="_Toc373478394"/>
      <w:bookmarkStart w:id="1312" w:name="_Toc373227747"/>
      <w:bookmarkStart w:id="1313" w:name="_Toc403578982"/>
      <w:bookmarkStart w:id="1314" w:name="_Toc418752290"/>
      <w:bookmarkStart w:id="1315" w:name="_Toc418061359"/>
      <w:bookmarkStart w:id="1316" w:name="_Toc31829"/>
      <w:bookmarkStart w:id="1317" w:name="_Toc304295577"/>
      <w:bookmarkStart w:id="1318" w:name="_Toc296503201"/>
      <w:bookmarkStart w:id="1319" w:name="_Toc303539157"/>
      <w:bookmarkStart w:id="1320" w:name="_Toc300935000"/>
      <w:bookmarkStart w:id="1321" w:name="_Toc296891241"/>
      <w:bookmarkStart w:id="1322" w:name="_Toc297216209"/>
      <w:bookmarkStart w:id="1323" w:name="_Toc297120501"/>
      <w:bookmarkStart w:id="1324" w:name="_Toc292559406"/>
      <w:bookmarkStart w:id="1325" w:name="_Toc297123550"/>
      <w:bookmarkStart w:id="1326" w:name="_Toc312678039"/>
      <w:bookmarkStart w:id="1327" w:name="_Toc292559911"/>
      <w:bookmarkStart w:id="1328" w:name="_Toc296346702"/>
      <w:bookmarkStart w:id="1329" w:name="_Toc296944540"/>
      <w:bookmarkStart w:id="1330" w:name="_Toc296347200"/>
      <w:bookmarkStart w:id="1331" w:name="_Toc297048387"/>
      <w:bookmarkStart w:id="1332" w:name="_Toc296891029"/>
      <w:r>
        <w:rPr>
          <w:rFonts w:hint="eastAsia" w:ascii="宋体" w:hAnsi="宋体" w:eastAsia="宋体" w:cs="宋体"/>
          <w:color w:val="auto"/>
          <w:sz w:val="21"/>
          <w:szCs w:val="21"/>
          <w:highlight w:val="none"/>
        </w:rPr>
        <w:t>11.1 市场价格波动引起的调整</w:t>
      </w:r>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p>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不</w:t>
      </w:r>
      <w:r>
        <w:rPr>
          <w:rFonts w:hint="eastAsia" w:ascii="宋体" w:hAnsi="宋体" w:eastAsia="宋体" w:cs="宋体"/>
          <w:color w:val="auto"/>
          <w:sz w:val="21"/>
          <w:szCs w:val="21"/>
          <w:highlight w:val="none"/>
          <w:u w:val="single"/>
        </w:rPr>
        <w:t xml:space="preserve">调整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因市场价格波动调整合同价格，采用以下第</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种方式对合同价格进行调整：</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关于各可调因子、定值和变值权重，以及基本价格指数及其来源的约定：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pPr>
        <w:pStyle w:val="31"/>
        <w:pageBreakBefore w:val="0"/>
        <w:widowControl w:val="0"/>
        <w:kinsoku/>
        <w:wordWrap/>
        <w:overflowPunct/>
        <w:topLinePunct w:val="0"/>
        <w:bidi w:val="0"/>
        <w:snapToGrid/>
        <w:spacing w:line="380" w:lineRule="exact"/>
        <w:ind w:left="0" w:leftChars="0" w:right="0" w:rightChars="0" w:firstLine="315" w:firstLine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（1）关于基准价格的约定：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w:t>
      </w:r>
      <w:r>
        <w:rPr>
          <w:rFonts w:hint="eastAsia" w:ascii="宋体" w:hAnsi="宋体" w:eastAsia="宋体" w:cs="宋体"/>
          <w:color w:val="auto"/>
          <w:kern w:val="0"/>
          <w:sz w:val="21"/>
          <w:szCs w:val="21"/>
          <w:highlight w:val="none"/>
        </w:rPr>
        <w:t>标人应根据施工期间材料可能由于市场价格上涨（或下跌）因素自行考虑由此引起的风险并计入投标报价中，投标人应对自己的报价承担风险，除本合同约定的钢筋、水泥、商品混凝土、沥青混凝土、碎石、砂、片石、沥青、管材、石材、土方（含购土与弃土）等项材料价格可做调整外，其余材料价格不作调整。</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①承包人在已标价工程量清单或预算书中载明的材料单价低于基准价格的，合同履行期间材料单价涨幅以基准价格为基础超过</w:t>
      </w: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%时，或材料单价跌幅以已标价工程量清单或预算书中载明材料单价为基础超过</w:t>
      </w: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%时，其超过部分据实调整。</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%时，材料单价涨幅以已标价工程量清单或预算书中载明材料单价为基础超过</w:t>
      </w: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%时，其超过部分据实调整。</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%时，其超过部分据实调整。</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④除专用合同约定的钢筋、水泥、商品混凝土、沥青混凝土、碎石、砂、片石、沥青、管材、石材、土方</w:t>
      </w:r>
      <w:r>
        <w:rPr>
          <w:rFonts w:hint="eastAsia" w:ascii="宋体" w:hAnsi="宋体" w:eastAsia="宋体" w:cs="宋体"/>
          <w:color w:val="auto"/>
          <w:kern w:val="0"/>
          <w:sz w:val="21"/>
          <w:szCs w:val="21"/>
          <w:highlight w:val="none"/>
        </w:rPr>
        <w:t>（含购土与弃土）</w:t>
      </w:r>
      <w:r>
        <w:rPr>
          <w:rFonts w:hint="eastAsia" w:ascii="宋体" w:hAnsi="宋体" w:eastAsia="宋体" w:cs="宋体"/>
          <w:color w:val="auto"/>
          <w:sz w:val="21"/>
          <w:szCs w:val="21"/>
          <w:highlight w:val="none"/>
        </w:rPr>
        <w:t>等项材料外，其余材料价格不做调整。调整方法：钢筋、水泥、商品混凝土、沥青混凝土、碎石、砂、片石、沥青、管材、石材、土方</w:t>
      </w:r>
      <w:r>
        <w:rPr>
          <w:rFonts w:hint="eastAsia" w:ascii="宋体" w:hAnsi="宋体" w:eastAsia="宋体" w:cs="宋体"/>
          <w:color w:val="auto"/>
          <w:kern w:val="0"/>
          <w:sz w:val="21"/>
          <w:szCs w:val="21"/>
          <w:highlight w:val="none"/>
        </w:rPr>
        <w:t>（含购土与弃土）</w:t>
      </w:r>
      <w:r>
        <w:rPr>
          <w:rFonts w:hint="eastAsia" w:ascii="宋体" w:hAnsi="宋体" w:eastAsia="宋体" w:cs="宋体"/>
          <w:color w:val="auto"/>
          <w:sz w:val="21"/>
          <w:szCs w:val="21"/>
          <w:highlight w:val="none"/>
        </w:rPr>
        <w:t>价格超过部分×中标下浮系数（中标人的投标报价÷预算价），该部分费用列入税前独立费。</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在工程施工期间，国家及地区如有新的人工费调整政策文件出台，可按国家及地区相关文件进行人工费调差。</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bookmarkEnd w:id="1114"/>
    <w:bookmarkEnd w:id="1115"/>
    <w:bookmarkEnd w:id="1116"/>
    <w:bookmarkEnd w:id="1117"/>
    <w:bookmarkEnd w:id="1118"/>
    <w:bookmarkEnd w:id="1119"/>
    <w:p>
      <w:pPr>
        <w:pStyle w:val="29"/>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1333" w:name="_Toc296347204"/>
      <w:bookmarkStart w:id="1334" w:name="_Toc292559915"/>
      <w:bookmarkStart w:id="1335" w:name="_Toc296503205"/>
      <w:bookmarkStart w:id="1336" w:name="_Toc296891245"/>
      <w:bookmarkStart w:id="1337" w:name="_Toc296346706"/>
      <w:bookmarkStart w:id="1338" w:name="_Toc292559410"/>
      <w:bookmarkStart w:id="1339" w:name="_Toc296891033"/>
      <w:bookmarkStart w:id="1340" w:name="_Toc297048391"/>
      <w:bookmarkStart w:id="1341" w:name="_Toc297120505"/>
      <w:bookmarkStart w:id="1342" w:name="_Toc296944544"/>
      <w:bookmarkStart w:id="1343" w:name="_Toc497746830"/>
      <w:bookmarkStart w:id="1344" w:name="_Toc418518159"/>
      <w:bookmarkStart w:id="1345" w:name="_Toc497747227"/>
      <w:bookmarkStart w:id="1346" w:name="_Toc418751845"/>
      <w:bookmarkStart w:id="1347" w:name="_Toc351203644"/>
      <w:bookmarkStart w:id="1348" w:name="_Toc418518395"/>
      <w:bookmarkStart w:id="1349" w:name="_Toc373227748"/>
      <w:bookmarkStart w:id="1350" w:name="_Toc418061360"/>
      <w:bookmarkStart w:id="1351" w:name="_Toc418752291"/>
      <w:bookmarkStart w:id="1352" w:name="_Toc373478395"/>
      <w:bookmarkStart w:id="1353" w:name="_Toc522201776"/>
      <w:bookmarkStart w:id="1354" w:name="_Toc256000227"/>
      <w:bookmarkStart w:id="1355" w:name="_Toc403578983"/>
      <w:bookmarkStart w:id="1356" w:name="_Toc24033"/>
      <w:bookmarkStart w:id="1357" w:name="_Toc300935002"/>
      <w:bookmarkStart w:id="1358" w:name="_Toc312678040"/>
      <w:bookmarkStart w:id="1359" w:name="_Toc304295579"/>
      <w:bookmarkStart w:id="1360" w:name="_Toc297123552"/>
      <w:bookmarkStart w:id="1361" w:name="_Toc303539159"/>
      <w:bookmarkStart w:id="1362" w:name="_Toc297216211"/>
      <w:r>
        <w:rPr>
          <w:rFonts w:hint="eastAsia" w:ascii="宋体" w:hAnsi="宋体" w:eastAsia="宋体" w:cs="宋体"/>
          <w:color w:val="auto"/>
          <w:sz w:val="21"/>
          <w:szCs w:val="21"/>
          <w:highlight w:val="none"/>
        </w:rPr>
        <w:t xml:space="preserve">12. </w:t>
      </w:r>
      <w:bookmarkEnd w:id="1333"/>
      <w:bookmarkEnd w:id="1334"/>
      <w:bookmarkEnd w:id="1335"/>
      <w:bookmarkEnd w:id="1336"/>
      <w:bookmarkEnd w:id="1337"/>
      <w:bookmarkEnd w:id="1338"/>
      <w:bookmarkEnd w:id="1339"/>
      <w:bookmarkEnd w:id="1340"/>
      <w:bookmarkEnd w:id="1341"/>
      <w:bookmarkEnd w:id="1342"/>
      <w:r>
        <w:rPr>
          <w:rFonts w:hint="eastAsia" w:ascii="宋体" w:hAnsi="宋体" w:eastAsia="宋体" w:cs="宋体"/>
          <w:color w:val="auto"/>
          <w:sz w:val="21"/>
          <w:szCs w:val="21"/>
          <w:highlight w:val="none"/>
        </w:rPr>
        <w:t>合同价格、计量与支付</w:t>
      </w:r>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p>
    <w:bookmarkEnd w:id="1357"/>
    <w:bookmarkEnd w:id="1358"/>
    <w:bookmarkEnd w:id="1359"/>
    <w:bookmarkEnd w:id="1360"/>
    <w:bookmarkEnd w:id="1361"/>
    <w:bookmarkEnd w:id="1362"/>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363" w:name="_Toc292559411"/>
      <w:bookmarkStart w:id="1364" w:name="_Toc292559916"/>
      <w:bookmarkStart w:id="1365" w:name="_Toc267251461"/>
      <w:bookmarkStart w:id="1366" w:name="_Toc296891246"/>
      <w:bookmarkStart w:id="1367" w:name="_Toc296503206"/>
      <w:bookmarkStart w:id="1368" w:name="_Toc297048392"/>
      <w:bookmarkStart w:id="1369" w:name="_Toc296346707"/>
      <w:bookmarkStart w:id="1370" w:name="_Toc297120506"/>
      <w:bookmarkStart w:id="1371" w:name="_Toc296891034"/>
      <w:bookmarkStart w:id="1372" w:name="_Toc296944545"/>
      <w:bookmarkStart w:id="1373" w:name="_Toc296347205"/>
      <w:bookmarkStart w:id="1374" w:name="_Toc497747228"/>
      <w:bookmarkStart w:id="1375" w:name="_Toc256000228"/>
      <w:bookmarkStart w:id="1376" w:name="_Toc373227749"/>
      <w:bookmarkStart w:id="1377" w:name="_Toc403578984"/>
      <w:bookmarkStart w:id="1378" w:name="_Toc418751846"/>
      <w:bookmarkStart w:id="1379" w:name="_Toc497746831"/>
      <w:bookmarkStart w:id="1380" w:name="_Toc418518396"/>
      <w:bookmarkStart w:id="1381" w:name="_Toc522201777"/>
      <w:bookmarkStart w:id="1382" w:name="_Toc418752292"/>
      <w:bookmarkStart w:id="1383" w:name="_Toc418061361"/>
      <w:bookmarkStart w:id="1384" w:name="_Toc373478396"/>
      <w:bookmarkStart w:id="1385" w:name="_Toc418518160"/>
      <w:bookmarkStart w:id="1386" w:name="_Toc389065314"/>
      <w:bookmarkStart w:id="1387" w:name="_Toc2516"/>
      <w:bookmarkStart w:id="1388" w:name="_Toc303539160"/>
      <w:bookmarkStart w:id="1389" w:name="_Toc297123553"/>
      <w:bookmarkStart w:id="1390" w:name="_Toc297216212"/>
      <w:bookmarkStart w:id="1391" w:name="_Toc304295580"/>
      <w:bookmarkStart w:id="1392" w:name="_Toc312678041"/>
      <w:bookmarkStart w:id="1393" w:name="_Toc300935003"/>
      <w:r>
        <w:rPr>
          <w:rFonts w:hint="eastAsia" w:ascii="宋体" w:hAnsi="宋体" w:eastAsia="宋体" w:cs="宋体"/>
          <w:color w:val="auto"/>
          <w:sz w:val="21"/>
          <w:szCs w:val="21"/>
          <w:highlight w:val="none"/>
        </w:rPr>
        <w:t>12.1 合</w:t>
      </w:r>
      <w:bookmarkEnd w:id="1363"/>
      <w:bookmarkEnd w:id="1364"/>
      <w:bookmarkEnd w:id="1365"/>
      <w:r>
        <w:rPr>
          <w:rFonts w:hint="eastAsia" w:ascii="宋体" w:hAnsi="宋体" w:eastAsia="宋体" w:cs="宋体"/>
          <w:color w:val="auto"/>
          <w:sz w:val="21"/>
          <w:szCs w:val="21"/>
          <w:highlight w:val="none"/>
        </w:rPr>
        <w:t>同价</w:t>
      </w:r>
      <w:bookmarkEnd w:id="1366"/>
      <w:bookmarkEnd w:id="1367"/>
      <w:bookmarkEnd w:id="1368"/>
      <w:bookmarkEnd w:id="1369"/>
      <w:bookmarkEnd w:id="1370"/>
      <w:bookmarkEnd w:id="1371"/>
      <w:bookmarkEnd w:id="1372"/>
      <w:bookmarkEnd w:id="1373"/>
      <w:r>
        <w:rPr>
          <w:rFonts w:hint="eastAsia" w:ascii="宋体" w:hAnsi="宋体" w:eastAsia="宋体" w:cs="宋体"/>
          <w:color w:val="auto"/>
          <w:sz w:val="21"/>
          <w:szCs w:val="21"/>
          <w:highlight w:val="none"/>
        </w:rPr>
        <w:t>格形式</w:t>
      </w:r>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bookmarkEnd w:id="1388"/>
    <w:bookmarkEnd w:id="1389"/>
    <w:bookmarkEnd w:id="1390"/>
    <w:bookmarkEnd w:id="1391"/>
    <w:bookmarkEnd w:id="1392"/>
    <w:bookmarkEnd w:id="1393"/>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394" w:name="_Toc389065315"/>
      <w:bookmarkStart w:id="1395" w:name="_Toc373227750"/>
      <w:bookmarkStart w:id="1396" w:name="_Toc373478397"/>
      <w:bookmarkStart w:id="1397" w:name="_Toc300935004"/>
      <w:bookmarkStart w:id="1398" w:name="_Toc297123554"/>
      <w:bookmarkStart w:id="1399" w:name="_Toc304295581"/>
      <w:bookmarkStart w:id="1400" w:name="_Toc312678042"/>
      <w:bookmarkStart w:id="1401" w:name="_Toc297216213"/>
      <w:bookmarkStart w:id="1402" w:name="_Toc303539161"/>
      <w:bookmarkStart w:id="1403" w:name="_Toc292559917"/>
      <w:bookmarkStart w:id="1404" w:name="_Toc296944546"/>
      <w:bookmarkStart w:id="1405" w:name="_Toc296347206"/>
      <w:bookmarkStart w:id="1406" w:name="_Toc296891247"/>
      <w:bookmarkStart w:id="1407" w:name="_Toc297120507"/>
      <w:bookmarkStart w:id="1408" w:name="_Toc297048393"/>
      <w:bookmarkStart w:id="1409" w:name="_Toc296503207"/>
      <w:bookmarkStart w:id="1410" w:name="_Toc296891035"/>
      <w:bookmarkStart w:id="1411" w:name="_Toc292559412"/>
      <w:bookmarkStart w:id="1412" w:name="_Toc296346708"/>
      <w:r>
        <w:rPr>
          <w:rFonts w:hint="eastAsia" w:ascii="宋体" w:hAnsi="宋体" w:eastAsia="宋体" w:cs="宋体"/>
          <w:color w:val="auto"/>
          <w:sz w:val="21"/>
          <w:szCs w:val="21"/>
          <w:highlight w:val="none"/>
        </w:rPr>
        <w:t>（1）单价合同。</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本合同价款采用</w:t>
      </w:r>
      <w:r>
        <w:rPr>
          <w:rFonts w:hint="eastAsia" w:ascii="宋体" w:hAnsi="宋体" w:eastAsia="宋体" w:cs="宋体"/>
          <w:color w:val="auto"/>
          <w:sz w:val="21"/>
          <w:szCs w:val="21"/>
          <w:highlight w:val="none"/>
          <w:u w:val="single"/>
        </w:rPr>
        <w:t>固定综合单价</w:t>
      </w:r>
      <w:r>
        <w:rPr>
          <w:rFonts w:hint="eastAsia" w:ascii="宋体" w:hAnsi="宋体" w:eastAsia="宋体" w:cs="宋体"/>
          <w:color w:val="auto"/>
          <w:sz w:val="21"/>
          <w:szCs w:val="21"/>
          <w:highlight w:val="none"/>
          <w:u w:val="single"/>
          <w:lang w:eastAsia="zh-CN"/>
        </w:rPr>
        <w:t>，工程量按实计算的方式</w:t>
      </w:r>
      <w:r>
        <w:rPr>
          <w:rFonts w:hint="eastAsia" w:ascii="宋体" w:hAnsi="宋体" w:eastAsia="宋体" w:cs="宋体"/>
          <w:color w:val="auto"/>
          <w:sz w:val="21"/>
          <w:szCs w:val="21"/>
          <w:highlight w:val="none"/>
        </w:rPr>
        <w:t>确定。</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综合单价包含的风险范围：</w:t>
      </w:r>
      <w:r>
        <w:rPr>
          <w:rFonts w:hint="eastAsia" w:ascii="宋体" w:hAnsi="宋体" w:eastAsia="宋体" w:cs="宋体"/>
          <w:color w:val="auto"/>
          <w:sz w:val="21"/>
          <w:szCs w:val="21"/>
          <w:highlight w:val="none"/>
          <w:u w:val="single"/>
        </w:rPr>
        <w:t>除工程变更、政策性调整、风险以外因素。</w:t>
      </w:r>
    </w:p>
    <w:p>
      <w:pPr>
        <w:pStyle w:val="38"/>
        <w:pageBreakBefore w:val="0"/>
        <w:widowControl w:val="0"/>
        <w:kinsoku/>
        <w:wordWrap/>
        <w:overflowPunct/>
        <w:topLinePunct w:val="0"/>
        <w:bidi w:val="0"/>
        <w:snapToGrid/>
        <w:spacing w:line="380" w:lineRule="exact"/>
        <w:ind w:left="0" w:leftChars="0" w:right="0" w:rightChars="0" w:firstLine="441" w:firstLineChars="2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p>
    <w:p>
      <w:pPr>
        <w:pStyle w:val="38"/>
        <w:pageBreakBefore w:val="0"/>
        <w:widowControl w:val="0"/>
        <w:kinsoku/>
        <w:wordWrap/>
        <w:overflowPunct/>
        <w:topLinePunct w:val="0"/>
        <w:bidi w:val="0"/>
        <w:snapToGrid/>
        <w:spacing w:line="380" w:lineRule="exact"/>
        <w:ind w:left="0" w:leftChars="0" w:right="0" w:rightChars="0" w:firstLine="441" w:firstLineChars="2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①工程变更：按10.4.1变更估价原则的约定调整。</w:t>
      </w:r>
    </w:p>
    <w:p>
      <w:pPr>
        <w:pStyle w:val="38"/>
        <w:pageBreakBefore w:val="0"/>
        <w:widowControl w:val="0"/>
        <w:kinsoku/>
        <w:wordWrap/>
        <w:overflowPunct/>
        <w:topLinePunct w:val="0"/>
        <w:bidi w:val="0"/>
        <w:snapToGrid/>
        <w:spacing w:line="380" w:lineRule="exact"/>
        <w:ind w:left="0" w:leftChars="0" w:right="0" w:rightChars="0" w:firstLine="441" w:firstLineChars="2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②政策性调整：按自治区建设行政主管部门颁布的文件执行。</w:t>
      </w:r>
    </w:p>
    <w:p>
      <w:pPr>
        <w:pStyle w:val="38"/>
        <w:pageBreakBefore w:val="0"/>
        <w:widowControl w:val="0"/>
        <w:kinsoku/>
        <w:wordWrap/>
        <w:overflowPunct/>
        <w:topLinePunct w:val="0"/>
        <w:bidi w:val="0"/>
        <w:snapToGrid/>
        <w:spacing w:line="380" w:lineRule="exact"/>
        <w:ind w:left="0" w:leftChars="0" w:right="0" w:rightChars="0" w:firstLine="441" w:firstLineChars="21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③材料、设备价格变动风险：按11.1的约定调整。</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④其它：</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总价包含的风险范围：</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413" w:name="_Toc418518161"/>
      <w:bookmarkStart w:id="1414" w:name="_Toc403578985"/>
      <w:bookmarkStart w:id="1415" w:name="_Toc418518397"/>
      <w:bookmarkStart w:id="1416" w:name="_Toc256000229"/>
      <w:bookmarkStart w:id="1417" w:name="_Toc497747229"/>
      <w:bookmarkStart w:id="1418" w:name="_Toc418751847"/>
      <w:bookmarkStart w:id="1419" w:name="_Toc418061362"/>
      <w:bookmarkStart w:id="1420" w:name="_Toc497746832"/>
      <w:bookmarkStart w:id="1421" w:name="_Toc522201778"/>
      <w:bookmarkStart w:id="1422" w:name="_Toc418752293"/>
      <w:bookmarkStart w:id="1423" w:name="_Toc18989"/>
      <w:r>
        <w:rPr>
          <w:rFonts w:hint="eastAsia" w:ascii="宋体" w:hAnsi="宋体" w:eastAsia="宋体" w:cs="宋体"/>
          <w:color w:val="auto"/>
          <w:sz w:val="21"/>
          <w:szCs w:val="21"/>
          <w:highlight w:val="none"/>
        </w:rPr>
        <w:t>12.2 预付款</w:t>
      </w:r>
      <w:bookmarkEnd w:id="1394"/>
      <w:bookmarkEnd w:id="1395"/>
      <w:bookmarkEnd w:id="1396"/>
      <w:bookmarkEnd w:id="1413"/>
      <w:bookmarkEnd w:id="1414"/>
      <w:bookmarkEnd w:id="1415"/>
      <w:bookmarkEnd w:id="1416"/>
      <w:bookmarkEnd w:id="1417"/>
      <w:bookmarkEnd w:id="1418"/>
      <w:bookmarkEnd w:id="1419"/>
      <w:bookmarkEnd w:id="1420"/>
      <w:bookmarkEnd w:id="1421"/>
      <w:bookmarkEnd w:id="1422"/>
      <w:bookmarkEnd w:id="1423"/>
    </w:p>
    <w:bookmarkEnd w:id="1397"/>
    <w:bookmarkEnd w:id="1398"/>
    <w:bookmarkEnd w:id="1399"/>
    <w:bookmarkEnd w:id="1400"/>
    <w:bookmarkEnd w:id="1401"/>
    <w:bookmarkEnd w:id="1402"/>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预付款支付比例或金额：</w:t>
      </w:r>
      <w:r>
        <w:rPr>
          <w:rFonts w:hint="eastAsia" w:ascii="宋体" w:hAnsi="宋体" w:eastAsia="宋体" w:cs="宋体"/>
          <w:color w:val="auto"/>
          <w:sz w:val="21"/>
          <w:szCs w:val="21"/>
          <w:highlight w:val="none"/>
          <w:u w:val="single"/>
          <w:lang w:eastAsia="zh-CN"/>
        </w:rPr>
        <w:t>按合同价的</w:t>
      </w:r>
      <w:r>
        <w:rPr>
          <w:rFonts w:hint="eastAsia" w:ascii="宋体" w:hAnsi="宋体" w:eastAsia="宋体" w:cs="宋体"/>
          <w:color w:val="auto"/>
          <w:sz w:val="21"/>
          <w:szCs w:val="21"/>
          <w:highlight w:val="none"/>
          <w:u w:val="single"/>
          <w:lang w:val="en-US" w:eastAsia="zh-CN"/>
        </w:rPr>
        <w:t xml:space="preserve"> 25%</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签订合同7个工作日内</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预付款担保格式见合同附件9。</w:t>
      </w:r>
    </w:p>
    <w:bookmarkEnd w:id="1403"/>
    <w:bookmarkEnd w:id="1404"/>
    <w:bookmarkEnd w:id="1405"/>
    <w:bookmarkEnd w:id="1406"/>
    <w:bookmarkEnd w:id="1407"/>
    <w:bookmarkEnd w:id="1408"/>
    <w:bookmarkEnd w:id="1409"/>
    <w:bookmarkEnd w:id="1410"/>
    <w:bookmarkEnd w:id="1411"/>
    <w:bookmarkEnd w:id="1412"/>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424" w:name="_Toc373478398"/>
      <w:bookmarkStart w:id="1425" w:name="_Toc418751848"/>
      <w:bookmarkStart w:id="1426" w:name="_Toc389065316"/>
      <w:bookmarkStart w:id="1427" w:name="_Toc256000230"/>
      <w:bookmarkStart w:id="1428" w:name="_Toc373227751"/>
      <w:bookmarkStart w:id="1429" w:name="_Toc497746833"/>
      <w:bookmarkStart w:id="1430" w:name="_Toc497747230"/>
      <w:bookmarkStart w:id="1431" w:name="_Toc418518398"/>
      <w:bookmarkStart w:id="1432" w:name="_Toc418752294"/>
      <w:bookmarkStart w:id="1433" w:name="_Toc522201779"/>
      <w:bookmarkStart w:id="1434" w:name="_Toc418061363"/>
      <w:bookmarkStart w:id="1435" w:name="_Toc403578986"/>
      <w:bookmarkStart w:id="1436" w:name="_Toc418518162"/>
      <w:bookmarkStart w:id="1437" w:name="_Toc23228"/>
      <w:r>
        <w:rPr>
          <w:rFonts w:hint="eastAsia" w:ascii="宋体" w:hAnsi="宋体" w:eastAsia="宋体" w:cs="宋体"/>
          <w:color w:val="auto"/>
          <w:sz w:val="21"/>
          <w:szCs w:val="21"/>
          <w:highlight w:val="none"/>
        </w:rPr>
        <w:t>12.3 计量</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438" w:name="_Toc418061364"/>
      <w:bookmarkStart w:id="1439" w:name="_Toc403578987"/>
      <w:bookmarkStart w:id="1440" w:name="_Toc418518399"/>
      <w:bookmarkStart w:id="1441" w:name="_Toc418518163"/>
      <w:bookmarkStart w:id="1442" w:name="_Toc373478399"/>
      <w:bookmarkStart w:id="1443" w:name="_Toc497747231"/>
      <w:bookmarkStart w:id="1444" w:name="_Toc497746834"/>
      <w:bookmarkStart w:id="1445" w:name="_Toc418752295"/>
      <w:bookmarkStart w:id="1446" w:name="_Toc389065317"/>
      <w:bookmarkStart w:id="1447" w:name="_Toc373227752"/>
      <w:bookmarkStart w:id="1448" w:name="_Toc418751849"/>
      <w:r>
        <w:rPr>
          <w:rFonts w:hint="eastAsia" w:ascii="宋体" w:hAnsi="宋体" w:eastAsia="宋体" w:cs="宋体"/>
          <w:color w:val="auto"/>
          <w:sz w:val="21"/>
          <w:szCs w:val="21"/>
          <w:highlight w:val="none"/>
        </w:rPr>
        <w:t xml:space="preserve">12.3.1 计量原则 </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工程量计算规则：</w:t>
      </w:r>
      <w:r>
        <w:rPr>
          <w:rFonts w:hint="eastAsia" w:ascii="宋体" w:hAnsi="宋体" w:eastAsia="宋体" w:cs="宋体"/>
          <w:color w:val="auto"/>
          <w:sz w:val="21"/>
          <w:szCs w:val="21"/>
          <w:highlight w:val="none"/>
          <w:u w:val="single"/>
        </w:rPr>
        <w:t>工程的计量均以《建设工程工程量清单计价规范》 （GB50500－2013）和及其广西壮族自治区实施细则、 《建设工程工程量清单计算规范》 （GB50854～50862－2013）及其广西实施细则（修订本）、本工程补充项目清单为准。</w:t>
      </w:r>
      <w:r>
        <w:rPr>
          <w:rFonts w:hint="eastAsia" w:ascii="宋体" w:hAnsi="宋体" w:eastAsia="宋体" w:cs="宋体"/>
          <w:color w:val="auto"/>
          <w:sz w:val="21"/>
          <w:szCs w:val="21"/>
          <w:highlight w:val="none"/>
        </w:rPr>
        <w:t xml:space="preserve"> </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12.3.2 计量周期 </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 xml:space="preserve"> 承包人每月25日前向监理人报送上月20日至本月19日完成的工程量报告，并附具进度款申请单、已完成工程量报表和有关资料。</w:t>
      </w:r>
      <w:r>
        <w:rPr>
          <w:rFonts w:hint="eastAsia" w:ascii="宋体" w:hAnsi="宋体" w:eastAsia="宋体" w:cs="宋体"/>
          <w:color w:val="auto"/>
          <w:sz w:val="21"/>
          <w:szCs w:val="21"/>
          <w:highlight w:val="none"/>
        </w:rPr>
        <w:t xml:space="preserve"> </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12.3.3 单价合同的计量 </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color w:val="auto"/>
          <w:sz w:val="21"/>
          <w:szCs w:val="21"/>
          <w:highlight w:val="none"/>
          <w:u w:val="single"/>
        </w:rPr>
        <w:t xml:space="preserve"> (1) 工程量清单所列的工程量，不能作为承包人按合同履行其责任依据，实际施工中发生的工程量增加或减少并不影响承包人履行合同的责任，工程结算以完成的实际工程量为准。(2) 除另有规定外，工程师应按照合同通过计量来核实确定已完成的工程量和价款，承包人应得到该价款扣除保留金后的金额。当工程师要对已完工的工程量进行计量时，应适时地通知承包人参加</w:t>
      </w:r>
      <w:r>
        <w:rPr>
          <w:rFonts w:hint="eastAsia" w:ascii="宋体" w:hAnsi="宋体" w:eastAsia="宋体" w:cs="宋体"/>
          <w:color w:val="auto"/>
          <w:sz w:val="21"/>
          <w:szCs w:val="21"/>
          <w:highlight w:val="none"/>
        </w:rPr>
        <w:t xml:space="preserve">。 </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12.3.4 总价合同的计量 </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关于总价合同计量的约定：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12.3.5 总价合同采用支付分解表计量支付的，是否适用第 12.3.4 项〔总价合同的计量〕约定进行计量：</w:t>
      </w:r>
      <w:r>
        <w:rPr>
          <w:rFonts w:hint="eastAsia" w:ascii="宋体" w:hAnsi="宋体" w:eastAsia="宋体" w:cs="宋体"/>
          <w:color w:val="auto"/>
          <w:sz w:val="21"/>
          <w:szCs w:val="21"/>
          <w:highlight w:val="none"/>
          <w:u w:val="single"/>
        </w:rPr>
        <w:t xml:space="preserve">无 </w:t>
      </w:r>
      <w:r>
        <w:rPr>
          <w:rFonts w:hint="eastAsia" w:ascii="宋体" w:hAnsi="宋体" w:eastAsia="宋体" w:cs="宋体"/>
          <w:color w:val="auto"/>
          <w:sz w:val="21"/>
          <w:szCs w:val="21"/>
          <w:highlight w:val="none"/>
        </w:rPr>
        <w:t xml:space="preserve">。 </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12.3.6 其他价格形式合同的计量 </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 xml:space="preserve">。 </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bookmarkEnd w:id="1438"/>
      <w:bookmarkEnd w:id="1439"/>
      <w:bookmarkEnd w:id="1440"/>
      <w:bookmarkEnd w:id="1441"/>
      <w:bookmarkEnd w:id="1442"/>
      <w:bookmarkEnd w:id="1443"/>
      <w:bookmarkEnd w:id="1444"/>
      <w:bookmarkEnd w:id="1445"/>
      <w:bookmarkEnd w:id="1446"/>
      <w:bookmarkEnd w:id="1447"/>
      <w:bookmarkEnd w:id="1448"/>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449" w:name="_Toc297216215"/>
      <w:bookmarkStart w:id="1450" w:name="_Toc300935006"/>
      <w:bookmarkStart w:id="1451" w:name="_Toc297048397"/>
      <w:bookmarkStart w:id="1452" w:name="_Toc303539163"/>
      <w:bookmarkStart w:id="1453" w:name="_Toc296944550"/>
      <w:bookmarkStart w:id="1454" w:name="_Toc296346712"/>
      <w:bookmarkStart w:id="1455" w:name="_Toc292559416"/>
      <w:bookmarkStart w:id="1456" w:name="_Toc296891039"/>
      <w:bookmarkStart w:id="1457" w:name="_Toc292559921"/>
      <w:bookmarkStart w:id="1458" w:name="_Toc296891251"/>
      <w:bookmarkStart w:id="1459" w:name="_Toc297120511"/>
      <w:bookmarkStart w:id="1460" w:name="_Toc297123556"/>
      <w:bookmarkStart w:id="1461" w:name="_Toc296503211"/>
      <w:bookmarkStart w:id="1462" w:name="_Toc296347210"/>
      <w:r>
        <w:rPr>
          <w:rFonts w:hint="eastAsia" w:ascii="宋体" w:hAnsi="宋体" w:eastAsia="宋体" w:cs="宋体"/>
          <w:color w:val="auto"/>
          <w:sz w:val="21"/>
          <w:szCs w:val="21"/>
          <w:highlight w:val="none"/>
        </w:rPr>
        <w:t>12.4.1 付款周期</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关于付款周期的约定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支付条件和支付时间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工程</w:t>
      </w:r>
      <w:r>
        <w:rPr>
          <w:rFonts w:hint="eastAsia" w:ascii="宋体" w:hAnsi="宋体" w:eastAsia="宋体" w:cs="宋体"/>
          <w:color w:val="auto"/>
          <w:sz w:val="21"/>
          <w:szCs w:val="21"/>
          <w:highlight w:val="none"/>
          <w:u w:val="single"/>
          <w:lang w:eastAsia="zh-CN"/>
        </w:rPr>
        <w:t>进度</w:t>
      </w:r>
      <w:r>
        <w:rPr>
          <w:rFonts w:hint="eastAsia" w:ascii="宋体" w:hAnsi="宋体" w:eastAsia="宋体" w:cs="宋体"/>
          <w:color w:val="auto"/>
          <w:sz w:val="21"/>
          <w:szCs w:val="21"/>
          <w:highlight w:val="none"/>
          <w:u w:val="single"/>
        </w:rPr>
        <w:t>款按月</w:t>
      </w:r>
      <w:r>
        <w:rPr>
          <w:rFonts w:hint="eastAsia" w:ascii="宋体" w:hAnsi="宋体" w:eastAsia="宋体" w:cs="宋体"/>
          <w:color w:val="auto"/>
          <w:sz w:val="21"/>
          <w:szCs w:val="21"/>
          <w:highlight w:val="none"/>
          <w:u w:val="single"/>
          <w:lang w:eastAsia="zh-CN"/>
        </w:rPr>
        <w:t>以实际</w:t>
      </w:r>
      <w:r>
        <w:rPr>
          <w:rFonts w:hint="eastAsia" w:ascii="宋体" w:hAnsi="宋体" w:eastAsia="宋体" w:cs="宋体"/>
          <w:color w:val="auto"/>
          <w:sz w:val="21"/>
          <w:szCs w:val="21"/>
          <w:highlight w:val="none"/>
          <w:u w:val="single"/>
        </w:rPr>
        <w:t>施工完成额支付至70%；</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工程竣工验收合格后，以合同价作为支付依据</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工程款支付（含预付款）至合同价的80%；</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工程验收结算审核后，工程款支付至结算总价的97%；</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发包人按工程价款结算总额的3%预留工程质量保修金，</w:t>
      </w:r>
      <w:r>
        <w:rPr>
          <w:rFonts w:hint="eastAsia" w:ascii="宋体" w:hAnsi="宋体" w:eastAsia="宋体" w:cs="宋体"/>
          <w:color w:val="auto"/>
          <w:sz w:val="21"/>
          <w:szCs w:val="21"/>
          <w:highlight w:val="none"/>
          <w:u w:val="single"/>
          <w:lang w:eastAsia="zh-CN"/>
        </w:rPr>
        <w:t>待工程质保期满后工程无缺陷将工程质量保修金一次付清</w:t>
      </w:r>
      <w:r>
        <w:rPr>
          <w:rFonts w:hint="eastAsia" w:ascii="宋体" w:hAnsi="宋体" w:eastAsia="宋体" w:cs="宋体"/>
          <w:color w:val="auto"/>
          <w:sz w:val="21"/>
          <w:szCs w:val="21"/>
          <w:highlight w:val="none"/>
          <w:lang w:eastAsia="zh-CN"/>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每次付款前，承包人应按发包人的要求提供符合相关法律法规的增值税发票，如发票不符合要求，发包人有权拒收，承包人应承担因不合格发票产生的所有责任。</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bCs/>
          <w:color w:val="auto"/>
          <w:sz w:val="21"/>
          <w:szCs w:val="21"/>
          <w:highlight w:val="none"/>
          <w:u w:val="single"/>
        </w:rPr>
        <w:t>承包人应在每个计量周期到期后的7天内向发包人提交已完工程进度款支付申请一式四份，详细说明此周期自己认为有权得到的款额，包括分包人已完工程的价款，</w:t>
      </w:r>
      <w:r>
        <w:rPr>
          <w:rFonts w:hint="eastAsia" w:ascii="宋体" w:hAnsi="宋体" w:eastAsia="宋体" w:cs="宋体"/>
          <w:bCs/>
          <w:color w:val="auto"/>
          <w:sz w:val="21"/>
          <w:szCs w:val="21"/>
          <w:highlight w:val="none"/>
          <w:u w:val="single"/>
          <w:lang w:val="en-US" w:eastAsia="zh-CN"/>
        </w:rPr>
        <w:t>附</w:t>
      </w:r>
      <w:r>
        <w:rPr>
          <w:rFonts w:hint="eastAsia" w:ascii="宋体" w:hAnsi="宋体" w:eastAsia="宋体" w:cs="宋体"/>
          <w:bCs/>
          <w:color w:val="auto"/>
          <w:sz w:val="21"/>
          <w:szCs w:val="21"/>
          <w:highlight w:val="none"/>
          <w:u w:val="single"/>
        </w:rPr>
        <w:t>已完工程</w:t>
      </w:r>
      <w:r>
        <w:rPr>
          <w:rFonts w:hint="eastAsia" w:ascii="宋体" w:hAnsi="宋体" w:eastAsia="宋体" w:cs="宋体"/>
          <w:bCs/>
          <w:color w:val="auto"/>
          <w:sz w:val="21"/>
          <w:szCs w:val="21"/>
          <w:highlight w:val="none"/>
          <w:u w:val="single"/>
          <w:lang w:eastAsia="zh-CN"/>
        </w:rPr>
        <w:t>量清单</w:t>
      </w:r>
      <w:r>
        <w:rPr>
          <w:rFonts w:hint="eastAsia" w:ascii="宋体" w:hAnsi="宋体" w:eastAsia="宋体" w:cs="宋体"/>
          <w:bCs/>
          <w:color w:val="auto"/>
          <w:sz w:val="21"/>
          <w:szCs w:val="21"/>
          <w:highlight w:val="none"/>
          <w:u w:val="single"/>
        </w:rPr>
        <w:t>预算书</w:t>
      </w:r>
      <w:r>
        <w:rPr>
          <w:rFonts w:hint="eastAsia" w:ascii="宋体" w:hAnsi="宋体" w:eastAsia="宋体" w:cs="宋体"/>
          <w:bCs/>
          <w:color w:val="auto"/>
          <w:sz w:val="21"/>
          <w:szCs w:val="21"/>
          <w:highlight w:val="none"/>
          <w:u w:val="single"/>
          <w:lang w:eastAsia="zh-CN"/>
        </w:rPr>
        <w:t>，具体以发包人要求为准</w:t>
      </w:r>
      <w:r>
        <w:rPr>
          <w:rFonts w:hint="eastAsia" w:ascii="宋体" w:hAnsi="宋体" w:eastAsia="宋体" w:cs="宋体"/>
          <w:bCs/>
          <w:color w:val="auto"/>
          <w:sz w:val="21"/>
          <w:szCs w:val="21"/>
          <w:highlight w:val="none"/>
          <w:u w:val="singl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r>
        <w:rPr>
          <w:rFonts w:hint="eastAsia" w:ascii="宋体" w:hAnsi="宋体" w:eastAsia="宋体" w:cs="宋体"/>
          <w:color w:val="auto"/>
          <w:sz w:val="21"/>
          <w:szCs w:val="21"/>
          <w:highlight w:val="none"/>
        </w:rPr>
        <w:t>2.4.3 进度付款申请单的提交</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bCs/>
          <w:color w:val="auto"/>
          <w:sz w:val="21"/>
          <w:szCs w:val="21"/>
          <w:highlight w:val="none"/>
          <w:u w:val="single"/>
        </w:rPr>
        <w:t>承包人应在每个计量周期到期后的3天内向发包人提交支付申请一式三份，承包人当月完成的产值不足合同价的1％时，不支付进度款，累计至下月一并支付。承包人应随投标文件提交不拖欠民工工资的承诺函和措施。具体支付手续按财政性资金支付程序有关规定办理。</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color w:val="auto"/>
          <w:sz w:val="21"/>
          <w:szCs w:val="21"/>
          <w:highlight w:val="none"/>
          <w:u w:val="single"/>
        </w:rPr>
        <w:t>监理人收到承包人进度付款申请单以及相关资料后 7 天内完成审查并报送发包人</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收到后 7 天内完成审批并签发</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办理相关付款手续后的7天内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525" w:firstLineChars="2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525" w:firstLineChars="2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进度款支付方式：</w:t>
      </w:r>
      <w:r>
        <w:rPr>
          <w:rFonts w:hint="eastAsia" w:ascii="宋体" w:hAnsi="宋体" w:eastAsia="宋体" w:cs="宋体"/>
          <w:color w:val="auto"/>
          <w:sz w:val="21"/>
          <w:szCs w:val="21"/>
          <w:highlight w:val="none"/>
          <w:u w:val="single"/>
        </w:rPr>
        <w:t>银行转账</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525" w:firstLineChars="2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pPr>
        <w:pStyle w:val="31"/>
        <w:pageBreakBefore w:val="0"/>
        <w:widowControl w:val="0"/>
        <w:kinsoku/>
        <w:wordWrap/>
        <w:overflowPunct/>
        <w:topLinePunct w:val="0"/>
        <w:bidi w:val="0"/>
        <w:snapToGrid/>
        <w:spacing w:line="380" w:lineRule="exact"/>
        <w:ind w:left="0" w:leftChars="0" w:right="0" w:rightChars="0" w:firstLine="525" w:firstLineChars="25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 总价合同支付分解表的编制与审批：</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525" w:firstLineChars="25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 单价合同的总价项目支付分解表的编制与审批：</w:t>
      </w:r>
      <w:r>
        <w:rPr>
          <w:rFonts w:hint="eastAsia" w:ascii="宋体" w:hAnsi="宋体" w:eastAsia="宋体" w:cs="宋体"/>
          <w:color w:val="auto"/>
          <w:sz w:val="21"/>
          <w:szCs w:val="21"/>
          <w:highlight w:val="none"/>
          <w:u w:val="single"/>
        </w:rPr>
        <w:t>单价项目不采用支付分解表的方式计算，而按《建设工程工程量清单计价规范（GB50500-2013）广西壮族自治区实施细则（修订本）》的规定执行。</w:t>
      </w:r>
    </w:p>
    <w:bookmarkEnd w:id="1120"/>
    <w:p>
      <w:pPr>
        <w:pStyle w:val="29"/>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1463" w:name="_Toc389065318"/>
      <w:bookmarkStart w:id="1464" w:name="_Toc418518400"/>
      <w:bookmarkStart w:id="1465" w:name="_Toc256000231"/>
      <w:bookmarkStart w:id="1466" w:name="_Toc373478400"/>
      <w:bookmarkStart w:id="1467" w:name="_Toc351203645"/>
      <w:bookmarkStart w:id="1468" w:name="_Toc418751850"/>
      <w:bookmarkStart w:id="1469" w:name="_Toc418061365"/>
      <w:bookmarkStart w:id="1470" w:name="_Toc418752296"/>
      <w:bookmarkStart w:id="1471" w:name="_Toc497747232"/>
      <w:bookmarkStart w:id="1472" w:name="_Toc522201780"/>
      <w:bookmarkStart w:id="1473" w:name="_Toc403578988"/>
      <w:bookmarkStart w:id="1474" w:name="_Toc418518164"/>
      <w:bookmarkStart w:id="1475" w:name="_Toc373227753"/>
      <w:bookmarkStart w:id="1476" w:name="_Toc497746835"/>
      <w:bookmarkStart w:id="1477" w:name="_Toc6574"/>
      <w:bookmarkStart w:id="1478" w:name="_Toc300935015"/>
      <w:bookmarkStart w:id="1479" w:name="_Toc292559424"/>
      <w:bookmarkStart w:id="1480" w:name="_Toc296347218"/>
      <w:bookmarkStart w:id="1481" w:name="_Toc297048405"/>
      <w:bookmarkStart w:id="1482" w:name="_Toc304295593"/>
      <w:bookmarkStart w:id="1483" w:name="_Toc296891259"/>
      <w:bookmarkStart w:id="1484" w:name="_Toc296944558"/>
      <w:bookmarkStart w:id="1485" w:name="_Toc312678053"/>
      <w:bookmarkStart w:id="1486" w:name="_Toc296891047"/>
      <w:bookmarkStart w:id="1487" w:name="_Toc292559929"/>
      <w:bookmarkStart w:id="1488" w:name="_Toc296503219"/>
      <w:bookmarkStart w:id="1489" w:name="_Toc296346720"/>
      <w:bookmarkStart w:id="1490" w:name="_Toc297216223"/>
      <w:bookmarkStart w:id="1491" w:name="_Toc303539172"/>
      <w:bookmarkStart w:id="1492" w:name="_Toc297120519"/>
      <w:bookmarkStart w:id="1493" w:name="_Toc297123564"/>
      <w:r>
        <w:rPr>
          <w:rFonts w:hint="eastAsia" w:ascii="宋体" w:hAnsi="宋体" w:eastAsia="宋体" w:cs="宋体"/>
          <w:color w:val="auto"/>
          <w:sz w:val="21"/>
          <w:szCs w:val="21"/>
          <w:highlight w:val="none"/>
        </w:rPr>
        <w:t>13. 验收和工程试车</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p>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494" w:name="_Toc497747233"/>
      <w:bookmarkStart w:id="1495" w:name="_Toc373478401"/>
      <w:bookmarkStart w:id="1496" w:name="_Toc403578989"/>
      <w:bookmarkStart w:id="1497" w:name="_Toc497746836"/>
      <w:bookmarkStart w:id="1498" w:name="_Toc418751851"/>
      <w:bookmarkStart w:id="1499" w:name="_Toc418061366"/>
      <w:bookmarkStart w:id="1500" w:name="_Toc418752297"/>
      <w:bookmarkStart w:id="1501" w:name="_Toc522201781"/>
      <w:bookmarkStart w:id="1502" w:name="_Toc389065319"/>
      <w:bookmarkStart w:id="1503" w:name="_Toc373227754"/>
      <w:bookmarkStart w:id="1504" w:name="_Toc418518165"/>
      <w:bookmarkStart w:id="1505" w:name="_Toc418518401"/>
      <w:bookmarkStart w:id="1506" w:name="_Toc256000232"/>
      <w:bookmarkStart w:id="1507" w:name="_Toc6824"/>
      <w:r>
        <w:rPr>
          <w:rFonts w:hint="eastAsia" w:ascii="宋体" w:hAnsi="宋体" w:eastAsia="宋体" w:cs="宋体"/>
          <w:color w:val="auto"/>
          <w:sz w:val="21"/>
          <w:szCs w:val="21"/>
          <w:highlight w:val="none"/>
        </w:rPr>
        <w:t>13.1 分部分项工程验收</w:t>
      </w:r>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 xml:space="preserve"> 24 </w:t>
      </w:r>
      <w:r>
        <w:rPr>
          <w:rFonts w:hint="eastAsia" w:ascii="宋体" w:hAnsi="宋体" w:eastAsia="宋体" w:cs="宋体"/>
          <w:color w:val="auto"/>
          <w:sz w:val="21"/>
          <w:szCs w:val="21"/>
          <w:highlight w:val="none"/>
        </w:rPr>
        <w:t>小时提交书面延期要求。</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48 </w:t>
      </w:r>
      <w:r>
        <w:rPr>
          <w:rFonts w:hint="eastAsia" w:ascii="宋体" w:hAnsi="宋体" w:eastAsia="宋体" w:cs="宋体"/>
          <w:color w:val="auto"/>
          <w:sz w:val="21"/>
          <w:szCs w:val="21"/>
          <w:highlight w:val="none"/>
        </w:rPr>
        <w:t>小时。</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508" w:name="_Toc373227755"/>
      <w:bookmarkStart w:id="1509" w:name="_Toc403578990"/>
      <w:bookmarkStart w:id="1510" w:name="_Toc418518402"/>
      <w:bookmarkStart w:id="1511" w:name="_Toc522201782"/>
      <w:bookmarkStart w:id="1512" w:name="_Toc418752298"/>
      <w:bookmarkStart w:id="1513" w:name="_Toc497747234"/>
      <w:bookmarkStart w:id="1514" w:name="_Toc497746837"/>
      <w:bookmarkStart w:id="1515" w:name="_Toc418061367"/>
      <w:bookmarkStart w:id="1516" w:name="_Toc373478402"/>
      <w:bookmarkStart w:id="1517" w:name="_Toc418518166"/>
      <w:bookmarkStart w:id="1518" w:name="_Toc389065320"/>
      <w:bookmarkStart w:id="1519" w:name="_Toc256000233"/>
      <w:bookmarkStart w:id="1520" w:name="_Toc418751852"/>
      <w:bookmarkStart w:id="1521" w:name="_Toc28475"/>
      <w:bookmarkStart w:id="1522" w:name="_Toc297048409"/>
      <w:bookmarkStart w:id="1523" w:name="_Toc296891263"/>
      <w:bookmarkStart w:id="1524" w:name="_Toc296944562"/>
      <w:bookmarkStart w:id="1525" w:name="_Toc292559428"/>
      <w:bookmarkStart w:id="1526" w:name="_Toc304295596"/>
      <w:bookmarkStart w:id="1527" w:name="_Toc296503223"/>
      <w:bookmarkStart w:id="1528" w:name="_Toc296346724"/>
      <w:bookmarkStart w:id="1529" w:name="_Toc296891051"/>
      <w:bookmarkStart w:id="1530" w:name="_Toc297120523"/>
      <w:bookmarkStart w:id="1531" w:name="_Toc296347222"/>
      <w:bookmarkStart w:id="1532" w:name="_Toc303539173"/>
      <w:bookmarkStart w:id="1533" w:name="_Toc297123565"/>
      <w:bookmarkStart w:id="1534" w:name="_Toc312678056"/>
      <w:bookmarkStart w:id="1535" w:name="_Toc300935016"/>
      <w:bookmarkStart w:id="1536" w:name="_Toc297216224"/>
      <w:bookmarkStart w:id="1537" w:name="_Toc292559933"/>
      <w:bookmarkStart w:id="1538" w:name="_Toc267251473"/>
      <w:bookmarkStart w:id="1539" w:name="_Toc267251476"/>
      <w:bookmarkStart w:id="1540" w:name="_Toc267251472"/>
      <w:bookmarkStart w:id="1541" w:name="_Toc267251475"/>
      <w:bookmarkStart w:id="1542" w:name="_Toc267251470"/>
      <w:bookmarkStart w:id="1543" w:name="_Toc267251471"/>
      <w:bookmarkStart w:id="1544" w:name="_Toc267251474"/>
      <w:r>
        <w:rPr>
          <w:rFonts w:hint="eastAsia" w:ascii="宋体" w:hAnsi="宋体" w:eastAsia="宋体" w:cs="宋体"/>
          <w:color w:val="auto"/>
          <w:sz w:val="21"/>
          <w:szCs w:val="21"/>
          <w:highlight w:val="none"/>
        </w:rPr>
        <w:t>13.2 竣工验收</w:t>
      </w:r>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p>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bookmarkStart w:id="1545" w:name="_Toc280868704"/>
      <w:bookmarkStart w:id="1546" w:name="_Toc280868705"/>
      <w:bookmarkStart w:id="1547" w:name="_Toc280868706"/>
      <w:bookmarkStart w:id="1548" w:name="_Toc280868707"/>
      <w:bookmarkStart w:id="1549" w:name="_Toc280868708"/>
      <w:bookmarkStart w:id="1550" w:name="_Toc280868709"/>
      <w:r>
        <w:rPr>
          <w:rFonts w:hint="eastAsia" w:ascii="宋体" w:hAnsi="宋体" w:eastAsia="宋体" w:cs="宋体"/>
          <w:color w:val="auto"/>
          <w:sz w:val="21"/>
          <w:szCs w:val="21"/>
          <w:highlight w:val="none"/>
        </w:rPr>
        <w:t>13.2.1竣工验收条件</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1、工程具备竣工验收条件，承包人按工期竣工验收有关规定，向发包人提交符合桂林市城建档案馆归档要求内容装订成册的完整竣工资料及竣工验收报告、工程竣工图。2、承包人所提交的竣工资料必须符合《建设工程归档整理规范》要求，并在结算审批时出具《工程档案验收合格证明》及建设单位接收档案资料清单证明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肆份，承包人承担竣工验收资料编制、立卷及至档案馆归档等一切费用</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承包人提供竣工图的约定：</w:t>
      </w:r>
      <w:r>
        <w:rPr>
          <w:rFonts w:hint="eastAsia" w:ascii="宋体" w:hAnsi="宋体" w:eastAsia="宋体" w:cs="宋体"/>
          <w:bCs/>
          <w:color w:val="auto"/>
          <w:sz w:val="21"/>
          <w:szCs w:val="21"/>
          <w:highlight w:val="none"/>
          <w:u w:val="single"/>
        </w:rPr>
        <w:t>竣工验收正式通过后15天，提供4套竣工图。</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13.2.2竣工验收程序</w:t>
      </w:r>
    </w:p>
    <w:bookmarkEnd w:id="1545"/>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关于竣工验收程序的约定</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u w:val="single"/>
        </w:rPr>
        <w:t>由承包人提出申请，经监理工程师及承包人同意后，通知各质检及监督部门进行竣工验收。本工程竣工验收合格后，双方应在验收报告上签字认可，本工程实际竣工日期以建设、设计、勘察、监理、施工五家单位验收小组正式验收签字日期为准。工程保修按合同附件3《工程质量保修书》有关规定执行。</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bookmarkEnd w:id="1546"/>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bookmarkEnd w:id="1547"/>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承包人向发包人移交工程的期限：</w:t>
      </w:r>
      <w:r>
        <w:rPr>
          <w:rFonts w:hint="eastAsia" w:ascii="宋体" w:hAnsi="宋体" w:eastAsia="宋体" w:cs="宋体"/>
          <w:color w:val="auto"/>
          <w:sz w:val="21"/>
          <w:szCs w:val="21"/>
          <w:highlight w:val="none"/>
          <w:u w:val="single"/>
        </w:rPr>
        <w:t xml:space="preserve"> 竣工验收整改完毕三日内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每逾期一天，按</w:t>
      </w:r>
      <w:r>
        <w:rPr>
          <w:rFonts w:hint="eastAsia" w:ascii="宋体" w:hAnsi="宋体" w:eastAsia="宋体" w:cs="宋体"/>
          <w:color w:val="auto"/>
          <w:sz w:val="21"/>
          <w:szCs w:val="21"/>
          <w:highlight w:val="none"/>
          <w:u w:val="single"/>
          <w:lang w:val="zh-CN"/>
        </w:rPr>
        <w:t>签约合同价</w:t>
      </w:r>
      <w:r>
        <w:rPr>
          <w:rFonts w:hint="eastAsia" w:ascii="宋体" w:hAnsi="宋体" w:eastAsia="宋体" w:cs="宋体"/>
          <w:color w:val="auto"/>
          <w:sz w:val="21"/>
          <w:szCs w:val="21"/>
          <w:highlight w:val="none"/>
          <w:u w:val="single"/>
        </w:rPr>
        <w:t>款扣除社会保险费、发包人材料价款、暂估专业工程、暂列金额后的万分之四/天</w:t>
      </w:r>
      <w:r>
        <w:rPr>
          <w:rFonts w:hint="eastAsia" w:ascii="宋体" w:hAnsi="宋体" w:eastAsia="宋体" w:cs="宋体"/>
          <w:bCs/>
          <w:color w:val="auto"/>
          <w:sz w:val="21"/>
          <w:szCs w:val="21"/>
          <w:highlight w:val="none"/>
          <w:u w:val="single"/>
        </w:rPr>
        <w:t xml:space="preserve">支付违约金，最高限额为结算价的3% </w:t>
      </w:r>
      <w:r>
        <w:rPr>
          <w:rFonts w:hint="eastAsia" w:ascii="宋体" w:hAnsi="宋体" w:eastAsia="宋体" w:cs="宋体"/>
          <w:color w:val="auto"/>
          <w:sz w:val="21"/>
          <w:szCs w:val="21"/>
          <w:highlight w:val="none"/>
        </w:rPr>
        <w:t>。</w:t>
      </w:r>
    </w:p>
    <w:bookmarkEnd w:id="1548"/>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每逾期一天</w:t>
      </w:r>
      <w:r>
        <w:rPr>
          <w:rFonts w:hint="eastAsia" w:ascii="宋体" w:hAnsi="宋体" w:eastAsia="宋体" w:cs="宋体"/>
          <w:color w:val="auto"/>
          <w:sz w:val="21"/>
          <w:szCs w:val="21"/>
          <w:highlight w:val="none"/>
          <w:u w:val="single"/>
        </w:rPr>
        <w:t>，按</w:t>
      </w:r>
      <w:r>
        <w:rPr>
          <w:rFonts w:hint="eastAsia" w:ascii="宋体" w:hAnsi="宋体" w:eastAsia="宋体" w:cs="宋体"/>
          <w:color w:val="auto"/>
          <w:sz w:val="21"/>
          <w:szCs w:val="21"/>
          <w:highlight w:val="none"/>
          <w:u w:val="single"/>
          <w:lang w:val="zh-CN"/>
        </w:rPr>
        <w:t>签约合同价</w:t>
      </w:r>
      <w:r>
        <w:rPr>
          <w:rFonts w:hint="eastAsia" w:ascii="宋体" w:hAnsi="宋体" w:eastAsia="宋体" w:cs="宋体"/>
          <w:color w:val="auto"/>
          <w:sz w:val="21"/>
          <w:szCs w:val="21"/>
          <w:highlight w:val="none"/>
          <w:u w:val="single"/>
        </w:rPr>
        <w:t xml:space="preserve">款扣除社会保险费、发包人材料价款、暂估专业工程、暂列金额后的万分之四/天支付违约金，最高限额为结算价的3%  </w:t>
      </w:r>
      <w:r>
        <w:rPr>
          <w:rFonts w:hint="eastAsia" w:ascii="宋体" w:hAnsi="宋体" w:eastAsia="宋体" w:cs="宋体"/>
          <w:color w:val="auto"/>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551" w:name="_Toc373478403"/>
      <w:bookmarkStart w:id="1552" w:name="_Toc389065321"/>
      <w:bookmarkStart w:id="1553" w:name="_Toc418061368"/>
      <w:bookmarkStart w:id="1554" w:name="_Toc522201783"/>
      <w:bookmarkStart w:id="1555" w:name="_Toc418518167"/>
      <w:bookmarkStart w:id="1556" w:name="_Toc403578991"/>
      <w:bookmarkStart w:id="1557" w:name="_Toc497746838"/>
      <w:bookmarkStart w:id="1558" w:name="_Toc497747235"/>
      <w:bookmarkStart w:id="1559" w:name="_Toc418751853"/>
      <w:bookmarkStart w:id="1560" w:name="_Toc373227756"/>
      <w:bookmarkStart w:id="1561" w:name="_Toc256000234"/>
      <w:bookmarkStart w:id="1562" w:name="_Toc418518403"/>
      <w:bookmarkStart w:id="1563" w:name="_Toc418752299"/>
      <w:bookmarkStart w:id="1564" w:name="_Toc30764"/>
      <w:r>
        <w:rPr>
          <w:rFonts w:hint="eastAsia" w:ascii="宋体" w:hAnsi="宋体" w:eastAsia="宋体" w:cs="宋体"/>
          <w:color w:val="auto"/>
          <w:sz w:val="21"/>
          <w:szCs w:val="21"/>
          <w:highlight w:val="none"/>
        </w:rPr>
        <w:t>13.3 工程试车</w:t>
      </w:r>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p>
    <w:bookmarkEnd w:id="1549"/>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13.3.1 试车程序</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工程试车内容：</w:t>
      </w:r>
      <w:r>
        <w:rPr>
          <w:rFonts w:hint="eastAsia" w:ascii="宋体" w:hAnsi="宋体" w:eastAsia="宋体" w:cs="宋体"/>
          <w:color w:val="auto"/>
          <w:sz w:val="21"/>
          <w:szCs w:val="21"/>
          <w:highlight w:val="none"/>
          <w:u w:val="single"/>
        </w:rPr>
        <w:t xml:space="preserve">  为达到本工程的验收标准，工程范围内的设施和承包人安装的设备应进行试运行调试，费用由承包人自行负责并已包括在投标报价中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（1）单机无负荷试车费用由</w:t>
      </w:r>
      <w:r>
        <w:rPr>
          <w:rFonts w:hint="eastAsia" w:ascii="宋体" w:hAnsi="宋体" w:eastAsia="宋体" w:cs="宋体"/>
          <w:color w:val="auto"/>
          <w:sz w:val="21"/>
          <w:szCs w:val="21"/>
          <w:highlight w:val="none"/>
          <w:u w:val="single"/>
        </w:rPr>
        <w:t xml:space="preserve">  承包人组织试运行，费用由承包人</w:t>
      </w:r>
      <w:r>
        <w:rPr>
          <w:rFonts w:hint="eastAsia" w:ascii="宋体" w:hAnsi="宋体" w:eastAsia="宋体" w:cs="宋体"/>
          <w:color w:val="auto"/>
          <w:kern w:val="0"/>
          <w:sz w:val="21"/>
          <w:szCs w:val="21"/>
          <w:highlight w:val="none"/>
        </w:rPr>
        <w:t>承担；</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（2）无负荷联动试车费用由</w:t>
      </w:r>
      <w:r>
        <w:rPr>
          <w:rFonts w:hint="eastAsia" w:ascii="宋体" w:hAnsi="宋体" w:eastAsia="宋体" w:cs="宋体"/>
          <w:color w:val="auto"/>
          <w:sz w:val="21"/>
          <w:szCs w:val="21"/>
          <w:highlight w:val="none"/>
          <w:u w:val="single"/>
        </w:rPr>
        <w:t xml:space="preserve">  承包人组织试运行，费用由承包人</w:t>
      </w:r>
      <w:r>
        <w:rPr>
          <w:rFonts w:hint="eastAsia" w:ascii="宋体" w:hAnsi="宋体" w:eastAsia="宋体" w:cs="宋体"/>
          <w:color w:val="auto"/>
          <w:kern w:val="0"/>
          <w:sz w:val="21"/>
          <w:szCs w:val="21"/>
          <w:highlight w:val="none"/>
        </w:rPr>
        <w:t>承担。</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13.3.3 投料试车</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关于投料试车相关事项的约定：</w:t>
      </w:r>
      <w:r>
        <w:rPr>
          <w:rFonts w:hint="eastAsia" w:ascii="宋体" w:hAnsi="宋体" w:eastAsia="宋体" w:cs="宋体"/>
          <w:color w:val="auto"/>
          <w:sz w:val="21"/>
          <w:szCs w:val="21"/>
          <w:highlight w:val="none"/>
          <w:u w:val="single"/>
        </w:rPr>
        <w:t xml:space="preserve"> 由承包人组织试运行，费用由承包人承担 </w:t>
      </w:r>
      <w:r>
        <w:rPr>
          <w:rFonts w:hint="eastAsia" w:ascii="宋体" w:hAnsi="宋体" w:eastAsia="宋体" w:cs="宋体"/>
          <w:color w:val="auto"/>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565" w:name="_Toc418518404"/>
      <w:bookmarkStart w:id="1566" w:name="_Toc497747236"/>
      <w:bookmarkStart w:id="1567" w:name="_Toc373227757"/>
      <w:bookmarkStart w:id="1568" w:name="_Toc418061369"/>
      <w:bookmarkStart w:id="1569" w:name="_Toc497746839"/>
      <w:bookmarkStart w:id="1570" w:name="_Toc418518168"/>
      <w:bookmarkStart w:id="1571" w:name="_Toc403578992"/>
      <w:bookmarkStart w:id="1572" w:name="_Toc256000235"/>
      <w:bookmarkStart w:id="1573" w:name="_Toc418752300"/>
      <w:bookmarkStart w:id="1574" w:name="_Toc522201784"/>
      <w:bookmarkStart w:id="1575" w:name="_Toc373478404"/>
      <w:bookmarkStart w:id="1576" w:name="_Toc418751854"/>
      <w:bookmarkStart w:id="1577" w:name="_Toc389065322"/>
      <w:bookmarkStart w:id="1578" w:name="_Toc25032"/>
      <w:r>
        <w:rPr>
          <w:rFonts w:hint="eastAsia" w:ascii="宋体" w:hAnsi="宋体" w:eastAsia="宋体" w:cs="宋体"/>
          <w:color w:val="auto"/>
          <w:sz w:val="21"/>
          <w:szCs w:val="21"/>
          <w:highlight w:val="none"/>
        </w:rPr>
        <w:t>13.6 竣工退场</w:t>
      </w:r>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sz w:val="21"/>
          <w:szCs w:val="21"/>
          <w:highlight w:val="none"/>
          <w:u w:val="single"/>
        </w:rPr>
        <w:t>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p>
    <w:p>
      <w:pPr>
        <w:pStyle w:val="29"/>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1579" w:name="_Toc522201785"/>
      <w:bookmarkStart w:id="1580" w:name="_Toc351203646"/>
      <w:bookmarkStart w:id="1581" w:name="_Toc418061370"/>
      <w:bookmarkStart w:id="1582" w:name="_Toc3674"/>
      <w:bookmarkStart w:id="1583" w:name="_Toc418518169"/>
      <w:bookmarkStart w:id="1584" w:name="_Toc256000236"/>
      <w:bookmarkStart w:id="1585" w:name="_Toc418752301"/>
      <w:bookmarkStart w:id="1586" w:name="_Toc373478405"/>
      <w:bookmarkStart w:id="1587" w:name="_Toc497746840"/>
      <w:bookmarkStart w:id="1588" w:name="_Toc497747237"/>
      <w:bookmarkStart w:id="1589" w:name="_Toc403578993"/>
      <w:bookmarkStart w:id="1590" w:name="_Toc418518405"/>
      <w:bookmarkStart w:id="1591" w:name="_Toc389065323"/>
      <w:bookmarkStart w:id="1592" w:name="_Toc418751855"/>
      <w:bookmarkStart w:id="1593" w:name="_Toc373227758"/>
      <w:r>
        <w:rPr>
          <w:rFonts w:hint="eastAsia" w:ascii="宋体" w:hAnsi="宋体" w:eastAsia="宋体" w:cs="宋体"/>
          <w:color w:val="auto"/>
          <w:sz w:val="21"/>
          <w:szCs w:val="21"/>
          <w:highlight w:val="none"/>
        </w:rPr>
        <w:t>14. 竣工结算</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594" w:name="_Toc497746841"/>
      <w:bookmarkStart w:id="1595" w:name="_Toc403578994"/>
      <w:bookmarkStart w:id="1596" w:name="_Toc418518406"/>
      <w:bookmarkStart w:id="1597" w:name="_Toc418518170"/>
      <w:bookmarkStart w:id="1598" w:name="_Toc522201786"/>
      <w:bookmarkStart w:id="1599" w:name="_Toc418061371"/>
      <w:bookmarkStart w:id="1600" w:name="_Toc256000237"/>
      <w:bookmarkStart w:id="1601" w:name="_Toc418751856"/>
      <w:bookmarkStart w:id="1602" w:name="_Toc373227759"/>
      <w:bookmarkStart w:id="1603" w:name="_Toc389065324"/>
      <w:bookmarkStart w:id="1604" w:name="_Toc373478406"/>
      <w:bookmarkStart w:id="1605" w:name="_Toc418752302"/>
      <w:bookmarkStart w:id="1606" w:name="_Toc497747238"/>
      <w:bookmarkStart w:id="1607" w:name="_Toc10339"/>
      <w:r>
        <w:rPr>
          <w:rFonts w:hint="eastAsia" w:ascii="宋体" w:hAnsi="宋体" w:eastAsia="宋体" w:cs="宋体"/>
          <w:color w:val="auto"/>
          <w:sz w:val="21"/>
          <w:szCs w:val="21"/>
          <w:highlight w:val="none"/>
        </w:rPr>
        <w:t>14.1 竣工结算申请</w:t>
      </w:r>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承包人提交竣工结算申请单的期限：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具备竣工收条件后28天内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竣工结算申请单应包括的内容：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竣工结算由承包人提交相关结算资料（主要包括合同、工程量计算书、结算书、变更设计通知单、签证单、竣工图）齐全后经监理初审、发包人审核后，</w:t>
      </w:r>
      <w:r>
        <w:rPr>
          <w:rFonts w:hint="eastAsia" w:ascii="宋体" w:hAnsi="宋体" w:eastAsia="宋体" w:cs="宋体"/>
          <w:color w:val="auto"/>
          <w:sz w:val="21"/>
          <w:szCs w:val="21"/>
          <w:highlight w:val="none"/>
          <w:u w:val="single"/>
        </w:rPr>
        <w:t>最终结算以</w:t>
      </w:r>
      <w:r>
        <w:rPr>
          <w:rFonts w:hint="eastAsia" w:ascii="宋体" w:hAnsi="宋体" w:eastAsia="宋体" w:cs="宋体"/>
          <w:color w:val="auto"/>
          <w:sz w:val="21"/>
          <w:szCs w:val="21"/>
          <w:highlight w:val="none"/>
          <w:u w:val="single"/>
          <w:lang w:val="en-US" w:eastAsia="zh-CN"/>
        </w:rPr>
        <w:t>兴安县</w:t>
      </w:r>
      <w:r>
        <w:rPr>
          <w:rFonts w:hint="eastAsia" w:ascii="宋体" w:hAnsi="宋体" w:eastAsia="宋体" w:cs="宋体"/>
          <w:color w:val="auto"/>
          <w:sz w:val="21"/>
          <w:szCs w:val="21"/>
          <w:highlight w:val="none"/>
          <w:u w:val="single"/>
          <w:lang w:eastAsia="zh-CN"/>
        </w:rPr>
        <w:t>财政局</w:t>
      </w:r>
      <w:r>
        <w:rPr>
          <w:rFonts w:hint="eastAsia" w:ascii="宋体" w:hAnsi="宋体" w:eastAsia="宋体" w:cs="宋体"/>
          <w:color w:val="auto"/>
          <w:sz w:val="21"/>
          <w:szCs w:val="21"/>
          <w:highlight w:val="none"/>
          <w:u w:val="single"/>
        </w:rPr>
        <w:t xml:space="preserve">或发包人委托的造价咨询机构审定并经发包人及承包人双方确认的金额为准 </w:t>
      </w:r>
      <w:r>
        <w:rPr>
          <w:rFonts w:hint="eastAsia" w:ascii="宋体" w:hAnsi="宋体" w:eastAsia="宋体" w:cs="宋体"/>
          <w:color w:val="auto"/>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608" w:name="_Toc256000238"/>
      <w:bookmarkStart w:id="1609" w:name="_Toc418751857"/>
      <w:bookmarkStart w:id="1610" w:name="_Toc497747239"/>
      <w:bookmarkStart w:id="1611" w:name="_Toc418061372"/>
      <w:bookmarkStart w:id="1612" w:name="_Toc373227760"/>
      <w:bookmarkStart w:id="1613" w:name="_Toc403578995"/>
      <w:bookmarkStart w:id="1614" w:name="_Toc389065325"/>
      <w:bookmarkStart w:id="1615" w:name="_Toc522201787"/>
      <w:bookmarkStart w:id="1616" w:name="_Toc373478407"/>
      <w:bookmarkStart w:id="1617" w:name="_Toc497746842"/>
      <w:bookmarkStart w:id="1618" w:name="_Toc418518407"/>
      <w:bookmarkStart w:id="1619" w:name="_Toc418518171"/>
      <w:bookmarkStart w:id="1620" w:name="_Toc418752303"/>
      <w:bookmarkStart w:id="1621" w:name="_Toc10047"/>
      <w:r>
        <w:rPr>
          <w:rFonts w:hint="eastAsia" w:ascii="宋体" w:hAnsi="宋体" w:eastAsia="宋体" w:cs="宋体"/>
          <w:color w:val="auto"/>
          <w:sz w:val="21"/>
          <w:szCs w:val="21"/>
          <w:highlight w:val="none"/>
        </w:rPr>
        <w:t>14.2 竣工结算审核</w:t>
      </w:r>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p>
    <w:tbl>
      <w:tblPr>
        <w:tblStyle w:val="18"/>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616"/>
        <w:gridCol w:w="5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31"/>
              <w:pageBreakBefore w:val="0"/>
              <w:widowControl w:val="0"/>
              <w:kinsoku/>
              <w:wordWrap/>
              <w:overflowPunct/>
              <w:topLinePunct w:val="0"/>
              <w:bidi w:val="0"/>
              <w:snapToGrid/>
              <w:spacing w:line="380" w:lineRule="exact"/>
              <w:ind w:left="0" w:leftChars="0" w:right="0" w:rightChars="0"/>
              <w:jc w:val="center"/>
              <w:textAlignment w:val="auto"/>
              <w:rPr>
                <w:rFonts w:hint="eastAsia" w:ascii="宋体" w:hAnsi="宋体" w:eastAsia="宋体" w:cs="宋体"/>
                <w:bCs/>
                <w:color w:val="auto"/>
                <w:sz w:val="21"/>
                <w:szCs w:val="21"/>
                <w:highlight w:val="none"/>
              </w:rPr>
            </w:pPr>
          </w:p>
        </w:tc>
        <w:tc>
          <w:tcPr>
            <w:tcW w:w="2616" w:type="dxa"/>
            <w:vAlign w:val="center"/>
          </w:tcPr>
          <w:p>
            <w:pPr>
              <w:pStyle w:val="31"/>
              <w:pageBreakBefore w:val="0"/>
              <w:widowControl w:val="0"/>
              <w:kinsoku/>
              <w:wordWrap/>
              <w:overflowPunct/>
              <w:topLinePunct w:val="0"/>
              <w:bidi w:val="0"/>
              <w:snapToGrid/>
              <w:spacing w:line="380" w:lineRule="exact"/>
              <w:ind w:left="0" w:leftChars="0" w:right="0" w:rightChars="0" w:firstLine="27" w:firstLineChars="13"/>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工程竣工结算报告金额</w:t>
            </w:r>
          </w:p>
        </w:tc>
        <w:tc>
          <w:tcPr>
            <w:tcW w:w="5817" w:type="dxa"/>
            <w:vAlign w:val="center"/>
          </w:tcPr>
          <w:p>
            <w:pPr>
              <w:pStyle w:val="31"/>
              <w:pageBreakBefore w:val="0"/>
              <w:widowControl w:val="0"/>
              <w:kinsoku/>
              <w:wordWrap/>
              <w:overflowPunct/>
              <w:topLinePunct w:val="0"/>
              <w:bidi w:val="0"/>
              <w:snapToGrid/>
              <w:spacing w:line="38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31"/>
              <w:pageBreakBefore w:val="0"/>
              <w:widowControl w:val="0"/>
              <w:kinsoku/>
              <w:wordWrap/>
              <w:overflowPunct/>
              <w:topLinePunct w:val="0"/>
              <w:bidi w:val="0"/>
              <w:snapToGrid/>
              <w:spacing w:line="38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616" w:type="dxa"/>
            <w:vAlign w:val="center"/>
          </w:tcPr>
          <w:p>
            <w:pPr>
              <w:pStyle w:val="31"/>
              <w:pageBreakBefore w:val="0"/>
              <w:widowControl w:val="0"/>
              <w:kinsoku/>
              <w:wordWrap/>
              <w:overflowPunct/>
              <w:topLinePunct w:val="0"/>
              <w:bidi w:val="0"/>
              <w:snapToGrid/>
              <w:spacing w:line="380" w:lineRule="exact"/>
              <w:ind w:left="0" w:leftChars="0" w:right="0" w:rightChars="0" w:firstLine="27" w:firstLineChars="13"/>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500万元以下</w:t>
            </w:r>
          </w:p>
        </w:tc>
        <w:tc>
          <w:tcPr>
            <w:tcW w:w="5817" w:type="dxa"/>
            <w:vAlign w:val="center"/>
          </w:tcPr>
          <w:p>
            <w:pPr>
              <w:pStyle w:val="31"/>
              <w:pageBreakBefore w:val="0"/>
              <w:widowControl w:val="0"/>
              <w:kinsoku/>
              <w:wordWrap/>
              <w:overflowPunct/>
              <w:topLinePunct w:val="0"/>
              <w:bidi w:val="0"/>
              <w:snapToGrid/>
              <w:spacing w:line="38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31"/>
              <w:pageBreakBefore w:val="0"/>
              <w:widowControl w:val="0"/>
              <w:kinsoku/>
              <w:wordWrap/>
              <w:overflowPunct/>
              <w:topLinePunct w:val="0"/>
              <w:bidi w:val="0"/>
              <w:snapToGrid/>
              <w:spacing w:line="38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616" w:type="dxa"/>
            <w:vAlign w:val="center"/>
          </w:tcPr>
          <w:p>
            <w:pPr>
              <w:pStyle w:val="31"/>
              <w:pageBreakBefore w:val="0"/>
              <w:widowControl w:val="0"/>
              <w:kinsoku/>
              <w:wordWrap/>
              <w:overflowPunct/>
              <w:topLinePunct w:val="0"/>
              <w:bidi w:val="0"/>
              <w:snapToGrid/>
              <w:spacing w:line="380" w:lineRule="exact"/>
              <w:ind w:left="0" w:leftChars="0" w:right="0" w:rightChars="0" w:firstLine="27" w:firstLineChars="13"/>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500万元-2000万元</w:t>
            </w:r>
          </w:p>
        </w:tc>
        <w:tc>
          <w:tcPr>
            <w:tcW w:w="5817" w:type="dxa"/>
            <w:vAlign w:val="center"/>
          </w:tcPr>
          <w:p>
            <w:pPr>
              <w:pStyle w:val="31"/>
              <w:pageBreakBefore w:val="0"/>
              <w:widowControl w:val="0"/>
              <w:kinsoku/>
              <w:wordWrap/>
              <w:overflowPunct/>
              <w:topLinePunct w:val="0"/>
              <w:bidi w:val="0"/>
              <w:snapToGrid/>
              <w:spacing w:line="38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31"/>
              <w:pageBreakBefore w:val="0"/>
              <w:widowControl w:val="0"/>
              <w:kinsoku/>
              <w:wordWrap/>
              <w:overflowPunct/>
              <w:topLinePunct w:val="0"/>
              <w:bidi w:val="0"/>
              <w:snapToGrid/>
              <w:spacing w:line="38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616" w:type="dxa"/>
            <w:vAlign w:val="center"/>
          </w:tcPr>
          <w:p>
            <w:pPr>
              <w:pStyle w:val="31"/>
              <w:pageBreakBefore w:val="0"/>
              <w:widowControl w:val="0"/>
              <w:kinsoku/>
              <w:wordWrap/>
              <w:overflowPunct/>
              <w:topLinePunct w:val="0"/>
              <w:bidi w:val="0"/>
              <w:snapToGrid/>
              <w:spacing w:line="380" w:lineRule="exact"/>
              <w:ind w:left="0" w:leftChars="0" w:right="0" w:rightChars="0" w:firstLine="27" w:firstLineChars="13"/>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2000万元-5000万元</w:t>
            </w:r>
          </w:p>
        </w:tc>
        <w:tc>
          <w:tcPr>
            <w:tcW w:w="5817" w:type="dxa"/>
            <w:vAlign w:val="center"/>
          </w:tcPr>
          <w:p>
            <w:pPr>
              <w:pStyle w:val="31"/>
              <w:pageBreakBefore w:val="0"/>
              <w:widowControl w:val="0"/>
              <w:kinsoku/>
              <w:wordWrap/>
              <w:overflowPunct/>
              <w:topLinePunct w:val="0"/>
              <w:bidi w:val="0"/>
              <w:snapToGrid/>
              <w:spacing w:line="38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31"/>
              <w:pageBreakBefore w:val="0"/>
              <w:widowControl w:val="0"/>
              <w:kinsoku/>
              <w:wordWrap/>
              <w:overflowPunct/>
              <w:topLinePunct w:val="0"/>
              <w:bidi w:val="0"/>
              <w:snapToGrid/>
              <w:spacing w:line="38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2616" w:type="dxa"/>
            <w:vAlign w:val="center"/>
          </w:tcPr>
          <w:p>
            <w:pPr>
              <w:pStyle w:val="31"/>
              <w:pageBreakBefore w:val="0"/>
              <w:widowControl w:val="0"/>
              <w:kinsoku/>
              <w:wordWrap/>
              <w:overflowPunct/>
              <w:topLinePunct w:val="0"/>
              <w:bidi w:val="0"/>
              <w:snapToGrid/>
              <w:spacing w:line="380" w:lineRule="exact"/>
              <w:ind w:left="0" w:leftChars="0" w:right="0" w:rightChars="0" w:firstLine="27" w:firstLineChars="13"/>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5000万元以上</w:t>
            </w:r>
          </w:p>
        </w:tc>
        <w:tc>
          <w:tcPr>
            <w:tcW w:w="5817" w:type="dxa"/>
            <w:vAlign w:val="center"/>
          </w:tcPr>
          <w:p>
            <w:pPr>
              <w:pStyle w:val="31"/>
              <w:pageBreakBefore w:val="0"/>
              <w:widowControl w:val="0"/>
              <w:kinsoku/>
              <w:wordWrap/>
              <w:overflowPunct/>
              <w:topLinePunct w:val="0"/>
              <w:bidi w:val="0"/>
              <w:snapToGrid/>
              <w:spacing w:line="380" w:lineRule="exact"/>
              <w:ind w:left="0" w:leftChars="0" w:right="0" w:rightChars="0"/>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从接到竣工结算报告和完整的竣工结算资料之日起60天</w:t>
            </w:r>
          </w:p>
        </w:tc>
      </w:tr>
    </w:tbl>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因承包人提供的结算资料不完整而需要补充或承包人不按时对账耽误时间时，审查时间应相应顺延</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结算审核报告出具后且审核完承包人的竣工付款申请单30天内</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rPr>
        <w:t>存在异议的部分，由承包人核对后对异议部分进行书面描叙，并交由发包人再次审定。</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622" w:name="_Toc522201788"/>
      <w:bookmarkStart w:id="1623" w:name="_Toc403578996"/>
      <w:bookmarkStart w:id="1624" w:name="_Toc497746843"/>
      <w:bookmarkStart w:id="1625" w:name="_Toc389065326"/>
      <w:bookmarkStart w:id="1626" w:name="_Toc256000239"/>
      <w:bookmarkStart w:id="1627" w:name="_Toc373478408"/>
      <w:bookmarkStart w:id="1628" w:name="_Toc418752304"/>
      <w:bookmarkStart w:id="1629" w:name="_Toc418751858"/>
      <w:bookmarkStart w:id="1630" w:name="_Toc418518172"/>
      <w:bookmarkStart w:id="1631" w:name="_Toc418061373"/>
      <w:bookmarkStart w:id="1632" w:name="_Toc373227761"/>
      <w:bookmarkStart w:id="1633" w:name="_Toc418518408"/>
      <w:bookmarkStart w:id="1634" w:name="_Toc497747240"/>
      <w:bookmarkStart w:id="1635" w:name="_Toc32562"/>
      <w:r>
        <w:rPr>
          <w:rFonts w:hint="eastAsia" w:ascii="宋体" w:hAnsi="宋体" w:eastAsia="宋体" w:cs="宋体"/>
          <w:color w:val="auto"/>
          <w:sz w:val="21"/>
          <w:szCs w:val="21"/>
          <w:highlight w:val="none"/>
        </w:rPr>
        <w:t>14.4 最终结清</w:t>
      </w:r>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一式四份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承包人提交最终结算申请单的期限：</w:t>
      </w:r>
      <w:r>
        <w:rPr>
          <w:rFonts w:hint="eastAsia" w:ascii="宋体" w:hAnsi="宋体" w:eastAsia="宋体" w:cs="宋体"/>
          <w:color w:val="auto"/>
          <w:kern w:val="0"/>
          <w:sz w:val="21"/>
          <w:szCs w:val="21"/>
          <w:highlight w:val="none"/>
          <w:u w:val="single"/>
        </w:rPr>
        <w:t>缺陷责任期终止证书签发后14天内向监理人提交4份竣工付款申请单及相关证明材料</w:t>
      </w:r>
      <w:r>
        <w:rPr>
          <w:rFonts w:hint="eastAsia" w:ascii="宋体" w:hAnsi="宋体" w:eastAsia="宋体" w:cs="宋体"/>
          <w:color w:val="auto"/>
          <w:sz w:val="21"/>
          <w:szCs w:val="21"/>
          <w:highlight w:val="none"/>
        </w:rPr>
        <w:t xml:space="preserve">。 </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kern w:val="0"/>
          <w:sz w:val="21"/>
          <w:szCs w:val="21"/>
          <w:highlight w:val="none"/>
          <w:u w:val="single"/>
        </w:rPr>
        <w:t xml:space="preserve">按通用条款执行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在颁发最终结清证书后的30天内 </w:t>
      </w:r>
      <w:r>
        <w:rPr>
          <w:rFonts w:hint="eastAsia" w:ascii="宋体" w:hAnsi="宋体" w:eastAsia="宋体" w:cs="宋体"/>
          <w:color w:val="auto"/>
          <w:sz w:val="21"/>
          <w:szCs w:val="21"/>
          <w:highlight w:val="none"/>
        </w:rPr>
        <w:t>。</w:t>
      </w:r>
    </w:p>
    <w:bookmarkEnd w:id="1538"/>
    <w:bookmarkEnd w:id="1539"/>
    <w:bookmarkEnd w:id="1540"/>
    <w:bookmarkEnd w:id="1541"/>
    <w:bookmarkEnd w:id="1542"/>
    <w:bookmarkEnd w:id="1543"/>
    <w:bookmarkEnd w:id="1544"/>
    <w:bookmarkEnd w:id="1550"/>
    <w:p>
      <w:pPr>
        <w:pStyle w:val="29"/>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1636" w:name="_Toc522201789"/>
      <w:bookmarkStart w:id="1637" w:name="_Toc351203647"/>
      <w:bookmarkStart w:id="1638" w:name="_Toc373227762"/>
      <w:bookmarkStart w:id="1639" w:name="_Toc418518173"/>
      <w:bookmarkStart w:id="1640" w:name="_Toc418752305"/>
      <w:bookmarkStart w:id="1641" w:name="_Toc403578997"/>
      <w:bookmarkStart w:id="1642" w:name="_Toc256000240"/>
      <w:bookmarkStart w:id="1643" w:name="_Toc373478409"/>
      <w:bookmarkStart w:id="1644" w:name="_Toc418751859"/>
      <w:bookmarkStart w:id="1645" w:name="_Toc497747241"/>
      <w:bookmarkStart w:id="1646" w:name="_Toc418061374"/>
      <w:bookmarkStart w:id="1647" w:name="_Toc389065327"/>
      <w:bookmarkStart w:id="1648" w:name="_Toc418518409"/>
      <w:bookmarkStart w:id="1649" w:name="_Toc497746844"/>
      <w:bookmarkStart w:id="1650" w:name="_Toc1906"/>
      <w:bookmarkStart w:id="1651" w:name="_Toc267251483"/>
      <w:bookmarkStart w:id="1652" w:name="_Toc267251484"/>
      <w:bookmarkStart w:id="1653" w:name="_Toc267251482"/>
      <w:bookmarkStart w:id="1654" w:name="_Toc267251485"/>
      <w:bookmarkStart w:id="1655" w:name="_Toc267251486"/>
      <w:bookmarkStart w:id="1656" w:name="_Toc267251489"/>
      <w:bookmarkStart w:id="1657" w:name="_Toc267251490"/>
      <w:bookmarkStart w:id="1658" w:name="_Toc267251488"/>
      <w:bookmarkStart w:id="1659" w:name="_Toc267251492"/>
      <w:bookmarkStart w:id="1660" w:name="_Toc267251497"/>
      <w:bookmarkStart w:id="1661" w:name="_Toc267251494"/>
      <w:bookmarkStart w:id="1662" w:name="_Toc267251501"/>
      <w:bookmarkStart w:id="1663" w:name="_Toc267251499"/>
      <w:bookmarkStart w:id="1664" w:name="_Toc267251496"/>
      <w:bookmarkStart w:id="1665" w:name="_Toc267251493"/>
      <w:bookmarkStart w:id="1666" w:name="_Toc267251491"/>
      <w:bookmarkStart w:id="1667" w:name="_Toc267251502"/>
      <w:bookmarkStart w:id="1668" w:name="_Toc267251503"/>
      <w:bookmarkStart w:id="1669" w:name="_Toc267251498"/>
      <w:bookmarkStart w:id="1670" w:name="_Toc267251495"/>
      <w:bookmarkStart w:id="1671" w:name="_Toc267251504"/>
      <w:bookmarkStart w:id="1672" w:name="_Toc267251506"/>
      <w:bookmarkStart w:id="1673" w:name="_Toc267251507"/>
      <w:bookmarkStart w:id="1674" w:name="_Toc267251508"/>
      <w:bookmarkStart w:id="1675" w:name="_Toc267251513"/>
      <w:bookmarkStart w:id="1676" w:name="_Toc267251514"/>
      <w:bookmarkStart w:id="1677" w:name="_Toc267251509"/>
      <w:bookmarkStart w:id="1678" w:name="_Toc267251515"/>
      <w:bookmarkStart w:id="1679" w:name="_Toc267251511"/>
      <w:bookmarkStart w:id="1680" w:name="_Toc267251510"/>
      <w:r>
        <w:rPr>
          <w:rFonts w:hint="eastAsia" w:ascii="宋体" w:hAnsi="宋体" w:eastAsia="宋体" w:cs="宋体"/>
          <w:color w:val="auto"/>
          <w:sz w:val="21"/>
          <w:szCs w:val="21"/>
          <w:highlight w:val="none"/>
        </w:rPr>
        <w:t>15. 缺陷责任期与保修</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681" w:name="_Toc418751860"/>
      <w:bookmarkStart w:id="1682" w:name="_Toc403578998"/>
      <w:bookmarkStart w:id="1683" w:name="_Toc256000241"/>
      <w:bookmarkStart w:id="1684" w:name="_Toc497747242"/>
      <w:bookmarkStart w:id="1685" w:name="_Toc418518410"/>
      <w:bookmarkStart w:id="1686" w:name="_Toc418752306"/>
      <w:bookmarkStart w:id="1687" w:name="_Toc418061375"/>
      <w:bookmarkStart w:id="1688" w:name="_Toc373227763"/>
      <w:bookmarkStart w:id="1689" w:name="_Toc418518174"/>
      <w:bookmarkStart w:id="1690" w:name="_Toc522201790"/>
      <w:bookmarkStart w:id="1691" w:name="_Toc373478410"/>
      <w:bookmarkStart w:id="1692" w:name="_Toc389065328"/>
      <w:bookmarkStart w:id="1693" w:name="_Toc497746845"/>
      <w:bookmarkStart w:id="1694" w:name="_Toc21846"/>
      <w:r>
        <w:rPr>
          <w:rFonts w:hint="eastAsia" w:ascii="宋体" w:hAnsi="宋体" w:eastAsia="宋体" w:cs="宋体"/>
          <w:color w:val="auto"/>
          <w:sz w:val="21"/>
          <w:szCs w:val="21"/>
          <w:highlight w:val="none"/>
        </w:rPr>
        <w:t>15.2 缺陷责任期</w:t>
      </w:r>
      <w:bookmarkEnd w:id="1651"/>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rPr>
        <w:t>24个月，</w:t>
      </w:r>
      <w:r>
        <w:rPr>
          <w:rFonts w:hint="eastAsia" w:ascii="宋体" w:hAnsi="宋体" w:eastAsia="宋体" w:cs="宋体"/>
          <w:color w:val="auto"/>
          <w:kern w:val="0"/>
          <w:sz w:val="21"/>
          <w:szCs w:val="21"/>
          <w:highlight w:val="none"/>
          <w:u w:val="single"/>
        </w:rPr>
        <w:t>工程竣工验收合格，自交付使用之日起计算</w:t>
      </w:r>
      <w:r>
        <w:rPr>
          <w:rFonts w:hint="eastAsia" w:ascii="宋体" w:hAnsi="宋体" w:eastAsia="宋体" w:cs="宋体"/>
          <w:color w:val="auto"/>
          <w:sz w:val="21"/>
          <w:szCs w:val="21"/>
          <w:highlight w:val="none"/>
          <w:u w:val="single"/>
        </w:rPr>
        <w:t xml:space="preserve"> ，按照《建设工程质量管理条例》执行，</w:t>
      </w:r>
      <w:r>
        <w:rPr>
          <w:rFonts w:hint="eastAsia" w:ascii="宋体" w:hAnsi="宋体" w:eastAsia="宋体" w:cs="宋体"/>
          <w:bCs/>
          <w:color w:val="auto"/>
          <w:sz w:val="21"/>
          <w:szCs w:val="21"/>
          <w:highlight w:val="none"/>
          <w:u w:val="single"/>
        </w:rPr>
        <w:t xml:space="preserve">详见本合同附件3：《工程质量保修书》 </w:t>
      </w:r>
      <w:r>
        <w:rPr>
          <w:rFonts w:hint="eastAsia" w:ascii="宋体" w:hAnsi="宋体" w:eastAsia="宋体" w:cs="宋体"/>
          <w:color w:val="auto"/>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695" w:name="_Toc373227764"/>
      <w:bookmarkStart w:id="1696" w:name="_Toc256000242"/>
      <w:bookmarkStart w:id="1697" w:name="_Toc418518411"/>
      <w:bookmarkStart w:id="1698" w:name="_Toc373478411"/>
      <w:bookmarkStart w:id="1699" w:name="_Toc418751861"/>
      <w:bookmarkStart w:id="1700" w:name="_Toc418518175"/>
      <w:bookmarkStart w:id="1701" w:name="_Toc418752307"/>
      <w:bookmarkStart w:id="1702" w:name="_Toc497746846"/>
      <w:bookmarkStart w:id="1703" w:name="_Toc389065329"/>
      <w:bookmarkStart w:id="1704" w:name="_Toc418061376"/>
      <w:bookmarkStart w:id="1705" w:name="_Toc497747243"/>
      <w:bookmarkStart w:id="1706" w:name="_Toc522201791"/>
      <w:bookmarkStart w:id="1707" w:name="_Toc403578999"/>
      <w:bookmarkStart w:id="1708" w:name="_Toc13036"/>
      <w:r>
        <w:rPr>
          <w:rFonts w:hint="eastAsia" w:ascii="宋体" w:hAnsi="宋体" w:eastAsia="宋体" w:cs="宋体"/>
          <w:color w:val="auto"/>
          <w:sz w:val="21"/>
          <w:szCs w:val="21"/>
          <w:highlight w:val="none"/>
        </w:rPr>
        <w:t>15.3 质量保证金</w:t>
      </w:r>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kern w:val="0"/>
          <w:sz w:val="21"/>
          <w:szCs w:val="21"/>
          <w:highlight w:val="none"/>
          <w:u w:val="single"/>
        </w:rPr>
        <w:t>按工程价款结算总额的</w:t>
      </w:r>
      <w:r>
        <w:rPr>
          <w:rFonts w:hint="eastAsia" w:ascii="宋体" w:hAnsi="宋体" w:eastAsia="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u w:val="single"/>
        </w:rPr>
        <w:t xml:space="preserve">%作为质保金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（1）质量保证金保函，保证金额为：</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bCs/>
          <w:color w:val="auto"/>
          <w:sz w:val="21"/>
          <w:szCs w:val="21"/>
          <w:highlight w:val="none"/>
        </w:rPr>
        <w:t>发包人按工程价款结算总额的</w:t>
      </w:r>
      <w:r>
        <w:rPr>
          <w:rFonts w:hint="eastAsia" w:ascii="宋体" w:hAnsi="宋体" w:eastAsia="宋体" w:cs="宋体"/>
          <w:bCs/>
          <w:color w:val="auto"/>
          <w:sz w:val="21"/>
          <w:szCs w:val="21"/>
          <w:highlight w:val="none"/>
          <w:u w:val="single"/>
        </w:rPr>
        <w:t xml:space="preserve"> 3 </w:t>
      </w:r>
      <w:r>
        <w:rPr>
          <w:rFonts w:hint="eastAsia" w:ascii="宋体" w:hAnsi="宋体" w:eastAsia="宋体" w:cs="宋体"/>
          <w:bCs/>
          <w:color w:val="auto"/>
          <w:sz w:val="21"/>
          <w:szCs w:val="21"/>
          <w:highlight w:val="none"/>
        </w:rPr>
        <w:t>%预留工程</w:t>
      </w:r>
      <w:r>
        <w:rPr>
          <w:rFonts w:hint="eastAsia" w:ascii="宋体" w:hAnsi="宋体" w:eastAsia="宋体" w:cs="宋体"/>
          <w:bCs/>
          <w:color w:val="auto"/>
          <w:sz w:val="21"/>
          <w:szCs w:val="21"/>
          <w:highlight w:val="none"/>
          <w:lang w:eastAsia="zh-CN"/>
        </w:rPr>
        <w:t>质量保证金</w:t>
      </w:r>
      <w:r>
        <w:rPr>
          <w:rFonts w:hint="eastAsia" w:ascii="宋体" w:hAnsi="宋体" w:eastAsia="宋体" w:cs="宋体"/>
          <w:bCs/>
          <w:color w:val="auto"/>
          <w:sz w:val="21"/>
          <w:szCs w:val="21"/>
          <w:highlight w:val="none"/>
        </w:rPr>
        <w:t>，待缺陷责任期满后返还</w:t>
      </w:r>
      <w:r>
        <w:rPr>
          <w:rFonts w:hint="eastAsia" w:ascii="宋体" w:hAnsi="宋体" w:eastAsia="宋体" w:cs="宋体"/>
          <w:color w:val="auto"/>
          <w:kern w:val="0"/>
          <w:sz w:val="21"/>
          <w:szCs w:val="21"/>
          <w:highlight w:val="none"/>
        </w:rPr>
        <w:t>；</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bCs/>
          <w:color w:val="auto"/>
          <w:sz w:val="21"/>
          <w:szCs w:val="21"/>
          <w:highlight w:val="none"/>
          <w:u w:val="single"/>
        </w:rPr>
        <w:t xml:space="preserve">   /        </w:t>
      </w:r>
      <w:r>
        <w:rPr>
          <w:rFonts w:hint="eastAsia" w:ascii="宋体" w:hAnsi="宋体" w:eastAsia="宋体" w:cs="宋体"/>
          <w:bCs/>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 质量保证金的扣留</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（1）在支付工程进度款时逐次扣留，在此情形下，质量保证金的计算基数不包括预付款的支付、扣回以及价格调整的金额；</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（2）工程竣工结算时一次性扣留质量保证金；</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（3）其他扣留方式:</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关于质量保证金的补充约定：</w:t>
      </w:r>
      <w:r>
        <w:rPr>
          <w:rFonts w:hint="eastAsia" w:ascii="宋体" w:hAnsi="宋体" w:eastAsia="宋体" w:cs="宋体"/>
          <w:color w:val="auto"/>
          <w:sz w:val="21"/>
          <w:szCs w:val="21"/>
          <w:highlight w:val="none"/>
          <w:u w:val="single"/>
        </w:rPr>
        <w:t>承包人未按照法律法规有关规定和合同约定履行质量保修义务的，发包人有权从质量保证金中扣留用于质量保修的各项支出。</w:t>
      </w:r>
      <w:r>
        <w:rPr>
          <w:rFonts w:hint="eastAsia" w:ascii="宋体" w:hAnsi="宋体" w:eastAsia="宋体" w:cs="宋体"/>
          <w:color w:val="auto"/>
          <w:kern w:val="0"/>
          <w:sz w:val="21"/>
          <w:szCs w:val="21"/>
          <w:highlight w:val="none"/>
          <w:u w:val="single"/>
        </w:rPr>
        <w:t>发包人在工程缺陷责任期满后 14 天内将保修金一次性返回给承包人（无息）。质量保证金的返还，并不能免除承包人按照合同约定应承担的质量保修责任和应履行的质量保修义务。</w:t>
      </w:r>
    </w:p>
    <w:bookmarkEnd w:id="1652"/>
    <w:bookmarkEnd w:id="1653"/>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709" w:name="_Toc418518412"/>
      <w:bookmarkStart w:id="1710" w:name="_Toc418061377"/>
      <w:bookmarkStart w:id="1711" w:name="_Toc256000243"/>
      <w:bookmarkStart w:id="1712" w:name="_Toc373227765"/>
      <w:bookmarkStart w:id="1713" w:name="_Toc403579000"/>
      <w:bookmarkStart w:id="1714" w:name="_Toc418751862"/>
      <w:bookmarkStart w:id="1715" w:name="_Toc522201792"/>
      <w:bookmarkStart w:id="1716" w:name="_Toc497746847"/>
      <w:bookmarkStart w:id="1717" w:name="_Toc373478412"/>
      <w:bookmarkStart w:id="1718" w:name="_Toc497747244"/>
      <w:bookmarkStart w:id="1719" w:name="_Toc418518176"/>
      <w:bookmarkStart w:id="1720" w:name="_Toc389065330"/>
      <w:bookmarkStart w:id="1721" w:name="_Toc418752308"/>
      <w:bookmarkStart w:id="1722" w:name="_Toc4824"/>
      <w:r>
        <w:rPr>
          <w:rFonts w:hint="eastAsia" w:ascii="宋体" w:hAnsi="宋体" w:eastAsia="宋体" w:cs="宋体"/>
          <w:color w:val="auto"/>
          <w:sz w:val="21"/>
          <w:szCs w:val="21"/>
          <w:highlight w:val="none"/>
        </w:rPr>
        <w:t>15.4 保修</w:t>
      </w:r>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p>
    <w:bookmarkEnd w:id="1654"/>
    <w:p>
      <w:pPr>
        <w:pStyle w:val="31"/>
        <w:pageBreakBefore w:val="0"/>
        <w:widowControl w:val="0"/>
        <w:kinsoku/>
        <w:wordWrap/>
        <w:overflowPunct/>
        <w:topLinePunct w:val="0"/>
        <w:bidi w:val="0"/>
        <w:snapToGrid/>
        <w:spacing w:line="380" w:lineRule="exact"/>
        <w:ind w:left="0" w:leftChars="0" w:right="0" w:rightChars="0" w:firstLine="409" w:firstLineChars="19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pPr>
        <w:pStyle w:val="31"/>
        <w:pageBreakBefore w:val="0"/>
        <w:widowControl w:val="0"/>
        <w:kinsoku/>
        <w:wordWrap/>
        <w:overflowPunct/>
        <w:topLinePunct w:val="0"/>
        <w:bidi w:val="0"/>
        <w:snapToGrid/>
        <w:spacing w:line="380" w:lineRule="exact"/>
        <w:ind w:left="0" w:leftChars="0" w:right="0" w:rightChars="0" w:firstLine="409" w:firstLineChars="195"/>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根据《建设工程质量管理条例》及有关规定，约定本工程的保修期详见《工程质量保修书》。</w:t>
      </w:r>
    </w:p>
    <w:p>
      <w:pPr>
        <w:pStyle w:val="31"/>
        <w:pageBreakBefore w:val="0"/>
        <w:widowControl w:val="0"/>
        <w:kinsoku/>
        <w:wordWrap/>
        <w:overflowPunct/>
        <w:topLinePunct w:val="0"/>
        <w:bidi w:val="0"/>
        <w:snapToGrid/>
        <w:spacing w:line="380" w:lineRule="exact"/>
        <w:ind w:left="0" w:leftChars="0" w:right="0" w:rightChars="0" w:firstLine="409" w:firstLineChars="195"/>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工程保修书具体内容见合同附件3。</w:t>
      </w:r>
    </w:p>
    <w:p>
      <w:pPr>
        <w:pStyle w:val="31"/>
        <w:pageBreakBefore w:val="0"/>
        <w:widowControl w:val="0"/>
        <w:kinsoku/>
        <w:wordWrap/>
        <w:overflowPunct/>
        <w:topLinePunct w:val="0"/>
        <w:bidi w:val="0"/>
        <w:snapToGrid/>
        <w:spacing w:line="380" w:lineRule="exact"/>
        <w:ind w:left="0" w:leftChars="0" w:right="0" w:rightChars="0" w:firstLine="409" w:firstLineChars="195"/>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pPr>
        <w:pStyle w:val="31"/>
        <w:pageBreakBefore w:val="0"/>
        <w:widowControl w:val="0"/>
        <w:kinsoku/>
        <w:wordWrap/>
        <w:overflowPunct/>
        <w:topLinePunct w:val="0"/>
        <w:bidi w:val="0"/>
        <w:snapToGrid/>
        <w:spacing w:line="380" w:lineRule="exact"/>
        <w:ind w:left="0" w:leftChars="0" w:right="0" w:rightChars="0" w:firstLine="409" w:firstLineChars="195"/>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承包人收到保修通知并到达工程现场的合理时间：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 1、属于保修范围、内容的项目，承包人应当在接到保修通知之日起三天内派人保修。承包人不在约定期限内派人保修的，发包人有权直接安排维修，费用从工程保修金中扣除，不足部分发包人有权向承包人追索。2、发生紧急抢修事故的，承包人在接到事故通知后，应当立即到达事故现场抢修。3、对于涉及设备的质量问题，应当提出保修方案，及时更换设备，承包人实施保修。属于涉及结构安全的质量问题，应当按照《房屋建筑工程质量保修办法》的规定，立即向当地建设行政主管部门报告，采取安全防范措施；由原设计单位或者具有相应资质等级的设计单位提出保修方案，承包人实施保修。4、质量保修完成后，由发包人组织验收。5、保修费用由造成质量缺陷的责任方承担 。</w:t>
      </w:r>
    </w:p>
    <w:bookmarkEnd w:id="1655"/>
    <w:bookmarkEnd w:id="1656"/>
    <w:bookmarkEnd w:id="1657"/>
    <w:bookmarkEnd w:id="1658"/>
    <w:p>
      <w:pPr>
        <w:pStyle w:val="29"/>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1723" w:name="_Toc497746848"/>
      <w:bookmarkStart w:id="1724" w:name="_Toc373478413"/>
      <w:bookmarkStart w:id="1725" w:name="_Toc351203648"/>
      <w:bookmarkStart w:id="1726" w:name="_Toc418061378"/>
      <w:bookmarkStart w:id="1727" w:name="_Toc418518177"/>
      <w:bookmarkStart w:id="1728" w:name="_Toc373227766"/>
      <w:bookmarkStart w:id="1729" w:name="_Toc418752309"/>
      <w:bookmarkStart w:id="1730" w:name="_Toc418751863"/>
      <w:bookmarkStart w:id="1731" w:name="_Toc389065331"/>
      <w:bookmarkStart w:id="1732" w:name="_Toc418518413"/>
      <w:bookmarkStart w:id="1733" w:name="_Toc403579001"/>
      <w:bookmarkStart w:id="1734" w:name="_Toc522201793"/>
      <w:bookmarkStart w:id="1735" w:name="_Toc497747245"/>
      <w:bookmarkStart w:id="1736" w:name="_Toc256000244"/>
      <w:bookmarkStart w:id="1737" w:name="_Toc23994"/>
      <w:bookmarkStart w:id="1738" w:name="_Toc280868717"/>
      <w:bookmarkStart w:id="1739" w:name="_Toc280868718"/>
      <w:r>
        <w:rPr>
          <w:rFonts w:hint="eastAsia" w:ascii="宋体" w:hAnsi="宋体" w:eastAsia="宋体" w:cs="宋体"/>
          <w:color w:val="auto"/>
          <w:sz w:val="21"/>
          <w:szCs w:val="21"/>
          <w:highlight w:val="none"/>
        </w:rPr>
        <w:t>16. 违约</w:t>
      </w:r>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740" w:name="_Toc256000245"/>
      <w:bookmarkStart w:id="1741" w:name="_Toc373478414"/>
      <w:bookmarkStart w:id="1742" w:name="_Toc497747246"/>
      <w:bookmarkStart w:id="1743" w:name="_Toc373227767"/>
      <w:bookmarkStart w:id="1744" w:name="_Toc418752310"/>
      <w:bookmarkStart w:id="1745" w:name="_Toc389065332"/>
      <w:bookmarkStart w:id="1746" w:name="_Toc418751864"/>
      <w:bookmarkStart w:id="1747" w:name="_Toc522201794"/>
      <w:bookmarkStart w:id="1748" w:name="_Toc418518178"/>
      <w:bookmarkStart w:id="1749" w:name="_Toc403579002"/>
      <w:bookmarkStart w:id="1750" w:name="_Toc418061379"/>
      <w:bookmarkStart w:id="1751" w:name="_Toc497746849"/>
      <w:bookmarkStart w:id="1752" w:name="_Toc418518414"/>
      <w:bookmarkStart w:id="1753" w:name="_Toc32526"/>
      <w:r>
        <w:rPr>
          <w:rFonts w:hint="eastAsia" w:ascii="宋体" w:hAnsi="宋体" w:eastAsia="宋体" w:cs="宋体"/>
          <w:color w:val="auto"/>
          <w:sz w:val="21"/>
          <w:szCs w:val="21"/>
          <w:highlight w:val="none"/>
        </w:rPr>
        <w:t>16.1 发包人违约</w:t>
      </w:r>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发包人违约的其他情形：</w:t>
      </w:r>
      <w:r>
        <w:rPr>
          <w:rFonts w:hint="eastAsia" w:ascii="宋体" w:hAnsi="宋体" w:eastAsia="宋体" w:cs="宋体"/>
          <w:color w:val="auto"/>
          <w:kern w:val="0"/>
          <w:sz w:val="21"/>
          <w:szCs w:val="21"/>
          <w:highlight w:val="none"/>
          <w:u w:val="single"/>
        </w:rPr>
        <w:t xml:space="preserve">    无   </w:t>
      </w:r>
      <w:r>
        <w:rPr>
          <w:rFonts w:hint="eastAsia" w:ascii="宋体" w:hAnsi="宋体" w:eastAsia="宋体" w:cs="宋体"/>
          <w:color w:val="auto"/>
          <w:kern w:val="0"/>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16.1.2 发包人违约的责任</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发包人违约责任的承担方式和计算方法：</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（1）因发包人原因未能在计划开工日期前7天内下达开工通知的违约责任：</w:t>
      </w:r>
      <w:r>
        <w:rPr>
          <w:rFonts w:hint="eastAsia" w:ascii="宋体" w:hAnsi="宋体" w:eastAsia="宋体" w:cs="宋体"/>
          <w:color w:val="auto"/>
          <w:kern w:val="0"/>
          <w:sz w:val="21"/>
          <w:szCs w:val="21"/>
          <w:highlight w:val="none"/>
          <w:u w:val="single"/>
        </w:rPr>
        <w:t>工期相应顺延</w:t>
      </w:r>
      <w:r>
        <w:rPr>
          <w:rFonts w:hint="eastAsia" w:ascii="宋体" w:hAnsi="宋体" w:eastAsia="宋体" w:cs="宋体"/>
          <w:color w:val="auto"/>
          <w:kern w:val="0"/>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（2）因发包人原因未能按合同约定支付合同价款的违约责任：</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（3）发包人违反第10.1款〔变更的范围〕第（2）项约定，自行实施被取消的工作或转由他人实施的违约责任：</w:t>
      </w:r>
      <w:r>
        <w:rPr>
          <w:rFonts w:hint="eastAsia" w:ascii="宋体" w:hAnsi="宋体" w:eastAsia="宋体" w:cs="宋体"/>
          <w:color w:val="auto"/>
          <w:kern w:val="0"/>
          <w:sz w:val="21"/>
          <w:szCs w:val="21"/>
          <w:highlight w:val="none"/>
          <w:u w:val="single"/>
        </w:rPr>
        <w:t xml:space="preserve">  按通用条款执行  </w:t>
      </w:r>
      <w:r>
        <w:rPr>
          <w:rFonts w:hint="eastAsia" w:ascii="宋体" w:hAnsi="宋体" w:eastAsia="宋体" w:cs="宋体"/>
          <w:color w:val="auto"/>
          <w:kern w:val="0"/>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highlight w:val="none"/>
          <w:u w:val="single"/>
        </w:rPr>
        <w:t>工期相应顺延</w:t>
      </w:r>
      <w:r>
        <w:rPr>
          <w:rFonts w:hint="eastAsia" w:ascii="宋体" w:hAnsi="宋体" w:eastAsia="宋体" w:cs="宋体"/>
          <w:color w:val="auto"/>
          <w:kern w:val="0"/>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（5）因发包人违反合同约定造成暂停施工的违约责任：</w:t>
      </w:r>
      <w:r>
        <w:rPr>
          <w:rFonts w:hint="eastAsia" w:ascii="宋体" w:hAnsi="宋体" w:eastAsia="宋体" w:cs="宋体"/>
          <w:color w:val="auto"/>
          <w:kern w:val="0"/>
          <w:sz w:val="21"/>
          <w:szCs w:val="21"/>
          <w:highlight w:val="none"/>
          <w:u w:val="single"/>
        </w:rPr>
        <w:t>按通用条款执行</w:t>
      </w:r>
      <w:r>
        <w:rPr>
          <w:rFonts w:hint="eastAsia" w:ascii="宋体" w:hAnsi="宋体" w:eastAsia="宋体" w:cs="宋体"/>
          <w:color w:val="auto"/>
          <w:kern w:val="0"/>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（6）发包人无正当理由没有在约定期限内发出复工指示，导致承包人无法复工的违约责任：</w:t>
      </w:r>
      <w:r>
        <w:rPr>
          <w:rFonts w:hint="eastAsia" w:ascii="宋体" w:hAnsi="宋体" w:eastAsia="宋体" w:cs="宋体"/>
          <w:color w:val="auto"/>
          <w:kern w:val="0"/>
          <w:sz w:val="21"/>
          <w:szCs w:val="21"/>
          <w:highlight w:val="none"/>
          <w:u w:val="single"/>
        </w:rPr>
        <w:t xml:space="preserve">   按通用条款执行</w:t>
      </w:r>
      <w:r>
        <w:rPr>
          <w:rFonts w:hint="eastAsia" w:ascii="宋体" w:hAnsi="宋体" w:eastAsia="宋体" w:cs="宋体"/>
          <w:color w:val="auto"/>
          <w:kern w:val="0"/>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（7）其他：</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承包人按16.1.1项〔发包人违约的情形〕约定暂停施工满</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天后发包人仍不纠正其违约行为并致使合同目的不能实现的，承包人有权解除合同。</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754" w:name="_Toc373478415"/>
      <w:bookmarkStart w:id="1755" w:name="_Toc418061380"/>
      <w:bookmarkStart w:id="1756" w:name="_Toc256000246"/>
      <w:bookmarkStart w:id="1757" w:name="_Toc418518415"/>
      <w:bookmarkStart w:id="1758" w:name="_Toc418751865"/>
      <w:bookmarkStart w:id="1759" w:name="_Toc418752311"/>
      <w:bookmarkStart w:id="1760" w:name="_Toc522201795"/>
      <w:bookmarkStart w:id="1761" w:name="_Toc403579003"/>
      <w:bookmarkStart w:id="1762" w:name="_Toc389065333"/>
      <w:bookmarkStart w:id="1763" w:name="_Toc497747247"/>
      <w:bookmarkStart w:id="1764" w:name="_Toc418518179"/>
      <w:bookmarkStart w:id="1765" w:name="_Toc497746850"/>
      <w:bookmarkStart w:id="1766" w:name="_Toc373227768"/>
      <w:bookmarkStart w:id="1767" w:name="_Toc3928"/>
      <w:r>
        <w:rPr>
          <w:rFonts w:hint="eastAsia" w:ascii="宋体" w:hAnsi="宋体" w:eastAsia="宋体" w:cs="宋体"/>
          <w:color w:val="auto"/>
          <w:sz w:val="21"/>
          <w:szCs w:val="21"/>
          <w:highlight w:val="none"/>
        </w:rPr>
        <w:t>16.2 承包人违约</w:t>
      </w:r>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承包人违约的其他情形：</w:t>
      </w:r>
      <w:r>
        <w:rPr>
          <w:rFonts w:hint="eastAsia" w:ascii="宋体" w:hAnsi="宋体" w:eastAsia="宋体" w:cs="宋体"/>
          <w:color w:val="auto"/>
          <w:kern w:val="0"/>
          <w:sz w:val="21"/>
          <w:szCs w:val="21"/>
          <w:highlight w:val="none"/>
          <w:u w:val="single"/>
        </w:rPr>
        <w:t xml:space="preserve">按通用条款执行 </w:t>
      </w:r>
      <w:r>
        <w:rPr>
          <w:rFonts w:hint="eastAsia" w:ascii="宋体" w:hAnsi="宋体" w:eastAsia="宋体" w:cs="宋体"/>
          <w:color w:val="auto"/>
          <w:kern w:val="0"/>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16.2.2承包人违约的责任</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承包人违约责任的承担方式和计算方法：</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（2）承包人有本合同通用条款第16.2.1（6）条情形的，或经监理人检验认为修复质量不合格而承包人拒绝再进行修补的，发包人将扣除承包人全部</w:t>
      </w:r>
      <w:r>
        <w:rPr>
          <w:rFonts w:hint="eastAsia" w:ascii="宋体" w:hAnsi="宋体" w:eastAsia="宋体" w:cs="宋体"/>
          <w:color w:val="auto"/>
          <w:kern w:val="0"/>
          <w:sz w:val="21"/>
          <w:szCs w:val="21"/>
          <w:highlight w:val="none"/>
          <w:lang w:eastAsia="zh-CN"/>
        </w:rPr>
        <w:t>质量保证金</w:t>
      </w:r>
      <w:r>
        <w:rPr>
          <w:rFonts w:hint="eastAsia" w:ascii="宋体" w:hAnsi="宋体" w:eastAsia="宋体" w:cs="宋体"/>
          <w:color w:val="auto"/>
          <w:kern w:val="0"/>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w:t>
      </w:r>
      <w:r>
        <w:rPr>
          <w:rFonts w:hint="eastAsia" w:ascii="宋体" w:hAnsi="宋体" w:eastAsia="宋体" w:cs="宋体"/>
          <w:color w:val="auto"/>
          <w:sz w:val="21"/>
          <w:szCs w:val="21"/>
          <w:highlight w:val="none"/>
        </w:rPr>
        <w:t>承包人在合同期内，完成合同规定的全部工程，且质量合格，在本工程施工竣工验收后十五天内可申请返还全部或部分罚款，返还金额由监理人审核，发包人批准。罚款金额返还时不包括银行利息。</w:t>
      </w:r>
      <w:r>
        <w:rPr>
          <w:rFonts w:hint="eastAsia" w:ascii="宋体" w:hAnsi="宋体" w:eastAsia="宋体" w:cs="宋体"/>
          <w:color w:val="auto"/>
          <w:kern w:val="0"/>
          <w:sz w:val="21"/>
          <w:szCs w:val="21"/>
          <w:highlight w:val="none"/>
        </w:rPr>
        <w:t>承包人履约保证金被罚款后由发包人从最后一次计量支付时扣除相应金额补足履约保证金。</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关于承包人违约解除合同的特别约定：</w:t>
      </w:r>
      <w:r>
        <w:rPr>
          <w:rFonts w:hint="eastAsia" w:ascii="宋体" w:hAnsi="宋体" w:eastAsia="宋体" w:cs="宋体"/>
          <w:color w:val="auto"/>
          <w:kern w:val="0"/>
          <w:sz w:val="21"/>
          <w:szCs w:val="21"/>
          <w:highlight w:val="none"/>
          <w:u w:val="single"/>
        </w:rPr>
        <w:t>承包人有违反以下情况之一的，发包人有权解除合同，并没收其全部履约保证金</w:t>
      </w:r>
      <w:r>
        <w:rPr>
          <w:rFonts w:hint="eastAsia" w:ascii="宋体" w:hAnsi="宋体" w:eastAsia="宋体" w:cs="宋体"/>
          <w:color w:val="auto"/>
          <w:kern w:val="0"/>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(1)承包人无正当理由不按开工通知的要求及时进场组织施工和不按签订协议书时商定的进度计划有效地开展施工准备，造成工期延误的；</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(2)承包人违反本合同通用条款第3.5条规定私自将合同或合同的任何部分或任何权利转让给其他人，或私自将工程或工程的一部分分包出去的；</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(3)未经监理人批准，承包人私自将已按投标文件承诺进入工地的工程设备、施工设备、临时工程或材料撤离工地的；</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(4)由于承包人原因拒绝按合同进度计划及时完成合同规定的工程，而又未采取有效措施赶上进度，造成工期延误的；</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(5)承包人否认合同有效或拒绝履行合同规定的承包人义务，或由于法律、财务等原因导致承包人无法继续履行或实质上已停止履行合同的义务的；</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(6)合同签订之日起十五日内，承包人无法按合同规定及投标文件的承诺进场经监理工程师认可的全部人员和机械的。</w:t>
      </w:r>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rPr>
        <w:t xml:space="preserve">   协商决定   </w:t>
      </w:r>
      <w:r>
        <w:rPr>
          <w:rFonts w:hint="eastAsia" w:ascii="宋体" w:hAnsi="宋体" w:eastAsia="宋体" w:cs="宋体"/>
          <w:color w:val="auto"/>
          <w:kern w:val="0"/>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1768" w:name="_Toc256000247"/>
      <w:bookmarkStart w:id="1769" w:name="_Toc522201796"/>
      <w:bookmarkStart w:id="1770" w:name="_Toc351203649"/>
      <w:bookmarkStart w:id="1771" w:name="_Toc373478416"/>
      <w:bookmarkStart w:id="1772" w:name="_Toc373227769"/>
      <w:bookmarkStart w:id="1773" w:name="_Toc418061381"/>
      <w:bookmarkStart w:id="1774" w:name="_Toc403579004"/>
      <w:bookmarkStart w:id="1775" w:name="_Toc418752312"/>
      <w:bookmarkStart w:id="1776" w:name="_Toc497746851"/>
      <w:bookmarkStart w:id="1777" w:name="_Toc389065334"/>
      <w:bookmarkStart w:id="1778" w:name="_Toc418518180"/>
      <w:bookmarkStart w:id="1779" w:name="_Toc497747248"/>
      <w:bookmarkStart w:id="1780" w:name="_Toc418751866"/>
      <w:bookmarkStart w:id="1781" w:name="_Toc418518416"/>
      <w:bookmarkStart w:id="1782" w:name="_Toc21272"/>
      <w:r>
        <w:rPr>
          <w:rFonts w:hint="eastAsia" w:ascii="宋体" w:hAnsi="宋体" w:eastAsia="宋体" w:cs="宋体"/>
          <w:color w:val="auto"/>
          <w:sz w:val="21"/>
          <w:szCs w:val="21"/>
          <w:highlight w:val="none"/>
        </w:rPr>
        <w:t>17. 不可抗力</w:t>
      </w:r>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r>
        <w:rPr>
          <w:rFonts w:hint="eastAsia" w:ascii="宋体" w:hAnsi="宋体" w:eastAsia="宋体" w:cs="宋体"/>
          <w:color w:val="auto"/>
          <w:sz w:val="21"/>
          <w:szCs w:val="21"/>
          <w:highlight w:val="none"/>
        </w:rPr>
        <w:t xml:space="preserve"> </w:t>
      </w:r>
      <w:bookmarkEnd w:id="1738"/>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783" w:name="_Toc373478417"/>
      <w:bookmarkStart w:id="1784" w:name="_Toc389065335"/>
      <w:bookmarkStart w:id="1785" w:name="_Toc418061382"/>
      <w:bookmarkStart w:id="1786" w:name="_Toc497747249"/>
      <w:bookmarkStart w:id="1787" w:name="_Toc418752313"/>
      <w:bookmarkStart w:id="1788" w:name="_Toc418751867"/>
      <w:bookmarkStart w:id="1789" w:name="_Toc522201797"/>
      <w:bookmarkStart w:id="1790" w:name="_Toc497746852"/>
      <w:bookmarkStart w:id="1791" w:name="_Toc373227770"/>
      <w:bookmarkStart w:id="1792" w:name="_Toc403579005"/>
      <w:bookmarkStart w:id="1793" w:name="_Toc418518417"/>
      <w:bookmarkStart w:id="1794" w:name="_Toc418518181"/>
      <w:bookmarkStart w:id="1795" w:name="_Toc256000248"/>
      <w:bookmarkStart w:id="1796" w:name="_Toc8556"/>
      <w:r>
        <w:rPr>
          <w:rFonts w:hint="eastAsia" w:ascii="宋体" w:hAnsi="宋体" w:eastAsia="宋体" w:cs="宋体"/>
          <w:color w:val="auto"/>
          <w:sz w:val="21"/>
          <w:szCs w:val="21"/>
          <w:highlight w:val="none"/>
        </w:rPr>
        <w:t>17.1 不可抗力的确认</w:t>
      </w:r>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除通用合同条款约定的不可抗力事件之外，视为不可抗力的其他情形：</w:t>
      </w:r>
      <w:r>
        <w:rPr>
          <w:rFonts w:hint="eastAsia" w:ascii="宋体" w:hAnsi="宋体" w:eastAsia="宋体" w:cs="宋体"/>
          <w:color w:val="auto"/>
          <w:kern w:val="0"/>
          <w:sz w:val="21"/>
          <w:szCs w:val="21"/>
          <w:highlight w:val="none"/>
          <w:u w:val="single"/>
        </w:rPr>
        <w:t>（1）、6级以上地震；（2）、10级以上持续1天的大风；（3）、暴雨级以上持续1天的大雨；（4）、50年以上未发生过，持续2天的高温天气；（5）、50年以上未发生过，持续2天的低温天气；（6）、50年以上未发生过 的洪水；（7）、战争、敌对行动（不论宣战与否）、入侵、外敌行动；（8）、暴乱、骚乱、叛乱、革命、暴动，或军事政变、篡夺政权、内战等；（9）、由于任何有危险性物质所引起的离子辐射或放射性污染；（10）、以音速飞行的飞机或其他飞行装置产生的压力波；（11）、对以上几种形式，应以造成灾害和影响施工为准</w:t>
      </w:r>
      <w:r>
        <w:rPr>
          <w:rFonts w:hint="eastAsia" w:ascii="宋体" w:hAnsi="宋体" w:eastAsia="宋体" w:cs="宋体"/>
          <w:color w:val="auto"/>
          <w:kern w:val="0"/>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797" w:name="_Toc418518418"/>
      <w:bookmarkStart w:id="1798" w:name="_Toc418752314"/>
      <w:bookmarkStart w:id="1799" w:name="_Toc373478418"/>
      <w:bookmarkStart w:id="1800" w:name="_Toc497747250"/>
      <w:bookmarkStart w:id="1801" w:name="_Toc256000249"/>
      <w:bookmarkStart w:id="1802" w:name="_Toc389065336"/>
      <w:bookmarkStart w:id="1803" w:name="_Toc522201798"/>
      <w:bookmarkStart w:id="1804" w:name="_Toc418751868"/>
      <w:bookmarkStart w:id="1805" w:name="_Toc418061383"/>
      <w:bookmarkStart w:id="1806" w:name="_Toc418518182"/>
      <w:bookmarkStart w:id="1807" w:name="_Toc497746853"/>
      <w:bookmarkStart w:id="1808" w:name="_Toc403579006"/>
      <w:bookmarkStart w:id="1809" w:name="_Toc373227771"/>
      <w:bookmarkStart w:id="1810" w:name="_Toc3311"/>
      <w:r>
        <w:rPr>
          <w:rFonts w:hint="eastAsia" w:ascii="宋体" w:hAnsi="宋体" w:eastAsia="宋体" w:cs="宋体"/>
          <w:color w:val="auto"/>
          <w:sz w:val="21"/>
          <w:szCs w:val="21"/>
          <w:highlight w:val="none"/>
        </w:rPr>
        <w:t>17.4 因不可抗力解除合同</w:t>
      </w:r>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天内完成款项的支付。</w:t>
      </w:r>
    </w:p>
    <w:p>
      <w:pPr>
        <w:pStyle w:val="29"/>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1811" w:name="_Toc497747251"/>
      <w:bookmarkStart w:id="1812" w:name="_Toc418751869"/>
      <w:bookmarkStart w:id="1813" w:name="_Toc418061384"/>
      <w:bookmarkStart w:id="1814" w:name="_Toc351203650"/>
      <w:bookmarkStart w:id="1815" w:name="_Toc497746854"/>
      <w:bookmarkStart w:id="1816" w:name="_Toc373227772"/>
      <w:bookmarkStart w:id="1817" w:name="_Toc389065337"/>
      <w:bookmarkStart w:id="1818" w:name="_Toc256000250"/>
      <w:bookmarkStart w:id="1819" w:name="_Toc403579007"/>
      <w:bookmarkStart w:id="1820" w:name="_Toc418518419"/>
      <w:bookmarkStart w:id="1821" w:name="_Toc373478419"/>
      <w:bookmarkStart w:id="1822" w:name="_Toc522201799"/>
      <w:bookmarkStart w:id="1823" w:name="_Toc418518183"/>
      <w:bookmarkStart w:id="1824" w:name="_Toc418752315"/>
      <w:bookmarkStart w:id="1825" w:name="_Toc17025"/>
      <w:r>
        <w:rPr>
          <w:rFonts w:hint="eastAsia" w:ascii="宋体" w:hAnsi="宋体" w:eastAsia="宋体" w:cs="宋体"/>
          <w:color w:val="auto"/>
          <w:sz w:val="21"/>
          <w:szCs w:val="21"/>
          <w:highlight w:val="none"/>
        </w:rPr>
        <w:t>18. 保险</w:t>
      </w:r>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p>
    <w:bookmarkEnd w:id="1739"/>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826" w:name="_Toc418518420"/>
      <w:bookmarkStart w:id="1827" w:name="_Toc497747252"/>
      <w:bookmarkStart w:id="1828" w:name="_Toc497746855"/>
      <w:bookmarkStart w:id="1829" w:name="_Toc373478420"/>
      <w:bookmarkStart w:id="1830" w:name="_Toc373227773"/>
      <w:bookmarkStart w:id="1831" w:name="_Toc403579008"/>
      <w:bookmarkStart w:id="1832" w:name="_Toc522201800"/>
      <w:bookmarkStart w:id="1833" w:name="_Toc389065338"/>
      <w:bookmarkStart w:id="1834" w:name="_Toc418061385"/>
      <w:bookmarkStart w:id="1835" w:name="_Toc418751870"/>
      <w:bookmarkStart w:id="1836" w:name="_Toc256000251"/>
      <w:bookmarkStart w:id="1837" w:name="_Toc418518184"/>
      <w:bookmarkStart w:id="1838" w:name="_Toc418752316"/>
      <w:bookmarkStart w:id="1839" w:name="_Toc11301"/>
      <w:r>
        <w:rPr>
          <w:rFonts w:hint="eastAsia" w:ascii="宋体" w:hAnsi="宋体" w:eastAsia="宋体" w:cs="宋体"/>
          <w:color w:val="auto"/>
          <w:sz w:val="21"/>
          <w:szCs w:val="21"/>
          <w:highlight w:val="none"/>
        </w:rPr>
        <w:t>18.1 工程保险</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kern w:val="0"/>
          <w:sz w:val="21"/>
          <w:szCs w:val="21"/>
          <w:highlight w:val="none"/>
          <w:u w:val="single"/>
        </w:rPr>
        <w:t>承包人应投保建筑工程一切险并承担与之相关的所有费用</w:t>
      </w:r>
      <w:r>
        <w:rPr>
          <w:rFonts w:hint="eastAsia" w:ascii="宋体" w:hAnsi="宋体" w:eastAsia="宋体" w:cs="宋体"/>
          <w:color w:val="auto"/>
          <w:kern w:val="0"/>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840" w:name="_Toc418751871"/>
      <w:bookmarkStart w:id="1841" w:name="_Toc373478421"/>
      <w:bookmarkStart w:id="1842" w:name="_Toc256000252"/>
      <w:bookmarkStart w:id="1843" w:name="_Toc497747253"/>
      <w:bookmarkStart w:id="1844" w:name="_Toc403579009"/>
      <w:bookmarkStart w:id="1845" w:name="_Toc389065339"/>
      <w:bookmarkStart w:id="1846" w:name="_Toc497746856"/>
      <w:bookmarkStart w:id="1847" w:name="_Toc418752317"/>
      <w:bookmarkStart w:id="1848" w:name="_Toc522201801"/>
      <w:bookmarkStart w:id="1849" w:name="_Toc418518421"/>
      <w:bookmarkStart w:id="1850" w:name="_Toc418061386"/>
      <w:bookmarkStart w:id="1851" w:name="_Toc418518185"/>
      <w:bookmarkStart w:id="1852" w:name="_Toc373227774"/>
      <w:bookmarkStart w:id="1853" w:name="_Toc14367"/>
      <w:r>
        <w:rPr>
          <w:rFonts w:hint="eastAsia" w:ascii="宋体" w:hAnsi="宋体" w:eastAsia="宋体" w:cs="宋体"/>
          <w:color w:val="auto"/>
          <w:sz w:val="21"/>
          <w:szCs w:val="21"/>
          <w:highlight w:val="none"/>
        </w:rPr>
        <w:t>18.3 其他保险</w:t>
      </w:r>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color w:val="auto"/>
          <w:kern w:val="0"/>
          <w:sz w:val="21"/>
          <w:szCs w:val="21"/>
          <w:highlight w:val="none"/>
          <w:u w:val="single"/>
        </w:rPr>
        <w:t>承包人根据市建协字【2009】3号文必须</w:t>
      </w:r>
      <w:r>
        <w:rPr>
          <w:rFonts w:hint="eastAsia" w:ascii="宋体" w:hAnsi="宋体" w:eastAsia="宋体" w:cs="宋体"/>
          <w:color w:val="auto"/>
          <w:sz w:val="21"/>
          <w:szCs w:val="21"/>
          <w:highlight w:val="none"/>
          <w:u w:val="single"/>
        </w:rPr>
        <w:t>为施工现场从事施工的所有作业人员和管理人员办理意外伤害保险，并支付保险费</w:t>
      </w:r>
      <w:r>
        <w:rPr>
          <w:rFonts w:hint="eastAsia" w:ascii="宋体" w:hAnsi="宋体" w:eastAsia="宋体" w:cs="宋体"/>
          <w:bCs/>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按通用条款执行，无特殊约定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854" w:name="_Toc403579010"/>
      <w:bookmarkStart w:id="1855" w:name="_Toc497747254"/>
      <w:bookmarkStart w:id="1856" w:name="_Toc418751872"/>
      <w:bookmarkStart w:id="1857" w:name="_Toc497746857"/>
      <w:bookmarkStart w:id="1858" w:name="_Toc418518186"/>
      <w:bookmarkStart w:id="1859" w:name="_Toc522201802"/>
      <w:bookmarkStart w:id="1860" w:name="_Toc418061387"/>
      <w:bookmarkStart w:id="1861" w:name="_Toc418518422"/>
      <w:bookmarkStart w:id="1862" w:name="_Toc256000253"/>
      <w:bookmarkStart w:id="1863" w:name="_Toc389065340"/>
      <w:bookmarkStart w:id="1864" w:name="_Toc418752318"/>
      <w:bookmarkStart w:id="1865" w:name="_Toc373478422"/>
      <w:bookmarkStart w:id="1866" w:name="_Toc373227775"/>
      <w:bookmarkStart w:id="1867" w:name="_Toc16820"/>
      <w:r>
        <w:rPr>
          <w:rFonts w:hint="eastAsia" w:ascii="宋体" w:hAnsi="宋体" w:eastAsia="宋体" w:cs="宋体"/>
          <w:color w:val="auto"/>
          <w:sz w:val="21"/>
          <w:szCs w:val="21"/>
          <w:highlight w:val="none"/>
        </w:rPr>
        <w:t>18.7 通知义务</w:t>
      </w:r>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关于变更保险合同时的通知义务的约定：</w:t>
      </w:r>
      <w:r>
        <w:rPr>
          <w:rFonts w:hint="eastAsia" w:ascii="宋体" w:hAnsi="宋体" w:eastAsia="宋体" w:cs="宋体"/>
          <w:color w:val="auto"/>
          <w:sz w:val="21"/>
          <w:szCs w:val="21"/>
          <w:highlight w:val="none"/>
          <w:u w:val="single"/>
        </w:rPr>
        <w:t xml:space="preserve">  变更应通知当事人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w:t>
      </w:r>
    </w:p>
    <w:bookmarkEnd w:id="1659"/>
    <w:bookmarkEnd w:id="1660"/>
    <w:bookmarkEnd w:id="1661"/>
    <w:bookmarkEnd w:id="1662"/>
    <w:bookmarkEnd w:id="1663"/>
    <w:bookmarkEnd w:id="1664"/>
    <w:bookmarkEnd w:id="1665"/>
    <w:bookmarkEnd w:id="1666"/>
    <w:bookmarkEnd w:id="1667"/>
    <w:bookmarkEnd w:id="1668"/>
    <w:bookmarkEnd w:id="1669"/>
    <w:bookmarkEnd w:id="1670"/>
    <w:p>
      <w:pPr>
        <w:pStyle w:val="29"/>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1868" w:name="_Toc403579011"/>
      <w:bookmarkStart w:id="1869" w:name="_Toc418518423"/>
      <w:bookmarkStart w:id="1870" w:name="_Toc418752319"/>
      <w:bookmarkStart w:id="1871" w:name="_Toc418518187"/>
      <w:bookmarkStart w:id="1872" w:name="_Toc389065341"/>
      <w:bookmarkStart w:id="1873" w:name="_Toc256000254"/>
      <w:bookmarkStart w:id="1874" w:name="_Toc373478423"/>
      <w:bookmarkStart w:id="1875" w:name="_Toc522201803"/>
      <w:bookmarkStart w:id="1876" w:name="_Toc418751873"/>
      <w:bookmarkStart w:id="1877" w:name="_Toc373227776"/>
      <w:bookmarkStart w:id="1878" w:name="_Toc418061388"/>
      <w:bookmarkStart w:id="1879" w:name="_Toc497746858"/>
      <w:bookmarkStart w:id="1880" w:name="_Toc497747255"/>
      <w:bookmarkStart w:id="1881" w:name="_Toc351203651"/>
      <w:bookmarkStart w:id="1882" w:name="_Toc17371"/>
      <w:r>
        <w:rPr>
          <w:rFonts w:hint="eastAsia" w:ascii="宋体" w:hAnsi="宋体" w:eastAsia="宋体" w:cs="宋体"/>
          <w:color w:val="auto"/>
          <w:sz w:val="21"/>
          <w:szCs w:val="21"/>
          <w:highlight w:val="none"/>
        </w:rPr>
        <w:t>20. 争议解决</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p>
    <w:bookmarkEnd w:id="1671"/>
    <w:bookmarkEnd w:id="1672"/>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883" w:name="_Toc389065342"/>
      <w:bookmarkStart w:id="1884" w:name="_Toc403579012"/>
      <w:bookmarkStart w:id="1885" w:name="_Toc497746859"/>
      <w:bookmarkStart w:id="1886" w:name="_Toc373227777"/>
      <w:bookmarkStart w:id="1887" w:name="_Toc522201804"/>
      <w:bookmarkStart w:id="1888" w:name="_Toc373478424"/>
      <w:bookmarkStart w:id="1889" w:name="_Toc256000255"/>
      <w:bookmarkStart w:id="1890" w:name="_Toc418061389"/>
      <w:bookmarkStart w:id="1891" w:name="_Toc418751874"/>
      <w:bookmarkStart w:id="1892" w:name="_Toc418518188"/>
      <w:bookmarkStart w:id="1893" w:name="_Toc497747256"/>
      <w:bookmarkStart w:id="1894" w:name="_Toc418752320"/>
      <w:bookmarkStart w:id="1895" w:name="_Toc418518424"/>
      <w:bookmarkStart w:id="1896" w:name="_Toc10851"/>
      <w:r>
        <w:rPr>
          <w:rFonts w:hint="eastAsia" w:ascii="宋体" w:hAnsi="宋体" w:eastAsia="宋体" w:cs="宋体"/>
          <w:color w:val="auto"/>
          <w:sz w:val="21"/>
          <w:szCs w:val="21"/>
          <w:highlight w:val="none"/>
        </w:rPr>
        <w:t>20.3 争</w:t>
      </w:r>
      <w:bookmarkEnd w:id="1673"/>
      <w:r>
        <w:rPr>
          <w:rFonts w:hint="eastAsia" w:ascii="宋体" w:hAnsi="宋体" w:eastAsia="宋体" w:cs="宋体"/>
          <w:color w:val="auto"/>
          <w:sz w:val="21"/>
          <w:szCs w:val="21"/>
          <w:highlight w:val="none"/>
        </w:rPr>
        <w:t>议评审</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p>
    <w:p>
      <w:pPr>
        <w:pStyle w:val="31"/>
        <w:pageBreakBefore w:val="0"/>
        <w:widowControl w:val="0"/>
        <w:kinsoku/>
        <w:wordWrap/>
        <w:overflowPunct/>
        <w:topLinePunct w:val="0"/>
        <w:bidi w:val="0"/>
        <w:snapToGrid/>
        <w:spacing w:line="380" w:lineRule="exact"/>
        <w:ind w:left="0" w:leftChars="0" w:right="0" w:rightChars="0" w:firstLine="315" w:firstLineChars="15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 xml:space="preserve">  不同意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20.3.2 争议评审小组的决定</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29"/>
        <w:pageBreakBefore w:val="0"/>
        <w:widowControl w:val="0"/>
        <w:kinsoku/>
        <w:wordWrap/>
        <w:overflowPunct/>
        <w:topLinePunct w:val="0"/>
        <w:bidi w:val="0"/>
        <w:snapToGrid/>
        <w:spacing w:line="380" w:lineRule="exact"/>
        <w:ind w:left="0" w:leftChars="0" w:right="0" w:rightChars="0" w:firstLine="422" w:firstLineChars="200"/>
        <w:textAlignment w:val="auto"/>
        <w:rPr>
          <w:rFonts w:hint="eastAsia" w:ascii="宋体" w:hAnsi="宋体" w:eastAsia="宋体" w:cs="宋体"/>
          <w:color w:val="auto"/>
          <w:sz w:val="21"/>
          <w:szCs w:val="21"/>
          <w:highlight w:val="none"/>
        </w:rPr>
      </w:pPr>
      <w:bookmarkStart w:id="1897" w:name="_Toc418518425"/>
      <w:bookmarkStart w:id="1898" w:name="_Toc256000256"/>
      <w:bookmarkStart w:id="1899" w:name="_Toc418061390"/>
      <w:bookmarkStart w:id="1900" w:name="_Toc373227778"/>
      <w:bookmarkStart w:id="1901" w:name="_Toc497746860"/>
      <w:bookmarkStart w:id="1902" w:name="_Toc403579013"/>
      <w:bookmarkStart w:id="1903" w:name="_Toc522201805"/>
      <w:bookmarkStart w:id="1904" w:name="_Toc373478425"/>
      <w:bookmarkStart w:id="1905" w:name="_Toc389065343"/>
      <w:bookmarkStart w:id="1906" w:name="_Toc418518189"/>
      <w:bookmarkStart w:id="1907" w:name="_Toc418752321"/>
      <w:bookmarkStart w:id="1908" w:name="_Toc497747257"/>
      <w:bookmarkStart w:id="1909" w:name="_Toc418751875"/>
      <w:bookmarkStart w:id="1910" w:name="_Toc4807"/>
      <w:r>
        <w:rPr>
          <w:rFonts w:hint="eastAsia" w:ascii="宋体" w:hAnsi="宋体" w:eastAsia="宋体" w:cs="宋体"/>
          <w:color w:val="auto"/>
          <w:sz w:val="21"/>
          <w:szCs w:val="21"/>
          <w:highlight w:val="none"/>
        </w:rPr>
        <w:t>20.4 仲裁或诉讼</w:t>
      </w:r>
      <w:bookmarkEnd w:id="1674"/>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p>
    <w:p>
      <w:pPr>
        <w:pStyle w:val="31"/>
        <w:pageBreakBefore w:val="0"/>
        <w:widowControl w:val="0"/>
        <w:kinsoku/>
        <w:wordWrap/>
        <w:overflowPunct/>
        <w:topLinePunct w:val="0"/>
        <w:bidi w:val="0"/>
        <w:snapToGrid/>
        <w:spacing w:line="380" w:lineRule="exact"/>
        <w:ind w:left="0" w:leftChars="0"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种方式解决：</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仲裁委员会按照该会仲裁规则进行仲裁，仲裁裁决是终局的，对合同双方均有约束力。</w:t>
      </w:r>
    </w:p>
    <w:p>
      <w:pPr>
        <w:pStyle w:val="31"/>
        <w:pageBreakBefore w:val="0"/>
        <w:widowControl w:val="0"/>
        <w:kinsoku/>
        <w:wordWrap/>
        <w:overflowPunct/>
        <w:topLinePunct w:val="0"/>
        <w:bidi w:val="0"/>
        <w:snapToGrid/>
        <w:spacing w:line="380" w:lineRule="exact"/>
        <w:ind w:left="0" w:leftChars="0"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桂林市本工程辖区内     </w:t>
      </w:r>
      <w:r>
        <w:rPr>
          <w:rFonts w:hint="eastAsia" w:ascii="宋体" w:hAnsi="宋体" w:eastAsia="宋体" w:cs="宋体"/>
          <w:color w:val="auto"/>
          <w:sz w:val="21"/>
          <w:szCs w:val="21"/>
          <w:highlight w:val="none"/>
        </w:rPr>
        <w:t>人民法院起诉。</w:t>
      </w:r>
      <w:bookmarkEnd w:id="1675"/>
      <w:bookmarkEnd w:id="1676"/>
      <w:bookmarkEnd w:id="1677"/>
      <w:bookmarkEnd w:id="1678"/>
      <w:bookmarkEnd w:id="1679"/>
      <w:bookmarkEnd w:id="1680"/>
    </w:p>
    <w:p>
      <w:pPr>
        <w:pStyle w:val="29"/>
        <w:pageBreakBefore w:val="0"/>
        <w:widowControl w:val="0"/>
        <w:kinsoku/>
        <w:wordWrap/>
        <w:overflowPunct/>
        <w:topLinePunct w:val="0"/>
        <w:bidi w:val="0"/>
        <w:snapToGrid/>
        <w:spacing w:line="380" w:lineRule="exact"/>
        <w:ind w:left="0" w:leftChars="0" w:right="0" w:rightChars="0"/>
        <w:textAlignment w:val="auto"/>
        <w:rPr>
          <w:rFonts w:hint="eastAsia" w:ascii="宋体" w:hAnsi="宋体" w:eastAsia="宋体" w:cs="宋体"/>
          <w:color w:val="auto"/>
          <w:sz w:val="21"/>
          <w:szCs w:val="21"/>
          <w:highlight w:val="none"/>
        </w:rPr>
      </w:pPr>
      <w:bookmarkStart w:id="1911" w:name="_Toc497746861"/>
      <w:bookmarkStart w:id="1912" w:name="_Toc389065344"/>
      <w:bookmarkStart w:id="1913" w:name="_Toc256000257"/>
      <w:bookmarkStart w:id="1914" w:name="_Toc522201806"/>
      <w:bookmarkStart w:id="1915" w:name="_Toc395382582"/>
      <w:bookmarkStart w:id="1916" w:name="_Toc373478426"/>
      <w:bookmarkStart w:id="1917" w:name="_Toc497747258"/>
      <w:bookmarkStart w:id="1918" w:name="_Toc373227779"/>
      <w:bookmarkStart w:id="1919" w:name="_Toc7381"/>
      <w:r>
        <w:rPr>
          <w:rFonts w:hint="eastAsia" w:ascii="宋体" w:hAnsi="宋体" w:eastAsia="宋体" w:cs="宋体"/>
          <w:color w:val="auto"/>
          <w:sz w:val="21"/>
          <w:szCs w:val="21"/>
          <w:highlight w:val="none"/>
        </w:rPr>
        <w:t>21. 补充条款</w:t>
      </w:r>
      <w:bookmarkEnd w:id="1911"/>
      <w:bookmarkEnd w:id="1912"/>
      <w:bookmarkEnd w:id="1913"/>
      <w:bookmarkEnd w:id="1914"/>
      <w:bookmarkEnd w:id="1915"/>
      <w:bookmarkEnd w:id="1916"/>
      <w:bookmarkEnd w:id="1917"/>
      <w:bookmarkEnd w:id="1918"/>
      <w:bookmarkEnd w:id="1919"/>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21.1 根据桂劳社[2003]150 号文，承包人在投标时必须在投标文件中承诺，在发包人发出交款通知之日起 7 个工作日内足额将民工工资保障金转入建设行政主管部门设立的农民工工资保障金专用帐号。发包人按节点足额支付工程款后，一旦其承包的建设工程项目中出现拖欠农民工工资情况的，由主管部门从其农民工工资保障金中先予支付。 </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21.2 承包方采用新工艺新材料，必须在使用前 2 个月，向发包方提交相关的技术资料、发明专利、产品证书、样品及应用的实例、单价组成等有关资料；经发包方、设计单位认可后方可使用，凡未经批准擅自使用者除费用自行承担外还应赔偿发包方由此引起的经济损失。 </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 赶工费、夜间施工费由投标人结合自身企业的实际情况及对施工现场的考察、提供的图纸等各方面的资料自行报价，并包干使用，今后不作任何调整和签证。</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21.4 根据《建设工程质量检测管理办法》（建设部令第 141 号）以及《广西壮族自治区建设工程质量检测管理规定》（桂建管〔2013〕11 号）规定，工程质量检测业务由招标人委托有相应资质的检测机构检测。费用从招标人的项目建设经费中支出并直接支付给检测机构，不计入合同价款内。 </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21.6 发包人需要持散装水泥、多孔砖、砼砌块的材料发票原件到政府有关部门办理退款手续，承包人必须及时提供。否则，发包人有权按政府有关部门收缴标准及数额在承包人工程款中扣罚。 </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21.7 由于承包人不能按时提供属承包人应提供的文件导致发包人不能及时办理施工许可证，所有造成的后果由承包人承担责任。造成发包人损失的，承包人应赔偿发包人损失。 </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21.8 已完工程成品保护的特殊要求及费用承担： 已竣工工程未交付发包人之前，承包人负责已完工程的成品保护工作，保护期间发生损坏，承包人自费予以修复。工程已交付发包人或发包人提前使用后的损坏及所需的修理费用、 工程成品毁损的风险， 由发包人承担。 若发包人要求承包人采取特殊措施保护的，由发包人就保护的工程部位和相应的追加合同价款另外进行协商。 </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21.9 材料严格保证质量，相同类型材料质量应一致，若发现有材料以次品冒充，则该部分所有材料均按次品处理且须重新更换合格材料才能使用。 </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21.10 承包人必须配合监理工程师和发包人派驻工程师的工作，一切签证事宜均须在规定的时间内作出书面签证申请，过期补签无效，发包人超过规定期限没有签证的视为此签证发包人已同意。夜间施工增加费（含夜间加班加点）已包含在合同价款内，施工期间不予再签证。 </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21.11 承包人有以下情形之一者，视为违约，发包人有权依法解除合同，没收其全部履约保证金，承包人还应承担相应的法律责任。  </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① 经有关建设主管部门鉴定确认，承包人有挂靠行为。 </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② 转包工程，以牟取转让费、管理费。  </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③ 自签订合同之日起 15 日内，因承包人责任无法组织合同规定的人员、机械进场或进场人员机械与合同严重不符。 </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21.12 工程竣工验收通过后 14 天之内，承包人必须将临时工棚、建筑垃圾等全部清理出现场，否则从第15天起，每天处以1000元罚款且不办理结算。</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21.13 凡进入本工程工作的妇女应持有计生证、否则不准安排工作，禁止使用童工。</w:t>
      </w:r>
    </w:p>
    <w:bookmarkEnd w:id="293"/>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21.14 如因政策性原因或者项目暂时（或永久）取消导致开工延误或无法开工，发包人不支付承包人任何赔偿或补偿，并可根据政策要求或项目情况延时开工或取消部分合同内容。</w:t>
      </w:r>
    </w:p>
    <w:p>
      <w:pPr>
        <w:pStyle w:val="31"/>
        <w:pageBreakBefore w:val="0"/>
        <w:widowControl w:val="0"/>
        <w:kinsoku/>
        <w:wordWrap/>
        <w:overflowPunct/>
        <w:topLinePunct w:val="0"/>
        <w:autoSpaceDE w:val="0"/>
        <w:autoSpaceDN w:val="0"/>
        <w:bidi w:val="0"/>
        <w:adjustRightInd w:val="0"/>
        <w:snapToGrid/>
        <w:spacing w:line="380" w:lineRule="exact"/>
        <w:ind w:left="0" w:leftChars="0"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21.15 承包人应自行协调与施工现场周边及村民的关系，确保项目施工顺利进行。发包人不再支付承包人因协调施工现场周边及村民关系而发生的任何费用。如因征地拆迁造成的问题由由发包人负责牵头解决。</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rPr>
          <w:rFonts w:hint="eastAsia"/>
          <w:color w:val="auto"/>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协议书附件：</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附件1：承包人承揽工程项目一览表</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附件2：发包人供应材料设备一览表</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附件3：工程质量保修书</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附件4：主要建设工程文件目录</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附件5：承包人用于本工程施工的机械设备表</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附件6：承包人主要施工管理人员表</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附件7：分包人主要施工管理人员表</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附件8：履约担保格式</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附件9：预付款担保格式</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附件10：支付担保格式</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附件11：暂估价一览表</w:t>
      </w:r>
    </w:p>
    <w:p>
      <w:pPr>
        <w:pStyle w:val="2"/>
        <w:rPr>
          <w:rFonts w:hint="eastAsia" w:ascii="宋体" w:hAnsi="宋体" w:eastAsia="宋体" w:cs="宋体"/>
          <w:color w:val="auto"/>
          <w:sz w:val="24"/>
          <w:szCs w:val="24"/>
          <w:highlight w:val="none"/>
          <w:lang w:val="en-US" w:eastAsia="zh-CN"/>
        </w:rPr>
      </w:pPr>
    </w:p>
    <w:p>
      <w:pPr>
        <w:pStyle w:val="2"/>
        <w:rPr>
          <w:rFonts w:hint="default" w:ascii="宋体" w:hAnsi="宋体" w:eastAsia="宋体" w:cs="宋体"/>
          <w:color w:val="auto"/>
          <w:sz w:val="24"/>
          <w:szCs w:val="24"/>
          <w:highlight w:val="none"/>
          <w:lang w:val="en-US" w:eastAsia="zh-CN"/>
        </w:rPr>
        <w:sectPr>
          <w:pgSz w:w="11906" w:h="16838"/>
          <w:pgMar w:top="1418" w:right="1115" w:bottom="1418" w:left="1131" w:header="851" w:footer="992" w:gutter="0"/>
          <w:pgNumType w:fmt="decimal"/>
          <w:cols w:space="720" w:num="1"/>
          <w:titlePg/>
          <w:docGrid w:type="lines" w:linePitch="312" w:charSpace="0"/>
        </w:sect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附件1：</w:t>
      </w:r>
    </w:p>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承包人承揽工程项目一览表</w:t>
      </w:r>
    </w:p>
    <w:tbl>
      <w:tblPr>
        <w:tblStyle w:val="18"/>
        <w:tblW w:w="14317"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126"/>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单位工程名称</w:t>
            </w:r>
          </w:p>
        </w:tc>
        <w:tc>
          <w:tcPr>
            <w:tcW w:w="1843"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建设规模</w:t>
            </w:r>
          </w:p>
        </w:tc>
        <w:tc>
          <w:tcPr>
            <w:tcW w:w="1417"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建筑面积(平方米)</w:t>
            </w:r>
          </w:p>
        </w:tc>
        <w:tc>
          <w:tcPr>
            <w:tcW w:w="2126"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结构形式</w:t>
            </w:r>
          </w:p>
        </w:tc>
        <w:tc>
          <w:tcPr>
            <w:tcW w:w="850"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层数</w:t>
            </w:r>
          </w:p>
        </w:tc>
        <w:tc>
          <w:tcPr>
            <w:tcW w:w="1560"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生产能力</w:t>
            </w:r>
          </w:p>
        </w:tc>
        <w:tc>
          <w:tcPr>
            <w:tcW w:w="2126"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设备安装内容</w:t>
            </w:r>
          </w:p>
        </w:tc>
        <w:tc>
          <w:tcPr>
            <w:tcW w:w="1417"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合同价格（元）</w:t>
            </w:r>
          </w:p>
        </w:tc>
        <w:tc>
          <w:tcPr>
            <w:tcW w:w="851"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开工日期</w:t>
            </w:r>
          </w:p>
        </w:tc>
        <w:tc>
          <w:tcPr>
            <w:tcW w:w="850"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843"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0"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1"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843"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1"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843"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1"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84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1"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843"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1"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84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1"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843"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1"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843"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1"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84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1"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843"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1"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84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212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1"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bl>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b/>
          <w:color w:val="auto"/>
          <w:sz w:val="24"/>
          <w:szCs w:val="24"/>
          <w:highlight w:val="none"/>
        </w:rPr>
        <w:sectPr>
          <w:pgSz w:w="16838" w:h="11906" w:orient="landscape"/>
          <w:pgMar w:top="1554" w:right="1418" w:bottom="1531" w:left="1418" w:header="851" w:footer="992" w:gutter="0"/>
          <w:pgNumType w:fmt="decimal"/>
          <w:cols w:space="720" w:num="1"/>
          <w:titlePg/>
          <w:docGrid w:type="linesAndChars" w:linePitch="312" w:charSpace="0"/>
        </w:sect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附件2：</w:t>
      </w:r>
    </w:p>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发包人供应材料设备一览表</w:t>
      </w:r>
    </w:p>
    <w:tbl>
      <w:tblPr>
        <w:tblStyle w:val="18"/>
        <w:tblW w:w="86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02"/>
        <w:gridCol w:w="1099"/>
        <w:gridCol w:w="1134"/>
        <w:gridCol w:w="620"/>
        <w:gridCol w:w="690"/>
        <w:gridCol w:w="1044"/>
        <w:gridCol w:w="719"/>
        <w:gridCol w:w="716"/>
        <w:gridCol w:w="1487"/>
        <w:gridCol w:w="7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02"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序号</w:t>
            </w:r>
          </w:p>
        </w:tc>
        <w:tc>
          <w:tcPr>
            <w:tcW w:w="1099"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 xml:space="preserve">  材料、</w:t>
            </w:r>
          </w:p>
          <w:p>
            <w:pPr>
              <w:pStyle w:val="2"/>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设备品种</w:t>
            </w:r>
          </w:p>
        </w:tc>
        <w:tc>
          <w:tcPr>
            <w:tcW w:w="1134"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规格型号</w:t>
            </w:r>
          </w:p>
        </w:tc>
        <w:tc>
          <w:tcPr>
            <w:tcW w:w="620"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单位</w:t>
            </w:r>
          </w:p>
        </w:tc>
        <w:tc>
          <w:tcPr>
            <w:tcW w:w="690"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数量</w:t>
            </w:r>
          </w:p>
        </w:tc>
        <w:tc>
          <w:tcPr>
            <w:tcW w:w="1044"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单价（元）</w:t>
            </w:r>
          </w:p>
        </w:tc>
        <w:tc>
          <w:tcPr>
            <w:tcW w:w="719"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质量等级</w:t>
            </w:r>
          </w:p>
        </w:tc>
        <w:tc>
          <w:tcPr>
            <w:tcW w:w="716"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供应时间</w:t>
            </w:r>
          </w:p>
        </w:tc>
        <w:tc>
          <w:tcPr>
            <w:tcW w:w="1487"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送达地点</w:t>
            </w:r>
          </w:p>
        </w:tc>
        <w:tc>
          <w:tcPr>
            <w:tcW w:w="783"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99"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20"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90"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44"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9"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6"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87"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83"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99"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2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9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44"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9"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6"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87"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83"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99"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2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9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4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9"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8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8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99"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2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9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4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9"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8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8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99"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2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9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4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9"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8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8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99"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2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9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4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9"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8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8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99"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2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9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4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9"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8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8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99"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2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9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4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9"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8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8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99"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2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9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4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9"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1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8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78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p>
        </w:tc>
      </w:tr>
    </w:tbl>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color w:val="auto"/>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附件3：    </w:t>
      </w:r>
    </w:p>
    <w:p>
      <w:pPr>
        <w:pStyle w:val="36"/>
        <w:tabs>
          <w:tab w:val="left" w:pos="0"/>
        </w:tabs>
        <w:spacing w:line="276" w:lineRule="auto"/>
        <w:ind w:firstLine="0" w:firstLineChars="0"/>
        <w:rPr>
          <w:color w:val="auto"/>
          <w:sz w:val="24"/>
          <w:szCs w:val="24"/>
          <w:highlight w:val="none"/>
        </w:rPr>
      </w:pPr>
      <w:r>
        <w:rPr>
          <w:color w:val="auto"/>
          <w:sz w:val="24"/>
          <w:szCs w:val="24"/>
          <w:highlight w:val="none"/>
        </w:rPr>
        <w:t xml:space="preserve">  </w:t>
      </w:r>
    </w:p>
    <w:p>
      <w:pPr>
        <w:pStyle w:val="31"/>
        <w:jc w:val="center"/>
        <w:rPr>
          <w:rFonts w:ascii="宋体" w:hAnsi="宋体"/>
          <w:color w:val="auto"/>
          <w:sz w:val="24"/>
          <w:szCs w:val="24"/>
          <w:highlight w:val="none"/>
        </w:rPr>
      </w:pPr>
      <w:r>
        <w:rPr>
          <w:rFonts w:ascii="宋体" w:hAnsi="宋体"/>
          <w:color w:val="auto"/>
          <w:sz w:val="24"/>
          <w:szCs w:val="24"/>
          <w:highlight w:val="none"/>
        </w:rPr>
        <w:t>工程质量保修书</w:t>
      </w:r>
    </w:p>
    <w:p>
      <w:pPr>
        <w:pStyle w:val="32"/>
        <w:rPr>
          <w:color w:val="auto"/>
          <w:sz w:val="24"/>
          <w:szCs w:val="24"/>
          <w:highlight w:val="none"/>
        </w:rPr>
      </w:pPr>
    </w:p>
    <w:p>
      <w:pPr>
        <w:pStyle w:val="36"/>
        <w:spacing w:line="320" w:lineRule="exact"/>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发包人（全称）：</w:t>
      </w:r>
      <w:r>
        <w:rPr>
          <w:rFonts w:hint="eastAsia"/>
          <w:color w:val="auto"/>
          <w:sz w:val="21"/>
          <w:szCs w:val="21"/>
          <w:highlight w:val="none"/>
          <w:u w:val="single" w:color="auto"/>
          <w:lang w:eastAsia="zh-CN"/>
        </w:rPr>
        <w:t>兴安县项目投资管理与服务中心</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 xml:space="preserve"> </w:t>
      </w:r>
    </w:p>
    <w:p>
      <w:pPr>
        <w:pStyle w:val="36"/>
        <w:spacing w:line="320" w:lineRule="exact"/>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承包人（全称）：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 xml:space="preserve"> </w:t>
      </w:r>
    </w:p>
    <w:p>
      <w:pPr>
        <w:pStyle w:val="31"/>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为保证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广西漓江流域上游兴安县溶江镇永安村段生态保护工程  </w:t>
      </w:r>
      <w:r>
        <w:rPr>
          <w:rFonts w:hint="eastAsia" w:ascii="宋体" w:hAnsi="宋体" w:cs="宋体"/>
          <w:color w:val="auto"/>
          <w:sz w:val="21"/>
          <w:szCs w:val="21"/>
          <w:highlight w:val="none"/>
        </w:rPr>
        <w:t>在合理使用期限内正常使用，经发包人、承包人协商一致签订本工程质量保修书。承包人在质量保修期内按照有关管理规定及双方约定承担工程质量保修责任。</w:t>
      </w:r>
    </w:p>
    <w:p>
      <w:pPr>
        <w:pStyle w:val="39"/>
        <w:spacing w:line="400" w:lineRule="exact"/>
        <w:ind w:firstLine="420" w:firstLineChars="200"/>
        <w:outlineLvl w:val="0"/>
        <w:rPr>
          <w:rFonts w:ascii="宋体" w:hAnsi="宋体" w:cs="宋体"/>
          <w:color w:val="auto"/>
          <w:sz w:val="21"/>
          <w:szCs w:val="21"/>
          <w:highlight w:val="none"/>
        </w:rPr>
      </w:pPr>
      <w:bookmarkStart w:id="1920" w:name="_Toc522201808"/>
      <w:bookmarkStart w:id="1921" w:name="_Toc12135"/>
      <w:r>
        <w:rPr>
          <w:rFonts w:hint="eastAsia" w:ascii="宋体" w:hAnsi="宋体" w:cs="宋体"/>
          <w:color w:val="auto"/>
          <w:sz w:val="21"/>
          <w:szCs w:val="21"/>
          <w:highlight w:val="none"/>
        </w:rPr>
        <w:t>一、工程保修范围和内容</w:t>
      </w:r>
      <w:bookmarkEnd w:id="1920"/>
      <w:bookmarkEnd w:id="1921"/>
    </w:p>
    <w:p>
      <w:pPr>
        <w:pStyle w:val="31"/>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质量保修范围为施工图纸所包括的工程内容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具体质量保修内容双方约定如下：</w:t>
      </w:r>
      <w:r>
        <w:rPr>
          <w:rFonts w:hint="eastAsia" w:ascii="宋体" w:hAnsi="宋体" w:cs="宋体"/>
          <w:color w:val="auto"/>
          <w:sz w:val="21"/>
          <w:szCs w:val="21"/>
          <w:highlight w:val="none"/>
          <w:u w:val="single"/>
        </w:rPr>
        <w:t xml:space="preserve"> 承包方所承包施工的全部工程内容 </w:t>
      </w:r>
      <w:r>
        <w:rPr>
          <w:rFonts w:hint="eastAsia" w:ascii="宋体" w:hAnsi="宋体" w:cs="宋体"/>
          <w:color w:val="auto"/>
          <w:sz w:val="21"/>
          <w:szCs w:val="21"/>
          <w:highlight w:val="none"/>
        </w:rPr>
        <w:t>。</w:t>
      </w:r>
    </w:p>
    <w:p>
      <w:pPr>
        <w:pStyle w:val="39"/>
        <w:spacing w:line="400" w:lineRule="exact"/>
        <w:ind w:firstLine="420" w:firstLineChars="200"/>
        <w:outlineLvl w:val="0"/>
        <w:rPr>
          <w:rFonts w:ascii="宋体" w:hAnsi="宋体" w:cs="宋体"/>
          <w:color w:val="auto"/>
          <w:sz w:val="21"/>
          <w:szCs w:val="21"/>
          <w:highlight w:val="none"/>
        </w:rPr>
      </w:pPr>
      <w:bookmarkStart w:id="1922" w:name="_Toc522201809"/>
      <w:bookmarkStart w:id="1923" w:name="_Toc13869"/>
      <w:r>
        <w:rPr>
          <w:rFonts w:hint="eastAsia" w:ascii="宋体" w:hAnsi="宋体" w:cs="宋体"/>
          <w:color w:val="auto"/>
          <w:sz w:val="21"/>
          <w:szCs w:val="21"/>
          <w:highlight w:val="none"/>
        </w:rPr>
        <w:t>二、</w:t>
      </w:r>
      <w:r>
        <w:rPr>
          <w:rFonts w:hint="eastAsia" w:ascii="宋体" w:hAnsi="宋体" w:cs="宋体"/>
          <w:color w:val="auto"/>
          <w:sz w:val="21"/>
          <w:szCs w:val="21"/>
          <w:highlight w:val="none"/>
          <w:lang w:eastAsia="zh-CN"/>
        </w:rPr>
        <w:t>质量</w:t>
      </w:r>
      <w:r>
        <w:rPr>
          <w:rFonts w:hint="eastAsia" w:ascii="宋体" w:hAnsi="宋体" w:cs="宋体"/>
          <w:color w:val="auto"/>
          <w:sz w:val="21"/>
          <w:szCs w:val="21"/>
          <w:highlight w:val="none"/>
        </w:rPr>
        <w:t>保修期</w:t>
      </w:r>
      <w:bookmarkEnd w:id="1922"/>
      <w:bookmarkEnd w:id="1923"/>
    </w:p>
    <w:p>
      <w:pPr>
        <w:pStyle w:val="40"/>
        <w:spacing w:line="360" w:lineRule="auto"/>
        <w:ind w:firstLine="540"/>
        <w:rPr>
          <w:rFonts w:hint="eastAsia" w:ascii="宋体" w:hAnsi="宋体" w:cs="宋体"/>
          <w:color w:val="auto"/>
          <w:sz w:val="21"/>
          <w:szCs w:val="21"/>
          <w:highlight w:val="none"/>
        </w:rPr>
      </w:pPr>
      <w:r>
        <w:rPr>
          <w:rFonts w:hint="eastAsia" w:ascii="宋体" w:hAnsi="宋体" w:cs="宋体"/>
          <w:color w:val="auto"/>
          <w:sz w:val="21"/>
          <w:szCs w:val="21"/>
          <w:highlight w:val="none"/>
        </w:rPr>
        <w:t>质量保修期从工程实际竣工验收通过之日算起。分单项竣工验收的工程，按单项工程分别计算质量保修期。</w:t>
      </w:r>
    </w:p>
    <w:p>
      <w:pPr>
        <w:pStyle w:val="31"/>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根据《建设工程质量管理条例》及有关规定，工程的质量保修期如下：</w:t>
      </w:r>
    </w:p>
    <w:p>
      <w:pPr>
        <w:pStyle w:val="31"/>
        <w:spacing w:line="400" w:lineRule="exact"/>
        <w:ind w:firstLine="426"/>
        <w:rPr>
          <w:rFonts w:ascii="宋体" w:hAnsi="宋体" w:cs="宋体"/>
          <w:color w:val="auto"/>
          <w:sz w:val="21"/>
          <w:szCs w:val="21"/>
          <w:highlight w:val="none"/>
        </w:rPr>
      </w:pPr>
      <w:r>
        <w:rPr>
          <w:rFonts w:hint="eastAsia" w:ascii="宋体" w:hAnsi="宋体" w:cs="宋体"/>
          <w:color w:val="auto"/>
          <w:sz w:val="21"/>
          <w:szCs w:val="21"/>
          <w:highlight w:val="none"/>
        </w:rPr>
        <w:t>1．桥梁工程为</w:t>
      </w:r>
      <w:r>
        <w:rPr>
          <w:rFonts w:hint="eastAsia" w:ascii="宋体" w:hAnsi="宋体" w:cs="宋体"/>
          <w:color w:val="auto"/>
          <w:sz w:val="21"/>
          <w:szCs w:val="21"/>
          <w:highlight w:val="none"/>
          <w:u w:val="single"/>
        </w:rPr>
        <w:t xml:space="preserve"> 桥梁隧道主体结构工程为设计文件规定的合理使用年限 </w:t>
      </w:r>
      <w:r>
        <w:rPr>
          <w:rFonts w:hint="eastAsia" w:ascii="宋体" w:hAnsi="宋体" w:cs="宋体"/>
          <w:color w:val="auto"/>
          <w:sz w:val="21"/>
          <w:szCs w:val="21"/>
          <w:highlight w:val="none"/>
        </w:rPr>
        <w:t>（建议桥梁隧道主体结构工程为设计文件规定的合理使用年限）；</w:t>
      </w:r>
    </w:p>
    <w:p>
      <w:pPr>
        <w:pStyle w:val="31"/>
        <w:spacing w:line="400" w:lineRule="exact"/>
        <w:ind w:firstLine="426"/>
        <w:rPr>
          <w:rFonts w:ascii="宋体" w:hAnsi="宋体" w:cs="宋体"/>
          <w:color w:val="auto"/>
          <w:sz w:val="21"/>
          <w:szCs w:val="21"/>
          <w:highlight w:val="none"/>
        </w:rPr>
      </w:pPr>
      <w:r>
        <w:rPr>
          <w:rFonts w:hint="eastAsia" w:ascii="宋体" w:hAnsi="宋体" w:cs="宋体"/>
          <w:color w:val="auto"/>
          <w:sz w:val="21"/>
          <w:szCs w:val="21"/>
          <w:highlight w:val="none"/>
        </w:rPr>
        <w:t>2．道路工程为</w:t>
      </w:r>
      <w:r>
        <w:rPr>
          <w:rFonts w:hint="eastAsia" w:ascii="宋体" w:hAnsi="宋体" w:cs="宋体"/>
          <w:color w:val="auto"/>
          <w:sz w:val="21"/>
          <w:szCs w:val="21"/>
          <w:highlight w:val="none"/>
          <w:u w:val="single"/>
        </w:rPr>
        <w:t xml:space="preserve">  2 </w:t>
      </w:r>
      <w:r>
        <w:rPr>
          <w:rFonts w:hint="eastAsia" w:ascii="宋体" w:hAnsi="宋体" w:cs="宋体"/>
          <w:color w:val="auto"/>
          <w:sz w:val="21"/>
          <w:szCs w:val="21"/>
          <w:highlight w:val="none"/>
        </w:rPr>
        <w:t>年（建议路基、路面、桥面为2年）；</w:t>
      </w:r>
    </w:p>
    <w:p>
      <w:pPr>
        <w:pStyle w:val="31"/>
        <w:spacing w:line="400" w:lineRule="exact"/>
        <w:ind w:firstLine="426"/>
        <w:rPr>
          <w:rFonts w:ascii="宋体" w:hAnsi="宋体" w:cs="宋体"/>
          <w:color w:val="auto"/>
          <w:sz w:val="21"/>
          <w:szCs w:val="21"/>
          <w:highlight w:val="none"/>
        </w:rPr>
      </w:pPr>
      <w:r>
        <w:rPr>
          <w:rFonts w:hint="eastAsia" w:ascii="宋体" w:hAnsi="宋体" w:cs="宋体"/>
          <w:color w:val="auto"/>
          <w:sz w:val="21"/>
          <w:szCs w:val="21"/>
          <w:highlight w:val="none"/>
        </w:rPr>
        <w:t>3．排水（雨水）工程为</w:t>
      </w:r>
      <w:r>
        <w:rPr>
          <w:rFonts w:hint="eastAsia" w:ascii="宋体" w:hAnsi="宋体" w:cs="宋体"/>
          <w:color w:val="auto"/>
          <w:sz w:val="21"/>
          <w:szCs w:val="21"/>
          <w:highlight w:val="none"/>
          <w:u w:val="single"/>
        </w:rPr>
        <w:t xml:space="preserve"> 3 </w:t>
      </w:r>
      <w:r>
        <w:rPr>
          <w:rFonts w:hint="eastAsia" w:ascii="宋体" w:hAnsi="宋体" w:cs="宋体"/>
          <w:color w:val="auto"/>
          <w:sz w:val="21"/>
          <w:szCs w:val="21"/>
          <w:highlight w:val="none"/>
        </w:rPr>
        <w:t>年（建议道路工程中的排水工程为3年）；</w:t>
      </w:r>
    </w:p>
    <w:p>
      <w:pPr>
        <w:pStyle w:val="31"/>
        <w:spacing w:line="400" w:lineRule="exact"/>
        <w:ind w:firstLine="426"/>
        <w:rPr>
          <w:rFonts w:ascii="宋体" w:hAnsi="宋体" w:cs="宋体"/>
          <w:color w:val="auto"/>
          <w:sz w:val="21"/>
          <w:szCs w:val="21"/>
          <w:highlight w:val="none"/>
        </w:rPr>
      </w:pPr>
      <w:r>
        <w:rPr>
          <w:rFonts w:hint="eastAsia" w:ascii="宋体" w:hAnsi="宋体" w:cs="宋体"/>
          <w:color w:val="auto"/>
          <w:sz w:val="21"/>
          <w:szCs w:val="21"/>
          <w:highlight w:val="none"/>
        </w:rPr>
        <w:t xml:space="preserve">4．绿化工程为 </w:t>
      </w:r>
      <w:r>
        <w:rPr>
          <w:rFonts w:hint="eastAsia" w:ascii="宋体" w:hAnsi="宋体" w:cs="宋体"/>
          <w:color w:val="auto"/>
          <w:sz w:val="21"/>
          <w:szCs w:val="21"/>
          <w:highlight w:val="none"/>
          <w:u w:val="single"/>
        </w:rPr>
        <w:t>单位工程竣工验收合格后1年</w:t>
      </w:r>
      <w:r>
        <w:rPr>
          <w:rFonts w:hint="eastAsia" w:ascii="宋体" w:hAnsi="宋体" w:cs="宋体"/>
          <w:color w:val="auto"/>
          <w:sz w:val="21"/>
          <w:szCs w:val="21"/>
          <w:highlight w:val="none"/>
        </w:rPr>
        <w:t>；</w:t>
      </w:r>
    </w:p>
    <w:p>
      <w:pPr>
        <w:pStyle w:val="31"/>
        <w:spacing w:line="400" w:lineRule="exact"/>
        <w:ind w:firstLine="426"/>
        <w:rPr>
          <w:rFonts w:ascii="宋体" w:hAnsi="宋体" w:cs="宋体"/>
          <w:color w:val="auto"/>
          <w:sz w:val="21"/>
          <w:szCs w:val="21"/>
          <w:highlight w:val="none"/>
        </w:rPr>
      </w:pPr>
      <w:r>
        <w:rPr>
          <w:rFonts w:hint="eastAsia" w:ascii="宋体" w:hAnsi="宋体" w:cs="宋体"/>
          <w:color w:val="auto"/>
          <w:sz w:val="21"/>
          <w:szCs w:val="21"/>
          <w:highlight w:val="none"/>
        </w:rPr>
        <w:t>5. 地下防水工程为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u w:val="single"/>
          <w:lang w:val="en-US" w:eastAsia="zh-CN"/>
        </w:rPr>
        <w:t>5</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年（建议为5年）；</w:t>
      </w:r>
    </w:p>
    <w:p>
      <w:pPr>
        <w:pStyle w:val="31"/>
        <w:spacing w:line="400" w:lineRule="exact"/>
        <w:ind w:firstLine="426"/>
        <w:rPr>
          <w:rFonts w:ascii="宋体" w:hAnsi="宋体" w:cs="宋体"/>
          <w:color w:val="auto"/>
          <w:sz w:val="21"/>
          <w:szCs w:val="21"/>
          <w:highlight w:val="none"/>
        </w:rPr>
      </w:pPr>
      <w:r>
        <w:rPr>
          <w:rFonts w:hint="eastAsia" w:ascii="宋体" w:hAnsi="宋体" w:cs="宋体"/>
          <w:color w:val="auto"/>
          <w:sz w:val="21"/>
          <w:szCs w:val="21"/>
          <w:highlight w:val="none"/>
        </w:rPr>
        <w:t>6．其他附属工程为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u w:val="single"/>
          <w:lang w:val="en-US" w:eastAsia="zh-CN"/>
        </w:rPr>
        <w:t>2</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p>
    <w:p>
      <w:pPr>
        <w:pStyle w:val="31"/>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7．其他项目保修期限约定如下：</w:t>
      </w:r>
      <w:r>
        <w:rPr>
          <w:rFonts w:hint="eastAsia" w:ascii="宋体" w:hAnsi="宋体" w:cs="宋体"/>
          <w:color w:val="auto"/>
          <w:sz w:val="21"/>
          <w:szCs w:val="21"/>
          <w:highlight w:val="none"/>
          <w:u w:val="single"/>
        </w:rPr>
        <w:t xml:space="preserve"> 本工程其余项目质保期均为两年，质量保修规范如国家有新规定，则按新规定执行 </w:t>
      </w:r>
      <w:r>
        <w:rPr>
          <w:rFonts w:hint="eastAsia" w:ascii="宋体" w:hAnsi="宋体" w:cs="宋体"/>
          <w:color w:val="auto"/>
          <w:sz w:val="21"/>
          <w:szCs w:val="21"/>
          <w:highlight w:val="none"/>
        </w:rPr>
        <w:t>。</w:t>
      </w:r>
    </w:p>
    <w:p>
      <w:pPr>
        <w:pStyle w:val="31"/>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质量保修期自工程竣工验收合格之日起计算。 </w:t>
      </w:r>
    </w:p>
    <w:p>
      <w:pPr>
        <w:pStyle w:val="39"/>
        <w:spacing w:line="400" w:lineRule="exact"/>
        <w:ind w:firstLine="420" w:firstLineChars="200"/>
        <w:outlineLvl w:val="0"/>
        <w:rPr>
          <w:rFonts w:ascii="宋体" w:hAnsi="宋体" w:cs="宋体"/>
          <w:color w:val="auto"/>
          <w:sz w:val="21"/>
          <w:szCs w:val="21"/>
          <w:highlight w:val="none"/>
        </w:rPr>
      </w:pPr>
      <w:bookmarkStart w:id="1924" w:name="_Toc13402"/>
      <w:r>
        <w:rPr>
          <w:rFonts w:hint="eastAsia" w:ascii="宋体" w:hAnsi="宋体" w:cs="宋体"/>
          <w:color w:val="auto"/>
          <w:sz w:val="21"/>
          <w:szCs w:val="21"/>
          <w:highlight w:val="none"/>
        </w:rPr>
        <w:t>三、缺陷责任期</w:t>
      </w:r>
      <w:bookmarkEnd w:id="1924"/>
    </w:p>
    <w:p>
      <w:pPr>
        <w:pStyle w:val="31"/>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工程缺陷责任期为</w:t>
      </w:r>
      <w:r>
        <w:rPr>
          <w:rFonts w:hint="eastAsia" w:ascii="宋体" w:hAnsi="宋体" w:cs="宋体"/>
          <w:color w:val="auto"/>
          <w:sz w:val="21"/>
          <w:szCs w:val="21"/>
          <w:highlight w:val="none"/>
          <w:u w:val="single"/>
        </w:rPr>
        <w:t xml:space="preserve"> 24 </w:t>
      </w:r>
      <w:r>
        <w:rPr>
          <w:rFonts w:hint="eastAsia" w:ascii="宋体" w:hAnsi="宋体" w:cs="宋体"/>
          <w:color w:val="auto"/>
          <w:sz w:val="21"/>
          <w:szCs w:val="21"/>
          <w:highlight w:val="none"/>
        </w:rPr>
        <w:t>个月（最长不超过24个月），缺陷责任期自工程竣工验收合格之日起计算。单位工程先于全部工程进行验收，单位工程缺陷责任期自单位工程验收合格之日起算。</w:t>
      </w:r>
    </w:p>
    <w:p>
      <w:pPr>
        <w:pStyle w:val="31"/>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缺陷责任期终止后，发包人应退还剩余的质量保证金。</w:t>
      </w:r>
    </w:p>
    <w:p>
      <w:pPr>
        <w:pStyle w:val="39"/>
        <w:spacing w:line="400" w:lineRule="exact"/>
        <w:ind w:firstLine="420" w:firstLineChars="200"/>
        <w:outlineLvl w:val="0"/>
        <w:rPr>
          <w:rFonts w:ascii="宋体" w:hAnsi="宋体" w:cs="宋体"/>
          <w:color w:val="auto"/>
          <w:sz w:val="21"/>
          <w:szCs w:val="21"/>
          <w:highlight w:val="none"/>
        </w:rPr>
      </w:pPr>
      <w:bookmarkStart w:id="1925" w:name="_Toc22659"/>
      <w:r>
        <w:rPr>
          <w:rFonts w:hint="eastAsia" w:ascii="宋体" w:hAnsi="宋体" w:cs="宋体"/>
          <w:color w:val="auto"/>
          <w:sz w:val="21"/>
          <w:szCs w:val="21"/>
          <w:highlight w:val="none"/>
        </w:rPr>
        <w:t>四、质量保修责任</w:t>
      </w:r>
      <w:bookmarkEnd w:id="1925"/>
    </w:p>
    <w:p>
      <w:pPr>
        <w:pStyle w:val="31"/>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1．属于保修范围、内容的项目，承包人应当在接到保修通知之日起</w:t>
      </w:r>
      <w:r>
        <w:rPr>
          <w:rFonts w:hint="eastAsia" w:ascii="宋体" w:hAnsi="宋体" w:cs="宋体"/>
          <w:color w:val="auto"/>
          <w:sz w:val="21"/>
          <w:szCs w:val="21"/>
          <w:highlight w:val="none"/>
          <w:u w:val="single"/>
        </w:rPr>
        <w:t xml:space="preserve">  三 </w:t>
      </w:r>
      <w:r>
        <w:rPr>
          <w:rFonts w:hint="eastAsia" w:ascii="宋体" w:hAnsi="宋体" w:cs="宋体"/>
          <w:color w:val="auto"/>
          <w:sz w:val="21"/>
          <w:szCs w:val="21"/>
          <w:highlight w:val="none"/>
        </w:rPr>
        <w:t>天内派人保修。承包人不在约定期限内派人保修的，发包人可以委托他人修理，修理费用从</w:t>
      </w:r>
      <w:r>
        <w:rPr>
          <w:rFonts w:hint="eastAsia" w:ascii="宋体" w:hAnsi="宋体" w:cs="宋体"/>
          <w:color w:val="auto"/>
          <w:sz w:val="21"/>
          <w:szCs w:val="21"/>
          <w:highlight w:val="none"/>
          <w:lang w:eastAsia="zh-CN"/>
        </w:rPr>
        <w:t>质量保证金</w:t>
      </w:r>
      <w:r>
        <w:rPr>
          <w:rFonts w:hint="eastAsia" w:ascii="宋体" w:hAnsi="宋体" w:cs="宋体"/>
          <w:color w:val="auto"/>
          <w:sz w:val="21"/>
          <w:szCs w:val="21"/>
          <w:highlight w:val="none"/>
        </w:rPr>
        <w:t>内扣除。</w:t>
      </w:r>
    </w:p>
    <w:p>
      <w:pPr>
        <w:pStyle w:val="31"/>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2．发生紧急事故需抢修的，承包人在接到事故通知后，应当立即到达事故现场抢修。</w:t>
      </w:r>
    </w:p>
    <w:p>
      <w:pPr>
        <w:pStyle w:val="31"/>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31"/>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4．质量保修完成后，由发包人组织验收。</w:t>
      </w:r>
    </w:p>
    <w:p>
      <w:pPr>
        <w:pStyle w:val="39"/>
        <w:spacing w:line="400" w:lineRule="exact"/>
        <w:ind w:firstLine="420" w:firstLineChars="200"/>
        <w:outlineLvl w:val="0"/>
        <w:rPr>
          <w:rFonts w:ascii="宋体" w:hAnsi="宋体" w:cs="宋体"/>
          <w:color w:val="auto"/>
          <w:sz w:val="21"/>
          <w:szCs w:val="21"/>
          <w:highlight w:val="none"/>
        </w:rPr>
      </w:pPr>
      <w:bookmarkStart w:id="1926" w:name="_Toc19816"/>
      <w:r>
        <w:rPr>
          <w:rFonts w:hint="eastAsia" w:ascii="宋体" w:hAnsi="宋体" w:cs="宋体"/>
          <w:color w:val="auto"/>
          <w:sz w:val="21"/>
          <w:szCs w:val="21"/>
          <w:highlight w:val="none"/>
        </w:rPr>
        <w:t>五、保修费用</w:t>
      </w:r>
      <w:bookmarkEnd w:id="1926"/>
    </w:p>
    <w:p>
      <w:pPr>
        <w:pStyle w:val="31"/>
        <w:spacing w:line="40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保修费用由造成质量缺陷的责任方承担。</w:t>
      </w:r>
    </w:p>
    <w:p>
      <w:pPr>
        <w:pStyle w:val="36"/>
        <w:numPr>
          <w:ilvl w:val="0"/>
          <w:numId w:val="0"/>
        </w:numPr>
        <w:spacing w:line="400" w:lineRule="exact"/>
        <w:ind w:firstLine="420" w:firstLineChars="200"/>
        <w:rPr>
          <w:rFonts w:hint="eastAsia" w:ascii="宋体" w:hAnsi="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六、</w:t>
      </w:r>
      <w:r>
        <w:rPr>
          <w:rFonts w:hint="eastAsia" w:ascii="宋体" w:hAnsi="宋体" w:cs="宋体"/>
          <w:color w:val="auto"/>
          <w:sz w:val="21"/>
          <w:szCs w:val="21"/>
          <w:highlight w:val="none"/>
        </w:rPr>
        <w:t xml:space="preserve">双方约定的其他工程质量保修事项： </w:t>
      </w:r>
    </w:p>
    <w:p>
      <w:pPr>
        <w:pStyle w:val="36"/>
        <w:numPr>
          <w:ilvl w:val="0"/>
          <w:numId w:val="0"/>
        </w:numPr>
        <w:spacing w:line="400" w:lineRule="exact"/>
        <w:ind w:firstLine="420"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1. </w:t>
      </w:r>
      <w:r>
        <w:rPr>
          <w:rFonts w:hint="eastAsia" w:ascii="宋体" w:hAnsi="宋体" w:cs="宋体"/>
          <w:color w:val="auto"/>
          <w:sz w:val="21"/>
          <w:szCs w:val="21"/>
          <w:highlight w:val="none"/>
          <w:u w:val="single"/>
        </w:rPr>
        <w:t>承包人未按照法律法规有关规定和合同约定履行质量保修义务的，发包人有权从质量保证金中扣留用于质量保修的各项支出。</w:t>
      </w:r>
    </w:p>
    <w:p>
      <w:pPr>
        <w:pStyle w:val="36"/>
        <w:numPr>
          <w:ilvl w:val="0"/>
          <w:numId w:val="7"/>
        </w:numPr>
        <w:spacing w:line="400" w:lineRule="exact"/>
        <w:rPr>
          <w:rFonts w:ascii="宋体" w:hAnsi="宋体" w:cs="宋体"/>
          <w:color w:val="auto"/>
          <w:sz w:val="21"/>
          <w:szCs w:val="21"/>
          <w:highlight w:val="none"/>
          <w:u w:val="single"/>
        </w:rPr>
      </w:pPr>
      <w:r>
        <w:rPr>
          <w:rFonts w:hint="eastAsia" w:ascii="宋体" w:hAnsi="宋体" w:cs="宋体"/>
          <w:color w:val="auto"/>
          <w:sz w:val="21"/>
          <w:szCs w:val="21"/>
          <w:highlight w:val="none"/>
          <w:u w:val="single"/>
          <w:lang w:eastAsia="zh-CN"/>
        </w:rPr>
        <w:t>质量保证金</w:t>
      </w:r>
      <w:r>
        <w:rPr>
          <w:rFonts w:hint="eastAsia" w:ascii="宋体" w:hAnsi="宋体" w:cs="宋体"/>
          <w:color w:val="auto"/>
          <w:sz w:val="21"/>
          <w:szCs w:val="21"/>
          <w:highlight w:val="none"/>
          <w:u w:val="single"/>
        </w:rPr>
        <w:t>比例：工程结算价的</w:t>
      </w:r>
      <w:r>
        <w:rPr>
          <w:rFonts w:hint="eastAsia" w:ascii="宋体" w:hAnsi="宋体" w:cs="宋体"/>
          <w:color w:val="auto"/>
          <w:sz w:val="21"/>
          <w:szCs w:val="21"/>
          <w:highlight w:val="none"/>
          <w:u w:val="single"/>
          <w:lang w:val="en-US" w:eastAsia="zh-CN"/>
        </w:rPr>
        <w:t>3</w:t>
      </w:r>
      <w:r>
        <w:rPr>
          <w:rFonts w:hint="eastAsia" w:ascii="宋体" w:hAnsi="宋体" w:cs="宋体"/>
          <w:color w:val="auto"/>
          <w:sz w:val="21"/>
          <w:szCs w:val="21"/>
          <w:highlight w:val="none"/>
          <w:u w:val="single"/>
        </w:rPr>
        <w:t>%。</w:t>
      </w:r>
    </w:p>
    <w:p>
      <w:pPr>
        <w:pStyle w:val="36"/>
        <w:numPr>
          <w:ilvl w:val="0"/>
          <w:numId w:val="7"/>
        </w:numPr>
        <w:spacing w:line="400" w:lineRule="exact"/>
        <w:rPr>
          <w:rFonts w:ascii="宋体" w:hAnsi="宋体" w:cs="宋体"/>
          <w:color w:val="auto"/>
          <w:sz w:val="21"/>
          <w:szCs w:val="21"/>
          <w:highlight w:val="none"/>
        </w:rPr>
      </w:pPr>
      <w:r>
        <w:rPr>
          <w:rFonts w:hint="eastAsia" w:ascii="宋体" w:hAnsi="宋体" w:cs="宋体"/>
          <w:color w:val="auto"/>
          <w:sz w:val="21"/>
          <w:szCs w:val="21"/>
          <w:highlight w:val="none"/>
          <w:u w:val="single"/>
          <w:lang w:eastAsia="zh-CN"/>
        </w:rPr>
        <w:t>质量保证金</w:t>
      </w:r>
      <w:r>
        <w:rPr>
          <w:rFonts w:hint="eastAsia" w:ascii="宋体" w:hAnsi="宋体" w:cs="宋体"/>
          <w:color w:val="auto"/>
          <w:sz w:val="21"/>
          <w:szCs w:val="21"/>
          <w:highlight w:val="none"/>
          <w:u w:val="single"/>
        </w:rPr>
        <w:t>返还：发包人在工程竣工验收合格之日起满两年后14天内将保修金（无息）的返回给承包人，</w:t>
      </w:r>
      <w:r>
        <w:rPr>
          <w:rFonts w:hint="eastAsia" w:ascii="宋体" w:hAnsi="宋体" w:cs="宋体"/>
          <w:color w:val="auto"/>
          <w:sz w:val="21"/>
          <w:szCs w:val="21"/>
          <w:highlight w:val="none"/>
          <w:u w:val="single"/>
          <w:lang w:eastAsia="zh-CN"/>
        </w:rPr>
        <w:t>质量保证金</w:t>
      </w:r>
      <w:r>
        <w:rPr>
          <w:rFonts w:hint="eastAsia" w:ascii="宋体" w:hAnsi="宋体" w:cs="宋体"/>
          <w:color w:val="auto"/>
          <w:sz w:val="21"/>
          <w:szCs w:val="21"/>
          <w:highlight w:val="none"/>
          <w:u w:val="single"/>
        </w:rPr>
        <w:t xml:space="preserve">的返还，并不能免除承包人按照合同约定应承担的质量保修责任和应履行的质量保修义务  </w:t>
      </w:r>
      <w:r>
        <w:rPr>
          <w:rFonts w:hint="eastAsia" w:ascii="宋体" w:hAnsi="宋体" w:cs="宋体"/>
          <w:color w:val="auto"/>
          <w:sz w:val="21"/>
          <w:szCs w:val="21"/>
          <w:highlight w:val="none"/>
        </w:rPr>
        <w:t>。</w:t>
      </w:r>
    </w:p>
    <w:p>
      <w:pPr>
        <w:pStyle w:val="31"/>
        <w:spacing w:line="320" w:lineRule="exact"/>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工程质量保修书由发包人、承包人在工程竣工验收前共同签署，作为施工合同附件，其有效期限至保修期满。</w:t>
      </w:r>
    </w:p>
    <w:p>
      <w:pPr>
        <w:pStyle w:val="31"/>
        <w:spacing w:line="320" w:lineRule="exact"/>
        <w:ind w:firstLine="420" w:firstLineChars="200"/>
        <w:rPr>
          <w:rFonts w:ascii="宋体" w:hAnsi="宋体" w:cs="宋体"/>
          <w:color w:val="auto"/>
          <w:sz w:val="21"/>
          <w:szCs w:val="21"/>
          <w:highlight w:val="none"/>
        </w:rPr>
      </w:pPr>
    </w:p>
    <w:p>
      <w:pPr>
        <w:pStyle w:val="32"/>
        <w:ind w:left="63" w:right="63"/>
        <w:rPr>
          <w:rFonts w:hint="eastAsia"/>
          <w:color w:val="auto"/>
          <w:sz w:val="21"/>
          <w:szCs w:val="21"/>
          <w:highlight w:val="none"/>
          <w:lang w:val="en-US" w:eastAsia="zh-CN"/>
        </w:rPr>
      </w:pPr>
    </w:p>
    <w:p>
      <w:pPr>
        <w:pStyle w:val="36"/>
        <w:spacing w:line="320" w:lineRule="exact"/>
        <w:ind w:left="0" w:leftChars="0" w:firstLine="0" w:firstLineChars="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发包人(公章)：</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none"/>
          <w:lang w:val="en-US" w:eastAsia="zh-CN"/>
        </w:rPr>
        <w:t xml:space="preserve">                </w:t>
      </w:r>
      <w:r>
        <w:rPr>
          <w:rFonts w:hint="eastAsia" w:ascii="宋体" w:hAnsi="宋体" w:cs="宋体"/>
          <w:color w:val="auto"/>
          <w:sz w:val="21"/>
          <w:szCs w:val="21"/>
          <w:highlight w:val="none"/>
        </w:rPr>
        <w:t>承包人(公章)：</w:t>
      </w:r>
      <w:r>
        <w:rPr>
          <w:rFonts w:hint="eastAsia" w:ascii="宋体" w:hAnsi="宋体" w:cs="宋体"/>
          <w:color w:val="auto"/>
          <w:sz w:val="21"/>
          <w:szCs w:val="21"/>
          <w:highlight w:val="none"/>
          <w:u w:val="single"/>
          <w:lang w:val="en-US" w:eastAsia="zh-CN"/>
        </w:rPr>
        <w:t xml:space="preserve">  </w:t>
      </w:r>
    </w:p>
    <w:p>
      <w:pPr>
        <w:pStyle w:val="36"/>
        <w:spacing w:line="320" w:lineRule="exact"/>
        <w:ind w:left="0" w:lef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pPr>
        <w:pStyle w:val="36"/>
        <w:spacing w:line="320" w:lineRule="exact"/>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地  址：</w:t>
      </w:r>
      <w:r>
        <w:rPr>
          <w:rFonts w:hint="eastAsia" w:ascii="宋体" w:hAnsi="宋体"/>
          <w:color w:val="auto"/>
          <w:sz w:val="21"/>
          <w:szCs w:val="21"/>
          <w:highlight w:val="none"/>
          <w:u w:val="single"/>
          <w:lang w:val="en-US" w:eastAsia="zh-CN"/>
        </w:rPr>
        <w:t xml:space="preserve"> </w:t>
      </w:r>
    </w:p>
    <w:p>
      <w:pPr>
        <w:pStyle w:val="36"/>
        <w:spacing w:line="320" w:lineRule="exact"/>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法定代表人</w:t>
      </w:r>
      <w:r>
        <w:rPr>
          <w:rFonts w:hint="eastAsia" w:ascii="宋体" w:hAnsi="宋体" w:cs="宋体"/>
          <w:color w:val="auto"/>
          <w:sz w:val="21"/>
          <w:szCs w:val="21"/>
          <w:highlight w:val="none"/>
          <w:lang w:eastAsia="zh-CN"/>
        </w:rPr>
        <w:t>或</w:t>
      </w:r>
      <w:r>
        <w:rPr>
          <w:rFonts w:hint="eastAsia" w:ascii="宋体" w:hAnsi="宋体" w:cs="宋体"/>
          <w:color w:val="auto"/>
          <w:sz w:val="21"/>
          <w:szCs w:val="21"/>
          <w:highlight w:val="none"/>
        </w:rPr>
        <w:t xml:space="preserve">委托代理人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法定代表人</w:t>
      </w:r>
      <w:r>
        <w:rPr>
          <w:rFonts w:hint="eastAsia" w:ascii="宋体" w:hAnsi="宋体" w:cs="宋体"/>
          <w:color w:val="auto"/>
          <w:sz w:val="21"/>
          <w:szCs w:val="21"/>
          <w:highlight w:val="none"/>
          <w:lang w:eastAsia="zh-CN"/>
        </w:rPr>
        <w:t>或</w:t>
      </w:r>
      <w:r>
        <w:rPr>
          <w:rFonts w:hint="eastAsia" w:ascii="宋体" w:hAnsi="宋体" w:cs="宋体"/>
          <w:color w:val="auto"/>
          <w:sz w:val="21"/>
          <w:szCs w:val="21"/>
          <w:highlight w:val="none"/>
        </w:rPr>
        <w:t>委托代理人</w:t>
      </w:r>
    </w:p>
    <w:p>
      <w:pPr>
        <w:pStyle w:val="36"/>
        <w:spacing w:line="32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(签字</w:t>
      </w:r>
      <w:r>
        <w:rPr>
          <w:rFonts w:hint="eastAsia" w:ascii="宋体" w:hAnsi="宋体" w:cs="宋体"/>
          <w:color w:val="auto"/>
          <w:sz w:val="21"/>
          <w:szCs w:val="21"/>
          <w:highlight w:val="none"/>
          <w:lang w:eastAsia="zh-CN"/>
        </w:rPr>
        <w:t>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(签字</w:t>
      </w:r>
      <w:r>
        <w:rPr>
          <w:rFonts w:hint="eastAsia" w:ascii="宋体" w:hAnsi="宋体" w:cs="宋体"/>
          <w:color w:val="auto"/>
          <w:sz w:val="21"/>
          <w:szCs w:val="21"/>
          <w:highlight w:val="none"/>
          <w:lang w:eastAsia="zh-CN"/>
        </w:rPr>
        <w:t>或盖章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lang w:val="en-US" w:eastAsia="zh-CN"/>
        </w:rPr>
        <w:t xml:space="preserve">   </w:t>
      </w:r>
    </w:p>
    <w:p>
      <w:pPr>
        <w:pStyle w:val="36"/>
        <w:spacing w:line="320" w:lineRule="exact"/>
        <w:ind w:left="0" w:leftChars="0"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电  话：</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电  话：</w:t>
      </w:r>
      <w:r>
        <w:rPr>
          <w:rFonts w:hint="eastAsia" w:ascii="宋体" w:hAnsi="宋体" w:cs="宋体"/>
          <w:color w:val="auto"/>
          <w:sz w:val="21"/>
          <w:szCs w:val="21"/>
          <w:highlight w:val="none"/>
          <w:u w:val="single"/>
        </w:rPr>
        <w:t></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color w:val="auto"/>
          <w:sz w:val="24"/>
          <w:szCs w:val="24"/>
          <w:highlight w:val="none"/>
        </w:rPr>
        <w:t>附件4：</w:t>
      </w:r>
    </w:p>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主要建设工程文件目录</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bl>
      <w:tblPr>
        <w:tblStyle w:val="18"/>
        <w:tblpPr w:leftFromText="180" w:rightFromText="180" w:vertAnchor="text" w:horzAnchor="page" w:tblpX="1430" w:tblpY="14"/>
        <w:tblOverlap w:val="never"/>
        <w:tblW w:w="87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067"/>
        <w:gridCol w:w="1450"/>
        <w:gridCol w:w="1243"/>
        <w:gridCol w:w="1450"/>
        <w:gridCol w:w="15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953"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文件名称</w:t>
            </w:r>
          </w:p>
        </w:tc>
        <w:tc>
          <w:tcPr>
            <w:tcW w:w="1067"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套数</w:t>
            </w:r>
          </w:p>
        </w:tc>
        <w:tc>
          <w:tcPr>
            <w:tcW w:w="1450"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费用（元）</w:t>
            </w:r>
          </w:p>
        </w:tc>
        <w:tc>
          <w:tcPr>
            <w:tcW w:w="1243"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质量</w:t>
            </w:r>
          </w:p>
        </w:tc>
        <w:tc>
          <w:tcPr>
            <w:tcW w:w="1450" w:type="dxa"/>
            <w:tcBorders>
              <w:top w:val="single" w:color="auto" w:sz="12" w:space="0"/>
              <w:bottom w:val="double" w:color="auto" w:sz="6" w:space="0"/>
            </w:tcBorders>
            <w:vAlign w:val="top"/>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移交时间</w:t>
            </w:r>
          </w:p>
        </w:tc>
        <w:tc>
          <w:tcPr>
            <w:tcW w:w="1564" w:type="dxa"/>
            <w:tcBorders>
              <w:top w:val="single" w:color="auto" w:sz="12" w:space="0"/>
              <w:bottom w:val="double" w:color="auto" w:sz="6" w:space="0"/>
            </w:tcBorders>
            <w:vAlign w:val="top"/>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67"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243"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4"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67"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243"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4"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6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24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6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24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6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24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6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24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6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24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6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24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67"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243"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56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bl>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w:t>
      </w:r>
      <w:bookmarkStart w:id="1927" w:name="_Toc267261698"/>
      <w:bookmarkStart w:id="1928" w:name="_Toc296346728"/>
      <w:bookmarkStart w:id="1929" w:name="_Toc296944566"/>
      <w:bookmarkStart w:id="1930" w:name="_Toc296347226"/>
      <w:bookmarkStart w:id="1931" w:name="_Toc296891055"/>
      <w:bookmarkStart w:id="1932" w:name="_Toc296891267"/>
      <w:bookmarkStart w:id="1933" w:name="_Toc296503227"/>
      <w:r>
        <w:rPr>
          <w:rFonts w:hint="eastAsia" w:ascii="宋体" w:hAnsi="宋体" w:eastAsia="宋体" w:cs="宋体"/>
          <w:color w:val="auto"/>
          <w:sz w:val="24"/>
          <w:szCs w:val="24"/>
          <w:highlight w:val="none"/>
        </w:rPr>
        <w:t>件5：</w:t>
      </w:r>
    </w:p>
    <w:bookmarkEnd w:id="1927"/>
    <w:bookmarkEnd w:id="1928"/>
    <w:bookmarkEnd w:id="1929"/>
    <w:bookmarkEnd w:id="1930"/>
    <w:bookmarkEnd w:id="1931"/>
    <w:bookmarkEnd w:id="1932"/>
    <w:bookmarkEnd w:id="1933"/>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承包人用于本工程施工的机械设备表</w:t>
      </w:r>
    </w:p>
    <w:tbl>
      <w:tblPr>
        <w:tblStyle w:val="18"/>
        <w:tblW w:w="85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9"/>
        <w:gridCol w:w="1418"/>
        <w:gridCol w:w="850"/>
        <w:gridCol w:w="1058"/>
        <w:gridCol w:w="880"/>
        <w:gridCol w:w="806"/>
        <w:gridCol w:w="1310"/>
        <w:gridCol w:w="906"/>
        <w:gridCol w:w="6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9"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序号</w:t>
            </w:r>
          </w:p>
        </w:tc>
        <w:tc>
          <w:tcPr>
            <w:tcW w:w="1418"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机械或设备名称</w:t>
            </w:r>
          </w:p>
        </w:tc>
        <w:tc>
          <w:tcPr>
            <w:tcW w:w="850"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规格型号</w:t>
            </w:r>
          </w:p>
        </w:tc>
        <w:tc>
          <w:tcPr>
            <w:tcW w:w="1058"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数量</w:t>
            </w:r>
          </w:p>
        </w:tc>
        <w:tc>
          <w:tcPr>
            <w:tcW w:w="880"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产地</w:t>
            </w:r>
          </w:p>
        </w:tc>
        <w:tc>
          <w:tcPr>
            <w:tcW w:w="806"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制造年份</w:t>
            </w:r>
          </w:p>
        </w:tc>
        <w:tc>
          <w:tcPr>
            <w:tcW w:w="1310"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额定功率(kW)</w:t>
            </w:r>
          </w:p>
        </w:tc>
        <w:tc>
          <w:tcPr>
            <w:tcW w:w="906"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生产能力</w:t>
            </w:r>
          </w:p>
        </w:tc>
        <w:tc>
          <w:tcPr>
            <w:tcW w:w="652"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58"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80"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06"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310"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6"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52" w:type="dxa"/>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58"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8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06"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31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6"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52"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5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8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0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31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5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5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8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0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31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5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5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8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0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31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5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5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8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0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31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5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5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8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0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31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5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5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8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0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31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5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5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05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8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80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31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6"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65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tc>
      </w:tr>
    </w:tbl>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color w:val="auto"/>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附件6：</w:t>
      </w:r>
    </w:p>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承包人主要施工管理人员表</w:t>
      </w:r>
    </w:p>
    <w:tbl>
      <w:tblPr>
        <w:tblStyle w:val="18"/>
        <w:tblW w:w="87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48"/>
        <w:gridCol w:w="941"/>
        <w:gridCol w:w="1134"/>
        <w:gridCol w:w="36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名    称</w:t>
            </w:r>
          </w:p>
        </w:tc>
        <w:tc>
          <w:tcPr>
            <w:tcW w:w="1148"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姓名</w:t>
            </w:r>
          </w:p>
        </w:tc>
        <w:tc>
          <w:tcPr>
            <w:tcW w:w="941"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职务</w:t>
            </w:r>
          </w:p>
        </w:tc>
        <w:tc>
          <w:tcPr>
            <w:tcW w:w="1134"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职称</w:t>
            </w:r>
          </w:p>
        </w:tc>
        <w:tc>
          <w:tcPr>
            <w:tcW w:w="3660"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项目主管</w:t>
            </w:r>
          </w:p>
        </w:tc>
        <w:tc>
          <w:tcPr>
            <w:tcW w:w="1148"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4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其他人员</w:t>
            </w:r>
          </w:p>
        </w:tc>
        <w:tc>
          <w:tcPr>
            <w:tcW w:w="114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4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sing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项目经理</w:t>
            </w:r>
          </w:p>
        </w:tc>
        <w:tc>
          <w:tcPr>
            <w:tcW w:w="114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项目副经理</w:t>
            </w:r>
          </w:p>
        </w:tc>
        <w:tc>
          <w:tcPr>
            <w:tcW w:w="114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技术负责人</w:t>
            </w:r>
          </w:p>
        </w:tc>
        <w:tc>
          <w:tcPr>
            <w:tcW w:w="114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造价管理</w:t>
            </w:r>
          </w:p>
        </w:tc>
        <w:tc>
          <w:tcPr>
            <w:tcW w:w="114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质量管理</w:t>
            </w:r>
          </w:p>
        </w:tc>
        <w:tc>
          <w:tcPr>
            <w:tcW w:w="114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材料管理</w:t>
            </w:r>
          </w:p>
        </w:tc>
        <w:tc>
          <w:tcPr>
            <w:tcW w:w="114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计划管理</w:t>
            </w:r>
          </w:p>
        </w:tc>
        <w:tc>
          <w:tcPr>
            <w:tcW w:w="114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安全管理</w:t>
            </w:r>
          </w:p>
        </w:tc>
        <w:tc>
          <w:tcPr>
            <w:tcW w:w="114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其他人员</w:t>
            </w:r>
          </w:p>
        </w:tc>
        <w:tc>
          <w:tcPr>
            <w:tcW w:w="114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48" w:type="dxa"/>
            <w:tcBorders>
              <w:bottom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tcBorders>
              <w:bottom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tcBorders>
              <w:bottom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tcBorders>
              <w:bottom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4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4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4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48" w:type="dxa"/>
            <w:tcBorders>
              <w:bottom w:val="single" w:color="auto" w:sz="12"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41" w:type="dxa"/>
            <w:tcBorders>
              <w:bottom w:val="single" w:color="auto" w:sz="12"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134" w:type="dxa"/>
            <w:tcBorders>
              <w:bottom w:val="single" w:color="auto" w:sz="12"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660" w:type="dxa"/>
            <w:tcBorders>
              <w:bottom w:val="single" w:color="auto" w:sz="12"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bl>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附件7：</w:t>
      </w:r>
    </w:p>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分包人主要施工管理人员表</w:t>
      </w:r>
    </w:p>
    <w:tbl>
      <w:tblPr>
        <w:tblStyle w:val="18"/>
        <w:tblW w:w="86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3"/>
        <w:gridCol w:w="1418"/>
        <w:gridCol w:w="928"/>
        <w:gridCol w:w="902"/>
        <w:gridCol w:w="38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名    称</w:t>
            </w:r>
          </w:p>
        </w:tc>
        <w:tc>
          <w:tcPr>
            <w:tcW w:w="1418"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姓名</w:t>
            </w:r>
          </w:p>
        </w:tc>
        <w:tc>
          <w:tcPr>
            <w:tcW w:w="928"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职务</w:t>
            </w:r>
          </w:p>
        </w:tc>
        <w:tc>
          <w:tcPr>
            <w:tcW w:w="902"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职称</w:t>
            </w:r>
          </w:p>
        </w:tc>
        <w:tc>
          <w:tcPr>
            <w:tcW w:w="3814" w:type="dxa"/>
            <w:tcBorders>
              <w:top w:val="single" w:color="auto" w:sz="12" w:space="0"/>
              <w:bottom w:val="doub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doub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项目主管</w:t>
            </w:r>
          </w:p>
        </w:tc>
        <w:tc>
          <w:tcPr>
            <w:tcW w:w="1418"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tcBorders>
              <w:top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其他人员</w:t>
            </w:r>
          </w:p>
        </w:tc>
        <w:tc>
          <w:tcPr>
            <w:tcW w:w="141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sing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项目经理</w:t>
            </w:r>
          </w:p>
        </w:tc>
        <w:tc>
          <w:tcPr>
            <w:tcW w:w="141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项目副经理</w:t>
            </w:r>
          </w:p>
        </w:tc>
        <w:tc>
          <w:tcPr>
            <w:tcW w:w="141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技术负责人</w:t>
            </w:r>
          </w:p>
        </w:tc>
        <w:tc>
          <w:tcPr>
            <w:tcW w:w="141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造价管理</w:t>
            </w:r>
          </w:p>
        </w:tc>
        <w:tc>
          <w:tcPr>
            <w:tcW w:w="141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质量管理</w:t>
            </w:r>
          </w:p>
        </w:tc>
        <w:tc>
          <w:tcPr>
            <w:tcW w:w="141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材料管理</w:t>
            </w:r>
          </w:p>
        </w:tc>
        <w:tc>
          <w:tcPr>
            <w:tcW w:w="141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计划管理</w:t>
            </w:r>
          </w:p>
        </w:tc>
        <w:tc>
          <w:tcPr>
            <w:tcW w:w="141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安全管理</w:t>
            </w:r>
          </w:p>
        </w:tc>
        <w:tc>
          <w:tcPr>
            <w:tcW w:w="141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restart"/>
            <w:tcBorders>
              <w:top w:val="single" w:color="auto" w:sz="6"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其他人员</w:t>
            </w:r>
          </w:p>
        </w:tc>
        <w:tc>
          <w:tcPr>
            <w:tcW w:w="141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tcBorders>
              <w:bottom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tcBorders>
              <w:bottom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tcBorders>
              <w:bottom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tcBorders>
              <w:bottom w:val="nil"/>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tcBorders>
              <w:bottom w:val="single" w:color="auto" w:sz="12"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1418" w:type="dxa"/>
            <w:tcBorders>
              <w:bottom w:val="single" w:color="auto" w:sz="12"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28" w:type="dxa"/>
            <w:tcBorders>
              <w:bottom w:val="single" w:color="auto" w:sz="12"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902" w:type="dxa"/>
            <w:tcBorders>
              <w:bottom w:val="single" w:color="auto" w:sz="12"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c>
          <w:tcPr>
            <w:tcW w:w="3814" w:type="dxa"/>
            <w:tcBorders>
              <w:bottom w:val="single" w:color="auto" w:sz="12" w:space="0"/>
            </w:tcBorders>
            <w:vAlign w:val="center"/>
          </w:tcPr>
          <w:p>
            <w:pPr>
              <w:pStyle w:val="2"/>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4"/>
                <w:szCs w:val="24"/>
                <w:highlight w:val="none"/>
                <w:lang w:val="en-US" w:eastAsia="zh-CN"/>
              </w:rPr>
            </w:pPr>
          </w:p>
        </w:tc>
      </w:tr>
    </w:tbl>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附件8：</w:t>
      </w:r>
    </w:p>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履约担保</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（发包人名称）：</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（发包人名称，以下简称“发包人”）与</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（工程名称）施工及有关事项协商一致共同签订《建设工程施工合同》。我方愿意无条件地、不可撤销地就承包人履行与你方签订的合同，向你方提供连带责任担保。 </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担保有效期自你方与承包人签订的合同生效之日起至你方签发或应签发工程接收证书之日止。</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在本担保有效期内，因承包人违反合同约定的义务给你方造成经济损失时，我方在收到你方以书面形式提出的在担保金额内的赔偿要求后，在7天内无条件支付。</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你方和承包人按合同约定变更合同时，我方承担本担保规定的义务不变。</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因本保函发生的纠纷，可由双方协商解决，协商不成的，任何一方均可提请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仲裁委员会仲裁。</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本保函自我方法定代表人（或其授权代理人）签字并加盖公章之日起生效。</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 保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u w:val="single"/>
        </w:rPr>
      </w:pPr>
    </w:p>
    <w:p>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1519" w:leftChars="0" w:right="0" w:rightChars="0" w:hanging="1519" w:hangingChars="633"/>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1519" w:leftChars="0" w:right="0" w:rightChars="0" w:hanging="1519" w:hangingChars="633"/>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1519" w:leftChars="0" w:right="0" w:rightChars="0" w:hanging="1519" w:hangingChars="633"/>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1519" w:leftChars="0" w:right="0" w:rightChars="0" w:hanging="1519" w:hangingChars="633"/>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1519" w:leftChars="0" w:right="0" w:rightChars="0" w:hanging="1519" w:hangingChars="633"/>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1519" w:leftChars="0" w:right="0" w:rightChars="0" w:hanging="1519" w:hangingChars="633"/>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1519" w:leftChars="0" w:right="0" w:rightChars="0" w:hanging="1519" w:hangingChars="633"/>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1519" w:leftChars="0" w:right="0" w:rightChars="0" w:hanging="1519" w:hangingChars="633"/>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1519" w:leftChars="0" w:right="0" w:rightChars="0" w:hanging="1519" w:hangingChars="633"/>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color w:val="auto"/>
          <w:highlight w:val="none"/>
        </w:rPr>
      </w:pPr>
    </w:p>
    <w:p>
      <w:pPr>
        <w:pStyle w:val="2"/>
        <w:rPr>
          <w:rFonts w:hint="eastAsia" w:ascii="宋体" w:hAnsi="宋体" w:eastAsia="宋体" w:cs="宋体"/>
          <w:color w:val="auto"/>
          <w:sz w:val="24"/>
          <w:szCs w:val="24"/>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w:t>
      </w:r>
      <w:bookmarkStart w:id="1934" w:name="_Toc296944571"/>
      <w:bookmarkStart w:id="1935" w:name="_Toc296503232"/>
      <w:bookmarkStart w:id="1936" w:name="_Toc267261702"/>
      <w:bookmarkStart w:id="1937" w:name="_Toc296891272"/>
      <w:bookmarkStart w:id="1938" w:name="_Toc296347231"/>
      <w:bookmarkStart w:id="1939" w:name="_Toc296346733"/>
      <w:bookmarkStart w:id="1940" w:name="_Toc296891060"/>
      <w:r>
        <w:rPr>
          <w:rFonts w:hint="eastAsia" w:ascii="宋体" w:hAnsi="宋体" w:eastAsia="宋体" w:cs="宋体"/>
          <w:color w:val="auto"/>
          <w:sz w:val="24"/>
          <w:szCs w:val="24"/>
          <w:highlight w:val="none"/>
        </w:rPr>
        <w:t>件9 ：</w:t>
      </w:r>
    </w:p>
    <w:bookmarkEnd w:id="1934"/>
    <w:bookmarkEnd w:id="1935"/>
    <w:bookmarkEnd w:id="1936"/>
    <w:bookmarkEnd w:id="1937"/>
    <w:bookmarkEnd w:id="1938"/>
    <w:bookmarkEnd w:id="1939"/>
    <w:bookmarkEnd w:id="1940"/>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预付款担保</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（发包人名称）：</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（承包人名称）（以下称“承包人”）与</w:t>
      </w:r>
    </w:p>
    <w:p>
      <w:pPr>
        <w:pageBreakBefore w:val="0"/>
        <w:widowControl w:val="0"/>
        <w:kinsoku/>
        <w:wordWrap/>
        <w:overflowPunct/>
        <w:topLinePunct w:val="0"/>
        <w:bidi w:val="0"/>
        <w:snapToGrid/>
        <w:spacing w:line="360" w:lineRule="exact"/>
        <w:ind w:left="0" w:leftChars="0" w:right="0" w:rightChars="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bookmarkStart w:id="1941" w:name="_Toc29110"/>
      <w:bookmarkStart w:id="1942" w:name="_Toc23079"/>
      <w:bookmarkStart w:id="1943" w:name="_Toc19561"/>
      <w:bookmarkStart w:id="1944" w:name="_Toc21071"/>
      <w:r>
        <w:rPr>
          <w:rFonts w:hint="eastAsia" w:ascii="宋体" w:hAnsi="宋体" w:eastAsia="宋体" w:cs="宋体"/>
          <w:color w:val="auto"/>
          <w:sz w:val="21"/>
          <w:szCs w:val="21"/>
          <w:highlight w:val="none"/>
        </w:rPr>
        <w:t>（发包人名称）（以下简称“发包人”）</w:t>
      </w:r>
      <w:bookmarkEnd w:id="1941"/>
      <w:bookmarkEnd w:id="1942"/>
      <w:bookmarkEnd w:id="1943"/>
      <w:bookmarkEnd w:id="1944"/>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担保有效期自预付款支付给承包人起生效，至你方签发的进度款支付证书说明已完全扣清止。</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你方和承包人按合同约定变更合同时，我方承担本保函规定的义务不变。</w:t>
      </w:r>
    </w:p>
    <w:p>
      <w:pPr>
        <w:pageBreakBefore w:val="0"/>
        <w:widowControl w:val="0"/>
        <w:kinsoku/>
        <w:wordWrap/>
        <w:overflowPunct/>
        <w:topLinePunct w:val="0"/>
        <w:bidi w:val="0"/>
        <w:snapToGrid/>
        <w:spacing w:line="360" w:lineRule="exact"/>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因本保函发生的纠纷，可由双方协商解决，协商不成的，任何一方均可提请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仲裁委员会仲裁。</w:t>
      </w:r>
    </w:p>
    <w:p>
      <w:pPr>
        <w:pageBreakBefore w:val="0"/>
        <w:widowControl w:val="0"/>
        <w:kinsoku/>
        <w:wordWrap/>
        <w:overflowPunct/>
        <w:topLinePunct w:val="0"/>
        <w:bidi w:val="0"/>
        <w:snapToGrid/>
        <w:spacing w:line="360" w:lineRule="exact"/>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本保函自我方法定代表人（或其授权代理人）签字并加盖公章之日起生效。</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440" w:lineRule="exact"/>
        <w:rPr>
          <w:rFonts w:hint="eastAsia" w:ascii="宋体" w:hAnsi="宋体" w:eastAsia="宋体" w:cs="宋体"/>
          <w:color w:val="auto"/>
          <w:sz w:val="24"/>
          <w:szCs w:val="24"/>
          <w:highlight w:val="none"/>
        </w:rPr>
      </w:pPr>
      <w:r>
        <w:rPr>
          <w:rFonts w:eastAsia="仿宋_GB2312"/>
          <w:b/>
          <w:color w:val="auto"/>
          <w:sz w:val="24"/>
          <w:szCs w:val="24"/>
          <w:highlight w:val="none"/>
        </w:rPr>
        <w:br w:type="page"/>
      </w:r>
      <w:r>
        <w:rPr>
          <w:rFonts w:hint="eastAsia" w:ascii="宋体" w:hAnsi="宋体" w:eastAsia="宋体" w:cs="宋体"/>
          <w:color w:val="auto"/>
          <w:sz w:val="24"/>
          <w:szCs w:val="24"/>
          <w:highlight w:val="none"/>
        </w:rPr>
        <w:t xml:space="preserve">附件10:  </w:t>
      </w:r>
    </w:p>
    <w:p>
      <w:pPr>
        <w:spacing w:before="120" w:beforeLines="50" w:after="120" w:afterLines="5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支付担保</w:t>
      </w:r>
    </w:p>
    <w:p>
      <w:pPr>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w:t>
      </w:r>
    </w:p>
    <w:p>
      <w:pPr>
        <w:spacing w:line="440" w:lineRule="exact"/>
        <w:jc w:val="left"/>
        <w:rPr>
          <w:rFonts w:hint="eastAsia" w:ascii="宋体" w:hAnsi="宋体" w:eastAsia="宋体" w:cs="宋体"/>
          <w:color w:val="auto"/>
          <w:sz w:val="21"/>
          <w:szCs w:val="21"/>
          <w:highlight w:val="none"/>
        </w:rPr>
      </w:pP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鉴于你方作为承包人已经与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（发包人名称）（以下称“发包人”）于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（工程名称）《建设工程施工合同》（以下称“主合同”），应发包人的申请，我方愿就发包人履行主合同约定的工程款支付义务以保证的方式向你方提供如下担保：</w:t>
      </w:r>
    </w:p>
    <w:p>
      <w:pPr>
        <w:spacing w:line="360" w:lineRule="auto"/>
        <w:ind w:firstLine="420" w:firstLineChars="200"/>
        <w:jc w:val="left"/>
        <w:outlineLvl w:val="0"/>
        <w:rPr>
          <w:rFonts w:hint="eastAsia" w:ascii="宋体" w:hAnsi="宋体" w:eastAsia="宋体" w:cs="宋体"/>
          <w:color w:val="auto"/>
          <w:sz w:val="21"/>
          <w:szCs w:val="21"/>
          <w:highlight w:val="none"/>
        </w:rPr>
      </w:pPr>
      <w:bookmarkStart w:id="1945" w:name="_Toc20380"/>
      <w:bookmarkStart w:id="1946" w:name="_Toc25964"/>
      <w:bookmarkStart w:id="1947" w:name="_Toc31131"/>
      <w:bookmarkStart w:id="1948" w:name="_Toc16839"/>
      <w:r>
        <w:rPr>
          <w:rFonts w:hint="eastAsia" w:ascii="宋体" w:hAnsi="宋体" w:eastAsia="宋体" w:cs="宋体"/>
          <w:color w:val="auto"/>
          <w:sz w:val="21"/>
          <w:szCs w:val="21"/>
          <w:highlight w:val="none"/>
        </w:rPr>
        <w:t>一、保证的范围及保证金额</w:t>
      </w:r>
      <w:bookmarkEnd w:id="1945"/>
      <w:bookmarkEnd w:id="1946"/>
      <w:bookmarkEnd w:id="1947"/>
      <w:bookmarkEnd w:id="1948"/>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我方的保证范围是主合同约定的工程款。</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本保函所称主合同约定的工程款是指主合同约定的除工程质量保证金以外的合同价款。</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我方保证的金额是主合同约定的工程款的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%，数额最高不超过人民币元（大写：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outlineLvl w:val="0"/>
        <w:rPr>
          <w:rFonts w:hint="eastAsia" w:ascii="宋体" w:hAnsi="宋体" w:eastAsia="宋体" w:cs="宋体"/>
          <w:color w:val="auto"/>
          <w:sz w:val="21"/>
          <w:szCs w:val="21"/>
          <w:highlight w:val="none"/>
        </w:rPr>
      </w:pPr>
      <w:bookmarkStart w:id="1949" w:name="_Toc16286"/>
      <w:bookmarkStart w:id="1950" w:name="_Toc10162"/>
      <w:bookmarkStart w:id="1951" w:name="_Toc31793"/>
      <w:bookmarkStart w:id="1952" w:name="_Toc15872"/>
      <w:r>
        <w:rPr>
          <w:rFonts w:hint="eastAsia" w:ascii="宋体" w:hAnsi="宋体" w:eastAsia="宋体" w:cs="宋体"/>
          <w:color w:val="auto"/>
          <w:sz w:val="21"/>
          <w:szCs w:val="21"/>
          <w:highlight w:val="none"/>
        </w:rPr>
        <w:t>二、保证的方式及保证期间</w:t>
      </w:r>
      <w:bookmarkEnd w:id="1949"/>
      <w:bookmarkEnd w:id="1950"/>
      <w:bookmarkEnd w:id="1951"/>
      <w:bookmarkEnd w:id="1952"/>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我方保证的方式为：连带责任保证。</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我方保证的期间为：自本合同生效之日起至主合同约定的工程款支付完毕之日后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你方与发包人协议变更工程款支付日期的，经我方书面同意后，保证期间按照变更后的支付日期做相应调整。</w:t>
      </w:r>
    </w:p>
    <w:p>
      <w:pPr>
        <w:spacing w:line="360" w:lineRule="auto"/>
        <w:ind w:firstLine="420" w:firstLineChars="200"/>
        <w:jc w:val="left"/>
        <w:outlineLvl w:val="0"/>
        <w:rPr>
          <w:rFonts w:hint="eastAsia" w:ascii="宋体" w:hAnsi="宋体" w:eastAsia="宋体" w:cs="宋体"/>
          <w:color w:val="auto"/>
          <w:sz w:val="21"/>
          <w:szCs w:val="21"/>
          <w:highlight w:val="none"/>
        </w:rPr>
      </w:pPr>
      <w:bookmarkStart w:id="1953" w:name="_Toc3217"/>
      <w:bookmarkStart w:id="1954" w:name="_Toc30478"/>
      <w:bookmarkStart w:id="1955" w:name="_Toc30010"/>
      <w:bookmarkStart w:id="1956" w:name="_Toc23009"/>
      <w:r>
        <w:rPr>
          <w:rFonts w:hint="eastAsia" w:ascii="宋体" w:hAnsi="宋体" w:eastAsia="宋体" w:cs="宋体"/>
          <w:color w:val="auto"/>
          <w:sz w:val="21"/>
          <w:szCs w:val="21"/>
          <w:highlight w:val="none"/>
        </w:rPr>
        <w:t>三、承担保证责任的形式</w:t>
      </w:r>
      <w:bookmarkEnd w:id="1953"/>
      <w:bookmarkEnd w:id="1954"/>
      <w:bookmarkEnd w:id="1955"/>
      <w:bookmarkEnd w:id="1956"/>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我方承担保证责任的形式是代为支付。发包人未按主合同约定向你方支付工程款的，由我方在保证金额内代为支付。</w:t>
      </w:r>
    </w:p>
    <w:p>
      <w:pPr>
        <w:spacing w:line="360" w:lineRule="auto"/>
        <w:ind w:firstLine="420" w:firstLineChars="200"/>
        <w:jc w:val="left"/>
        <w:outlineLvl w:val="0"/>
        <w:rPr>
          <w:rFonts w:hint="eastAsia" w:ascii="宋体" w:hAnsi="宋体" w:eastAsia="宋体" w:cs="宋体"/>
          <w:color w:val="auto"/>
          <w:sz w:val="21"/>
          <w:szCs w:val="21"/>
          <w:highlight w:val="none"/>
        </w:rPr>
      </w:pPr>
      <w:bookmarkStart w:id="1957" w:name="_Toc19016"/>
      <w:bookmarkStart w:id="1958" w:name="_Toc11312"/>
      <w:bookmarkStart w:id="1959" w:name="_Toc4883"/>
      <w:bookmarkStart w:id="1960" w:name="_Toc17227"/>
      <w:r>
        <w:rPr>
          <w:rFonts w:hint="eastAsia" w:ascii="宋体" w:hAnsi="宋体" w:eastAsia="宋体" w:cs="宋体"/>
          <w:color w:val="auto"/>
          <w:sz w:val="21"/>
          <w:szCs w:val="21"/>
          <w:highlight w:val="none"/>
        </w:rPr>
        <w:t>四、代偿的安排</w:t>
      </w:r>
      <w:bookmarkEnd w:id="1957"/>
      <w:bookmarkEnd w:id="1958"/>
      <w:bookmarkEnd w:id="1959"/>
      <w:bookmarkEnd w:id="1960"/>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我方收到你方的书面索赔通知及相应的证明材料后７天内无条件支付。</w:t>
      </w:r>
    </w:p>
    <w:p>
      <w:pPr>
        <w:spacing w:line="360" w:lineRule="auto"/>
        <w:ind w:firstLine="420" w:firstLineChars="200"/>
        <w:jc w:val="left"/>
        <w:outlineLvl w:val="0"/>
        <w:rPr>
          <w:rFonts w:hint="eastAsia" w:ascii="宋体" w:hAnsi="宋体" w:eastAsia="宋体" w:cs="宋体"/>
          <w:color w:val="auto"/>
          <w:sz w:val="21"/>
          <w:szCs w:val="21"/>
          <w:highlight w:val="none"/>
        </w:rPr>
      </w:pPr>
      <w:bookmarkStart w:id="1961" w:name="_Toc1507"/>
      <w:bookmarkStart w:id="1962" w:name="_Toc30624"/>
      <w:bookmarkStart w:id="1963" w:name="_Toc25107"/>
      <w:bookmarkStart w:id="1964" w:name="_Toc17370"/>
      <w:r>
        <w:rPr>
          <w:rFonts w:hint="eastAsia" w:ascii="宋体" w:hAnsi="宋体" w:eastAsia="宋体" w:cs="宋体"/>
          <w:color w:val="auto"/>
          <w:sz w:val="21"/>
          <w:szCs w:val="21"/>
          <w:highlight w:val="none"/>
        </w:rPr>
        <w:t>五、保证责任的解除</w:t>
      </w:r>
      <w:bookmarkEnd w:id="1961"/>
      <w:bookmarkEnd w:id="1962"/>
      <w:bookmarkEnd w:id="1963"/>
      <w:bookmarkEnd w:id="1964"/>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在本保函承诺的保证期间内，你方未书面向我方主张保证责任的，自保证期间届满次日起，我方保证责任解除。</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发包人按主合同约定履行了工程款的全部支付义务的，自本保函承诺的保证期间届满次日起，我方保证责任解除。</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我方按照本保函向你方履行保证责任所支付金额达到本保函保证金额时，自我方向你方支付（支付款项从我方账户划出）之日起，保证责任即解除。</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按照法律法规的规定或出现应解除我方保证责任的其他情形的，我方在本保函项下的保证责任亦解除。</w:t>
      </w:r>
    </w:p>
    <w:p>
      <w:pPr>
        <w:spacing w:line="360" w:lineRule="auto"/>
        <w:jc w:val="left"/>
        <w:rPr>
          <w:rFonts w:hint="eastAsia" w:ascii="宋体" w:hAnsi="宋体" w:eastAsia="宋体" w:cs="宋体"/>
          <w:color w:val="auto"/>
          <w:sz w:val="21"/>
          <w:szCs w:val="21"/>
          <w:highlight w:val="none"/>
        </w:rPr>
      </w:pP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我方解除保证责任后，你方应自我方保证责任解除之日起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个工作日内，将本保函原件返还我方。</w:t>
      </w:r>
    </w:p>
    <w:p>
      <w:pPr>
        <w:spacing w:line="360" w:lineRule="auto"/>
        <w:ind w:firstLine="420" w:firstLineChars="200"/>
        <w:jc w:val="left"/>
        <w:outlineLvl w:val="0"/>
        <w:rPr>
          <w:rFonts w:hint="eastAsia" w:ascii="宋体" w:hAnsi="宋体" w:eastAsia="宋体" w:cs="宋体"/>
          <w:color w:val="auto"/>
          <w:sz w:val="21"/>
          <w:szCs w:val="21"/>
          <w:highlight w:val="none"/>
        </w:rPr>
      </w:pPr>
      <w:bookmarkStart w:id="1965" w:name="_Toc23407"/>
      <w:bookmarkStart w:id="1966" w:name="_Toc3962"/>
      <w:bookmarkStart w:id="1967" w:name="_Toc11064"/>
      <w:bookmarkStart w:id="1968" w:name="_Toc28666"/>
      <w:r>
        <w:rPr>
          <w:rFonts w:hint="eastAsia" w:ascii="宋体" w:hAnsi="宋体" w:eastAsia="宋体" w:cs="宋体"/>
          <w:color w:val="auto"/>
          <w:sz w:val="21"/>
          <w:szCs w:val="21"/>
          <w:highlight w:val="none"/>
        </w:rPr>
        <w:t>六、免责条款</w:t>
      </w:r>
      <w:bookmarkEnd w:id="1965"/>
      <w:bookmarkEnd w:id="1966"/>
      <w:bookmarkEnd w:id="1967"/>
      <w:bookmarkEnd w:id="1968"/>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因你方违约致使发包人不能履行义务的，我方不承担保证责任。</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依照法律法规的规定或你方与发包人的另行约定，免除发包人部分或全部义务的，我方亦免除其相应的保证责任。</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因不可抗力造成发包人不能履行义务的，我方不承担保证责任。</w:t>
      </w:r>
    </w:p>
    <w:p>
      <w:pPr>
        <w:spacing w:line="360" w:lineRule="auto"/>
        <w:ind w:firstLine="420" w:firstLineChars="200"/>
        <w:jc w:val="left"/>
        <w:outlineLvl w:val="0"/>
        <w:rPr>
          <w:rFonts w:hint="eastAsia" w:ascii="宋体" w:hAnsi="宋体" w:eastAsia="宋体" w:cs="宋体"/>
          <w:color w:val="auto"/>
          <w:sz w:val="21"/>
          <w:szCs w:val="21"/>
          <w:highlight w:val="none"/>
        </w:rPr>
      </w:pPr>
      <w:bookmarkStart w:id="1969" w:name="_Toc28001"/>
      <w:bookmarkStart w:id="1970" w:name="_Toc5169"/>
      <w:bookmarkStart w:id="1971" w:name="_Toc20106"/>
      <w:bookmarkStart w:id="1972" w:name="_Toc30113"/>
      <w:r>
        <w:rPr>
          <w:rFonts w:hint="eastAsia" w:ascii="宋体" w:hAnsi="宋体" w:eastAsia="宋体" w:cs="宋体"/>
          <w:color w:val="auto"/>
          <w:sz w:val="21"/>
          <w:szCs w:val="21"/>
          <w:highlight w:val="none"/>
        </w:rPr>
        <w:t>七、争议解决</w:t>
      </w:r>
      <w:bookmarkEnd w:id="1969"/>
      <w:bookmarkEnd w:id="1970"/>
      <w:bookmarkEnd w:id="1971"/>
      <w:bookmarkEnd w:id="1972"/>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因本保函或本保函相关事项发生的纠纷，可由双方协商解决，协商不成的，按下列第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人民法院起诉。</w:t>
      </w:r>
    </w:p>
    <w:p>
      <w:pPr>
        <w:spacing w:line="360" w:lineRule="auto"/>
        <w:ind w:firstLine="420" w:firstLineChars="200"/>
        <w:jc w:val="left"/>
        <w:outlineLvl w:val="0"/>
        <w:rPr>
          <w:rFonts w:hint="eastAsia" w:ascii="宋体" w:hAnsi="宋体" w:eastAsia="宋体" w:cs="宋体"/>
          <w:color w:val="auto"/>
          <w:sz w:val="21"/>
          <w:szCs w:val="21"/>
          <w:highlight w:val="none"/>
        </w:rPr>
      </w:pPr>
      <w:bookmarkStart w:id="1973" w:name="_Toc5124"/>
      <w:bookmarkStart w:id="1974" w:name="_Toc24785"/>
      <w:bookmarkStart w:id="1975" w:name="_Toc29914"/>
      <w:bookmarkStart w:id="1976" w:name="_Toc19531"/>
      <w:r>
        <w:rPr>
          <w:rFonts w:hint="eastAsia" w:ascii="宋体" w:hAnsi="宋体" w:eastAsia="宋体" w:cs="宋体"/>
          <w:color w:val="auto"/>
          <w:sz w:val="21"/>
          <w:szCs w:val="21"/>
          <w:highlight w:val="none"/>
        </w:rPr>
        <w:t>八、保函的生效</w:t>
      </w:r>
      <w:bookmarkEnd w:id="1973"/>
      <w:bookmarkEnd w:id="1974"/>
      <w:bookmarkEnd w:id="1975"/>
      <w:bookmarkEnd w:id="1976"/>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本保函自我方法定代表人（或其授权代理人）签字并加盖公章之日起生效。</w:t>
      </w:r>
    </w:p>
    <w:p>
      <w:pPr>
        <w:spacing w:line="360" w:lineRule="auto"/>
        <w:ind w:firstLine="420" w:firstLineChars="200"/>
        <w:jc w:val="left"/>
        <w:rPr>
          <w:rFonts w:hint="eastAsia" w:ascii="宋体" w:hAnsi="宋体" w:eastAsia="宋体" w:cs="宋体"/>
          <w:color w:val="auto"/>
          <w:sz w:val="21"/>
          <w:szCs w:val="21"/>
          <w:highlight w:val="none"/>
        </w:rPr>
      </w:pPr>
    </w:p>
    <w:p>
      <w:pPr>
        <w:spacing w:line="360" w:lineRule="auto"/>
        <w:ind w:right="600"/>
        <w:jc w:val="left"/>
        <w:rPr>
          <w:rFonts w:hint="eastAsia" w:ascii="宋体" w:hAnsi="宋体" w:eastAsia="宋体" w:cs="宋体"/>
          <w:color w:val="auto"/>
          <w:sz w:val="21"/>
          <w:szCs w:val="21"/>
          <w:highlight w:val="none"/>
        </w:rPr>
      </w:pPr>
    </w:p>
    <w:p>
      <w:pPr>
        <w:spacing w:line="360" w:lineRule="auto"/>
        <w:ind w:right="6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w:t>
      </w:r>
    </w:p>
    <w:p>
      <w:pPr>
        <w:spacing w:line="360" w:lineRule="auto"/>
        <w:ind w:right="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pPr>
        <w:spacing w:line="360" w:lineRule="auto"/>
        <w:ind w:right="150" w:firstLine="420" w:firstLineChars="200"/>
        <w:jc w:val="left"/>
        <w:rPr>
          <w:rFonts w:hint="eastAsia" w:ascii="宋体" w:hAnsi="宋体" w:eastAsia="宋体" w:cs="宋体"/>
          <w:color w:val="auto"/>
          <w:sz w:val="21"/>
          <w:szCs w:val="21"/>
          <w:highlight w:val="none"/>
          <w:u w:val="single"/>
        </w:rPr>
      </w:pPr>
    </w:p>
    <w:p>
      <w:pPr>
        <w:spacing w:line="360" w:lineRule="auto"/>
        <w:ind w:right="1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440" w:lineRule="exact"/>
        <w:rPr>
          <w:rFonts w:eastAsia="黑体"/>
          <w:color w:val="auto"/>
          <w:sz w:val="24"/>
          <w:szCs w:val="24"/>
          <w:highlight w:val="none"/>
        </w:rPr>
      </w:pPr>
      <w:r>
        <w:rPr>
          <w:rFonts w:eastAsia="仿宋_GB2312"/>
          <w:color w:val="auto"/>
          <w:sz w:val="24"/>
          <w:szCs w:val="24"/>
          <w:highlight w:val="none"/>
        </w:rPr>
        <w:br w:type="page"/>
      </w:r>
      <w:r>
        <w:rPr>
          <w:rFonts w:hint="eastAsia" w:ascii="宋体" w:hAnsi="宋体" w:eastAsia="宋体" w:cs="宋体"/>
          <w:color w:val="auto"/>
          <w:sz w:val="24"/>
          <w:szCs w:val="24"/>
          <w:highlight w:val="none"/>
        </w:rPr>
        <w:t>附件11：</w:t>
      </w:r>
    </w:p>
    <w:p>
      <w:pPr>
        <w:spacing w:before="120" w:beforeLines="50" w:after="120" w:afterLines="50" w:line="440" w:lineRule="exact"/>
        <w:jc w:val="center"/>
        <w:outlineLvl w:val="0"/>
        <w:rPr>
          <w:rFonts w:hint="eastAsia" w:ascii="宋体" w:hAnsi="宋体" w:eastAsia="宋体" w:cs="宋体"/>
          <w:color w:val="auto"/>
          <w:sz w:val="24"/>
          <w:szCs w:val="24"/>
          <w:highlight w:val="none"/>
        </w:rPr>
      </w:pPr>
      <w:bookmarkStart w:id="1977" w:name="_Toc20900"/>
      <w:bookmarkStart w:id="1978" w:name="_Toc18176"/>
      <w:bookmarkStart w:id="1979" w:name="_Toc15518"/>
      <w:bookmarkStart w:id="1980" w:name="_Toc16480"/>
      <w:r>
        <w:rPr>
          <w:rFonts w:hint="eastAsia" w:ascii="宋体" w:hAnsi="宋体" w:eastAsia="宋体" w:cs="宋体"/>
          <w:color w:val="auto"/>
          <w:sz w:val="24"/>
          <w:szCs w:val="24"/>
          <w:highlight w:val="none"/>
        </w:rPr>
        <w:t>11-1：材料暂估价表</w:t>
      </w:r>
      <w:bookmarkEnd w:id="1977"/>
      <w:bookmarkEnd w:id="1978"/>
      <w:bookmarkEnd w:id="1979"/>
      <w:bookmarkEnd w:id="1980"/>
    </w:p>
    <w:tbl>
      <w:tblPr>
        <w:tblStyle w:val="18"/>
        <w:tblW w:w="86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序号</w:t>
            </w:r>
          </w:p>
        </w:tc>
        <w:tc>
          <w:tcPr>
            <w:tcW w:w="1984" w:type="dxa"/>
            <w:tcBorders>
              <w:top w:val="single" w:color="auto" w:sz="12" w:space="0"/>
              <w:bottom w:val="doub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名称</w:t>
            </w:r>
          </w:p>
        </w:tc>
        <w:tc>
          <w:tcPr>
            <w:tcW w:w="851" w:type="dxa"/>
            <w:tcBorders>
              <w:top w:val="single" w:color="auto" w:sz="12" w:space="0"/>
              <w:bottom w:val="doub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单位</w:t>
            </w:r>
          </w:p>
        </w:tc>
        <w:tc>
          <w:tcPr>
            <w:tcW w:w="774" w:type="dxa"/>
            <w:tcBorders>
              <w:top w:val="single" w:color="auto" w:sz="12" w:space="0"/>
              <w:bottom w:val="doub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数量</w:t>
            </w:r>
          </w:p>
        </w:tc>
        <w:tc>
          <w:tcPr>
            <w:tcW w:w="1352" w:type="dxa"/>
            <w:tcBorders>
              <w:top w:val="single" w:color="auto" w:sz="12" w:space="0"/>
              <w:bottom w:val="doub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单价</w:t>
            </w:r>
            <w:r>
              <w:rPr>
                <w:rFonts w:hint="eastAsia" w:ascii="等线" w:hAnsi="等线" w:eastAsia="仿宋_GB2312"/>
                <w:color w:val="auto"/>
                <w:kern w:val="2"/>
                <w:sz w:val="24"/>
                <w:szCs w:val="24"/>
                <w:highlight w:val="none"/>
                <w:lang w:val="en-US" w:eastAsia="zh-CN"/>
              </w:rPr>
              <w:t>（元）</w:t>
            </w:r>
          </w:p>
        </w:tc>
        <w:tc>
          <w:tcPr>
            <w:tcW w:w="1418" w:type="dxa"/>
            <w:tcBorders>
              <w:top w:val="single" w:color="auto" w:sz="12" w:space="0"/>
              <w:bottom w:val="doub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合价</w:t>
            </w:r>
            <w:r>
              <w:rPr>
                <w:rFonts w:hint="eastAsia" w:ascii="等线" w:hAnsi="等线" w:eastAsia="仿宋_GB2312"/>
                <w:color w:val="auto"/>
                <w:kern w:val="2"/>
                <w:sz w:val="24"/>
                <w:szCs w:val="24"/>
                <w:highlight w:val="none"/>
                <w:lang w:val="en-US" w:eastAsia="zh-CN"/>
              </w:rPr>
              <w:t>（元）</w:t>
            </w:r>
          </w:p>
        </w:tc>
        <w:tc>
          <w:tcPr>
            <w:tcW w:w="1303" w:type="dxa"/>
            <w:tcBorders>
              <w:top w:val="single" w:color="auto" w:sz="12" w:space="0"/>
              <w:bottom w:val="doub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tcBorders>
              <w:top w:val="double" w:color="auto" w:sz="6" w:space="0"/>
              <w:bottom w:val="sing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tcBorders>
              <w:top w:val="double" w:color="auto" w:sz="6" w:space="0"/>
              <w:bottom w:val="sing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tcBorders>
              <w:top w:val="double" w:color="auto" w:sz="6" w:space="0"/>
              <w:bottom w:val="sing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tcBorders>
              <w:top w:val="double" w:color="auto" w:sz="6" w:space="0"/>
              <w:bottom w:val="sing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tcBorders>
              <w:top w:val="double" w:color="auto" w:sz="6" w:space="0"/>
              <w:bottom w:val="sing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tcBorders>
              <w:top w:val="double" w:color="auto" w:sz="6" w:space="0"/>
              <w:bottom w:val="sing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tcBorders>
              <w:top w:val="nil"/>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tcBorders>
              <w:top w:val="nil"/>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tcBorders>
              <w:top w:val="nil"/>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tcBorders>
              <w:top w:val="nil"/>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tcBorders>
              <w:top w:val="nil"/>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tcBorders>
              <w:top w:val="nil"/>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bl>
    <w:p>
      <w:pPr>
        <w:spacing w:before="120" w:beforeLines="50" w:after="120" w:afterLines="50" w:line="440" w:lineRule="exact"/>
        <w:rPr>
          <w:rFonts w:hint="eastAsia" w:eastAsia="黑体"/>
          <w:color w:val="auto"/>
          <w:sz w:val="24"/>
          <w:szCs w:val="24"/>
          <w:highlight w:val="none"/>
        </w:rPr>
      </w:pPr>
    </w:p>
    <w:p>
      <w:pPr>
        <w:spacing w:before="120" w:beforeLines="50" w:after="120" w:afterLines="50" w:line="440" w:lineRule="exact"/>
        <w:jc w:val="center"/>
        <w:rPr>
          <w:rFonts w:hint="eastAsia" w:ascii="宋体" w:hAnsi="宋体" w:eastAsia="宋体" w:cs="宋体"/>
          <w:color w:val="auto"/>
          <w:sz w:val="24"/>
          <w:szCs w:val="24"/>
          <w:highlight w:val="none"/>
        </w:rPr>
      </w:pPr>
    </w:p>
    <w:p>
      <w:pPr>
        <w:spacing w:before="120" w:beforeLines="50" w:after="120" w:afterLines="50"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11-2：工程设备暂估价表</w:t>
      </w:r>
    </w:p>
    <w:tbl>
      <w:tblPr>
        <w:tblStyle w:val="18"/>
        <w:tblW w:w="86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序号</w:t>
            </w:r>
          </w:p>
        </w:tc>
        <w:tc>
          <w:tcPr>
            <w:tcW w:w="1984" w:type="dxa"/>
            <w:tcBorders>
              <w:top w:val="single" w:color="auto" w:sz="12" w:space="0"/>
              <w:bottom w:val="doub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名称</w:t>
            </w:r>
          </w:p>
        </w:tc>
        <w:tc>
          <w:tcPr>
            <w:tcW w:w="851" w:type="dxa"/>
            <w:tcBorders>
              <w:top w:val="single" w:color="auto" w:sz="12" w:space="0"/>
              <w:bottom w:val="doub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单位</w:t>
            </w:r>
          </w:p>
        </w:tc>
        <w:tc>
          <w:tcPr>
            <w:tcW w:w="774" w:type="dxa"/>
            <w:tcBorders>
              <w:top w:val="single" w:color="auto" w:sz="12" w:space="0"/>
              <w:bottom w:val="doub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数量</w:t>
            </w:r>
          </w:p>
        </w:tc>
        <w:tc>
          <w:tcPr>
            <w:tcW w:w="1352" w:type="dxa"/>
            <w:tcBorders>
              <w:top w:val="single" w:color="auto" w:sz="12" w:space="0"/>
              <w:bottom w:val="doub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单价</w:t>
            </w:r>
            <w:r>
              <w:rPr>
                <w:rFonts w:hint="eastAsia" w:ascii="等线" w:hAnsi="等线" w:eastAsia="仿宋_GB2312"/>
                <w:color w:val="auto"/>
                <w:kern w:val="2"/>
                <w:sz w:val="24"/>
                <w:szCs w:val="24"/>
                <w:highlight w:val="none"/>
                <w:lang w:val="en-US" w:eastAsia="zh-CN"/>
              </w:rPr>
              <w:t>（元）</w:t>
            </w:r>
          </w:p>
        </w:tc>
        <w:tc>
          <w:tcPr>
            <w:tcW w:w="1418" w:type="dxa"/>
            <w:tcBorders>
              <w:top w:val="single" w:color="auto" w:sz="12" w:space="0"/>
              <w:bottom w:val="doub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合价</w:t>
            </w:r>
            <w:r>
              <w:rPr>
                <w:rFonts w:hint="eastAsia" w:ascii="等线" w:hAnsi="等线" w:eastAsia="仿宋_GB2312"/>
                <w:color w:val="auto"/>
                <w:kern w:val="2"/>
                <w:sz w:val="24"/>
                <w:szCs w:val="24"/>
                <w:highlight w:val="none"/>
                <w:lang w:val="en-US" w:eastAsia="zh-CN"/>
              </w:rPr>
              <w:t>（元）</w:t>
            </w:r>
          </w:p>
        </w:tc>
        <w:tc>
          <w:tcPr>
            <w:tcW w:w="1303" w:type="dxa"/>
            <w:tcBorders>
              <w:top w:val="single" w:color="auto" w:sz="12" w:space="0"/>
              <w:bottom w:val="doub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tcBorders>
              <w:top w:val="double" w:color="auto" w:sz="6" w:space="0"/>
              <w:bottom w:val="sing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tcBorders>
              <w:top w:val="double" w:color="auto" w:sz="6" w:space="0"/>
              <w:bottom w:val="sing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tcBorders>
              <w:top w:val="double" w:color="auto" w:sz="6" w:space="0"/>
              <w:bottom w:val="sing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tcBorders>
              <w:top w:val="double" w:color="auto" w:sz="6" w:space="0"/>
              <w:bottom w:val="sing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tcBorders>
              <w:top w:val="double" w:color="auto" w:sz="6" w:space="0"/>
              <w:bottom w:val="sing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tcBorders>
              <w:top w:val="double" w:color="auto" w:sz="6" w:space="0"/>
              <w:bottom w:val="sing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tcBorders>
              <w:top w:val="nil"/>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tcBorders>
              <w:top w:val="nil"/>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tcBorders>
              <w:top w:val="nil"/>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tcBorders>
              <w:top w:val="nil"/>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tcBorders>
              <w:top w:val="nil"/>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tcBorders>
              <w:top w:val="nil"/>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851"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774"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52"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418"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c>
          <w:tcPr>
            <w:tcW w:w="1303" w:type="dxa"/>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p>
        </w:tc>
      </w:tr>
    </w:tbl>
    <w:p>
      <w:pPr>
        <w:spacing w:line="440" w:lineRule="exact"/>
        <w:rPr>
          <w:rFonts w:eastAsia="仿宋_GB2312"/>
          <w:color w:val="auto"/>
          <w:sz w:val="24"/>
          <w:szCs w:val="24"/>
          <w:highlight w:val="none"/>
        </w:rPr>
      </w:pPr>
    </w:p>
    <w:p>
      <w:pPr>
        <w:spacing w:before="120" w:beforeLines="50" w:after="120" w:afterLines="50" w:line="440" w:lineRule="exact"/>
        <w:jc w:val="center"/>
        <w:rPr>
          <w:rFonts w:eastAsia="黑体"/>
          <w:color w:val="auto"/>
          <w:sz w:val="24"/>
          <w:szCs w:val="24"/>
          <w:highlight w:val="none"/>
        </w:rPr>
      </w:pPr>
      <w:r>
        <w:rPr>
          <w:rFonts w:eastAsia="仿宋_GB2312"/>
          <w:color w:val="auto"/>
          <w:sz w:val="24"/>
          <w:szCs w:val="24"/>
          <w:highlight w:val="none"/>
        </w:rPr>
        <w:br w:type="page"/>
      </w:r>
      <w:r>
        <w:rPr>
          <w:rFonts w:hint="eastAsia" w:ascii="宋体" w:hAnsi="宋体" w:eastAsia="宋体" w:cs="宋体"/>
          <w:color w:val="auto"/>
          <w:sz w:val="24"/>
          <w:szCs w:val="24"/>
          <w:highlight w:val="none"/>
        </w:rPr>
        <w:t>11-3：专业工程暂估价表</w:t>
      </w:r>
    </w:p>
    <w:tbl>
      <w:tblPr>
        <w:tblStyle w:val="18"/>
        <w:tblW w:w="86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395"/>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序号</w:t>
            </w:r>
          </w:p>
        </w:tc>
        <w:tc>
          <w:tcPr>
            <w:tcW w:w="1984" w:type="dxa"/>
            <w:tcBorders>
              <w:top w:val="single" w:color="auto" w:sz="12" w:space="0"/>
              <w:bottom w:val="doub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专业工程名称</w:t>
            </w:r>
          </w:p>
        </w:tc>
        <w:tc>
          <w:tcPr>
            <w:tcW w:w="4395" w:type="dxa"/>
            <w:tcBorders>
              <w:top w:val="single" w:color="auto" w:sz="12" w:space="0"/>
              <w:bottom w:val="doub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工程内容</w:t>
            </w:r>
          </w:p>
        </w:tc>
        <w:tc>
          <w:tcPr>
            <w:tcW w:w="1417" w:type="dxa"/>
            <w:tcBorders>
              <w:top w:val="single" w:color="auto" w:sz="12" w:space="0"/>
              <w:bottom w:val="double" w:color="auto" w:sz="6" w:space="0"/>
            </w:tcBorders>
            <w:vAlign w:val="top"/>
          </w:tcPr>
          <w:p>
            <w:pPr>
              <w:pStyle w:val="2"/>
              <w:keepNext/>
              <w:spacing w:after="0" w:line="440" w:lineRule="exact"/>
              <w:ind w:left="63" w:right="63"/>
              <w:rPr>
                <w:rFonts w:ascii="等线" w:hAnsi="等线" w:eastAsia="仿宋_GB2312"/>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tcBorders>
              <w:top w:val="double" w:color="auto" w:sz="6" w:space="0"/>
              <w:bottom w:val="single" w:color="auto" w:sz="6" w:space="0"/>
            </w:tcBorders>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tcBorders>
              <w:top w:val="double" w:color="auto" w:sz="6" w:space="0"/>
              <w:bottom w:val="single" w:color="auto" w:sz="6" w:space="0"/>
            </w:tcBorders>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tcBorders>
              <w:top w:val="double" w:color="auto" w:sz="6" w:space="0"/>
              <w:bottom w:val="single" w:color="auto" w:sz="6" w:space="0"/>
            </w:tcBorders>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tcBorders>
              <w:top w:val="nil"/>
            </w:tcBorders>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tcBorders>
              <w:top w:val="nil"/>
            </w:tcBorders>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tcBorders>
              <w:top w:val="nil"/>
            </w:tcBorders>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tcBorders>
              <w:top w:val="nil"/>
            </w:tcBorders>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tcBorders>
              <w:top w:val="nil"/>
            </w:tcBorders>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tcBorders>
              <w:top w:val="nil"/>
            </w:tcBorders>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984"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4395"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c>
          <w:tcPr>
            <w:tcW w:w="1417" w:type="dxa"/>
            <w:vAlign w:val="top"/>
          </w:tcPr>
          <w:p>
            <w:pPr>
              <w:pStyle w:val="2"/>
              <w:keepNext/>
              <w:spacing w:after="0" w:line="440" w:lineRule="exact"/>
              <w:ind w:left="63" w:right="63"/>
              <w:rPr>
                <w:rFonts w:ascii="等线" w:hAnsi="等线"/>
                <w:color w:val="auto"/>
                <w:kern w:val="2"/>
                <w:sz w:val="24"/>
                <w:szCs w:val="24"/>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675" w:type="dxa"/>
            <w:gridSpan w:val="4"/>
            <w:vAlign w:val="top"/>
          </w:tcPr>
          <w:p>
            <w:pPr>
              <w:pStyle w:val="2"/>
              <w:keepNext/>
              <w:spacing w:after="0" w:line="440" w:lineRule="exact"/>
              <w:ind w:left="63" w:right="63"/>
              <w:rPr>
                <w:rFonts w:ascii="等线" w:hAnsi="等线"/>
                <w:color w:val="auto"/>
                <w:kern w:val="2"/>
                <w:sz w:val="24"/>
                <w:szCs w:val="24"/>
                <w:highlight w:val="none"/>
                <w:lang w:val="en-US" w:eastAsia="zh-CN"/>
              </w:rPr>
            </w:pPr>
            <w:r>
              <w:rPr>
                <w:rFonts w:ascii="等线" w:hAnsi="等线" w:eastAsia="仿宋_GB2312"/>
                <w:color w:val="auto"/>
                <w:kern w:val="2"/>
                <w:sz w:val="24"/>
                <w:szCs w:val="24"/>
                <w:highlight w:val="none"/>
                <w:lang w:val="en-US" w:eastAsia="zh-CN"/>
              </w:rPr>
              <w:t>小计：</w:t>
            </w:r>
          </w:p>
        </w:tc>
      </w:tr>
    </w:tbl>
    <w:p>
      <w:pPr>
        <w:spacing w:line="480" w:lineRule="auto"/>
        <w:rPr>
          <w:rFonts w:hAnsi="宋体"/>
          <w:color w:val="auto"/>
          <w:sz w:val="24"/>
          <w:szCs w:val="24"/>
          <w:highlight w:val="none"/>
        </w:rPr>
      </w:pPr>
    </w:p>
    <w:p>
      <w:pPr>
        <w:pStyle w:val="4"/>
        <w:keepNext/>
        <w:keepLines/>
        <w:pageBreakBefore w:val="0"/>
        <w:widowControl w:val="0"/>
        <w:tabs>
          <w:tab w:val="left" w:pos="567"/>
        </w:tabs>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宋体" w:hAnsi="宋体" w:eastAsia="宋体" w:cs="宋体"/>
          <w:b/>
          <w:bCs/>
          <w:color w:val="auto"/>
          <w:sz w:val="24"/>
          <w:szCs w:val="24"/>
          <w:highlight w:val="none"/>
        </w:rPr>
      </w:pPr>
      <w:bookmarkStart w:id="1981" w:name="_Toc12055"/>
      <w:bookmarkStart w:id="1982" w:name="_Toc2274"/>
      <w:r>
        <w:rPr>
          <w:rFonts w:hint="eastAsia" w:ascii="宋体" w:hAnsi="宋体" w:eastAsia="宋体" w:cs="宋体"/>
          <w:b/>
          <w:bCs/>
          <w:color w:val="auto"/>
          <w:kern w:val="44"/>
          <w:sz w:val="24"/>
          <w:szCs w:val="24"/>
          <w:highlight w:val="none"/>
        </w:rPr>
        <w:t xml:space="preserve">第六章 </w:t>
      </w:r>
      <w:bookmarkEnd w:id="195"/>
      <w:bookmarkEnd w:id="196"/>
      <w:bookmarkStart w:id="1983" w:name="_Toc13185"/>
      <w:r>
        <w:rPr>
          <w:rFonts w:hint="eastAsia" w:ascii="宋体" w:hAnsi="宋体" w:eastAsia="宋体" w:cs="宋体"/>
          <w:b/>
          <w:bCs/>
          <w:color w:val="auto"/>
          <w:sz w:val="24"/>
          <w:szCs w:val="24"/>
          <w:highlight w:val="none"/>
        </w:rPr>
        <w:t>响应文件（格式）</w:t>
      </w:r>
      <w:bookmarkEnd w:id="1981"/>
      <w:bookmarkEnd w:id="1982"/>
      <w:bookmarkEnd w:id="1983"/>
    </w:p>
    <w:p>
      <w:pPr>
        <w:rPr>
          <w:rFonts w:hint="eastAsia" w:ascii="宋体" w:hAnsi="宋体" w:eastAsia="宋体" w:cs="宋体"/>
          <w:color w:val="auto"/>
          <w:sz w:val="24"/>
          <w:szCs w:val="24"/>
          <w:highlight w:val="none"/>
        </w:rPr>
      </w:pPr>
    </w:p>
    <w:p>
      <w:pPr>
        <w:pStyle w:val="11"/>
        <w:jc w:val="both"/>
        <w:rPr>
          <w:rFonts w:hint="eastAsia" w:ascii="宋体" w:hAnsi="宋体" w:eastAsia="宋体" w:cs="宋体"/>
          <w:b/>
          <w:color w:val="auto"/>
          <w:sz w:val="24"/>
          <w:szCs w:val="24"/>
          <w:highlight w:val="none"/>
          <w:lang w:eastAsia="zh-CN"/>
        </w:rPr>
      </w:pPr>
      <w:bookmarkStart w:id="1984" w:name="_Toc18351"/>
      <w:bookmarkStart w:id="1985" w:name="_Toc21496"/>
      <w:bookmarkStart w:id="1986" w:name="_Toc497927069"/>
      <w:r>
        <w:rPr>
          <w:rFonts w:hint="eastAsia" w:ascii="宋体" w:hAnsi="宋体" w:eastAsia="宋体" w:cs="宋体"/>
          <w:b/>
          <w:color w:val="auto"/>
          <w:sz w:val="24"/>
          <w:szCs w:val="24"/>
          <w:highlight w:val="none"/>
          <w:lang w:eastAsia="zh-CN"/>
        </w:rPr>
        <w:t>一、响应文件标记</w:t>
      </w:r>
      <w:bookmarkEnd w:id="1984"/>
      <w:bookmarkEnd w:id="1985"/>
      <w:bookmarkEnd w:id="1986"/>
    </w:p>
    <w:p>
      <w:pPr>
        <w:adjustRightInd w:val="0"/>
        <w:snapToGrid w:val="0"/>
        <w:rPr>
          <w:rFonts w:hint="eastAsia" w:ascii="宋体" w:hAnsi="宋体" w:eastAsia="宋体" w:cs="宋体"/>
          <w:b/>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snapToGrid w:val="0"/>
        <w:spacing w:before="156" w:beforeLines="50" w:after="50"/>
        <w:jc w:val="center"/>
        <w:rPr>
          <w:rFonts w:hint="eastAsia" w:ascii="宋体" w:hAnsi="宋体" w:eastAsia="宋体" w:cs="宋体"/>
          <w:b/>
          <w:color w:val="auto"/>
          <w:sz w:val="30"/>
          <w:szCs w:val="30"/>
          <w:highlight w:val="none"/>
        </w:rPr>
      </w:pPr>
    </w:p>
    <w:p>
      <w:pPr>
        <w:snapToGrid w:val="0"/>
        <w:spacing w:before="156" w:beforeLines="50" w:after="5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响 应 文 件</w:t>
      </w:r>
    </w:p>
    <w:p>
      <w:pPr>
        <w:snapToGrid w:val="0"/>
        <w:spacing w:before="156" w:beforeLines="50" w:after="50"/>
        <w:ind w:firstLine="360" w:firstLineChars="150"/>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 xml:space="preserve">                       </w:t>
      </w:r>
    </w:p>
    <w:p>
      <w:pPr>
        <w:snapToGrid w:val="0"/>
        <w:spacing w:before="156" w:beforeLines="50" w:after="50"/>
        <w:ind w:firstLine="361" w:firstLineChars="150"/>
        <w:rPr>
          <w:rFonts w:hint="eastAsia" w:ascii="宋体" w:hAnsi="宋体" w:eastAsia="宋体" w:cs="宋体"/>
          <w:b/>
          <w:color w:val="auto"/>
          <w:sz w:val="24"/>
          <w:szCs w:val="24"/>
          <w:highlight w:val="none"/>
        </w:rPr>
      </w:pPr>
    </w:p>
    <w:p>
      <w:pPr>
        <w:pStyle w:val="2"/>
        <w:rPr>
          <w:rFonts w:hint="eastAsia"/>
          <w:color w:val="auto"/>
          <w:highlight w:val="none"/>
        </w:rPr>
      </w:pPr>
    </w:p>
    <w:p>
      <w:pPr>
        <w:snapToGrid w:val="0"/>
        <w:spacing w:before="156" w:beforeLines="50" w:after="50"/>
        <w:ind w:firstLine="361" w:firstLineChars="150"/>
        <w:rPr>
          <w:rFonts w:hint="eastAsia" w:ascii="宋体" w:hAnsi="宋体" w:eastAsia="宋体" w:cs="宋体"/>
          <w:b/>
          <w:color w:val="auto"/>
          <w:sz w:val="24"/>
          <w:szCs w:val="24"/>
          <w:highlight w:val="none"/>
        </w:rPr>
      </w:pPr>
    </w:p>
    <w:p>
      <w:pPr>
        <w:snapToGrid w:val="0"/>
        <w:spacing w:before="156" w:beforeLines="50" w:after="50"/>
        <w:ind w:firstLine="1205" w:firstLineChars="500"/>
        <w:rPr>
          <w:rFonts w:hint="eastAsia" w:ascii="宋体" w:hAnsi="宋体" w:eastAsia="宋体" w:cs="宋体"/>
          <w:b/>
          <w:bCs w:val="0"/>
          <w:color w:val="auto"/>
          <w:sz w:val="24"/>
          <w:szCs w:val="24"/>
          <w:highlight w:val="none"/>
          <w:u w:val="single"/>
          <w:lang w:eastAsia="zh-CN"/>
        </w:rPr>
      </w:pPr>
      <w:r>
        <w:rPr>
          <w:rFonts w:hint="eastAsia" w:ascii="宋体" w:hAnsi="宋体" w:eastAsia="宋体" w:cs="宋体"/>
          <w:b/>
          <w:bCs w:val="0"/>
          <w:color w:val="auto"/>
          <w:sz w:val="24"/>
          <w:szCs w:val="24"/>
          <w:highlight w:val="none"/>
        </w:rPr>
        <w:t>项目名称：</w:t>
      </w:r>
      <w:r>
        <w:rPr>
          <w:rFonts w:hint="eastAsia"/>
          <w:b/>
          <w:bCs/>
          <w:color w:val="auto"/>
          <w:sz w:val="24"/>
          <w:szCs w:val="24"/>
          <w:highlight w:val="none"/>
          <w:u w:val="single" w:color="auto"/>
          <w:lang w:val="en-US" w:eastAsia="zh-CN"/>
        </w:rPr>
        <w:t>广西漓江流域上游兴安县溶江镇永安村段生态保护工程</w:t>
      </w:r>
      <w:r>
        <w:rPr>
          <w:rFonts w:hint="eastAsia" w:ascii="宋体" w:hAnsi="宋体" w:eastAsia="宋体" w:cs="宋体"/>
          <w:color w:val="auto"/>
          <w:sz w:val="24"/>
          <w:szCs w:val="24"/>
          <w:highlight w:val="none"/>
        </w:rPr>
        <w:t xml:space="preserve">  </w:t>
      </w:r>
    </w:p>
    <w:p>
      <w:pPr>
        <w:snapToGrid w:val="0"/>
        <w:spacing w:before="156" w:beforeLines="50" w:after="50"/>
        <w:ind w:firstLine="2318" w:firstLineChars="962"/>
        <w:rPr>
          <w:rFonts w:hint="eastAsia" w:ascii="宋体" w:hAnsi="宋体" w:eastAsia="宋体" w:cs="宋体"/>
          <w:b/>
          <w:bCs w:val="0"/>
          <w:color w:val="auto"/>
          <w:sz w:val="24"/>
          <w:szCs w:val="24"/>
          <w:highlight w:val="none"/>
        </w:rPr>
      </w:pPr>
    </w:p>
    <w:p>
      <w:pPr>
        <w:snapToGrid w:val="0"/>
        <w:spacing w:before="156" w:beforeLines="50" w:after="50"/>
        <w:ind w:firstLine="1205" w:firstLineChars="500"/>
        <w:rPr>
          <w:rFonts w:hint="default"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rPr>
        <w:t>项目编号：</w:t>
      </w:r>
      <w:r>
        <w:rPr>
          <w:rFonts w:hint="eastAsia" w:ascii="宋体" w:hAnsi="宋体" w:eastAsia="宋体" w:cs="宋体"/>
          <w:b/>
          <w:bCs w:val="0"/>
          <w:color w:val="auto"/>
          <w:sz w:val="24"/>
          <w:szCs w:val="24"/>
          <w:highlight w:val="none"/>
          <w:u w:val="single"/>
        </w:rPr>
        <w:t>GLZC2024-C2-250153-GXDY</w:t>
      </w:r>
    </w:p>
    <w:p>
      <w:pPr>
        <w:rPr>
          <w:rFonts w:hint="eastAsia" w:ascii="宋体" w:hAnsi="宋体" w:eastAsia="宋体" w:cs="宋体"/>
          <w:b/>
          <w:color w:val="auto"/>
          <w:sz w:val="24"/>
          <w:szCs w:val="24"/>
          <w:highlight w:val="none"/>
        </w:rPr>
      </w:pPr>
    </w:p>
    <w:p>
      <w:pPr>
        <w:spacing w:line="400" w:lineRule="exact"/>
        <w:ind w:firstLine="2318" w:firstLineChars="962"/>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rPr>
          <w:rFonts w:hint="eastAsia"/>
          <w:color w:val="auto"/>
          <w:highlight w:val="none"/>
        </w:rPr>
      </w:pPr>
    </w:p>
    <w:p>
      <w:pPr>
        <w:pStyle w:val="24"/>
        <w:rPr>
          <w:rFonts w:hint="eastAsia" w:ascii="宋体" w:hAnsi="宋体" w:eastAsia="宋体" w:cs="宋体"/>
          <w:b/>
          <w:color w:val="auto"/>
          <w:sz w:val="24"/>
          <w:szCs w:val="24"/>
          <w:highlight w:val="none"/>
        </w:rPr>
      </w:pPr>
    </w:p>
    <w:p>
      <w:pPr>
        <w:pStyle w:val="24"/>
        <w:rPr>
          <w:rFonts w:hint="eastAsia" w:ascii="宋体" w:hAnsi="宋体" w:eastAsia="宋体" w:cs="宋体"/>
          <w:b/>
          <w:color w:val="auto"/>
          <w:sz w:val="24"/>
          <w:szCs w:val="24"/>
          <w:highlight w:val="none"/>
        </w:rPr>
      </w:pPr>
    </w:p>
    <w:p>
      <w:pPr>
        <w:pStyle w:val="24"/>
        <w:rPr>
          <w:rFonts w:hint="eastAsia" w:ascii="宋体" w:hAnsi="宋体" w:eastAsia="宋体" w:cs="宋体"/>
          <w:b/>
          <w:color w:val="auto"/>
          <w:sz w:val="24"/>
          <w:szCs w:val="24"/>
          <w:highlight w:val="none"/>
        </w:rPr>
      </w:pPr>
    </w:p>
    <w:p>
      <w:pPr>
        <w:pStyle w:val="24"/>
        <w:rPr>
          <w:rFonts w:hint="eastAsia" w:ascii="宋体" w:hAnsi="宋体" w:eastAsia="宋体" w:cs="宋体"/>
          <w:b/>
          <w:color w:val="auto"/>
          <w:sz w:val="24"/>
          <w:szCs w:val="24"/>
          <w:highlight w:val="none"/>
        </w:rPr>
      </w:pPr>
    </w:p>
    <w:p>
      <w:pPr>
        <w:snapToGrid w:val="0"/>
        <w:spacing w:before="156" w:beforeLines="50" w:after="50"/>
        <w:ind w:firstLine="480" w:firstLineChars="200"/>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采购代理机构：</w:t>
      </w:r>
      <w:r>
        <w:rPr>
          <w:rFonts w:hint="eastAsia" w:ascii="宋体" w:hAnsi="宋体" w:eastAsia="宋体" w:cs="宋体"/>
          <w:b w:val="0"/>
          <w:bCs/>
          <w:color w:val="auto"/>
          <w:sz w:val="24"/>
          <w:szCs w:val="24"/>
          <w:highlight w:val="none"/>
          <w:u w:val="single"/>
          <w:lang w:eastAsia="zh-CN"/>
        </w:rPr>
        <w:t>广西鼎誉工程咨询有限公司</w:t>
      </w:r>
    </w:p>
    <w:p>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bookmarkStart w:id="1987" w:name="_Toc20319_WPSOffice_Level2"/>
      <w:bookmarkStart w:id="1988" w:name="_Toc4932_WPSOffice_Level2"/>
      <w:r>
        <w:rPr>
          <w:rFonts w:hint="eastAsia" w:ascii="宋体" w:hAnsi="宋体" w:eastAsia="宋体" w:cs="宋体"/>
          <w:bCs/>
          <w:color w:val="auto"/>
          <w:sz w:val="24"/>
          <w:szCs w:val="24"/>
          <w:highlight w:val="none"/>
          <w:lang w:eastAsia="zh-CN"/>
        </w:rPr>
        <w:t>磋商供应商</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公章</w:t>
      </w:r>
      <w:r>
        <w:rPr>
          <w:rFonts w:hint="eastAsia" w:ascii="宋体" w:hAnsi="宋体" w:eastAsia="宋体" w:cs="宋体"/>
          <w:bCs/>
          <w:color w:val="auto"/>
          <w:sz w:val="24"/>
          <w:szCs w:val="24"/>
          <w:highlight w:val="none"/>
          <w:lang w:val="en-US" w:eastAsia="zh-CN"/>
        </w:rPr>
        <w:t>(CA签章)</w:t>
      </w:r>
      <w:r>
        <w:rPr>
          <w:rFonts w:hint="eastAsia" w:ascii="宋体" w:hAnsi="宋体" w:eastAsia="宋体" w:cs="宋体"/>
          <w:bCs/>
          <w:color w:val="auto"/>
          <w:sz w:val="24"/>
          <w:szCs w:val="24"/>
          <w:highlight w:val="none"/>
        </w:rPr>
        <w:t>、自然人除外</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bookmarkEnd w:id="1987"/>
      <w:bookmarkEnd w:id="1988"/>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pPr>
        <w:pStyle w:val="11"/>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sz w:val="24"/>
          <w:szCs w:val="24"/>
          <w:highlight w:val="none"/>
          <w:lang w:val="en-US" w:eastAsia="zh-CN"/>
        </w:rPr>
      </w:pPr>
      <w:bookmarkStart w:id="1989" w:name="_Toc9622_WPSOffice_Level2"/>
      <w:bookmarkStart w:id="1990" w:name="_Toc32056_WPSOffice_Level2"/>
      <w:r>
        <w:rPr>
          <w:rFonts w:hint="eastAsia" w:ascii="宋体" w:hAnsi="宋体" w:eastAsia="宋体" w:cs="宋体"/>
          <w:color w:val="auto"/>
          <w:sz w:val="24"/>
          <w:szCs w:val="24"/>
          <w:highlight w:val="none"/>
        </w:rPr>
        <w:t>法定代表人、负责人、自然人或相应的委托代理人签字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lang w:val="en-US" w:eastAsia="zh-CN"/>
        </w:rPr>
        <w:t>(CA签章)]</w:t>
      </w:r>
    </w:p>
    <w:p>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（属自然人的应在签名处加盖大拇指指印</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个人CA签章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bookmarkEnd w:id="1989"/>
      <w:bookmarkEnd w:id="1990"/>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bookmarkStart w:id="1991" w:name="_Toc26465_WPSOffice_Level2"/>
      <w:bookmarkStart w:id="1992" w:name="_Toc15933_WPSOffice_Level2"/>
      <w:r>
        <w:rPr>
          <w:rFonts w:hint="eastAsia" w:ascii="宋体" w:hAnsi="宋体" w:eastAsia="宋体" w:cs="宋体"/>
          <w:bCs/>
          <w:color w:val="auto"/>
          <w:sz w:val="24"/>
          <w:szCs w:val="24"/>
          <w:highlight w:val="none"/>
        </w:rPr>
        <w:t>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bookmarkEnd w:id="1991"/>
      <w:bookmarkEnd w:id="1992"/>
    </w:p>
    <w:p>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pPr>
        <w:numPr>
          <w:ilvl w:val="0"/>
          <w:numId w:val="0"/>
        </w:numPr>
        <w:rPr>
          <w:rFonts w:hint="eastAsia" w:ascii="宋体" w:hAnsi="宋体" w:eastAsia="宋体" w:cs="宋体"/>
          <w:b/>
          <w:bCs/>
          <w:color w:val="auto"/>
          <w:sz w:val="24"/>
          <w:szCs w:val="24"/>
          <w:highlight w:val="none"/>
        </w:rPr>
      </w:pPr>
      <w:bookmarkStart w:id="1993" w:name="_Toc497927070"/>
      <w:bookmarkStart w:id="1994" w:name="_Toc19430"/>
      <w:bookmarkStart w:id="1995" w:name="_Toc21615"/>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sz w:val="24"/>
          <w:szCs w:val="24"/>
          <w:highlight w:val="none"/>
        </w:rPr>
        <w:t>响应文件组成</w:t>
      </w:r>
      <w:bookmarkEnd w:id="1993"/>
      <w:bookmarkEnd w:id="1994"/>
      <w:bookmarkEnd w:id="1995"/>
    </w:p>
    <w:p>
      <w:pPr>
        <w:pStyle w:val="2"/>
        <w:numPr>
          <w:ilvl w:val="0"/>
          <w:numId w:val="0"/>
        </w:numPr>
        <w:rPr>
          <w:rFonts w:hint="eastAsia" w:ascii="宋体" w:hAnsi="宋体" w:eastAsia="宋体" w:cs="宋体"/>
          <w:color w:val="auto"/>
          <w:sz w:val="24"/>
          <w:szCs w:val="24"/>
          <w:highlight w:val="none"/>
        </w:rPr>
      </w:pPr>
    </w:p>
    <w:p>
      <w:pPr>
        <w:pStyle w:val="2"/>
        <w:numPr>
          <w:ilvl w:val="0"/>
          <w:numId w:val="0"/>
        </w:numPr>
        <w:rPr>
          <w:rFonts w:hint="eastAsia" w:ascii="宋体" w:hAnsi="宋体" w:eastAsia="宋体" w:cs="宋体"/>
          <w:color w:val="auto"/>
          <w:sz w:val="24"/>
          <w:szCs w:val="24"/>
          <w:highlight w:val="none"/>
        </w:rPr>
      </w:pPr>
    </w:p>
    <w:p>
      <w:pPr>
        <w:numPr>
          <w:ilvl w:val="0"/>
          <w:numId w:val="0"/>
        </w:numPr>
        <w:spacing w:line="400" w:lineRule="exact"/>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lang w:eastAsia="zh-CN"/>
        </w:rPr>
      </w:pPr>
    </w:p>
    <w:p>
      <w:pPr>
        <w:numPr>
          <w:ilvl w:val="0"/>
          <w:numId w:val="8"/>
        </w:numPr>
        <w:spacing w:line="400" w:lineRule="exact"/>
        <w:ind w:firstLine="487" w:firstLineChars="20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资格性响应证明材料</w:t>
      </w: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numPr>
          <w:ilvl w:val="0"/>
          <w:numId w:val="8"/>
        </w:numPr>
        <w:spacing w:line="400" w:lineRule="exact"/>
        <w:ind w:firstLine="487" w:firstLineChars="20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符合性响应证明材料</w:t>
      </w: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numPr>
          <w:ilvl w:val="0"/>
          <w:numId w:val="8"/>
        </w:numPr>
        <w:spacing w:line="400" w:lineRule="exact"/>
        <w:ind w:firstLine="487" w:firstLineChars="202"/>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w:t>
      </w:r>
      <w:r>
        <w:rPr>
          <w:rFonts w:hint="eastAsia" w:ascii="宋体" w:hAnsi="宋体" w:eastAsia="宋体" w:cs="宋体"/>
          <w:b/>
          <w:bCs/>
          <w:color w:val="auto"/>
          <w:sz w:val="24"/>
          <w:szCs w:val="24"/>
          <w:highlight w:val="none"/>
          <w:lang w:eastAsia="zh-CN"/>
        </w:rPr>
        <w:t>他</w:t>
      </w:r>
      <w:r>
        <w:rPr>
          <w:rFonts w:hint="eastAsia" w:ascii="宋体" w:hAnsi="宋体" w:eastAsia="宋体" w:cs="宋体"/>
          <w:b/>
          <w:bCs/>
          <w:color w:val="auto"/>
          <w:sz w:val="24"/>
          <w:szCs w:val="24"/>
          <w:highlight w:val="none"/>
        </w:rPr>
        <w:t>有效证明材料</w:t>
      </w:r>
    </w:p>
    <w:p>
      <w:pPr>
        <w:pStyle w:val="24"/>
        <w:rPr>
          <w:rFonts w:hint="eastAsia" w:ascii="宋体" w:hAnsi="宋体" w:eastAsia="宋体" w:cs="宋体"/>
          <w:color w:val="auto"/>
          <w:sz w:val="24"/>
          <w:szCs w:val="24"/>
          <w:highlight w:val="none"/>
        </w:rPr>
      </w:pPr>
    </w:p>
    <w:p>
      <w:pPr>
        <w:tabs>
          <w:tab w:val="left" w:pos="5040"/>
        </w:tabs>
        <w:spacing w:line="400" w:lineRule="exact"/>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6"/>
        <w:numPr>
          <w:ilvl w:val="0"/>
          <w:numId w:val="0"/>
        </w:numPr>
        <w:jc w:val="center"/>
        <w:rPr>
          <w:rFonts w:hint="eastAsia" w:ascii="宋体" w:hAnsi="宋体" w:eastAsia="宋体" w:cs="宋体"/>
          <w:b/>
          <w:bCs/>
          <w:color w:val="auto"/>
          <w:sz w:val="24"/>
          <w:szCs w:val="24"/>
          <w:highlight w:val="none"/>
          <w:lang w:eastAsia="zh-CN"/>
        </w:rPr>
      </w:pPr>
      <w:bookmarkStart w:id="1996" w:name="_Toc7185"/>
      <w:bookmarkStart w:id="1997" w:name="_Toc11067"/>
      <w:bookmarkStart w:id="1998" w:name="_Toc497927071"/>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资格性响应证明材料目录</w:t>
      </w:r>
      <w:bookmarkEnd w:id="1996"/>
      <w:bookmarkEnd w:id="1997"/>
      <w:bookmarkEnd w:id="1998"/>
      <w:r>
        <w:rPr>
          <w:rFonts w:hint="eastAsia" w:ascii="宋体" w:hAnsi="宋体" w:eastAsia="宋体" w:cs="宋体"/>
          <w:b/>
          <w:bCs/>
          <w:color w:val="auto"/>
          <w:sz w:val="24"/>
          <w:szCs w:val="24"/>
          <w:highlight w:val="none"/>
          <w:lang w:eastAsia="zh-CN"/>
        </w:rPr>
        <w:t>（根据所提供内容自行编写）</w:t>
      </w:r>
    </w:p>
    <w:p>
      <w:pPr>
        <w:rPr>
          <w:rFonts w:hint="eastAsia" w:ascii="宋体" w:hAnsi="宋体" w:eastAsia="宋体" w:cs="宋体"/>
          <w:b/>
          <w:bCs/>
          <w:color w:val="auto"/>
          <w:sz w:val="28"/>
          <w:szCs w:val="28"/>
          <w:highlight w:val="none"/>
        </w:rPr>
      </w:pPr>
    </w:p>
    <w:p>
      <w:pPr>
        <w:keepNext w:val="0"/>
        <w:keepLines w:val="0"/>
        <w:pageBreakBefore w:val="0"/>
        <w:widowControl w:val="0"/>
        <w:tabs>
          <w:tab w:val="left" w:pos="3570"/>
        </w:tabs>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供应商相应的法定代表人、负责人、自然人身份证正反两面复印件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pPr>
        <w:keepNext w:val="0"/>
        <w:keepLines w:val="0"/>
        <w:pageBreakBefore w:val="0"/>
        <w:widowControl w:val="0"/>
        <w:tabs>
          <w:tab w:val="left" w:pos="3570"/>
        </w:tabs>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.供应商的授权委托书</w:t>
      </w:r>
      <w:r>
        <w:rPr>
          <w:rFonts w:hint="eastAsia" w:ascii="宋体" w:hAnsi="宋体" w:eastAsia="宋体" w:cs="宋体"/>
          <w:color w:val="auto"/>
          <w:sz w:val="21"/>
          <w:szCs w:val="21"/>
          <w:highlight w:val="none"/>
          <w:lang w:eastAsia="zh-CN"/>
        </w:rPr>
        <w:t>原件</w:t>
      </w:r>
      <w:r>
        <w:rPr>
          <w:rFonts w:hint="eastAsia" w:ascii="宋体" w:hAnsi="宋体" w:eastAsia="宋体" w:cs="宋体"/>
          <w:color w:val="auto"/>
          <w:sz w:val="21"/>
          <w:szCs w:val="21"/>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color w:val="auto"/>
          <w:sz w:val="21"/>
          <w:szCs w:val="21"/>
          <w:highlight w:val="none"/>
          <w:lang w:eastAsia="zh-CN"/>
        </w:rPr>
        <w:t>（委托代理时必须提供）。</w:t>
      </w:r>
      <w:r>
        <w:rPr>
          <w:rFonts w:hint="eastAsia" w:ascii="宋体" w:hAnsi="宋体" w:eastAsia="宋体" w:cs="宋体"/>
          <w:color w:val="auto"/>
          <w:sz w:val="21"/>
          <w:szCs w:val="21"/>
          <w:highlight w:val="none"/>
        </w:rPr>
        <w:t>除供应商为以下三种情形的：</w:t>
      </w:r>
    </w:p>
    <w:p>
      <w:pPr>
        <w:keepNext w:val="0"/>
        <w:keepLines w:val="0"/>
        <w:pageBreakBefore w:val="0"/>
        <w:widowControl w:val="0"/>
        <w:tabs>
          <w:tab w:val="left" w:pos="3570"/>
        </w:tabs>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如供应商为截标时间前60日以内成立的公司，可以提供供应商与委托代理人签订的劳动合同复印件代替社保证明复印件；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（2）如供应商为事业单位，可以提供事业单位机构编制管理证复印件或事业单位机构为其发放工资的工资条复印件代替社保证明复印件；</w:t>
      </w:r>
    </w:p>
    <w:p>
      <w:pPr>
        <w:keepNext w:val="0"/>
        <w:keepLines w:val="0"/>
        <w:pageBreakBefore w:val="0"/>
        <w:widowControl w:val="0"/>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（3）如委托代理人为免缴纳社保人员，提供免缴纳社保的证明材料复印件及供应商与委托代理人签订的劳动合同复印件代替社保证明复印件。</w:t>
      </w:r>
    </w:p>
    <w:p>
      <w:pPr>
        <w:keepNext w:val="0"/>
        <w:keepLines w:val="0"/>
        <w:pageBreakBefore w:val="0"/>
        <w:widowControl w:val="0"/>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属</w:t>
      </w:r>
      <w:r>
        <w:rPr>
          <w:rFonts w:hint="eastAsia" w:ascii="宋体" w:hAnsi="宋体" w:eastAsia="宋体" w:cs="宋体"/>
          <w:b/>
          <w:bCs/>
          <w:color w:val="auto"/>
          <w:sz w:val="21"/>
          <w:szCs w:val="21"/>
          <w:highlight w:val="none"/>
        </w:rPr>
        <w:t>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（委托代理时必须提供）</w:t>
      </w:r>
      <w:r>
        <w:rPr>
          <w:rFonts w:hint="eastAsia" w:ascii="宋体" w:hAnsi="宋体" w:eastAsia="宋体" w:cs="宋体"/>
          <w:color w:val="auto"/>
          <w:sz w:val="21"/>
          <w:szCs w:val="21"/>
          <w:highlight w:val="none"/>
          <w:lang w:eastAsia="zh-CN"/>
        </w:rPr>
        <w:t>；</w:t>
      </w:r>
    </w:p>
    <w:p>
      <w:pPr>
        <w:keepNext w:val="0"/>
        <w:keepLines w:val="0"/>
        <w:pageBreakBefore w:val="0"/>
        <w:widowControl w:val="0"/>
        <w:tabs>
          <w:tab w:val="left" w:pos="3570"/>
        </w:tabs>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供应商参加政府采购活动前3年内在经营活动中没有重大违法记录及有关信用信息的书面声明</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供应商的法人或者其他组织营业执照等证明文件复印件</w:t>
      </w:r>
      <w:r>
        <w:rPr>
          <w:rFonts w:hint="eastAsia" w:ascii="宋体" w:hAnsi="宋体" w:eastAsia="宋体" w:cs="宋体"/>
          <w:b/>
          <w:bCs w:val="0"/>
          <w:color w:val="auto"/>
          <w:kern w:val="0"/>
          <w:sz w:val="21"/>
          <w:szCs w:val="21"/>
          <w:highlight w:val="none"/>
        </w:rPr>
        <w:t>（必须提供，自然人除外）</w:t>
      </w:r>
      <w:r>
        <w:rPr>
          <w:rFonts w:hint="eastAsia" w:ascii="宋体" w:hAnsi="宋体" w:eastAsia="宋体" w:cs="宋体"/>
          <w:bCs/>
          <w:color w:val="auto"/>
          <w:kern w:val="0"/>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供应商有效的资质证书复印件</w:t>
      </w:r>
      <w:r>
        <w:rPr>
          <w:rFonts w:hint="eastAsia" w:ascii="宋体" w:hAnsi="宋体" w:eastAsia="宋体" w:cs="宋体"/>
          <w:b/>
          <w:bCs w:val="0"/>
          <w:color w:val="auto"/>
          <w:kern w:val="0"/>
          <w:sz w:val="21"/>
          <w:szCs w:val="21"/>
          <w:highlight w:val="none"/>
          <w:lang w:val="en-US" w:eastAsia="zh-CN"/>
        </w:rPr>
        <w:t>（必须提供）</w:t>
      </w:r>
      <w:r>
        <w:rPr>
          <w:rFonts w:hint="eastAsia" w:ascii="宋体" w:hAnsi="宋体" w:eastAsia="宋体" w:cs="宋体"/>
          <w:bCs/>
          <w:color w:val="auto"/>
          <w:kern w:val="0"/>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w:t>
      </w:r>
      <w:r>
        <w:rPr>
          <w:rFonts w:hint="eastAsia" w:ascii="宋体" w:hAnsi="宋体" w:eastAsia="宋体" w:cs="宋体"/>
          <w:bCs/>
          <w:color w:val="auto"/>
          <w:kern w:val="0"/>
          <w:sz w:val="21"/>
          <w:szCs w:val="21"/>
          <w:highlight w:val="none"/>
          <w:lang w:eastAsia="zh-CN"/>
        </w:rPr>
        <w:t>中小微企业声明函</w:t>
      </w:r>
      <w:r>
        <w:rPr>
          <w:rFonts w:hint="eastAsia" w:ascii="宋体" w:hAnsi="宋体" w:eastAsia="宋体" w:cs="宋体"/>
          <w:bCs/>
          <w:color w:val="auto"/>
          <w:kern w:val="0"/>
          <w:sz w:val="21"/>
          <w:szCs w:val="21"/>
          <w:highlight w:val="none"/>
        </w:rPr>
        <w:t>【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eastAsia="宋体" w:cs="宋体"/>
          <w:bCs/>
          <w:color w:val="auto"/>
          <w:kern w:val="0"/>
          <w:sz w:val="21"/>
          <w:szCs w:val="21"/>
          <w:highlight w:val="none"/>
          <w:lang w:eastAsia="zh-CN"/>
        </w:rPr>
        <w:t>必须提供</w:t>
      </w:r>
      <w:r>
        <w:rPr>
          <w:rFonts w:hint="eastAsia" w:ascii="宋体" w:hAnsi="宋体" w:eastAsia="宋体" w:cs="宋体"/>
          <w:bCs/>
          <w:color w:val="auto"/>
          <w:kern w:val="0"/>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bCs/>
          <w:color w:val="auto"/>
          <w:kern w:val="0"/>
          <w:sz w:val="21"/>
          <w:szCs w:val="21"/>
          <w:highlight w:val="none"/>
          <w:lang w:val="en-US" w:eastAsia="zh-CN"/>
        </w:rPr>
        <w:t>7.</w:t>
      </w:r>
      <w:r>
        <w:rPr>
          <w:rFonts w:hint="eastAsia" w:ascii="宋体" w:hAnsi="宋体" w:cs="宋体"/>
          <w:bCs/>
          <w:color w:val="auto"/>
          <w:kern w:val="0"/>
          <w:sz w:val="21"/>
          <w:szCs w:val="21"/>
          <w:highlight w:val="none"/>
        </w:rPr>
        <w:t>供应商有效的安全生产许可证书复印件</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r>
        <w:rPr>
          <w:rFonts w:hint="eastAsia" w:ascii="宋体" w:hAnsi="宋体" w:cs="宋体"/>
          <w:bCs/>
          <w:color w:val="auto"/>
          <w:kern w:val="0"/>
          <w:sz w:val="21"/>
          <w:szCs w:val="21"/>
          <w:highlight w:val="none"/>
          <w:lang w:eastAsia="zh-CN"/>
        </w:rPr>
        <w:t>供应商2022年度财务状况报告复印件</w:t>
      </w:r>
      <w:r>
        <w:rPr>
          <w:rFonts w:hint="eastAsia" w:ascii="宋体" w:hAnsi="宋体" w:eastAsia="宋体" w:cs="宋体"/>
          <w:b/>
          <w:bCs/>
          <w:color w:val="auto"/>
          <w:sz w:val="21"/>
          <w:szCs w:val="21"/>
          <w:highlight w:val="none"/>
          <w:lang w:val="en-US" w:eastAsia="zh-CN"/>
        </w:rPr>
        <w:t>（必须提供</w:t>
      </w:r>
      <w:r>
        <w:rPr>
          <w:rFonts w:hint="eastAsia" w:ascii="宋体" w:hAnsi="宋体" w:cs="宋体"/>
          <w:b/>
          <w:bCs/>
          <w:color w:val="auto"/>
          <w:sz w:val="21"/>
          <w:szCs w:val="21"/>
          <w:highlight w:val="none"/>
          <w:lang w:eastAsia="zh-CN"/>
        </w:rPr>
        <w:t>，</w:t>
      </w:r>
      <w:r>
        <w:rPr>
          <w:rFonts w:ascii="宋体" w:hAnsi="宋体" w:cs="宋体"/>
          <w:b/>
          <w:bCs/>
          <w:color w:val="auto"/>
          <w:sz w:val="21"/>
          <w:szCs w:val="21"/>
          <w:highlight w:val="none"/>
        </w:rPr>
        <w:t>可</w:t>
      </w:r>
      <w:r>
        <w:rPr>
          <w:rFonts w:hint="eastAsia" w:ascii="宋体" w:hAnsi="宋体" w:cs="宋体"/>
          <w:b/>
          <w:bCs/>
          <w:color w:val="auto"/>
          <w:sz w:val="21"/>
          <w:szCs w:val="21"/>
          <w:highlight w:val="none"/>
          <w:lang w:eastAsia="zh-CN"/>
        </w:rPr>
        <w:t>以是磋商供应商</w:t>
      </w:r>
      <w:r>
        <w:rPr>
          <w:rFonts w:ascii="宋体" w:hAnsi="宋体" w:cs="宋体"/>
          <w:b/>
          <w:bCs/>
          <w:color w:val="auto"/>
          <w:sz w:val="21"/>
          <w:szCs w:val="21"/>
          <w:highlight w:val="none"/>
        </w:rPr>
        <w:t>自行编制也可</w:t>
      </w:r>
      <w:r>
        <w:rPr>
          <w:rFonts w:hint="eastAsia" w:ascii="宋体" w:hAnsi="宋体" w:cs="宋体"/>
          <w:b/>
          <w:bCs/>
          <w:color w:val="auto"/>
          <w:sz w:val="21"/>
          <w:szCs w:val="21"/>
          <w:highlight w:val="none"/>
          <w:lang w:eastAsia="zh-CN"/>
        </w:rPr>
        <w:t>是</w:t>
      </w:r>
      <w:r>
        <w:rPr>
          <w:rFonts w:ascii="宋体" w:hAnsi="宋体" w:cs="宋体"/>
          <w:b/>
          <w:bCs/>
          <w:color w:val="auto"/>
          <w:sz w:val="21"/>
          <w:szCs w:val="21"/>
          <w:highlight w:val="none"/>
        </w:rPr>
        <w:t>通过</w:t>
      </w:r>
      <w:r>
        <w:rPr>
          <w:rFonts w:hint="eastAsia" w:ascii="宋体" w:hAnsi="宋体" w:cs="宋体"/>
          <w:b/>
          <w:bCs/>
          <w:color w:val="auto"/>
          <w:sz w:val="21"/>
          <w:szCs w:val="21"/>
          <w:highlight w:val="none"/>
          <w:lang w:eastAsia="zh-CN"/>
        </w:rPr>
        <w:t>第三方</w:t>
      </w:r>
      <w:r>
        <w:rPr>
          <w:rFonts w:ascii="宋体" w:hAnsi="宋体" w:cs="宋体"/>
          <w:b/>
          <w:bCs/>
          <w:color w:val="auto"/>
          <w:sz w:val="21"/>
          <w:szCs w:val="21"/>
          <w:highlight w:val="none"/>
        </w:rPr>
        <w:t>审计公司编制，如为自行编制至少须提供现金流量表、负债表及利润表</w:t>
      </w:r>
      <w:r>
        <w:rPr>
          <w:rFonts w:hint="eastAsia" w:ascii="宋体" w:hAnsi="宋体" w:eastAsia="宋体" w:cs="宋体"/>
          <w:b/>
          <w:bCs/>
          <w:color w:val="auto"/>
          <w:sz w:val="21"/>
          <w:szCs w:val="21"/>
          <w:highlight w:val="none"/>
          <w:lang w:val="en-US" w:eastAsia="zh-CN"/>
        </w:rPr>
        <w:t>）</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9.供应商近半年内任意一个月或任一季度依法缴纳税收的证明材料[增值税缴纳发票(税收完税证明)或企业所得税完税证明或税务部门出具的免税证明]复印件</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val="0"/>
          <w:bCs w:val="0"/>
          <w:color w:val="auto"/>
          <w:sz w:val="21"/>
          <w:szCs w:val="21"/>
          <w:highlight w:val="none"/>
          <w:lang w:val="en-US" w:eastAsia="zh-CN"/>
        </w:rPr>
        <w:t>。</w:t>
      </w:r>
    </w:p>
    <w:p>
      <w:pPr>
        <w:spacing w:line="440" w:lineRule="atLeast"/>
        <w:rPr>
          <w:rFonts w:hint="eastAsia" w:ascii="宋体" w:hAnsi="宋体" w:eastAsia="宋体" w:cs="宋体"/>
          <w:b/>
          <w:color w:val="auto"/>
          <w:sz w:val="24"/>
          <w:szCs w:val="24"/>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pStyle w:val="10"/>
        <w:ind w:left="0" w:leftChars="0" w:firstLine="0" w:firstLineChars="0"/>
        <w:rPr>
          <w:rFonts w:hint="eastAsia"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资格性响应证明材料排序：</w:t>
      </w:r>
    </w:p>
    <w:p>
      <w:pPr>
        <w:numPr>
          <w:ilvl w:val="0"/>
          <w:numId w:val="0"/>
        </w:numPr>
        <w:spacing w:line="440" w:lineRule="atLeast"/>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2"/>
          <w:sz w:val="24"/>
          <w:szCs w:val="24"/>
          <w:highlight w:val="none"/>
          <w:lang w:val="en-US" w:eastAsia="zh-CN" w:bidi="ar-SA"/>
        </w:rPr>
        <w:t>1.</w:t>
      </w:r>
      <w:r>
        <w:rPr>
          <w:rFonts w:hint="eastAsia" w:ascii="宋体" w:hAnsi="宋体" w:eastAsia="宋体" w:cs="宋体"/>
          <w:b/>
          <w:bCs w:val="0"/>
          <w:color w:val="auto"/>
          <w:sz w:val="24"/>
          <w:szCs w:val="24"/>
          <w:highlight w:val="none"/>
        </w:rPr>
        <w:t>供应商相应的法定代表人、负责人、自然人身份证正反两面复印件（必须提供）；</w:t>
      </w:r>
    </w:p>
    <w:p>
      <w:pPr>
        <w:spacing w:line="440" w:lineRule="atLeast"/>
        <w:rPr>
          <w:rFonts w:hint="eastAsia" w:ascii="宋体" w:hAnsi="宋体" w:eastAsia="宋体" w:cs="宋体"/>
          <w:b/>
          <w:bCs w:val="0"/>
          <w:color w:val="auto"/>
          <w:sz w:val="24"/>
          <w:szCs w:val="24"/>
          <w:highlight w:val="none"/>
          <w:lang w:val="en-US" w:eastAsia="zh-CN"/>
        </w:rPr>
      </w:pPr>
    </w:p>
    <w:p>
      <w:pPr>
        <w:spacing w:line="440" w:lineRule="atLeas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rPr>
        <w:t>.供应商的授权委托书</w:t>
      </w:r>
      <w:r>
        <w:rPr>
          <w:rFonts w:hint="eastAsia" w:ascii="宋体" w:hAnsi="宋体" w:eastAsia="宋体" w:cs="宋体"/>
          <w:b/>
          <w:bCs w:val="0"/>
          <w:color w:val="auto"/>
          <w:sz w:val="24"/>
          <w:szCs w:val="24"/>
          <w:highlight w:val="none"/>
          <w:lang w:eastAsia="zh-CN"/>
        </w:rPr>
        <w:t>原件</w:t>
      </w:r>
      <w:r>
        <w:rPr>
          <w:rFonts w:hint="eastAsia" w:ascii="宋体" w:hAnsi="宋体" w:eastAsia="宋体" w:cs="宋体"/>
          <w:b/>
          <w:bCs w:val="0"/>
          <w:color w:val="auto"/>
          <w:sz w:val="24"/>
          <w:szCs w:val="24"/>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bCs w:val="0"/>
          <w:color w:val="auto"/>
          <w:sz w:val="24"/>
          <w:szCs w:val="24"/>
          <w:highlight w:val="none"/>
          <w:lang w:eastAsia="zh-CN"/>
        </w:rPr>
        <w:t>（委托代理时必须提供）。</w:t>
      </w:r>
      <w:r>
        <w:rPr>
          <w:rFonts w:hint="eastAsia" w:ascii="宋体" w:hAnsi="宋体" w:eastAsia="宋体" w:cs="宋体"/>
          <w:b/>
          <w:bCs w:val="0"/>
          <w:color w:val="auto"/>
          <w:sz w:val="24"/>
          <w:szCs w:val="24"/>
          <w:highlight w:val="none"/>
        </w:rPr>
        <w:t>除供应商为以下三种情形的：</w:t>
      </w:r>
    </w:p>
    <w:p>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如供应商为截标时间前60日以内成立的公司，可以提供供应商与委托代理人签订的劳动合同复印件代替社保证明复印件；</w:t>
      </w:r>
    </w:p>
    <w:p>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（2）如供应商为事业单位，可以提供事业单位机构编制管理证复印件或事业单位机构为其发放工资的工资条复印件代替社保证明复印件；</w:t>
      </w:r>
    </w:p>
    <w:p>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（3）如委托代理人为免缴纳社保人员，提供免缴纳社保的证明材料复印件及供应商与委托代理人签订的劳动合同复印件代替社保证明复印件。</w:t>
      </w:r>
    </w:p>
    <w:p>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属</w:t>
      </w:r>
      <w:r>
        <w:rPr>
          <w:rFonts w:hint="eastAsia" w:ascii="宋体" w:hAnsi="宋体" w:eastAsia="宋体" w:cs="宋体"/>
          <w:b/>
          <w:color w:val="auto"/>
          <w:sz w:val="21"/>
          <w:szCs w:val="21"/>
          <w:highlight w:val="none"/>
        </w:rPr>
        <w:t>自然人的应提供由县级以上（含县级）社会养老保险经办机构出具的自然人本人及委托代理人所交纳的响应文件递交截止时间前半年内任意连续三个月社保证明复印件】（委托代理时必须提供）</w:t>
      </w:r>
    </w:p>
    <w:p>
      <w:pPr>
        <w:spacing w:line="440" w:lineRule="atLeast"/>
        <w:rPr>
          <w:rFonts w:hint="eastAsia" w:ascii="宋体" w:hAnsi="宋体" w:eastAsia="宋体" w:cs="宋体"/>
          <w:b/>
          <w:color w:val="auto"/>
          <w:sz w:val="24"/>
          <w:szCs w:val="24"/>
          <w:highlight w:val="none"/>
        </w:rPr>
      </w:pPr>
    </w:p>
    <w:p>
      <w:pPr>
        <w:pStyle w:val="11"/>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4"/>
        <w:tabs>
          <w:tab w:val="left" w:pos="567"/>
        </w:tabs>
        <w:rPr>
          <w:rFonts w:hint="eastAsia"/>
          <w:color w:val="auto"/>
          <w:sz w:val="24"/>
          <w:szCs w:val="24"/>
          <w:highlight w:val="none"/>
        </w:rPr>
      </w:pPr>
    </w:p>
    <w:p>
      <w:pPr>
        <w:rPr>
          <w:rFonts w:hint="eastAsia"/>
          <w:color w:val="auto"/>
          <w:sz w:val="24"/>
          <w:szCs w:val="24"/>
          <w:highlight w:val="none"/>
        </w:rPr>
      </w:pPr>
    </w:p>
    <w:p>
      <w:pPr>
        <w:pStyle w:val="4"/>
        <w:rPr>
          <w:rFonts w:hint="eastAsia"/>
          <w:color w:val="auto"/>
          <w:sz w:val="24"/>
          <w:szCs w:val="24"/>
          <w:highlight w:val="none"/>
        </w:rPr>
      </w:pPr>
    </w:p>
    <w:p>
      <w:pPr>
        <w:rPr>
          <w:rFonts w:hint="eastAsia"/>
          <w:color w:val="auto"/>
          <w:sz w:val="24"/>
          <w:szCs w:val="24"/>
          <w:highlight w:val="none"/>
        </w:rPr>
      </w:pPr>
    </w:p>
    <w:p>
      <w:pPr>
        <w:pStyle w:val="2"/>
        <w:rPr>
          <w:rFonts w:hint="eastAsia"/>
          <w:color w:val="auto"/>
          <w:sz w:val="24"/>
          <w:szCs w:val="24"/>
          <w:highlight w:val="none"/>
        </w:rPr>
      </w:pPr>
    </w:p>
    <w:p>
      <w:pPr>
        <w:rPr>
          <w:rFonts w:hint="eastAsia"/>
          <w:color w:val="auto"/>
          <w:sz w:val="24"/>
          <w:szCs w:val="24"/>
          <w:highlight w:val="none"/>
        </w:rPr>
      </w:pPr>
    </w:p>
    <w:p>
      <w:pPr>
        <w:pStyle w:val="2"/>
        <w:rPr>
          <w:rFonts w:hint="eastAsia"/>
          <w:color w:val="auto"/>
          <w:sz w:val="24"/>
          <w:szCs w:val="24"/>
          <w:highlight w:val="none"/>
        </w:rPr>
      </w:pPr>
    </w:p>
    <w:p>
      <w:pPr>
        <w:rPr>
          <w:rFonts w:hint="eastAsia"/>
          <w:color w:val="auto"/>
          <w:sz w:val="24"/>
          <w:szCs w:val="24"/>
          <w:highlight w:val="none"/>
        </w:rPr>
      </w:pPr>
    </w:p>
    <w:p>
      <w:pPr>
        <w:pStyle w:val="2"/>
        <w:rPr>
          <w:rFonts w:hint="eastAsia"/>
          <w:color w:val="auto"/>
          <w:sz w:val="24"/>
          <w:szCs w:val="24"/>
          <w:highlight w:val="none"/>
        </w:rPr>
      </w:pPr>
    </w:p>
    <w:p>
      <w:pPr>
        <w:rPr>
          <w:rFonts w:hint="eastAsia"/>
          <w:color w:val="auto"/>
          <w:sz w:val="24"/>
          <w:szCs w:val="24"/>
          <w:highlight w:val="none"/>
        </w:rPr>
      </w:pPr>
    </w:p>
    <w:p>
      <w:pPr>
        <w:pStyle w:val="2"/>
        <w:rPr>
          <w:rFonts w:hint="eastAsia"/>
          <w:color w:val="auto"/>
          <w:sz w:val="24"/>
          <w:szCs w:val="24"/>
          <w:highlight w:val="none"/>
        </w:rPr>
      </w:pPr>
    </w:p>
    <w:p>
      <w:pPr>
        <w:rPr>
          <w:rFonts w:hint="eastAsia"/>
          <w:color w:val="auto"/>
          <w:highlight w:val="none"/>
        </w:rPr>
      </w:pPr>
    </w:p>
    <w:p>
      <w:pPr>
        <w:rPr>
          <w:rFonts w:hint="eastAsia"/>
          <w:color w:val="auto"/>
          <w:sz w:val="24"/>
          <w:szCs w:val="24"/>
          <w:highlight w:val="none"/>
        </w:rPr>
      </w:pPr>
    </w:p>
    <w:p>
      <w:pPr>
        <w:pStyle w:val="23"/>
        <w:rPr>
          <w:rFonts w:hint="eastAsia"/>
          <w:color w:val="auto"/>
          <w:sz w:val="24"/>
          <w:szCs w:val="24"/>
          <w:highlight w:val="none"/>
        </w:rPr>
      </w:pPr>
    </w:p>
    <w:p>
      <w:pPr>
        <w:pStyle w:val="23"/>
        <w:rPr>
          <w:rFonts w:hint="eastAsia"/>
          <w:color w:val="auto"/>
          <w:sz w:val="24"/>
          <w:szCs w:val="24"/>
          <w:highlight w:val="none"/>
        </w:rPr>
      </w:pPr>
    </w:p>
    <w:p>
      <w:pPr>
        <w:pStyle w:val="23"/>
        <w:rPr>
          <w:rFonts w:hint="eastAsia"/>
          <w:color w:val="auto"/>
          <w:sz w:val="24"/>
          <w:szCs w:val="24"/>
          <w:highlight w:val="none"/>
        </w:rPr>
      </w:pPr>
    </w:p>
    <w:p>
      <w:pPr>
        <w:pStyle w:val="23"/>
        <w:rPr>
          <w:rFonts w:hint="eastAsia"/>
          <w:color w:val="auto"/>
          <w:sz w:val="24"/>
          <w:szCs w:val="24"/>
          <w:highlight w:val="none"/>
        </w:rPr>
      </w:pPr>
    </w:p>
    <w:p>
      <w:pPr>
        <w:pStyle w:val="1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附件：            </w:t>
      </w:r>
    </w:p>
    <w:p>
      <w:pPr>
        <w:pStyle w:val="11"/>
        <w:ind w:firstLine="472" w:firstLineChars="196"/>
        <w:jc w:val="center"/>
        <w:rPr>
          <w:rFonts w:hint="eastAsia" w:ascii="宋体" w:hAnsi="宋体" w:eastAsia="宋体" w:cs="宋体"/>
          <w:b/>
          <w:color w:val="auto"/>
          <w:sz w:val="24"/>
          <w:szCs w:val="24"/>
          <w:highlight w:val="none"/>
        </w:rPr>
      </w:pPr>
      <w:bookmarkStart w:id="1999" w:name="_Toc964_WPSOffice_Level1"/>
      <w:bookmarkStart w:id="2000" w:name="_Toc5420_WPSOffice_Level1"/>
      <w:r>
        <w:rPr>
          <w:rFonts w:hint="eastAsia" w:ascii="宋体" w:hAnsi="宋体" w:eastAsia="宋体" w:cs="宋体"/>
          <w:b/>
          <w:color w:val="auto"/>
          <w:sz w:val="24"/>
          <w:szCs w:val="24"/>
          <w:highlight w:val="none"/>
        </w:rPr>
        <w:t>授权委托书（格式一）</w:t>
      </w:r>
      <w:bookmarkEnd w:id="1999"/>
      <w:bookmarkEnd w:id="2000"/>
    </w:p>
    <w:p>
      <w:pPr>
        <w:pStyle w:val="11"/>
        <w:rPr>
          <w:rFonts w:hint="eastAsia" w:ascii="宋体" w:hAnsi="宋体" w:eastAsia="宋体" w:cs="宋体"/>
          <w:color w:val="auto"/>
          <w:sz w:val="24"/>
          <w:szCs w:val="24"/>
          <w:highlight w:val="none"/>
        </w:rPr>
      </w:pPr>
    </w:p>
    <w:p>
      <w:pPr>
        <w:spacing w:line="400" w:lineRule="exact"/>
        <w:rPr>
          <w:rFonts w:hint="eastAsia" w:ascii="宋体" w:hAnsi="宋体" w:eastAsia="宋体" w:cs="宋体"/>
          <w:color w:val="auto"/>
          <w:sz w:val="21"/>
          <w:szCs w:val="21"/>
          <w:highlight w:val="none"/>
        </w:rPr>
      </w:pPr>
    </w:p>
    <w:p>
      <w:pPr>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lang w:eastAsia="zh-CN"/>
        </w:rPr>
        <w:t>广西鼎誉工程咨询有限公司</w:t>
      </w:r>
    </w:p>
    <w:p>
      <w:pPr>
        <w:spacing w:line="400" w:lineRule="exact"/>
        <w:rPr>
          <w:rFonts w:hint="eastAsia" w:ascii="宋体" w:hAnsi="宋体" w:eastAsia="宋体" w:cs="宋体"/>
          <w:color w:val="auto"/>
          <w:sz w:val="21"/>
          <w:szCs w:val="21"/>
          <w:highlight w:val="none"/>
        </w:rPr>
      </w:pPr>
    </w:p>
    <w:p>
      <w:pPr>
        <w:pStyle w:val="11"/>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（姓名）系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（供应商名称）的法定代表人（负责人），现授权委托本单位在职职工</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（姓 名）以我公司名义参加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（项目名称及项目编号）        </w:t>
      </w:r>
      <w:r>
        <w:rPr>
          <w:rFonts w:hint="eastAsia" w:ascii="宋体" w:hAnsi="宋体" w:eastAsia="宋体" w:cs="宋体"/>
          <w:color w:val="auto"/>
          <w:sz w:val="21"/>
          <w:szCs w:val="21"/>
          <w:highlight w:val="none"/>
        </w:rPr>
        <w:t>项目的磋商活动，并代表我方全权办理针对上述项目的磋商、签约等具体事务和签署相关文件。</w:t>
      </w:r>
    </w:p>
    <w:p>
      <w:pPr>
        <w:pStyle w:val="11"/>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我方对被授权人的签字事项负全部责任。</w:t>
      </w:r>
    </w:p>
    <w:p>
      <w:pPr>
        <w:pStyle w:val="11"/>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授权委托代理期限：从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日起至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pPr>
        <w:pStyle w:val="11"/>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代理人无转委托权,特此委托。 </w:t>
      </w:r>
    </w:p>
    <w:p>
      <w:pPr>
        <w:spacing w:line="400" w:lineRule="exact"/>
        <w:ind w:firstLine="420" w:firstLineChars="200"/>
        <w:rPr>
          <w:rFonts w:hint="eastAsia" w:ascii="宋体" w:hAnsi="宋体" w:eastAsia="宋体" w:cs="宋体"/>
          <w:color w:val="auto"/>
          <w:kern w:val="0"/>
          <w:sz w:val="21"/>
          <w:szCs w:val="21"/>
          <w:highlight w:val="none"/>
        </w:rPr>
      </w:pP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我已在下面签字，以资证明。</w:t>
      </w:r>
    </w:p>
    <w:p>
      <w:pPr>
        <w:spacing w:line="400" w:lineRule="exact"/>
        <w:ind w:firstLine="420" w:firstLineChars="200"/>
        <w:rPr>
          <w:rFonts w:hint="eastAsia" w:ascii="宋体" w:hAnsi="宋体" w:eastAsia="宋体" w:cs="宋体"/>
          <w:color w:val="auto"/>
          <w:sz w:val="21"/>
          <w:szCs w:val="21"/>
          <w:highlight w:val="none"/>
        </w:rPr>
      </w:pPr>
    </w:p>
    <w:p>
      <w:pPr>
        <w:spacing w:line="400" w:lineRule="exact"/>
        <w:ind w:firstLine="420" w:firstLineChars="200"/>
        <w:rPr>
          <w:rFonts w:hint="eastAsia" w:ascii="宋体" w:hAnsi="宋体" w:eastAsia="宋体" w:cs="宋体"/>
          <w:color w:val="auto"/>
          <w:sz w:val="21"/>
          <w:szCs w:val="21"/>
          <w:highlight w:val="none"/>
        </w:rPr>
      </w:pPr>
    </w:p>
    <w:p>
      <w:pPr>
        <w:snapToGrid w:val="0"/>
        <w:spacing w:line="40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snapToGrid w:val="0"/>
        <w:spacing w:line="400" w:lineRule="exact"/>
        <w:ind w:firstLine="420"/>
        <w:rPr>
          <w:rFonts w:hint="eastAsia" w:ascii="宋体" w:hAnsi="宋体" w:eastAsia="宋体" w:cs="宋体"/>
          <w:color w:val="auto"/>
          <w:sz w:val="21"/>
          <w:szCs w:val="21"/>
          <w:highlight w:val="none"/>
        </w:rPr>
      </w:pPr>
    </w:p>
    <w:p>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法定代表人（负责人）签字（或</w:t>
      </w:r>
      <w:r>
        <w:rPr>
          <w:rFonts w:hint="eastAsia" w:ascii="宋体" w:hAnsi="宋体" w:eastAsia="宋体" w:cs="宋体"/>
          <w:color w:val="auto"/>
          <w:sz w:val="21"/>
          <w:szCs w:val="21"/>
          <w:highlight w:val="none"/>
          <w:lang w:eastAsia="zh-CN"/>
        </w:rPr>
        <w:t>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napToGrid w:val="0"/>
        <w:spacing w:line="400" w:lineRule="exact"/>
        <w:ind w:firstLine="420"/>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附：供应商的授权委托书</w:t>
      </w:r>
      <w:r>
        <w:rPr>
          <w:rFonts w:hint="eastAsia" w:ascii="宋体" w:hAnsi="宋体" w:eastAsia="宋体" w:cs="宋体"/>
          <w:b/>
          <w:color w:val="auto"/>
          <w:sz w:val="21"/>
          <w:szCs w:val="21"/>
          <w:highlight w:val="none"/>
          <w:lang w:eastAsia="zh-CN"/>
        </w:rPr>
        <w:t>原件</w:t>
      </w:r>
      <w:r>
        <w:rPr>
          <w:rFonts w:hint="eastAsia" w:ascii="宋体" w:hAnsi="宋体" w:eastAsia="宋体" w:cs="宋体"/>
          <w:b/>
          <w:color w:val="auto"/>
          <w:sz w:val="21"/>
          <w:szCs w:val="21"/>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除供应商为以下三种情形的：</w:t>
      </w:r>
    </w:p>
    <w:p>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如供应商为截标时间前60日以内成立的公司，可以提供供应商与委托代理人签订的劳动合同复印件代替社保证明复印件；</w:t>
      </w:r>
    </w:p>
    <w:p>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（2）如供应商为事业单位，可以提供事业单位机构编制管理证复印件或事业单位机构为其发放工资的工资条复印件代替社保证明复印件；</w:t>
      </w:r>
    </w:p>
    <w:p>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（3）如委托代理人为免缴纳社保人员，提供免缴纳社保的证明材料复印件及供应商与委托代理人签订的劳动合同复印件代替社保证明复印件。</w:t>
      </w:r>
    </w:p>
    <w:p>
      <w:pPr>
        <w:pStyle w:val="11"/>
        <w:spacing w:line="340" w:lineRule="exact"/>
        <w:ind w:firstLine="480" w:firstLineChars="200"/>
        <w:rPr>
          <w:rFonts w:hint="eastAsia" w:ascii="宋体" w:hAnsi="宋体" w:eastAsia="宋体" w:cs="宋体"/>
          <w:color w:val="auto"/>
          <w:sz w:val="24"/>
          <w:szCs w:val="24"/>
          <w:highlight w:val="none"/>
        </w:rPr>
      </w:pPr>
    </w:p>
    <w:p>
      <w:pPr>
        <w:pStyle w:val="7"/>
        <w:rPr>
          <w:rFonts w:hint="eastAsia"/>
          <w:color w:val="auto"/>
          <w:sz w:val="24"/>
          <w:szCs w:val="24"/>
          <w:highlight w:val="none"/>
        </w:rPr>
      </w:pPr>
    </w:p>
    <w:p>
      <w:pPr>
        <w:pStyle w:val="11"/>
        <w:jc w:val="center"/>
        <w:rPr>
          <w:rFonts w:hint="eastAsia" w:ascii="宋体" w:hAnsi="宋体" w:eastAsia="宋体" w:cs="宋体"/>
          <w:b/>
          <w:color w:val="auto"/>
          <w:sz w:val="24"/>
          <w:szCs w:val="24"/>
          <w:highlight w:val="none"/>
        </w:rPr>
      </w:pPr>
      <w:bookmarkStart w:id="2001" w:name="_Toc6975_WPSOffice_Level1"/>
      <w:bookmarkStart w:id="2002" w:name="_Toc21370_WPSOffice_Level1"/>
    </w:p>
    <w:p>
      <w:pPr>
        <w:pStyle w:val="11"/>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授权委托书（格式二）</w:t>
      </w:r>
      <w:bookmarkEnd w:id="2001"/>
      <w:bookmarkEnd w:id="2002"/>
    </w:p>
    <w:p>
      <w:pPr>
        <w:pStyle w:val="11"/>
        <w:jc w:val="both"/>
        <w:rPr>
          <w:rFonts w:hint="eastAsia" w:ascii="宋体" w:hAnsi="宋体" w:eastAsia="宋体" w:cs="宋体"/>
          <w:b/>
          <w:color w:val="auto"/>
          <w:sz w:val="24"/>
          <w:szCs w:val="24"/>
          <w:highlight w:val="none"/>
        </w:rPr>
      </w:pPr>
    </w:p>
    <w:p>
      <w:pPr>
        <w:pStyle w:val="11"/>
        <w:jc w:val="both"/>
        <w:rPr>
          <w:rFonts w:hint="eastAsia" w:ascii="宋体" w:hAnsi="宋体" w:eastAsia="宋体" w:cs="宋体"/>
          <w:b/>
          <w:color w:val="auto"/>
          <w:sz w:val="24"/>
          <w:szCs w:val="24"/>
          <w:highlight w:val="none"/>
        </w:rPr>
      </w:pPr>
    </w:p>
    <w:p>
      <w:pPr>
        <w:pStyle w:val="11"/>
        <w:jc w:val="both"/>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致</w:t>
      </w:r>
      <w:r>
        <w:rPr>
          <w:rFonts w:hint="eastAsia" w:ascii="宋体" w:hAnsi="宋体" w:eastAsia="宋体" w:cs="宋体"/>
          <w:color w:val="auto"/>
          <w:sz w:val="21"/>
          <w:szCs w:val="21"/>
          <w:highlight w:val="none"/>
        </w:rPr>
        <w:t>：</w:t>
      </w:r>
      <w:r>
        <w:rPr>
          <w:rFonts w:hint="eastAsia" w:hAnsi="宋体" w:cs="宋体"/>
          <w:color w:val="auto"/>
          <w:sz w:val="21"/>
          <w:szCs w:val="21"/>
          <w:highlight w:val="none"/>
          <w:u w:val="single"/>
          <w:lang w:eastAsia="zh-CN"/>
        </w:rPr>
        <w:t>广西鼎誉工程咨询有限公司</w:t>
      </w:r>
    </w:p>
    <w:p>
      <w:pPr>
        <w:rPr>
          <w:rFonts w:hint="eastAsia" w:ascii="宋体" w:hAnsi="宋体" w:eastAsia="宋体" w:cs="宋体"/>
          <w:color w:val="auto"/>
          <w:sz w:val="21"/>
          <w:szCs w:val="21"/>
          <w:highlight w:val="none"/>
        </w:rPr>
      </w:pPr>
    </w:p>
    <w:p>
      <w:pPr>
        <w:pStyle w:val="11"/>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（姓名）系自然人，现授权委托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（姓 名）以本人名义参加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（项目名称及项目编号）        </w:t>
      </w:r>
      <w:r>
        <w:rPr>
          <w:rFonts w:hint="eastAsia" w:ascii="宋体" w:hAnsi="宋体" w:eastAsia="宋体" w:cs="宋体"/>
          <w:color w:val="auto"/>
          <w:sz w:val="21"/>
          <w:szCs w:val="21"/>
          <w:highlight w:val="none"/>
        </w:rPr>
        <w:t>项目的磋商活动，并代表本人全权办理针对上述项目的磋商、签约等具体事务和签署相关文件。</w:t>
      </w:r>
    </w:p>
    <w:p>
      <w:pPr>
        <w:pStyle w:val="11"/>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本人对被授权人的签字事项负全部责任。</w:t>
      </w:r>
    </w:p>
    <w:p>
      <w:pPr>
        <w:pStyle w:val="11"/>
        <w:spacing w:line="34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授权委托代理期限：从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日起至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pPr>
        <w:pStyle w:val="11"/>
        <w:spacing w:line="3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pPr>
        <w:spacing w:line="3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代理人无转委托权,特此委托。 </w:t>
      </w:r>
    </w:p>
    <w:p>
      <w:pPr>
        <w:spacing w:line="340" w:lineRule="exact"/>
        <w:ind w:firstLine="420" w:firstLineChars="200"/>
        <w:rPr>
          <w:rFonts w:hint="eastAsia" w:ascii="宋体" w:hAnsi="宋体" w:eastAsia="宋体" w:cs="宋体"/>
          <w:color w:val="auto"/>
          <w:kern w:val="0"/>
          <w:sz w:val="21"/>
          <w:szCs w:val="21"/>
          <w:highlight w:val="none"/>
        </w:rPr>
      </w:pPr>
    </w:p>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我已在下面签字，以资证明。</w:t>
      </w:r>
    </w:p>
    <w:p>
      <w:pPr>
        <w:spacing w:line="340" w:lineRule="exact"/>
        <w:ind w:firstLine="420" w:firstLineChars="200"/>
        <w:rPr>
          <w:rFonts w:hint="eastAsia" w:ascii="宋体" w:hAnsi="宋体" w:eastAsia="宋体" w:cs="宋体"/>
          <w:color w:val="auto"/>
          <w:sz w:val="21"/>
          <w:szCs w:val="21"/>
          <w:highlight w:val="none"/>
        </w:rPr>
      </w:pPr>
    </w:p>
    <w:p>
      <w:pPr>
        <w:snapToGrid w:val="0"/>
        <w:spacing w:line="3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自然人签字并在签名处加盖大拇指指印</w:t>
      </w:r>
      <w:r>
        <w:rPr>
          <w:rFonts w:hint="eastAsia" w:ascii="宋体" w:hAnsi="宋体" w:eastAsia="宋体" w:cs="宋体"/>
          <w:color w:val="auto"/>
          <w:sz w:val="21"/>
          <w:szCs w:val="21"/>
          <w:highlight w:val="none"/>
          <w:lang w:eastAsia="zh-CN"/>
        </w:rPr>
        <w:t>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napToGrid w:val="0"/>
        <w:spacing w:line="3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11"/>
        <w:spacing w:line="400" w:lineRule="exact"/>
        <w:ind w:left="420" w:leftChars="200"/>
        <w:rPr>
          <w:rFonts w:hint="eastAsia" w:ascii="宋体" w:hAnsi="宋体" w:eastAsia="宋体" w:cs="宋体"/>
          <w:color w:val="auto"/>
          <w:sz w:val="21"/>
          <w:szCs w:val="21"/>
          <w:highlight w:val="none"/>
        </w:rPr>
      </w:pPr>
    </w:p>
    <w:p>
      <w:pPr>
        <w:pStyle w:val="11"/>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附：委托代理人身份证正反面复印件</w:t>
      </w: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spacing w:line="440" w:lineRule="atLeast"/>
        <w:rPr>
          <w:rFonts w:hint="eastAsia" w:ascii="宋体" w:hAnsi="宋体" w:eastAsia="宋体" w:cs="宋体"/>
          <w:b/>
          <w:color w:val="auto"/>
          <w:sz w:val="24"/>
          <w:szCs w:val="24"/>
          <w:highlight w:val="none"/>
          <w:lang w:val="en-US" w:eastAsia="zh-CN"/>
        </w:rPr>
      </w:pPr>
    </w:p>
    <w:p>
      <w:pPr>
        <w:spacing w:line="440" w:lineRule="atLeast"/>
        <w:rPr>
          <w:rFonts w:hint="eastAsia" w:ascii="宋体" w:hAnsi="宋体" w:eastAsia="宋体" w:cs="宋体"/>
          <w:b/>
          <w:color w:val="auto"/>
          <w:sz w:val="24"/>
          <w:szCs w:val="24"/>
          <w:highlight w:val="none"/>
          <w:lang w:val="en-US" w:eastAsia="zh-CN"/>
        </w:rPr>
      </w:pPr>
    </w:p>
    <w:p>
      <w:pPr>
        <w:pStyle w:val="2"/>
        <w:rPr>
          <w:rFonts w:hint="eastAsia"/>
          <w:color w:val="auto"/>
          <w:highlight w:val="none"/>
          <w:lang w:val="en-US" w:eastAsia="zh-CN"/>
        </w:rPr>
      </w:pPr>
    </w:p>
    <w:p>
      <w:pPr>
        <w:spacing w:line="440" w:lineRule="atLeas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.供应商参加政府采购活动前3年内在经营活动中没有重大违法记录及有关信用信息的书面声明（必须提供）；</w:t>
      </w:r>
    </w:p>
    <w:p>
      <w:pPr>
        <w:pStyle w:val="11"/>
        <w:spacing w:line="400" w:lineRule="exact"/>
        <w:ind w:left="420" w:leftChars="200" w:firstLine="118" w:firstLineChars="4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                       </w:t>
      </w:r>
    </w:p>
    <w:p>
      <w:pPr>
        <w:pStyle w:val="11"/>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pPr>
        <w:pStyle w:val="11"/>
        <w:spacing w:line="400" w:lineRule="exact"/>
        <w:jc w:val="center"/>
        <w:rPr>
          <w:rFonts w:hint="eastAsia" w:ascii="宋体" w:hAnsi="宋体" w:eastAsia="宋体" w:cs="宋体"/>
          <w:b/>
          <w:color w:val="auto"/>
          <w:sz w:val="24"/>
          <w:szCs w:val="24"/>
          <w:highlight w:val="none"/>
        </w:rPr>
      </w:pPr>
      <w:bookmarkStart w:id="2003" w:name="_Toc30890_WPSOffice_Level1"/>
      <w:bookmarkStart w:id="2004" w:name="_Toc30304_WPSOffice_Level1"/>
      <w:r>
        <w:rPr>
          <w:rFonts w:hint="eastAsia" w:ascii="宋体" w:hAnsi="宋体" w:eastAsia="宋体" w:cs="宋体"/>
          <w:b/>
          <w:color w:val="auto"/>
          <w:sz w:val="24"/>
          <w:szCs w:val="24"/>
          <w:highlight w:val="none"/>
        </w:rPr>
        <w:t>声   明</w:t>
      </w:r>
      <w:bookmarkEnd w:id="2003"/>
      <w:bookmarkEnd w:id="2004"/>
    </w:p>
    <w:p>
      <w:pPr>
        <w:pStyle w:val="11"/>
        <w:spacing w:line="400" w:lineRule="exact"/>
        <w:jc w:val="both"/>
        <w:rPr>
          <w:rFonts w:hint="eastAsia" w:ascii="宋体" w:hAnsi="宋体" w:eastAsia="宋体" w:cs="宋体"/>
          <w:b/>
          <w:color w:val="auto"/>
          <w:sz w:val="24"/>
          <w:szCs w:val="24"/>
          <w:highlight w:val="none"/>
        </w:rPr>
      </w:pPr>
    </w:p>
    <w:p>
      <w:pPr>
        <w:pStyle w:val="11"/>
        <w:spacing w:line="400" w:lineRule="exact"/>
        <w:jc w:val="both"/>
        <w:rPr>
          <w:rFonts w:hint="eastAsia" w:ascii="宋体" w:hAnsi="宋体" w:eastAsia="宋体" w:cs="宋体"/>
          <w:color w:val="auto"/>
          <w:sz w:val="21"/>
          <w:szCs w:val="21"/>
          <w:highlight w:val="none"/>
          <w:u w:val="single"/>
        </w:rPr>
      </w:pPr>
      <w:r>
        <w:rPr>
          <w:rFonts w:hint="eastAsia" w:ascii="宋体" w:hAnsi="宋体" w:eastAsia="宋体" w:cs="宋体"/>
          <w:b/>
          <w:color w:val="auto"/>
          <w:sz w:val="21"/>
          <w:szCs w:val="21"/>
          <w:highlight w:val="none"/>
        </w:rPr>
        <w:t>致</w:t>
      </w:r>
      <w:r>
        <w:rPr>
          <w:rFonts w:hint="eastAsia" w:ascii="宋体" w:hAnsi="宋体" w:eastAsia="宋体" w:cs="宋体"/>
          <w:color w:val="auto"/>
          <w:sz w:val="21"/>
          <w:szCs w:val="21"/>
          <w:highlight w:val="none"/>
        </w:rPr>
        <w:t>：</w:t>
      </w:r>
      <w:r>
        <w:rPr>
          <w:rFonts w:hint="eastAsia" w:hAnsi="宋体" w:cs="宋体"/>
          <w:color w:val="auto"/>
          <w:sz w:val="21"/>
          <w:szCs w:val="21"/>
          <w:highlight w:val="none"/>
          <w:u w:val="single"/>
          <w:lang w:eastAsia="zh-CN"/>
        </w:rPr>
        <w:t>广西鼎誉工程咨询有限公司</w:t>
      </w:r>
    </w:p>
    <w:p>
      <w:pPr>
        <w:rPr>
          <w:rFonts w:hint="eastAsia" w:ascii="宋体" w:hAnsi="宋体" w:eastAsia="宋体" w:cs="宋体"/>
          <w:color w:val="auto"/>
          <w:sz w:val="21"/>
          <w:szCs w:val="21"/>
          <w:highlight w:val="none"/>
          <w:u w:val="single"/>
        </w:rPr>
      </w:pPr>
    </w:p>
    <w:p>
      <w:pPr>
        <w:pStyle w:val="2"/>
        <w:rPr>
          <w:rFonts w:hint="eastAsia" w:ascii="宋体" w:hAnsi="宋体" w:eastAsia="宋体" w:cs="宋体"/>
          <w:color w:val="auto"/>
          <w:sz w:val="21"/>
          <w:szCs w:val="21"/>
          <w:highlight w:val="none"/>
        </w:rPr>
      </w:pPr>
    </w:p>
    <w:p>
      <w:pPr>
        <w:pStyle w:val="11"/>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rPr>
          <w:rFonts w:hint="eastAsia" w:ascii="宋体" w:hAnsi="宋体" w:eastAsia="宋体" w:cs="宋体"/>
          <w:color w:val="auto"/>
          <w:sz w:val="21"/>
          <w:szCs w:val="21"/>
          <w:highlight w:val="none"/>
        </w:rPr>
      </w:pPr>
    </w:p>
    <w:p>
      <w:pPr>
        <w:snapToGrid w:val="0"/>
        <w:spacing w:line="400" w:lineRule="exact"/>
        <w:ind w:firstLine="1890" w:firstLineChars="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，自然人</w:t>
      </w:r>
      <w:r>
        <w:rPr>
          <w:rFonts w:hint="eastAsia" w:ascii="宋体" w:hAnsi="宋体" w:eastAsia="宋体" w:cs="宋体"/>
          <w:color w:val="auto"/>
          <w:sz w:val="21"/>
          <w:szCs w:val="21"/>
          <w:highlight w:val="none"/>
          <w:lang w:eastAsia="zh-CN"/>
        </w:rPr>
        <w:t>签字或个人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1"/>
        <w:ind w:firstLine="3990" w:firstLineChars="1900"/>
        <w:rPr>
          <w:rFonts w:hint="eastAsia" w:ascii="宋体" w:hAnsi="宋体" w:eastAsia="宋体" w:cs="宋体"/>
          <w:color w:val="auto"/>
          <w:sz w:val="21"/>
          <w:szCs w:val="21"/>
          <w:highlight w:val="none"/>
        </w:rPr>
      </w:pPr>
    </w:p>
    <w:p>
      <w:pPr>
        <w:pStyle w:val="11"/>
        <w:ind w:firstLine="3990" w:firstLineChars="1900"/>
        <w:rPr>
          <w:rFonts w:hint="eastAsia" w:ascii="宋体" w:hAnsi="宋体" w:eastAsia="宋体" w:cs="宋体"/>
          <w:color w:val="auto"/>
          <w:sz w:val="24"/>
          <w:szCs w:val="24"/>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szCs w:val="24"/>
          <w:highlight w:val="none"/>
          <w:u w:val="single"/>
        </w:rPr>
        <w:t xml:space="preserve">  </w:t>
      </w:r>
    </w:p>
    <w:p>
      <w:pPr>
        <w:pStyle w:val="11"/>
        <w:spacing w:line="340" w:lineRule="exact"/>
        <w:rPr>
          <w:rFonts w:hint="eastAsia" w:ascii="宋体" w:hAnsi="宋体" w:eastAsia="宋体" w:cs="宋体"/>
          <w:b/>
          <w:color w:val="auto"/>
          <w:sz w:val="24"/>
          <w:szCs w:val="24"/>
          <w:highlight w:val="none"/>
        </w:rPr>
      </w:pPr>
    </w:p>
    <w:p>
      <w:pPr>
        <w:pStyle w:val="11"/>
        <w:spacing w:line="340" w:lineRule="exact"/>
        <w:rPr>
          <w:rFonts w:hint="eastAsia" w:ascii="宋体" w:hAnsi="宋体" w:eastAsia="宋体" w:cs="宋体"/>
          <w:b/>
          <w:color w:val="auto"/>
          <w:sz w:val="24"/>
          <w:szCs w:val="24"/>
          <w:highlight w:val="none"/>
          <w:lang w:val="en-US" w:eastAsia="zh-CN"/>
        </w:rPr>
      </w:pPr>
    </w:p>
    <w:p>
      <w:pPr>
        <w:pStyle w:val="11"/>
        <w:spacing w:line="340" w:lineRule="exact"/>
        <w:rPr>
          <w:rFonts w:hint="eastAsia" w:ascii="宋体" w:hAnsi="宋体" w:eastAsia="宋体" w:cs="宋体"/>
          <w:b/>
          <w:color w:val="auto"/>
          <w:sz w:val="24"/>
          <w:szCs w:val="24"/>
          <w:highlight w:val="none"/>
          <w:lang w:val="en-US" w:eastAsia="zh-CN"/>
        </w:rPr>
      </w:pPr>
    </w:p>
    <w:p>
      <w:pPr>
        <w:pStyle w:val="11"/>
        <w:spacing w:line="340" w:lineRule="exact"/>
        <w:rPr>
          <w:rFonts w:hint="eastAsia" w:ascii="宋体" w:hAnsi="宋体" w:eastAsia="宋体" w:cs="宋体"/>
          <w:b/>
          <w:color w:val="auto"/>
          <w:sz w:val="24"/>
          <w:szCs w:val="24"/>
          <w:highlight w:val="none"/>
          <w:lang w:val="en-US" w:eastAsia="zh-CN"/>
        </w:rPr>
      </w:pPr>
    </w:p>
    <w:p>
      <w:pPr>
        <w:pStyle w:val="11"/>
        <w:spacing w:line="3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.供应商的法人或者其他组织营业执照等证明文件复印件（必须提供，自然人除外）；</w:t>
      </w:r>
    </w:p>
    <w:p>
      <w:pPr>
        <w:tabs>
          <w:tab w:val="left" w:pos="1305"/>
        </w:tabs>
        <w:spacing w:line="340" w:lineRule="exact"/>
        <w:rPr>
          <w:rFonts w:hint="eastAsia" w:ascii="宋体" w:hAnsi="宋体" w:eastAsia="宋体" w:cs="宋体"/>
          <w:b/>
          <w:color w:val="auto"/>
          <w:sz w:val="24"/>
          <w:szCs w:val="24"/>
          <w:highlight w:val="none"/>
        </w:rPr>
      </w:pPr>
    </w:p>
    <w:p>
      <w:pPr>
        <w:tabs>
          <w:tab w:val="left" w:pos="1305"/>
        </w:tabs>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；供应商为事业单位，应提供有效的“事业单位法人证书”；供应商为非企业专业服务机构的，应提供执业许可证等证明文件；供应商为个体工商户，应提供有效的“个体工商户营业执照”。</w:t>
      </w:r>
    </w:p>
    <w:p>
      <w:pPr>
        <w:rPr>
          <w:rFonts w:hint="eastAsia" w:ascii="宋体" w:hAnsi="宋体" w:eastAsia="宋体" w:cs="宋体"/>
          <w:b/>
          <w:bCs/>
          <w:color w:val="auto"/>
          <w:sz w:val="24"/>
          <w:szCs w:val="24"/>
          <w:highlight w:val="none"/>
        </w:rPr>
      </w:pPr>
    </w:p>
    <w:p>
      <w:pPr>
        <w:pStyle w:val="11"/>
        <w:numPr>
          <w:ilvl w:val="0"/>
          <w:numId w:val="0"/>
        </w:numPr>
        <w:spacing w:line="340" w:lineRule="exact"/>
        <w:rPr>
          <w:rFonts w:hint="eastAsia" w:ascii="宋体" w:hAnsi="宋体" w:eastAsia="宋体" w:cs="宋体"/>
          <w:b/>
          <w:color w:val="auto"/>
          <w:sz w:val="24"/>
          <w:szCs w:val="24"/>
          <w:highlight w:val="none"/>
          <w:lang w:val="en-US" w:eastAsia="zh-CN"/>
        </w:rPr>
      </w:pPr>
    </w:p>
    <w:p>
      <w:pPr>
        <w:pStyle w:val="11"/>
        <w:numPr>
          <w:ilvl w:val="0"/>
          <w:numId w:val="0"/>
        </w:numPr>
        <w:spacing w:line="340" w:lineRule="exact"/>
        <w:rPr>
          <w:rFonts w:hint="eastAsia" w:ascii="宋体" w:hAnsi="宋体" w:eastAsia="宋体" w:cs="宋体"/>
          <w:b/>
          <w:color w:val="auto"/>
          <w:sz w:val="24"/>
          <w:szCs w:val="24"/>
          <w:highlight w:val="none"/>
          <w:lang w:val="en-US" w:eastAsia="zh-CN"/>
        </w:rPr>
      </w:pPr>
    </w:p>
    <w:p>
      <w:pPr>
        <w:pStyle w:val="11"/>
        <w:numPr>
          <w:ilvl w:val="0"/>
          <w:numId w:val="0"/>
        </w:numPr>
        <w:spacing w:line="340" w:lineRule="exact"/>
        <w:rPr>
          <w:rFonts w:hint="eastAsia" w:ascii="宋体" w:hAnsi="宋体" w:eastAsia="宋体" w:cs="宋体"/>
          <w:b/>
          <w:color w:val="auto"/>
          <w:sz w:val="24"/>
          <w:szCs w:val="24"/>
          <w:highlight w:val="none"/>
          <w:lang w:val="en-US" w:eastAsia="zh-CN"/>
        </w:rPr>
      </w:pPr>
    </w:p>
    <w:p>
      <w:pPr>
        <w:pStyle w:val="11"/>
        <w:numPr>
          <w:ilvl w:val="0"/>
          <w:numId w:val="0"/>
        </w:numPr>
        <w:spacing w:line="34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5.供应商有效的资质证书复印件（必须提供）；</w:t>
      </w:r>
    </w:p>
    <w:p>
      <w:pPr>
        <w:pStyle w:val="7"/>
        <w:numPr>
          <w:ilvl w:val="0"/>
          <w:numId w:val="0"/>
        </w:numPr>
        <w:ind w:leftChars="200"/>
        <w:rPr>
          <w:rFonts w:hint="eastAsia"/>
          <w:color w:val="auto"/>
          <w:sz w:val="24"/>
          <w:szCs w:val="24"/>
          <w:highlight w:val="none"/>
          <w:lang w:val="en-US" w:eastAsia="zh-CN"/>
        </w:rPr>
      </w:pPr>
    </w:p>
    <w:p>
      <w:pPr>
        <w:pStyle w:val="11"/>
        <w:spacing w:line="340" w:lineRule="exact"/>
        <w:rPr>
          <w:rFonts w:hint="eastAsia" w:ascii="宋体" w:hAnsi="宋体" w:eastAsia="宋体" w:cs="宋体"/>
          <w:b/>
          <w:color w:val="auto"/>
          <w:sz w:val="24"/>
          <w:szCs w:val="24"/>
          <w:highlight w:val="none"/>
          <w:lang w:val="en-US" w:eastAsia="zh-CN"/>
        </w:rPr>
      </w:pPr>
    </w:p>
    <w:p>
      <w:pPr>
        <w:pStyle w:val="11"/>
        <w:spacing w:line="340" w:lineRule="exact"/>
        <w:rPr>
          <w:rFonts w:hint="eastAsia" w:ascii="宋体" w:hAnsi="宋体" w:eastAsia="宋体" w:cs="宋体"/>
          <w:b/>
          <w:color w:val="auto"/>
          <w:sz w:val="24"/>
          <w:szCs w:val="24"/>
          <w:highlight w:val="none"/>
          <w:lang w:val="en-US" w:eastAsia="zh-CN"/>
        </w:rPr>
      </w:pPr>
    </w:p>
    <w:p>
      <w:pPr>
        <w:pStyle w:val="11"/>
        <w:spacing w:line="340" w:lineRule="exact"/>
        <w:rPr>
          <w:rFonts w:hint="eastAsia" w:ascii="宋体" w:hAnsi="宋体" w:eastAsia="宋体" w:cs="宋体"/>
          <w:b/>
          <w:color w:val="auto"/>
          <w:sz w:val="24"/>
          <w:szCs w:val="24"/>
          <w:highlight w:val="none"/>
          <w:lang w:val="en-US" w:eastAsia="zh-CN"/>
        </w:rPr>
      </w:pPr>
    </w:p>
    <w:p>
      <w:pPr>
        <w:pStyle w:val="11"/>
        <w:spacing w:line="340" w:lineRule="exact"/>
        <w:rPr>
          <w:rFonts w:hint="eastAsia" w:ascii="宋体" w:hAnsi="宋体" w:eastAsia="宋体" w:cs="宋体"/>
          <w:b/>
          <w:color w:val="auto"/>
          <w:sz w:val="24"/>
          <w:szCs w:val="24"/>
          <w:highlight w:val="none"/>
          <w:lang w:val="en-US" w:eastAsia="zh-CN"/>
        </w:rPr>
      </w:pPr>
    </w:p>
    <w:p>
      <w:pPr>
        <w:spacing w:line="240" w:lineRule="auto"/>
        <w:rPr>
          <w:rFonts w:hint="eastAsia" w:ascii="宋体" w:hAnsi="宋体" w:eastAsia="宋体" w:cs="宋体"/>
          <w:b/>
          <w:bCs/>
          <w:iCs/>
          <w:color w:val="auto"/>
          <w:kern w:val="2"/>
          <w:sz w:val="24"/>
          <w:szCs w:val="24"/>
          <w:highlight w:val="none"/>
          <w:lang w:val="en-US" w:eastAsia="zh-CN" w:bidi="ar-SA"/>
        </w:rPr>
      </w:pPr>
      <w:r>
        <w:rPr>
          <w:rFonts w:hint="eastAsia" w:ascii="宋体" w:hAnsi="宋体" w:eastAsia="宋体" w:cs="宋体"/>
          <w:b/>
          <w:bCs/>
          <w:iCs/>
          <w:color w:val="auto"/>
          <w:kern w:val="2"/>
          <w:sz w:val="24"/>
          <w:szCs w:val="24"/>
          <w:highlight w:val="none"/>
          <w:lang w:val="en-US" w:eastAsia="zh-CN" w:bidi="ar-SA"/>
        </w:rPr>
        <w:t>6.中小企业声明函【如属于小型、微型企业的，供应商应按照中小微型企业划分标准按照《国家统计局关于印发《统计上大中小微型企业划分办法〔2017〕》的通知》（国统字〔2017〕213号）的划分标准进行如实申明，如提供虚假申明应依法承担相应法律责任。】（如有，请提供）；</w:t>
      </w:r>
    </w:p>
    <w:p>
      <w:pPr>
        <w:jc w:val="center"/>
        <w:outlineLvl w:val="9"/>
        <w:rPr>
          <w:rStyle w:val="41"/>
          <w:rFonts w:ascii="宋体" w:hAnsi="宋体" w:cs="宋体"/>
          <w:b/>
          <w:bCs/>
          <w:color w:val="auto"/>
          <w:kern w:val="0"/>
          <w:sz w:val="24"/>
          <w:szCs w:val="24"/>
          <w:highlight w:val="none"/>
        </w:rPr>
      </w:pPr>
    </w:p>
    <w:p>
      <w:pPr>
        <w:jc w:val="center"/>
        <w:outlineLvl w:val="9"/>
        <w:rPr>
          <w:rStyle w:val="41"/>
          <w:rFonts w:ascii="宋体" w:hAnsi="宋体" w:cs="宋体"/>
          <w:b/>
          <w:bCs/>
          <w:color w:val="auto"/>
          <w:kern w:val="0"/>
          <w:sz w:val="24"/>
          <w:szCs w:val="24"/>
          <w:highlight w:val="none"/>
        </w:rPr>
      </w:pPr>
      <w:r>
        <w:rPr>
          <w:rStyle w:val="41"/>
          <w:rFonts w:ascii="宋体" w:hAnsi="宋体" w:cs="宋体"/>
          <w:b/>
          <w:bCs/>
          <w:color w:val="auto"/>
          <w:kern w:val="0"/>
          <w:sz w:val="24"/>
          <w:szCs w:val="24"/>
          <w:highlight w:val="none"/>
        </w:rPr>
        <w:t>中小企业声明函（</w:t>
      </w:r>
      <w:r>
        <w:rPr>
          <w:rStyle w:val="41"/>
          <w:rFonts w:hint="eastAsia" w:ascii="宋体" w:hAnsi="宋体" w:cs="宋体"/>
          <w:b/>
          <w:bCs/>
          <w:color w:val="auto"/>
          <w:kern w:val="0"/>
          <w:sz w:val="24"/>
          <w:szCs w:val="24"/>
          <w:highlight w:val="none"/>
        </w:rPr>
        <w:t>工程</w:t>
      </w:r>
      <w:r>
        <w:rPr>
          <w:rStyle w:val="41"/>
          <w:rFonts w:ascii="宋体" w:hAnsi="宋体" w:cs="宋体"/>
          <w:b/>
          <w:bCs/>
          <w:color w:val="auto"/>
          <w:kern w:val="0"/>
          <w:sz w:val="24"/>
          <w:szCs w:val="24"/>
          <w:highlight w:val="none"/>
        </w:rPr>
        <w:t>）</w:t>
      </w:r>
    </w:p>
    <w:p>
      <w:pPr>
        <w:pStyle w:val="42"/>
        <w:ind w:left="63" w:right="63"/>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1"/>
          <w:rFonts w:ascii="宋体" w:hAnsi="宋体"/>
          <w:color w:val="auto"/>
          <w:kern w:val="0"/>
          <w:sz w:val="21"/>
          <w:szCs w:val="21"/>
          <w:highlight w:val="none"/>
        </w:rPr>
      </w:pPr>
      <w:r>
        <w:rPr>
          <w:rStyle w:val="41"/>
          <w:rFonts w:ascii="宋体" w:hAnsi="宋体"/>
          <w:color w:val="auto"/>
          <w:kern w:val="0"/>
          <w:sz w:val="21"/>
          <w:szCs w:val="21"/>
          <w:highlight w:val="none"/>
        </w:rPr>
        <w:t>本公司郑重声明，根据《政府采购促进中小企业发展管理办法》（财库﹝2020﹞46 号）的规定，本公司参加</w:t>
      </w:r>
      <w:r>
        <w:rPr>
          <w:rStyle w:val="41"/>
          <w:rFonts w:ascii="宋体" w:hAnsi="宋体"/>
          <w:color w:val="auto"/>
          <w:kern w:val="0"/>
          <w:sz w:val="21"/>
          <w:szCs w:val="21"/>
          <w:highlight w:val="none"/>
          <w:u w:val="single" w:color="000000"/>
        </w:rPr>
        <w:t>（单位名称）</w:t>
      </w:r>
      <w:r>
        <w:rPr>
          <w:rStyle w:val="41"/>
          <w:rFonts w:ascii="宋体" w:hAnsi="宋体"/>
          <w:color w:val="auto"/>
          <w:kern w:val="0"/>
          <w:sz w:val="21"/>
          <w:szCs w:val="21"/>
          <w:highlight w:val="none"/>
        </w:rPr>
        <w:t>的</w:t>
      </w:r>
      <w:r>
        <w:rPr>
          <w:rStyle w:val="41"/>
          <w:rFonts w:ascii="宋体" w:hAnsi="宋体"/>
          <w:color w:val="auto"/>
          <w:kern w:val="0"/>
          <w:sz w:val="21"/>
          <w:szCs w:val="21"/>
          <w:highlight w:val="none"/>
          <w:u w:val="single" w:color="000000"/>
        </w:rPr>
        <w:t>（项目名称）</w:t>
      </w:r>
      <w:r>
        <w:rPr>
          <w:rStyle w:val="41"/>
          <w:rFonts w:ascii="宋体" w:hAnsi="宋体"/>
          <w:color w:val="auto"/>
          <w:kern w:val="0"/>
          <w:sz w:val="21"/>
          <w:szCs w:val="21"/>
          <w:highlight w:val="none"/>
        </w:rPr>
        <w:t>采购活动，</w:t>
      </w:r>
      <w:r>
        <w:rPr>
          <w:rStyle w:val="41"/>
          <w:rFonts w:hint="eastAsia" w:ascii="宋体" w:hAnsi="宋体" w:eastAsia="宋体"/>
          <w:color w:val="auto"/>
          <w:kern w:val="0"/>
          <w:sz w:val="21"/>
          <w:szCs w:val="21"/>
          <w:highlight w:val="none"/>
          <w:lang w:val="en-US" w:eastAsia="zh-CN"/>
        </w:rPr>
        <w:t>工程的施工单位</w:t>
      </w:r>
      <w:r>
        <w:rPr>
          <w:rStyle w:val="41"/>
          <w:rFonts w:ascii="宋体" w:hAnsi="宋体"/>
          <w:color w:val="auto"/>
          <w:kern w:val="0"/>
          <w:sz w:val="21"/>
          <w:szCs w:val="21"/>
          <w:highlight w:val="none"/>
        </w:rPr>
        <w:t>全部</w:t>
      </w:r>
      <w:r>
        <w:rPr>
          <w:rStyle w:val="41"/>
          <w:rFonts w:hint="eastAsia" w:ascii="宋体" w:hAnsi="宋体" w:eastAsia="宋体"/>
          <w:color w:val="auto"/>
          <w:kern w:val="0"/>
          <w:sz w:val="21"/>
          <w:szCs w:val="21"/>
          <w:highlight w:val="none"/>
          <w:lang w:val="en-US" w:eastAsia="zh-CN"/>
        </w:rPr>
        <w:t>为</w:t>
      </w:r>
      <w:r>
        <w:rPr>
          <w:rStyle w:val="41"/>
          <w:rFonts w:ascii="宋体" w:hAnsi="宋体"/>
          <w:color w:val="auto"/>
          <w:kern w:val="0"/>
          <w:sz w:val="21"/>
          <w:szCs w:val="21"/>
          <w:highlight w:val="none"/>
        </w:rPr>
        <w:t>符合政策要求的中小企业。相关企业（含联合体中的中小企业、签订分包意向协议的中小企业）的具体情况如下：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1"/>
          <w:rFonts w:ascii="宋体" w:hAnsi="宋体"/>
          <w:color w:val="auto"/>
          <w:kern w:val="0"/>
          <w:sz w:val="21"/>
          <w:szCs w:val="21"/>
          <w:highlight w:val="none"/>
        </w:rPr>
      </w:pPr>
      <w:r>
        <w:rPr>
          <w:rStyle w:val="41"/>
          <w:rFonts w:ascii="宋体" w:hAnsi="宋体"/>
          <w:color w:val="auto"/>
          <w:kern w:val="0"/>
          <w:sz w:val="21"/>
          <w:szCs w:val="21"/>
          <w:highlight w:val="none"/>
        </w:rPr>
        <w:t xml:space="preserve">1. </w:t>
      </w:r>
      <w:r>
        <w:rPr>
          <w:rStyle w:val="41"/>
          <w:rFonts w:ascii="宋体" w:hAnsi="宋体"/>
          <w:color w:val="auto"/>
          <w:kern w:val="0"/>
          <w:sz w:val="21"/>
          <w:szCs w:val="21"/>
          <w:highlight w:val="none"/>
          <w:u w:val="single" w:color="000000"/>
        </w:rPr>
        <w:t xml:space="preserve">（标的名称） </w:t>
      </w:r>
      <w:r>
        <w:rPr>
          <w:rStyle w:val="41"/>
          <w:rFonts w:ascii="宋体" w:hAnsi="宋体"/>
          <w:color w:val="auto"/>
          <w:kern w:val="0"/>
          <w:sz w:val="21"/>
          <w:szCs w:val="21"/>
          <w:highlight w:val="none"/>
        </w:rPr>
        <w:t xml:space="preserve">，属于 </w:t>
      </w:r>
      <w:r>
        <w:rPr>
          <w:rStyle w:val="41"/>
          <w:rFonts w:ascii="宋体" w:hAnsi="宋体"/>
          <w:color w:val="auto"/>
          <w:kern w:val="0"/>
          <w:sz w:val="21"/>
          <w:szCs w:val="21"/>
          <w:highlight w:val="none"/>
          <w:u w:val="single" w:color="000000"/>
        </w:rPr>
        <w:t>（</w:t>
      </w:r>
      <w:r>
        <w:rPr>
          <w:rStyle w:val="41"/>
          <w:rFonts w:hint="eastAsia" w:ascii="宋体" w:hAnsi="宋体"/>
          <w:color w:val="auto"/>
          <w:kern w:val="0"/>
          <w:sz w:val="21"/>
          <w:szCs w:val="21"/>
          <w:highlight w:val="none"/>
          <w:u w:val="single" w:color="000000"/>
        </w:rPr>
        <w:t>招标</w:t>
      </w:r>
      <w:r>
        <w:rPr>
          <w:rStyle w:val="41"/>
          <w:rFonts w:ascii="宋体" w:hAnsi="宋体"/>
          <w:color w:val="auto"/>
          <w:kern w:val="0"/>
          <w:sz w:val="21"/>
          <w:szCs w:val="21"/>
          <w:highlight w:val="none"/>
          <w:u w:val="single" w:color="000000"/>
        </w:rPr>
        <w:t xml:space="preserve">文件中明确的所属行业） </w:t>
      </w:r>
      <w:r>
        <w:rPr>
          <w:rStyle w:val="41"/>
          <w:rFonts w:ascii="宋体" w:hAnsi="宋体"/>
          <w:color w:val="auto"/>
          <w:kern w:val="0"/>
          <w:sz w:val="21"/>
          <w:szCs w:val="21"/>
          <w:highlight w:val="none"/>
        </w:rPr>
        <w:t>； 承接企业为</w:t>
      </w:r>
      <w:r>
        <w:rPr>
          <w:rStyle w:val="41"/>
          <w:rFonts w:ascii="宋体" w:hAnsi="宋体"/>
          <w:color w:val="auto"/>
          <w:kern w:val="0"/>
          <w:sz w:val="21"/>
          <w:szCs w:val="21"/>
          <w:highlight w:val="none"/>
          <w:u w:val="single" w:color="000000"/>
        </w:rPr>
        <w:t>（企业名称）</w:t>
      </w:r>
      <w:r>
        <w:rPr>
          <w:rStyle w:val="41"/>
          <w:rFonts w:ascii="宋体" w:hAnsi="宋体"/>
          <w:color w:val="auto"/>
          <w:kern w:val="0"/>
          <w:sz w:val="21"/>
          <w:szCs w:val="21"/>
          <w:highlight w:val="none"/>
        </w:rPr>
        <w:t>，从业人员</w:t>
      </w:r>
      <w:r>
        <w:rPr>
          <w:rStyle w:val="41"/>
          <w:rFonts w:ascii="宋体" w:hAnsi="宋体"/>
          <w:color w:val="auto"/>
          <w:kern w:val="0"/>
          <w:sz w:val="21"/>
          <w:szCs w:val="21"/>
          <w:highlight w:val="none"/>
          <w:u w:val="single" w:color="000000"/>
        </w:rPr>
        <w:t xml:space="preserve">    </w:t>
      </w:r>
      <w:r>
        <w:rPr>
          <w:rStyle w:val="41"/>
          <w:rFonts w:ascii="宋体" w:hAnsi="宋体"/>
          <w:color w:val="auto"/>
          <w:kern w:val="0"/>
          <w:sz w:val="21"/>
          <w:szCs w:val="21"/>
          <w:highlight w:val="none"/>
        </w:rPr>
        <w:t>人，营业收入为</w:t>
      </w:r>
      <w:r>
        <w:rPr>
          <w:rStyle w:val="41"/>
          <w:rFonts w:ascii="宋体" w:hAnsi="宋体"/>
          <w:color w:val="auto"/>
          <w:kern w:val="0"/>
          <w:sz w:val="21"/>
          <w:szCs w:val="21"/>
          <w:highlight w:val="none"/>
          <w:u w:val="single" w:color="000000"/>
        </w:rPr>
        <w:t xml:space="preserve">    </w:t>
      </w:r>
      <w:r>
        <w:rPr>
          <w:rStyle w:val="41"/>
          <w:rFonts w:ascii="宋体" w:hAnsi="宋体"/>
          <w:color w:val="auto"/>
          <w:kern w:val="0"/>
          <w:sz w:val="21"/>
          <w:szCs w:val="21"/>
          <w:highlight w:val="none"/>
        </w:rPr>
        <w:t>万元，资产总额为</w:t>
      </w:r>
      <w:r>
        <w:rPr>
          <w:rStyle w:val="41"/>
          <w:rFonts w:ascii="宋体" w:hAnsi="宋体"/>
          <w:color w:val="auto"/>
          <w:kern w:val="0"/>
          <w:sz w:val="21"/>
          <w:szCs w:val="21"/>
          <w:highlight w:val="none"/>
          <w:u w:val="single" w:color="000000"/>
        </w:rPr>
        <w:t xml:space="preserve">    </w:t>
      </w:r>
      <w:r>
        <w:rPr>
          <w:rStyle w:val="41"/>
          <w:rFonts w:ascii="宋体" w:hAnsi="宋体"/>
          <w:color w:val="auto"/>
          <w:kern w:val="0"/>
          <w:sz w:val="21"/>
          <w:szCs w:val="21"/>
          <w:highlight w:val="none"/>
        </w:rPr>
        <w:t>万元，属于</w:t>
      </w:r>
      <w:r>
        <w:rPr>
          <w:rStyle w:val="41"/>
          <w:rFonts w:ascii="宋体" w:hAnsi="宋体"/>
          <w:color w:val="auto"/>
          <w:kern w:val="0"/>
          <w:sz w:val="21"/>
          <w:szCs w:val="21"/>
          <w:highlight w:val="none"/>
          <w:u w:val="single" w:color="000000"/>
        </w:rPr>
        <w:t>（中型企业、 小型企业、微型企业）</w:t>
      </w:r>
      <w:r>
        <w:rPr>
          <w:rStyle w:val="41"/>
          <w:rFonts w:ascii="宋体" w:hAnsi="宋体"/>
          <w:color w:val="auto"/>
          <w:kern w:val="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1"/>
          <w:rFonts w:ascii="宋体" w:hAnsi="宋体"/>
          <w:color w:val="auto"/>
          <w:kern w:val="0"/>
          <w:sz w:val="21"/>
          <w:szCs w:val="21"/>
          <w:highlight w:val="none"/>
        </w:rPr>
      </w:pPr>
      <w:r>
        <w:rPr>
          <w:rStyle w:val="41"/>
          <w:rFonts w:ascii="宋体" w:hAnsi="宋体"/>
          <w:color w:val="auto"/>
          <w:kern w:val="0"/>
          <w:sz w:val="21"/>
          <w:szCs w:val="21"/>
          <w:highlight w:val="none"/>
        </w:rPr>
        <w:t>以上企业，不属于大企业的分支机构，不存在控股股东 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1"/>
          <w:rFonts w:ascii="宋体" w:hAnsi="宋体"/>
          <w:color w:val="auto"/>
          <w:kern w:val="0"/>
          <w:sz w:val="21"/>
          <w:szCs w:val="21"/>
          <w:highlight w:val="none"/>
        </w:rPr>
      </w:pPr>
      <w:r>
        <w:rPr>
          <w:rStyle w:val="41"/>
          <w:rFonts w:ascii="宋体" w:hAnsi="宋体"/>
          <w:color w:val="auto"/>
          <w:kern w:val="0"/>
          <w:sz w:val="21"/>
          <w:szCs w:val="21"/>
          <w:highlight w:val="none"/>
        </w:rPr>
        <w:t xml:space="preserve">本企业对上述声明内容的真实性负责。如有虚假，将依法承担相应责任。 </w:t>
      </w:r>
    </w:p>
    <w:p>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1"/>
          <w:rFonts w:ascii="宋体" w:hAnsi="宋体"/>
          <w:color w:val="auto"/>
          <w:kern w:val="0"/>
          <w:sz w:val="21"/>
          <w:szCs w:val="21"/>
          <w:highlight w:val="none"/>
        </w:rPr>
      </w:pPr>
    </w:p>
    <w:p>
      <w:pPr>
        <w:widowControl/>
        <w:ind w:firstLine="2310" w:firstLineChars="1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1"/>
        <w:spacing w:line="300" w:lineRule="exact"/>
        <w:ind w:left="2940" w:leftChars="1400" w:firstLine="630" w:firstLineChars="300"/>
        <w:rPr>
          <w:rFonts w:hint="eastAsia" w:ascii="宋体" w:hAnsi="宋体" w:eastAsia="宋体" w:cs="宋体"/>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1"/>
          <w:rFonts w:ascii="宋体" w:hAnsi="宋体"/>
          <w:color w:val="auto"/>
          <w:kern w:val="0"/>
          <w:sz w:val="24"/>
          <w:szCs w:val="24"/>
          <w:highlight w:val="none"/>
        </w:rPr>
      </w:pPr>
    </w:p>
    <w:p>
      <w:pPr>
        <w:pStyle w:val="16"/>
        <w:rPr>
          <w:rFonts w:hint="eastAsia" w:ascii="宋体" w:hAnsi="宋体" w:eastAsia="宋体" w:cs="宋体"/>
          <w:b/>
          <w:color w:val="auto"/>
          <w:sz w:val="24"/>
          <w:szCs w:val="24"/>
          <w:highlight w:val="none"/>
        </w:rPr>
      </w:pPr>
    </w:p>
    <w:p>
      <w:pPr>
        <w:pStyle w:val="16"/>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备注：供应商应按照</w:t>
      </w:r>
      <w:r>
        <w:rPr>
          <w:rFonts w:hint="eastAsia" w:ascii="宋体" w:hAnsi="宋体" w:eastAsia="宋体" w:cs="宋体"/>
          <w:b/>
          <w:color w:val="auto"/>
          <w:sz w:val="21"/>
          <w:szCs w:val="21"/>
          <w:highlight w:val="none"/>
          <w:lang w:val="en-US" w:eastAsia="zh-CN"/>
        </w:rPr>
        <w:t>中小微型企业划分标准按照《国家统计局关于印发《统计上大中小微型企业划分办法〔2017〕》的通知》（国统字〔2017〕213号）</w:t>
      </w:r>
      <w:r>
        <w:rPr>
          <w:rFonts w:hint="eastAsia" w:ascii="宋体" w:hAnsi="宋体" w:eastAsia="宋体" w:cs="宋体"/>
          <w:b/>
          <w:color w:val="auto"/>
          <w:sz w:val="21"/>
          <w:szCs w:val="21"/>
          <w:highlight w:val="none"/>
        </w:rPr>
        <w:t>的划分标准进行如实申明，如提供虚假申明应依法承担相应法律责任。如成交人为小型和微型企业的，</w:t>
      </w:r>
      <w:r>
        <w:rPr>
          <w:rFonts w:hint="eastAsia" w:eastAsia="宋体" w:cs="宋体"/>
          <w:b/>
          <w:color w:val="auto"/>
          <w:sz w:val="21"/>
          <w:szCs w:val="21"/>
          <w:highlight w:val="none"/>
          <w:lang w:val="en-US" w:eastAsia="zh-CN"/>
        </w:rPr>
        <w:t>成交</w:t>
      </w:r>
      <w:r>
        <w:rPr>
          <w:rFonts w:hint="eastAsia" w:ascii="宋体" w:hAnsi="宋体" w:eastAsia="宋体" w:cs="宋体"/>
          <w:b/>
          <w:color w:val="auto"/>
          <w:sz w:val="21"/>
          <w:szCs w:val="21"/>
          <w:highlight w:val="none"/>
        </w:rPr>
        <w:t>结果将同时公告（或成交人的《中小企业声明函》，接受社会监督。</w:t>
      </w:r>
    </w:p>
    <w:p>
      <w:pPr>
        <w:spacing w:line="360" w:lineRule="auto"/>
        <w:rPr>
          <w:rFonts w:hint="eastAsia" w:ascii="宋体" w:hAnsi="宋体" w:eastAsia="宋体" w:cs="宋体"/>
          <w:b/>
          <w:color w:val="auto"/>
          <w:kern w:val="0"/>
          <w:sz w:val="24"/>
          <w:szCs w:val="24"/>
          <w:highlight w:val="none"/>
        </w:rPr>
      </w:pPr>
    </w:p>
    <w:p>
      <w:pPr>
        <w:spacing w:line="460" w:lineRule="exact"/>
        <w:rPr>
          <w:rFonts w:hint="eastAsia" w:ascii="宋体" w:hAnsi="宋体" w:eastAsia="宋体" w:cs="宋体"/>
          <w:b/>
          <w:color w:val="auto"/>
          <w:kern w:val="0"/>
          <w:sz w:val="24"/>
          <w:szCs w:val="24"/>
          <w:highlight w:val="none"/>
        </w:rPr>
      </w:pPr>
    </w:p>
    <w:p>
      <w:pPr>
        <w:pStyle w:val="2"/>
        <w:rPr>
          <w:rFonts w:hint="eastAsia" w:ascii="宋体" w:hAnsi="宋体" w:eastAsia="宋体" w:cs="宋体"/>
          <w:b/>
          <w:color w:val="auto"/>
          <w:kern w:val="0"/>
          <w:sz w:val="24"/>
          <w:szCs w:val="24"/>
          <w:highlight w:val="none"/>
        </w:rPr>
      </w:pPr>
    </w:p>
    <w:p>
      <w:pPr>
        <w:rPr>
          <w:rFonts w:hint="eastAsia"/>
          <w:color w:val="auto"/>
          <w:sz w:val="24"/>
          <w:szCs w:val="24"/>
          <w:highlight w:val="none"/>
        </w:rPr>
      </w:pPr>
    </w:p>
    <w:p>
      <w:pPr>
        <w:rPr>
          <w:rStyle w:val="41"/>
          <w:rFonts w:ascii="宋体" w:hAnsi="宋体" w:cs="宋体"/>
          <w:b/>
          <w:bCs/>
          <w:color w:val="auto"/>
          <w:sz w:val="24"/>
          <w:szCs w:val="24"/>
          <w:highlight w:val="none"/>
        </w:rPr>
      </w:pPr>
    </w:p>
    <w:p>
      <w:pPr>
        <w:rPr>
          <w:rStyle w:val="41"/>
          <w:rFonts w:ascii="宋体" w:hAnsi="宋体" w:cs="宋体"/>
          <w:b/>
          <w:bCs/>
          <w:color w:val="auto"/>
          <w:sz w:val="24"/>
          <w:szCs w:val="24"/>
          <w:highlight w:val="none"/>
        </w:rPr>
      </w:pPr>
    </w:p>
    <w:p>
      <w:pPr>
        <w:rPr>
          <w:rStyle w:val="41"/>
          <w:rFonts w:ascii="宋体" w:hAnsi="宋体" w:cs="宋体"/>
          <w:b/>
          <w:bCs/>
          <w:color w:val="auto"/>
          <w:sz w:val="24"/>
          <w:szCs w:val="24"/>
          <w:highlight w:val="none"/>
        </w:rPr>
      </w:pPr>
    </w:p>
    <w:p>
      <w:pPr>
        <w:rPr>
          <w:rStyle w:val="41"/>
          <w:rFonts w:ascii="宋体" w:hAnsi="宋体" w:cs="宋体"/>
          <w:b/>
          <w:bCs/>
          <w:color w:val="auto"/>
          <w:sz w:val="24"/>
          <w:szCs w:val="24"/>
          <w:highlight w:val="none"/>
        </w:rPr>
      </w:pPr>
    </w:p>
    <w:p>
      <w:pPr>
        <w:rPr>
          <w:rStyle w:val="41"/>
          <w:rFonts w:ascii="宋体" w:hAnsi="宋体" w:cs="宋体"/>
          <w:b/>
          <w:bCs/>
          <w:color w:val="auto"/>
          <w:sz w:val="24"/>
          <w:szCs w:val="24"/>
          <w:highlight w:val="none"/>
        </w:rPr>
      </w:pPr>
    </w:p>
    <w:p>
      <w:pPr>
        <w:pStyle w:val="2"/>
        <w:rPr>
          <w:rStyle w:val="41"/>
          <w:rFonts w:ascii="宋体" w:hAnsi="宋体" w:cs="宋体"/>
          <w:b/>
          <w:bCs/>
          <w:color w:val="auto"/>
          <w:sz w:val="24"/>
          <w:szCs w:val="24"/>
          <w:highlight w:val="none"/>
        </w:rPr>
      </w:pPr>
    </w:p>
    <w:p>
      <w:pPr>
        <w:rPr>
          <w:rStyle w:val="41"/>
          <w:rFonts w:ascii="宋体" w:hAnsi="宋体" w:cs="宋体"/>
          <w:b/>
          <w:bCs/>
          <w:color w:val="auto"/>
          <w:sz w:val="24"/>
          <w:szCs w:val="24"/>
          <w:highlight w:val="none"/>
        </w:rPr>
      </w:pPr>
    </w:p>
    <w:p>
      <w:pPr>
        <w:pStyle w:val="2"/>
        <w:rPr>
          <w:color w:val="auto"/>
          <w:highlight w:val="none"/>
        </w:rPr>
      </w:pPr>
    </w:p>
    <w:p>
      <w:pPr>
        <w:rPr>
          <w:rStyle w:val="41"/>
          <w:rFonts w:ascii="宋体" w:hAnsi="宋体" w:cs="宋体"/>
          <w:b/>
          <w:bCs/>
          <w:color w:val="auto"/>
          <w:sz w:val="24"/>
          <w:szCs w:val="24"/>
          <w:highlight w:val="none"/>
        </w:rPr>
      </w:pPr>
    </w:p>
    <w:p>
      <w:pPr>
        <w:rPr>
          <w:rStyle w:val="41"/>
          <w:rFonts w:ascii="宋体" w:hAnsi="宋体" w:cs="宋体"/>
          <w:b/>
          <w:bCs/>
          <w:color w:val="auto"/>
          <w:sz w:val="24"/>
          <w:szCs w:val="24"/>
          <w:highlight w:val="none"/>
        </w:rPr>
      </w:pPr>
    </w:p>
    <w:p>
      <w:pPr>
        <w:rPr>
          <w:rStyle w:val="41"/>
          <w:rFonts w:ascii="宋体" w:hAnsi="宋体" w:cs="宋体"/>
          <w:b/>
          <w:bCs/>
          <w:color w:val="auto"/>
          <w:sz w:val="24"/>
          <w:szCs w:val="24"/>
          <w:highlight w:val="none"/>
        </w:rPr>
      </w:pPr>
      <w:r>
        <w:rPr>
          <w:rStyle w:val="41"/>
          <w:rFonts w:ascii="宋体" w:hAnsi="宋体" w:cs="宋体"/>
          <w:b/>
          <w:bCs/>
          <w:color w:val="auto"/>
          <w:sz w:val="24"/>
          <w:szCs w:val="24"/>
          <w:highlight w:val="none"/>
        </w:rPr>
        <w:t>附表</w:t>
      </w:r>
    </w:p>
    <w:p>
      <w:pPr>
        <w:spacing w:before="120" w:after="120" w:line="400" w:lineRule="exact"/>
        <w:jc w:val="center"/>
        <w:rPr>
          <w:rStyle w:val="41"/>
          <w:rFonts w:ascii="宋体" w:hAnsi="宋体" w:cs="宋体"/>
          <w:b/>
          <w:bCs/>
          <w:color w:val="auto"/>
          <w:kern w:val="0"/>
          <w:sz w:val="24"/>
          <w:szCs w:val="24"/>
          <w:highlight w:val="none"/>
        </w:rPr>
      </w:pPr>
      <w:r>
        <w:rPr>
          <w:rStyle w:val="41"/>
          <w:rFonts w:ascii="宋体" w:hAnsi="宋体" w:cs="宋体"/>
          <w:b/>
          <w:bCs/>
          <w:color w:val="auto"/>
          <w:kern w:val="0"/>
          <w:sz w:val="24"/>
          <w:szCs w:val="24"/>
          <w:highlight w:val="none"/>
        </w:rPr>
        <w:t>统计上大中小微型企业划分标准</w:t>
      </w:r>
    </w:p>
    <w:tbl>
      <w:tblPr>
        <w:tblStyle w:val="18"/>
        <w:tblW w:w="943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blHeader/>
        </w:trPr>
        <w:tc>
          <w:tcPr>
            <w:tcW w:w="2113" w:type="dxa"/>
            <w:tcBorders>
              <w:top w:val="single" w:color="000000" w:sz="4" w:space="0"/>
              <w:left w:val="single" w:color="000000" w:sz="4" w:space="0"/>
              <w:bottom w:val="single" w:color="000000" w:sz="4" w:space="0"/>
              <w:right w:val="single" w:color="000000" w:sz="4" w:space="0"/>
            </w:tcBorders>
            <w:shd w:val="clear" w:color="auto" w:fill="8DB3E2"/>
            <w:vAlign w:val="center"/>
          </w:tcPr>
          <w:p>
            <w:pPr>
              <w:spacing w:line="240" w:lineRule="exact"/>
              <w:jc w:val="center"/>
              <w:rPr>
                <w:rStyle w:val="41"/>
                <w:rFonts w:hint="eastAsia" w:ascii="宋体" w:hAnsi="宋体" w:eastAsia="宋体" w:cs="宋体"/>
                <w:b/>
                <w:bCs/>
                <w:color w:val="auto"/>
                <w:kern w:val="0"/>
                <w:sz w:val="21"/>
                <w:szCs w:val="21"/>
                <w:highlight w:val="none"/>
              </w:rPr>
            </w:pPr>
            <w:r>
              <w:rPr>
                <w:rStyle w:val="41"/>
                <w:rFonts w:hint="eastAsia" w:ascii="宋体" w:hAnsi="宋体" w:eastAsia="宋体" w:cs="宋体"/>
                <w:b/>
                <w:bCs/>
                <w:color w:val="auto"/>
                <w:kern w:val="0"/>
                <w:sz w:val="21"/>
                <w:szCs w:val="21"/>
                <w:highlight w:val="none"/>
              </w:rPr>
              <w:t>行业名称</w:t>
            </w:r>
          </w:p>
        </w:tc>
        <w:tc>
          <w:tcPr>
            <w:tcW w:w="1369" w:type="dxa"/>
            <w:tcBorders>
              <w:top w:val="single" w:color="000000" w:sz="4" w:space="0"/>
              <w:left w:val="single" w:color="000000" w:sz="4" w:space="0"/>
              <w:bottom w:val="single" w:color="000000" w:sz="4" w:space="0"/>
              <w:right w:val="single" w:color="000000" w:sz="4" w:space="0"/>
            </w:tcBorders>
            <w:shd w:val="clear" w:color="auto" w:fill="8DB3E2"/>
            <w:vAlign w:val="center"/>
          </w:tcPr>
          <w:p>
            <w:pPr>
              <w:jc w:val="center"/>
              <w:rPr>
                <w:rStyle w:val="41"/>
                <w:rFonts w:hint="eastAsia" w:ascii="宋体" w:hAnsi="宋体" w:eastAsia="宋体" w:cs="宋体"/>
                <w:b/>
                <w:bCs/>
                <w:color w:val="auto"/>
                <w:kern w:val="0"/>
                <w:sz w:val="21"/>
                <w:szCs w:val="21"/>
                <w:highlight w:val="none"/>
              </w:rPr>
            </w:pPr>
            <w:r>
              <w:rPr>
                <w:rStyle w:val="41"/>
                <w:rFonts w:hint="eastAsia" w:ascii="宋体" w:hAnsi="宋体" w:eastAsia="宋体" w:cs="宋体"/>
                <w:b/>
                <w:bCs/>
                <w:color w:val="auto"/>
                <w:kern w:val="0"/>
                <w:sz w:val="21"/>
                <w:szCs w:val="21"/>
                <w:highlight w:val="none"/>
              </w:rPr>
              <w:t>指标名称</w:t>
            </w:r>
          </w:p>
        </w:tc>
        <w:tc>
          <w:tcPr>
            <w:tcW w:w="709" w:type="dxa"/>
            <w:tcBorders>
              <w:top w:val="single" w:color="000000" w:sz="4" w:space="0"/>
              <w:left w:val="single" w:color="000000" w:sz="4" w:space="0"/>
              <w:bottom w:val="single" w:color="000000" w:sz="4" w:space="0"/>
              <w:right w:val="single" w:color="000000" w:sz="4" w:space="0"/>
            </w:tcBorders>
            <w:shd w:val="clear" w:color="auto" w:fill="8DB3E2"/>
            <w:vAlign w:val="center"/>
          </w:tcPr>
          <w:p>
            <w:pPr>
              <w:jc w:val="center"/>
              <w:rPr>
                <w:rStyle w:val="41"/>
                <w:rFonts w:hint="eastAsia" w:ascii="宋体" w:hAnsi="宋体" w:eastAsia="宋体" w:cs="宋体"/>
                <w:b/>
                <w:bCs/>
                <w:color w:val="auto"/>
                <w:kern w:val="0"/>
                <w:sz w:val="21"/>
                <w:szCs w:val="21"/>
                <w:highlight w:val="none"/>
                <w:lang w:eastAsia="zh-CN"/>
              </w:rPr>
            </w:pPr>
            <w:r>
              <w:rPr>
                <w:rStyle w:val="41"/>
                <w:rFonts w:hint="eastAsia" w:ascii="宋体" w:hAnsi="宋体" w:eastAsia="宋体" w:cs="宋体"/>
                <w:b/>
                <w:bCs/>
                <w:color w:val="auto"/>
                <w:kern w:val="0"/>
                <w:sz w:val="21"/>
                <w:szCs w:val="21"/>
                <w:highlight w:val="none"/>
              </w:rPr>
              <w:t>计量</w:t>
            </w:r>
          </w:p>
          <w:p>
            <w:pPr>
              <w:jc w:val="center"/>
              <w:rPr>
                <w:rStyle w:val="41"/>
                <w:rFonts w:hint="eastAsia" w:ascii="宋体" w:hAnsi="宋体" w:eastAsia="宋体" w:cs="宋体"/>
                <w:b/>
                <w:bCs/>
                <w:color w:val="auto"/>
                <w:kern w:val="0"/>
                <w:sz w:val="21"/>
                <w:szCs w:val="21"/>
                <w:highlight w:val="none"/>
              </w:rPr>
            </w:pPr>
            <w:r>
              <w:rPr>
                <w:rStyle w:val="41"/>
                <w:rFonts w:hint="eastAsia" w:ascii="宋体" w:hAnsi="宋体" w:eastAsia="宋体" w:cs="宋体"/>
                <w:b/>
                <w:bCs/>
                <w:color w:val="auto"/>
                <w:kern w:val="0"/>
                <w:sz w:val="21"/>
                <w:szCs w:val="21"/>
                <w:highlight w:val="none"/>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8DB3E2"/>
            <w:vAlign w:val="center"/>
          </w:tcPr>
          <w:p>
            <w:pPr>
              <w:jc w:val="center"/>
              <w:rPr>
                <w:rStyle w:val="41"/>
                <w:rFonts w:hint="eastAsia" w:ascii="宋体" w:hAnsi="宋体" w:eastAsia="宋体" w:cs="宋体"/>
                <w:b/>
                <w:bCs/>
                <w:color w:val="auto"/>
                <w:kern w:val="0"/>
                <w:sz w:val="21"/>
                <w:szCs w:val="21"/>
                <w:highlight w:val="none"/>
              </w:rPr>
            </w:pPr>
            <w:r>
              <w:rPr>
                <w:rStyle w:val="41"/>
                <w:rFonts w:hint="eastAsia" w:ascii="宋体" w:hAnsi="宋体" w:eastAsia="宋体" w:cs="宋体"/>
                <w:b/>
                <w:bCs/>
                <w:color w:val="auto"/>
                <w:kern w:val="0"/>
                <w:sz w:val="21"/>
                <w:szCs w:val="21"/>
                <w:highlight w:val="none"/>
              </w:rPr>
              <w:t>大型</w:t>
            </w:r>
          </w:p>
        </w:tc>
        <w:tc>
          <w:tcPr>
            <w:tcW w:w="1701" w:type="dxa"/>
            <w:tcBorders>
              <w:top w:val="single" w:color="000000" w:sz="4" w:space="0"/>
              <w:left w:val="single" w:color="000000" w:sz="4" w:space="0"/>
              <w:bottom w:val="single" w:color="000000" w:sz="4" w:space="0"/>
              <w:right w:val="single" w:color="000000" w:sz="4" w:space="0"/>
            </w:tcBorders>
            <w:shd w:val="clear" w:color="auto" w:fill="8DB3E2"/>
            <w:vAlign w:val="center"/>
          </w:tcPr>
          <w:p>
            <w:pPr>
              <w:jc w:val="center"/>
              <w:rPr>
                <w:rStyle w:val="41"/>
                <w:rFonts w:hint="eastAsia" w:ascii="宋体" w:hAnsi="宋体" w:eastAsia="宋体" w:cs="宋体"/>
                <w:b/>
                <w:bCs/>
                <w:color w:val="auto"/>
                <w:kern w:val="0"/>
                <w:sz w:val="21"/>
                <w:szCs w:val="21"/>
                <w:highlight w:val="none"/>
              </w:rPr>
            </w:pPr>
            <w:r>
              <w:rPr>
                <w:rStyle w:val="41"/>
                <w:rFonts w:hint="eastAsia" w:ascii="宋体" w:hAnsi="宋体" w:eastAsia="宋体" w:cs="宋体"/>
                <w:b/>
                <w:bCs/>
                <w:color w:val="auto"/>
                <w:kern w:val="0"/>
                <w:sz w:val="21"/>
                <w:szCs w:val="21"/>
                <w:highlight w:val="none"/>
              </w:rPr>
              <w:t>中型</w:t>
            </w:r>
          </w:p>
        </w:tc>
        <w:tc>
          <w:tcPr>
            <w:tcW w:w="1426" w:type="dxa"/>
            <w:tcBorders>
              <w:top w:val="single" w:color="000000" w:sz="4" w:space="0"/>
              <w:left w:val="single" w:color="000000" w:sz="4" w:space="0"/>
              <w:bottom w:val="single" w:color="000000" w:sz="4" w:space="0"/>
              <w:right w:val="single" w:color="000000" w:sz="4" w:space="0"/>
            </w:tcBorders>
            <w:shd w:val="clear" w:color="auto" w:fill="8DB3E2"/>
            <w:vAlign w:val="center"/>
          </w:tcPr>
          <w:p>
            <w:pPr>
              <w:jc w:val="center"/>
              <w:rPr>
                <w:rStyle w:val="41"/>
                <w:rFonts w:hint="eastAsia" w:ascii="宋体" w:hAnsi="宋体" w:eastAsia="宋体" w:cs="宋体"/>
                <w:b/>
                <w:bCs/>
                <w:color w:val="auto"/>
                <w:kern w:val="0"/>
                <w:sz w:val="21"/>
                <w:szCs w:val="21"/>
                <w:highlight w:val="none"/>
              </w:rPr>
            </w:pPr>
            <w:r>
              <w:rPr>
                <w:rStyle w:val="41"/>
                <w:rFonts w:hint="eastAsia" w:ascii="宋体" w:hAnsi="宋体" w:eastAsia="宋体" w:cs="宋体"/>
                <w:b/>
                <w:bCs/>
                <w:color w:val="auto"/>
                <w:kern w:val="0"/>
                <w:sz w:val="21"/>
                <w:szCs w:val="21"/>
                <w:highlight w:val="none"/>
              </w:rPr>
              <w:t>小型</w:t>
            </w:r>
          </w:p>
        </w:tc>
        <w:tc>
          <w:tcPr>
            <w:tcW w:w="992" w:type="dxa"/>
            <w:tcBorders>
              <w:top w:val="single" w:color="000000" w:sz="4" w:space="0"/>
              <w:left w:val="single" w:color="000000" w:sz="4" w:space="0"/>
              <w:bottom w:val="single" w:color="000000" w:sz="4" w:space="0"/>
              <w:right w:val="single" w:color="000000" w:sz="4" w:space="0"/>
            </w:tcBorders>
            <w:shd w:val="clear" w:color="auto" w:fill="8DB3E2"/>
            <w:vAlign w:val="center"/>
          </w:tcPr>
          <w:p>
            <w:pPr>
              <w:jc w:val="center"/>
              <w:rPr>
                <w:rStyle w:val="41"/>
                <w:rFonts w:hint="eastAsia" w:ascii="宋体" w:hAnsi="宋体" w:eastAsia="宋体" w:cs="宋体"/>
                <w:b/>
                <w:bCs/>
                <w:color w:val="auto"/>
                <w:kern w:val="0"/>
                <w:sz w:val="21"/>
                <w:szCs w:val="21"/>
                <w:highlight w:val="none"/>
              </w:rPr>
            </w:pPr>
            <w:r>
              <w:rPr>
                <w:rStyle w:val="41"/>
                <w:rFonts w:hint="eastAsia" w:ascii="宋体" w:hAnsi="宋体" w:eastAsia="宋体" w:cs="宋体"/>
                <w:b/>
                <w:bCs/>
                <w:color w:val="auto"/>
                <w:kern w:val="0"/>
                <w:sz w:val="21"/>
                <w:szCs w:val="21"/>
                <w:highlight w:val="none"/>
              </w:rPr>
              <w:t>微型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农、林、牧、渔业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500≤Y＜20000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50≤Y＜500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工业 *</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1"/>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2000≤Y＜40000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300≤Y＜2000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建筑业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Y≥80000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6000≤Y＜80000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300≤Y＜6000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1"/>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Z≥80000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5000≤Z＜80000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300≤Z＜5000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Z＜300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批发业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20≤X＜200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5≤X＜20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1"/>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5000≤Y＜40000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left="-1" w:leftChars="-1" w:hanging="1"/>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1000≤Y＜5000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零售业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50≤X＜300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left="-1" w:leftChars="-1" w:hanging="1"/>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 xml:space="preserve">10≤X＜50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1"/>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500≤Y＜20000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left="-1" w:leftChars="-1" w:hanging="1"/>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100≤Y＜500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交通运输业 *</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1"/>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3000≤Y＜30000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200≤Y＜3000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仓储业*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 w:leftChars="-51" w:hanging="108"/>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100≤X＜200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20≤X＜100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1"/>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1000≤Y＜30000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邮政业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1"/>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2000≤Y＜30000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住宿业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 w:leftChars="-51" w:hanging="108"/>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1"/>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餐饮业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 w:leftChars="-51" w:hanging="108"/>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1"/>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信息传输业 *</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X≥2000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100≤X＜2000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1"/>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Y≥100000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1000≤Y＜100000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1"/>
                <w:rFonts w:hint="eastAsia" w:ascii="宋体" w:hAnsi="宋体" w:eastAsia="宋体" w:cs="宋体"/>
                <w:color w:val="auto"/>
                <w:spacing w:val="-12"/>
                <w:kern w:val="0"/>
                <w:sz w:val="21"/>
                <w:szCs w:val="21"/>
                <w:highlight w:val="none"/>
              </w:rPr>
            </w:pPr>
            <w:r>
              <w:rPr>
                <w:rStyle w:val="41"/>
                <w:rFonts w:hint="eastAsia" w:ascii="宋体" w:hAnsi="宋体" w:eastAsia="宋体" w:cs="宋体"/>
                <w:color w:val="auto"/>
                <w:spacing w:val="-12"/>
                <w:kern w:val="0"/>
                <w:sz w:val="21"/>
                <w:szCs w:val="21"/>
                <w:highlight w:val="none"/>
              </w:rPr>
              <w:t>软件和信息技术服</w:t>
            </w:r>
            <w:r>
              <w:rPr>
                <w:rStyle w:val="41"/>
                <w:rFonts w:hint="eastAsia" w:ascii="宋体" w:hAnsi="宋体" w:eastAsia="宋体" w:cs="宋体"/>
                <w:color w:val="auto"/>
                <w:kern w:val="0"/>
                <w:sz w:val="21"/>
                <w:szCs w:val="21"/>
                <w:highlight w:val="none"/>
              </w:rPr>
              <w:t>务业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 w:leftChars="-51" w:hanging="108"/>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1"/>
                <w:rFonts w:hint="eastAsia" w:ascii="宋体" w:hAnsi="宋体" w:eastAsia="宋体" w:cs="宋体"/>
                <w:color w:val="auto"/>
                <w:spacing w:val="-12"/>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1000≤Y＜10000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50≤Y＜1000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房地产开发经营</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Y≥200000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1000≤Y＜200000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1"/>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Z≥10000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5000≤Z＜10000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2000≤Z＜5000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Z＜2000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物业管理</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100≤X＜300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1"/>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Y≥5000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 w:leftChars="-51" w:hanging="108"/>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1000≤Y＜5000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500≤Y＜1000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Y＜500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租赁和商务服务业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 w:leftChars="-51" w:hanging="108"/>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1"/>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Z≥120000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8000≤Z＜120000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100≤Z＜8000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Z＜100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其他未列明行业 *</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 w:leftChars="-51" w:hanging="108"/>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1"/>
                <w:rFonts w:hint="eastAsia" w:ascii="宋体" w:hAnsi="宋体" w:eastAsia="宋体" w:cs="宋体"/>
                <w:color w:val="auto"/>
                <w:kern w:val="0"/>
                <w:sz w:val="21"/>
                <w:szCs w:val="21"/>
                <w:highlight w:val="none"/>
              </w:rPr>
            </w:pPr>
            <w:r>
              <w:rPr>
                <w:rStyle w:val="41"/>
                <w:rFonts w:hint="eastAsia" w:ascii="宋体" w:hAnsi="宋体" w:eastAsia="宋体" w:cs="宋体"/>
                <w:color w:val="auto"/>
                <w:kern w:val="0"/>
                <w:sz w:val="21"/>
                <w:szCs w:val="21"/>
                <w:highlight w:val="none"/>
              </w:rPr>
              <w:t>X＜10</w:t>
            </w:r>
          </w:p>
        </w:tc>
      </w:tr>
    </w:tbl>
    <w:p>
      <w:pPr>
        <w:spacing w:line="540" w:lineRule="exact"/>
        <w:rPr>
          <w:rStyle w:val="41"/>
          <w:rFonts w:ascii="宋体" w:hAnsi="宋体"/>
          <w:color w:val="auto"/>
          <w:spacing w:val="8"/>
          <w:kern w:val="0"/>
          <w:sz w:val="24"/>
          <w:szCs w:val="24"/>
          <w:highlight w:val="none"/>
        </w:rPr>
      </w:pPr>
    </w:p>
    <w:p>
      <w:pPr>
        <w:spacing w:line="540" w:lineRule="exact"/>
        <w:rPr>
          <w:rStyle w:val="41"/>
          <w:rFonts w:ascii="宋体" w:hAnsi="宋体"/>
          <w:color w:val="auto"/>
          <w:spacing w:val="8"/>
          <w:kern w:val="0"/>
          <w:sz w:val="24"/>
          <w:szCs w:val="24"/>
          <w:highlight w:val="none"/>
        </w:rPr>
      </w:pPr>
    </w:p>
    <w:p>
      <w:pPr>
        <w:spacing w:line="540" w:lineRule="exact"/>
        <w:rPr>
          <w:rStyle w:val="41"/>
          <w:rFonts w:ascii="宋体" w:hAnsi="宋体"/>
          <w:color w:val="auto"/>
          <w:spacing w:val="8"/>
          <w:kern w:val="0"/>
          <w:sz w:val="21"/>
          <w:szCs w:val="21"/>
          <w:highlight w:val="none"/>
        </w:rPr>
      </w:pPr>
      <w:r>
        <w:rPr>
          <w:rStyle w:val="41"/>
          <w:rFonts w:ascii="宋体" w:hAnsi="宋体"/>
          <w:color w:val="auto"/>
          <w:spacing w:val="8"/>
          <w:kern w:val="0"/>
          <w:sz w:val="21"/>
          <w:szCs w:val="21"/>
          <w:highlight w:val="none"/>
        </w:rPr>
        <w:t>说明：</w:t>
      </w:r>
    </w:p>
    <w:p>
      <w:pPr>
        <w:pStyle w:val="43"/>
        <w:spacing w:line="380" w:lineRule="exact"/>
        <w:ind w:firstLine="452" w:firstLineChars="200"/>
        <w:rPr>
          <w:rStyle w:val="41"/>
          <w:rFonts w:hAnsi="宋体"/>
          <w:color w:val="auto"/>
          <w:spacing w:val="8"/>
          <w:sz w:val="21"/>
          <w:szCs w:val="21"/>
          <w:highlight w:val="none"/>
        </w:rPr>
      </w:pPr>
      <w:r>
        <w:rPr>
          <w:rStyle w:val="41"/>
          <w:rFonts w:hAnsi="宋体"/>
          <w:color w:val="auto"/>
          <w:spacing w:val="8"/>
          <w:sz w:val="21"/>
          <w:szCs w:val="21"/>
          <w:highlight w:val="none"/>
        </w:rPr>
        <w:t>1.大型、中型和小型企业须同时满足所列指标的下限，否则下划一档；微型企业只须满足所列指标中的一项即可。</w:t>
      </w:r>
    </w:p>
    <w:p>
      <w:pPr>
        <w:pStyle w:val="43"/>
        <w:spacing w:line="380" w:lineRule="exact"/>
        <w:ind w:firstLine="452" w:firstLineChars="200"/>
        <w:rPr>
          <w:rStyle w:val="41"/>
          <w:rFonts w:hAnsi="宋体"/>
          <w:color w:val="auto"/>
          <w:spacing w:val="8"/>
          <w:sz w:val="21"/>
          <w:szCs w:val="21"/>
          <w:highlight w:val="none"/>
        </w:rPr>
      </w:pPr>
      <w:r>
        <w:rPr>
          <w:rStyle w:val="41"/>
          <w:rFonts w:hAnsi="宋体"/>
          <w:color w:val="auto"/>
          <w:spacing w:val="8"/>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1"/>
        <w:spacing w:line="340" w:lineRule="exact"/>
        <w:rPr>
          <w:rFonts w:hint="eastAsia" w:ascii="宋体" w:hAnsi="宋体" w:eastAsia="宋体" w:cs="宋体"/>
          <w:b/>
          <w:color w:val="auto"/>
          <w:sz w:val="21"/>
          <w:szCs w:val="21"/>
          <w:highlight w:val="none"/>
          <w:lang w:val="en-US" w:eastAsia="zh-CN"/>
        </w:rPr>
      </w:pPr>
      <w:r>
        <w:rPr>
          <w:rStyle w:val="41"/>
          <w:rFonts w:hAnsi="宋体"/>
          <w:color w:val="auto"/>
          <w:spacing w:val="8"/>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1"/>
        <w:spacing w:line="340" w:lineRule="exact"/>
        <w:rPr>
          <w:rFonts w:hint="eastAsia" w:ascii="宋体" w:hAnsi="宋体" w:eastAsia="宋体" w:cs="宋体"/>
          <w:b/>
          <w:color w:val="auto"/>
          <w:sz w:val="24"/>
          <w:szCs w:val="24"/>
          <w:highlight w:val="none"/>
          <w:lang w:val="en-US" w:eastAsia="zh-CN"/>
        </w:rPr>
      </w:pPr>
    </w:p>
    <w:p>
      <w:pPr>
        <w:pStyle w:val="6"/>
        <w:rPr>
          <w:rFonts w:hint="eastAsia" w:hAnsi="宋体" w:eastAsia="宋体" w:cs="宋体"/>
          <w:b/>
          <w:color w:val="auto"/>
          <w:sz w:val="24"/>
          <w:szCs w:val="24"/>
          <w:highlight w:val="none"/>
          <w:lang w:val="en-US" w:eastAsia="zh-CN"/>
        </w:rPr>
      </w:pPr>
    </w:p>
    <w:p>
      <w:pPr>
        <w:rPr>
          <w:rFonts w:hint="eastAsia"/>
          <w:color w:val="auto"/>
          <w:sz w:val="24"/>
          <w:szCs w:val="24"/>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rPr>
          <w:rFonts w:hint="eastAsia"/>
          <w:color w:val="auto"/>
          <w:highlight w:val="none"/>
          <w:lang w:val="en-US" w:eastAsia="zh-CN"/>
        </w:rPr>
      </w:pPr>
    </w:p>
    <w:p>
      <w:pPr>
        <w:pStyle w:val="2"/>
        <w:rPr>
          <w:rFonts w:hint="eastAsia"/>
          <w:color w:val="auto"/>
          <w:highlight w:val="none"/>
          <w:lang w:val="en-US" w:eastAsia="zh-CN"/>
        </w:rPr>
      </w:pPr>
    </w:p>
    <w:p>
      <w:pPr>
        <w:pStyle w:val="11"/>
        <w:spacing w:line="340" w:lineRule="exact"/>
        <w:rPr>
          <w:rFonts w:hint="default" w:ascii="宋体"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lang w:val="en-US" w:eastAsia="zh-CN"/>
        </w:rPr>
        <w:t>.供应商有效的安全生产许可证书复印件（必须提供）；</w:t>
      </w:r>
    </w:p>
    <w:p>
      <w:pPr>
        <w:pStyle w:val="11"/>
        <w:spacing w:line="340" w:lineRule="exact"/>
        <w:rPr>
          <w:rFonts w:hint="eastAsia" w:ascii="宋体" w:hAnsi="宋体" w:eastAsia="宋体" w:cs="宋体"/>
          <w:b/>
          <w:color w:val="auto"/>
          <w:sz w:val="24"/>
          <w:szCs w:val="24"/>
          <w:highlight w:val="none"/>
          <w:lang w:val="en-US" w:eastAsia="zh-CN"/>
        </w:rPr>
      </w:pPr>
    </w:p>
    <w:p>
      <w:pPr>
        <w:pStyle w:val="11"/>
        <w:spacing w:line="340" w:lineRule="exact"/>
        <w:rPr>
          <w:rFonts w:hint="eastAsia" w:ascii="宋体" w:hAnsi="宋体" w:eastAsia="宋体" w:cs="宋体"/>
          <w:b/>
          <w:color w:val="auto"/>
          <w:sz w:val="24"/>
          <w:szCs w:val="24"/>
          <w:highlight w:val="none"/>
          <w:lang w:val="en-US" w:eastAsia="zh-CN"/>
        </w:rPr>
      </w:pPr>
    </w:p>
    <w:p>
      <w:pPr>
        <w:rPr>
          <w:rFonts w:hint="eastAsia"/>
          <w:color w:val="auto"/>
          <w:sz w:val="24"/>
          <w:szCs w:val="24"/>
          <w:highlight w:val="none"/>
          <w:lang w:val="en-US" w:eastAsia="zh-CN"/>
        </w:rPr>
      </w:pPr>
    </w:p>
    <w:p>
      <w:pPr>
        <w:pStyle w:val="11"/>
        <w:spacing w:line="340" w:lineRule="exact"/>
        <w:rPr>
          <w:rFonts w:hint="eastAsia" w:ascii="宋体" w:hAnsi="宋体" w:eastAsia="宋体" w:cs="宋体"/>
          <w:b/>
          <w:color w:val="auto"/>
          <w:sz w:val="24"/>
          <w:szCs w:val="24"/>
          <w:highlight w:val="none"/>
          <w:lang w:val="en-US" w:eastAsia="zh-CN"/>
        </w:rPr>
      </w:pPr>
      <w:r>
        <w:rPr>
          <w:rFonts w:hint="eastAsia"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lang w:val="en-US" w:eastAsia="zh-CN"/>
        </w:rPr>
        <w:t>.</w:t>
      </w:r>
      <w:r>
        <w:rPr>
          <w:rFonts w:hint="eastAsia" w:hAnsi="宋体" w:cs="宋体"/>
          <w:b/>
          <w:color w:val="auto"/>
          <w:sz w:val="24"/>
          <w:szCs w:val="24"/>
          <w:highlight w:val="none"/>
          <w:lang w:val="en-US" w:eastAsia="zh-CN"/>
        </w:rPr>
        <w:t>供应商2022年度财务状况报告复印件</w:t>
      </w:r>
      <w:r>
        <w:rPr>
          <w:rFonts w:hint="eastAsia" w:ascii="宋体" w:hAnsi="宋体" w:eastAsia="宋体" w:cs="宋体"/>
          <w:b/>
          <w:color w:val="auto"/>
          <w:sz w:val="24"/>
          <w:szCs w:val="24"/>
          <w:highlight w:val="none"/>
          <w:lang w:val="en-US" w:eastAsia="zh-CN"/>
        </w:rPr>
        <w:t>（必须提供，可以是磋商供应商自行编制也可是通过第三方审计公司编制，如为自行编制至少须提供现金流量表、负债表及利润表）；</w:t>
      </w:r>
    </w:p>
    <w:p>
      <w:pPr>
        <w:pStyle w:val="7"/>
        <w:numPr>
          <w:ilvl w:val="0"/>
          <w:numId w:val="0"/>
        </w:numPr>
        <w:rPr>
          <w:rFonts w:hint="eastAsia" w:ascii="宋体" w:hAnsi="宋体" w:eastAsia="宋体" w:cs="宋体"/>
          <w:b/>
          <w:color w:val="auto"/>
          <w:sz w:val="24"/>
          <w:szCs w:val="24"/>
          <w:highlight w:val="none"/>
          <w:lang w:val="en-US" w:eastAsia="zh-CN"/>
        </w:rPr>
      </w:pPr>
    </w:p>
    <w:p>
      <w:pPr>
        <w:pStyle w:val="2"/>
        <w:rPr>
          <w:rFonts w:hint="eastAsia"/>
          <w:color w:val="auto"/>
          <w:sz w:val="24"/>
          <w:szCs w:val="24"/>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p>
      <w:pPr>
        <w:pStyle w:val="7"/>
        <w:numPr>
          <w:ilvl w:val="0"/>
          <w:numId w:val="0"/>
        </w:num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9.供应商在磋商当天前近半年内任意一个月或任一季度依法缴纳税收的证明材料（增值税发票(税收完税证明)或企业所得税完税证明或税务部门出具的免税证明）复印件（必须提供）。</w:t>
      </w:r>
    </w:p>
    <w:p>
      <w:pPr>
        <w:numPr>
          <w:ilvl w:val="0"/>
          <w:numId w:val="0"/>
        </w:numPr>
        <w:ind w:left="420" w:leftChars="0"/>
        <w:jc w:val="center"/>
        <w:rPr>
          <w:rFonts w:hint="eastAsia" w:ascii="宋体" w:hAnsi="宋体" w:cs="宋体"/>
          <w:b/>
          <w:bCs/>
          <w:color w:val="auto"/>
          <w:sz w:val="24"/>
          <w:szCs w:val="24"/>
          <w:highlight w:val="none"/>
          <w:lang w:eastAsia="zh-CN"/>
        </w:rPr>
      </w:pPr>
    </w:p>
    <w:p>
      <w:pPr>
        <w:numPr>
          <w:ilvl w:val="0"/>
          <w:numId w:val="0"/>
        </w:numPr>
        <w:ind w:left="420" w:leftChars="0"/>
        <w:jc w:val="center"/>
        <w:rPr>
          <w:rFonts w:hint="eastAsia" w:ascii="宋体" w:hAnsi="宋体" w:cs="宋体"/>
          <w:b/>
          <w:bCs/>
          <w:color w:val="auto"/>
          <w:sz w:val="24"/>
          <w:szCs w:val="24"/>
          <w:highlight w:val="none"/>
          <w:lang w:eastAsia="zh-CN"/>
        </w:rPr>
      </w:pPr>
    </w:p>
    <w:p>
      <w:pPr>
        <w:pStyle w:val="2"/>
        <w:rPr>
          <w:rFonts w:hint="eastAsia" w:ascii="宋体" w:hAnsi="宋体" w:cs="宋体"/>
          <w:b/>
          <w:bCs/>
          <w:color w:val="auto"/>
          <w:sz w:val="24"/>
          <w:szCs w:val="24"/>
          <w:highlight w:val="none"/>
          <w:lang w:eastAsia="zh-CN"/>
        </w:rPr>
      </w:pPr>
    </w:p>
    <w:p>
      <w:pPr>
        <w:rPr>
          <w:rFonts w:hint="eastAsia" w:ascii="宋体" w:hAnsi="宋体" w:cs="宋体"/>
          <w:b/>
          <w:bCs/>
          <w:color w:val="auto"/>
          <w:sz w:val="24"/>
          <w:szCs w:val="24"/>
          <w:highlight w:val="none"/>
          <w:lang w:eastAsia="zh-CN"/>
        </w:rPr>
      </w:pPr>
    </w:p>
    <w:p>
      <w:pPr>
        <w:pStyle w:val="2"/>
        <w:rPr>
          <w:rFonts w:hint="eastAsia" w:ascii="宋体" w:hAnsi="宋体" w:cs="宋体"/>
          <w:b/>
          <w:bCs/>
          <w:color w:val="auto"/>
          <w:sz w:val="24"/>
          <w:szCs w:val="24"/>
          <w:highlight w:val="none"/>
          <w:lang w:eastAsia="zh-CN"/>
        </w:rPr>
      </w:pPr>
    </w:p>
    <w:p>
      <w:pPr>
        <w:rPr>
          <w:rFonts w:hint="eastAsia"/>
          <w:color w:val="auto"/>
          <w:highlight w:val="none"/>
          <w:lang w:eastAsia="zh-CN"/>
        </w:rPr>
      </w:pPr>
    </w:p>
    <w:p>
      <w:pPr>
        <w:pStyle w:val="23"/>
        <w:rPr>
          <w:rFonts w:hint="eastAsia" w:ascii="宋体" w:hAnsi="宋体" w:cs="宋体"/>
          <w:b/>
          <w:bCs/>
          <w:color w:val="auto"/>
          <w:sz w:val="24"/>
          <w:szCs w:val="24"/>
          <w:highlight w:val="none"/>
          <w:lang w:eastAsia="zh-CN"/>
        </w:rPr>
      </w:pPr>
    </w:p>
    <w:p>
      <w:pPr>
        <w:pStyle w:val="23"/>
        <w:rPr>
          <w:rFonts w:hint="eastAsia" w:ascii="宋体" w:hAnsi="宋体" w:cs="宋体"/>
          <w:b/>
          <w:bCs/>
          <w:color w:val="auto"/>
          <w:sz w:val="24"/>
          <w:szCs w:val="24"/>
          <w:highlight w:val="none"/>
          <w:lang w:eastAsia="zh-CN"/>
        </w:rPr>
      </w:pPr>
    </w:p>
    <w:p>
      <w:pPr>
        <w:pStyle w:val="23"/>
        <w:rPr>
          <w:rFonts w:hint="eastAsia" w:ascii="宋体" w:hAnsi="宋体" w:cs="宋体"/>
          <w:b/>
          <w:bCs/>
          <w:color w:val="auto"/>
          <w:sz w:val="24"/>
          <w:szCs w:val="24"/>
          <w:highlight w:val="none"/>
          <w:lang w:eastAsia="zh-CN"/>
        </w:rPr>
      </w:pPr>
    </w:p>
    <w:p>
      <w:pPr>
        <w:numPr>
          <w:ilvl w:val="0"/>
          <w:numId w:val="0"/>
        </w:numPr>
        <w:jc w:val="center"/>
        <w:rPr>
          <w:rFonts w:hint="eastAsia" w:ascii="宋体" w:hAnsi="宋体" w:cs="宋体"/>
          <w:b/>
          <w:bCs/>
          <w:color w:val="auto"/>
          <w:sz w:val="24"/>
          <w:szCs w:val="24"/>
          <w:highlight w:val="none"/>
          <w:lang w:eastAsia="zh-CN"/>
        </w:rPr>
      </w:pPr>
    </w:p>
    <w:p>
      <w:pPr>
        <w:pStyle w:val="2"/>
        <w:rPr>
          <w:rFonts w:hint="eastAsia" w:ascii="宋体" w:hAnsi="宋体" w:cs="宋体"/>
          <w:b/>
          <w:bCs/>
          <w:color w:val="auto"/>
          <w:sz w:val="24"/>
          <w:szCs w:val="24"/>
          <w:highlight w:val="none"/>
          <w:lang w:eastAsia="zh-CN"/>
        </w:rPr>
      </w:pPr>
    </w:p>
    <w:p>
      <w:pPr>
        <w:rPr>
          <w:rFonts w:hint="eastAsia" w:ascii="宋体" w:hAnsi="宋体" w:cs="宋体"/>
          <w:b/>
          <w:bCs/>
          <w:color w:val="auto"/>
          <w:sz w:val="24"/>
          <w:szCs w:val="24"/>
          <w:highlight w:val="none"/>
          <w:lang w:eastAsia="zh-CN"/>
        </w:rPr>
      </w:pPr>
    </w:p>
    <w:p>
      <w:pPr>
        <w:pStyle w:val="2"/>
        <w:rPr>
          <w:rFonts w:hint="eastAsia" w:ascii="宋体" w:hAnsi="宋体" w:cs="宋体"/>
          <w:b/>
          <w:bCs/>
          <w:color w:val="auto"/>
          <w:sz w:val="24"/>
          <w:szCs w:val="24"/>
          <w:highlight w:val="none"/>
          <w:lang w:eastAsia="zh-CN"/>
        </w:rPr>
      </w:pPr>
    </w:p>
    <w:p>
      <w:pPr>
        <w:rPr>
          <w:rFonts w:hint="eastAsia" w:ascii="宋体" w:hAnsi="宋体" w:cs="宋体"/>
          <w:b/>
          <w:bCs/>
          <w:color w:val="auto"/>
          <w:sz w:val="24"/>
          <w:szCs w:val="24"/>
          <w:highlight w:val="none"/>
          <w:lang w:eastAsia="zh-CN"/>
        </w:rPr>
      </w:pPr>
    </w:p>
    <w:p>
      <w:pPr>
        <w:pStyle w:val="2"/>
        <w:rPr>
          <w:rFonts w:hint="eastAsia" w:ascii="宋体" w:hAnsi="宋体" w:cs="宋体"/>
          <w:b/>
          <w:bCs/>
          <w:color w:val="auto"/>
          <w:sz w:val="24"/>
          <w:szCs w:val="24"/>
          <w:highlight w:val="none"/>
          <w:lang w:eastAsia="zh-CN"/>
        </w:rPr>
      </w:pPr>
    </w:p>
    <w:p>
      <w:pPr>
        <w:rPr>
          <w:rFonts w:hint="eastAsia" w:ascii="宋体" w:hAnsi="宋体" w:cs="宋体"/>
          <w:b/>
          <w:bCs/>
          <w:color w:val="auto"/>
          <w:sz w:val="24"/>
          <w:szCs w:val="24"/>
          <w:highlight w:val="none"/>
          <w:lang w:eastAsia="zh-CN"/>
        </w:rPr>
      </w:pPr>
    </w:p>
    <w:p>
      <w:pPr>
        <w:pStyle w:val="2"/>
        <w:rPr>
          <w:rFonts w:hint="eastAsia" w:ascii="宋体" w:hAnsi="宋体" w:cs="宋体"/>
          <w:b/>
          <w:bCs/>
          <w:color w:val="auto"/>
          <w:sz w:val="24"/>
          <w:szCs w:val="24"/>
          <w:highlight w:val="none"/>
          <w:lang w:eastAsia="zh-CN"/>
        </w:rPr>
      </w:pPr>
    </w:p>
    <w:p>
      <w:pPr>
        <w:rPr>
          <w:rFonts w:hint="eastAsia" w:ascii="宋体" w:hAnsi="宋体" w:cs="宋体"/>
          <w:b/>
          <w:bCs/>
          <w:color w:val="auto"/>
          <w:sz w:val="24"/>
          <w:szCs w:val="24"/>
          <w:highlight w:val="none"/>
          <w:lang w:eastAsia="zh-CN"/>
        </w:rPr>
      </w:pPr>
    </w:p>
    <w:p>
      <w:pPr>
        <w:pStyle w:val="2"/>
        <w:rPr>
          <w:rFonts w:hint="eastAsia" w:ascii="宋体" w:hAnsi="宋体" w:cs="宋体"/>
          <w:b/>
          <w:bCs/>
          <w:color w:val="auto"/>
          <w:sz w:val="24"/>
          <w:szCs w:val="24"/>
          <w:highlight w:val="none"/>
          <w:lang w:eastAsia="zh-CN"/>
        </w:rPr>
      </w:pPr>
    </w:p>
    <w:p>
      <w:pPr>
        <w:rPr>
          <w:rFonts w:hint="eastAsia" w:ascii="宋体" w:hAnsi="宋体" w:cs="宋体"/>
          <w:b/>
          <w:bCs/>
          <w:color w:val="auto"/>
          <w:sz w:val="24"/>
          <w:szCs w:val="24"/>
          <w:highlight w:val="none"/>
          <w:lang w:eastAsia="zh-CN"/>
        </w:rPr>
      </w:pPr>
    </w:p>
    <w:p>
      <w:pPr>
        <w:pStyle w:val="2"/>
        <w:rPr>
          <w:rFonts w:hint="eastAsia" w:ascii="宋体" w:hAnsi="宋体" w:cs="宋体"/>
          <w:b/>
          <w:bCs/>
          <w:color w:val="auto"/>
          <w:sz w:val="24"/>
          <w:szCs w:val="24"/>
          <w:highlight w:val="none"/>
          <w:lang w:eastAsia="zh-CN"/>
        </w:rPr>
      </w:pPr>
    </w:p>
    <w:p>
      <w:pPr>
        <w:rPr>
          <w:rFonts w:hint="eastAsia" w:ascii="宋体" w:hAnsi="宋体" w:cs="宋体"/>
          <w:b/>
          <w:bCs/>
          <w:color w:val="auto"/>
          <w:sz w:val="24"/>
          <w:szCs w:val="24"/>
          <w:highlight w:val="none"/>
          <w:lang w:eastAsia="zh-CN"/>
        </w:rPr>
      </w:pPr>
    </w:p>
    <w:p>
      <w:pPr>
        <w:pStyle w:val="2"/>
        <w:rPr>
          <w:rFonts w:hint="eastAsia" w:ascii="宋体" w:hAnsi="宋体" w:cs="宋体"/>
          <w:b/>
          <w:bCs/>
          <w:color w:val="auto"/>
          <w:sz w:val="24"/>
          <w:szCs w:val="24"/>
          <w:highlight w:val="none"/>
          <w:lang w:eastAsia="zh-CN"/>
        </w:rPr>
      </w:pPr>
    </w:p>
    <w:p>
      <w:pPr>
        <w:rPr>
          <w:rFonts w:hint="eastAsia" w:ascii="宋体" w:hAnsi="宋体" w:cs="宋体"/>
          <w:b/>
          <w:bCs/>
          <w:color w:val="auto"/>
          <w:sz w:val="24"/>
          <w:szCs w:val="24"/>
          <w:highlight w:val="none"/>
          <w:lang w:eastAsia="zh-CN"/>
        </w:rPr>
      </w:pPr>
    </w:p>
    <w:p>
      <w:pPr>
        <w:pStyle w:val="2"/>
        <w:rPr>
          <w:rFonts w:hint="eastAsia" w:ascii="宋体" w:hAnsi="宋体" w:cs="宋体"/>
          <w:b/>
          <w:bCs/>
          <w:color w:val="auto"/>
          <w:sz w:val="24"/>
          <w:szCs w:val="24"/>
          <w:highlight w:val="none"/>
          <w:lang w:eastAsia="zh-CN"/>
        </w:rPr>
      </w:pPr>
    </w:p>
    <w:p>
      <w:pPr>
        <w:rPr>
          <w:rFonts w:hint="eastAsia" w:ascii="宋体" w:hAnsi="宋体" w:cs="宋体"/>
          <w:b/>
          <w:bCs/>
          <w:color w:val="auto"/>
          <w:sz w:val="24"/>
          <w:szCs w:val="24"/>
          <w:highlight w:val="none"/>
          <w:lang w:eastAsia="zh-CN"/>
        </w:rPr>
      </w:pPr>
    </w:p>
    <w:p>
      <w:pPr>
        <w:pStyle w:val="2"/>
        <w:rPr>
          <w:rFonts w:hint="eastAsia" w:ascii="宋体" w:hAnsi="宋体" w:cs="宋体"/>
          <w:b/>
          <w:bCs/>
          <w:color w:val="auto"/>
          <w:sz w:val="24"/>
          <w:szCs w:val="24"/>
          <w:highlight w:val="none"/>
          <w:lang w:eastAsia="zh-CN"/>
        </w:rPr>
      </w:pPr>
    </w:p>
    <w:p>
      <w:pPr>
        <w:rPr>
          <w:rFonts w:hint="eastAsia" w:ascii="宋体" w:hAnsi="宋体" w:cs="宋体"/>
          <w:b/>
          <w:bCs/>
          <w:color w:val="auto"/>
          <w:sz w:val="24"/>
          <w:szCs w:val="24"/>
          <w:highlight w:val="none"/>
          <w:lang w:eastAsia="zh-CN"/>
        </w:rPr>
      </w:pPr>
    </w:p>
    <w:p>
      <w:pPr>
        <w:pStyle w:val="2"/>
        <w:rPr>
          <w:rFonts w:hint="eastAsia"/>
          <w:color w:val="auto"/>
          <w:highlight w:val="none"/>
          <w:lang w:eastAsia="zh-CN"/>
        </w:rPr>
      </w:pPr>
    </w:p>
    <w:p>
      <w:pPr>
        <w:pStyle w:val="6"/>
        <w:numPr>
          <w:ilvl w:val="0"/>
          <w:numId w:val="0"/>
        </w:num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（二）符合性响应证明材料目录</w:t>
      </w:r>
    </w:p>
    <w:p>
      <w:pPr>
        <w:numPr>
          <w:ilvl w:val="0"/>
          <w:numId w:val="0"/>
        </w:numPr>
        <w:spacing w:line="360" w:lineRule="auto"/>
        <w:ind w:left="420" w:leftChars="0"/>
        <w:rPr>
          <w:rFonts w:hint="eastAsia" w:ascii="宋体" w:hAnsi="宋体" w:eastAsia="宋体" w:cs="宋体"/>
          <w:color w:val="auto"/>
          <w:sz w:val="24"/>
          <w:szCs w:val="24"/>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响应函</w:t>
      </w:r>
      <w:r>
        <w:rPr>
          <w:rFonts w:hint="eastAsia" w:ascii="宋体" w:hAnsi="宋体" w:eastAsia="宋体" w:cs="宋体"/>
          <w:b/>
          <w:bCs/>
          <w:color w:val="auto"/>
          <w:sz w:val="21"/>
          <w:szCs w:val="21"/>
          <w:highlight w:val="none"/>
        </w:rPr>
        <w:t>（格式见附件）（必须提供</w:t>
      </w:r>
      <w:r>
        <w:rPr>
          <w:color w:val="auto"/>
          <w:sz w:val="21"/>
          <w:szCs w:val="21"/>
          <w:highlight w:val="none"/>
        </w:rPr>
        <w:t>）</w:t>
      </w:r>
      <w:r>
        <w:rPr>
          <w:rFonts w:hint="eastAsia" w:ascii="宋体" w:hAnsi="宋体" w:eastAsia="宋体" w:cs="宋体"/>
          <w:b/>
          <w:bCs/>
          <w:color w:val="auto"/>
          <w:sz w:val="21"/>
          <w:szCs w:val="21"/>
          <w:highlight w:val="none"/>
          <w:lang w:eastAsia="zh-CN"/>
        </w:rPr>
        <w:t>；</w:t>
      </w:r>
    </w:p>
    <w:p>
      <w:pPr>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响应函附录</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rPr>
        <w:t>格式见附件）（必须提供）；</w:t>
      </w:r>
    </w:p>
    <w:p>
      <w:pPr>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3.标价工程量清单</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val="0"/>
          <w:bCs w:val="0"/>
          <w:color w:val="auto"/>
          <w:sz w:val="21"/>
          <w:szCs w:val="21"/>
          <w:highlight w:val="none"/>
          <w:lang w:val="en-US" w:eastAsia="zh-CN"/>
        </w:rPr>
        <w:t>；</w:t>
      </w:r>
    </w:p>
    <w:p>
      <w:pPr>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拟投入本工程主要施工管理人员表</w:t>
      </w:r>
      <w:r>
        <w:rPr>
          <w:rFonts w:hint="eastAsia" w:ascii="宋体" w:hAnsi="宋体" w:eastAsia="宋体" w:cs="宋体"/>
          <w:b/>
          <w:bCs/>
          <w:color w:val="auto"/>
          <w:sz w:val="21"/>
          <w:szCs w:val="21"/>
          <w:highlight w:val="none"/>
        </w:rPr>
        <w:t>（必须提供）；</w:t>
      </w:r>
    </w:p>
    <w:p>
      <w:pPr>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并一起提供由县级以上（含县级）社会养老保险经办机构出具的供应商为项目实施人员交纳的响应文件递交截止时间前半年内任意连续三个月社保证明复印件</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除供应商为以下三种情形的：</w:t>
      </w:r>
    </w:p>
    <w:p>
      <w:pPr>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①如供应商为截标时间前60日以内成立的公司，可以提供供应商与委托代理人签订的劳动合同复印件代替社保证明复印件；</w:t>
      </w:r>
    </w:p>
    <w:p>
      <w:pPr>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②如供应商为事业单位，可以提供事业单位机构编制管理证复印件或事业单位机构为其发放工资的工资条复印件代替社保证明复印件；</w:t>
      </w:r>
    </w:p>
    <w:p>
      <w:pPr>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③如委托代理人为免缴纳社保人员，提供免缴纳社保的证明材料复印件及供应商与委托代理人签订的劳动合同复印件代替社保证明复印件。</w:t>
      </w:r>
      <w:r>
        <w:rPr>
          <w:rFonts w:hint="eastAsia" w:ascii="宋体" w:hAnsi="宋体" w:eastAsia="宋体" w:cs="宋体"/>
          <w:b w:val="0"/>
          <w:bCs w:val="0"/>
          <w:color w:val="auto"/>
          <w:sz w:val="21"/>
          <w:szCs w:val="21"/>
          <w:highlight w:val="none"/>
        </w:rPr>
        <w:t>）；</w:t>
      </w:r>
    </w:p>
    <w:p>
      <w:pPr>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担任本工程的项目经理简历表（应附相关证书、身份证复印件）</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color w:val="auto"/>
          <w:sz w:val="21"/>
          <w:szCs w:val="21"/>
          <w:highlight w:val="none"/>
          <w:lang w:eastAsia="zh-CN"/>
        </w:rPr>
        <w:t>；</w:t>
      </w:r>
    </w:p>
    <w:p>
      <w:pPr>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default"/>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施工组织设计方案</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color w:val="auto"/>
          <w:sz w:val="21"/>
          <w:szCs w:val="21"/>
          <w:highlight w:val="none"/>
          <w:lang w:eastAsia="zh-CN"/>
        </w:rPr>
        <w:t>；</w:t>
      </w:r>
    </w:p>
    <w:p>
      <w:pPr>
        <w:pageBreakBefore w:val="0"/>
        <w:widowControl w:val="0"/>
        <w:numPr>
          <w:ilvl w:val="0"/>
          <w:numId w:val="0"/>
        </w:numPr>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7.工</w:t>
      </w:r>
      <w:r>
        <w:rPr>
          <w:rFonts w:hint="eastAsia" w:ascii="宋体" w:hAnsi="宋体" w:cs="宋体"/>
          <w:b w:val="0"/>
          <w:bCs w:val="0"/>
          <w:color w:val="auto"/>
          <w:sz w:val="21"/>
          <w:szCs w:val="21"/>
          <w:highlight w:val="none"/>
          <w:lang w:val="en-US" w:eastAsia="zh-CN"/>
        </w:rPr>
        <w:t>期</w:t>
      </w:r>
      <w:r>
        <w:rPr>
          <w:rFonts w:hint="eastAsia" w:ascii="宋体" w:hAnsi="宋体" w:eastAsia="宋体" w:cs="宋体"/>
          <w:b w:val="0"/>
          <w:bCs w:val="0"/>
          <w:color w:val="auto"/>
          <w:sz w:val="21"/>
          <w:szCs w:val="21"/>
          <w:highlight w:val="none"/>
          <w:lang w:val="en-US" w:eastAsia="zh-CN"/>
        </w:rPr>
        <w:t>服务承诺书</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val="0"/>
          <w:bCs w:val="0"/>
          <w:color w:val="auto"/>
          <w:sz w:val="21"/>
          <w:szCs w:val="21"/>
          <w:highlight w:val="none"/>
          <w:lang w:val="en-US" w:eastAsia="zh-CN"/>
        </w:rPr>
        <w:t>；</w:t>
      </w:r>
    </w:p>
    <w:p>
      <w:pPr>
        <w:pStyle w:val="4"/>
        <w:pageBreakBefore w:val="0"/>
        <w:widowControl w:val="0"/>
        <w:numPr>
          <w:ilvl w:val="0"/>
          <w:numId w:val="0"/>
        </w:numPr>
        <w:kinsoku/>
        <w:wordWrap/>
        <w:overflowPunct/>
        <w:topLinePunct w:val="0"/>
        <w:autoSpaceDE/>
        <w:autoSpaceDN/>
        <w:bidi w:val="0"/>
        <w:adjustRightInd/>
        <w:snapToGrid/>
        <w:spacing w:before="0" w:after="0" w:line="400" w:lineRule="exact"/>
        <w:ind w:left="0" w:leftChars="0" w:firstLine="420" w:firstLineChars="200"/>
        <w:textAlignment w:val="auto"/>
        <w:rPr>
          <w:rFonts w:hint="eastAsia" w:ascii="宋体" w:hAnsi="宋体" w:eastAsia="宋体" w:cs="宋体"/>
          <w:b/>
          <w:bCs/>
          <w:color w:val="auto"/>
          <w:kern w:val="2"/>
          <w:sz w:val="21"/>
          <w:szCs w:val="21"/>
          <w:highlight w:val="none"/>
          <w:lang w:val="en-US" w:eastAsia="zh-CN" w:bidi="ar-SA"/>
        </w:rPr>
      </w:pPr>
      <w:bookmarkStart w:id="2005" w:name="_Toc1014"/>
      <w:bookmarkStart w:id="2006" w:name="_Toc6633"/>
      <w:bookmarkStart w:id="2007" w:name="_Toc10365"/>
      <w:r>
        <w:rPr>
          <w:rFonts w:hint="eastAsia" w:ascii="宋体" w:hAnsi="宋体" w:eastAsia="宋体" w:cs="宋体"/>
          <w:b w:val="0"/>
          <w:bCs w:val="0"/>
          <w:color w:val="auto"/>
          <w:kern w:val="2"/>
          <w:sz w:val="21"/>
          <w:szCs w:val="21"/>
          <w:highlight w:val="none"/>
          <w:lang w:val="en-US" w:eastAsia="zh-CN" w:bidi="ar-SA"/>
        </w:rPr>
        <w:t>8.农民工工资保障金交纳与使用承诺书</w:t>
      </w:r>
      <w:r>
        <w:rPr>
          <w:rFonts w:hint="eastAsia" w:ascii="宋体" w:hAnsi="宋体" w:eastAsia="宋体" w:cs="宋体"/>
          <w:b/>
          <w:bCs/>
          <w:color w:val="auto"/>
          <w:kern w:val="2"/>
          <w:sz w:val="21"/>
          <w:szCs w:val="21"/>
          <w:highlight w:val="none"/>
          <w:lang w:val="en-US" w:eastAsia="zh-CN" w:bidi="ar-SA"/>
        </w:rPr>
        <w:t>（必须提供）</w:t>
      </w:r>
      <w:r>
        <w:rPr>
          <w:rFonts w:hint="eastAsia" w:ascii="宋体" w:hAnsi="宋体" w:eastAsia="宋体" w:cs="宋体"/>
          <w:b w:val="0"/>
          <w:bCs w:val="0"/>
          <w:color w:val="auto"/>
          <w:kern w:val="2"/>
          <w:sz w:val="21"/>
          <w:szCs w:val="21"/>
          <w:highlight w:val="none"/>
          <w:lang w:val="en-US" w:eastAsia="zh-CN" w:bidi="ar-SA"/>
        </w:rPr>
        <w:t>；</w:t>
      </w:r>
      <w:bookmarkEnd w:id="2005"/>
      <w:bookmarkEnd w:id="2006"/>
      <w:bookmarkEnd w:id="2007"/>
    </w:p>
    <w:p>
      <w:pPr>
        <w:pStyle w:val="4"/>
        <w:pageBreakBefore w:val="0"/>
        <w:widowControl w:val="0"/>
        <w:numPr>
          <w:ilvl w:val="0"/>
          <w:numId w:val="0"/>
        </w:numPr>
        <w:kinsoku/>
        <w:wordWrap/>
        <w:overflowPunct/>
        <w:topLinePunct w:val="0"/>
        <w:autoSpaceDE/>
        <w:autoSpaceDN/>
        <w:bidi w:val="0"/>
        <w:adjustRightInd/>
        <w:snapToGrid/>
        <w:spacing w:before="0" w:after="0" w:line="400" w:lineRule="exact"/>
        <w:ind w:left="0" w:leftChars="0" w:firstLine="420" w:firstLineChars="200"/>
        <w:textAlignment w:val="auto"/>
        <w:rPr>
          <w:rFonts w:hint="default"/>
          <w:color w:val="auto"/>
          <w:sz w:val="21"/>
          <w:szCs w:val="21"/>
          <w:highlight w:val="none"/>
          <w:lang w:val="en-US" w:eastAsia="zh-CN"/>
        </w:rPr>
      </w:pPr>
      <w:bookmarkStart w:id="2008" w:name="_Toc13958"/>
      <w:bookmarkStart w:id="2009" w:name="_Toc6752"/>
      <w:bookmarkStart w:id="2010" w:name="_Toc14425"/>
      <w:r>
        <w:rPr>
          <w:rFonts w:hint="eastAsia" w:ascii="宋体" w:hAnsi="宋体" w:eastAsia="宋体" w:cs="宋体"/>
          <w:b w:val="0"/>
          <w:bCs w:val="0"/>
          <w:color w:val="auto"/>
          <w:kern w:val="2"/>
          <w:sz w:val="21"/>
          <w:szCs w:val="21"/>
          <w:highlight w:val="none"/>
          <w:lang w:val="en-US" w:eastAsia="zh-CN" w:bidi="ar-SA"/>
        </w:rPr>
        <w:t>9.城乡清洁工程渣土清运承诺书</w:t>
      </w:r>
      <w:r>
        <w:rPr>
          <w:rFonts w:hint="eastAsia" w:ascii="宋体" w:hAnsi="宋体" w:eastAsia="宋体" w:cs="宋体"/>
          <w:b/>
          <w:bCs/>
          <w:color w:val="auto"/>
          <w:kern w:val="2"/>
          <w:sz w:val="21"/>
          <w:szCs w:val="21"/>
          <w:highlight w:val="none"/>
          <w:lang w:val="en-US" w:eastAsia="zh-CN" w:bidi="ar-SA"/>
        </w:rPr>
        <w:t>（必须提供）</w:t>
      </w:r>
      <w:r>
        <w:rPr>
          <w:rFonts w:hint="eastAsia" w:ascii="宋体" w:hAnsi="宋体" w:eastAsia="宋体" w:cs="宋体"/>
          <w:b w:val="0"/>
          <w:bCs w:val="0"/>
          <w:color w:val="auto"/>
          <w:kern w:val="2"/>
          <w:sz w:val="21"/>
          <w:szCs w:val="21"/>
          <w:highlight w:val="none"/>
          <w:lang w:val="en-US" w:eastAsia="zh-CN" w:bidi="ar-SA"/>
        </w:rPr>
        <w:t>。</w:t>
      </w:r>
      <w:bookmarkEnd w:id="2008"/>
      <w:bookmarkEnd w:id="2009"/>
      <w:bookmarkEnd w:id="2010"/>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
        <w:rPr>
          <w:rFonts w:hint="eastAsia"/>
          <w:color w:val="auto"/>
          <w:highlight w:val="none"/>
        </w:rPr>
      </w:pPr>
    </w:p>
    <w:p>
      <w:pPr>
        <w:numPr>
          <w:ilvl w:val="0"/>
          <w:numId w:val="0"/>
        </w:numPr>
        <w:spacing w:line="400" w:lineRule="exact"/>
        <w:rPr>
          <w:rFonts w:hint="eastAsia" w:ascii="宋体" w:hAnsi="宋体" w:eastAsia="宋体" w:cs="宋体"/>
          <w:b/>
          <w:bCs/>
          <w:color w:val="auto"/>
          <w:sz w:val="24"/>
          <w:szCs w:val="24"/>
          <w:highlight w:val="none"/>
        </w:rPr>
      </w:pPr>
      <w:bookmarkStart w:id="2011" w:name="_Toc497927072"/>
      <w:bookmarkStart w:id="2012" w:name="_Toc17617"/>
      <w:bookmarkStart w:id="2013" w:name="_Toc12920"/>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响应函（格式见附件）（必须提供）</w:t>
      </w:r>
      <w:bookmarkEnd w:id="2011"/>
      <w:bookmarkEnd w:id="2012"/>
      <w:bookmarkEnd w:id="2013"/>
    </w:p>
    <w:p>
      <w:pPr>
        <w:pStyle w:val="24"/>
        <w:rPr>
          <w:rFonts w:hint="eastAsia" w:ascii="宋体" w:hAnsi="宋体" w:eastAsia="宋体" w:cs="宋体"/>
          <w:color w:val="auto"/>
          <w:sz w:val="24"/>
          <w:szCs w:val="24"/>
          <w:highlight w:val="none"/>
        </w:rPr>
      </w:pPr>
    </w:p>
    <w:p>
      <w:pPr>
        <w:pStyle w:val="1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w:t>
      </w:r>
    </w:p>
    <w:p>
      <w:pPr>
        <w:pStyle w:val="11"/>
        <w:ind w:firstLine="527" w:firstLineChars="250"/>
        <w:jc w:val="center"/>
        <w:rPr>
          <w:rFonts w:hint="eastAsia" w:ascii="宋体" w:hAnsi="宋体" w:eastAsia="宋体" w:cs="宋体"/>
          <w:b/>
          <w:color w:val="auto"/>
          <w:sz w:val="21"/>
          <w:szCs w:val="21"/>
          <w:highlight w:val="none"/>
        </w:rPr>
      </w:pPr>
      <w:bookmarkStart w:id="2014" w:name="_Toc7273_WPSOffice_Level1"/>
      <w:bookmarkStart w:id="2015" w:name="_Toc17832_WPSOffice_Level1"/>
      <w:r>
        <w:rPr>
          <w:rFonts w:hint="eastAsia" w:ascii="宋体" w:hAnsi="宋体" w:eastAsia="宋体" w:cs="宋体"/>
          <w:b/>
          <w:color w:val="auto"/>
          <w:sz w:val="21"/>
          <w:szCs w:val="21"/>
          <w:highlight w:val="none"/>
        </w:rPr>
        <w:t>响应函（格式）</w:t>
      </w:r>
      <w:bookmarkEnd w:id="2014"/>
      <w:bookmarkEnd w:id="2015"/>
    </w:p>
    <w:p>
      <w:pPr>
        <w:pStyle w:val="2"/>
        <w:spacing w:before="71" w:line="257" w:lineRule="auto"/>
        <w:ind w:left="12" w:firstLine="46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根据贵方</w:t>
      </w:r>
      <w:r>
        <w:rPr>
          <w:rFonts w:hint="eastAsia" w:ascii="宋体" w:hAnsi="宋体" w:eastAsia="宋体" w:cs="宋体"/>
          <w:color w:val="auto"/>
          <w:spacing w:val="111"/>
          <w:sz w:val="21"/>
          <w:szCs w:val="21"/>
          <w:highlight w:val="none"/>
          <w:u w:val="single" w:color="auto"/>
        </w:rPr>
        <w:t xml:space="preserve"> </w:t>
      </w:r>
      <w:r>
        <w:rPr>
          <w:rFonts w:hint="eastAsia" w:ascii="宋体" w:hAnsi="宋体" w:eastAsia="宋体" w:cs="宋体"/>
          <w:color w:val="auto"/>
          <w:spacing w:val="-2"/>
          <w:sz w:val="21"/>
          <w:szCs w:val="21"/>
          <w:highlight w:val="none"/>
          <w:u w:val="single" w:color="auto"/>
        </w:rPr>
        <w:t>（项目名称）</w:t>
      </w:r>
      <w:r>
        <w:rPr>
          <w:rFonts w:hint="eastAsia" w:ascii="宋体" w:hAnsi="宋体" w:eastAsia="宋体" w:cs="宋体"/>
          <w:color w:val="auto"/>
          <w:spacing w:val="103"/>
          <w:sz w:val="21"/>
          <w:szCs w:val="21"/>
          <w:highlight w:val="none"/>
          <w:u w:val="single" w:color="auto"/>
        </w:rPr>
        <w:t xml:space="preserve"> </w:t>
      </w:r>
      <w:r>
        <w:rPr>
          <w:rFonts w:hint="eastAsia" w:ascii="宋体" w:hAnsi="宋体" w:eastAsia="宋体" w:cs="宋体"/>
          <w:color w:val="auto"/>
          <w:spacing w:val="-106"/>
          <w:sz w:val="21"/>
          <w:szCs w:val="21"/>
          <w:highlight w:val="none"/>
        </w:rPr>
        <w:t xml:space="preserve"> </w:t>
      </w:r>
      <w:r>
        <w:rPr>
          <w:rFonts w:hint="eastAsia" w:ascii="宋体" w:hAnsi="宋体" w:eastAsia="宋体" w:cs="宋体"/>
          <w:color w:val="auto"/>
          <w:spacing w:val="-2"/>
          <w:sz w:val="21"/>
          <w:szCs w:val="21"/>
          <w:highlight w:val="none"/>
        </w:rPr>
        <w:t>项目磋商文件，项</w:t>
      </w:r>
      <w:r>
        <w:rPr>
          <w:rFonts w:hint="eastAsia" w:ascii="宋体" w:hAnsi="宋体" w:eastAsia="宋体" w:cs="宋体"/>
          <w:color w:val="auto"/>
          <w:spacing w:val="-11"/>
          <w:sz w:val="21"/>
          <w:szCs w:val="21"/>
          <w:highlight w:val="none"/>
        </w:rPr>
        <w:t>目</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11"/>
          <w:sz w:val="21"/>
          <w:szCs w:val="21"/>
          <w:highlight w:val="none"/>
        </w:rPr>
        <w:t>编</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1"/>
          <w:sz w:val="21"/>
          <w:szCs w:val="21"/>
          <w:highlight w:val="none"/>
        </w:rPr>
        <w:t>号</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81"/>
          <w:sz w:val="21"/>
          <w:szCs w:val="21"/>
          <w:highlight w:val="none"/>
        </w:rPr>
        <w:t xml:space="preserve"> </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67"/>
          <w:sz w:val="21"/>
          <w:szCs w:val="21"/>
          <w:highlight w:val="none"/>
        </w:rPr>
        <w:t xml:space="preserve"> </w:t>
      </w:r>
      <w:r>
        <w:rPr>
          <w:rFonts w:hint="eastAsia" w:ascii="宋体" w:hAnsi="宋体" w:eastAsia="宋体" w:cs="宋体"/>
          <w:color w:val="auto"/>
          <w:spacing w:val="-11"/>
          <w:sz w:val="21"/>
          <w:szCs w:val="21"/>
          <w:highlight w:val="none"/>
        </w:rPr>
        <w:t>签</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11"/>
          <w:sz w:val="21"/>
          <w:szCs w:val="21"/>
          <w:highlight w:val="none"/>
        </w:rPr>
        <w:t>字</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11"/>
          <w:sz w:val="21"/>
          <w:szCs w:val="21"/>
          <w:highlight w:val="none"/>
        </w:rPr>
        <w:t>代</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11"/>
          <w:sz w:val="21"/>
          <w:szCs w:val="21"/>
          <w:highlight w:val="none"/>
        </w:rPr>
        <w:t>表</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6"/>
          <w:sz w:val="21"/>
          <w:szCs w:val="21"/>
          <w:highlight w:val="none"/>
          <w:u w:val="single" w:color="auto"/>
        </w:rPr>
        <w:t xml:space="preserve">       </w:t>
      </w:r>
      <w:r>
        <w:rPr>
          <w:rFonts w:hint="eastAsia" w:ascii="宋体" w:hAnsi="宋体" w:eastAsia="宋体" w:cs="宋体"/>
          <w:color w:val="auto"/>
          <w:spacing w:val="-11"/>
          <w:sz w:val="21"/>
          <w:szCs w:val="21"/>
          <w:highlight w:val="none"/>
        </w:rPr>
        <w:t>（姓</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1"/>
          <w:sz w:val="21"/>
          <w:szCs w:val="21"/>
          <w:highlight w:val="none"/>
        </w:rPr>
        <w:t>名</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1"/>
          <w:sz w:val="21"/>
          <w:szCs w:val="21"/>
          <w:highlight w:val="none"/>
        </w:rPr>
        <w:t>经</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1"/>
          <w:sz w:val="21"/>
          <w:szCs w:val="21"/>
          <w:highlight w:val="none"/>
        </w:rPr>
        <w:t>正</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1"/>
          <w:sz w:val="21"/>
          <w:szCs w:val="21"/>
          <w:highlight w:val="none"/>
        </w:rPr>
        <w:t>式</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11"/>
          <w:sz w:val="21"/>
          <w:szCs w:val="21"/>
          <w:highlight w:val="none"/>
        </w:rPr>
        <w:t>授</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11"/>
          <w:sz w:val="21"/>
          <w:szCs w:val="21"/>
          <w:highlight w:val="none"/>
        </w:rPr>
        <w:t>权</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1"/>
          <w:sz w:val="21"/>
          <w:szCs w:val="21"/>
          <w:highlight w:val="none"/>
        </w:rPr>
        <w:t>并</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11"/>
          <w:sz w:val="21"/>
          <w:szCs w:val="21"/>
          <w:highlight w:val="none"/>
        </w:rPr>
        <w:t>代</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11"/>
          <w:sz w:val="21"/>
          <w:szCs w:val="21"/>
          <w:highlight w:val="none"/>
        </w:rPr>
        <w:t>表</w:t>
      </w:r>
      <w:r>
        <w:rPr>
          <w:rFonts w:hint="eastAsia" w:ascii="宋体" w:hAnsi="宋体" w:eastAsia="宋体" w:cs="宋体"/>
          <w:color w:val="auto"/>
          <w:spacing w:val="-67"/>
          <w:sz w:val="21"/>
          <w:szCs w:val="21"/>
          <w:highlight w:val="none"/>
        </w:rPr>
        <w:t xml:space="preserve"> </w:t>
      </w:r>
      <w:r>
        <w:rPr>
          <w:rFonts w:hint="eastAsia" w:ascii="宋体" w:hAnsi="宋体" w:eastAsia="宋体" w:cs="宋体"/>
          <w:color w:val="auto"/>
          <w:spacing w:val="-11"/>
          <w:sz w:val="21"/>
          <w:szCs w:val="21"/>
          <w:highlight w:val="none"/>
        </w:rPr>
        <w:t>供</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11"/>
          <w:sz w:val="21"/>
          <w:szCs w:val="21"/>
          <w:highlight w:val="none"/>
        </w:rPr>
        <w:t>应</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1"/>
          <w:sz w:val="21"/>
          <w:szCs w:val="21"/>
          <w:highlight w:val="none"/>
        </w:rPr>
        <w:t>商</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2"/>
          <w:sz w:val="21"/>
          <w:szCs w:val="21"/>
          <w:highlight w:val="none"/>
        </w:rPr>
        <w:t>（供应商单位名称</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2"/>
          <w:sz w:val="21"/>
          <w:szCs w:val="21"/>
          <w:highlight w:val="none"/>
        </w:rPr>
        <w:t>提交电子响应文件。</w:t>
      </w:r>
    </w:p>
    <w:p>
      <w:pPr>
        <w:pStyle w:val="2"/>
        <w:spacing w:before="75" w:line="219" w:lineRule="auto"/>
        <w:ind w:left="48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据此函，签字代表宣布同意如下：</w:t>
      </w:r>
    </w:p>
    <w:p>
      <w:pPr>
        <w:pStyle w:val="2"/>
        <w:tabs>
          <w:tab w:val="left" w:pos="126"/>
        </w:tabs>
        <w:spacing w:before="75" w:line="258" w:lineRule="auto"/>
        <w:ind w:left="6" w:firstLine="4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1.我方已仔细研究磋商文件的全部内容，愿意以人民币（大写）</w:t>
      </w:r>
      <w:r>
        <w:rPr>
          <w:rFonts w:hint="eastAsia" w:ascii="宋体" w:hAnsi="宋体" w:eastAsia="宋体" w:cs="宋体"/>
          <w:color w:val="auto"/>
          <w:sz w:val="21"/>
          <w:szCs w:val="21"/>
          <w:highlight w:val="none"/>
          <w:u w:val="single" w:color="auto"/>
        </w:rPr>
        <w:t xml:space="preserve">         </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5"/>
          <w:sz w:val="21"/>
          <w:szCs w:val="21"/>
          <w:highlight w:val="none"/>
          <w:u w:val="single" w:color="auto"/>
        </w:rPr>
        <w:t xml:space="preserve">     </w:t>
      </w:r>
      <w:r>
        <w:rPr>
          <w:rFonts w:hint="eastAsia" w:ascii="宋体" w:hAnsi="宋体" w:eastAsia="宋体" w:cs="宋体"/>
          <w:color w:val="auto"/>
          <w:spacing w:val="-84"/>
          <w:sz w:val="21"/>
          <w:szCs w:val="21"/>
          <w:highlight w:val="none"/>
        </w:rPr>
        <w:t xml:space="preserve"> </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47"/>
          <w:sz w:val="21"/>
          <w:szCs w:val="21"/>
          <w:highlight w:val="none"/>
        </w:rPr>
        <w:t xml:space="preserve"> </w:t>
      </w:r>
      <w:r>
        <w:rPr>
          <w:rFonts w:hint="eastAsia" w:ascii="宋体" w:hAnsi="宋体" w:eastAsia="宋体" w:cs="宋体"/>
          <w:color w:val="auto"/>
          <w:spacing w:val="-1"/>
          <w:sz w:val="21"/>
          <w:szCs w:val="21"/>
          <w:highlight w:val="none"/>
        </w:rPr>
        <w:t>的磋商报价（或根据磋商文件规定修正核实后确定的另一金额</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1"/>
          <w:sz w:val="21"/>
          <w:szCs w:val="21"/>
          <w:highlight w:val="none"/>
        </w:rPr>
        <w:t>按合同</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约定实施和完成承包工程，修补工程中的任何缺陷。</w:t>
      </w:r>
    </w:p>
    <w:p>
      <w:pPr>
        <w:pStyle w:val="2"/>
        <w:spacing w:before="75" w:line="220" w:lineRule="auto"/>
        <w:ind w:left="483"/>
        <w:rPr>
          <w:rFonts w:hint="eastAsia" w:ascii="宋体" w:hAnsi="宋体" w:eastAsia="宋体" w:cs="宋体"/>
          <w:color w:val="auto"/>
          <w:spacing w:val="-8"/>
          <w:sz w:val="21"/>
          <w:szCs w:val="21"/>
          <w:highlight w:val="none"/>
        </w:rPr>
      </w:pPr>
      <w:r>
        <w:rPr>
          <w:rFonts w:hint="eastAsia" w:ascii="宋体" w:hAnsi="宋体" w:eastAsia="宋体" w:cs="宋体"/>
          <w:color w:val="auto"/>
          <w:spacing w:val="-6"/>
          <w:sz w:val="21"/>
          <w:szCs w:val="21"/>
          <w:highlight w:val="none"/>
        </w:rPr>
        <w:t>2.工程质量</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u w:val="single" w:color="auto"/>
        </w:rPr>
        <w:t xml:space="preserve">        </w:t>
      </w:r>
      <w:r>
        <w:rPr>
          <w:rFonts w:hint="eastAsia" w:ascii="宋体" w:hAnsi="宋体" w:eastAsia="宋体" w:cs="宋体"/>
          <w:color w:val="auto"/>
          <w:spacing w:val="-86"/>
          <w:sz w:val="21"/>
          <w:szCs w:val="21"/>
          <w:highlight w:val="none"/>
        </w:rPr>
        <w:t xml:space="preserve"> </w:t>
      </w:r>
      <w:r>
        <w:rPr>
          <w:rFonts w:hint="eastAsia" w:ascii="宋体" w:hAnsi="宋体" w:eastAsia="宋体" w:cs="宋体"/>
          <w:color w:val="auto"/>
          <w:spacing w:val="-8"/>
          <w:sz w:val="21"/>
          <w:szCs w:val="21"/>
          <w:highlight w:val="none"/>
        </w:rPr>
        <w:t>，</w:t>
      </w:r>
    </w:p>
    <w:p>
      <w:pPr>
        <w:pStyle w:val="2"/>
        <w:spacing w:before="75" w:line="220" w:lineRule="auto"/>
        <w:ind w:left="483"/>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val="en-US" w:eastAsia="zh-CN"/>
        </w:rPr>
        <w:t>3.</w:t>
      </w:r>
      <w:r>
        <w:rPr>
          <w:rFonts w:hint="eastAsia" w:ascii="宋体" w:hAnsi="宋体" w:eastAsia="宋体" w:cs="宋体"/>
          <w:color w:val="auto"/>
          <w:spacing w:val="-6"/>
          <w:sz w:val="21"/>
          <w:szCs w:val="21"/>
          <w:highlight w:val="none"/>
        </w:rPr>
        <w:t>工期：</w:t>
      </w:r>
      <w:r>
        <w:rPr>
          <w:rFonts w:hint="eastAsia" w:ascii="宋体" w:hAnsi="宋体" w:eastAsia="宋体" w:cs="宋体"/>
          <w:color w:val="auto"/>
          <w:spacing w:val="10"/>
          <w:sz w:val="21"/>
          <w:szCs w:val="21"/>
          <w:highlight w:val="none"/>
          <w:u w:val="single" w:color="auto"/>
        </w:rPr>
        <w:t xml:space="preserve">  </w:t>
      </w:r>
      <w:r>
        <w:rPr>
          <w:rFonts w:hint="eastAsia" w:ascii="宋体" w:hAnsi="宋体" w:eastAsia="宋体" w:cs="宋体"/>
          <w:color w:val="auto"/>
          <w:spacing w:val="10"/>
          <w:sz w:val="21"/>
          <w:szCs w:val="21"/>
          <w:highlight w:val="none"/>
          <w:u w:val="single" w:color="auto"/>
          <w:lang w:val="en-US" w:eastAsia="zh-CN"/>
        </w:rPr>
        <w:t xml:space="preserve"> </w:t>
      </w:r>
      <w:r>
        <w:rPr>
          <w:rFonts w:hint="eastAsia" w:ascii="宋体" w:hAnsi="宋体" w:eastAsia="宋体" w:cs="宋体"/>
          <w:color w:val="auto"/>
          <w:spacing w:val="10"/>
          <w:sz w:val="21"/>
          <w:szCs w:val="21"/>
          <w:highlight w:val="none"/>
          <w:u w:val="single" w:color="auto"/>
        </w:rPr>
        <w:t xml:space="preserve">    </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6"/>
          <w:sz w:val="21"/>
          <w:szCs w:val="21"/>
          <w:highlight w:val="none"/>
        </w:rPr>
        <w:t>日历天。</w:t>
      </w:r>
    </w:p>
    <w:p>
      <w:pPr>
        <w:pStyle w:val="2"/>
        <w:spacing w:before="73" w:line="219" w:lineRule="auto"/>
        <w:ind w:left="48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rPr>
        <w:t>.我方承诺已具备磋商文件规定的供应商资格条件。</w:t>
      </w:r>
    </w:p>
    <w:p>
      <w:pPr>
        <w:pStyle w:val="2"/>
        <w:spacing w:before="76" w:line="248" w:lineRule="auto"/>
        <w:ind w:left="19" w:firstLine="46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5</w:t>
      </w:r>
      <w:r>
        <w:rPr>
          <w:rFonts w:hint="eastAsia" w:ascii="宋体" w:hAnsi="宋体" w:eastAsia="宋体" w:cs="宋体"/>
          <w:color w:val="auto"/>
          <w:spacing w:val="-2"/>
          <w:sz w:val="21"/>
          <w:szCs w:val="21"/>
          <w:highlight w:val="none"/>
        </w:rPr>
        <w:t>.我方已详细审核磋商文件，包括修改文件（如有的话）和有关附件</w:t>
      </w:r>
      <w:r>
        <w:rPr>
          <w:rFonts w:hint="eastAsia" w:ascii="宋体" w:hAnsi="宋体" w:eastAsia="宋体" w:cs="宋体"/>
          <w:color w:val="auto"/>
          <w:spacing w:val="-3"/>
          <w:sz w:val="21"/>
          <w:szCs w:val="21"/>
          <w:highlight w:val="none"/>
        </w:rPr>
        <w:t>，将自行承担</w:t>
      </w:r>
      <w:r>
        <w:rPr>
          <w:rFonts w:hint="eastAsia" w:ascii="宋体" w:hAnsi="宋体" w:eastAsia="宋体" w:cs="宋体"/>
          <w:color w:val="auto"/>
          <w:spacing w:val="-1"/>
          <w:sz w:val="21"/>
          <w:szCs w:val="21"/>
          <w:highlight w:val="none"/>
        </w:rPr>
        <w:t>因对全部磋商文件理解不正确或误解而产生的</w:t>
      </w:r>
      <w:r>
        <w:rPr>
          <w:rFonts w:hint="eastAsia" w:ascii="宋体" w:hAnsi="宋体" w:eastAsia="宋体" w:cs="宋体"/>
          <w:color w:val="auto"/>
          <w:spacing w:val="-2"/>
          <w:sz w:val="21"/>
          <w:szCs w:val="21"/>
          <w:highlight w:val="none"/>
        </w:rPr>
        <w:t>相应后果。</w:t>
      </w:r>
    </w:p>
    <w:p>
      <w:pPr>
        <w:pStyle w:val="2"/>
        <w:spacing w:before="75" w:line="360" w:lineRule="exact"/>
        <w:ind w:left="485"/>
        <w:rPr>
          <w:rFonts w:hint="eastAsia" w:ascii="宋体" w:hAnsi="宋体" w:eastAsia="宋体" w:cs="宋体"/>
          <w:color w:val="auto"/>
          <w:sz w:val="21"/>
          <w:szCs w:val="21"/>
          <w:highlight w:val="none"/>
        </w:rPr>
      </w:pPr>
      <w:r>
        <w:rPr>
          <w:rFonts w:hint="eastAsia" w:ascii="宋体" w:hAnsi="宋体" w:eastAsia="宋体" w:cs="宋体"/>
          <w:color w:val="auto"/>
          <w:spacing w:val="-2"/>
          <w:position w:val="8"/>
          <w:sz w:val="21"/>
          <w:szCs w:val="21"/>
          <w:highlight w:val="none"/>
          <w:lang w:val="en-US" w:eastAsia="zh-CN"/>
        </w:rPr>
        <w:t>6</w:t>
      </w:r>
      <w:r>
        <w:rPr>
          <w:rFonts w:hint="eastAsia" w:ascii="宋体" w:hAnsi="宋体" w:eastAsia="宋体" w:cs="宋体"/>
          <w:color w:val="auto"/>
          <w:spacing w:val="-2"/>
          <w:position w:val="8"/>
          <w:sz w:val="21"/>
          <w:szCs w:val="21"/>
          <w:highlight w:val="none"/>
        </w:rPr>
        <w:t>.响应文件有效期为响应文件递交截止时间之日起</w:t>
      </w:r>
      <w:r>
        <w:rPr>
          <w:rFonts w:hint="eastAsia" w:ascii="宋体" w:hAnsi="宋体" w:eastAsia="宋体" w:cs="宋体"/>
          <w:color w:val="auto"/>
          <w:spacing w:val="-36"/>
          <w:position w:val="8"/>
          <w:sz w:val="21"/>
          <w:szCs w:val="21"/>
          <w:highlight w:val="none"/>
        </w:rPr>
        <w:t xml:space="preserve"> </w:t>
      </w:r>
      <w:r>
        <w:rPr>
          <w:rFonts w:hint="eastAsia" w:ascii="宋体" w:hAnsi="宋体" w:eastAsia="宋体" w:cs="宋体"/>
          <w:color w:val="auto"/>
          <w:spacing w:val="-2"/>
          <w:position w:val="8"/>
          <w:sz w:val="21"/>
          <w:szCs w:val="21"/>
          <w:highlight w:val="none"/>
        </w:rPr>
        <w:t>90</w:t>
      </w:r>
      <w:r>
        <w:rPr>
          <w:rFonts w:hint="eastAsia" w:ascii="宋体" w:hAnsi="宋体" w:eastAsia="宋体" w:cs="宋体"/>
          <w:color w:val="auto"/>
          <w:spacing w:val="-46"/>
          <w:position w:val="8"/>
          <w:sz w:val="21"/>
          <w:szCs w:val="21"/>
          <w:highlight w:val="none"/>
        </w:rPr>
        <w:t xml:space="preserve"> </w:t>
      </w:r>
      <w:r>
        <w:rPr>
          <w:rFonts w:hint="eastAsia" w:ascii="宋体" w:hAnsi="宋体" w:eastAsia="宋体" w:cs="宋体"/>
          <w:color w:val="auto"/>
          <w:spacing w:val="-2"/>
          <w:position w:val="8"/>
          <w:sz w:val="21"/>
          <w:szCs w:val="21"/>
          <w:highlight w:val="none"/>
        </w:rPr>
        <w:t>天。</w:t>
      </w:r>
    </w:p>
    <w:p>
      <w:pPr>
        <w:pStyle w:val="2"/>
        <w:spacing w:line="220" w:lineRule="auto"/>
        <w:ind w:left="48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7</w:t>
      </w:r>
      <w:r>
        <w:rPr>
          <w:rFonts w:hint="eastAsia" w:ascii="宋体" w:hAnsi="宋体" w:eastAsia="宋体" w:cs="宋体"/>
          <w:color w:val="auto"/>
          <w:spacing w:val="-2"/>
          <w:sz w:val="21"/>
          <w:szCs w:val="21"/>
          <w:highlight w:val="none"/>
        </w:rPr>
        <w:t>.如我方成交：</w:t>
      </w:r>
    </w:p>
    <w:p>
      <w:pPr>
        <w:pStyle w:val="2"/>
        <w:spacing w:before="75" w:line="249" w:lineRule="auto"/>
        <w:ind w:left="24" w:firstLine="46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（1）我方承诺在收到成交通知书后，在成交通知书规定的期限</w:t>
      </w:r>
      <w:r>
        <w:rPr>
          <w:rFonts w:hint="eastAsia" w:ascii="宋体" w:hAnsi="宋体" w:eastAsia="宋体" w:cs="宋体"/>
          <w:color w:val="auto"/>
          <w:sz w:val="21"/>
          <w:szCs w:val="21"/>
          <w:highlight w:val="none"/>
        </w:rPr>
        <w:t>内与采购人签订合</w:t>
      </w:r>
      <w:r>
        <w:rPr>
          <w:rFonts w:hint="eastAsia" w:ascii="宋体" w:hAnsi="宋体" w:eastAsia="宋体" w:cs="宋体"/>
          <w:color w:val="auto"/>
          <w:spacing w:val="-17"/>
          <w:sz w:val="21"/>
          <w:szCs w:val="21"/>
          <w:highlight w:val="none"/>
        </w:rPr>
        <w:t>同。</w:t>
      </w:r>
    </w:p>
    <w:p>
      <w:pPr>
        <w:pStyle w:val="2"/>
        <w:spacing w:before="72" w:line="219" w:lineRule="auto"/>
        <w:ind w:left="49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（2）我方承诺按照磋商文件规定递交履约担保。</w:t>
      </w:r>
    </w:p>
    <w:p>
      <w:pPr>
        <w:pStyle w:val="2"/>
        <w:spacing w:before="75" w:line="248" w:lineRule="auto"/>
        <w:ind w:firstLine="49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（3）我方承诺本响应文件至本项目合同履行完毕止均保持有效</w:t>
      </w:r>
      <w:r>
        <w:rPr>
          <w:rFonts w:hint="eastAsia" w:ascii="宋体" w:hAnsi="宋体" w:eastAsia="宋体" w:cs="宋体"/>
          <w:color w:val="auto"/>
          <w:sz w:val="21"/>
          <w:szCs w:val="21"/>
          <w:highlight w:val="none"/>
        </w:rPr>
        <w:t>，按磋商文件及政</w:t>
      </w:r>
      <w:r>
        <w:rPr>
          <w:rFonts w:hint="eastAsia" w:ascii="宋体" w:hAnsi="宋体" w:eastAsia="宋体" w:cs="宋体"/>
          <w:color w:val="auto"/>
          <w:spacing w:val="-1"/>
          <w:sz w:val="21"/>
          <w:szCs w:val="21"/>
          <w:highlight w:val="none"/>
        </w:rPr>
        <w:t>府采购法律、法规的规定履行合同责任和义务。</w:t>
      </w:r>
    </w:p>
    <w:p>
      <w:pPr>
        <w:spacing w:line="355" w:lineRule="auto"/>
        <w:rPr>
          <w:rFonts w:hint="eastAsia" w:ascii="宋体" w:hAnsi="宋体" w:eastAsia="宋体" w:cs="宋体"/>
          <w:color w:val="auto"/>
          <w:sz w:val="21"/>
          <w:szCs w:val="21"/>
          <w:highlight w:val="none"/>
        </w:rPr>
      </w:pPr>
    </w:p>
    <w:p>
      <w:pPr>
        <w:pStyle w:val="2"/>
        <w:spacing w:before="78" w:line="219" w:lineRule="auto"/>
        <w:ind w:left="48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与本项目有关的正式通讯地址为：</w:t>
      </w:r>
    </w:p>
    <w:p>
      <w:pPr>
        <w:pStyle w:val="2"/>
        <w:spacing w:before="76" w:line="219" w:lineRule="auto"/>
        <w:ind w:left="48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地址：</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4"/>
          <w:sz w:val="21"/>
          <w:szCs w:val="21"/>
          <w:highlight w:val="none"/>
        </w:rPr>
        <w:t>邮编：</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5"/>
          <w:sz w:val="21"/>
          <w:szCs w:val="21"/>
          <w:highlight w:val="none"/>
        </w:rPr>
        <w:t>邮箱：</w:t>
      </w:r>
      <w:r>
        <w:rPr>
          <w:rFonts w:hint="eastAsia" w:ascii="宋体" w:hAnsi="宋体" w:eastAsia="宋体" w:cs="宋体"/>
          <w:color w:val="auto"/>
          <w:spacing w:val="-5"/>
          <w:sz w:val="21"/>
          <w:szCs w:val="21"/>
          <w:highlight w:val="none"/>
          <w:u w:val="single" w:color="auto"/>
        </w:rPr>
        <w:t xml:space="preserve">      </w:t>
      </w:r>
    </w:p>
    <w:p>
      <w:pPr>
        <w:pStyle w:val="2"/>
        <w:spacing w:before="75" w:line="277" w:lineRule="auto"/>
        <w:ind w:left="48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办公电话：</w:t>
      </w:r>
      <w:r>
        <w:rPr>
          <w:rFonts w:hint="eastAsia" w:ascii="宋体" w:hAnsi="宋体" w:eastAsia="宋体" w:cs="宋体"/>
          <w:color w:val="auto"/>
          <w:spacing w:val="-1"/>
          <w:sz w:val="21"/>
          <w:szCs w:val="21"/>
          <w:highlight w:val="none"/>
          <w:u w:val="single" w:color="auto"/>
        </w:rPr>
        <w:t xml:space="preserve">                </w:t>
      </w:r>
      <w:r>
        <w:rPr>
          <w:rFonts w:hint="eastAsia" w:ascii="宋体" w:hAnsi="宋体" w:eastAsia="宋体" w:cs="宋体"/>
          <w:color w:val="auto"/>
          <w:spacing w:val="-1"/>
          <w:sz w:val="21"/>
          <w:szCs w:val="21"/>
          <w:highlight w:val="none"/>
        </w:rPr>
        <w:t xml:space="preserve">   传真：</w:t>
      </w:r>
      <w:r>
        <w:rPr>
          <w:rFonts w:hint="eastAsia" w:ascii="宋体" w:hAnsi="宋体" w:eastAsia="宋体" w:cs="宋体"/>
          <w:color w:val="auto"/>
          <w:sz w:val="21"/>
          <w:szCs w:val="21"/>
          <w:highlight w:val="none"/>
          <w:u w:val="single" w:color="auto"/>
        </w:rPr>
        <w:t xml:space="preserve">       </w:t>
      </w:r>
    </w:p>
    <w:p>
      <w:pPr>
        <w:pStyle w:val="2"/>
        <w:spacing w:line="219" w:lineRule="auto"/>
        <w:ind w:left="48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委托代理人联系电话：</w:t>
      </w:r>
      <w:r>
        <w:rPr>
          <w:rFonts w:hint="eastAsia" w:ascii="宋体" w:hAnsi="宋体" w:eastAsia="宋体" w:cs="宋体"/>
          <w:color w:val="auto"/>
          <w:sz w:val="21"/>
          <w:szCs w:val="21"/>
          <w:highlight w:val="none"/>
          <w:u w:val="single" w:color="auto"/>
        </w:rPr>
        <w:t xml:space="preserve">           </w:t>
      </w:r>
      <w:r>
        <w:rPr>
          <w:rFonts w:hint="eastAsia" w:ascii="宋体" w:hAnsi="宋体" w:cs="宋体"/>
          <w:color w:val="auto"/>
          <w:sz w:val="21"/>
          <w:szCs w:val="21"/>
          <w:highlight w:val="none"/>
          <w:u w:val="single" w:color="auto"/>
          <w:lang w:val="en-US" w:eastAsia="zh-CN"/>
        </w:rPr>
        <w:t xml:space="preserve">      </w:t>
      </w:r>
      <w:r>
        <w:rPr>
          <w:rFonts w:hint="eastAsia" w:ascii="宋体" w:hAnsi="宋体" w:eastAsia="宋体" w:cs="宋体"/>
          <w:color w:val="auto"/>
          <w:sz w:val="21"/>
          <w:szCs w:val="21"/>
          <w:highlight w:val="none"/>
          <w:u w:val="single" w:color="auto"/>
        </w:rPr>
        <w:t xml:space="preserve">     </w:t>
      </w:r>
    </w:p>
    <w:p>
      <w:pPr>
        <w:pStyle w:val="2"/>
        <w:spacing w:before="43" w:line="246" w:lineRule="auto"/>
        <w:ind w:left="48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开户名称：</w:t>
      </w:r>
      <w:r>
        <w:rPr>
          <w:rFonts w:hint="eastAsia" w:ascii="宋体" w:hAnsi="宋体" w:eastAsia="宋体" w:cs="宋体"/>
          <w:color w:val="auto"/>
          <w:sz w:val="21"/>
          <w:szCs w:val="21"/>
          <w:highlight w:val="none"/>
          <w:u w:val="single" w:color="auto"/>
        </w:rPr>
        <w:t xml:space="preserve">                                </w:t>
      </w:r>
    </w:p>
    <w:p>
      <w:pPr>
        <w:pStyle w:val="2"/>
        <w:spacing w:line="220" w:lineRule="auto"/>
        <w:ind w:left="481"/>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开户银行：</w:t>
      </w:r>
      <w:r>
        <w:rPr>
          <w:rFonts w:hint="eastAsia" w:ascii="宋体" w:hAnsi="宋体" w:eastAsia="宋体" w:cs="宋体"/>
          <w:color w:val="auto"/>
          <w:sz w:val="21"/>
          <w:szCs w:val="21"/>
          <w:highlight w:val="none"/>
          <w:u w:val="single" w:color="auto"/>
        </w:rPr>
        <w:t xml:space="preserve">                                </w:t>
      </w:r>
    </w:p>
    <w:p>
      <w:pPr>
        <w:pStyle w:val="2"/>
        <w:spacing w:before="33" w:line="221" w:lineRule="auto"/>
        <w:ind w:left="48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账号：</w:t>
      </w:r>
      <w:r>
        <w:rPr>
          <w:rFonts w:hint="eastAsia" w:ascii="宋体" w:hAnsi="宋体" w:eastAsia="宋体" w:cs="宋体"/>
          <w:color w:val="auto"/>
          <w:spacing w:val="-3"/>
          <w:sz w:val="21"/>
          <w:szCs w:val="21"/>
          <w:highlight w:val="none"/>
          <w:u w:val="single" w:color="auto"/>
        </w:rPr>
        <w:t xml:space="preserve">                                      </w:t>
      </w:r>
    </w:p>
    <w:p>
      <w:pPr>
        <w:pStyle w:val="2"/>
        <w:spacing w:before="49" w:line="219" w:lineRule="auto"/>
        <w:ind w:left="48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2"/>
          <w:sz w:val="21"/>
          <w:szCs w:val="21"/>
          <w:highlight w:val="none"/>
        </w:rPr>
        <w:t>签章)]：</w:t>
      </w:r>
      <w:r>
        <w:rPr>
          <w:rFonts w:hint="eastAsia" w:ascii="宋体" w:hAnsi="宋体" w:eastAsia="宋体" w:cs="宋体"/>
          <w:color w:val="auto"/>
          <w:sz w:val="21"/>
          <w:szCs w:val="21"/>
          <w:highlight w:val="none"/>
          <w:u w:val="single" w:color="auto"/>
        </w:rPr>
        <w:t xml:space="preserve">                    </w:t>
      </w:r>
    </w:p>
    <w:p>
      <w:pPr>
        <w:pStyle w:val="11"/>
        <w:spacing w:line="32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法定代表人、负责人、自然人或相应的委托代理人签字</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或盖章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（属自然人的应在签名处加盖大拇指指印</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lang w:val="en-US" w:eastAsia="zh-CN"/>
        </w:rPr>
        <w:t>个人CA签章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2"/>
        <w:spacing w:before="56" w:line="241" w:lineRule="auto"/>
        <w:ind w:left="492" w:hanging="11"/>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响应日期：</w:t>
      </w:r>
      <w:r>
        <w:rPr>
          <w:rFonts w:hint="eastAsia" w:ascii="宋体" w:hAnsi="宋体" w:eastAsia="宋体" w:cs="宋体"/>
          <w:color w:val="auto"/>
          <w:sz w:val="21"/>
          <w:szCs w:val="21"/>
          <w:highlight w:val="none"/>
          <w:u w:val="single" w:color="auto"/>
        </w:rPr>
        <w:t xml:space="preserve">                 </w:t>
      </w:r>
      <w:r>
        <w:rPr>
          <w:rFonts w:hint="eastAsia" w:ascii="宋体" w:hAnsi="宋体" w:cs="宋体"/>
          <w:color w:val="auto"/>
          <w:sz w:val="21"/>
          <w:szCs w:val="21"/>
          <w:highlight w:val="none"/>
          <w:u w:val="single" w:color="auto"/>
          <w:lang w:val="en-US" w:eastAsia="zh-CN"/>
        </w:rPr>
        <w:t xml:space="preserve"> </w:t>
      </w:r>
      <w:r>
        <w:rPr>
          <w:rFonts w:hint="eastAsia" w:ascii="宋体" w:hAnsi="宋体" w:eastAsia="宋体" w:cs="宋体"/>
          <w:color w:val="auto"/>
          <w:sz w:val="21"/>
          <w:szCs w:val="21"/>
          <w:highlight w:val="none"/>
          <w:u w:val="single" w:color="auto"/>
        </w:rPr>
        <w:t xml:space="preserve">              </w:t>
      </w:r>
    </w:p>
    <w:p>
      <w:pPr>
        <w:spacing w:line="241" w:lineRule="auto"/>
        <w:rPr>
          <w:rFonts w:hint="eastAsia" w:ascii="宋体" w:hAnsi="宋体" w:eastAsia="宋体" w:cs="宋体"/>
          <w:color w:val="auto"/>
          <w:sz w:val="21"/>
          <w:szCs w:val="21"/>
          <w:highlight w:val="none"/>
        </w:rPr>
        <w:sectPr>
          <w:footerReference r:id="rId11" w:type="default"/>
          <w:pgSz w:w="11910" w:h="16840"/>
          <w:pgMar w:top="1431" w:right="1179" w:bottom="863" w:left="1688" w:header="0" w:footer="701" w:gutter="0"/>
          <w:cols w:space="720" w:num="1"/>
        </w:sectPr>
      </w:pPr>
    </w:p>
    <w:p>
      <w:pPr>
        <w:pStyle w:val="2"/>
        <w:spacing w:before="59" w:line="219" w:lineRule="auto"/>
        <w:rPr>
          <w:rFonts w:hint="eastAsia" w:ascii="宋体" w:hAnsi="宋体" w:eastAsia="宋体" w:cs="宋体"/>
          <w:b w:val="0"/>
          <w:bCs w:val="0"/>
          <w:color w:val="auto"/>
          <w:sz w:val="24"/>
          <w:szCs w:val="24"/>
          <w:highlight w:val="none"/>
        </w:rPr>
      </w:pPr>
      <w:r>
        <w:rPr>
          <w:rFonts w:hint="eastAsia" w:ascii="宋体" w:hAnsi="宋体" w:eastAsia="宋体" w:cs="宋体"/>
          <w:b/>
          <w:bCs/>
          <w:color w:val="auto"/>
          <w:spacing w:val="-3"/>
          <w:sz w:val="24"/>
          <w:szCs w:val="24"/>
          <w:highlight w:val="none"/>
          <w:lang w:val="en-US" w:eastAsia="zh-CN"/>
          <w14:textOutline w14:w="5448" w14:cap="sq" w14:cmpd="sng">
            <w14:solidFill>
              <w14:srgbClr w14:val="000000"/>
            </w14:solidFill>
            <w14:prstDash w14:val="solid"/>
            <w14:bevel/>
          </w14:textOutline>
        </w:rPr>
        <w:t>2.</w:t>
      </w:r>
      <w:r>
        <w:rPr>
          <w:rFonts w:hint="eastAsia" w:ascii="宋体" w:hAnsi="宋体" w:eastAsia="宋体" w:cs="宋体"/>
          <w:b w:val="0"/>
          <w:bCs w:val="0"/>
          <w:color w:val="auto"/>
          <w:spacing w:val="-3"/>
          <w:sz w:val="24"/>
          <w:szCs w:val="24"/>
          <w:highlight w:val="none"/>
          <w:lang w:val="en-US" w:eastAsia="zh-CN"/>
          <w14:textOutline w14:w="5448" w14:cap="sq" w14:cmpd="sng">
            <w14:solidFill>
              <w14:srgbClr w14:val="000000"/>
            </w14:solidFill>
            <w14:prstDash w14:val="solid"/>
            <w14:bevel/>
          </w14:textOutline>
        </w:rPr>
        <w:t>响应函</w:t>
      </w:r>
      <w:r>
        <w:rPr>
          <w:rFonts w:hint="eastAsia" w:ascii="宋体" w:hAnsi="宋体" w:eastAsia="宋体" w:cs="宋体"/>
          <w:b w:val="0"/>
          <w:bCs w:val="0"/>
          <w:color w:val="auto"/>
          <w:spacing w:val="-3"/>
          <w:sz w:val="24"/>
          <w:szCs w:val="24"/>
          <w:highlight w:val="none"/>
          <w14:textOutline w14:w="5448" w14:cap="sq" w14:cmpd="sng">
            <w14:solidFill>
              <w14:srgbClr w14:val="000000"/>
            </w14:solidFill>
            <w14:prstDash w14:val="solid"/>
            <w14:bevel/>
          </w14:textOutline>
        </w:rPr>
        <w:t>附录</w:t>
      </w:r>
    </w:p>
    <w:p>
      <w:pPr>
        <w:spacing w:before="53"/>
        <w:rPr>
          <w:color w:val="auto"/>
          <w:highlight w:val="none"/>
        </w:rPr>
      </w:pPr>
    </w:p>
    <w:tbl>
      <w:tblPr>
        <w:tblStyle w:val="48"/>
        <w:tblW w:w="91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13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w:t>
            </w:r>
            <w:r>
              <w:rPr>
                <w:rFonts w:hint="eastAsia" w:ascii="宋体" w:hAnsi="宋体" w:eastAsia="宋体" w:cs="宋体"/>
                <w:color w:val="auto"/>
                <w:spacing w:val="21"/>
                <w:sz w:val="21"/>
                <w:szCs w:val="21"/>
                <w:highlight w:val="none"/>
              </w:rPr>
              <w:t xml:space="preserve"> </w:t>
            </w:r>
            <w:r>
              <w:rPr>
                <w:rFonts w:hint="eastAsia" w:ascii="宋体" w:hAnsi="宋体" w:eastAsia="宋体" w:cs="宋体"/>
                <w:color w:val="auto"/>
                <w:sz w:val="21"/>
                <w:szCs w:val="21"/>
                <w:highlight w:val="none"/>
              </w:rPr>
              <w:t>号</w:t>
            </w:r>
          </w:p>
        </w:tc>
        <w:tc>
          <w:tcPr>
            <w:tcW w:w="2189"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条款内容</w:t>
            </w:r>
          </w:p>
        </w:tc>
        <w:tc>
          <w:tcPr>
            <w:tcW w:w="2344"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合同条款号</w:t>
            </w:r>
          </w:p>
        </w:tc>
        <w:tc>
          <w:tcPr>
            <w:tcW w:w="2189"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约定内容</w:t>
            </w:r>
          </w:p>
        </w:tc>
        <w:tc>
          <w:tcPr>
            <w:tcW w:w="1350"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189"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项目经理</w:t>
            </w:r>
          </w:p>
        </w:tc>
        <w:tc>
          <w:tcPr>
            <w:tcW w:w="2344"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189"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姓名：</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189"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工期</w:t>
            </w:r>
          </w:p>
        </w:tc>
        <w:tc>
          <w:tcPr>
            <w:tcW w:w="2344"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合同协议书</w:t>
            </w:r>
          </w:p>
        </w:tc>
        <w:tc>
          <w:tcPr>
            <w:tcW w:w="2189" w:type="dxa"/>
            <w:vAlign w:val="top"/>
          </w:tcPr>
          <w:p>
            <w:pPr>
              <w:pStyle w:val="47"/>
              <w:keepNext w:val="0"/>
              <w:keepLines w:val="0"/>
              <w:pageBreakBefore w:val="0"/>
              <w:widowControl w:val="0"/>
              <w:tabs>
                <w:tab w:val="left" w:pos="1301"/>
              </w:tabs>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日历天</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189"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缺陷责任期</w:t>
            </w:r>
          </w:p>
        </w:tc>
        <w:tc>
          <w:tcPr>
            <w:tcW w:w="2344"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18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189"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发包人支付担保</w:t>
            </w:r>
          </w:p>
        </w:tc>
        <w:tc>
          <w:tcPr>
            <w:tcW w:w="2344"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18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189"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承包人履约担保金额</w:t>
            </w:r>
          </w:p>
        </w:tc>
        <w:tc>
          <w:tcPr>
            <w:tcW w:w="2344"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18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189"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分包</w:t>
            </w:r>
          </w:p>
        </w:tc>
        <w:tc>
          <w:tcPr>
            <w:tcW w:w="2344"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189"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见分包项目情况表</w:t>
            </w: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189"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质量标准</w:t>
            </w:r>
          </w:p>
        </w:tc>
        <w:tc>
          <w:tcPr>
            <w:tcW w:w="2344"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18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189"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预付款额度</w:t>
            </w:r>
          </w:p>
        </w:tc>
        <w:tc>
          <w:tcPr>
            <w:tcW w:w="2344"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18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189"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预付款保函金额</w:t>
            </w:r>
          </w:p>
        </w:tc>
        <w:tc>
          <w:tcPr>
            <w:tcW w:w="2344"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18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rPr>
              <w:t>10</w:t>
            </w:r>
          </w:p>
        </w:tc>
        <w:tc>
          <w:tcPr>
            <w:tcW w:w="2189"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质量保证金额度</w:t>
            </w:r>
          </w:p>
        </w:tc>
        <w:tc>
          <w:tcPr>
            <w:tcW w:w="2344"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专用合同条款</w:t>
            </w:r>
          </w:p>
        </w:tc>
        <w:tc>
          <w:tcPr>
            <w:tcW w:w="218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left"/>
              <w:textAlignment w:val="auto"/>
              <w:rPr>
                <w:rFonts w:hint="eastAsia" w:ascii="宋体" w:hAnsi="宋体" w:eastAsia="宋体" w:cs="宋体"/>
                <w:color w:val="auto"/>
                <w:sz w:val="21"/>
                <w:szCs w:val="21"/>
                <w:highlight w:val="none"/>
              </w:rPr>
            </w:pP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position w:val="2"/>
                <w:sz w:val="21"/>
                <w:szCs w:val="21"/>
                <w:highlight w:val="none"/>
              </w:rPr>
              <w:t>……</w:t>
            </w:r>
          </w:p>
        </w:tc>
        <w:tc>
          <w:tcPr>
            <w:tcW w:w="2189" w:type="dxa"/>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position w:val="2"/>
                <w:sz w:val="21"/>
                <w:szCs w:val="21"/>
                <w:highlight w:val="none"/>
              </w:rPr>
              <w:t>……</w:t>
            </w:r>
          </w:p>
        </w:tc>
        <w:tc>
          <w:tcPr>
            <w:tcW w:w="2344"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c>
          <w:tcPr>
            <w:tcW w:w="2189"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c>
          <w:tcPr>
            <w:tcW w:w="1350" w:type="dxa"/>
            <w:vAlign w:val="top"/>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169" w:type="dxa"/>
            <w:gridSpan w:val="5"/>
            <w:vAlign w:val="top"/>
          </w:tcPr>
          <w:p>
            <w:pPr>
              <w:pStyle w:val="47"/>
              <w:keepNext w:val="0"/>
              <w:keepLines w:val="0"/>
              <w:pageBreakBefore w:val="0"/>
              <w:widowControl w:val="0"/>
              <w:kinsoku/>
              <w:wordWrap/>
              <w:overflowPunct/>
              <w:topLinePunct w:val="0"/>
              <w:autoSpaceDE/>
              <w:autoSpaceDN/>
              <w:bidi w:val="0"/>
              <w:adjustRightInd/>
              <w:snapToGrid/>
              <w:spacing w:line="400" w:lineRule="exact"/>
              <w:ind w:left="0" w:right="0" w:firstLine="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备注：供应商在响应招标文件中规定的实质性要求和条件的基础上，可做出其他有利于招标人的承诺。此</w:t>
            </w:r>
            <w:r>
              <w:rPr>
                <w:rFonts w:hint="eastAsia" w:ascii="宋体" w:hAnsi="宋体" w:eastAsia="宋体" w:cs="宋体"/>
                <w:color w:val="auto"/>
                <w:spacing w:val="8"/>
                <w:sz w:val="21"/>
                <w:szCs w:val="21"/>
                <w:highlight w:val="none"/>
              </w:rPr>
              <w:t>类承诺可在本表中予以补充填写。</w:t>
            </w:r>
          </w:p>
        </w:tc>
      </w:tr>
    </w:tbl>
    <w:p>
      <w:pPr>
        <w:spacing w:line="241" w:lineRule="auto"/>
        <w:rPr>
          <w:rFonts w:ascii="Arial"/>
          <w:color w:val="auto"/>
          <w:sz w:val="21"/>
          <w:highlight w:val="none"/>
        </w:rPr>
      </w:pPr>
    </w:p>
    <w:p>
      <w:pPr>
        <w:spacing w:line="241" w:lineRule="auto"/>
        <w:rPr>
          <w:rFonts w:ascii="Arial"/>
          <w:color w:val="auto"/>
          <w:sz w:val="21"/>
          <w:highlight w:val="none"/>
        </w:rPr>
      </w:pPr>
    </w:p>
    <w:p>
      <w:pPr>
        <w:spacing w:line="242" w:lineRule="auto"/>
        <w:rPr>
          <w:rFonts w:ascii="Arial"/>
          <w:color w:val="auto"/>
          <w:sz w:val="21"/>
          <w:highlight w:val="none"/>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right="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2"/>
          <w:sz w:val="21"/>
          <w:szCs w:val="21"/>
          <w:highlight w:val="none"/>
        </w:rPr>
        <w:t>签章)]：</w:t>
      </w:r>
      <w:r>
        <w:rPr>
          <w:rFonts w:hint="eastAsia" w:ascii="宋体" w:hAnsi="宋体" w:eastAsia="宋体" w:cs="宋体"/>
          <w:color w:val="auto"/>
          <w:sz w:val="21"/>
          <w:szCs w:val="21"/>
          <w:highlight w:val="none"/>
          <w:u w:val="single" w:color="auto"/>
        </w:rPr>
        <w:t xml:space="preserve">                                  </w:t>
      </w:r>
      <w:r>
        <w:rPr>
          <w:rFonts w:hint="eastAsia" w:ascii="宋体" w:hAnsi="宋体" w:cs="宋体"/>
          <w:color w:val="auto"/>
          <w:sz w:val="21"/>
          <w:szCs w:val="21"/>
          <w:highlight w:val="none"/>
          <w:u w:val="single" w:color="auto"/>
          <w:lang w:val="en-US" w:eastAsia="zh-CN"/>
        </w:rPr>
        <w:t xml:space="preserve">  </w:t>
      </w:r>
      <w:r>
        <w:rPr>
          <w:rFonts w:hint="eastAsia" w:ascii="宋体" w:hAnsi="宋体" w:eastAsia="宋体" w:cs="宋体"/>
          <w:color w:val="auto"/>
          <w:sz w:val="21"/>
          <w:szCs w:val="21"/>
          <w:highlight w:val="none"/>
          <w:u w:val="single" w:color="auto"/>
        </w:rPr>
        <w:t xml:space="preserve">     </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right="0" w:hanging="11"/>
        <w:textAlignment w:val="auto"/>
        <w:rPr>
          <w:rFonts w:hint="eastAsia" w:ascii="宋体" w:hAnsi="宋体" w:eastAsia="宋体" w:cs="宋体"/>
          <w:color w:val="auto"/>
          <w:spacing w:val="10"/>
          <w:sz w:val="21"/>
          <w:szCs w:val="21"/>
          <w:highlight w:val="none"/>
        </w:rPr>
      </w:pPr>
      <w:r>
        <w:rPr>
          <w:rFonts w:hint="eastAsia" w:ascii="宋体" w:hAnsi="宋体" w:eastAsia="宋体" w:cs="宋体"/>
          <w:color w:val="auto"/>
          <w:spacing w:val="-1"/>
          <w:sz w:val="21"/>
          <w:szCs w:val="21"/>
          <w:highlight w:val="none"/>
        </w:rPr>
        <w:t>法定代表人或相应的委托代理人签字[或盖章(CA</w:t>
      </w:r>
      <w:r>
        <w:rPr>
          <w:rFonts w:hint="eastAsia" w:ascii="宋体" w:hAnsi="宋体" w:eastAsia="宋体" w:cs="宋体"/>
          <w:color w:val="auto"/>
          <w:spacing w:val="-44"/>
          <w:sz w:val="21"/>
          <w:szCs w:val="21"/>
          <w:highlight w:val="none"/>
        </w:rPr>
        <w:t xml:space="preserve"> </w:t>
      </w:r>
      <w:r>
        <w:rPr>
          <w:rFonts w:hint="eastAsia" w:ascii="宋体" w:hAnsi="宋体" w:eastAsia="宋体" w:cs="宋体"/>
          <w:color w:val="auto"/>
          <w:spacing w:val="-1"/>
          <w:sz w:val="21"/>
          <w:szCs w:val="21"/>
          <w:highlight w:val="none"/>
        </w:rPr>
        <w:t>签章)]：</w:t>
      </w:r>
      <w:r>
        <w:rPr>
          <w:rFonts w:hint="eastAsia" w:ascii="宋体" w:hAnsi="宋体" w:eastAsia="宋体" w:cs="宋体"/>
          <w:color w:val="auto"/>
          <w:spacing w:val="5"/>
          <w:sz w:val="21"/>
          <w:szCs w:val="21"/>
          <w:highlight w:val="none"/>
          <w:u w:val="single" w:color="auto"/>
        </w:rPr>
        <w:t xml:space="preserve">            </w:t>
      </w:r>
      <w:r>
        <w:rPr>
          <w:rFonts w:hint="eastAsia" w:ascii="宋体" w:hAnsi="宋体" w:eastAsia="宋体" w:cs="宋体"/>
          <w:color w:val="auto"/>
          <w:spacing w:val="10"/>
          <w:sz w:val="21"/>
          <w:szCs w:val="21"/>
          <w:highlight w:val="none"/>
        </w:rPr>
        <w:t xml:space="preserve"> </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right="0" w:hanging="11"/>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响应日期：</w:t>
      </w:r>
      <w:r>
        <w:rPr>
          <w:rFonts w:hint="eastAsia" w:ascii="宋体" w:hAnsi="宋体" w:eastAsia="宋体" w:cs="宋体"/>
          <w:color w:val="auto"/>
          <w:sz w:val="21"/>
          <w:szCs w:val="21"/>
          <w:highlight w:val="none"/>
          <w:u w:val="single" w:color="auto"/>
        </w:rPr>
        <w:t xml:space="preserve">                               </w:t>
      </w:r>
    </w:p>
    <w:p>
      <w:pPr>
        <w:spacing w:line="259" w:lineRule="auto"/>
        <w:rPr>
          <w:color w:val="auto"/>
          <w:sz w:val="24"/>
          <w:szCs w:val="24"/>
          <w:highlight w:val="none"/>
        </w:rPr>
        <w:sectPr>
          <w:footerReference r:id="rId12" w:type="default"/>
          <w:pgSz w:w="11910" w:h="16840"/>
          <w:pgMar w:top="1344" w:right="479" w:bottom="863" w:left="1567" w:header="0" w:footer="701" w:gutter="0"/>
          <w:cols w:space="720" w:num="1"/>
        </w:sectPr>
      </w:pPr>
    </w:p>
    <w:p>
      <w:pPr>
        <w:pStyle w:val="11"/>
        <w:numPr>
          <w:ilvl w:val="0"/>
          <w:numId w:val="0"/>
        </w:numPr>
        <w:spacing w:line="34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w:t>
      </w:r>
      <w:r>
        <w:rPr>
          <w:rFonts w:hint="eastAsia" w:hAnsi="宋体" w:eastAsia="宋体" w:cs="宋体"/>
          <w:b/>
          <w:color w:val="auto"/>
          <w:sz w:val="24"/>
          <w:szCs w:val="24"/>
          <w:highlight w:val="none"/>
          <w:lang w:val="en-US" w:eastAsia="zh-CN"/>
        </w:rPr>
        <w:t>已</w:t>
      </w:r>
      <w:r>
        <w:rPr>
          <w:rFonts w:hint="eastAsia" w:ascii="宋体" w:hAnsi="宋体" w:eastAsia="宋体" w:cs="宋体"/>
          <w:b/>
          <w:color w:val="auto"/>
          <w:sz w:val="24"/>
          <w:szCs w:val="24"/>
          <w:highlight w:val="none"/>
          <w:lang w:val="en-US" w:eastAsia="zh-CN"/>
        </w:rPr>
        <w:t>标价工程量清单（必须提供）</w:t>
      </w:r>
    </w:p>
    <w:p>
      <w:pPr>
        <w:snapToGrid w:val="0"/>
        <w:spacing w:line="240" w:lineRule="auto"/>
        <w:ind w:firstLine="420"/>
        <w:jc w:val="right"/>
        <w:rPr>
          <w:rFonts w:hint="eastAsia" w:ascii="宋体" w:hAnsi="宋体" w:eastAsia="宋体" w:cs="宋体"/>
          <w:color w:val="auto"/>
          <w:sz w:val="24"/>
          <w:szCs w:val="24"/>
          <w:highlight w:val="none"/>
        </w:rPr>
      </w:pPr>
    </w:p>
    <w:p>
      <w:pPr>
        <w:pStyle w:val="6"/>
        <w:spacing w:line="240" w:lineRule="auto"/>
        <w:jc w:val="center"/>
        <w:rPr>
          <w:rFonts w:hint="eastAsia" w:ascii="宋体" w:hAnsi="宋体" w:eastAsia="宋体" w:cs="宋体"/>
          <w:color w:val="auto"/>
          <w:sz w:val="24"/>
          <w:szCs w:val="24"/>
          <w:highlight w:val="none"/>
        </w:rPr>
      </w:pPr>
      <w:bookmarkStart w:id="2016" w:name="_Toc234659851"/>
      <w:bookmarkStart w:id="2017" w:name="_Toc446943082"/>
      <w:bookmarkStart w:id="2018" w:name="_Toc271557289"/>
      <w:bookmarkStart w:id="2019" w:name="_Toc394929435"/>
      <w:r>
        <w:rPr>
          <w:rFonts w:hint="eastAsia" w:ascii="宋体" w:hAnsi="宋体" w:eastAsia="宋体" w:cs="宋体"/>
          <w:color w:val="auto"/>
          <w:sz w:val="24"/>
          <w:szCs w:val="24"/>
          <w:highlight w:val="none"/>
        </w:rPr>
        <w:t>已标价工程量清单</w:t>
      </w:r>
      <w:bookmarkEnd w:id="2016"/>
      <w:bookmarkEnd w:id="2017"/>
      <w:bookmarkEnd w:id="2018"/>
      <w:bookmarkEnd w:id="2019"/>
    </w:p>
    <w:p>
      <w:pPr>
        <w:spacing w:line="240" w:lineRule="auto"/>
        <w:ind w:firstLine="420"/>
        <w:jc w:val="center"/>
        <w:rPr>
          <w:rFonts w:hint="eastAsia" w:ascii="宋体" w:hAnsi="宋体" w:eastAsia="宋体" w:cs="宋体"/>
          <w:color w:val="auto"/>
          <w:sz w:val="24"/>
          <w:szCs w:val="24"/>
          <w:highlight w:val="none"/>
        </w:rPr>
      </w:pP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应按照第</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章“工程量清单”的要求逐项填报工程量清单，包括工程量清单说明、</w:t>
      </w:r>
      <w:r>
        <w:rPr>
          <w:rFonts w:hint="eastAsia" w:ascii="宋体" w:hAnsi="宋体" w:eastAsia="宋体" w:cs="宋体"/>
          <w:color w:val="auto"/>
          <w:sz w:val="21"/>
          <w:szCs w:val="21"/>
          <w:highlight w:val="none"/>
          <w:lang w:eastAsia="zh-CN"/>
        </w:rPr>
        <w:t>磋商报价</w:t>
      </w:r>
      <w:r>
        <w:rPr>
          <w:rFonts w:hint="eastAsia" w:ascii="宋体" w:hAnsi="宋体" w:eastAsia="宋体" w:cs="宋体"/>
          <w:color w:val="auto"/>
          <w:sz w:val="21"/>
          <w:szCs w:val="21"/>
          <w:highlight w:val="none"/>
        </w:rPr>
        <w:t>说明及工程量清单各项表格</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提供的工程量清单）。</w:t>
      </w:r>
    </w:p>
    <w:p>
      <w:pPr>
        <w:spacing w:line="340" w:lineRule="exact"/>
        <w:rPr>
          <w:rFonts w:hint="eastAsia" w:ascii="宋体" w:hAnsi="宋体" w:eastAsia="宋体" w:cs="宋体"/>
          <w:color w:val="auto"/>
          <w:sz w:val="21"/>
          <w:szCs w:val="21"/>
          <w:highlight w:val="none"/>
        </w:rPr>
      </w:pPr>
    </w:p>
    <w:p>
      <w:pPr>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color w:val="auto"/>
          <w:sz w:val="21"/>
          <w:szCs w:val="21"/>
          <w:highlight w:val="none"/>
        </w:rPr>
        <w:t>当本</w:t>
      </w:r>
      <w:r>
        <w:rPr>
          <w:rFonts w:hint="eastAsia" w:ascii="宋体" w:hAnsi="宋体" w:eastAsia="宋体" w:cs="宋体"/>
          <w:b/>
          <w:color w:val="auto"/>
          <w:sz w:val="21"/>
          <w:szCs w:val="21"/>
          <w:highlight w:val="none"/>
          <w:lang w:eastAsia="zh-CN"/>
        </w:rPr>
        <w:t>清单</w:t>
      </w:r>
      <w:r>
        <w:rPr>
          <w:rFonts w:hint="eastAsia" w:ascii="宋体" w:hAnsi="宋体" w:eastAsia="宋体" w:cs="宋体"/>
          <w:b/>
          <w:color w:val="auto"/>
          <w:sz w:val="21"/>
          <w:szCs w:val="21"/>
          <w:highlight w:val="none"/>
        </w:rPr>
        <w:t>由多页构成时，需逐页加盖</w:t>
      </w:r>
      <w:r>
        <w:rPr>
          <w:rFonts w:hint="eastAsia" w:ascii="宋体" w:hAnsi="宋体" w:eastAsia="宋体" w:cs="宋体"/>
          <w:b/>
          <w:color w:val="auto"/>
          <w:sz w:val="21"/>
          <w:szCs w:val="21"/>
          <w:highlight w:val="none"/>
          <w:lang w:eastAsia="zh-CN"/>
        </w:rPr>
        <w:t>磋商供应商</w:t>
      </w:r>
      <w:r>
        <w:rPr>
          <w:rFonts w:hint="eastAsia" w:ascii="宋体" w:hAnsi="宋体" w:eastAsia="宋体" w:cs="宋体"/>
          <w:b/>
          <w:color w:val="auto"/>
          <w:sz w:val="21"/>
          <w:szCs w:val="21"/>
          <w:highlight w:val="none"/>
        </w:rPr>
        <w:t>公章</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CA签章</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（属自然人的须逐页签字</w:t>
      </w:r>
      <w:r>
        <w:rPr>
          <w:rFonts w:hint="eastAsia" w:ascii="宋体" w:hAnsi="宋体" w:eastAsia="宋体" w:cs="宋体"/>
          <w:b/>
          <w:color w:val="auto"/>
          <w:sz w:val="21"/>
          <w:szCs w:val="21"/>
          <w:highlight w:val="none"/>
          <w:lang w:eastAsia="zh-CN"/>
        </w:rPr>
        <w:t>或</w:t>
      </w:r>
      <w:r>
        <w:rPr>
          <w:rFonts w:hint="eastAsia" w:ascii="宋体" w:hAnsi="宋体" w:eastAsia="宋体" w:cs="宋体"/>
          <w:b/>
          <w:color w:val="auto"/>
          <w:sz w:val="21"/>
          <w:szCs w:val="21"/>
          <w:highlight w:val="none"/>
          <w:lang w:val="en-US" w:eastAsia="zh-CN"/>
        </w:rPr>
        <w:t>个人CA签章</w:t>
      </w:r>
      <w:r>
        <w:rPr>
          <w:rFonts w:hint="eastAsia" w:ascii="宋体" w:hAnsi="宋体" w:eastAsia="宋体" w:cs="宋体"/>
          <w:b/>
          <w:color w:val="auto"/>
          <w:sz w:val="21"/>
          <w:szCs w:val="21"/>
          <w:highlight w:val="none"/>
        </w:rPr>
        <w:t>）。</w:t>
      </w: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4"/>
        <w:rPr>
          <w:rFonts w:hint="eastAsia" w:ascii="宋体" w:hAnsi="宋体" w:eastAsia="宋体" w:cs="宋体"/>
          <w:color w:val="auto"/>
          <w:sz w:val="24"/>
          <w:szCs w:val="24"/>
          <w:highlight w:val="none"/>
        </w:rPr>
      </w:pPr>
    </w:p>
    <w:p>
      <w:pPr>
        <w:pStyle w:val="2"/>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12"/>
        <w:rPr>
          <w:rFonts w:hint="eastAsia" w:ascii="宋体" w:hAnsi="宋体" w:eastAsia="宋体" w:cs="宋体"/>
          <w:color w:val="auto"/>
          <w:sz w:val="24"/>
          <w:szCs w:val="24"/>
          <w:highlight w:val="none"/>
        </w:rPr>
      </w:pPr>
    </w:p>
    <w:p>
      <w:pPr>
        <w:pStyle w:val="12"/>
        <w:rPr>
          <w:rFonts w:hint="eastAsia" w:ascii="宋体" w:hAnsi="宋体" w:eastAsia="宋体" w:cs="宋体"/>
          <w:color w:val="auto"/>
          <w:sz w:val="24"/>
          <w:szCs w:val="24"/>
          <w:highlight w:val="none"/>
        </w:rPr>
      </w:pPr>
    </w:p>
    <w:p>
      <w:pPr>
        <w:pStyle w:val="12"/>
        <w:rPr>
          <w:rFonts w:hint="eastAsia" w:ascii="宋体" w:hAnsi="宋体" w:eastAsia="宋体" w:cs="宋体"/>
          <w:color w:val="auto"/>
          <w:sz w:val="24"/>
          <w:szCs w:val="24"/>
          <w:highlight w:val="none"/>
        </w:rPr>
      </w:pPr>
    </w:p>
    <w:p>
      <w:pPr>
        <w:pStyle w:val="12"/>
        <w:rPr>
          <w:rFonts w:hint="eastAsia" w:ascii="宋体" w:hAnsi="宋体" w:eastAsia="宋体" w:cs="宋体"/>
          <w:color w:val="auto"/>
          <w:sz w:val="24"/>
          <w:szCs w:val="24"/>
          <w:highlight w:val="none"/>
        </w:rPr>
      </w:pPr>
    </w:p>
    <w:p>
      <w:pPr>
        <w:pStyle w:val="12"/>
        <w:rPr>
          <w:rFonts w:hint="eastAsia" w:ascii="宋体" w:hAnsi="宋体" w:eastAsia="宋体" w:cs="宋体"/>
          <w:color w:val="auto"/>
          <w:sz w:val="24"/>
          <w:szCs w:val="24"/>
          <w:highlight w:val="none"/>
        </w:rPr>
      </w:pPr>
    </w:p>
    <w:p>
      <w:pPr>
        <w:pStyle w:val="12"/>
        <w:rPr>
          <w:rFonts w:hint="eastAsia" w:ascii="宋体" w:hAnsi="宋体" w:eastAsia="宋体" w:cs="宋体"/>
          <w:color w:val="auto"/>
          <w:sz w:val="24"/>
          <w:szCs w:val="24"/>
          <w:highlight w:val="none"/>
        </w:rPr>
      </w:pPr>
    </w:p>
    <w:p>
      <w:pPr>
        <w:pStyle w:val="12"/>
        <w:rPr>
          <w:rFonts w:hint="eastAsia" w:ascii="宋体" w:hAnsi="宋体" w:eastAsia="宋体" w:cs="宋体"/>
          <w:color w:val="auto"/>
          <w:sz w:val="24"/>
          <w:szCs w:val="24"/>
          <w:highlight w:val="none"/>
        </w:rPr>
      </w:pPr>
    </w:p>
    <w:p>
      <w:pPr>
        <w:pStyle w:val="12"/>
        <w:rPr>
          <w:rFonts w:hint="eastAsia" w:ascii="宋体" w:hAnsi="宋体" w:eastAsia="宋体" w:cs="宋体"/>
          <w:color w:val="auto"/>
          <w:sz w:val="24"/>
          <w:szCs w:val="24"/>
          <w:highlight w:val="none"/>
        </w:rPr>
      </w:pPr>
    </w:p>
    <w:p>
      <w:pPr>
        <w:pStyle w:val="12"/>
        <w:rPr>
          <w:rFonts w:hint="eastAsia" w:ascii="宋体" w:hAnsi="宋体" w:eastAsia="宋体" w:cs="宋体"/>
          <w:color w:val="auto"/>
          <w:sz w:val="24"/>
          <w:szCs w:val="24"/>
          <w:highlight w:val="none"/>
        </w:rPr>
      </w:pPr>
    </w:p>
    <w:p>
      <w:pPr>
        <w:pStyle w:val="12"/>
        <w:rPr>
          <w:rFonts w:hint="eastAsia" w:ascii="宋体" w:hAnsi="宋体" w:eastAsia="宋体" w:cs="宋体"/>
          <w:color w:val="auto"/>
          <w:sz w:val="24"/>
          <w:szCs w:val="24"/>
          <w:highlight w:val="none"/>
        </w:rPr>
      </w:pPr>
    </w:p>
    <w:p>
      <w:pPr>
        <w:pStyle w:val="10"/>
        <w:rPr>
          <w:rFonts w:hint="eastAsia"/>
          <w:color w:val="auto"/>
          <w:sz w:val="24"/>
          <w:szCs w:val="24"/>
          <w:highlight w:val="none"/>
        </w:rPr>
      </w:pPr>
    </w:p>
    <w:p>
      <w:pPr>
        <w:pStyle w:val="10"/>
        <w:rPr>
          <w:rFonts w:hint="eastAsia"/>
          <w:color w:val="auto"/>
          <w:sz w:val="24"/>
          <w:szCs w:val="24"/>
          <w:highlight w:val="none"/>
        </w:rPr>
      </w:pPr>
    </w:p>
    <w:p>
      <w:pPr>
        <w:spacing w:line="240" w:lineRule="auto"/>
        <w:rPr>
          <w:rFonts w:hint="eastAsia" w:ascii="宋体" w:hAnsi="宋体" w:eastAsia="宋体" w:cs="宋体"/>
          <w:b/>
          <w:bCs/>
          <w:iCs/>
          <w:color w:val="auto"/>
          <w:kern w:val="2"/>
          <w:sz w:val="24"/>
          <w:szCs w:val="24"/>
          <w:highlight w:val="none"/>
          <w:lang w:val="en-US" w:eastAsia="zh-CN" w:bidi="ar-SA"/>
        </w:rPr>
      </w:pPr>
      <w:r>
        <w:rPr>
          <w:rFonts w:hint="eastAsia" w:hAnsi="宋体" w:cs="宋体"/>
          <w:b/>
          <w:color w:val="auto"/>
          <w:sz w:val="24"/>
          <w:szCs w:val="24"/>
          <w:highlight w:val="none"/>
          <w:lang w:val="en-US" w:eastAsia="zh-CN"/>
        </w:rPr>
        <w:t>4</w:t>
      </w: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bCs/>
          <w:iCs/>
          <w:color w:val="auto"/>
          <w:kern w:val="2"/>
          <w:sz w:val="24"/>
          <w:szCs w:val="24"/>
          <w:highlight w:val="none"/>
          <w:lang w:val="en-US" w:eastAsia="zh-CN" w:bidi="ar-SA"/>
        </w:rPr>
        <w:t>拟投入本工程主要施工管理人员表（必须提供）；</w:t>
      </w:r>
    </w:p>
    <w:p>
      <w:pPr>
        <w:spacing w:line="500" w:lineRule="exact"/>
        <w:jc w:val="center"/>
        <w:rPr>
          <w:rFonts w:hint="eastAsia" w:ascii="宋体" w:hAnsi="宋体" w:eastAsia="宋体" w:cs="宋体"/>
          <w:b/>
          <w:color w:val="auto"/>
          <w:sz w:val="24"/>
          <w:szCs w:val="24"/>
          <w:highlight w:val="none"/>
          <w:lang w:val="en-US" w:eastAsia="zh-CN"/>
        </w:rPr>
      </w:pPr>
    </w:p>
    <w:p>
      <w:pPr>
        <w:spacing w:line="5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主要施工管理人员表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tbl>
      <w:tblPr>
        <w:tblStyle w:val="1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793"/>
        <w:gridCol w:w="792"/>
        <w:gridCol w:w="1447"/>
        <w:gridCol w:w="3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资质/职称</w:t>
            </w: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执业资格证号/上岗证号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一、总部</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1.项目主管</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2.其他人员</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二、现场</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项目经理</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2.项目副经理（如有）</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3.技术负责人</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4.施工员</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员</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6.专职安全生产管理人员</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7.材料员</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2"/>
          <w:kern w:val="0"/>
          <w:sz w:val="21"/>
          <w:szCs w:val="21"/>
          <w:highlight w:val="none"/>
        </w:rPr>
      </w:pPr>
      <w:r>
        <w:rPr>
          <w:rFonts w:hint="eastAsia" w:ascii="宋体" w:hAnsi="宋体" w:eastAsia="宋体" w:cs="宋体"/>
          <w:bCs/>
          <w:color w:val="auto"/>
          <w:spacing w:val="-2"/>
          <w:sz w:val="21"/>
          <w:szCs w:val="21"/>
          <w:highlight w:val="none"/>
        </w:rPr>
        <w:t>注：人员配备</w:t>
      </w:r>
      <w:r>
        <w:rPr>
          <w:rFonts w:hint="eastAsia" w:ascii="宋体" w:hAnsi="宋体" w:eastAsia="宋体" w:cs="宋体"/>
          <w:color w:val="auto"/>
          <w:spacing w:val="-2"/>
          <w:sz w:val="21"/>
          <w:szCs w:val="21"/>
          <w:highlight w:val="none"/>
        </w:rPr>
        <w:t>应按桂林市建设与规划委员会市建规〔2006〕270号文《关于调整建筑施工现场项目部管理的通知》的规定执行，须满足最低要求。</w:t>
      </w:r>
      <w:r>
        <w:rPr>
          <w:rFonts w:hint="eastAsia" w:ascii="宋体" w:hAnsi="宋体" w:eastAsia="宋体" w:cs="宋体"/>
          <w:color w:val="auto"/>
          <w:spacing w:val="-2"/>
          <w:kern w:val="0"/>
          <w:sz w:val="21"/>
          <w:szCs w:val="21"/>
          <w:highlight w:val="none"/>
        </w:rPr>
        <w:t>其中，</w:t>
      </w:r>
      <w:r>
        <w:rPr>
          <w:rFonts w:hint="eastAsia" w:ascii="宋体" w:hAnsi="宋体" w:eastAsia="宋体" w:cs="宋体"/>
          <w:color w:val="auto"/>
          <w:spacing w:val="-2"/>
          <w:kern w:val="0"/>
          <w:sz w:val="21"/>
          <w:szCs w:val="21"/>
          <w:highlight w:val="none"/>
          <w:lang w:eastAsia="zh-CN"/>
        </w:rPr>
        <w:t>项目经理</w:t>
      </w:r>
      <w:r>
        <w:rPr>
          <w:rFonts w:hint="eastAsia" w:ascii="宋体" w:hAnsi="宋体" w:eastAsia="宋体" w:cs="宋体"/>
          <w:color w:val="auto"/>
          <w:spacing w:val="-2"/>
          <w:kern w:val="0"/>
          <w:sz w:val="21"/>
          <w:szCs w:val="21"/>
          <w:highlight w:val="none"/>
        </w:rPr>
        <w:t>至少应附身份证复印件、</w:t>
      </w:r>
      <w:r>
        <w:rPr>
          <w:rFonts w:hint="eastAsia" w:ascii="宋体" w:hAnsi="宋体" w:eastAsia="宋体" w:cs="宋体"/>
          <w:color w:val="auto"/>
          <w:spacing w:val="-2"/>
          <w:kern w:val="0"/>
          <w:sz w:val="21"/>
          <w:szCs w:val="21"/>
          <w:highlight w:val="none"/>
          <w:lang w:val="en-US" w:eastAsia="zh-CN"/>
        </w:rPr>
        <w:t>建造师注册证书</w:t>
      </w:r>
      <w:r>
        <w:rPr>
          <w:rFonts w:hint="eastAsia" w:ascii="宋体" w:hAnsi="宋体" w:eastAsia="宋体" w:cs="宋体"/>
          <w:color w:val="auto"/>
          <w:spacing w:val="-2"/>
          <w:kern w:val="0"/>
          <w:sz w:val="21"/>
          <w:szCs w:val="21"/>
          <w:highlight w:val="none"/>
        </w:rPr>
        <w:t>复印件、安全生产考核合格证书（B类）复印件；技术负责人应附身份证复印件、职称证复印件；专职安全生产管理人员至少应附身份证复印件、专职安全员安全生产考核合格证书（C类）复印件；其他主要人员（施工员、质检</w:t>
      </w:r>
      <w:r>
        <w:rPr>
          <w:rFonts w:hint="eastAsia" w:ascii="宋体" w:hAnsi="宋体" w:eastAsia="宋体" w:cs="宋体"/>
          <w:color w:val="auto"/>
          <w:spacing w:val="-2"/>
          <w:kern w:val="0"/>
          <w:sz w:val="21"/>
          <w:szCs w:val="21"/>
          <w:highlight w:val="none"/>
          <w:lang w:eastAsia="zh-CN"/>
        </w:rPr>
        <w:t>（</w:t>
      </w:r>
      <w:r>
        <w:rPr>
          <w:rFonts w:hint="eastAsia" w:ascii="宋体" w:hAnsi="宋体" w:eastAsia="宋体" w:cs="宋体"/>
          <w:color w:val="auto"/>
          <w:spacing w:val="-2"/>
          <w:kern w:val="0"/>
          <w:sz w:val="21"/>
          <w:szCs w:val="21"/>
          <w:highlight w:val="none"/>
          <w:lang w:val="en-US" w:eastAsia="zh-CN"/>
        </w:rPr>
        <w:t>量</w:t>
      </w:r>
      <w:r>
        <w:rPr>
          <w:rFonts w:hint="eastAsia" w:ascii="宋体" w:hAnsi="宋体" w:eastAsia="宋体" w:cs="宋体"/>
          <w:color w:val="auto"/>
          <w:spacing w:val="-2"/>
          <w:kern w:val="0"/>
          <w:sz w:val="21"/>
          <w:szCs w:val="21"/>
          <w:highlight w:val="none"/>
          <w:lang w:eastAsia="zh-CN"/>
        </w:rPr>
        <w:t>）</w:t>
      </w:r>
      <w:r>
        <w:rPr>
          <w:rFonts w:hint="eastAsia" w:ascii="宋体" w:hAnsi="宋体" w:eastAsia="宋体" w:cs="宋体"/>
          <w:color w:val="auto"/>
          <w:spacing w:val="-2"/>
          <w:kern w:val="0"/>
          <w:sz w:val="21"/>
          <w:szCs w:val="21"/>
          <w:highlight w:val="none"/>
        </w:rPr>
        <w:t>员、材料员）应附执业证或上岗证书复印件。</w:t>
      </w:r>
      <w:r>
        <w:rPr>
          <w:rFonts w:hint="eastAsia" w:ascii="宋体" w:hAnsi="宋体" w:eastAsia="宋体" w:cs="宋体"/>
          <w:color w:val="auto"/>
          <w:kern w:val="0"/>
          <w:sz w:val="21"/>
          <w:szCs w:val="21"/>
          <w:highlight w:val="none"/>
        </w:rPr>
        <w:t>同时还需提供社保部门出具</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为项目管理机构成员（包含项目经理、技术负责人、专职安全员、施工员、质检</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员、材料员）缴纳的响应文件递交截止时间前半年内任意连续三个月社保证明复印件。若为近期新聘员工的，以提供劳动合同证明材料复印件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若</w:t>
      </w:r>
      <w:r>
        <w:rPr>
          <w:rFonts w:hint="eastAsia" w:ascii="宋体" w:hAnsi="宋体" w:eastAsia="宋体" w:cs="宋体"/>
          <w:color w:val="auto"/>
          <w:kern w:val="0"/>
          <w:sz w:val="21"/>
          <w:szCs w:val="21"/>
          <w:highlight w:val="none"/>
          <w:lang w:val="en-US" w:eastAsia="zh-CN"/>
        </w:rPr>
        <w:t>为退休员工则需提供退休证明及劳动合同</w:t>
      </w:r>
      <w:r>
        <w:rPr>
          <w:rFonts w:hint="eastAsia" w:ascii="宋体" w:hAnsi="宋体" w:eastAsia="宋体" w:cs="宋体"/>
          <w:color w:val="auto"/>
          <w:kern w:val="0"/>
          <w:sz w:val="21"/>
          <w:szCs w:val="21"/>
          <w:highlight w:val="none"/>
        </w:rPr>
        <w:t>为准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pacing w:val="-2"/>
          <w:kern w:val="0"/>
          <w:sz w:val="21"/>
          <w:szCs w:val="21"/>
          <w:highlight w:val="none"/>
        </w:rPr>
        <w:t>上述复印件均需加盖</w:t>
      </w:r>
      <w:r>
        <w:rPr>
          <w:rFonts w:hint="eastAsia" w:ascii="宋体" w:hAnsi="宋体" w:eastAsia="宋体" w:cs="宋体"/>
          <w:color w:val="auto"/>
          <w:spacing w:val="-2"/>
          <w:kern w:val="0"/>
          <w:sz w:val="21"/>
          <w:szCs w:val="21"/>
          <w:highlight w:val="none"/>
          <w:lang w:val="en-US" w:eastAsia="zh-CN"/>
        </w:rPr>
        <w:t>供应商</w:t>
      </w:r>
      <w:r>
        <w:rPr>
          <w:rFonts w:hint="eastAsia" w:ascii="宋体" w:hAnsi="宋体" w:eastAsia="宋体" w:cs="宋体"/>
          <w:color w:val="auto"/>
          <w:spacing w:val="-2"/>
          <w:kern w:val="0"/>
          <w:sz w:val="21"/>
          <w:szCs w:val="21"/>
          <w:highlight w:val="none"/>
        </w:rPr>
        <w:t>公章。</w:t>
      </w:r>
    </w:p>
    <w:p>
      <w:pPr>
        <w:pStyle w:val="11"/>
        <w:spacing w:line="340" w:lineRule="exact"/>
        <w:jc w:val="center"/>
        <w:rPr>
          <w:rFonts w:hint="eastAsia" w:ascii="宋体" w:hAnsi="宋体" w:eastAsia="宋体" w:cs="宋体"/>
          <w:b/>
          <w:color w:val="auto"/>
          <w:sz w:val="21"/>
          <w:szCs w:val="21"/>
          <w:highlight w:val="none"/>
        </w:rPr>
      </w:pPr>
    </w:p>
    <w:p>
      <w:pPr>
        <w:pStyle w:val="7"/>
        <w:rPr>
          <w:rFonts w:hint="eastAsia"/>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，自然人</w:t>
      </w:r>
      <w:r>
        <w:rPr>
          <w:rFonts w:hint="eastAsia" w:ascii="宋体" w:hAnsi="宋体" w:eastAsia="宋体" w:cs="宋体"/>
          <w:color w:val="auto"/>
          <w:sz w:val="21"/>
          <w:szCs w:val="21"/>
          <w:highlight w:val="none"/>
          <w:lang w:eastAsia="zh-CN"/>
        </w:rPr>
        <w:t>签字或个人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期：</w:t>
      </w:r>
      <w:r>
        <w:rPr>
          <w:rFonts w:hint="eastAsia" w:ascii="宋体" w:hAnsi="宋体" w:eastAsia="宋体" w:cs="宋体"/>
          <w:color w:val="auto"/>
          <w:sz w:val="21"/>
          <w:szCs w:val="21"/>
          <w:highlight w:val="none"/>
          <w:u w:val="single"/>
        </w:rPr>
        <w:t xml:space="preserve">                            </w:t>
      </w:r>
    </w:p>
    <w:p>
      <w:pPr>
        <w:pStyle w:val="2"/>
        <w:rPr>
          <w:rFonts w:hint="eastAsia" w:ascii="宋体" w:hAnsi="宋体" w:eastAsia="宋体" w:cs="宋体"/>
          <w:b/>
          <w:bCs/>
          <w:color w:val="auto"/>
          <w:sz w:val="24"/>
          <w:szCs w:val="24"/>
          <w:highlight w:val="none"/>
        </w:rPr>
      </w:pPr>
    </w:p>
    <w:p>
      <w:pPr>
        <w:pStyle w:val="11"/>
        <w:numPr>
          <w:ilvl w:val="0"/>
          <w:numId w:val="0"/>
        </w:numPr>
        <w:spacing w:line="340" w:lineRule="exact"/>
        <w:ind w:left="0" w:firstLine="0"/>
        <w:rPr>
          <w:rFonts w:hint="eastAsia" w:hAnsi="宋体" w:cs="宋体"/>
          <w:b/>
          <w:color w:val="auto"/>
          <w:sz w:val="24"/>
          <w:szCs w:val="24"/>
          <w:highlight w:val="none"/>
          <w:lang w:val="en-US" w:eastAsia="zh-CN"/>
        </w:rPr>
      </w:pPr>
    </w:p>
    <w:p>
      <w:pPr>
        <w:pStyle w:val="11"/>
        <w:numPr>
          <w:ilvl w:val="0"/>
          <w:numId w:val="0"/>
        </w:numPr>
        <w:spacing w:line="340" w:lineRule="exact"/>
        <w:ind w:left="0" w:firstLine="0"/>
        <w:rPr>
          <w:rFonts w:hint="eastAsia" w:hAnsi="宋体" w:cs="宋体"/>
          <w:b/>
          <w:color w:val="auto"/>
          <w:sz w:val="24"/>
          <w:szCs w:val="24"/>
          <w:highlight w:val="none"/>
          <w:lang w:val="en-US" w:eastAsia="zh-CN"/>
        </w:rPr>
      </w:pPr>
    </w:p>
    <w:p>
      <w:pPr>
        <w:pStyle w:val="11"/>
        <w:numPr>
          <w:ilvl w:val="0"/>
          <w:numId w:val="0"/>
        </w:numPr>
        <w:spacing w:line="340" w:lineRule="exact"/>
        <w:ind w:left="0" w:firstLine="0"/>
        <w:rPr>
          <w:rFonts w:hint="eastAsia" w:hAnsi="宋体" w:cs="宋体"/>
          <w:b/>
          <w:color w:val="auto"/>
          <w:sz w:val="24"/>
          <w:szCs w:val="24"/>
          <w:highlight w:val="none"/>
          <w:lang w:val="en-US" w:eastAsia="zh-CN"/>
        </w:rPr>
      </w:pPr>
    </w:p>
    <w:p>
      <w:pPr>
        <w:pStyle w:val="11"/>
        <w:numPr>
          <w:ilvl w:val="0"/>
          <w:numId w:val="0"/>
        </w:numPr>
        <w:spacing w:line="340" w:lineRule="exact"/>
        <w:ind w:left="0" w:firstLine="0"/>
        <w:rPr>
          <w:rFonts w:hint="eastAsia" w:ascii="宋体" w:hAnsi="宋体" w:eastAsia="宋体" w:cs="宋体"/>
          <w:b/>
          <w:color w:val="auto"/>
          <w:sz w:val="24"/>
          <w:szCs w:val="24"/>
          <w:highlight w:val="none"/>
        </w:rPr>
      </w:pPr>
      <w:r>
        <w:rPr>
          <w:rFonts w:hint="eastAsia" w:hAnsi="宋体" w:cs="宋体"/>
          <w:b/>
          <w:color w:val="auto"/>
          <w:sz w:val="24"/>
          <w:szCs w:val="24"/>
          <w:highlight w:val="none"/>
          <w:lang w:val="en-US" w:eastAsia="zh-CN"/>
        </w:rPr>
        <w:t>5</w:t>
      </w:r>
      <w:r>
        <w:rPr>
          <w:rFonts w:hint="eastAsia" w:ascii="宋体" w:hAnsi="宋体" w:eastAsia="宋体" w:cs="宋体"/>
          <w:b/>
          <w:color w:val="auto"/>
          <w:sz w:val="24"/>
          <w:szCs w:val="24"/>
          <w:highlight w:val="none"/>
          <w:lang w:val="en-US" w:eastAsia="zh-CN"/>
        </w:rPr>
        <w:t>.担任本工程的</w:t>
      </w:r>
      <w:r>
        <w:rPr>
          <w:rFonts w:hint="eastAsia" w:hAnsi="宋体" w:eastAsia="宋体" w:cs="宋体"/>
          <w:b/>
          <w:color w:val="auto"/>
          <w:sz w:val="24"/>
          <w:szCs w:val="24"/>
          <w:highlight w:val="none"/>
          <w:lang w:val="en-US" w:eastAsia="zh-CN"/>
        </w:rPr>
        <w:t>项目经理</w:t>
      </w:r>
      <w:r>
        <w:rPr>
          <w:rFonts w:hint="eastAsia" w:ascii="宋体" w:hAnsi="宋体" w:eastAsia="宋体" w:cs="宋体"/>
          <w:b/>
          <w:color w:val="auto"/>
          <w:sz w:val="24"/>
          <w:szCs w:val="24"/>
          <w:highlight w:val="none"/>
          <w:lang w:val="en-US" w:eastAsia="zh-CN"/>
        </w:rPr>
        <w:t>简历表（应附相关证书、身份证复印件）（必须提供）</w:t>
      </w:r>
      <w:r>
        <w:rPr>
          <w:rFonts w:hint="eastAsia" w:ascii="宋体" w:hAnsi="宋体" w:eastAsia="宋体" w:cs="宋体"/>
          <w:b/>
          <w:color w:val="auto"/>
          <w:sz w:val="24"/>
          <w:szCs w:val="24"/>
          <w:highlight w:val="none"/>
        </w:rPr>
        <w:t>；</w:t>
      </w:r>
    </w:p>
    <w:p>
      <w:pPr>
        <w:rPr>
          <w:rFonts w:hint="eastAsia" w:ascii="宋体" w:hAnsi="宋体" w:eastAsia="宋体" w:cs="宋体"/>
          <w:color w:val="auto"/>
          <w:sz w:val="24"/>
          <w:szCs w:val="24"/>
          <w:highlight w:val="none"/>
        </w:rPr>
      </w:pPr>
    </w:p>
    <w:p>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担任本工程的项目经理简历表</w:t>
      </w:r>
    </w:p>
    <w:p>
      <w:pPr>
        <w:jc w:val="center"/>
        <w:rPr>
          <w:rFonts w:hint="eastAsia" w:ascii="宋体" w:hAnsi="宋体" w:cs="宋体"/>
          <w:b/>
          <w:color w:val="auto"/>
          <w:sz w:val="24"/>
          <w:szCs w:val="24"/>
          <w:highlight w:val="none"/>
        </w:rPr>
      </w:pPr>
    </w:p>
    <w:tbl>
      <w:tblPr>
        <w:tblStyle w:val="18"/>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姓  名</w:t>
            </w:r>
          </w:p>
        </w:tc>
        <w:tc>
          <w:tcPr>
            <w:tcW w:w="1608" w:type="dxa"/>
            <w:tcBorders>
              <w:top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072" w:type="dxa"/>
            <w:tcBorders>
              <w:top w:val="single" w:color="auto" w:sz="8" w:space="0"/>
            </w:tcBorders>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性  别</w:t>
            </w:r>
          </w:p>
        </w:tc>
        <w:tc>
          <w:tcPr>
            <w:tcW w:w="1072" w:type="dxa"/>
            <w:gridSpan w:val="3"/>
            <w:tcBorders>
              <w:top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340" w:type="dxa"/>
            <w:gridSpan w:val="2"/>
            <w:tcBorders>
              <w:top w:val="single" w:color="auto" w:sz="8" w:space="0"/>
            </w:tcBorders>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年  龄</w:t>
            </w:r>
          </w:p>
        </w:tc>
        <w:tc>
          <w:tcPr>
            <w:tcW w:w="2144" w:type="dxa"/>
            <w:gridSpan w:val="3"/>
            <w:tcBorders>
              <w:top w:val="single" w:color="auto" w:sz="8" w:space="0"/>
              <w:right w:val="single" w:color="auto" w:sz="8" w:space="0"/>
            </w:tcBorders>
            <w:vAlign w:val="top"/>
          </w:tcPr>
          <w:p>
            <w:pPr>
              <w:spacing w:line="440" w:lineRule="exac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职  务</w:t>
            </w:r>
          </w:p>
        </w:tc>
        <w:tc>
          <w:tcPr>
            <w:tcW w:w="1608" w:type="dxa"/>
            <w:vAlign w:val="top"/>
          </w:tcPr>
          <w:p>
            <w:pPr>
              <w:spacing w:line="440" w:lineRule="exact"/>
              <w:jc w:val="center"/>
              <w:rPr>
                <w:rFonts w:hint="eastAsia" w:ascii="宋体" w:hAnsi="宋体" w:cs="宋体"/>
                <w:color w:val="auto"/>
                <w:sz w:val="21"/>
                <w:szCs w:val="21"/>
                <w:highlight w:val="none"/>
              </w:rPr>
            </w:pPr>
          </w:p>
        </w:tc>
        <w:tc>
          <w:tcPr>
            <w:tcW w:w="1072" w:type="dxa"/>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职  称</w:t>
            </w:r>
          </w:p>
        </w:tc>
        <w:tc>
          <w:tcPr>
            <w:tcW w:w="1072" w:type="dxa"/>
            <w:gridSpan w:val="3"/>
            <w:vAlign w:val="top"/>
          </w:tcPr>
          <w:p>
            <w:pPr>
              <w:spacing w:line="440" w:lineRule="exact"/>
              <w:jc w:val="center"/>
              <w:rPr>
                <w:rFonts w:hint="eastAsia" w:ascii="宋体" w:hAnsi="宋体" w:cs="宋体"/>
                <w:color w:val="auto"/>
                <w:sz w:val="21"/>
                <w:szCs w:val="21"/>
                <w:highlight w:val="none"/>
              </w:rPr>
            </w:pPr>
          </w:p>
        </w:tc>
        <w:tc>
          <w:tcPr>
            <w:tcW w:w="1340" w:type="dxa"/>
            <w:gridSpan w:val="2"/>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学  历</w:t>
            </w:r>
          </w:p>
        </w:tc>
        <w:tc>
          <w:tcPr>
            <w:tcW w:w="2144" w:type="dxa"/>
            <w:gridSpan w:val="3"/>
            <w:tcBorders>
              <w:right w:val="single" w:color="auto" w:sz="8" w:space="0"/>
            </w:tcBorders>
            <w:vAlign w:val="top"/>
          </w:tcPr>
          <w:p>
            <w:pPr>
              <w:spacing w:line="440" w:lineRule="exac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专  业</w:t>
            </w:r>
          </w:p>
        </w:tc>
        <w:tc>
          <w:tcPr>
            <w:tcW w:w="2708" w:type="dxa"/>
            <w:gridSpan w:val="3"/>
            <w:vAlign w:val="top"/>
          </w:tcPr>
          <w:p>
            <w:pPr>
              <w:spacing w:line="440" w:lineRule="exact"/>
              <w:rPr>
                <w:rFonts w:hint="eastAsia" w:ascii="宋体" w:hAnsi="宋体" w:cs="宋体"/>
                <w:color w:val="auto"/>
                <w:sz w:val="21"/>
                <w:szCs w:val="21"/>
                <w:highlight w:val="none"/>
              </w:rPr>
            </w:pPr>
          </w:p>
        </w:tc>
        <w:tc>
          <w:tcPr>
            <w:tcW w:w="2880" w:type="dxa"/>
            <w:gridSpan w:val="5"/>
            <w:vAlign w:val="top"/>
          </w:tcPr>
          <w:p>
            <w:pPr>
              <w:spacing w:line="44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从事项目经理或建造师年限</w:t>
            </w:r>
          </w:p>
        </w:tc>
        <w:tc>
          <w:tcPr>
            <w:tcW w:w="1648" w:type="dxa"/>
            <w:gridSpan w:val="2"/>
            <w:tcBorders>
              <w:right w:val="single" w:color="auto" w:sz="8" w:space="0"/>
            </w:tcBorders>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建设单位</w:t>
            </w:r>
          </w:p>
        </w:tc>
        <w:tc>
          <w:tcPr>
            <w:tcW w:w="1608" w:type="dxa"/>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项目名称</w:t>
            </w:r>
          </w:p>
        </w:tc>
        <w:tc>
          <w:tcPr>
            <w:tcW w:w="1608" w:type="dxa"/>
            <w:gridSpan w:val="3"/>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建设规模</w:t>
            </w:r>
          </w:p>
        </w:tc>
        <w:tc>
          <w:tcPr>
            <w:tcW w:w="1608" w:type="dxa"/>
            <w:gridSpan w:val="2"/>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开、竣工日期</w:t>
            </w:r>
          </w:p>
        </w:tc>
        <w:tc>
          <w:tcPr>
            <w:tcW w:w="1206" w:type="dxa"/>
            <w:gridSpan w:val="3"/>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工程质量</w:t>
            </w:r>
          </w:p>
        </w:tc>
        <w:tc>
          <w:tcPr>
            <w:tcW w:w="1206" w:type="dxa"/>
            <w:tcBorders>
              <w:right w:val="single" w:color="auto" w:sz="8" w:space="0"/>
            </w:tcBorders>
            <w:vAlign w:val="top"/>
          </w:tcPr>
          <w:p>
            <w:pPr>
              <w:spacing w:line="440" w:lineRule="exact"/>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受奖情况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608" w:type="dxa"/>
            <w:vAlign w:val="top"/>
          </w:tcPr>
          <w:p>
            <w:pPr>
              <w:spacing w:line="440" w:lineRule="exact"/>
              <w:jc w:val="center"/>
              <w:rPr>
                <w:rFonts w:hint="eastAsia" w:ascii="宋体" w:hAnsi="宋体" w:cs="宋体"/>
                <w:color w:val="auto"/>
                <w:sz w:val="21"/>
                <w:szCs w:val="21"/>
                <w:highlight w:val="none"/>
              </w:rPr>
            </w:pPr>
          </w:p>
        </w:tc>
        <w:tc>
          <w:tcPr>
            <w:tcW w:w="1608" w:type="dxa"/>
            <w:gridSpan w:val="3"/>
            <w:vAlign w:val="top"/>
          </w:tcPr>
          <w:p>
            <w:pPr>
              <w:spacing w:line="440" w:lineRule="exact"/>
              <w:jc w:val="center"/>
              <w:rPr>
                <w:rFonts w:hint="eastAsia" w:ascii="宋体" w:hAnsi="宋体" w:cs="宋体"/>
                <w:color w:val="auto"/>
                <w:sz w:val="21"/>
                <w:szCs w:val="21"/>
                <w:highlight w:val="none"/>
              </w:rPr>
            </w:pPr>
          </w:p>
        </w:tc>
        <w:tc>
          <w:tcPr>
            <w:tcW w:w="1608" w:type="dxa"/>
            <w:gridSpan w:val="2"/>
            <w:vAlign w:val="top"/>
          </w:tcPr>
          <w:p>
            <w:pPr>
              <w:spacing w:line="440" w:lineRule="exact"/>
              <w:jc w:val="center"/>
              <w:rPr>
                <w:rFonts w:hint="eastAsia" w:ascii="宋体" w:hAnsi="宋体" w:cs="宋体"/>
                <w:color w:val="auto"/>
                <w:sz w:val="21"/>
                <w:szCs w:val="21"/>
                <w:highlight w:val="none"/>
              </w:rPr>
            </w:pPr>
          </w:p>
        </w:tc>
        <w:tc>
          <w:tcPr>
            <w:tcW w:w="1206" w:type="dxa"/>
            <w:gridSpan w:val="3"/>
            <w:vAlign w:val="top"/>
          </w:tcPr>
          <w:p>
            <w:pPr>
              <w:spacing w:line="440" w:lineRule="exact"/>
              <w:jc w:val="center"/>
              <w:rPr>
                <w:rFonts w:hint="eastAsia" w:ascii="宋体" w:hAnsi="宋体" w:cs="宋体"/>
                <w:color w:val="auto"/>
                <w:sz w:val="21"/>
                <w:szCs w:val="21"/>
                <w:highlight w:val="none"/>
              </w:rPr>
            </w:pPr>
          </w:p>
        </w:tc>
        <w:tc>
          <w:tcPr>
            <w:tcW w:w="1206" w:type="dxa"/>
            <w:tcBorders>
              <w:right w:val="single" w:color="auto" w:sz="8" w:space="0"/>
            </w:tcBorders>
            <w:vAlign w:val="top"/>
          </w:tcPr>
          <w:p>
            <w:pPr>
              <w:spacing w:line="440" w:lineRule="exac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608" w:type="dxa"/>
            <w:vAlign w:val="top"/>
          </w:tcPr>
          <w:p>
            <w:pPr>
              <w:spacing w:line="440" w:lineRule="exact"/>
              <w:jc w:val="center"/>
              <w:rPr>
                <w:rFonts w:hint="eastAsia" w:ascii="宋体" w:hAnsi="宋体" w:cs="宋体"/>
                <w:color w:val="auto"/>
                <w:sz w:val="21"/>
                <w:szCs w:val="21"/>
                <w:highlight w:val="none"/>
              </w:rPr>
            </w:pPr>
          </w:p>
        </w:tc>
        <w:tc>
          <w:tcPr>
            <w:tcW w:w="1608" w:type="dxa"/>
            <w:gridSpan w:val="3"/>
            <w:vAlign w:val="top"/>
          </w:tcPr>
          <w:p>
            <w:pPr>
              <w:spacing w:line="440" w:lineRule="exact"/>
              <w:jc w:val="center"/>
              <w:rPr>
                <w:rFonts w:hint="eastAsia" w:ascii="宋体" w:hAnsi="宋体" w:cs="宋体"/>
                <w:color w:val="auto"/>
                <w:sz w:val="21"/>
                <w:szCs w:val="21"/>
                <w:highlight w:val="none"/>
              </w:rPr>
            </w:pPr>
          </w:p>
        </w:tc>
        <w:tc>
          <w:tcPr>
            <w:tcW w:w="1608" w:type="dxa"/>
            <w:gridSpan w:val="2"/>
            <w:vAlign w:val="top"/>
          </w:tcPr>
          <w:p>
            <w:pPr>
              <w:spacing w:line="440" w:lineRule="exact"/>
              <w:jc w:val="center"/>
              <w:rPr>
                <w:rFonts w:hint="eastAsia" w:ascii="宋体" w:hAnsi="宋体" w:cs="宋体"/>
                <w:color w:val="auto"/>
                <w:sz w:val="21"/>
                <w:szCs w:val="21"/>
                <w:highlight w:val="none"/>
              </w:rPr>
            </w:pPr>
          </w:p>
        </w:tc>
        <w:tc>
          <w:tcPr>
            <w:tcW w:w="1206" w:type="dxa"/>
            <w:gridSpan w:val="3"/>
            <w:vAlign w:val="top"/>
          </w:tcPr>
          <w:p>
            <w:pPr>
              <w:spacing w:line="440" w:lineRule="exact"/>
              <w:jc w:val="center"/>
              <w:rPr>
                <w:rFonts w:hint="eastAsia" w:ascii="宋体" w:hAnsi="宋体" w:cs="宋体"/>
                <w:color w:val="auto"/>
                <w:sz w:val="21"/>
                <w:szCs w:val="21"/>
                <w:highlight w:val="none"/>
              </w:rPr>
            </w:pPr>
          </w:p>
        </w:tc>
        <w:tc>
          <w:tcPr>
            <w:tcW w:w="1206" w:type="dxa"/>
            <w:tcBorders>
              <w:right w:val="single" w:color="auto" w:sz="8" w:space="0"/>
            </w:tcBorders>
            <w:vAlign w:val="top"/>
          </w:tcPr>
          <w:p>
            <w:pPr>
              <w:spacing w:line="440" w:lineRule="exac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608" w:type="dxa"/>
            <w:vAlign w:val="top"/>
          </w:tcPr>
          <w:p>
            <w:pPr>
              <w:spacing w:line="440" w:lineRule="exact"/>
              <w:jc w:val="center"/>
              <w:rPr>
                <w:rFonts w:hint="eastAsia" w:ascii="宋体" w:hAnsi="宋体" w:cs="宋体"/>
                <w:color w:val="auto"/>
                <w:sz w:val="21"/>
                <w:szCs w:val="21"/>
                <w:highlight w:val="none"/>
              </w:rPr>
            </w:pPr>
          </w:p>
        </w:tc>
        <w:tc>
          <w:tcPr>
            <w:tcW w:w="1608" w:type="dxa"/>
            <w:gridSpan w:val="3"/>
            <w:vAlign w:val="top"/>
          </w:tcPr>
          <w:p>
            <w:pPr>
              <w:spacing w:line="440" w:lineRule="exact"/>
              <w:jc w:val="center"/>
              <w:rPr>
                <w:rFonts w:hint="eastAsia" w:ascii="宋体" w:hAnsi="宋体" w:cs="宋体"/>
                <w:color w:val="auto"/>
                <w:sz w:val="21"/>
                <w:szCs w:val="21"/>
                <w:highlight w:val="none"/>
              </w:rPr>
            </w:pPr>
          </w:p>
        </w:tc>
        <w:tc>
          <w:tcPr>
            <w:tcW w:w="1608" w:type="dxa"/>
            <w:gridSpan w:val="2"/>
            <w:vAlign w:val="top"/>
          </w:tcPr>
          <w:p>
            <w:pPr>
              <w:spacing w:line="440" w:lineRule="exact"/>
              <w:jc w:val="center"/>
              <w:rPr>
                <w:rFonts w:hint="eastAsia" w:ascii="宋体" w:hAnsi="宋体" w:cs="宋体"/>
                <w:color w:val="auto"/>
                <w:sz w:val="21"/>
                <w:szCs w:val="21"/>
                <w:highlight w:val="none"/>
              </w:rPr>
            </w:pPr>
          </w:p>
        </w:tc>
        <w:tc>
          <w:tcPr>
            <w:tcW w:w="1206" w:type="dxa"/>
            <w:gridSpan w:val="3"/>
            <w:vAlign w:val="top"/>
          </w:tcPr>
          <w:p>
            <w:pPr>
              <w:spacing w:line="440" w:lineRule="exact"/>
              <w:jc w:val="center"/>
              <w:rPr>
                <w:rFonts w:hint="eastAsia" w:ascii="宋体" w:hAnsi="宋体" w:cs="宋体"/>
                <w:color w:val="auto"/>
                <w:sz w:val="21"/>
                <w:szCs w:val="21"/>
                <w:highlight w:val="none"/>
              </w:rPr>
            </w:pPr>
          </w:p>
        </w:tc>
        <w:tc>
          <w:tcPr>
            <w:tcW w:w="1206" w:type="dxa"/>
            <w:tcBorders>
              <w:right w:val="single" w:color="auto" w:sz="8" w:space="0"/>
            </w:tcBorders>
            <w:vAlign w:val="top"/>
          </w:tcPr>
          <w:p>
            <w:pPr>
              <w:spacing w:line="440" w:lineRule="exac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608" w:type="dxa"/>
            <w:vAlign w:val="top"/>
          </w:tcPr>
          <w:p>
            <w:pPr>
              <w:spacing w:line="440" w:lineRule="exact"/>
              <w:jc w:val="center"/>
              <w:rPr>
                <w:rFonts w:hint="eastAsia" w:ascii="宋体" w:hAnsi="宋体" w:cs="宋体"/>
                <w:color w:val="auto"/>
                <w:sz w:val="21"/>
                <w:szCs w:val="21"/>
                <w:highlight w:val="none"/>
              </w:rPr>
            </w:pPr>
          </w:p>
        </w:tc>
        <w:tc>
          <w:tcPr>
            <w:tcW w:w="1608" w:type="dxa"/>
            <w:gridSpan w:val="3"/>
            <w:vAlign w:val="top"/>
          </w:tcPr>
          <w:p>
            <w:pPr>
              <w:spacing w:line="440" w:lineRule="exact"/>
              <w:jc w:val="center"/>
              <w:rPr>
                <w:rFonts w:hint="eastAsia" w:ascii="宋体" w:hAnsi="宋体" w:cs="宋体"/>
                <w:color w:val="auto"/>
                <w:sz w:val="21"/>
                <w:szCs w:val="21"/>
                <w:highlight w:val="none"/>
              </w:rPr>
            </w:pPr>
          </w:p>
        </w:tc>
        <w:tc>
          <w:tcPr>
            <w:tcW w:w="1608" w:type="dxa"/>
            <w:gridSpan w:val="2"/>
            <w:vAlign w:val="top"/>
          </w:tcPr>
          <w:p>
            <w:pPr>
              <w:spacing w:line="440" w:lineRule="exact"/>
              <w:jc w:val="center"/>
              <w:rPr>
                <w:rFonts w:hint="eastAsia" w:ascii="宋体" w:hAnsi="宋体" w:cs="宋体"/>
                <w:color w:val="auto"/>
                <w:sz w:val="21"/>
                <w:szCs w:val="21"/>
                <w:highlight w:val="none"/>
              </w:rPr>
            </w:pPr>
          </w:p>
        </w:tc>
        <w:tc>
          <w:tcPr>
            <w:tcW w:w="1206" w:type="dxa"/>
            <w:gridSpan w:val="3"/>
            <w:vAlign w:val="top"/>
          </w:tcPr>
          <w:p>
            <w:pPr>
              <w:spacing w:line="440" w:lineRule="exact"/>
              <w:jc w:val="center"/>
              <w:rPr>
                <w:rFonts w:hint="eastAsia" w:ascii="宋体" w:hAnsi="宋体" w:cs="宋体"/>
                <w:color w:val="auto"/>
                <w:sz w:val="21"/>
                <w:szCs w:val="21"/>
                <w:highlight w:val="none"/>
              </w:rPr>
            </w:pPr>
          </w:p>
        </w:tc>
        <w:tc>
          <w:tcPr>
            <w:tcW w:w="1206" w:type="dxa"/>
            <w:tcBorders>
              <w:right w:val="single" w:color="auto" w:sz="8" w:space="0"/>
            </w:tcBorders>
            <w:vAlign w:val="top"/>
          </w:tcPr>
          <w:p>
            <w:pPr>
              <w:spacing w:line="440" w:lineRule="exac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608" w:type="dxa"/>
            <w:vAlign w:val="top"/>
          </w:tcPr>
          <w:p>
            <w:pPr>
              <w:spacing w:line="440" w:lineRule="exact"/>
              <w:jc w:val="center"/>
              <w:rPr>
                <w:rFonts w:hint="eastAsia" w:ascii="宋体" w:hAnsi="宋体" w:cs="宋体"/>
                <w:color w:val="auto"/>
                <w:sz w:val="21"/>
                <w:szCs w:val="21"/>
                <w:highlight w:val="none"/>
              </w:rPr>
            </w:pPr>
          </w:p>
        </w:tc>
        <w:tc>
          <w:tcPr>
            <w:tcW w:w="1608" w:type="dxa"/>
            <w:gridSpan w:val="3"/>
            <w:vAlign w:val="top"/>
          </w:tcPr>
          <w:p>
            <w:pPr>
              <w:spacing w:line="440" w:lineRule="exact"/>
              <w:jc w:val="center"/>
              <w:rPr>
                <w:rFonts w:hint="eastAsia" w:ascii="宋体" w:hAnsi="宋体" w:cs="宋体"/>
                <w:color w:val="auto"/>
                <w:sz w:val="21"/>
                <w:szCs w:val="21"/>
                <w:highlight w:val="none"/>
              </w:rPr>
            </w:pPr>
          </w:p>
        </w:tc>
        <w:tc>
          <w:tcPr>
            <w:tcW w:w="1608" w:type="dxa"/>
            <w:gridSpan w:val="2"/>
            <w:vAlign w:val="top"/>
          </w:tcPr>
          <w:p>
            <w:pPr>
              <w:spacing w:line="440" w:lineRule="exact"/>
              <w:jc w:val="center"/>
              <w:rPr>
                <w:rFonts w:hint="eastAsia" w:ascii="宋体" w:hAnsi="宋体" w:cs="宋体"/>
                <w:color w:val="auto"/>
                <w:sz w:val="21"/>
                <w:szCs w:val="21"/>
                <w:highlight w:val="none"/>
              </w:rPr>
            </w:pPr>
          </w:p>
        </w:tc>
        <w:tc>
          <w:tcPr>
            <w:tcW w:w="1206" w:type="dxa"/>
            <w:gridSpan w:val="3"/>
            <w:vAlign w:val="top"/>
          </w:tcPr>
          <w:p>
            <w:pPr>
              <w:spacing w:line="440" w:lineRule="exact"/>
              <w:jc w:val="center"/>
              <w:rPr>
                <w:rFonts w:hint="eastAsia" w:ascii="宋体" w:hAnsi="宋体" w:cs="宋体"/>
                <w:color w:val="auto"/>
                <w:sz w:val="21"/>
                <w:szCs w:val="21"/>
                <w:highlight w:val="none"/>
              </w:rPr>
            </w:pPr>
          </w:p>
        </w:tc>
        <w:tc>
          <w:tcPr>
            <w:tcW w:w="1206" w:type="dxa"/>
            <w:tcBorders>
              <w:right w:val="single" w:color="auto" w:sz="8" w:space="0"/>
            </w:tcBorders>
            <w:vAlign w:val="top"/>
          </w:tcPr>
          <w:p>
            <w:pPr>
              <w:spacing w:line="440" w:lineRule="exac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608" w:type="dxa"/>
            <w:vAlign w:val="top"/>
          </w:tcPr>
          <w:p>
            <w:pPr>
              <w:spacing w:line="440" w:lineRule="exact"/>
              <w:jc w:val="center"/>
              <w:rPr>
                <w:rFonts w:hint="eastAsia" w:ascii="宋体" w:hAnsi="宋体" w:cs="宋体"/>
                <w:color w:val="auto"/>
                <w:sz w:val="21"/>
                <w:szCs w:val="21"/>
                <w:highlight w:val="none"/>
              </w:rPr>
            </w:pPr>
          </w:p>
        </w:tc>
        <w:tc>
          <w:tcPr>
            <w:tcW w:w="1608" w:type="dxa"/>
            <w:gridSpan w:val="3"/>
            <w:vAlign w:val="top"/>
          </w:tcPr>
          <w:p>
            <w:pPr>
              <w:spacing w:line="440" w:lineRule="exact"/>
              <w:jc w:val="center"/>
              <w:rPr>
                <w:rFonts w:hint="eastAsia" w:ascii="宋体" w:hAnsi="宋体" w:cs="宋体"/>
                <w:color w:val="auto"/>
                <w:sz w:val="21"/>
                <w:szCs w:val="21"/>
                <w:highlight w:val="none"/>
              </w:rPr>
            </w:pPr>
          </w:p>
        </w:tc>
        <w:tc>
          <w:tcPr>
            <w:tcW w:w="1608" w:type="dxa"/>
            <w:gridSpan w:val="2"/>
            <w:vAlign w:val="top"/>
          </w:tcPr>
          <w:p>
            <w:pPr>
              <w:spacing w:line="440" w:lineRule="exact"/>
              <w:jc w:val="center"/>
              <w:rPr>
                <w:rFonts w:hint="eastAsia" w:ascii="宋体" w:hAnsi="宋体" w:cs="宋体"/>
                <w:color w:val="auto"/>
                <w:sz w:val="21"/>
                <w:szCs w:val="21"/>
                <w:highlight w:val="none"/>
              </w:rPr>
            </w:pPr>
          </w:p>
        </w:tc>
        <w:tc>
          <w:tcPr>
            <w:tcW w:w="1206" w:type="dxa"/>
            <w:gridSpan w:val="3"/>
            <w:vAlign w:val="top"/>
          </w:tcPr>
          <w:p>
            <w:pPr>
              <w:spacing w:line="440" w:lineRule="exact"/>
              <w:jc w:val="center"/>
              <w:rPr>
                <w:rFonts w:hint="eastAsia" w:ascii="宋体" w:hAnsi="宋体" w:cs="宋体"/>
                <w:color w:val="auto"/>
                <w:sz w:val="21"/>
                <w:szCs w:val="21"/>
                <w:highlight w:val="none"/>
              </w:rPr>
            </w:pPr>
          </w:p>
        </w:tc>
        <w:tc>
          <w:tcPr>
            <w:tcW w:w="1206" w:type="dxa"/>
            <w:tcBorders>
              <w:right w:val="single" w:color="auto" w:sz="8" w:space="0"/>
            </w:tcBorders>
            <w:vAlign w:val="top"/>
          </w:tcPr>
          <w:p>
            <w:pPr>
              <w:spacing w:line="440" w:lineRule="exac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608" w:type="dxa"/>
            <w:vAlign w:val="top"/>
          </w:tcPr>
          <w:p>
            <w:pPr>
              <w:spacing w:line="440" w:lineRule="exact"/>
              <w:jc w:val="center"/>
              <w:rPr>
                <w:rFonts w:hint="eastAsia" w:ascii="宋体" w:hAnsi="宋体" w:cs="宋体"/>
                <w:color w:val="auto"/>
                <w:sz w:val="21"/>
                <w:szCs w:val="21"/>
                <w:highlight w:val="none"/>
              </w:rPr>
            </w:pPr>
          </w:p>
        </w:tc>
        <w:tc>
          <w:tcPr>
            <w:tcW w:w="1608" w:type="dxa"/>
            <w:gridSpan w:val="3"/>
            <w:vAlign w:val="top"/>
          </w:tcPr>
          <w:p>
            <w:pPr>
              <w:spacing w:line="440" w:lineRule="exact"/>
              <w:jc w:val="center"/>
              <w:rPr>
                <w:rFonts w:hint="eastAsia" w:ascii="宋体" w:hAnsi="宋体" w:cs="宋体"/>
                <w:color w:val="auto"/>
                <w:sz w:val="21"/>
                <w:szCs w:val="21"/>
                <w:highlight w:val="none"/>
              </w:rPr>
            </w:pPr>
          </w:p>
        </w:tc>
        <w:tc>
          <w:tcPr>
            <w:tcW w:w="1608" w:type="dxa"/>
            <w:gridSpan w:val="2"/>
            <w:vAlign w:val="top"/>
          </w:tcPr>
          <w:p>
            <w:pPr>
              <w:spacing w:line="440" w:lineRule="exact"/>
              <w:jc w:val="center"/>
              <w:rPr>
                <w:rFonts w:hint="eastAsia" w:ascii="宋体" w:hAnsi="宋体" w:cs="宋体"/>
                <w:color w:val="auto"/>
                <w:sz w:val="21"/>
                <w:szCs w:val="21"/>
                <w:highlight w:val="none"/>
              </w:rPr>
            </w:pPr>
          </w:p>
        </w:tc>
        <w:tc>
          <w:tcPr>
            <w:tcW w:w="1206" w:type="dxa"/>
            <w:gridSpan w:val="3"/>
            <w:vAlign w:val="top"/>
          </w:tcPr>
          <w:p>
            <w:pPr>
              <w:spacing w:line="440" w:lineRule="exact"/>
              <w:jc w:val="center"/>
              <w:rPr>
                <w:rFonts w:hint="eastAsia" w:ascii="宋体" w:hAnsi="宋体" w:cs="宋体"/>
                <w:color w:val="auto"/>
                <w:sz w:val="21"/>
                <w:szCs w:val="21"/>
                <w:highlight w:val="none"/>
              </w:rPr>
            </w:pPr>
          </w:p>
        </w:tc>
        <w:tc>
          <w:tcPr>
            <w:tcW w:w="1206" w:type="dxa"/>
            <w:tcBorders>
              <w:right w:val="single" w:color="auto" w:sz="8" w:space="0"/>
            </w:tcBorders>
            <w:vAlign w:val="top"/>
          </w:tcPr>
          <w:p>
            <w:pPr>
              <w:spacing w:line="440" w:lineRule="exact"/>
              <w:jc w:val="center"/>
              <w:rPr>
                <w:rFonts w:hint="eastAsia"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608" w:type="dxa"/>
            <w:tcBorders>
              <w:bottom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608" w:type="dxa"/>
            <w:gridSpan w:val="3"/>
            <w:tcBorders>
              <w:bottom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608" w:type="dxa"/>
            <w:gridSpan w:val="2"/>
            <w:tcBorders>
              <w:bottom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206" w:type="dxa"/>
            <w:gridSpan w:val="3"/>
            <w:tcBorders>
              <w:bottom w:val="single" w:color="auto" w:sz="8" w:space="0"/>
            </w:tcBorders>
            <w:vAlign w:val="top"/>
          </w:tcPr>
          <w:p>
            <w:pPr>
              <w:spacing w:line="440" w:lineRule="exact"/>
              <w:jc w:val="center"/>
              <w:rPr>
                <w:rFonts w:hint="eastAsia" w:ascii="宋体" w:hAnsi="宋体" w:cs="宋体"/>
                <w:color w:val="auto"/>
                <w:sz w:val="21"/>
                <w:szCs w:val="21"/>
                <w:highlight w:val="none"/>
              </w:rPr>
            </w:pPr>
          </w:p>
        </w:tc>
        <w:tc>
          <w:tcPr>
            <w:tcW w:w="1206" w:type="dxa"/>
            <w:tcBorders>
              <w:bottom w:val="single" w:color="auto" w:sz="8" w:space="0"/>
              <w:right w:val="single" w:color="auto" w:sz="8" w:space="0"/>
            </w:tcBorders>
            <w:vAlign w:val="top"/>
          </w:tcPr>
          <w:p>
            <w:pPr>
              <w:spacing w:line="440" w:lineRule="exact"/>
              <w:jc w:val="center"/>
              <w:rPr>
                <w:rFonts w:hint="eastAsia" w:ascii="宋体" w:hAnsi="宋体" w:cs="宋体"/>
                <w:color w:val="auto"/>
                <w:sz w:val="21"/>
                <w:szCs w:val="21"/>
                <w:highlight w:val="none"/>
              </w:rPr>
            </w:pPr>
          </w:p>
        </w:tc>
      </w:tr>
    </w:tbl>
    <w:p>
      <w:pPr>
        <w:snapToGrid w:val="0"/>
        <w:spacing w:line="400" w:lineRule="exact"/>
        <w:outlineLvl w:val="4"/>
        <w:rPr>
          <w:rFonts w:hint="eastAsia" w:ascii="宋体" w:hAnsi="宋体" w:cs="宋体"/>
          <w:b/>
          <w:color w:val="auto"/>
          <w:sz w:val="24"/>
          <w:szCs w:val="24"/>
          <w:highlight w:val="none"/>
        </w:rPr>
      </w:pPr>
    </w:p>
    <w:p>
      <w:pPr>
        <w:widowControl/>
        <w:ind w:firstLine="2650" w:firstLineChars="1100"/>
        <w:jc w:val="left"/>
        <w:rPr>
          <w:rFonts w:hint="eastAsia" w:ascii="宋体" w:hAnsi="宋体" w:eastAsia="宋体" w:cs="宋体"/>
          <w:b/>
          <w:color w:val="auto"/>
          <w:kern w:val="0"/>
          <w:sz w:val="24"/>
          <w:szCs w:val="24"/>
          <w:highlight w:val="none"/>
        </w:rPr>
      </w:pPr>
    </w:p>
    <w:p>
      <w:pPr>
        <w:widowControl/>
        <w:ind w:firstLine="1470" w:firstLineChars="7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，自然人</w:t>
      </w:r>
      <w:r>
        <w:rPr>
          <w:rFonts w:hint="eastAsia" w:ascii="宋体" w:hAnsi="宋体" w:eastAsia="宋体" w:cs="宋体"/>
          <w:color w:val="auto"/>
          <w:sz w:val="21"/>
          <w:szCs w:val="21"/>
          <w:highlight w:val="none"/>
          <w:lang w:eastAsia="zh-CN"/>
        </w:rPr>
        <w:t>签字或个人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1"/>
        <w:spacing w:line="300" w:lineRule="exact"/>
        <w:ind w:left="2940" w:leftChars="1400" w:firstLine="630" w:firstLineChars="300"/>
        <w:rPr>
          <w:rFonts w:hint="eastAsia" w:ascii="宋体" w:hAnsi="宋体" w:eastAsia="宋体" w:cs="宋体"/>
          <w:color w:val="auto"/>
          <w:sz w:val="21"/>
          <w:szCs w:val="21"/>
          <w:highlight w:val="none"/>
        </w:rPr>
      </w:pPr>
    </w:p>
    <w:p>
      <w:pPr>
        <w:pStyle w:val="11"/>
        <w:spacing w:line="300" w:lineRule="exact"/>
        <w:ind w:firstLine="3479" w:firstLineChars="16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pPr>
        <w:snapToGrid w:val="0"/>
        <w:spacing w:line="300" w:lineRule="exact"/>
        <w:ind w:firstLine="4830" w:firstLineChars="2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snapToGrid w:val="0"/>
        <w:spacing w:line="300" w:lineRule="exact"/>
        <w:ind w:firstLine="3570" w:firstLineChars="1700"/>
        <w:rPr>
          <w:rFonts w:hint="eastAsia" w:ascii="宋体" w:hAnsi="宋体" w:eastAsia="宋体" w:cs="宋体"/>
          <w:color w:val="auto"/>
          <w:sz w:val="21"/>
          <w:szCs w:val="21"/>
          <w:highlight w:val="none"/>
          <w:u w:val="single"/>
        </w:rPr>
      </w:pPr>
    </w:p>
    <w:p>
      <w:pPr>
        <w:pStyle w:val="2"/>
        <w:rPr>
          <w:rFonts w:hint="eastAsia" w:ascii="宋体" w:hAnsi="宋体" w:eastAsia="宋体" w:cs="宋体"/>
          <w:color w:val="auto"/>
          <w:sz w:val="24"/>
          <w:szCs w:val="24"/>
          <w:highlight w:val="none"/>
          <w:u w:val="single"/>
        </w:rPr>
      </w:pPr>
    </w:p>
    <w:p>
      <w:pPr>
        <w:pStyle w:val="2"/>
        <w:rPr>
          <w:rFonts w:hint="eastAsia" w:ascii="宋体" w:hAnsi="宋体" w:eastAsia="宋体" w:cs="宋体"/>
          <w:color w:val="auto"/>
          <w:sz w:val="24"/>
          <w:szCs w:val="24"/>
          <w:highlight w:val="none"/>
          <w:u w:val="single"/>
        </w:rPr>
      </w:pP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pStyle w:val="2"/>
        <w:rPr>
          <w:rFonts w:hint="eastAsia" w:ascii="宋体" w:hAnsi="宋体" w:eastAsia="宋体" w:cs="宋体"/>
          <w:b/>
          <w:bCs/>
          <w:color w:val="auto"/>
          <w:sz w:val="24"/>
          <w:szCs w:val="24"/>
          <w:highlight w:val="none"/>
        </w:rPr>
      </w:pPr>
    </w:p>
    <w:p>
      <w:pPr>
        <w:rPr>
          <w:rFonts w:hint="eastAsia"/>
          <w:color w:val="auto"/>
          <w:highlight w:val="none"/>
        </w:rPr>
      </w:pPr>
    </w:p>
    <w:p>
      <w:pPr>
        <w:pStyle w:val="11"/>
        <w:numPr>
          <w:ilvl w:val="0"/>
          <w:numId w:val="0"/>
        </w:numPr>
        <w:spacing w:line="3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6.施工组织设计方案（必须提供）</w:t>
      </w:r>
      <w:r>
        <w:rPr>
          <w:rFonts w:hint="eastAsia" w:ascii="宋体" w:hAnsi="宋体" w:eastAsia="宋体" w:cs="宋体"/>
          <w:b/>
          <w:color w:val="auto"/>
          <w:sz w:val="24"/>
          <w:szCs w:val="24"/>
          <w:highlight w:val="none"/>
        </w:rPr>
        <w:t>；</w:t>
      </w:r>
    </w:p>
    <w:p>
      <w:pPr>
        <w:snapToGrid w:val="0"/>
        <w:spacing w:line="400" w:lineRule="exact"/>
        <w:jc w:val="center"/>
        <w:outlineLvl w:val="4"/>
        <w:rPr>
          <w:rFonts w:hint="eastAsia" w:ascii="宋体" w:hAnsi="宋体" w:cs="宋体"/>
          <w:b/>
          <w:color w:val="auto"/>
          <w:sz w:val="24"/>
          <w:szCs w:val="24"/>
          <w:highlight w:val="none"/>
          <w:lang w:val="en-US" w:eastAsia="zh-CN"/>
        </w:rPr>
      </w:pPr>
    </w:p>
    <w:p>
      <w:pPr>
        <w:snapToGrid w:val="0"/>
        <w:spacing w:line="400" w:lineRule="exact"/>
        <w:jc w:val="center"/>
        <w:outlineLvl w:val="4"/>
        <w:rPr>
          <w:rFonts w:hint="eastAsia" w:ascii="宋体" w:hAnsi="宋体" w:eastAsia="宋体" w:cs="宋体"/>
          <w:b/>
          <w:color w:val="auto"/>
          <w:sz w:val="24"/>
          <w:szCs w:val="24"/>
          <w:highlight w:val="none"/>
          <w:lang w:eastAsia="zh-CN"/>
        </w:rPr>
      </w:pPr>
      <w:r>
        <w:rPr>
          <w:rFonts w:hint="eastAsia" w:ascii="宋体" w:hAnsi="宋体" w:cs="宋体"/>
          <w:b/>
          <w:color w:val="auto"/>
          <w:sz w:val="24"/>
          <w:szCs w:val="24"/>
          <w:highlight w:val="none"/>
          <w:lang w:val="en-US" w:eastAsia="zh-CN"/>
        </w:rPr>
        <w:t>施工组织设计方案</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格式</w:t>
      </w:r>
      <w:r>
        <w:rPr>
          <w:rFonts w:hint="eastAsia" w:ascii="宋体" w:hAnsi="宋体" w:cs="宋体"/>
          <w:b/>
          <w:color w:val="auto"/>
          <w:sz w:val="24"/>
          <w:szCs w:val="24"/>
          <w:highlight w:val="none"/>
          <w:lang w:eastAsia="zh-CN"/>
        </w:rPr>
        <w:t>）</w:t>
      </w:r>
    </w:p>
    <w:p>
      <w:pPr>
        <w:snapToGrid w:val="0"/>
        <w:spacing w:line="400" w:lineRule="exact"/>
        <w:jc w:val="center"/>
        <w:outlineLvl w:val="4"/>
        <w:rPr>
          <w:rFonts w:hint="eastAsia" w:ascii="宋体" w:hAnsi="宋体" w:cs="宋体"/>
          <w:b/>
          <w:color w:val="auto"/>
          <w:sz w:val="24"/>
          <w:szCs w:val="24"/>
          <w:highlight w:val="none"/>
        </w:rPr>
      </w:pPr>
    </w:p>
    <w:p>
      <w:pPr>
        <w:pStyle w:val="27"/>
        <w:spacing w:line="300" w:lineRule="exact"/>
        <w:ind w:firstLine="425"/>
        <w:rPr>
          <w:rFonts w:hint="eastAsia" w:ascii="宋体" w:hAnsi="宋体" w:eastAsia="宋体" w:cs="宋体"/>
          <w:color w:val="auto"/>
          <w:sz w:val="24"/>
          <w:szCs w:val="24"/>
          <w:highlight w:val="none"/>
        </w:rPr>
      </w:pPr>
    </w:p>
    <w:p>
      <w:pPr>
        <w:pStyle w:val="27"/>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编制施工组织设计的要求：</w:t>
      </w:r>
    </w:p>
    <w:p>
      <w:pPr>
        <w:pStyle w:val="27"/>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编制时应按以下章顺序采用文字并结合图表形式进行说明：</w:t>
      </w:r>
    </w:p>
    <w:p>
      <w:pPr>
        <w:pStyle w:val="27"/>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第一章</w:t>
      </w:r>
      <w:r>
        <w:rPr>
          <w:rFonts w:hint="eastAsia" w:ascii="Times New Roman" w:hAnsi="Times New Roman" w:cs="Times New Roman"/>
          <w:color w:val="auto"/>
          <w:kern w:val="0"/>
          <w:sz w:val="21"/>
          <w:szCs w:val="21"/>
          <w:highlight w:val="none"/>
          <w:lang w:val="en-US" w:eastAsia="zh-CN" w:bidi="ar-SA"/>
        </w:rPr>
        <w:t xml:space="preserve"> 总体施工组织布置及规划</w:t>
      </w:r>
      <w:r>
        <w:rPr>
          <w:rFonts w:hint="eastAsia" w:ascii="宋体" w:hAnsi="宋体" w:eastAsia="宋体" w:cs="宋体"/>
          <w:color w:val="auto"/>
          <w:sz w:val="21"/>
          <w:szCs w:val="21"/>
          <w:highlight w:val="none"/>
        </w:rPr>
        <w:t>；</w:t>
      </w:r>
    </w:p>
    <w:p>
      <w:pPr>
        <w:pStyle w:val="27"/>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第二章</w:t>
      </w:r>
      <w:r>
        <w:rPr>
          <w:rFonts w:hint="eastAsia" w:ascii="Times New Roman" w:hAnsi="Times New Roman" w:cs="Times New Roman"/>
          <w:color w:val="auto"/>
          <w:kern w:val="0"/>
          <w:sz w:val="21"/>
          <w:szCs w:val="21"/>
          <w:highlight w:val="none"/>
          <w:lang w:val="en-US" w:eastAsia="zh-CN" w:bidi="ar-SA"/>
        </w:rPr>
        <w:t xml:space="preserve"> 主要工程项目的施工方案、方法与技术措施</w:t>
      </w:r>
      <w:r>
        <w:rPr>
          <w:rFonts w:hint="eastAsia" w:ascii="宋体" w:hAnsi="宋体" w:eastAsia="宋体" w:cs="宋体"/>
          <w:color w:val="auto"/>
          <w:sz w:val="21"/>
          <w:szCs w:val="21"/>
          <w:highlight w:val="none"/>
        </w:rPr>
        <w:t>；</w:t>
      </w:r>
    </w:p>
    <w:p>
      <w:pPr>
        <w:pStyle w:val="27"/>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第三章</w:t>
      </w:r>
      <w:r>
        <w:rPr>
          <w:rFonts w:hint="eastAsia" w:ascii="Times New Roman" w:hAnsi="Times New Roman" w:cs="Times New Roman"/>
          <w:color w:val="auto"/>
          <w:kern w:val="0"/>
          <w:sz w:val="21"/>
          <w:szCs w:val="21"/>
          <w:highlight w:val="none"/>
          <w:lang w:val="en-US" w:eastAsia="zh-CN" w:bidi="ar-SA"/>
        </w:rPr>
        <w:t xml:space="preserve"> 人员及机械设备配置</w:t>
      </w:r>
      <w:r>
        <w:rPr>
          <w:rFonts w:hint="eastAsia" w:ascii="宋体" w:hAnsi="宋体" w:eastAsia="宋体" w:cs="宋体"/>
          <w:color w:val="auto"/>
          <w:sz w:val="21"/>
          <w:szCs w:val="21"/>
          <w:highlight w:val="none"/>
        </w:rPr>
        <w:t>；</w:t>
      </w:r>
    </w:p>
    <w:p>
      <w:pPr>
        <w:pStyle w:val="27"/>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第四章</w:t>
      </w:r>
      <w:r>
        <w:rPr>
          <w:rFonts w:hint="eastAsia" w:ascii="Times New Roman" w:hAnsi="Times New Roman" w:cs="Times New Roman"/>
          <w:color w:val="auto"/>
          <w:kern w:val="0"/>
          <w:sz w:val="21"/>
          <w:szCs w:val="21"/>
          <w:highlight w:val="none"/>
          <w:lang w:val="en-US" w:eastAsia="zh-CN" w:bidi="ar-SA"/>
        </w:rPr>
        <w:t xml:space="preserve"> 工期保证体系及保证措施</w:t>
      </w:r>
      <w:r>
        <w:rPr>
          <w:rFonts w:hint="eastAsia" w:ascii="宋体" w:hAnsi="宋体" w:eastAsia="宋体" w:cs="宋体"/>
          <w:color w:val="auto"/>
          <w:sz w:val="21"/>
          <w:szCs w:val="21"/>
          <w:highlight w:val="none"/>
        </w:rPr>
        <w:t>；</w:t>
      </w:r>
    </w:p>
    <w:p>
      <w:pPr>
        <w:pStyle w:val="27"/>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第五章</w:t>
      </w:r>
      <w:r>
        <w:rPr>
          <w:rFonts w:hint="eastAsia" w:ascii="Times New Roman" w:hAnsi="Times New Roman" w:cs="Times New Roman"/>
          <w:color w:val="auto"/>
          <w:kern w:val="0"/>
          <w:sz w:val="21"/>
          <w:szCs w:val="21"/>
          <w:highlight w:val="none"/>
          <w:lang w:val="en-US" w:eastAsia="zh-CN" w:bidi="ar-SA"/>
        </w:rPr>
        <w:t xml:space="preserve"> 工程质量管理体系及保证措施</w:t>
      </w:r>
      <w:r>
        <w:rPr>
          <w:rFonts w:hint="eastAsia" w:ascii="宋体" w:hAnsi="宋体" w:eastAsia="宋体" w:cs="宋体"/>
          <w:color w:val="auto"/>
          <w:sz w:val="21"/>
          <w:szCs w:val="21"/>
          <w:highlight w:val="none"/>
        </w:rPr>
        <w:t>；</w:t>
      </w:r>
    </w:p>
    <w:p>
      <w:pPr>
        <w:pStyle w:val="27"/>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第六章</w:t>
      </w:r>
      <w:r>
        <w:rPr>
          <w:rFonts w:hint="eastAsia" w:ascii="Times New Roman" w:hAnsi="Times New Roman" w:cs="Times New Roman"/>
          <w:color w:val="auto"/>
          <w:kern w:val="0"/>
          <w:sz w:val="21"/>
          <w:szCs w:val="21"/>
          <w:highlight w:val="none"/>
          <w:lang w:val="en-US" w:eastAsia="zh-CN" w:bidi="ar-SA"/>
        </w:rPr>
        <w:t xml:space="preserve"> 安全生产管理体系及保证措施</w:t>
      </w:r>
      <w:r>
        <w:rPr>
          <w:rFonts w:hint="eastAsia" w:ascii="宋体" w:hAnsi="宋体" w:eastAsia="宋体" w:cs="宋体"/>
          <w:color w:val="auto"/>
          <w:sz w:val="21"/>
          <w:szCs w:val="21"/>
          <w:highlight w:val="none"/>
        </w:rPr>
        <w:t>；</w:t>
      </w:r>
    </w:p>
    <w:p>
      <w:pPr>
        <w:pStyle w:val="27"/>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第七章</w:t>
      </w:r>
      <w:r>
        <w:rPr>
          <w:rFonts w:hint="eastAsia" w:ascii="Times New Roman" w:hAnsi="Times New Roman" w:cs="Times New Roman"/>
          <w:color w:val="auto"/>
          <w:kern w:val="0"/>
          <w:sz w:val="21"/>
          <w:szCs w:val="21"/>
          <w:highlight w:val="none"/>
          <w:lang w:val="en-US" w:eastAsia="zh-CN" w:bidi="ar-SA"/>
        </w:rPr>
        <w:t xml:space="preserve"> 环境保护、水土保持保证体系及保证措施</w:t>
      </w:r>
      <w:r>
        <w:rPr>
          <w:rFonts w:hint="eastAsia" w:ascii="宋体" w:hAnsi="宋体" w:eastAsia="宋体" w:cs="宋体"/>
          <w:color w:val="auto"/>
          <w:sz w:val="21"/>
          <w:szCs w:val="21"/>
          <w:highlight w:val="none"/>
        </w:rPr>
        <w:t>；</w:t>
      </w:r>
    </w:p>
    <w:p>
      <w:pPr>
        <w:pStyle w:val="27"/>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第八章</w:t>
      </w:r>
      <w:r>
        <w:rPr>
          <w:rFonts w:hint="eastAsia" w:ascii="Times New Roman" w:hAnsi="Times New Roman" w:cs="Times New Roman"/>
          <w:color w:val="auto"/>
          <w:kern w:val="0"/>
          <w:sz w:val="21"/>
          <w:szCs w:val="21"/>
          <w:highlight w:val="none"/>
          <w:lang w:val="en-US" w:eastAsia="zh-CN" w:bidi="ar-SA"/>
        </w:rPr>
        <w:t xml:space="preserve"> 文明施工、文物保护保证体系及保证措施</w:t>
      </w:r>
      <w:r>
        <w:rPr>
          <w:rFonts w:hint="eastAsia" w:ascii="宋体" w:hAnsi="宋体" w:eastAsia="宋体" w:cs="宋体"/>
          <w:color w:val="auto"/>
          <w:sz w:val="21"/>
          <w:szCs w:val="21"/>
          <w:highlight w:val="none"/>
          <w:lang w:eastAsia="zh-CN"/>
        </w:rPr>
        <w:t>；</w:t>
      </w:r>
    </w:p>
    <w:p>
      <w:pPr>
        <w:pStyle w:val="27"/>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第九章</w:t>
      </w:r>
      <w:r>
        <w:rPr>
          <w:rFonts w:hint="eastAsia" w:ascii="Times New Roman" w:hAnsi="Times New Roman" w:cs="Times New Roman"/>
          <w:color w:val="auto"/>
          <w:kern w:val="0"/>
          <w:sz w:val="21"/>
          <w:szCs w:val="21"/>
          <w:highlight w:val="none"/>
          <w:lang w:val="en-US" w:eastAsia="zh-CN" w:bidi="ar-SA"/>
        </w:rPr>
        <w:t xml:space="preserve"> 项目风险预测与防范，事故应急预案。</w:t>
      </w:r>
    </w:p>
    <w:p>
      <w:pPr>
        <w:pStyle w:val="27"/>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2.施工组织设计除采用文字表述外可附下列图表，图表及格式要求附后。</w:t>
      </w:r>
    </w:p>
    <w:p>
      <w:pPr>
        <w:pStyle w:val="27"/>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附表一</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拟</w:t>
      </w:r>
      <w:r>
        <w:rPr>
          <w:rFonts w:hint="eastAsia" w:ascii="宋体" w:hAnsi="宋体" w:eastAsia="宋体" w:cs="宋体"/>
          <w:color w:val="auto"/>
          <w:sz w:val="21"/>
          <w:szCs w:val="21"/>
          <w:highlight w:val="none"/>
        </w:rPr>
        <w:t>投入本项目的主要施工设备表</w:t>
      </w:r>
    </w:p>
    <w:p>
      <w:pPr>
        <w:pStyle w:val="27"/>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拟</w:t>
      </w:r>
      <w:r>
        <w:rPr>
          <w:rFonts w:hint="eastAsia" w:ascii="宋体" w:hAnsi="宋体" w:eastAsia="宋体" w:cs="宋体"/>
          <w:color w:val="auto"/>
          <w:sz w:val="21"/>
          <w:szCs w:val="21"/>
          <w:highlight w:val="none"/>
        </w:rPr>
        <w:t>配备本项目的试验和检测仪器设备表</w:t>
      </w:r>
    </w:p>
    <w:p>
      <w:pPr>
        <w:pStyle w:val="27"/>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劳</w:t>
      </w:r>
      <w:r>
        <w:rPr>
          <w:rFonts w:hint="eastAsia" w:ascii="宋体" w:hAnsi="宋体" w:eastAsia="宋体" w:cs="宋体"/>
          <w:color w:val="auto"/>
          <w:sz w:val="21"/>
          <w:szCs w:val="21"/>
          <w:highlight w:val="none"/>
        </w:rPr>
        <w:t>动力计划表</w:t>
      </w:r>
    </w:p>
    <w:p>
      <w:pPr>
        <w:pStyle w:val="27"/>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计划开、竣工日期和施工进度网络图</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横道图</w:t>
      </w:r>
    </w:p>
    <w:p>
      <w:pPr>
        <w:pStyle w:val="27"/>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施</w:t>
      </w:r>
      <w:r>
        <w:rPr>
          <w:rFonts w:hint="eastAsia" w:ascii="宋体" w:hAnsi="宋体" w:eastAsia="宋体" w:cs="宋体"/>
          <w:color w:val="auto"/>
          <w:sz w:val="21"/>
          <w:szCs w:val="21"/>
          <w:highlight w:val="none"/>
        </w:rPr>
        <w:t>工总平面图</w:t>
      </w:r>
    </w:p>
    <w:p>
      <w:pPr>
        <w:pStyle w:val="27"/>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position w:val="-2"/>
          <w:sz w:val="21"/>
          <w:szCs w:val="21"/>
          <w:highlight w:val="none"/>
        </w:rPr>
        <w:t>附表六</w:t>
      </w:r>
      <w:r>
        <w:rPr>
          <w:rFonts w:hint="eastAsia" w:ascii="宋体" w:hAnsi="宋体" w:eastAsia="宋体" w:cs="宋体"/>
          <w:color w:val="auto"/>
          <w:position w:val="-2"/>
          <w:sz w:val="21"/>
          <w:szCs w:val="21"/>
          <w:highlight w:val="none"/>
        </w:rPr>
        <w:tab/>
      </w:r>
      <w:r>
        <w:rPr>
          <w:rFonts w:hint="eastAsia" w:ascii="宋体" w:hAnsi="宋体" w:eastAsia="宋体" w:cs="宋体"/>
          <w:color w:val="auto"/>
          <w:spacing w:val="-1"/>
          <w:position w:val="-2"/>
          <w:sz w:val="21"/>
          <w:szCs w:val="21"/>
          <w:highlight w:val="none"/>
        </w:rPr>
        <w:t>临</w:t>
      </w:r>
      <w:r>
        <w:rPr>
          <w:rFonts w:hint="eastAsia" w:ascii="宋体" w:hAnsi="宋体" w:eastAsia="宋体" w:cs="宋体"/>
          <w:color w:val="auto"/>
          <w:position w:val="-2"/>
          <w:sz w:val="21"/>
          <w:szCs w:val="21"/>
          <w:highlight w:val="none"/>
        </w:rPr>
        <w:t>时用地表</w:t>
      </w:r>
    </w:p>
    <w:p>
      <w:pPr>
        <w:rPr>
          <w:rFonts w:hint="eastAsia" w:ascii="宋体" w:hAnsi="宋体" w:eastAsia="宋体" w:cs="宋体"/>
          <w:color w:val="auto"/>
          <w:sz w:val="21"/>
          <w:szCs w:val="21"/>
          <w:highlight w:val="none"/>
        </w:rPr>
      </w:pPr>
      <w:bookmarkStart w:id="2020" w:name="_Toc418752351"/>
      <w:bookmarkStart w:id="2021" w:name="_Toc418751905"/>
      <w:bookmarkStart w:id="2022" w:name="_Toc483317224"/>
    </w:p>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附表一：拟投入本项目的主要施工设备表</w:t>
      </w:r>
      <w:bookmarkEnd w:id="2020"/>
      <w:bookmarkEnd w:id="2021"/>
      <w:bookmarkEnd w:id="2022"/>
    </w:p>
    <w:tbl>
      <w:tblPr>
        <w:tblStyle w:val="18"/>
        <w:tblW w:w="9648" w:type="dxa"/>
        <w:tblInd w:w="-5" w:type="dxa"/>
        <w:tblLayout w:type="fixed"/>
        <w:tblCellMar>
          <w:top w:w="0" w:type="dxa"/>
          <w:left w:w="0" w:type="dxa"/>
          <w:bottom w:w="0" w:type="dxa"/>
          <w:right w:w="0" w:type="dxa"/>
        </w:tblCellMar>
      </w:tblPr>
      <w:tblGrid>
        <w:gridCol w:w="734"/>
        <w:gridCol w:w="1198"/>
        <w:gridCol w:w="839"/>
        <w:gridCol w:w="1092"/>
        <w:gridCol w:w="741"/>
        <w:gridCol w:w="814"/>
        <w:gridCol w:w="1337"/>
        <w:gridCol w:w="965"/>
        <w:gridCol w:w="1164"/>
        <w:gridCol w:w="764"/>
      </w:tblGrid>
      <w:tr>
        <w:tblPrEx>
          <w:tblCellMar>
            <w:top w:w="0" w:type="dxa"/>
            <w:left w:w="0" w:type="dxa"/>
            <w:bottom w:w="0" w:type="dxa"/>
            <w:right w:w="0" w:type="dxa"/>
          </w:tblCellMar>
        </w:tblPrEx>
        <w:trPr>
          <w:trHeight w:val="827"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98" w:type="dxa"/>
            <w:tcBorders>
              <w:top w:val="single" w:color="000000" w:sz="4" w:space="0"/>
              <w:left w:val="nil"/>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839" w:type="dxa"/>
            <w:tcBorders>
              <w:top w:val="single" w:color="000000" w:sz="4" w:space="0"/>
              <w:left w:val="nil"/>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092" w:type="dxa"/>
            <w:tcBorders>
              <w:top w:val="single" w:color="000000" w:sz="4" w:space="0"/>
              <w:left w:val="nil"/>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41" w:type="dxa"/>
            <w:tcBorders>
              <w:top w:val="single" w:color="000000" w:sz="4" w:space="0"/>
              <w:left w:val="nil"/>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814" w:type="dxa"/>
            <w:tcBorders>
              <w:top w:val="single" w:color="000000" w:sz="4" w:space="0"/>
              <w:left w:val="nil"/>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337" w:type="dxa"/>
            <w:tcBorders>
              <w:top w:val="single" w:color="000000" w:sz="4" w:space="0"/>
              <w:left w:val="nil"/>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965" w:type="dxa"/>
            <w:tcBorders>
              <w:top w:val="single" w:color="000000" w:sz="4" w:space="0"/>
              <w:left w:val="nil"/>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1164" w:type="dxa"/>
            <w:tcBorders>
              <w:top w:val="single" w:color="000000" w:sz="4" w:space="0"/>
              <w:left w:val="nil"/>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764" w:type="dxa"/>
            <w:tcBorders>
              <w:top w:val="single" w:color="000000" w:sz="4" w:space="0"/>
              <w:left w:val="nil"/>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198"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839"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092"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741"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814"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337"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965"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164"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764"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198"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839"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092"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741"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814"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337"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965"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164"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764"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198"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839"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092"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741"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814"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337"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965"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164"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764"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198"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839"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092"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741"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814"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337"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965"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164"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764"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r>
    </w:tbl>
    <w:p>
      <w:pPr>
        <w:pStyle w:val="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rPr>
          <w:rFonts w:hint="eastAsia" w:ascii="宋体" w:hAnsi="宋体" w:eastAsia="宋体" w:cs="宋体"/>
          <w:b/>
          <w:color w:val="auto"/>
          <w:sz w:val="21"/>
          <w:szCs w:val="21"/>
          <w:highlight w:val="none"/>
        </w:rPr>
      </w:pPr>
      <w:bookmarkStart w:id="2023" w:name="_Toc418751906"/>
      <w:bookmarkStart w:id="2024" w:name="_Toc483317225"/>
      <w:bookmarkStart w:id="2025" w:name="_Toc418752352"/>
      <w:r>
        <w:rPr>
          <w:rFonts w:hint="eastAsia" w:ascii="宋体" w:hAnsi="宋体" w:eastAsia="宋体" w:cs="宋体"/>
          <w:b/>
          <w:color w:val="auto"/>
          <w:sz w:val="21"/>
          <w:szCs w:val="21"/>
          <w:highlight w:val="none"/>
        </w:rPr>
        <w:t>附表二：拟配备本项目的试验和检测仪器设备表</w:t>
      </w:r>
      <w:bookmarkEnd w:id="2023"/>
      <w:bookmarkEnd w:id="2024"/>
      <w:bookmarkEnd w:id="2025"/>
    </w:p>
    <w:tbl>
      <w:tblPr>
        <w:tblStyle w:val="18"/>
        <w:tblW w:w="9648" w:type="dxa"/>
        <w:tblInd w:w="-5" w:type="dxa"/>
        <w:tblLayout w:type="fixed"/>
        <w:tblCellMar>
          <w:top w:w="0" w:type="dxa"/>
          <w:left w:w="0" w:type="dxa"/>
          <w:bottom w:w="0" w:type="dxa"/>
          <w:right w:w="0" w:type="dxa"/>
        </w:tblCellMar>
      </w:tblPr>
      <w:tblGrid>
        <w:gridCol w:w="759"/>
        <w:gridCol w:w="1239"/>
        <w:gridCol w:w="866"/>
        <w:gridCol w:w="1129"/>
        <w:gridCol w:w="766"/>
        <w:gridCol w:w="841"/>
        <w:gridCol w:w="1382"/>
        <w:gridCol w:w="1885"/>
        <w:gridCol w:w="781"/>
      </w:tblGrid>
      <w:tr>
        <w:tblPrEx>
          <w:tblCellMar>
            <w:top w:w="0" w:type="dxa"/>
            <w:left w:w="0" w:type="dxa"/>
            <w:bottom w:w="0" w:type="dxa"/>
            <w:right w:w="0" w:type="dxa"/>
          </w:tblCellMar>
        </w:tblPrEx>
        <w:trPr>
          <w:trHeight w:val="889" w:hRule="atLeast"/>
        </w:trPr>
        <w:tc>
          <w:tcPr>
            <w:tcW w:w="759"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39" w:type="dxa"/>
            <w:tcBorders>
              <w:top w:val="single" w:color="000000" w:sz="4" w:space="0"/>
              <w:left w:val="nil"/>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w:t>
            </w:r>
          </w:p>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866" w:type="dxa"/>
            <w:tcBorders>
              <w:top w:val="single" w:color="000000" w:sz="4" w:space="0"/>
              <w:left w:val="nil"/>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29" w:type="dxa"/>
            <w:tcBorders>
              <w:top w:val="single" w:color="000000" w:sz="4" w:space="0"/>
              <w:left w:val="nil"/>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66" w:type="dxa"/>
            <w:tcBorders>
              <w:top w:val="single" w:color="000000" w:sz="4" w:space="0"/>
              <w:left w:val="nil"/>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841" w:type="dxa"/>
            <w:tcBorders>
              <w:top w:val="single" w:color="000000" w:sz="4" w:space="0"/>
              <w:left w:val="nil"/>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382" w:type="dxa"/>
            <w:tcBorders>
              <w:top w:val="single" w:color="000000" w:sz="4" w:space="0"/>
              <w:left w:val="nil"/>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已使用</w:t>
            </w:r>
          </w:p>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台时数</w:t>
            </w:r>
          </w:p>
        </w:tc>
        <w:tc>
          <w:tcPr>
            <w:tcW w:w="1885" w:type="dxa"/>
            <w:tcBorders>
              <w:top w:val="single" w:color="000000" w:sz="4" w:space="0"/>
              <w:left w:val="nil"/>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用途</w:t>
            </w:r>
          </w:p>
        </w:tc>
        <w:tc>
          <w:tcPr>
            <w:tcW w:w="781" w:type="dxa"/>
            <w:tcBorders>
              <w:top w:val="single" w:color="000000" w:sz="4" w:space="0"/>
              <w:left w:val="nil"/>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39"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866"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129"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766"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841"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382"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885"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781"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39"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866"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129"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766"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841"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382"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885"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781"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39"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866"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129"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766"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841"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382"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885"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781"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39"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866"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129"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766"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841"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382"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885"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781"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r>
    </w:tbl>
    <w:p>
      <w:pPr>
        <w:pStyle w:val="27"/>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bookmarkStart w:id="2026" w:name="_Toc418751907"/>
      <w:bookmarkStart w:id="2027" w:name="_Toc483317226"/>
      <w:bookmarkStart w:id="2028" w:name="_Toc418752353"/>
      <w:r>
        <w:rPr>
          <w:rFonts w:hint="eastAsia" w:ascii="宋体" w:hAnsi="宋体" w:eastAsia="宋体" w:cs="宋体"/>
          <w:b/>
          <w:color w:val="auto"/>
          <w:sz w:val="21"/>
          <w:szCs w:val="21"/>
          <w:highlight w:val="none"/>
        </w:rPr>
        <w:t>附表三：劳动力计划表</w:t>
      </w:r>
      <w:bookmarkEnd w:id="2026"/>
      <w:bookmarkEnd w:id="2027"/>
      <w:bookmarkEnd w:id="2028"/>
    </w:p>
    <w:p>
      <w:pPr>
        <w:pStyle w:val="27"/>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单位：人</w:t>
      </w:r>
    </w:p>
    <w:tbl>
      <w:tblPr>
        <w:tblStyle w:val="18"/>
        <w:tblW w:w="9648" w:type="dxa"/>
        <w:tblInd w:w="-5" w:type="dxa"/>
        <w:tblLayout w:type="fixed"/>
        <w:tblCellMar>
          <w:top w:w="0" w:type="dxa"/>
          <w:left w:w="0" w:type="dxa"/>
          <w:bottom w:w="0" w:type="dxa"/>
          <w:right w:w="0" w:type="dxa"/>
        </w:tblCellMar>
      </w:tblPr>
      <w:tblGrid>
        <w:gridCol w:w="938"/>
        <w:gridCol w:w="1478"/>
        <w:gridCol w:w="1204"/>
        <w:gridCol w:w="1206"/>
        <w:gridCol w:w="1204"/>
        <w:gridCol w:w="1206"/>
        <w:gridCol w:w="1204"/>
        <w:gridCol w:w="1208"/>
      </w:tblGrid>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710" w:type="dxa"/>
            <w:gridSpan w:val="7"/>
            <w:tcBorders>
              <w:top w:val="single" w:color="000000" w:sz="4" w:space="0"/>
              <w:left w:val="nil"/>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478"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06"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06"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08"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478"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06"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06"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08"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478"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06"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06"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08"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478"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06"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06"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1208"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r>
    </w:tbl>
    <w:p>
      <w:pPr>
        <w:pStyle w:val="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rPr>
          <w:rFonts w:hint="eastAsia" w:ascii="宋体" w:hAnsi="宋体" w:eastAsia="宋体" w:cs="宋体"/>
          <w:b/>
          <w:color w:val="auto"/>
          <w:sz w:val="21"/>
          <w:szCs w:val="21"/>
          <w:highlight w:val="none"/>
        </w:rPr>
      </w:pPr>
      <w:bookmarkStart w:id="2029" w:name="_Toc418751908"/>
      <w:bookmarkStart w:id="2030" w:name="_Toc483317227"/>
      <w:bookmarkStart w:id="2031" w:name="_Toc418752354"/>
      <w:r>
        <w:rPr>
          <w:rFonts w:hint="eastAsia" w:ascii="宋体" w:hAnsi="宋体" w:eastAsia="宋体" w:cs="宋体"/>
          <w:b/>
          <w:color w:val="auto"/>
          <w:sz w:val="21"/>
          <w:szCs w:val="21"/>
          <w:highlight w:val="none"/>
        </w:rPr>
        <w:t>附表四：计划开、竣工日期和施工进度网络图</w:t>
      </w:r>
      <w:r>
        <w:rPr>
          <w:rFonts w:hint="eastAsia" w:ascii="宋体" w:hAnsi="宋体" w:eastAsia="宋体" w:cs="宋体"/>
          <w:b/>
          <w:color w:val="auto"/>
          <w:sz w:val="21"/>
          <w:szCs w:val="21"/>
          <w:highlight w:val="none"/>
          <w:lang w:val="en-US" w:eastAsia="zh-CN"/>
        </w:rPr>
        <w:t>或</w:t>
      </w:r>
      <w:r>
        <w:rPr>
          <w:rFonts w:hint="eastAsia" w:ascii="宋体" w:hAnsi="宋体" w:eastAsia="宋体" w:cs="宋体"/>
          <w:b/>
          <w:color w:val="auto"/>
          <w:sz w:val="21"/>
          <w:szCs w:val="21"/>
          <w:highlight w:val="none"/>
        </w:rPr>
        <w:t>横道图</w:t>
      </w:r>
      <w:bookmarkEnd w:id="2029"/>
      <w:bookmarkEnd w:id="2030"/>
      <w:bookmarkEnd w:id="2031"/>
    </w:p>
    <w:p>
      <w:pPr>
        <w:pStyle w:val="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27"/>
        <w:ind w:firstLine="4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应递交施工进度网络图</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横道图</w:t>
      </w:r>
      <w:r>
        <w:rPr>
          <w:rFonts w:hint="eastAsia" w:ascii="宋体" w:hAnsi="宋体" w:eastAsia="宋体" w:cs="宋体"/>
          <w:color w:val="auto"/>
          <w:spacing w:val="1"/>
          <w:sz w:val="21"/>
          <w:szCs w:val="21"/>
          <w:highlight w:val="none"/>
        </w:rPr>
        <w:t>，说</w:t>
      </w:r>
      <w:r>
        <w:rPr>
          <w:rFonts w:hint="eastAsia" w:ascii="宋体" w:hAnsi="宋体" w:eastAsia="宋体" w:cs="宋体"/>
          <w:color w:val="auto"/>
          <w:spacing w:val="2"/>
          <w:sz w:val="21"/>
          <w:szCs w:val="21"/>
          <w:highlight w:val="none"/>
        </w:rPr>
        <w:t>明</w:t>
      </w:r>
      <w:r>
        <w:rPr>
          <w:rFonts w:hint="eastAsia" w:ascii="宋体" w:hAnsi="宋体" w:eastAsia="宋体" w:cs="宋体"/>
          <w:color w:val="auto"/>
          <w:spacing w:val="1"/>
          <w:sz w:val="21"/>
          <w:szCs w:val="21"/>
          <w:highlight w:val="none"/>
        </w:rPr>
        <w:t>按</w:t>
      </w:r>
      <w:r>
        <w:rPr>
          <w:rFonts w:hint="eastAsia" w:ascii="宋体" w:hAnsi="宋体" w:eastAsia="宋体" w:cs="宋体"/>
          <w:color w:val="auto"/>
          <w:spacing w:val="2"/>
          <w:sz w:val="21"/>
          <w:szCs w:val="21"/>
          <w:highlight w:val="none"/>
          <w:lang w:val="en-US" w:eastAsia="zh-CN"/>
        </w:rPr>
        <w:t>竞争性磋商</w:t>
      </w:r>
      <w:r>
        <w:rPr>
          <w:rFonts w:hint="eastAsia" w:ascii="宋体" w:hAnsi="宋体" w:eastAsia="宋体" w:cs="宋体"/>
          <w:color w:val="auto"/>
          <w:spacing w:val="1"/>
          <w:sz w:val="21"/>
          <w:szCs w:val="21"/>
          <w:highlight w:val="none"/>
        </w:rPr>
        <w:t>文</w:t>
      </w:r>
      <w:r>
        <w:rPr>
          <w:rFonts w:hint="eastAsia" w:ascii="宋体" w:hAnsi="宋体" w:eastAsia="宋体" w:cs="宋体"/>
          <w:color w:val="auto"/>
          <w:spacing w:val="2"/>
          <w:sz w:val="21"/>
          <w:szCs w:val="21"/>
          <w:highlight w:val="none"/>
        </w:rPr>
        <w:t>件</w:t>
      </w:r>
      <w:r>
        <w:rPr>
          <w:rFonts w:hint="eastAsia" w:ascii="宋体" w:hAnsi="宋体" w:eastAsia="宋体" w:cs="宋体"/>
          <w:color w:val="auto"/>
          <w:spacing w:val="1"/>
          <w:sz w:val="21"/>
          <w:szCs w:val="21"/>
          <w:highlight w:val="none"/>
        </w:rPr>
        <w:t>要</w:t>
      </w:r>
      <w:r>
        <w:rPr>
          <w:rFonts w:hint="eastAsia" w:ascii="宋体" w:hAnsi="宋体" w:eastAsia="宋体" w:cs="宋体"/>
          <w:color w:val="auto"/>
          <w:spacing w:val="2"/>
          <w:sz w:val="21"/>
          <w:szCs w:val="21"/>
          <w:highlight w:val="none"/>
        </w:rPr>
        <w:t>求</w:t>
      </w:r>
      <w:r>
        <w:rPr>
          <w:rFonts w:hint="eastAsia" w:ascii="宋体" w:hAnsi="宋体" w:eastAsia="宋体" w:cs="宋体"/>
          <w:color w:val="auto"/>
          <w:spacing w:val="1"/>
          <w:sz w:val="21"/>
          <w:szCs w:val="21"/>
          <w:highlight w:val="none"/>
        </w:rPr>
        <w:t>的计</w:t>
      </w:r>
      <w:r>
        <w:rPr>
          <w:rFonts w:hint="eastAsia" w:ascii="宋体" w:hAnsi="宋体" w:eastAsia="宋体" w:cs="宋体"/>
          <w:color w:val="auto"/>
          <w:spacing w:val="2"/>
          <w:sz w:val="21"/>
          <w:szCs w:val="21"/>
          <w:highlight w:val="none"/>
        </w:rPr>
        <w:t>划</w:t>
      </w:r>
      <w:r>
        <w:rPr>
          <w:rFonts w:hint="eastAsia" w:ascii="宋体" w:hAnsi="宋体" w:eastAsia="宋体" w:cs="宋体"/>
          <w:color w:val="auto"/>
          <w:spacing w:val="1"/>
          <w:sz w:val="21"/>
          <w:szCs w:val="21"/>
          <w:highlight w:val="none"/>
        </w:rPr>
        <w:t>工</w:t>
      </w:r>
      <w:r>
        <w:rPr>
          <w:rFonts w:hint="eastAsia" w:ascii="宋体" w:hAnsi="宋体" w:eastAsia="宋体" w:cs="宋体"/>
          <w:color w:val="auto"/>
          <w:spacing w:val="4"/>
          <w:sz w:val="21"/>
          <w:szCs w:val="21"/>
          <w:highlight w:val="none"/>
        </w:rPr>
        <w:t>期</w:t>
      </w:r>
      <w:r>
        <w:rPr>
          <w:rFonts w:hint="eastAsia" w:ascii="宋体" w:hAnsi="宋体" w:eastAsia="宋体" w:cs="宋体"/>
          <w:color w:val="auto"/>
          <w:spacing w:val="2"/>
          <w:sz w:val="21"/>
          <w:szCs w:val="21"/>
          <w:highlight w:val="none"/>
        </w:rPr>
        <w:t>进</w:t>
      </w:r>
      <w:r>
        <w:rPr>
          <w:rFonts w:hint="eastAsia" w:ascii="宋体" w:hAnsi="宋体" w:eastAsia="宋体" w:cs="宋体"/>
          <w:color w:val="auto"/>
          <w:spacing w:val="1"/>
          <w:sz w:val="21"/>
          <w:szCs w:val="21"/>
          <w:highlight w:val="none"/>
        </w:rPr>
        <w:t>行</w:t>
      </w:r>
      <w:r>
        <w:rPr>
          <w:rFonts w:hint="eastAsia" w:ascii="宋体" w:hAnsi="宋体" w:eastAsia="宋体" w:cs="宋体"/>
          <w:color w:val="auto"/>
          <w:sz w:val="21"/>
          <w:szCs w:val="21"/>
          <w:highlight w:val="none"/>
        </w:rPr>
        <w:t>施工的各个关键日期。</w:t>
      </w:r>
    </w:p>
    <w:p>
      <w:pPr>
        <w:pStyle w:val="27"/>
        <w:ind w:firstLine="4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2.计划开工日期：</w:t>
      </w:r>
      <w:r>
        <w:rPr>
          <w:rFonts w:hint="eastAsia" w:ascii="宋体" w:hAnsi="宋体"/>
          <w:color w:val="auto"/>
          <w:sz w:val="21"/>
          <w:szCs w:val="21"/>
          <w:highlight w:val="none"/>
          <w:lang w:val="en-US" w:eastAsia="zh-CN"/>
        </w:rPr>
        <w:t>自合同签订之日起至 年 月 日</w:t>
      </w:r>
      <w:r>
        <w:rPr>
          <w:rFonts w:hint="eastAsia" w:ascii="宋体" w:hAnsi="宋体" w:eastAsia="宋体" w:cs="宋体"/>
          <w:i w:val="0"/>
          <w:iCs w:val="0"/>
          <w:color w:val="auto"/>
          <w:sz w:val="21"/>
          <w:szCs w:val="21"/>
          <w:highlight w:val="none"/>
          <w:lang w:val="en-US" w:eastAsia="zh-CN"/>
        </w:rPr>
        <w:t>。</w:t>
      </w:r>
    </w:p>
    <w:p>
      <w:pPr>
        <w:pStyle w:val="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rPr>
          <w:rFonts w:hint="eastAsia" w:ascii="宋体" w:hAnsi="宋体" w:eastAsia="宋体" w:cs="宋体"/>
          <w:b/>
          <w:color w:val="auto"/>
          <w:sz w:val="21"/>
          <w:szCs w:val="21"/>
          <w:highlight w:val="none"/>
        </w:rPr>
      </w:pPr>
      <w:bookmarkStart w:id="2032" w:name="_Toc418752355"/>
      <w:bookmarkStart w:id="2033" w:name="_Toc483317228"/>
      <w:bookmarkStart w:id="2034" w:name="_Toc418751909"/>
      <w:r>
        <w:rPr>
          <w:rFonts w:hint="eastAsia" w:ascii="宋体" w:hAnsi="宋体" w:eastAsia="宋体" w:cs="宋体"/>
          <w:b/>
          <w:color w:val="auto"/>
          <w:sz w:val="21"/>
          <w:szCs w:val="21"/>
          <w:highlight w:val="none"/>
        </w:rPr>
        <w:t>附表五：施工总平面图</w:t>
      </w:r>
      <w:bookmarkEnd w:id="2032"/>
      <w:bookmarkEnd w:id="2033"/>
      <w:bookmarkEnd w:id="2034"/>
    </w:p>
    <w:p>
      <w:pPr>
        <w:pStyle w:val="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27"/>
        <w:ind w:firstLine="4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应递交一份施工总平面图</w:t>
      </w:r>
      <w:r>
        <w:rPr>
          <w:rFonts w:hint="eastAsia" w:ascii="宋体" w:hAnsi="宋体" w:eastAsia="宋体" w:cs="宋体"/>
          <w:color w:val="auto"/>
          <w:spacing w:val="-47"/>
          <w:sz w:val="21"/>
          <w:szCs w:val="21"/>
          <w:highlight w:val="none"/>
        </w:rPr>
        <w:t>，</w:t>
      </w:r>
      <w:r>
        <w:rPr>
          <w:rFonts w:hint="eastAsia" w:ascii="宋体" w:hAnsi="宋体" w:eastAsia="宋体" w:cs="宋体"/>
          <w:color w:val="auto"/>
          <w:sz w:val="21"/>
          <w:szCs w:val="21"/>
          <w:highlight w:val="none"/>
        </w:rPr>
        <w:t>绘出现场临时设施布置图表并附文字说明</w:t>
      </w:r>
      <w:r>
        <w:rPr>
          <w:rFonts w:hint="eastAsia" w:ascii="宋体" w:hAnsi="宋体" w:eastAsia="宋体" w:cs="宋体"/>
          <w:color w:val="auto"/>
          <w:spacing w:val="-47"/>
          <w:sz w:val="21"/>
          <w:szCs w:val="21"/>
          <w:highlight w:val="none"/>
        </w:rPr>
        <w:t>，</w:t>
      </w:r>
      <w:r>
        <w:rPr>
          <w:rFonts w:hint="eastAsia" w:ascii="宋体" w:hAnsi="宋体" w:eastAsia="宋体" w:cs="宋体"/>
          <w:color w:val="auto"/>
          <w:sz w:val="21"/>
          <w:szCs w:val="21"/>
          <w:highlight w:val="none"/>
        </w:rPr>
        <w:t>说明临时设施</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加工车间</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现场办公</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设备及仓储</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供电</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供水</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卫生</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生活</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道路</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1"/>
          <w:sz w:val="21"/>
          <w:szCs w:val="21"/>
          <w:highlight w:val="none"/>
        </w:rPr>
        <w:t>消</w:t>
      </w:r>
      <w:r>
        <w:rPr>
          <w:rFonts w:hint="eastAsia" w:ascii="宋体" w:hAnsi="宋体" w:eastAsia="宋体" w:cs="宋体"/>
          <w:color w:val="auto"/>
          <w:sz w:val="21"/>
          <w:szCs w:val="21"/>
          <w:highlight w:val="none"/>
        </w:rPr>
        <w:t>防等设施的情况和布置。</w:t>
      </w:r>
    </w:p>
    <w:p>
      <w:pPr>
        <w:pStyle w:val="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rPr>
          <w:rFonts w:hint="eastAsia" w:ascii="宋体" w:hAnsi="宋体" w:eastAsia="宋体" w:cs="宋体"/>
          <w:b/>
          <w:color w:val="auto"/>
          <w:sz w:val="21"/>
          <w:szCs w:val="21"/>
          <w:highlight w:val="none"/>
        </w:rPr>
      </w:pPr>
      <w:bookmarkStart w:id="2035" w:name="_Toc418752356"/>
      <w:bookmarkStart w:id="2036" w:name="_Toc483317229"/>
      <w:bookmarkStart w:id="2037" w:name="_Toc418751910"/>
      <w:r>
        <w:rPr>
          <w:rFonts w:hint="eastAsia" w:ascii="宋体" w:hAnsi="宋体" w:eastAsia="宋体" w:cs="宋体"/>
          <w:b/>
          <w:color w:val="auto"/>
          <w:sz w:val="21"/>
          <w:szCs w:val="21"/>
          <w:highlight w:val="none"/>
        </w:rPr>
        <w:t>附表六：临时用地表</w:t>
      </w:r>
      <w:bookmarkEnd w:id="2035"/>
      <w:bookmarkEnd w:id="2036"/>
      <w:bookmarkEnd w:id="2037"/>
    </w:p>
    <w:tbl>
      <w:tblPr>
        <w:tblStyle w:val="18"/>
        <w:tblW w:w="9648" w:type="dxa"/>
        <w:tblInd w:w="-5" w:type="dxa"/>
        <w:tblLayout w:type="fixed"/>
        <w:tblCellMar>
          <w:top w:w="0" w:type="dxa"/>
          <w:left w:w="0" w:type="dxa"/>
          <w:bottom w:w="0" w:type="dxa"/>
          <w:right w:w="0" w:type="dxa"/>
        </w:tblCellMar>
      </w:tblPr>
      <w:tblGrid>
        <w:gridCol w:w="2412"/>
        <w:gridCol w:w="2412"/>
        <w:gridCol w:w="2412"/>
        <w:gridCol w:w="2412"/>
      </w:tblGrid>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w:t>
            </w:r>
            <w:r>
              <w:rPr>
                <w:rFonts w:hint="eastAsia" w:ascii="宋体" w:hAnsi="宋体" w:eastAsia="宋体" w:cs="宋体"/>
                <w:color w:val="auto"/>
                <w:spacing w:val="1"/>
                <w:sz w:val="21"/>
                <w:szCs w:val="21"/>
                <w:highlight w:val="none"/>
              </w:rPr>
              <w:t> </w:t>
            </w:r>
            <w:r>
              <w:rPr>
                <w:rFonts w:hint="eastAsia" w:ascii="宋体" w:hAnsi="宋体" w:eastAsia="宋体" w:cs="宋体"/>
                <w:color w:val="auto"/>
                <w:sz w:val="21"/>
                <w:szCs w:val="21"/>
                <w:highlight w:val="none"/>
              </w:rPr>
              <w:t>途</w:t>
            </w:r>
          </w:p>
        </w:tc>
        <w:tc>
          <w:tcPr>
            <w:tcW w:w="2412" w:type="dxa"/>
            <w:tcBorders>
              <w:top w:val="single" w:color="000000" w:sz="4" w:space="0"/>
              <w:left w:val="nil"/>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 </w:t>
            </w:r>
            <w:r>
              <w:rPr>
                <w:rFonts w:hint="eastAsia" w:ascii="宋体" w:hAnsi="宋体" w:eastAsia="宋体" w:cs="宋体"/>
                <w:color w:val="auto"/>
                <w:spacing w:val="1"/>
                <w:sz w:val="21"/>
                <w:szCs w:val="21"/>
                <w:highlight w:val="none"/>
              </w:rPr>
              <w:t> </w:t>
            </w:r>
            <w:r>
              <w:rPr>
                <w:rFonts w:hint="eastAsia" w:ascii="宋体" w:hAnsi="宋体" w:eastAsia="宋体" w:cs="宋体"/>
                <w:color w:val="auto"/>
                <w:sz w:val="21"/>
                <w:szCs w:val="21"/>
                <w:highlight w:val="none"/>
              </w:rPr>
              <w:t>积（平</w:t>
            </w:r>
            <w:r>
              <w:rPr>
                <w:rFonts w:hint="eastAsia" w:ascii="宋体" w:hAnsi="宋体" w:eastAsia="宋体" w:cs="宋体"/>
                <w:color w:val="auto"/>
                <w:spacing w:val="-1"/>
                <w:sz w:val="21"/>
                <w:szCs w:val="21"/>
                <w:highlight w:val="none"/>
              </w:rPr>
              <w:t>方</w:t>
            </w:r>
            <w:r>
              <w:rPr>
                <w:rFonts w:hint="eastAsia" w:ascii="宋体" w:hAnsi="宋体" w:eastAsia="宋体" w:cs="宋体"/>
                <w:color w:val="auto"/>
                <w:sz w:val="21"/>
                <w:szCs w:val="21"/>
                <w:highlight w:val="none"/>
              </w:rPr>
              <w:t>米）</w:t>
            </w:r>
          </w:p>
        </w:tc>
        <w:tc>
          <w:tcPr>
            <w:tcW w:w="2412" w:type="dxa"/>
            <w:tcBorders>
              <w:top w:val="single" w:color="000000" w:sz="4" w:space="0"/>
              <w:left w:val="nil"/>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 </w:t>
            </w:r>
            <w:r>
              <w:rPr>
                <w:rFonts w:hint="eastAsia" w:ascii="宋体" w:hAnsi="宋体" w:eastAsia="宋体" w:cs="宋体"/>
                <w:color w:val="auto"/>
                <w:spacing w:val="1"/>
                <w:sz w:val="21"/>
                <w:szCs w:val="21"/>
                <w:highlight w:val="none"/>
              </w:rPr>
              <w:t> </w:t>
            </w:r>
            <w:r>
              <w:rPr>
                <w:rFonts w:hint="eastAsia" w:ascii="宋体" w:hAnsi="宋体" w:eastAsia="宋体" w:cs="宋体"/>
                <w:color w:val="auto"/>
                <w:sz w:val="21"/>
                <w:szCs w:val="21"/>
                <w:highlight w:val="none"/>
              </w:rPr>
              <w:t>置</w:t>
            </w:r>
          </w:p>
        </w:tc>
        <w:tc>
          <w:tcPr>
            <w:tcW w:w="2412" w:type="dxa"/>
            <w:tcBorders>
              <w:top w:val="single" w:color="000000" w:sz="4" w:space="0"/>
              <w:left w:val="nil"/>
              <w:bottom w:val="single" w:color="000000" w:sz="4" w:space="0"/>
              <w:right w:val="single" w:color="000000" w:sz="4" w:space="0"/>
            </w:tcBorders>
            <w:vAlign w:val="center"/>
          </w:tcPr>
          <w:p>
            <w:pPr>
              <w:pStyle w:val="2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需用时间</w:t>
            </w:r>
          </w:p>
        </w:tc>
      </w:tr>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7"/>
              <w:rPr>
                <w:rFonts w:hint="eastAsia" w:ascii="宋体" w:hAnsi="宋体" w:eastAsia="宋体" w:cs="宋体"/>
                <w:color w:val="auto"/>
                <w:sz w:val="21"/>
                <w:szCs w:val="21"/>
                <w:highlight w:val="none"/>
              </w:rPr>
            </w:pPr>
          </w:p>
        </w:tc>
      </w:tr>
    </w:tbl>
    <w:p>
      <w:pPr>
        <w:pStyle w:val="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2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27"/>
        <w:rPr>
          <w:rFonts w:hint="eastAsia" w:ascii="宋体" w:hAnsi="宋体" w:eastAsia="宋体" w:cs="宋体"/>
          <w:color w:val="auto"/>
          <w:sz w:val="21"/>
          <w:szCs w:val="21"/>
          <w:highlight w:val="none"/>
        </w:rPr>
      </w:pPr>
    </w:p>
    <w:p>
      <w:pPr>
        <w:pStyle w:val="7"/>
        <w:widowControl w:val="0"/>
        <w:numPr>
          <w:ilvl w:val="0"/>
          <w:numId w:val="0"/>
        </w:numPr>
        <w:jc w:val="both"/>
        <w:rPr>
          <w:rFonts w:hint="eastAsia"/>
          <w:color w:val="auto"/>
          <w:sz w:val="21"/>
          <w:szCs w:val="21"/>
          <w:highlight w:val="none"/>
        </w:rPr>
      </w:pPr>
    </w:p>
    <w:p>
      <w:pPr>
        <w:widowControl/>
        <w:ind w:firstLine="1470" w:firstLineChars="7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，自然人</w:t>
      </w:r>
      <w:r>
        <w:rPr>
          <w:rFonts w:hint="eastAsia" w:ascii="宋体" w:hAnsi="宋体" w:eastAsia="宋体" w:cs="宋体"/>
          <w:color w:val="auto"/>
          <w:sz w:val="21"/>
          <w:szCs w:val="21"/>
          <w:highlight w:val="none"/>
          <w:lang w:eastAsia="zh-CN"/>
        </w:rPr>
        <w:t>签字或个人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1"/>
        <w:spacing w:line="300" w:lineRule="exact"/>
        <w:rPr>
          <w:rFonts w:hint="eastAsia" w:ascii="宋体" w:hAnsi="宋体" w:eastAsia="宋体" w:cs="宋体"/>
          <w:b/>
          <w:color w:val="auto"/>
          <w:sz w:val="21"/>
          <w:szCs w:val="21"/>
          <w:highlight w:val="none"/>
        </w:rPr>
      </w:pPr>
    </w:p>
    <w:p>
      <w:pPr>
        <w:ind w:firstLine="1470" w:firstLineChars="700"/>
        <w:rPr>
          <w:rFonts w:hint="eastAsia"/>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rPr>
          <w:rFonts w:hint="eastAsia"/>
          <w:color w:val="auto"/>
          <w:sz w:val="24"/>
          <w:szCs w:val="24"/>
          <w:highlight w:val="none"/>
        </w:rPr>
      </w:pPr>
    </w:p>
    <w:p>
      <w:pPr>
        <w:pStyle w:val="2"/>
        <w:rPr>
          <w:rFonts w:hint="eastAsia"/>
          <w:color w:val="auto"/>
          <w:highlight w:val="none"/>
        </w:rPr>
      </w:pPr>
    </w:p>
    <w:p>
      <w:pPr>
        <w:rPr>
          <w:rFonts w:hint="eastAsia"/>
          <w:color w:val="auto"/>
          <w:highlight w:val="none"/>
        </w:rPr>
      </w:pPr>
    </w:p>
    <w:p>
      <w:pPr>
        <w:pStyle w:val="2"/>
        <w:rPr>
          <w:rFonts w:hint="eastAsia"/>
          <w:color w:val="auto"/>
          <w:highlight w:val="none"/>
        </w:rPr>
      </w:pPr>
    </w:p>
    <w:p>
      <w:pPr>
        <w:pStyle w:val="11"/>
        <w:numPr>
          <w:ilvl w:val="0"/>
          <w:numId w:val="0"/>
        </w:numPr>
        <w:spacing w:line="340" w:lineRule="exact"/>
        <w:rPr>
          <w:rFonts w:hint="eastAsia" w:ascii="宋体" w:hAnsi="宋体" w:eastAsia="宋体" w:cs="宋体"/>
          <w:b/>
          <w:color w:val="auto"/>
          <w:sz w:val="24"/>
          <w:szCs w:val="24"/>
          <w:highlight w:val="none"/>
          <w:lang w:val="en-US" w:eastAsia="zh-CN"/>
        </w:rPr>
      </w:pPr>
    </w:p>
    <w:p>
      <w:pPr>
        <w:pStyle w:val="11"/>
        <w:numPr>
          <w:ilvl w:val="0"/>
          <w:numId w:val="0"/>
        </w:numPr>
        <w:spacing w:line="340" w:lineRule="exact"/>
        <w:rPr>
          <w:rFonts w:hint="eastAsia" w:ascii="宋体" w:hAnsi="宋体" w:eastAsia="宋体" w:cs="宋体"/>
          <w:b/>
          <w:color w:val="auto"/>
          <w:sz w:val="24"/>
          <w:szCs w:val="24"/>
          <w:highlight w:val="none"/>
          <w:lang w:val="en-US" w:eastAsia="zh-CN"/>
        </w:rPr>
      </w:pPr>
    </w:p>
    <w:p>
      <w:pPr>
        <w:pStyle w:val="11"/>
        <w:numPr>
          <w:ilvl w:val="0"/>
          <w:numId w:val="0"/>
        </w:numPr>
        <w:spacing w:line="340" w:lineRule="exact"/>
        <w:rPr>
          <w:rFonts w:hint="eastAsia" w:ascii="宋体" w:hAnsi="宋体" w:eastAsia="宋体" w:cs="宋体"/>
          <w:b/>
          <w:color w:val="auto"/>
          <w:sz w:val="24"/>
          <w:szCs w:val="24"/>
          <w:highlight w:val="none"/>
          <w:lang w:val="en-US" w:eastAsia="zh-CN"/>
        </w:rPr>
      </w:pPr>
    </w:p>
    <w:p>
      <w:pPr>
        <w:pStyle w:val="11"/>
        <w:numPr>
          <w:ilvl w:val="0"/>
          <w:numId w:val="0"/>
        </w:numPr>
        <w:spacing w:line="340" w:lineRule="exact"/>
        <w:rPr>
          <w:rFonts w:hint="eastAsia" w:ascii="宋体" w:hAnsi="宋体" w:eastAsia="宋体" w:cs="宋体"/>
          <w:b/>
          <w:color w:val="auto"/>
          <w:sz w:val="24"/>
          <w:szCs w:val="24"/>
          <w:highlight w:val="none"/>
          <w:lang w:val="en-US" w:eastAsia="zh-CN"/>
        </w:rPr>
      </w:pPr>
    </w:p>
    <w:p>
      <w:pPr>
        <w:pStyle w:val="11"/>
        <w:numPr>
          <w:ilvl w:val="0"/>
          <w:numId w:val="0"/>
        </w:numPr>
        <w:spacing w:line="340" w:lineRule="exact"/>
        <w:rPr>
          <w:rFonts w:hint="eastAsia" w:ascii="宋体" w:hAnsi="宋体" w:eastAsia="宋体" w:cs="宋体"/>
          <w:b/>
          <w:color w:val="auto"/>
          <w:sz w:val="24"/>
          <w:szCs w:val="24"/>
          <w:highlight w:val="none"/>
          <w:lang w:val="en-US" w:eastAsia="zh-CN"/>
        </w:rPr>
      </w:pPr>
    </w:p>
    <w:p>
      <w:pPr>
        <w:pStyle w:val="11"/>
        <w:numPr>
          <w:ilvl w:val="0"/>
          <w:numId w:val="0"/>
        </w:numPr>
        <w:spacing w:line="340" w:lineRule="exact"/>
        <w:rPr>
          <w:rFonts w:hint="eastAsia" w:ascii="宋体" w:hAnsi="宋体" w:eastAsia="宋体" w:cs="宋体"/>
          <w:b/>
          <w:color w:val="auto"/>
          <w:sz w:val="24"/>
          <w:szCs w:val="24"/>
          <w:highlight w:val="none"/>
          <w:lang w:val="en-US" w:eastAsia="zh-CN"/>
        </w:rPr>
      </w:pPr>
    </w:p>
    <w:p>
      <w:pPr>
        <w:pStyle w:val="11"/>
        <w:numPr>
          <w:ilvl w:val="0"/>
          <w:numId w:val="0"/>
        </w:numPr>
        <w:spacing w:line="340" w:lineRule="exact"/>
        <w:rPr>
          <w:rFonts w:hint="eastAsia" w:ascii="宋体" w:hAnsi="宋体" w:eastAsia="宋体" w:cs="宋体"/>
          <w:b/>
          <w:color w:val="auto"/>
          <w:sz w:val="24"/>
          <w:szCs w:val="24"/>
          <w:highlight w:val="none"/>
          <w:lang w:val="en-US" w:eastAsia="zh-CN"/>
        </w:rPr>
      </w:pPr>
    </w:p>
    <w:p>
      <w:pPr>
        <w:pStyle w:val="11"/>
        <w:numPr>
          <w:ilvl w:val="0"/>
          <w:numId w:val="0"/>
        </w:numPr>
        <w:spacing w:line="3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w:t>
      </w:r>
      <w:r>
        <w:rPr>
          <w:rFonts w:hint="eastAsia" w:hAnsi="宋体" w:cs="宋体"/>
          <w:b/>
          <w:color w:val="auto"/>
          <w:sz w:val="24"/>
          <w:szCs w:val="24"/>
          <w:highlight w:val="none"/>
          <w:lang w:val="en-US" w:eastAsia="zh-CN"/>
        </w:rPr>
        <w:t>工期</w:t>
      </w:r>
      <w:r>
        <w:rPr>
          <w:rFonts w:hint="eastAsia" w:ascii="宋体" w:hAnsi="宋体" w:eastAsia="宋体" w:cs="宋体"/>
          <w:b/>
          <w:color w:val="auto"/>
          <w:sz w:val="24"/>
          <w:szCs w:val="24"/>
          <w:highlight w:val="none"/>
          <w:lang w:val="en-US" w:eastAsia="zh-CN"/>
        </w:rPr>
        <w:t>服务承诺书（必须提供）</w:t>
      </w:r>
      <w:r>
        <w:rPr>
          <w:rFonts w:hint="eastAsia" w:ascii="宋体" w:hAnsi="宋体" w:eastAsia="宋体" w:cs="宋体"/>
          <w:b/>
          <w:color w:val="auto"/>
          <w:sz w:val="24"/>
          <w:szCs w:val="24"/>
          <w:highlight w:val="none"/>
        </w:rPr>
        <w:t>；</w:t>
      </w:r>
    </w:p>
    <w:p>
      <w:pPr>
        <w:spacing w:line="360" w:lineRule="auto"/>
        <w:jc w:val="center"/>
        <w:rPr>
          <w:rFonts w:hint="eastAsia" w:ascii="宋体" w:hAnsi="宋体" w:cs="宋体"/>
          <w:b/>
          <w:color w:val="auto"/>
          <w:sz w:val="24"/>
          <w:szCs w:val="24"/>
          <w:highlight w:val="none"/>
        </w:rPr>
      </w:pPr>
    </w:p>
    <w:p>
      <w:pPr>
        <w:spacing w:line="360" w:lineRule="auto"/>
        <w:jc w:val="center"/>
        <w:rPr>
          <w:rFonts w:hint="eastAsia" w:ascii="宋体" w:hAnsi="宋体" w:cs="宋体"/>
          <w:b/>
          <w:color w:val="auto"/>
          <w:sz w:val="24"/>
          <w:szCs w:val="24"/>
          <w:highlight w:val="none"/>
        </w:rPr>
      </w:pPr>
      <w:r>
        <w:rPr>
          <w:rFonts w:hint="eastAsia" w:hAnsi="宋体" w:cs="宋体"/>
          <w:b/>
          <w:color w:val="auto"/>
          <w:sz w:val="24"/>
          <w:szCs w:val="24"/>
          <w:highlight w:val="none"/>
          <w:lang w:val="en-US" w:eastAsia="zh-CN"/>
        </w:rPr>
        <w:t>工期</w:t>
      </w:r>
      <w:r>
        <w:rPr>
          <w:rFonts w:hint="eastAsia" w:ascii="宋体" w:hAnsi="宋体" w:cs="宋体"/>
          <w:b/>
          <w:color w:val="auto"/>
          <w:sz w:val="24"/>
          <w:szCs w:val="24"/>
          <w:highlight w:val="none"/>
        </w:rPr>
        <w:t>服务承诺书（格式）</w:t>
      </w:r>
    </w:p>
    <w:p>
      <w:pPr>
        <w:pStyle w:val="11"/>
        <w:jc w:val="center"/>
        <w:rPr>
          <w:rFonts w:hint="eastAsia" w:hAnsi="宋体" w:cs="宋体"/>
          <w:color w:val="auto"/>
          <w:sz w:val="21"/>
          <w:szCs w:val="21"/>
          <w:highlight w:val="none"/>
        </w:rPr>
      </w:pPr>
    </w:p>
    <w:p>
      <w:pPr>
        <w:pStyle w:val="11"/>
        <w:jc w:val="center"/>
        <w:rPr>
          <w:rFonts w:hint="eastAsia" w:hAnsi="宋体" w:cs="宋体"/>
          <w:color w:val="auto"/>
          <w:sz w:val="21"/>
          <w:szCs w:val="21"/>
          <w:highlight w:val="none"/>
        </w:rPr>
      </w:pPr>
      <w:r>
        <w:rPr>
          <w:rFonts w:hint="eastAsia" w:hAnsi="宋体" w:cs="宋体"/>
          <w:color w:val="auto"/>
          <w:sz w:val="21"/>
          <w:szCs w:val="21"/>
          <w:highlight w:val="none"/>
        </w:rPr>
        <w:t>（由供应商按《工程量清单》中工程完工服务及要求自行分别填写）</w:t>
      </w:r>
    </w:p>
    <w:p>
      <w:pPr>
        <w:pStyle w:val="11"/>
        <w:rPr>
          <w:rFonts w:hint="eastAsia" w:hAnsi="宋体" w:cs="宋体"/>
          <w:color w:val="auto"/>
          <w:sz w:val="21"/>
          <w:szCs w:val="21"/>
          <w:highlight w:val="none"/>
        </w:rPr>
      </w:pPr>
    </w:p>
    <w:p>
      <w:pPr>
        <w:widowControl/>
        <w:ind w:firstLine="1470" w:firstLineChars="700"/>
        <w:jc w:val="left"/>
        <w:rPr>
          <w:rFonts w:hint="eastAsia" w:ascii="宋体" w:hAnsi="宋体" w:eastAsia="宋体" w:cs="宋体"/>
          <w:color w:val="auto"/>
          <w:sz w:val="21"/>
          <w:szCs w:val="21"/>
          <w:highlight w:val="none"/>
          <w:lang w:eastAsia="zh-CN"/>
        </w:rPr>
      </w:pPr>
    </w:p>
    <w:p>
      <w:pPr>
        <w:widowControl/>
        <w:ind w:firstLine="1470" w:firstLineChars="700"/>
        <w:jc w:val="left"/>
        <w:rPr>
          <w:rFonts w:hint="eastAsia" w:ascii="宋体" w:hAnsi="宋体" w:eastAsia="宋体" w:cs="宋体"/>
          <w:color w:val="auto"/>
          <w:sz w:val="21"/>
          <w:szCs w:val="21"/>
          <w:highlight w:val="none"/>
          <w:lang w:eastAsia="zh-CN"/>
        </w:rPr>
      </w:pPr>
    </w:p>
    <w:p>
      <w:pPr>
        <w:widowControl/>
        <w:ind w:firstLine="1470" w:firstLineChars="7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，自然人</w:t>
      </w:r>
      <w:r>
        <w:rPr>
          <w:rFonts w:hint="eastAsia" w:ascii="宋体" w:hAnsi="宋体" w:eastAsia="宋体" w:cs="宋体"/>
          <w:color w:val="auto"/>
          <w:sz w:val="21"/>
          <w:szCs w:val="21"/>
          <w:highlight w:val="none"/>
          <w:lang w:eastAsia="zh-CN"/>
        </w:rPr>
        <w:t>签字或个人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1"/>
        <w:spacing w:line="300" w:lineRule="exact"/>
        <w:ind w:left="2940" w:leftChars="1400" w:firstLine="630" w:firstLineChars="300"/>
        <w:rPr>
          <w:rFonts w:hint="eastAsia" w:ascii="宋体" w:hAnsi="宋体" w:eastAsia="宋体" w:cs="宋体"/>
          <w:color w:val="auto"/>
          <w:sz w:val="21"/>
          <w:szCs w:val="21"/>
          <w:highlight w:val="none"/>
        </w:rPr>
      </w:pPr>
    </w:p>
    <w:p>
      <w:pPr>
        <w:ind w:firstLine="1470" w:firstLineChars="700"/>
        <w:rPr>
          <w:rFonts w:hint="eastAsia"/>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pStyle w:val="4"/>
        <w:rPr>
          <w:rFonts w:hint="eastAsia" w:ascii="宋体" w:hAnsi="宋体" w:eastAsia="宋体" w:cs="宋体"/>
          <w:b/>
          <w:color w:val="auto"/>
          <w:sz w:val="24"/>
          <w:szCs w:val="24"/>
          <w:highlight w:val="none"/>
          <w:lang w:val="en-US" w:eastAsia="zh-CN"/>
        </w:rPr>
      </w:pPr>
    </w:p>
    <w:p>
      <w:pPr>
        <w:pStyle w:val="4"/>
        <w:numPr>
          <w:ilvl w:val="0"/>
          <w:numId w:val="0"/>
        </w:numPr>
        <w:rPr>
          <w:rFonts w:hint="eastAsia" w:ascii="宋体" w:hAnsi="宋体" w:eastAsia="宋体" w:cs="宋体"/>
          <w:b/>
          <w:color w:val="auto"/>
          <w:sz w:val="24"/>
          <w:szCs w:val="24"/>
          <w:highlight w:val="none"/>
          <w:lang w:val="en-US" w:eastAsia="zh-CN"/>
        </w:rPr>
      </w:pPr>
      <w:bookmarkStart w:id="2038" w:name="_Toc32582"/>
      <w:bookmarkStart w:id="2039" w:name="_Toc24798"/>
      <w:bookmarkStart w:id="2040" w:name="_Toc28299"/>
      <w:r>
        <w:rPr>
          <w:rFonts w:hint="eastAsia" w:ascii="宋体" w:hAnsi="宋体" w:eastAsia="宋体" w:cs="宋体"/>
          <w:b/>
          <w:color w:val="auto"/>
          <w:sz w:val="24"/>
          <w:szCs w:val="24"/>
          <w:highlight w:val="none"/>
          <w:lang w:val="en-US" w:eastAsia="zh-CN"/>
        </w:rPr>
        <w:t>8.农民工工资保障金交纳与使用承诺书（必须提供）</w:t>
      </w:r>
      <w:bookmarkEnd w:id="2038"/>
      <w:bookmarkEnd w:id="2039"/>
      <w:r>
        <w:rPr>
          <w:rFonts w:hint="eastAsia" w:ascii="宋体" w:hAnsi="宋体" w:eastAsia="宋体" w:cs="宋体"/>
          <w:b/>
          <w:color w:val="auto"/>
          <w:sz w:val="24"/>
          <w:szCs w:val="24"/>
          <w:highlight w:val="none"/>
          <w:lang w:val="en-US" w:eastAsia="zh-CN"/>
        </w:rPr>
        <w:t>；</w:t>
      </w:r>
      <w:bookmarkEnd w:id="2040"/>
    </w:p>
    <w:p>
      <w:pPr>
        <w:spacing w:line="420" w:lineRule="exact"/>
        <w:ind w:firstLine="482" w:firstLineChars="200"/>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农民工工资保证金交纳与使用承诺书</w:t>
      </w:r>
      <w:r>
        <w:rPr>
          <w:rFonts w:hint="eastAsia" w:ascii="宋体" w:hAnsi="宋体" w:cs="宋体"/>
          <w:b/>
          <w:color w:val="auto"/>
          <w:kern w:val="0"/>
          <w:sz w:val="24"/>
          <w:szCs w:val="24"/>
          <w:highlight w:val="none"/>
          <w:lang w:val="en-US" w:eastAsia="zh-CN"/>
        </w:rPr>
        <w:t>（格式）</w:t>
      </w:r>
    </w:p>
    <w:p>
      <w:pPr>
        <w:spacing w:line="420" w:lineRule="exact"/>
        <w:rPr>
          <w:rFonts w:hint="eastAsia" w:ascii="宋体" w:hAnsi="宋体" w:cs="宋体"/>
          <w:color w:val="auto"/>
          <w:kern w:val="0"/>
          <w:sz w:val="24"/>
          <w:szCs w:val="24"/>
          <w:highlight w:val="none"/>
        </w:rPr>
      </w:pPr>
    </w:p>
    <w:p>
      <w:pPr>
        <w:spacing w:line="420" w:lineRule="exact"/>
        <w:rPr>
          <w:rFonts w:hint="eastAsia" w:ascii="宋体" w:hAnsi="宋体" w:cs="宋体"/>
          <w:b/>
          <w:color w:val="auto"/>
          <w:kern w:val="0"/>
          <w:sz w:val="21"/>
          <w:szCs w:val="21"/>
          <w:highlight w:val="none"/>
          <w:u w:val="single"/>
        </w:rPr>
      </w:pPr>
      <w:r>
        <w:rPr>
          <w:rFonts w:hint="eastAsia" w:ascii="宋体" w:hAnsi="宋体" w:cs="宋体"/>
          <w:color w:val="auto"/>
          <w:kern w:val="0"/>
          <w:sz w:val="21"/>
          <w:szCs w:val="21"/>
          <w:highlight w:val="none"/>
        </w:rPr>
        <w:t>致：</w:t>
      </w:r>
      <w:r>
        <w:rPr>
          <w:rFonts w:hint="eastAsia" w:ascii="宋体" w:hAnsi="宋体" w:cs="宋体"/>
          <w:color w:val="auto"/>
          <w:sz w:val="21"/>
          <w:szCs w:val="21"/>
          <w:highlight w:val="none"/>
          <w:u w:val="single"/>
          <w:lang w:eastAsia="zh-CN"/>
        </w:rPr>
        <w:t>广西鼎誉工程咨询有限公司</w:t>
      </w:r>
    </w:p>
    <w:p>
      <w:pPr>
        <w:spacing w:line="420" w:lineRule="exact"/>
        <w:ind w:firstLine="420" w:firstLineChars="20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我方在此承诺：</w:t>
      </w:r>
    </w:p>
    <w:p>
      <w:pPr>
        <w:spacing w:line="420" w:lineRule="exact"/>
        <w:ind w:firstLine="525" w:firstLineChars="250"/>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1.我方在本项目</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（项目名称及编号）响应文件递交截止之日前所承建工程中，无拖欠或克扣农民工工资的行为。</w:t>
      </w:r>
    </w:p>
    <w:p>
      <w:pPr>
        <w:spacing w:line="420" w:lineRule="exact"/>
        <w:ind w:firstLine="495"/>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2.我方参与</w:t>
      </w:r>
      <w:r>
        <w:rPr>
          <w:rFonts w:hint="eastAsia" w:ascii="宋体" w:hAnsi="宋体" w:cs="宋体"/>
          <w:color w:val="auto"/>
          <w:kern w:val="0"/>
          <w:sz w:val="21"/>
          <w:szCs w:val="21"/>
          <w:highlight w:val="none"/>
          <w:lang w:val="en-US" w:eastAsia="zh-CN"/>
        </w:rPr>
        <w:t>磋商</w:t>
      </w:r>
      <w:r>
        <w:rPr>
          <w:rFonts w:hint="eastAsia" w:ascii="宋体" w:hAnsi="宋体" w:cs="宋体"/>
          <w:color w:val="auto"/>
          <w:kern w:val="0"/>
          <w:sz w:val="21"/>
          <w:szCs w:val="21"/>
          <w:highlight w:val="none"/>
        </w:rPr>
        <w:t>的</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项目，一旦成交，我方保证在签订施工合同后，及时并足额将农民工工资保证金足额存入指定的账户，作为本项目农民工工资保证金。</w:t>
      </w:r>
    </w:p>
    <w:p>
      <w:pPr>
        <w:spacing w:line="420" w:lineRule="exact"/>
        <w:ind w:firstLine="495"/>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3.如我方在承包的</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项目中出现拖欠农民工和工人工资情况的，由相关部门从其农民工工资保证金中先予划支。</w:t>
      </w:r>
    </w:p>
    <w:p>
      <w:pPr>
        <w:numPr>
          <w:ilvl w:val="0"/>
          <w:numId w:val="0"/>
        </w:numPr>
        <w:ind w:leftChars="200"/>
        <w:rPr>
          <w:rFonts w:hint="eastAsia"/>
          <w:color w:val="auto"/>
          <w:sz w:val="21"/>
          <w:szCs w:val="21"/>
          <w:highlight w:val="none"/>
        </w:rPr>
      </w:pPr>
      <w:r>
        <w:rPr>
          <w:rFonts w:hint="eastAsia" w:ascii="宋体" w:hAnsi="宋体" w:cs="宋体"/>
          <w:color w:val="auto"/>
          <w:kern w:val="0"/>
          <w:sz w:val="21"/>
          <w:szCs w:val="21"/>
          <w:highlight w:val="none"/>
        </w:rPr>
        <w:t>4.如我方不按时、足额存入农民工工资保证金，采购人有权取消我方承包资格。</w:t>
      </w:r>
    </w:p>
    <w:p>
      <w:pPr>
        <w:pStyle w:val="11"/>
        <w:spacing w:line="340" w:lineRule="exact"/>
        <w:rPr>
          <w:rFonts w:hint="eastAsia" w:ascii="宋体" w:hAnsi="宋体" w:eastAsia="宋体" w:cs="宋体"/>
          <w:b/>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auto"/>
          <w:sz w:val="21"/>
          <w:szCs w:val="21"/>
          <w:highlight w:val="none"/>
        </w:rPr>
      </w:pPr>
      <w:bookmarkStart w:id="2041" w:name="_Toc28672"/>
      <w:bookmarkStart w:id="2042" w:name="_Toc497927084"/>
      <w:bookmarkStart w:id="2043" w:name="_Toc9339"/>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auto"/>
          <w:sz w:val="21"/>
          <w:szCs w:val="21"/>
          <w:highlight w:val="none"/>
        </w:rPr>
      </w:pPr>
    </w:p>
    <w:p>
      <w:pPr>
        <w:widowControl/>
        <w:ind w:firstLine="1470" w:firstLineChars="7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，自然人</w:t>
      </w:r>
      <w:r>
        <w:rPr>
          <w:rFonts w:hint="eastAsia" w:ascii="宋体" w:hAnsi="宋体" w:eastAsia="宋体" w:cs="宋体"/>
          <w:color w:val="auto"/>
          <w:sz w:val="21"/>
          <w:szCs w:val="21"/>
          <w:highlight w:val="none"/>
          <w:lang w:eastAsia="zh-CN"/>
        </w:rPr>
        <w:t>签字或个人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1"/>
        <w:spacing w:line="300" w:lineRule="exact"/>
        <w:ind w:left="2940" w:leftChars="1400" w:firstLine="630" w:firstLineChars="300"/>
        <w:rPr>
          <w:rFonts w:hint="eastAsia" w:ascii="宋体" w:hAnsi="宋体" w:eastAsia="宋体" w:cs="宋体"/>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pStyle w:val="4"/>
        <w:numPr>
          <w:ilvl w:val="0"/>
          <w:numId w:val="0"/>
        </w:numPr>
        <w:rPr>
          <w:rFonts w:hint="eastAsia" w:ascii="宋体" w:hAnsi="宋体" w:eastAsia="宋体" w:cs="宋体"/>
          <w:b/>
          <w:color w:val="auto"/>
          <w:sz w:val="24"/>
          <w:szCs w:val="24"/>
          <w:highlight w:val="none"/>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400" w:lineRule="exact"/>
        <w:textAlignment w:val="auto"/>
        <w:rPr>
          <w:rFonts w:hint="eastAsia" w:ascii="宋体" w:hAnsi="宋体" w:eastAsia="宋体" w:cs="宋体"/>
          <w:b/>
          <w:color w:val="auto"/>
          <w:sz w:val="24"/>
          <w:szCs w:val="24"/>
          <w:highlight w:val="none"/>
          <w:lang w:val="en-US" w:eastAsia="zh-CN"/>
        </w:rPr>
      </w:pPr>
      <w:bookmarkStart w:id="2044" w:name="_Toc21352"/>
      <w:bookmarkStart w:id="2045" w:name="_Toc10529"/>
      <w:bookmarkStart w:id="2046" w:name="_Toc19665"/>
      <w:r>
        <w:rPr>
          <w:rFonts w:hint="eastAsia" w:ascii="宋体" w:hAnsi="宋体" w:eastAsia="宋体" w:cs="宋体"/>
          <w:b/>
          <w:color w:val="auto"/>
          <w:sz w:val="24"/>
          <w:szCs w:val="24"/>
          <w:highlight w:val="none"/>
          <w:lang w:val="en-US" w:eastAsia="zh-CN"/>
        </w:rPr>
        <w:t>9.城乡清洁工程渣土清运承诺书（必须提供）。</w:t>
      </w:r>
      <w:bookmarkEnd w:id="2044"/>
      <w:bookmarkEnd w:id="2045"/>
      <w:bookmarkEnd w:id="2046"/>
    </w:p>
    <w:p>
      <w:pPr>
        <w:widowControl w:val="0"/>
        <w:numPr>
          <w:ilvl w:val="0"/>
          <w:numId w:val="0"/>
        </w:numPr>
        <w:jc w:val="both"/>
        <w:rPr>
          <w:rFonts w:hint="eastAsia"/>
          <w:color w:val="auto"/>
          <w:sz w:val="24"/>
          <w:szCs w:val="24"/>
          <w:highlight w:val="none"/>
        </w:rPr>
      </w:pPr>
    </w:p>
    <w:p>
      <w:pPr>
        <w:rPr>
          <w:rFonts w:hint="eastAsia"/>
          <w:color w:val="auto"/>
          <w:sz w:val="24"/>
          <w:szCs w:val="24"/>
          <w:highlight w:val="none"/>
        </w:rPr>
      </w:pPr>
    </w:p>
    <w:p>
      <w:pPr>
        <w:pStyle w:val="6"/>
        <w:numPr>
          <w:ilvl w:val="0"/>
          <w:numId w:val="0"/>
        </w:numPr>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（三）其他有效证明材料目录</w:t>
      </w:r>
      <w:bookmarkEnd w:id="2041"/>
      <w:bookmarkEnd w:id="2042"/>
      <w:bookmarkEnd w:id="2043"/>
    </w:p>
    <w:p>
      <w:pPr>
        <w:pStyle w:val="23"/>
        <w:rPr>
          <w:rFonts w:hint="eastAsia"/>
          <w:color w:val="auto"/>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u w:val="none"/>
          <w:lang w:eastAsia="zh-CN"/>
        </w:rPr>
        <w:t>20</w:t>
      </w:r>
      <w:r>
        <w:rPr>
          <w:rFonts w:hint="eastAsia" w:ascii="宋体" w:hAnsi="宋体" w:eastAsia="宋体" w:cs="宋体"/>
          <w:color w:val="auto"/>
          <w:sz w:val="21"/>
          <w:szCs w:val="21"/>
          <w:highlight w:val="none"/>
          <w:u w:val="none"/>
          <w:lang w:val="en-US" w:eastAsia="zh-CN"/>
        </w:rPr>
        <w:t>20</w:t>
      </w:r>
      <w:r>
        <w:rPr>
          <w:rFonts w:hint="eastAsia" w:ascii="宋体" w:hAnsi="宋体" w:eastAsia="宋体" w:cs="宋体"/>
          <w:color w:val="auto"/>
          <w:sz w:val="21"/>
          <w:szCs w:val="21"/>
          <w:highlight w:val="none"/>
          <w:u w:val="none"/>
          <w:lang w:eastAsia="zh-CN"/>
        </w:rPr>
        <w:t>年1月1日</w:t>
      </w:r>
      <w:r>
        <w:rPr>
          <w:rFonts w:hint="eastAsia" w:ascii="宋体" w:hAnsi="宋体" w:eastAsia="宋体" w:cs="宋体"/>
          <w:color w:val="auto"/>
          <w:sz w:val="21"/>
          <w:szCs w:val="21"/>
          <w:highlight w:val="none"/>
          <w:u w:val="none"/>
          <w:lang w:eastAsia="zh-CN"/>
        </w:rPr>
        <w:t>以来具有同类项目</w:t>
      </w:r>
      <w:r>
        <w:rPr>
          <w:rFonts w:hint="eastAsia" w:ascii="宋体" w:hAnsi="宋体" w:eastAsia="宋体" w:cs="宋体"/>
          <w:color w:val="auto"/>
          <w:sz w:val="21"/>
          <w:szCs w:val="21"/>
          <w:highlight w:val="none"/>
          <w:u w:val="none"/>
        </w:rPr>
        <w:t>的业绩相关证明材料</w:t>
      </w:r>
      <w:r>
        <w:rPr>
          <w:rFonts w:hint="eastAsia" w:ascii="宋体" w:hAnsi="宋体" w:eastAsia="宋体" w:cs="宋体"/>
          <w:color w:val="auto"/>
          <w:sz w:val="21"/>
          <w:szCs w:val="21"/>
          <w:highlight w:val="none"/>
        </w:rPr>
        <w:t>（无不良记录，以中标、成交通知书或签订的合同为准，并能清晰反映</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的名称、</w:t>
      </w:r>
      <w:r>
        <w:rPr>
          <w:rFonts w:hint="eastAsia" w:ascii="宋体" w:hAnsi="宋体" w:eastAsia="宋体" w:cs="宋体"/>
          <w:color w:val="auto"/>
          <w:sz w:val="21"/>
          <w:szCs w:val="21"/>
          <w:highlight w:val="none"/>
          <w:lang w:eastAsia="zh-CN"/>
        </w:rPr>
        <w:t>采购内容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eastAsia="zh-CN"/>
        </w:rPr>
        <w:t>、采购时间</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（如有，请提供）；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2.如提供服务的供应商属于监狱企业的，应当提供由省级以上监狱管理局、戒毒管理局等（含新疆生产建设兵团）出具的属于监狱企业的证明文件</w:t>
      </w:r>
      <w:r>
        <w:rPr>
          <w:rFonts w:hint="eastAsia" w:ascii="宋体" w:hAnsi="宋体" w:eastAsia="宋体" w:cs="宋体"/>
          <w:b/>
          <w:bCs/>
          <w:color w:val="auto"/>
          <w:sz w:val="21"/>
          <w:szCs w:val="21"/>
          <w:highlight w:val="none"/>
        </w:rPr>
        <w:t>（如有，请提供）</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3.符合条件的残疾人福利性单位在参加政府采购活动时，应当提供《残疾人福利性单位声明函》（见附件），并对声明的真实性负责；</w:t>
      </w:r>
      <w:r>
        <w:rPr>
          <w:rFonts w:hint="eastAsia" w:ascii="宋体" w:hAnsi="宋体" w:eastAsia="宋体" w:cs="宋体"/>
          <w:b/>
          <w:bCs/>
          <w:color w:val="auto"/>
          <w:sz w:val="21"/>
          <w:szCs w:val="21"/>
          <w:highlight w:val="none"/>
        </w:rPr>
        <w:t>（如有，请提供）</w:t>
      </w:r>
      <w:r>
        <w:rPr>
          <w:rFonts w:hint="eastAsia" w:ascii="宋体" w:hAnsi="宋体" w:eastAsia="宋体" w:cs="宋体"/>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供应商可结合本项目的评审办法视自身情况自行提交其它相关证明材料。</w:t>
      </w:r>
    </w:p>
    <w:p>
      <w:pPr>
        <w:spacing w:line="360" w:lineRule="auto"/>
        <w:ind w:firstLine="480" w:firstLineChars="200"/>
        <w:rPr>
          <w:rFonts w:hint="eastAsia" w:ascii="宋体" w:hAnsi="宋体" w:eastAsia="宋体" w:cs="宋体"/>
          <w:color w:val="auto"/>
          <w:sz w:val="24"/>
          <w:szCs w:val="24"/>
          <w:highlight w:val="none"/>
        </w:rPr>
      </w:pPr>
    </w:p>
    <w:p>
      <w:pPr>
        <w:pStyle w:val="24"/>
        <w:rPr>
          <w:rFonts w:hint="eastAsia" w:ascii="宋体" w:hAnsi="宋体" w:eastAsia="宋体" w:cs="宋体"/>
          <w:b/>
          <w:bCs/>
          <w:color w:val="auto"/>
          <w:sz w:val="24"/>
          <w:szCs w:val="24"/>
          <w:highlight w:val="none"/>
        </w:rPr>
      </w:pPr>
    </w:p>
    <w:p>
      <w:pPr>
        <w:pStyle w:val="24"/>
        <w:rPr>
          <w:rFonts w:hint="eastAsia" w:ascii="宋体" w:hAnsi="宋体" w:eastAsia="宋体" w:cs="宋体"/>
          <w:b/>
          <w:bCs/>
          <w:color w:val="auto"/>
          <w:sz w:val="24"/>
          <w:szCs w:val="24"/>
          <w:highlight w:val="none"/>
        </w:rPr>
      </w:pPr>
    </w:p>
    <w:p>
      <w:pPr>
        <w:pStyle w:val="24"/>
        <w:rPr>
          <w:rFonts w:hint="eastAsia" w:ascii="宋体" w:hAnsi="宋体" w:eastAsia="宋体" w:cs="宋体"/>
          <w:b/>
          <w:bCs/>
          <w:color w:val="auto"/>
          <w:sz w:val="24"/>
          <w:szCs w:val="24"/>
          <w:highlight w:val="none"/>
        </w:rPr>
      </w:pPr>
    </w:p>
    <w:p>
      <w:pPr>
        <w:pStyle w:val="24"/>
        <w:rPr>
          <w:rFonts w:hint="eastAsia" w:ascii="宋体" w:hAnsi="宋体" w:eastAsia="宋体" w:cs="宋体"/>
          <w:b/>
          <w:bCs/>
          <w:color w:val="auto"/>
          <w:sz w:val="24"/>
          <w:szCs w:val="24"/>
          <w:highlight w:val="none"/>
        </w:rPr>
      </w:pPr>
    </w:p>
    <w:p>
      <w:pPr>
        <w:pStyle w:val="24"/>
        <w:rPr>
          <w:rFonts w:hint="eastAsia" w:ascii="宋体" w:hAnsi="宋体" w:eastAsia="宋体" w:cs="宋体"/>
          <w:b/>
          <w:bCs/>
          <w:color w:val="auto"/>
          <w:sz w:val="24"/>
          <w:szCs w:val="24"/>
          <w:highlight w:val="none"/>
        </w:rPr>
      </w:pPr>
    </w:p>
    <w:p>
      <w:pPr>
        <w:pStyle w:val="24"/>
        <w:rPr>
          <w:rFonts w:hint="eastAsia" w:ascii="宋体" w:hAnsi="宋体" w:eastAsia="宋体" w:cs="宋体"/>
          <w:b/>
          <w:bCs/>
          <w:color w:val="auto"/>
          <w:sz w:val="24"/>
          <w:szCs w:val="24"/>
          <w:highlight w:val="none"/>
        </w:rPr>
      </w:pPr>
    </w:p>
    <w:p>
      <w:pPr>
        <w:pStyle w:val="24"/>
        <w:rPr>
          <w:rFonts w:hint="eastAsia" w:ascii="宋体" w:hAnsi="宋体" w:eastAsia="宋体" w:cs="宋体"/>
          <w:b/>
          <w:bCs/>
          <w:color w:val="auto"/>
          <w:sz w:val="24"/>
          <w:szCs w:val="24"/>
          <w:highlight w:val="none"/>
        </w:rPr>
      </w:pPr>
    </w:p>
    <w:p>
      <w:pPr>
        <w:pStyle w:val="24"/>
        <w:rPr>
          <w:rFonts w:hint="eastAsia" w:ascii="宋体" w:hAnsi="宋体" w:eastAsia="宋体" w:cs="宋体"/>
          <w:b/>
          <w:bCs/>
          <w:color w:val="auto"/>
          <w:sz w:val="24"/>
          <w:szCs w:val="24"/>
          <w:highlight w:val="none"/>
        </w:rPr>
      </w:pPr>
    </w:p>
    <w:p>
      <w:pPr>
        <w:pStyle w:val="24"/>
        <w:rPr>
          <w:rFonts w:hint="eastAsia" w:ascii="宋体" w:hAnsi="宋体" w:eastAsia="宋体" w:cs="宋体"/>
          <w:b/>
          <w:bCs/>
          <w:color w:val="auto"/>
          <w:sz w:val="24"/>
          <w:szCs w:val="24"/>
          <w:highlight w:val="none"/>
        </w:rPr>
      </w:pPr>
    </w:p>
    <w:p>
      <w:pPr>
        <w:pStyle w:val="24"/>
        <w:rPr>
          <w:rFonts w:hint="eastAsia" w:ascii="宋体" w:hAnsi="宋体" w:eastAsia="宋体" w:cs="宋体"/>
          <w:b/>
          <w:bCs/>
          <w:color w:val="auto"/>
          <w:sz w:val="24"/>
          <w:szCs w:val="24"/>
          <w:highlight w:val="none"/>
        </w:rPr>
      </w:pPr>
    </w:p>
    <w:p>
      <w:pPr>
        <w:pStyle w:val="24"/>
        <w:rPr>
          <w:rFonts w:hint="eastAsia" w:ascii="宋体" w:hAnsi="宋体" w:eastAsia="宋体" w:cs="宋体"/>
          <w:b/>
          <w:bCs/>
          <w:color w:val="auto"/>
          <w:sz w:val="24"/>
          <w:szCs w:val="24"/>
          <w:highlight w:val="none"/>
        </w:rPr>
      </w:pPr>
    </w:p>
    <w:p>
      <w:pPr>
        <w:pStyle w:val="2"/>
        <w:rPr>
          <w:rFonts w:hint="eastAsia" w:ascii="宋体" w:hAnsi="宋体" w:eastAsia="宋体" w:cs="宋体"/>
          <w:b/>
          <w:bCs/>
          <w:iCs/>
          <w:color w:val="auto"/>
          <w:kern w:val="2"/>
          <w:sz w:val="24"/>
          <w:szCs w:val="24"/>
          <w:highlight w:val="none"/>
          <w:lang w:val="en-US" w:eastAsia="zh-CN" w:bidi="ar-SA"/>
        </w:rPr>
      </w:pPr>
    </w:p>
    <w:p>
      <w:pPr>
        <w:spacing w:line="240" w:lineRule="auto"/>
        <w:rPr>
          <w:rFonts w:hint="eastAsia" w:ascii="宋体" w:hAnsi="宋体" w:eastAsia="宋体" w:cs="宋体"/>
          <w:b/>
          <w:bCs/>
          <w:iCs/>
          <w:color w:val="auto"/>
          <w:kern w:val="2"/>
          <w:sz w:val="24"/>
          <w:szCs w:val="24"/>
          <w:highlight w:val="none"/>
          <w:lang w:val="en-US" w:eastAsia="zh-CN" w:bidi="ar-SA"/>
        </w:rPr>
      </w:pPr>
    </w:p>
    <w:p>
      <w:pPr>
        <w:spacing w:line="240" w:lineRule="auto"/>
        <w:rPr>
          <w:rFonts w:hint="eastAsia" w:ascii="宋体" w:hAnsi="宋体" w:eastAsia="宋体" w:cs="宋体"/>
          <w:b/>
          <w:bCs/>
          <w:iCs/>
          <w:color w:val="auto"/>
          <w:kern w:val="2"/>
          <w:sz w:val="24"/>
          <w:szCs w:val="24"/>
          <w:highlight w:val="none"/>
          <w:lang w:val="en-US" w:eastAsia="zh-CN" w:bidi="ar-SA"/>
        </w:rPr>
      </w:pPr>
    </w:p>
    <w:p>
      <w:pPr>
        <w:pStyle w:val="2"/>
        <w:rPr>
          <w:rFonts w:hint="eastAsia" w:ascii="宋体" w:hAnsi="宋体" w:eastAsia="宋体" w:cs="宋体"/>
          <w:b/>
          <w:bCs/>
          <w:iCs/>
          <w:color w:val="auto"/>
          <w:kern w:val="2"/>
          <w:sz w:val="24"/>
          <w:szCs w:val="24"/>
          <w:highlight w:val="none"/>
          <w:lang w:val="en-US" w:eastAsia="zh-CN" w:bidi="ar-SA"/>
        </w:rPr>
      </w:pPr>
    </w:p>
    <w:p>
      <w:pPr>
        <w:rPr>
          <w:rFonts w:hint="eastAsia" w:ascii="宋体" w:hAnsi="宋体" w:eastAsia="宋体" w:cs="宋体"/>
          <w:b/>
          <w:bCs/>
          <w:iCs/>
          <w:color w:val="auto"/>
          <w:kern w:val="2"/>
          <w:sz w:val="24"/>
          <w:szCs w:val="24"/>
          <w:highlight w:val="none"/>
          <w:lang w:val="en-US" w:eastAsia="zh-CN" w:bidi="ar-SA"/>
        </w:rPr>
      </w:pPr>
    </w:p>
    <w:p>
      <w:pPr>
        <w:pStyle w:val="2"/>
        <w:rPr>
          <w:rFonts w:hint="eastAsia" w:ascii="宋体" w:hAnsi="宋体" w:eastAsia="宋体" w:cs="宋体"/>
          <w:b/>
          <w:bCs/>
          <w:iCs/>
          <w:color w:val="auto"/>
          <w:kern w:val="2"/>
          <w:sz w:val="24"/>
          <w:szCs w:val="24"/>
          <w:highlight w:val="none"/>
          <w:lang w:val="en-US" w:eastAsia="zh-CN" w:bidi="ar-SA"/>
        </w:rPr>
      </w:pPr>
    </w:p>
    <w:p>
      <w:pPr>
        <w:rPr>
          <w:rFonts w:hint="eastAsia" w:ascii="宋体" w:hAnsi="宋体" w:eastAsia="宋体" w:cs="宋体"/>
          <w:b/>
          <w:bCs/>
          <w:iCs/>
          <w:color w:val="auto"/>
          <w:kern w:val="2"/>
          <w:sz w:val="24"/>
          <w:szCs w:val="24"/>
          <w:highlight w:val="none"/>
          <w:lang w:val="en-US" w:eastAsia="zh-CN" w:bidi="ar-SA"/>
        </w:rPr>
      </w:pPr>
    </w:p>
    <w:p>
      <w:pPr>
        <w:pStyle w:val="2"/>
        <w:rPr>
          <w:rFonts w:hint="eastAsia" w:ascii="宋体" w:hAnsi="宋体" w:eastAsia="宋体" w:cs="宋体"/>
          <w:b/>
          <w:bCs/>
          <w:iCs/>
          <w:color w:val="auto"/>
          <w:kern w:val="2"/>
          <w:sz w:val="24"/>
          <w:szCs w:val="24"/>
          <w:highlight w:val="none"/>
          <w:lang w:val="en-US" w:eastAsia="zh-CN" w:bidi="ar-SA"/>
        </w:rPr>
      </w:pPr>
    </w:p>
    <w:p>
      <w:pPr>
        <w:rPr>
          <w:rFonts w:hint="eastAsia" w:ascii="宋体" w:hAnsi="宋体" w:eastAsia="宋体" w:cs="宋体"/>
          <w:b/>
          <w:bCs/>
          <w:iCs/>
          <w:color w:val="auto"/>
          <w:kern w:val="2"/>
          <w:sz w:val="24"/>
          <w:szCs w:val="24"/>
          <w:highlight w:val="none"/>
          <w:lang w:val="en-US" w:eastAsia="zh-CN" w:bidi="ar-SA"/>
        </w:rPr>
      </w:pPr>
    </w:p>
    <w:p>
      <w:pPr>
        <w:pStyle w:val="2"/>
        <w:rPr>
          <w:rFonts w:hint="eastAsia" w:ascii="宋体" w:hAnsi="宋体" w:eastAsia="宋体" w:cs="宋体"/>
          <w:b/>
          <w:bCs/>
          <w:iCs/>
          <w:color w:val="auto"/>
          <w:kern w:val="2"/>
          <w:sz w:val="24"/>
          <w:szCs w:val="24"/>
          <w:highlight w:val="none"/>
          <w:lang w:val="en-US" w:eastAsia="zh-CN" w:bidi="ar-SA"/>
        </w:rPr>
      </w:pPr>
    </w:p>
    <w:p>
      <w:pPr>
        <w:rPr>
          <w:rFonts w:hint="eastAsia" w:ascii="宋体" w:hAnsi="宋体" w:eastAsia="宋体" w:cs="宋体"/>
          <w:b/>
          <w:bCs/>
          <w:iCs/>
          <w:color w:val="auto"/>
          <w:kern w:val="2"/>
          <w:sz w:val="24"/>
          <w:szCs w:val="24"/>
          <w:highlight w:val="none"/>
          <w:lang w:val="en-US" w:eastAsia="zh-CN" w:bidi="ar-SA"/>
        </w:rPr>
      </w:pPr>
    </w:p>
    <w:p>
      <w:pPr>
        <w:pStyle w:val="2"/>
        <w:rPr>
          <w:rFonts w:hint="eastAsia" w:ascii="宋体" w:hAnsi="宋体" w:eastAsia="宋体" w:cs="宋体"/>
          <w:b/>
          <w:bCs/>
          <w:iCs/>
          <w:color w:val="auto"/>
          <w:kern w:val="2"/>
          <w:sz w:val="24"/>
          <w:szCs w:val="24"/>
          <w:highlight w:val="none"/>
          <w:lang w:val="en-US" w:eastAsia="zh-CN" w:bidi="ar-SA"/>
        </w:rPr>
      </w:pPr>
    </w:p>
    <w:p>
      <w:pPr>
        <w:rPr>
          <w:rFonts w:hint="eastAsia" w:ascii="宋体" w:hAnsi="宋体" w:eastAsia="宋体" w:cs="宋体"/>
          <w:b/>
          <w:bCs/>
          <w:iCs/>
          <w:color w:val="auto"/>
          <w:kern w:val="2"/>
          <w:sz w:val="24"/>
          <w:szCs w:val="24"/>
          <w:highlight w:val="none"/>
          <w:lang w:val="en-US" w:eastAsia="zh-CN" w:bidi="ar-SA"/>
        </w:rPr>
      </w:pPr>
    </w:p>
    <w:p>
      <w:pPr>
        <w:pStyle w:val="2"/>
        <w:rPr>
          <w:rFonts w:hint="eastAsia" w:ascii="宋体" w:hAnsi="宋体" w:eastAsia="宋体" w:cs="宋体"/>
          <w:b/>
          <w:bCs/>
          <w:iCs/>
          <w:color w:val="auto"/>
          <w:kern w:val="2"/>
          <w:sz w:val="24"/>
          <w:szCs w:val="24"/>
          <w:highlight w:val="none"/>
          <w:lang w:val="en-US" w:eastAsia="zh-CN" w:bidi="ar-SA"/>
        </w:rPr>
      </w:pPr>
    </w:p>
    <w:p>
      <w:pPr>
        <w:rPr>
          <w:rFonts w:hint="eastAsia" w:ascii="宋体" w:hAnsi="宋体" w:eastAsia="宋体" w:cs="宋体"/>
          <w:b/>
          <w:bCs/>
          <w:iCs/>
          <w:color w:val="auto"/>
          <w:kern w:val="2"/>
          <w:sz w:val="24"/>
          <w:szCs w:val="24"/>
          <w:highlight w:val="none"/>
          <w:lang w:val="en-US" w:eastAsia="zh-CN" w:bidi="ar-SA"/>
        </w:rPr>
      </w:pPr>
    </w:p>
    <w:p>
      <w:pPr>
        <w:pStyle w:val="2"/>
        <w:rPr>
          <w:rFonts w:hint="eastAsia" w:ascii="宋体" w:hAnsi="宋体" w:eastAsia="宋体" w:cs="宋体"/>
          <w:b/>
          <w:bCs/>
          <w:iCs/>
          <w:color w:val="auto"/>
          <w:kern w:val="2"/>
          <w:sz w:val="24"/>
          <w:szCs w:val="24"/>
          <w:highlight w:val="none"/>
          <w:lang w:val="en-US" w:eastAsia="zh-CN" w:bidi="ar-SA"/>
        </w:rPr>
      </w:pPr>
    </w:p>
    <w:p>
      <w:pPr>
        <w:rPr>
          <w:rFonts w:hint="eastAsia"/>
          <w:color w:val="auto"/>
          <w:highlight w:val="none"/>
          <w:lang w:val="en-US" w:eastAsia="zh-CN"/>
        </w:rPr>
      </w:pPr>
    </w:p>
    <w:p>
      <w:pPr>
        <w:spacing w:line="240" w:lineRule="auto"/>
        <w:rPr>
          <w:rFonts w:hint="eastAsia" w:ascii="宋体" w:hAnsi="宋体" w:cs="宋体"/>
          <w:b/>
          <w:bCs/>
          <w:iCs/>
          <w:color w:val="auto"/>
          <w:kern w:val="2"/>
          <w:sz w:val="24"/>
          <w:szCs w:val="24"/>
          <w:highlight w:val="none"/>
          <w:lang w:val="en-US" w:eastAsia="zh-CN" w:bidi="ar-SA"/>
        </w:rPr>
      </w:pPr>
      <w:r>
        <w:rPr>
          <w:rFonts w:hint="eastAsia" w:ascii="宋体" w:hAnsi="宋体" w:cs="宋体"/>
          <w:b/>
          <w:bCs/>
          <w:iCs/>
          <w:color w:val="auto"/>
          <w:kern w:val="2"/>
          <w:sz w:val="24"/>
          <w:szCs w:val="24"/>
          <w:highlight w:val="none"/>
          <w:lang w:val="en-US" w:eastAsia="zh-CN" w:bidi="ar-SA"/>
        </w:rPr>
        <w:t>1.供应商2020年1月1日以来具有同类项目的业绩相关证明材料（无不良记录，以中标、成交通知书或签订的合同为准，并能清晰反映项目的名称、采购内容、采购金额、采购时间）（如有，请提供）</w:t>
      </w:r>
    </w:p>
    <w:p>
      <w:pPr>
        <w:spacing w:line="240" w:lineRule="auto"/>
        <w:rPr>
          <w:rFonts w:hint="eastAsia" w:ascii="宋体" w:hAnsi="宋体" w:cs="宋体"/>
          <w:b/>
          <w:bCs/>
          <w:iCs/>
          <w:color w:val="auto"/>
          <w:kern w:val="2"/>
          <w:sz w:val="24"/>
          <w:szCs w:val="24"/>
          <w:highlight w:val="none"/>
          <w:lang w:val="en-US" w:eastAsia="zh-CN" w:bidi="ar-SA"/>
        </w:rPr>
      </w:pPr>
    </w:p>
    <w:p>
      <w:pPr>
        <w:spacing w:line="240" w:lineRule="auto"/>
        <w:rPr>
          <w:rFonts w:hint="eastAsia" w:ascii="宋体" w:hAnsi="宋体" w:cs="宋体"/>
          <w:b/>
          <w:bCs/>
          <w:iCs/>
          <w:color w:val="auto"/>
          <w:kern w:val="2"/>
          <w:sz w:val="24"/>
          <w:szCs w:val="24"/>
          <w:highlight w:val="none"/>
          <w:lang w:val="en-US" w:eastAsia="zh-CN" w:bidi="ar-SA"/>
        </w:rPr>
      </w:pPr>
    </w:p>
    <w:p>
      <w:pPr>
        <w:spacing w:line="240" w:lineRule="auto"/>
        <w:rPr>
          <w:rFonts w:hint="eastAsia" w:ascii="宋体" w:hAnsi="宋体" w:eastAsia="宋体" w:cs="宋体"/>
          <w:b/>
          <w:bCs/>
          <w:iCs/>
          <w:color w:val="auto"/>
          <w:kern w:val="2"/>
          <w:sz w:val="24"/>
          <w:szCs w:val="24"/>
          <w:highlight w:val="none"/>
          <w:lang w:val="en-US" w:eastAsia="zh-CN" w:bidi="ar-SA"/>
        </w:rPr>
      </w:pPr>
      <w:r>
        <w:rPr>
          <w:rFonts w:hint="eastAsia" w:ascii="宋体" w:hAnsi="宋体" w:cs="宋体"/>
          <w:b/>
          <w:bCs/>
          <w:iCs/>
          <w:color w:val="auto"/>
          <w:kern w:val="2"/>
          <w:sz w:val="24"/>
          <w:szCs w:val="24"/>
          <w:highlight w:val="none"/>
          <w:lang w:val="en-US" w:eastAsia="zh-CN" w:bidi="ar-SA"/>
        </w:rPr>
        <w:t>2</w:t>
      </w:r>
      <w:r>
        <w:rPr>
          <w:rFonts w:hint="eastAsia" w:ascii="宋体" w:hAnsi="宋体" w:eastAsia="宋体" w:cs="宋体"/>
          <w:b/>
          <w:bCs/>
          <w:iCs/>
          <w:color w:val="auto"/>
          <w:kern w:val="2"/>
          <w:sz w:val="24"/>
          <w:szCs w:val="24"/>
          <w:highlight w:val="none"/>
          <w:lang w:val="en-US" w:eastAsia="zh-CN" w:bidi="ar-SA"/>
        </w:rPr>
        <w:t>.监狱企业的证明文件[供应商如为监狱企业的，应当提供由省级以上监狱管理局、戒毒管理局（含新疆生产建设兵团）出具的属于监狱企业的证明文件, 否则不予享受优惠政策]（如有，请提供）；</w:t>
      </w:r>
    </w:p>
    <w:p>
      <w:pPr>
        <w:spacing w:line="240" w:lineRule="auto"/>
        <w:rPr>
          <w:rFonts w:hint="eastAsia" w:ascii="宋体" w:hAnsi="宋体" w:eastAsia="宋体" w:cs="宋体"/>
          <w:b/>
          <w:bCs/>
          <w:iCs/>
          <w:color w:val="auto"/>
          <w:kern w:val="2"/>
          <w:sz w:val="24"/>
          <w:szCs w:val="24"/>
          <w:highlight w:val="none"/>
          <w:lang w:val="en-US" w:eastAsia="zh-CN" w:bidi="ar-SA"/>
        </w:rPr>
      </w:pPr>
    </w:p>
    <w:p>
      <w:pPr>
        <w:spacing w:line="240" w:lineRule="auto"/>
        <w:rPr>
          <w:rFonts w:hint="eastAsia" w:ascii="宋体" w:hAnsi="宋体" w:eastAsia="宋体" w:cs="宋体"/>
          <w:b/>
          <w:bCs/>
          <w:iCs/>
          <w:color w:val="auto"/>
          <w:kern w:val="2"/>
          <w:sz w:val="24"/>
          <w:szCs w:val="24"/>
          <w:highlight w:val="none"/>
          <w:lang w:val="en-US" w:eastAsia="zh-CN" w:bidi="ar-SA"/>
        </w:rPr>
      </w:pPr>
    </w:p>
    <w:p>
      <w:pPr>
        <w:spacing w:line="240" w:lineRule="auto"/>
        <w:rPr>
          <w:rFonts w:hint="eastAsia" w:ascii="宋体" w:hAnsi="宋体" w:eastAsia="宋体" w:cs="宋体"/>
          <w:b/>
          <w:bCs/>
          <w:iCs/>
          <w:color w:val="auto"/>
          <w:kern w:val="2"/>
          <w:sz w:val="24"/>
          <w:szCs w:val="24"/>
          <w:highlight w:val="none"/>
          <w:lang w:val="en-US" w:eastAsia="zh-CN" w:bidi="ar-SA"/>
        </w:rPr>
      </w:pPr>
    </w:p>
    <w:p>
      <w:pPr>
        <w:spacing w:line="240" w:lineRule="auto"/>
        <w:rPr>
          <w:rFonts w:hint="eastAsia" w:ascii="宋体" w:hAnsi="宋体" w:eastAsia="宋体" w:cs="宋体"/>
          <w:b/>
          <w:bCs/>
          <w:iCs/>
          <w:color w:val="auto"/>
          <w:kern w:val="2"/>
          <w:sz w:val="24"/>
          <w:szCs w:val="24"/>
          <w:highlight w:val="none"/>
          <w:lang w:val="en-US" w:eastAsia="zh-CN" w:bidi="ar-SA"/>
        </w:rPr>
      </w:pPr>
      <w:r>
        <w:rPr>
          <w:rFonts w:hint="eastAsia" w:ascii="宋体" w:hAnsi="宋体" w:cs="宋体"/>
          <w:b/>
          <w:bCs/>
          <w:iCs/>
          <w:color w:val="auto"/>
          <w:kern w:val="2"/>
          <w:sz w:val="24"/>
          <w:szCs w:val="24"/>
          <w:highlight w:val="none"/>
          <w:lang w:val="en-US" w:eastAsia="zh-CN" w:bidi="ar-SA"/>
        </w:rPr>
        <w:t>3</w:t>
      </w:r>
      <w:r>
        <w:rPr>
          <w:rFonts w:hint="eastAsia" w:ascii="宋体" w:hAnsi="宋体" w:eastAsia="宋体" w:cs="宋体"/>
          <w:b/>
          <w:bCs/>
          <w:iCs/>
          <w:color w:val="auto"/>
          <w:kern w:val="2"/>
          <w:sz w:val="24"/>
          <w:szCs w:val="24"/>
          <w:highlight w:val="none"/>
          <w:lang w:val="en-US" w:eastAsia="zh-CN" w:bidi="ar-SA"/>
        </w:rPr>
        <w:t>.《残疾人福利性单位声明函》【符合条件的残疾人福利性单位在参加政府采购活动时，应当提供《残疾人福利性单位声明函》（格式见附件），并对声明的真实性负责，成交结果将同时公告企业《残疾人福利性单位声明函》，接受社会监督】（如有，请提供）；</w:t>
      </w:r>
    </w:p>
    <w:p>
      <w:pPr>
        <w:ind w:firstLine="354" w:firstLineChars="147"/>
        <w:rPr>
          <w:rFonts w:hint="eastAsia" w:ascii="宋体" w:hAnsi="宋体" w:eastAsia="宋体" w:cs="宋体"/>
          <w:b/>
          <w:color w:val="auto"/>
          <w:kern w:val="0"/>
          <w:sz w:val="24"/>
          <w:szCs w:val="24"/>
          <w:highlight w:val="none"/>
        </w:rPr>
      </w:pPr>
    </w:p>
    <w:p>
      <w:pPr>
        <w:ind w:firstLine="354" w:firstLineChars="147"/>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附件：</w:t>
      </w:r>
    </w:p>
    <w:p>
      <w:pPr>
        <w:tabs>
          <w:tab w:val="left" w:pos="1305"/>
        </w:tabs>
        <w:spacing w:line="380" w:lineRule="exact"/>
        <w:rPr>
          <w:rFonts w:hint="eastAsia" w:ascii="宋体" w:hAnsi="宋体" w:eastAsia="宋体" w:cs="宋体"/>
          <w:b/>
          <w:bCs/>
          <w:color w:val="auto"/>
          <w:kern w:val="0"/>
          <w:sz w:val="24"/>
          <w:szCs w:val="24"/>
          <w:highlight w:val="none"/>
        </w:rPr>
      </w:pPr>
    </w:p>
    <w:p>
      <w:pPr>
        <w:spacing w:line="588" w:lineRule="exact"/>
        <w:jc w:val="center"/>
        <w:rPr>
          <w:rFonts w:hint="eastAsia" w:ascii="宋体" w:hAnsi="宋体" w:eastAsia="宋体" w:cs="宋体"/>
          <w:b/>
          <w:color w:val="auto"/>
          <w:kern w:val="0"/>
          <w:sz w:val="24"/>
          <w:szCs w:val="24"/>
          <w:highlight w:val="none"/>
        </w:rPr>
      </w:pPr>
      <w:bookmarkStart w:id="2047" w:name="OLE_LINK14"/>
      <w:bookmarkStart w:id="2048" w:name="OLE_LINK13"/>
      <w:r>
        <w:rPr>
          <w:rFonts w:hint="eastAsia" w:ascii="宋体" w:hAnsi="宋体" w:eastAsia="宋体" w:cs="宋体"/>
          <w:b/>
          <w:color w:val="auto"/>
          <w:kern w:val="0"/>
          <w:sz w:val="24"/>
          <w:szCs w:val="24"/>
          <w:highlight w:val="none"/>
        </w:rPr>
        <w:t>残疾人福利性单位声明函（格式）</w:t>
      </w:r>
    </w:p>
    <w:bookmarkEnd w:id="2047"/>
    <w:bookmarkEnd w:id="2048"/>
    <w:p>
      <w:pPr>
        <w:spacing w:line="588" w:lineRule="exact"/>
        <w:rPr>
          <w:rFonts w:hint="eastAsia" w:ascii="宋体" w:hAnsi="宋体" w:eastAsia="宋体" w:cs="宋体"/>
          <w:b/>
          <w:color w:val="auto"/>
          <w:kern w:val="0"/>
          <w:sz w:val="24"/>
          <w:szCs w:val="24"/>
          <w:highlight w:val="none"/>
        </w:rPr>
      </w:pPr>
    </w:p>
    <w:p>
      <w:pPr>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本单位对上述声明的真实性负责。如有虚假，将依法承担相应责任。</w:t>
      </w:r>
    </w:p>
    <w:p>
      <w:pPr>
        <w:spacing w:line="588" w:lineRule="exact"/>
        <w:ind w:firstLine="420" w:firstLineChars="200"/>
        <w:rPr>
          <w:rFonts w:hint="eastAsia" w:ascii="宋体" w:hAnsi="宋体" w:eastAsia="宋体" w:cs="宋体"/>
          <w:color w:val="auto"/>
          <w:kern w:val="0"/>
          <w:sz w:val="21"/>
          <w:szCs w:val="21"/>
          <w:highlight w:val="none"/>
        </w:rPr>
      </w:pPr>
    </w:p>
    <w:p>
      <w:pPr>
        <w:widowControl/>
        <w:ind w:firstLine="2310" w:firstLineChars="1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1"/>
        <w:spacing w:line="300" w:lineRule="exact"/>
        <w:ind w:left="2940" w:leftChars="1400" w:firstLine="630" w:firstLineChars="300"/>
        <w:rPr>
          <w:rFonts w:hint="eastAsia" w:ascii="宋体" w:hAnsi="宋体" w:eastAsia="宋体" w:cs="宋体"/>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80" w:firstLineChars="200"/>
        <w:textAlignment w:val="auto"/>
        <w:rPr>
          <w:rFonts w:hint="eastAsia" w:ascii="宋体" w:hAnsi="宋体" w:eastAsia="宋体" w:cs="宋体"/>
          <w:b w:val="0"/>
          <w:bCs/>
          <w:color w:val="auto"/>
          <w:kern w:val="0"/>
          <w:sz w:val="24"/>
          <w:szCs w:val="24"/>
          <w:highlight w:val="none"/>
          <w:lang w:val="en-US" w:eastAsia="zh-CN"/>
        </w:rPr>
      </w:pPr>
    </w:p>
    <w:p>
      <w:pPr>
        <w:spacing w:line="240" w:lineRule="auto"/>
        <w:rPr>
          <w:rFonts w:hint="eastAsia" w:ascii="宋体" w:hAnsi="宋体" w:eastAsia="宋体" w:cs="宋体"/>
          <w:b/>
          <w:bCs/>
          <w:iCs/>
          <w:color w:val="auto"/>
          <w:kern w:val="2"/>
          <w:sz w:val="24"/>
          <w:szCs w:val="24"/>
          <w:highlight w:val="none"/>
          <w:lang w:val="en-US" w:eastAsia="zh-CN" w:bidi="ar-SA"/>
        </w:rPr>
      </w:pPr>
    </w:p>
    <w:p>
      <w:pPr>
        <w:pStyle w:val="2"/>
        <w:rPr>
          <w:rFonts w:hint="eastAsia"/>
          <w:color w:val="auto"/>
          <w:highlight w:val="none"/>
          <w:lang w:val="en-US" w:eastAsia="zh-CN"/>
        </w:rPr>
      </w:pPr>
    </w:p>
    <w:p>
      <w:pPr>
        <w:spacing w:line="240" w:lineRule="auto"/>
        <w:rPr>
          <w:rFonts w:hint="eastAsia" w:ascii="宋体" w:hAnsi="宋体" w:eastAsia="宋体" w:cs="宋体"/>
          <w:b/>
          <w:bCs/>
          <w:iCs/>
          <w:color w:val="auto"/>
          <w:kern w:val="2"/>
          <w:sz w:val="24"/>
          <w:szCs w:val="24"/>
          <w:highlight w:val="none"/>
          <w:lang w:val="en-US" w:eastAsia="zh-CN" w:bidi="ar-SA"/>
        </w:rPr>
      </w:pPr>
      <w:r>
        <w:rPr>
          <w:rFonts w:hint="eastAsia" w:ascii="宋体" w:hAnsi="宋体" w:cs="宋体"/>
          <w:b/>
          <w:bCs/>
          <w:iCs/>
          <w:color w:val="auto"/>
          <w:kern w:val="2"/>
          <w:sz w:val="24"/>
          <w:szCs w:val="24"/>
          <w:highlight w:val="none"/>
          <w:lang w:val="en-US" w:eastAsia="zh-CN" w:bidi="ar-SA"/>
        </w:rPr>
        <w:t>4</w:t>
      </w:r>
      <w:r>
        <w:rPr>
          <w:rFonts w:hint="eastAsia" w:ascii="宋体" w:hAnsi="宋体" w:eastAsia="宋体" w:cs="宋体"/>
          <w:b/>
          <w:bCs/>
          <w:iCs/>
          <w:color w:val="auto"/>
          <w:kern w:val="2"/>
          <w:sz w:val="24"/>
          <w:szCs w:val="24"/>
          <w:highlight w:val="none"/>
          <w:lang w:val="en-US" w:eastAsia="zh-CN" w:bidi="ar-SA"/>
        </w:rPr>
        <w:t>.供应商可结合本项目自身情况自行提交其它相关证明材料。</w:t>
      </w:r>
    </w:p>
    <w:p>
      <w:pPr>
        <w:bidi w:val="0"/>
        <w:rPr>
          <w:rFonts w:hint="default"/>
          <w:color w:val="auto"/>
          <w:sz w:val="24"/>
          <w:szCs w:val="24"/>
          <w:highlight w:val="none"/>
          <w:lang w:val="en-US" w:eastAsia="zh-CN"/>
        </w:rPr>
      </w:pPr>
    </w:p>
    <w:p>
      <w:pPr>
        <w:rPr>
          <w:rFonts w:hint="default"/>
          <w:color w:val="auto"/>
          <w:sz w:val="24"/>
          <w:szCs w:val="24"/>
          <w:highlight w:val="none"/>
          <w:lang w:val="en-US" w:eastAsia="zh-CN"/>
        </w:rPr>
      </w:pPr>
    </w:p>
    <w:p>
      <w:pPr>
        <w:pStyle w:val="3"/>
        <w:spacing w:line="240" w:lineRule="auto"/>
        <w:jc w:val="center"/>
        <w:rPr>
          <w:rFonts w:hint="eastAsia"/>
          <w:color w:val="auto"/>
          <w:sz w:val="24"/>
          <w:szCs w:val="24"/>
          <w:highlight w:val="none"/>
        </w:rPr>
      </w:pPr>
      <w:bookmarkStart w:id="2049" w:name="_Toc12385"/>
      <w:bookmarkStart w:id="2050" w:name="_Toc16390"/>
      <w:bookmarkStart w:id="2051" w:name="_Toc6973"/>
      <w:bookmarkStart w:id="2052" w:name="_Toc18780"/>
      <w:bookmarkStart w:id="2053" w:name="_Toc2237"/>
      <w:bookmarkStart w:id="2054" w:name="_Toc22545"/>
      <w:bookmarkStart w:id="2055" w:name="_Toc1637952"/>
    </w:p>
    <w:p>
      <w:pPr>
        <w:pStyle w:val="3"/>
        <w:spacing w:line="240" w:lineRule="auto"/>
        <w:jc w:val="center"/>
        <w:rPr>
          <w:rFonts w:hint="eastAsia"/>
          <w:color w:val="auto"/>
          <w:sz w:val="24"/>
          <w:szCs w:val="24"/>
          <w:highlight w:val="none"/>
        </w:rPr>
      </w:pPr>
    </w:p>
    <w:p>
      <w:pPr>
        <w:pStyle w:val="3"/>
        <w:spacing w:line="240" w:lineRule="auto"/>
        <w:jc w:val="center"/>
        <w:rPr>
          <w:rFonts w:hint="eastAsia"/>
          <w:color w:val="auto"/>
          <w:sz w:val="24"/>
          <w:szCs w:val="24"/>
          <w:highlight w:val="none"/>
        </w:rPr>
      </w:pPr>
    </w:p>
    <w:p>
      <w:pPr>
        <w:pStyle w:val="3"/>
        <w:spacing w:line="240" w:lineRule="auto"/>
        <w:jc w:val="center"/>
        <w:rPr>
          <w:rFonts w:hint="eastAsia"/>
          <w:color w:val="auto"/>
          <w:sz w:val="24"/>
          <w:szCs w:val="24"/>
          <w:highlight w:val="none"/>
        </w:rPr>
      </w:pPr>
    </w:p>
    <w:p>
      <w:pPr>
        <w:pStyle w:val="3"/>
        <w:spacing w:line="240" w:lineRule="auto"/>
        <w:jc w:val="center"/>
        <w:rPr>
          <w:rFonts w:hint="eastAsia"/>
          <w:color w:val="auto"/>
          <w:sz w:val="24"/>
          <w:szCs w:val="24"/>
          <w:highlight w:val="none"/>
        </w:rPr>
      </w:pPr>
    </w:p>
    <w:p>
      <w:pPr>
        <w:pStyle w:val="3"/>
        <w:spacing w:line="240" w:lineRule="auto"/>
        <w:jc w:val="center"/>
        <w:rPr>
          <w:rFonts w:hint="eastAsia"/>
          <w:color w:val="auto"/>
          <w:sz w:val="24"/>
          <w:szCs w:val="24"/>
          <w:highlight w:val="none"/>
        </w:rPr>
      </w:pPr>
      <w:bookmarkStart w:id="2056" w:name="_Toc22749"/>
      <w:r>
        <w:rPr>
          <w:rFonts w:hint="eastAsia"/>
          <w:color w:val="auto"/>
          <w:sz w:val="24"/>
          <w:szCs w:val="24"/>
          <w:highlight w:val="none"/>
        </w:rPr>
        <w:t>第七章</w:t>
      </w:r>
      <w:r>
        <w:rPr>
          <w:rFonts w:hint="eastAsia"/>
          <w:color w:val="auto"/>
          <w:sz w:val="24"/>
          <w:szCs w:val="24"/>
          <w:highlight w:val="none"/>
          <w:lang w:val="en-US" w:eastAsia="zh-CN"/>
        </w:rPr>
        <w:t xml:space="preserve"> </w:t>
      </w:r>
      <w:r>
        <w:rPr>
          <w:rFonts w:hint="eastAsia"/>
          <w:color w:val="auto"/>
          <w:sz w:val="24"/>
          <w:szCs w:val="24"/>
          <w:highlight w:val="none"/>
        </w:rPr>
        <w:t>图纸</w:t>
      </w:r>
      <w:bookmarkEnd w:id="2049"/>
      <w:bookmarkEnd w:id="2050"/>
      <w:bookmarkEnd w:id="2051"/>
      <w:bookmarkEnd w:id="2052"/>
      <w:bookmarkEnd w:id="2053"/>
      <w:bookmarkEnd w:id="2054"/>
      <w:bookmarkEnd w:id="2056"/>
    </w:p>
    <w:bookmarkEnd w:id="2055"/>
    <w:p>
      <w:pPr>
        <w:jc w:val="center"/>
        <w:rPr>
          <w:color w:val="auto"/>
          <w:sz w:val="24"/>
          <w:szCs w:val="24"/>
          <w:highlight w:val="none"/>
        </w:rPr>
      </w:pPr>
      <w:r>
        <w:rPr>
          <w:rFonts w:hint="eastAsia"/>
          <w:color w:val="auto"/>
          <w:sz w:val="24"/>
          <w:szCs w:val="24"/>
          <w:highlight w:val="none"/>
        </w:rPr>
        <w:t>另附</w:t>
      </w:r>
    </w:p>
    <w:sectPr>
      <w:headerReference r:id="rId13" w:type="default"/>
      <w:footerReference r:id="rId14" w:type="default"/>
      <w:pgSz w:w="11910" w:h="16850"/>
      <w:pgMar w:top="1417" w:right="1417" w:bottom="1417" w:left="1417"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end"/>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矩形 41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64</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uXW5UtAAAAAFAQAADwAAAAAAAAABACAAAAAiAAAAZHJzL2Rvd25yZXYueG1s&#10;UEsBAhQAFAAAAAgAh07iQPhLAYDHAQAAoAMAAA4AAAAAAAAAAQAgAAAAHwEAAGRycy9lMm9Eb2Mu&#10;eG1sUEsFBgAAAAAGAAYAWQEAAFg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64</w:t>
                    </w:r>
                    <w:r>
                      <w:fldChar w:fldCharType="end"/>
                    </w:r>
                  </w:p>
                </w:txbxContent>
              </v:textbox>
            </v:rect>
          </w:pict>
        </mc:Fallback>
      </mc:AlternateConten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矩形 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Bc5/+syAEAAKADAAAOAAAAAAAAAAEAIAAAAB8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矩形 409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AppeuwyAEAAKADAAAOAAAAAAAAAAEAIAAAAB8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矩形 409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Bsme5pyAEAAKADAAAOAAAAAAAAAAEAIAAAAB8BAABkcnMvZTJvRG9j&#10;LnhtbFBLBQYAAAAABgAGAFkBAABZ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矩形 410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vXcEWcYBAACgAwAADgAAAAAAAAABACAAAAAfAQAAZHJzL2Uyb0RvYy54&#10;bWxQSwUGAAAAAAYABgBZAQAAVwU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15"/>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65</w:t>
    </w:r>
    <w: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4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2"/>
      <w:numFmt w:val="decimal"/>
      <w:suff w:val="nothing"/>
      <w:lvlText w:val="（%1）"/>
      <w:lvlJc w:val="left"/>
    </w:lvl>
  </w:abstractNum>
  <w:abstractNum w:abstractNumId="1">
    <w:nsid w:val="00000005"/>
    <w:multiLevelType w:val="multilevel"/>
    <w:tmpl w:val="00000005"/>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
    <w:nsid w:val="00000006"/>
    <w:multiLevelType w:val="singleLevel"/>
    <w:tmpl w:val="00000006"/>
    <w:lvl w:ilvl="0" w:tentative="0">
      <w:start w:val="1"/>
      <w:numFmt w:val="chineseCounting"/>
      <w:suff w:val="nothing"/>
      <w:lvlText w:val="（%1）"/>
      <w:lvlJc w:val="left"/>
      <w:rPr>
        <w:rFonts w:hint="eastAsia"/>
      </w:rPr>
    </w:lvl>
  </w:abstractNum>
  <w:abstractNum w:abstractNumId="3">
    <w:nsid w:val="00000008"/>
    <w:multiLevelType w:val="singleLevel"/>
    <w:tmpl w:val="00000008"/>
    <w:lvl w:ilvl="0" w:tentative="0">
      <w:start w:val="26"/>
      <w:numFmt w:val="decimal"/>
      <w:suff w:val="space"/>
      <w:lvlText w:val="%1."/>
      <w:lvlJc w:val="left"/>
    </w:lvl>
  </w:abstractNum>
  <w:abstractNum w:abstractNumId="4">
    <w:nsid w:val="00000009"/>
    <w:multiLevelType w:val="singleLevel"/>
    <w:tmpl w:val="00000009"/>
    <w:lvl w:ilvl="0" w:tentative="0">
      <w:start w:val="4"/>
      <w:numFmt w:val="decimal"/>
      <w:suff w:val="nothing"/>
      <w:lvlText w:val="（%1）"/>
      <w:lvlJc w:val="left"/>
    </w:lvl>
  </w:abstractNum>
  <w:abstractNum w:abstractNumId="5">
    <w:nsid w:val="0000000B"/>
    <w:multiLevelType w:val="singleLevel"/>
    <w:tmpl w:val="0000000B"/>
    <w:lvl w:ilvl="0" w:tentative="0">
      <w:start w:val="8"/>
      <w:numFmt w:val="decimal"/>
      <w:suff w:val="space"/>
      <w:lvlText w:val="%1."/>
      <w:lvlJc w:val="left"/>
    </w:lvl>
  </w:abstractNum>
  <w:abstractNum w:abstractNumId="6">
    <w:nsid w:val="0000000D"/>
    <w:multiLevelType w:val="singleLevel"/>
    <w:tmpl w:val="0000000D"/>
    <w:lvl w:ilvl="0" w:tentative="0">
      <w:start w:val="2"/>
      <w:numFmt w:val="decimal"/>
      <w:lvlText w:val="%1."/>
      <w:lvlJc w:val="left"/>
      <w:pPr>
        <w:tabs>
          <w:tab w:val="left" w:pos="312"/>
        </w:tabs>
      </w:pPr>
    </w:lvl>
  </w:abstractNum>
  <w:abstractNum w:abstractNumId="7">
    <w:nsid w:val="00000010"/>
    <w:multiLevelType w:val="singleLevel"/>
    <w:tmpl w:val="00000010"/>
    <w:lvl w:ilvl="0" w:tentative="0">
      <w:start w:val="5"/>
      <w:numFmt w:val="decimal"/>
      <w:suff w:val="space"/>
      <w:lvlText w:val="%1."/>
      <w:lvlJc w:val="left"/>
    </w:lvl>
  </w:abstractNum>
  <w:num w:numId="1">
    <w:abstractNumId w:val="1"/>
  </w:num>
  <w:num w:numId="2">
    <w:abstractNumId w:val="7"/>
  </w:num>
  <w:num w:numId="3">
    <w:abstractNumId w:val="0"/>
  </w:num>
  <w:num w:numId="4">
    <w:abstractNumId w:val="3"/>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iYWU4MDA2NzdlMWE0NmJmM2E4NGZmOTgxMzJjYmYifQ=="/>
    <w:docVar w:name="KSO_WPS_MARK_KEY" w:val="a565c4c6-cdbb-421b-a993-67cfb3d4f25f"/>
  </w:docVars>
  <w:rsids>
    <w:rsidRoot w:val="5EF00040"/>
    <w:rsid w:val="000507AF"/>
    <w:rsid w:val="00A3018A"/>
    <w:rsid w:val="014324AF"/>
    <w:rsid w:val="01E574A6"/>
    <w:rsid w:val="02A9590D"/>
    <w:rsid w:val="03EB630D"/>
    <w:rsid w:val="04021749"/>
    <w:rsid w:val="04801176"/>
    <w:rsid w:val="04B51295"/>
    <w:rsid w:val="05A36F5B"/>
    <w:rsid w:val="05F20D79"/>
    <w:rsid w:val="05F72E03"/>
    <w:rsid w:val="066F0F41"/>
    <w:rsid w:val="06BD404D"/>
    <w:rsid w:val="06ED3844"/>
    <w:rsid w:val="080D4B60"/>
    <w:rsid w:val="08F31FA8"/>
    <w:rsid w:val="091259B7"/>
    <w:rsid w:val="09591B1D"/>
    <w:rsid w:val="0A3A73E9"/>
    <w:rsid w:val="0A74381B"/>
    <w:rsid w:val="0B49177F"/>
    <w:rsid w:val="0B770C6E"/>
    <w:rsid w:val="0BB774B4"/>
    <w:rsid w:val="0BCF7E8A"/>
    <w:rsid w:val="0BDC67A9"/>
    <w:rsid w:val="0C8E2713"/>
    <w:rsid w:val="0DA23A2F"/>
    <w:rsid w:val="0E456E02"/>
    <w:rsid w:val="0EE16D35"/>
    <w:rsid w:val="0F36499C"/>
    <w:rsid w:val="0F427144"/>
    <w:rsid w:val="0F5020F8"/>
    <w:rsid w:val="0F5C492A"/>
    <w:rsid w:val="0F68332B"/>
    <w:rsid w:val="0FC95811"/>
    <w:rsid w:val="0FD42EAB"/>
    <w:rsid w:val="10843F90"/>
    <w:rsid w:val="109776BD"/>
    <w:rsid w:val="12081E21"/>
    <w:rsid w:val="122B4561"/>
    <w:rsid w:val="1238629D"/>
    <w:rsid w:val="12647A72"/>
    <w:rsid w:val="130B54D0"/>
    <w:rsid w:val="13960100"/>
    <w:rsid w:val="142B4CEC"/>
    <w:rsid w:val="149E2B48"/>
    <w:rsid w:val="155F2B5D"/>
    <w:rsid w:val="1565422D"/>
    <w:rsid w:val="15960B40"/>
    <w:rsid w:val="16A6065A"/>
    <w:rsid w:val="171C00F0"/>
    <w:rsid w:val="17285513"/>
    <w:rsid w:val="179A6980"/>
    <w:rsid w:val="17D26BDD"/>
    <w:rsid w:val="187355C6"/>
    <w:rsid w:val="187C0550"/>
    <w:rsid w:val="189362B8"/>
    <w:rsid w:val="19546C0C"/>
    <w:rsid w:val="195645B9"/>
    <w:rsid w:val="1A2C70C8"/>
    <w:rsid w:val="1A903A63"/>
    <w:rsid w:val="1B0F0EC3"/>
    <w:rsid w:val="1B943177"/>
    <w:rsid w:val="1BB235FD"/>
    <w:rsid w:val="1BD3623E"/>
    <w:rsid w:val="1BD417C5"/>
    <w:rsid w:val="1D5F4EFF"/>
    <w:rsid w:val="1DE5415D"/>
    <w:rsid w:val="1F7C464D"/>
    <w:rsid w:val="1F9300B0"/>
    <w:rsid w:val="1FF754EA"/>
    <w:rsid w:val="20D07FE6"/>
    <w:rsid w:val="21486EDD"/>
    <w:rsid w:val="217A0AD8"/>
    <w:rsid w:val="217D240C"/>
    <w:rsid w:val="21A63C04"/>
    <w:rsid w:val="21AB205E"/>
    <w:rsid w:val="21D841C9"/>
    <w:rsid w:val="22BC5584"/>
    <w:rsid w:val="22E87592"/>
    <w:rsid w:val="23627FFE"/>
    <w:rsid w:val="23D9206E"/>
    <w:rsid w:val="2415396C"/>
    <w:rsid w:val="241E3F25"/>
    <w:rsid w:val="246A0F18"/>
    <w:rsid w:val="24AC7783"/>
    <w:rsid w:val="25532B3E"/>
    <w:rsid w:val="25556C7E"/>
    <w:rsid w:val="258506D6"/>
    <w:rsid w:val="25920CD2"/>
    <w:rsid w:val="2694142A"/>
    <w:rsid w:val="2694227D"/>
    <w:rsid w:val="26D4495E"/>
    <w:rsid w:val="26F23447"/>
    <w:rsid w:val="26F455FF"/>
    <w:rsid w:val="274A6DDF"/>
    <w:rsid w:val="27B07790"/>
    <w:rsid w:val="27C2106B"/>
    <w:rsid w:val="28A256FD"/>
    <w:rsid w:val="290E0BBE"/>
    <w:rsid w:val="29863A77"/>
    <w:rsid w:val="29BA214C"/>
    <w:rsid w:val="2A0E5353"/>
    <w:rsid w:val="2A107348"/>
    <w:rsid w:val="2A224043"/>
    <w:rsid w:val="2A3873C3"/>
    <w:rsid w:val="2A4E1729"/>
    <w:rsid w:val="2A505BBC"/>
    <w:rsid w:val="2A8B54E6"/>
    <w:rsid w:val="2ABD7112"/>
    <w:rsid w:val="2AF27AE1"/>
    <w:rsid w:val="2B2D0EF2"/>
    <w:rsid w:val="2B31789F"/>
    <w:rsid w:val="2B6D2330"/>
    <w:rsid w:val="2BB05DAB"/>
    <w:rsid w:val="2BE658D5"/>
    <w:rsid w:val="2BF76EE4"/>
    <w:rsid w:val="2C2426F0"/>
    <w:rsid w:val="2C312A6D"/>
    <w:rsid w:val="2DA86915"/>
    <w:rsid w:val="2E157848"/>
    <w:rsid w:val="2E162111"/>
    <w:rsid w:val="2E562A17"/>
    <w:rsid w:val="2E9A4AF0"/>
    <w:rsid w:val="2F307202"/>
    <w:rsid w:val="2F32242C"/>
    <w:rsid w:val="2FAD2629"/>
    <w:rsid w:val="300456D0"/>
    <w:rsid w:val="30882505"/>
    <w:rsid w:val="30C75DA8"/>
    <w:rsid w:val="30E57CC9"/>
    <w:rsid w:val="3102368A"/>
    <w:rsid w:val="31413001"/>
    <w:rsid w:val="32132053"/>
    <w:rsid w:val="3220530C"/>
    <w:rsid w:val="3239556F"/>
    <w:rsid w:val="32FA30D2"/>
    <w:rsid w:val="334157D8"/>
    <w:rsid w:val="33A92EB8"/>
    <w:rsid w:val="34520411"/>
    <w:rsid w:val="34532B23"/>
    <w:rsid w:val="34815534"/>
    <w:rsid w:val="34B36291"/>
    <w:rsid w:val="353510CF"/>
    <w:rsid w:val="354328A8"/>
    <w:rsid w:val="35FD06A3"/>
    <w:rsid w:val="36343134"/>
    <w:rsid w:val="36504619"/>
    <w:rsid w:val="371604FC"/>
    <w:rsid w:val="376E6341"/>
    <w:rsid w:val="378543D1"/>
    <w:rsid w:val="37EB2F17"/>
    <w:rsid w:val="38034F2F"/>
    <w:rsid w:val="38174ABC"/>
    <w:rsid w:val="38387E65"/>
    <w:rsid w:val="38631FB3"/>
    <w:rsid w:val="38D34E86"/>
    <w:rsid w:val="38F52C52"/>
    <w:rsid w:val="3929283B"/>
    <w:rsid w:val="39553D5C"/>
    <w:rsid w:val="39803FB1"/>
    <w:rsid w:val="3A685AA2"/>
    <w:rsid w:val="3A711DFA"/>
    <w:rsid w:val="3AB531AD"/>
    <w:rsid w:val="3ADE7B13"/>
    <w:rsid w:val="3B2E4C72"/>
    <w:rsid w:val="3BD86BE2"/>
    <w:rsid w:val="3C6A5FB1"/>
    <w:rsid w:val="3C9568F7"/>
    <w:rsid w:val="3CF8720E"/>
    <w:rsid w:val="3D7F43FF"/>
    <w:rsid w:val="3E0028BE"/>
    <w:rsid w:val="3E1D2CF3"/>
    <w:rsid w:val="3E811382"/>
    <w:rsid w:val="3F1C1B1A"/>
    <w:rsid w:val="3FB23F0B"/>
    <w:rsid w:val="3FBF6165"/>
    <w:rsid w:val="3FC01A98"/>
    <w:rsid w:val="401215CC"/>
    <w:rsid w:val="40A02991"/>
    <w:rsid w:val="41393870"/>
    <w:rsid w:val="41EF14D0"/>
    <w:rsid w:val="41F04B62"/>
    <w:rsid w:val="42C674C6"/>
    <w:rsid w:val="42E87780"/>
    <w:rsid w:val="43020853"/>
    <w:rsid w:val="4341737A"/>
    <w:rsid w:val="439A7D6E"/>
    <w:rsid w:val="43E268C5"/>
    <w:rsid w:val="440A3726"/>
    <w:rsid w:val="4432135E"/>
    <w:rsid w:val="4471493B"/>
    <w:rsid w:val="447B63D2"/>
    <w:rsid w:val="448B4FEE"/>
    <w:rsid w:val="44DF2E05"/>
    <w:rsid w:val="45390767"/>
    <w:rsid w:val="45592BB7"/>
    <w:rsid w:val="459B6790"/>
    <w:rsid w:val="46B06807"/>
    <w:rsid w:val="477879E4"/>
    <w:rsid w:val="47AC7348"/>
    <w:rsid w:val="47AD21BF"/>
    <w:rsid w:val="487B18D3"/>
    <w:rsid w:val="488F069E"/>
    <w:rsid w:val="489A227C"/>
    <w:rsid w:val="49B44860"/>
    <w:rsid w:val="49C56A6D"/>
    <w:rsid w:val="49DB44C1"/>
    <w:rsid w:val="4B0F0BCB"/>
    <w:rsid w:val="4B327D9A"/>
    <w:rsid w:val="4BA27C60"/>
    <w:rsid w:val="4D38222F"/>
    <w:rsid w:val="4FB70C06"/>
    <w:rsid w:val="50575F45"/>
    <w:rsid w:val="50F73284"/>
    <w:rsid w:val="510F39DF"/>
    <w:rsid w:val="51C615D4"/>
    <w:rsid w:val="536C61AC"/>
    <w:rsid w:val="53BF452D"/>
    <w:rsid w:val="54B06E11"/>
    <w:rsid w:val="55266B59"/>
    <w:rsid w:val="55A75279"/>
    <w:rsid w:val="565F12D1"/>
    <w:rsid w:val="5673166F"/>
    <w:rsid w:val="567C6706"/>
    <w:rsid w:val="56B04601"/>
    <w:rsid w:val="56CB0260"/>
    <w:rsid w:val="57AF2B0B"/>
    <w:rsid w:val="57C34E44"/>
    <w:rsid w:val="57CD0385"/>
    <w:rsid w:val="57EF1047"/>
    <w:rsid w:val="586D09FC"/>
    <w:rsid w:val="58797859"/>
    <w:rsid w:val="588F30E3"/>
    <w:rsid w:val="58F95DD6"/>
    <w:rsid w:val="592D4D7B"/>
    <w:rsid w:val="593001D6"/>
    <w:rsid w:val="59A246D5"/>
    <w:rsid w:val="5AFC3496"/>
    <w:rsid w:val="5C215F1B"/>
    <w:rsid w:val="5C591079"/>
    <w:rsid w:val="5C60526B"/>
    <w:rsid w:val="5D4616EB"/>
    <w:rsid w:val="5D7A6B92"/>
    <w:rsid w:val="5DD65765"/>
    <w:rsid w:val="5E0F0A83"/>
    <w:rsid w:val="5EF00040"/>
    <w:rsid w:val="5FA82319"/>
    <w:rsid w:val="610D0E27"/>
    <w:rsid w:val="61422D0A"/>
    <w:rsid w:val="61646714"/>
    <w:rsid w:val="61AD1E69"/>
    <w:rsid w:val="61E4459E"/>
    <w:rsid w:val="62907608"/>
    <w:rsid w:val="62AB3E7A"/>
    <w:rsid w:val="637302F6"/>
    <w:rsid w:val="63B14E71"/>
    <w:rsid w:val="646D768E"/>
    <w:rsid w:val="647A1DAB"/>
    <w:rsid w:val="64992502"/>
    <w:rsid w:val="64DD3D63"/>
    <w:rsid w:val="652F0123"/>
    <w:rsid w:val="65BF65BC"/>
    <w:rsid w:val="6601121B"/>
    <w:rsid w:val="66613222"/>
    <w:rsid w:val="667967BE"/>
    <w:rsid w:val="66D765C3"/>
    <w:rsid w:val="66E4687E"/>
    <w:rsid w:val="671B1623"/>
    <w:rsid w:val="68116E94"/>
    <w:rsid w:val="68984032"/>
    <w:rsid w:val="68EA0173"/>
    <w:rsid w:val="69256789"/>
    <w:rsid w:val="6A835E5D"/>
    <w:rsid w:val="6BC64891"/>
    <w:rsid w:val="6BDB5825"/>
    <w:rsid w:val="6C111246"/>
    <w:rsid w:val="6D667493"/>
    <w:rsid w:val="6DAA462E"/>
    <w:rsid w:val="6DF74E2C"/>
    <w:rsid w:val="6E3C0331"/>
    <w:rsid w:val="6EC43FE5"/>
    <w:rsid w:val="6F154C6B"/>
    <w:rsid w:val="6FA04DBB"/>
    <w:rsid w:val="704F233D"/>
    <w:rsid w:val="706F2F57"/>
    <w:rsid w:val="7097629B"/>
    <w:rsid w:val="70F27898"/>
    <w:rsid w:val="710B2708"/>
    <w:rsid w:val="716924B1"/>
    <w:rsid w:val="71BF3A88"/>
    <w:rsid w:val="71D427BA"/>
    <w:rsid w:val="71F5795B"/>
    <w:rsid w:val="724A54B2"/>
    <w:rsid w:val="72620A4E"/>
    <w:rsid w:val="736F0495"/>
    <w:rsid w:val="740F0761"/>
    <w:rsid w:val="74137BE7"/>
    <w:rsid w:val="756F67BD"/>
    <w:rsid w:val="75BD46DB"/>
    <w:rsid w:val="75C018B9"/>
    <w:rsid w:val="75DB4FB9"/>
    <w:rsid w:val="761D55D2"/>
    <w:rsid w:val="76436F48"/>
    <w:rsid w:val="76932CC2"/>
    <w:rsid w:val="76DC7606"/>
    <w:rsid w:val="76F4770E"/>
    <w:rsid w:val="77003ECB"/>
    <w:rsid w:val="770976EA"/>
    <w:rsid w:val="770E660D"/>
    <w:rsid w:val="77B25A30"/>
    <w:rsid w:val="78495AE4"/>
    <w:rsid w:val="78B5342E"/>
    <w:rsid w:val="78DB6E64"/>
    <w:rsid w:val="79A457A7"/>
    <w:rsid w:val="7A5A50FB"/>
    <w:rsid w:val="7AAF419E"/>
    <w:rsid w:val="7AB77BD9"/>
    <w:rsid w:val="7AC322A6"/>
    <w:rsid w:val="7AEE65ED"/>
    <w:rsid w:val="7B226FCC"/>
    <w:rsid w:val="7B7B1D2B"/>
    <w:rsid w:val="7BC72719"/>
    <w:rsid w:val="7BCC7A34"/>
    <w:rsid w:val="7BCE0F02"/>
    <w:rsid w:val="7BF5648F"/>
    <w:rsid w:val="7C44734B"/>
    <w:rsid w:val="7CF84488"/>
    <w:rsid w:val="7DEE3BA9"/>
    <w:rsid w:val="7EF40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36"/>
      <w:szCs w:val="44"/>
    </w:rPr>
  </w:style>
  <w:style w:type="paragraph" w:styleId="4">
    <w:name w:val="heading 2"/>
    <w:basedOn w:val="1"/>
    <w:next w:val="1"/>
    <w:autoRedefine/>
    <w:qFormat/>
    <w:uiPriority w:val="0"/>
    <w:pPr>
      <w:keepNext/>
      <w:keepLines/>
      <w:spacing w:before="260" w:after="260" w:line="415" w:lineRule="auto"/>
      <w:outlineLvl w:val="1"/>
    </w:pPr>
    <w:rPr>
      <w:rFonts w:ascii="Cambria" w:hAnsi="Cambria"/>
      <w:b/>
      <w:bCs/>
      <w:sz w:val="32"/>
      <w:szCs w:val="32"/>
    </w:rPr>
  </w:style>
  <w:style w:type="paragraph" w:styleId="5">
    <w:name w:val="heading 3"/>
    <w:basedOn w:val="1"/>
    <w:next w:val="1"/>
    <w:link w:val="26"/>
    <w:autoRedefine/>
    <w:qFormat/>
    <w:uiPriority w:val="0"/>
    <w:pPr>
      <w:keepNext/>
      <w:keepLines/>
      <w:widowControl/>
      <w:spacing w:before="260" w:after="260" w:line="416" w:lineRule="auto"/>
      <w:outlineLvl w:val="2"/>
    </w:pPr>
    <w:rPr>
      <w:b/>
      <w:bCs/>
      <w:sz w:val="24"/>
      <w:szCs w:val="32"/>
    </w:rPr>
  </w:style>
  <w:style w:type="paragraph" w:styleId="6">
    <w:name w:val="heading 4"/>
    <w:basedOn w:val="1"/>
    <w:next w:val="1"/>
    <w:autoRedefine/>
    <w:qFormat/>
    <w:uiPriority w:val="0"/>
    <w:pPr>
      <w:keepNext/>
      <w:keepLines/>
      <w:widowControl/>
      <w:spacing w:before="200" w:line="276" w:lineRule="auto"/>
      <w:jc w:val="left"/>
      <w:outlineLvl w:val="3"/>
    </w:pPr>
    <w:rPr>
      <w:rFonts w:ascii="Calibri Light" w:hAnsi="Calibri Light" w:cs="Times New Roman"/>
      <w:b/>
      <w:bCs/>
      <w:iCs/>
      <w:szCs w:val="2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7">
    <w:name w:val="index 8"/>
    <w:basedOn w:val="1"/>
    <w:next w:val="1"/>
    <w:autoRedefine/>
    <w:qFormat/>
    <w:uiPriority w:val="0"/>
    <w:pPr>
      <w:ind w:left="1400" w:leftChars="1400" w:firstLine="0"/>
    </w:pPr>
  </w:style>
  <w:style w:type="paragraph" w:styleId="8">
    <w:name w:val="annotation text"/>
    <w:basedOn w:val="1"/>
    <w:autoRedefine/>
    <w:qFormat/>
    <w:uiPriority w:val="0"/>
    <w:pPr>
      <w:widowControl/>
      <w:jc w:val="left"/>
    </w:pPr>
    <w:rPr>
      <w:rFonts w:ascii="Calibri" w:hAnsi="Calibri" w:eastAsia="宋体" w:cs="Times New Roman"/>
    </w:rPr>
  </w:style>
  <w:style w:type="paragraph" w:styleId="9">
    <w:name w:val="Body Text Indent"/>
    <w:basedOn w:val="1"/>
    <w:autoRedefine/>
    <w:qFormat/>
    <w:uiPriority w:val="0"/>
    <w:pPr>
      <w:spacing w:after="120" w:line="360" w:lineRule="exact"/>
      <w:ind w:left="420" w:leftChars="200" w:firstLine="200" w:firstLineChars="200"/>
    </w:pPr>
  </w:style>
  <w:style w:type="paragraph" w:styleId="10">
    <w:name w:val="Block Text"/>
    <w:basedOn w:val="1"/>
    <w:autoRedefine/>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11">
    <w:name w:val="Plain Text"/>
    <w:basedOn w:val="1"/>
    <w:autoRedefine/>
    <w:qFormat/>
    <w:uiPriority w:val="0"/>
    <w:rPr>
      <w:rFonts w:ascii="宋体" w:hAnsi="Courier New" w:cs="Times New Roman"/>
      <w:szCs w:val="22"/>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toc 2"/>
    <w:basedOn w:val="1"/>
    <w:next w:val="1"/>
    <w:autoRedefine/>
    <w:qFormat/>
    <w:uiPriority w:val="39"/>
    <w:pPr>
      <w:ind w:left="420" w:leftChars="200"/>
    </w:p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2"/>
    <w:basedOn w:val="9"/>
    <w:autoRedefine/>
    <w:qFormat/>
    <w:uiPriority w:val="99"/>
    <w:pPr>
      <w:ind w:firstLine="420" w:firstLineChars="200"/>
    </w:pPr>
  </w:style>
  <w:style w:type="table" w:styleId="19">
    <w:name w:val="Table Grid"/>
    <w:basedOn w:val="1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autoRedefine/>
    <w:qFormat/>
    <w:uiPriority w:val="99"/>
  </w:style>
  <w:style w:type="character" w:styleId="22">
    <w:name w:val="Hyperlink"/>
    <w:basedOn w:val="20"/>
    <w:autoRedefine/>
    <w:qFormat/>
    <w:uiPriority w:val="0"/>
    <w:rPr>
      <w:color w:val="333333"/>
      <w:u w:val="none"/>
    </w:rPr>
  </w:style>
  <w:style w:type="paragraph" w:customStyle="1" w:styleId="23">
    <w:name w:val="表格文字"/>
    <w:basedOn w:val="1"/>
    <w:autoRedefine/>
    <w:qFormat/>
    <w:uiPriority w:val="0"/>
    <w:pPr>
      <w:spacing w:before="25" w:after="25" w:line="240" w:lineRule="auto"/>
      <w:ind w:firstLine="0"/>
      <w:jc w:val="left"/>
    </w:pPr>
    <w:rPr>
      <w:bCs/>
      <w:spacing w:val="10"/>
      <w:kern w:val="0"/>
      <w:sz w:val="24"/>
    </w:rPr>
  </w:style>
  <w:style w:type="paragraph" w:customStyle="1" w:styleId="24">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25">
    <w:name w:val="List Paragraph"/>
    <w:basedOn w:val="1"/>
    <w:autoRedefine/>
    <w:qFormat/>
    <w:uiPriority w:val="0"/>
    <w:pPr>
      <w:ind w:firstLine="420" w:firstLineChars="200"/>
    </w:pPr>
  </w:style>
  <w:style w:type="character" w:customStyle="1" w:styleId="26">
    <w:name w:val="标题 3 字符"/>
    <w:link w:val="5"/>
    <w:autoRedefine/>
    <w:qFormat/>
    <w:uiPriority w:val="0"/>
    <w:rPr>
      <w:b/>
      <w:bCs/>
      <w:sz w:val="24"/>
      <w:szCs w:val="32"/>
    </w:rPr>
  </w:style>
  <w:style w:type="paragraph" w:customStyle="1" w:styleId="27">
    <w:name w:val="p0"/>
    <w:basedOn w:val="1"/>
    <w:autoRedefine/>
    <w:qFormat/>
    <w:uiPriority w:val="0"/>
    <w:pPr>
      <w:widowControl/>
    </w:pPr>
    <w:rPr>
      <w:rFonts w:ascii="Calibri" w:hAnsi="Calibri" w:cs="宋体"/>
      <w:kern w:val="0"/>
      <w:szCs w:val="21"/>
    </w:rPr>
  </w:style>
  <w:style w:type="paragraph" w:customStyle="1" w:styleId="28">
    <w:name w:val="首行缩进"/>
    <w:basedOn w:val="1"/>
    <w:autoRedefine/>
    <w:qFormat/>
    <w:uiPriority w:val="0"/>
    <w:pPr>
      <w:spacing w:line="360" w:lineRule="auto"/>
      <w:ind w:firstLine="480" w:firstLineChars="200"/>
    </w:pPr>
    <w:rPr>
      <w:rFonts w:ascii="宋体" w:hAnsi="宋体"/>
      <w:kern w:val="0"/>
      <w:sz w:val="24"/>
    </w:rPr>
  </w:style>
  <w:style w:type="paragraph" w:customStyle="1" w:styleId="29">
    <w:name w:val="正文小标题_0"/>
    <w:basedOn w:val="30"/>
    <w:autoRedefine/>
    <w:qFormat/>
    <w:uiPriority w:val="0"/>
    <w:pPr>
      <w:spacing w:line="420" w:lineRule="exact"/>
    </w:pPr>
    <w:rPr>
      <w:rFonts w:hAnsi="宋体" w:eastAsia="宋体"/>
      <w:sz w:val="21"/>
      <w:szCs w:val="21"/>
    </w:rPr>
  </w:style>
  <w:style w:type="paragraph" w:customStyle="1" w:styleId="30">
    <w:name w:val="标题 1_0"/>
    <w:basedOn w:val="31"/>
    <w:next w:val="31"/>
    <w:autoRedefine/>
    <w:qFormat/>
    <w:uiPriority w:val="99"/>
    <w:pPr>
      <w:keepNext/>
      <w:keepLines/>
      <w:spacing w:line="360" w:lineRule="auto"/>
      <w:outlineLvl w:val="0"/>
    </w:pPr>
    <w:rPr>
      <w:rFonts w:eastAsia="黑体"/>
      <w:b/>
      <w:bCs/>
      <w:kern w:val="44"/>
      <w:sz w:val="32"/>
      <w:szCs w:val="44"/>
    </w:rPr>
  </w:style>
  <w:style w:type="paragraph" w:customStyle="1" w:styleId="31">
    <w:name w:val="正文_0"/>
    <w:next w:val="3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文本_0"/>
    <w:basedOn w:val="31"/>
    <w:autoRedefine/>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33">
    <w:name w:val="正文_1_0"/>
    <w:autoRedefine/>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4">
    <w:name w:val="正文呀2_0"/>
    <w:basedOn w:val="35"/>
    <w:autoRedefine/>
    <w:qFormat/>
    <w:uiPriority w:val="0"/>
    <w:rPr>
      <w:rFonts w:ascii="Times New Roman" w:hAnsi="Times New Roman"/>
    </w:rPr>
  </w:style>
  <w:style w:type="paragraph" w:customStyle="1" w:styleId="35">
    <w:name w:val="正文呀_0"/>
    <w:basedOn w:val="33"/>
    <w:autoRedefine/>
    <w:qFormat/>
    <w:uiPriority w:val="0"/>
    <w:pPr>
      <w:spacing w:line="420" w:lineRule="exact"/>
      <w:ind w:firstLine="420" w:firstLineChars="200"/>
    </w:pPr>
    <w:rPr>
      <w:rFonts w:ascii="宋体" w:hAnsi="宋体"/>
      <w:szCs w:val="21"/>
    </w:rPr>
  </w:style>
  <w:style w:type="paragraph" w:customStyle="1" w:styleId="36">
    <w:name w:val="正文呀2_1"/>
    <w:basedOn w:val="37"/>
    <w:autoRedefine/>
    <w:qFormat/>
    <w:uiPriority w:val="0"/>
    <w:rPr>
      <w:rFonts w:ascii="Times New Roman" w:hAnsi="Times New Roman" w:eastAsia="宋体" w:cs="Times New Roman"/>
      <w:kern w:val="2"/>
      <w:sz w:val="21"/>
      <w:lang w:val="en-US" w:eastAsia="zh-CN"/>
    </w:rPr>
  </w:style>
  <w:style w:type="paragraph" w:customStyle="1" w:styleId="37">
    <w:name w:val="正文呀_1"/>
    <w:basedOn w:val="31"/>
    <w:autoRedefine/>
    <w:qFormat/>
    <w:uiPriority w:val="0"/>
    <w:pPr>
      <w:spacing w:line="420" w:lineRule="exact"/>
      <w:ind w:firstLine="420" w:firstLineChars="200"/>
    </w:pPr>
    <w:rPr>
      <w:rFonts w:ascii="宋体" w:hAnsi="宋体"/>
      <w:kern w:val="0"/>
      <w:sz w:val="20"/>
      <w:szCs w:val="21"/>
      <w:lang w:val="zh-CN" w:eastAsia="zh-CN"/>
    </w:rPr>
  </w:style>
  <w:style w:type="paragraph" w:customStyle="1" w:styleId="38">
    <w:name w:val="纯文本_0"/>
    <w:basedOn w:val="31"/>
    <w:autoRedefine/>
    <w:qFormat/>
    <w:uiPriority w:val="0"/>
    <w:rPr>
      <w:rFonts w:ascii="宋体" w:hAnsi="Courier New"/>
      <w:szCs w:val="24"/>
    </w:rPr>
  </w:style>
  <w:style w:type="paragraph" w:customStyle="1" w:styleId="39">
    <w:name w:val="无间隔_0"/>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
    <w:name w:val="NormalCharacter"/>
    <w:autoRedefine/>
    <w:qFormat/>
    <w:uiPriority w:val="0"/>
  </w:style>
  <w:style w:type="paragraph" w:customStyle="1" w:styleId="42">
    <w:name w:val="BodyText"/>
    <w:basedOn w:val="1"/>
    <w:autoRedefine/>
    <w:qFormat/>
    <w:uiPriority w:val="0"/>
    <w:pPr>
      <w:spacing w:after="60" w:line="360" w:lineRule="atLeast"/>
      <w:ind w:left="72" w:leftChars="30" w:right="30" w:rightChars="30"/>
      <w:jc w:val="center"/>
    </w:pPr>
    <w:rPr>
      <w:kern w:val="0"/>
      <w:sz w:val="20"/>
      <w:szCs w:val="20"/>
    </w:rPr>
  </w:style>
  <w:style w:type="paragraph" w:customStyle="1" w:styleId="43">
    <w:name w:val="PlainText"/>
    <w:basedOn w:val="1"/>
    <w:next w:val="44"/>
    <w:autoRedefine/>
    <w:qFormat/>
    <w:uiPriority w:val="0"/>
    <w:rPr>
      <w:rFonts w:ascii="宋体" w:hAnsi="Courier New"/>
      <w:szCs w:val="20"/>
    </w:rPr>
  </w:style>
  <w:style w:type="paragraph" w:customStyle="1" w:styleId="44">
    <w:name w:val="Index8"/>
    <w:basedOn w:val="1"/>
    <w:next w:val="1"/>
    <w:autoRedefine/>
    <w:qFormat/>
    <w:uiPriority w:val="0"/>
    <w:pPr>
      <w:ind w:left="2940"/>
    </w:pPr>
  </w:style>
  <w:style w:type="paragraph" w:customStyle="1" w:styleId="45">
    <w:name w:val="style4"/>
    <w:basedOn w:val="1"/>
    <w:next w:val="46"/>
    <w:autoRedefine/>
    <w:qFormat/>
    <w:uiPriority w:val="0"/>
    <w:pPr>
      <w:widowControl/>
      <w:spacing w:before="280" w:after="280"/>
    </w:pPr>
    <w:rPr>
      <w:rFonts w:ascii="宋体"/>
      <w:sz w:val="18"/>
    </w:rPr>
  </w:style>
  <w:style w:type="paragraph" w:customStyle="1" w:styleId="46">
    <w:name w:val="2"/>
    <w:basedOn w:val="5"/>
    <w:next w:val="1"/>
    <w:autoRedefine/>
    <w:qFormat/>
    <w:uiPriority w:val="0"/>
    <w:pPr>
      <w:widowControl w:val="0"/>
      <w:spacing w:before="120" w:beforeLines="50" w:after="120" w:afterLines="50" w:line="240" w:lineRule="auto"/>
      <w:jc w:val="center"/>
    </w:pPr>
    <w:rPr>
      <w:rFonts w:ascii="黑体" w:eastAsia="黑体"/>
      <w:sz w:val="44"/>
      <w:szCs w:val="28"/>
    </w:rPr>
  </w:style>
  <w:style w:type="paragraph" w:customStyle="1" w:styleId="47">
    <w:name w:val="Table Text"/>
    <w:basedOn w:val="1"/>
    <w:autoRedefine/>
    <w:semiHidden/>
    <w:qFormat/>
    <w:uiPriority w:val="0"/>
    <w:rPr>
      <w:rFonts w:ascii="宋体" w:hAnsi="宋体" w:eastAsia="宋体" w:cs="宋体"/>
      <w:sz w:val="20"/>
      <w:szCs w:val="20"/>
      <w:lang w:val="en-US" w:eastAsia="en-US" w:bidi="ar-SA"/>
    </w:rPr>
  </w:style>
  <w:style w:type="table" w:customStyle="1" w:styleId="4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108</Pages>
  <Words>62440</Words>
  <Characters>66716</Characters>
  <Lines>0</Lines>
  <Paragraphs>0</Paragraphs>
  <TotalTime>22</TotalTime>
  <ScaleCrop>false</ScaleCrop>
  <LinksUpToDate>false</LinksUpToDate>
  <CharactersWithSpaces>71931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2023-10-09T06:18:00Z</dcterms:created>
  <dc:creator>歪歪</dc:creator>
  <cp:lastModifiedBy>NTKO</cp:lastModifiedBy>
  <dcterms:modified xsi:type="dcterms:W3CDTF">2024-03-13T02:28:39Z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4F689B351B114D9E8E579F187ECB18A8_13</vt:lpwstr>
  </property>
</Properties>
</file>