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ascii="华文新魏" w:eastAsia="华文新魏"/>
          <w:color w:val="auto"/>
          <w:spacing w:val="90"/>
          <w:sz w:val="56"/>
          <w:szCs w:val="56"/>
        </w:rPr>
      </w:pPr>
    </w:p>
    <w:p>
      <w:pPr>
        <w:spacing w:line="600" w:lineRule="exact"/>
        <w:jc w:val="center"/>
        <w:rPr>
          <w:rFonts w:ascii="华文新魏" w:eastAsia="华文新魏"/>
          <w:color w:val="auto"/>
          <w:spacing w:val="90"/>
          <w:sz w:val="56"/>
          <w:szCs w:val="56"/>
        </w:rPr>
      </w:pPr>
    </w:p>
    <w:p>
      <w:pPr>
        <w:spacing w:line="600" w:lineRule="exact"/>
        <w:jc w:val="center"/>
        <w:rPr>
          <w:rFonts w:hint="eastAsia" w:ascii="宋体" w:hAnsi="宋体"/>
          <w:b/>
          <w:color w:val="auto"/>
          <w:sz w:val="72"/>
          <w:szCs w:val="72"/>
          <w:highlight w:val="none"/>
        </w:rPr>
      </w:pPr>
      <w:r>
        <w:rPr>
          <w:rFonts w:hint="eastAsia" w:ascii="华文新魏" w:eastAsia="华文新魏"/>
          <w:color w:val="auto"/>
          <w:spacing w:val="90"/>
          <w:sz w:val="56"/>
          <w:szCs w:val="56"/>
          <w:highlight w:val="none"/>
        </w:rPr>
        <w:t>广西银泰工程管理有限公司</w:t>
      </w:r>
    </w:p>
    <w:p>
      <w:pPr>
        <w:spacing w:line="600" w:lineRule="exact"/>
        <w:jc w:val="center"/>
        <w:rPr>
          <w:rFonts w:hint="eastAsia" w:ascii="宋体" w:hAnsi="宋体"/>
          <w:b/>
          <w:color w:val="auto"/>
          <w:sz w:val="72"/>
          <w:szCs w:val="72"/>
          <w:highlight w:val="none"/>
        </w:rPr>
      </w:pPr>
    </w:p>
    <w:p>
      <w:pPr>
        <w:spacing w:before="312" w:beforeLines="100" w:after="156" w:afterLines="50" w:line="600" w:lineRule="exact"/>
        <w:jc w:val="center"/>
        <w:rPr>
          <w:rFonts w:hint="eastAsia" w:ascii="宋体" w:hAnsi="宋体"/>
          <w:b/>
          <w:color w:val="auto"/>
          <w:sz w:val="72"/>
          <w:szCs w:val="72"/>
          <w:highlight w:val="none"/>
        </w:rPr>
      </w:pPr>
    </w:p>
    <w:p>
      <w:pPr>
        <w:spacing w:before="312" w:beforeLines="100" w:after="156" w:afterLines="50" w:line="600" w:lineRule="exact"/>
        <w:jc w:val="center"/>
        <w:rPr>
          <w:rFonts w:hint="eastAsia" w:ascii="宋体" w:hAnsi="宋体"/>
          <w:b/>
          <w:color w:val="auto"/>
          <w:sz w:val="72"/>
          <w:szCs w:val="72"/>
          <w:highlight w:val="none"/>
        </w:rPr>
      </w:pPr>
    </w:p>
    <w:p>
      <w:pPr>
        <w:spacing w:before="312" w:beforeLines="100" w:after="156" w:afterLines="50" w:line="600" w:lineRule="exact"/>
        <w:jc w:val="center"/>
        <w:rPr>
          <w:rFonts w:hint="eastAsia" w:ascii="宋体" w:hAnsi="宋体"/>
          <w:b/>
          <w:color w:val="auto"/>
          <w:sz w:val="72"/>
          <w:szCs w:val="72"/>
          <w:highlight w:val="none"/>
        </w:rPr>
      </w:pPr>
      <w:r>
        <w:rPr>
          <w:rFonts w:hint="eastAsia" w:ascii="宋体" w:hAnsi="宋体"/>
          <w:b/>
          <w:color w:val="auto"/>
          <w:sz w:val="72"/>
          <w:szCs w:val="72"/>
          <w:highlight w:val="none"/>
        </w:rPr>
        <w:t>竞争性谈判文件</w:t>
      </w:r>
    </w:p>
    <w:p>
      <w:pPr>
        <w:spacing w:before="312" w:beforeLines="100" w:after="156" w:afterLines="50" w:line="600" w:lineRule="exact"/>
        <w:ind w:firstLine="1446"/>
        <w:jc w:val="left"/>
        <w:rPr>
          <w:rFonts w:hint="eastAsia" w:ascii="宋体" w:hAnsi="宋体"/>
          <w:b/>
          <w:color w:val="auto"/>
          <w:sz w:val="72"/>
          <w:szCs w:val="72"/>
          <w:highlight w:val="none"/>
        </w:rPr>
      </w:pPr>
    </w:p>
    <w:p>
      <w:pPr>
        <w:spacing w:before="312" w:beforeLines="100" w:after="156" w:afterLines="50" w:line="600" w:lineRule="exact"/>
        <w:ind w:firstLine="1446"/>
        <w:jc w:val="left"/>
        <w:rPr>
          <w:rFonts w:hint="eastAsia" w:ascii="宋体" w:hAnsi="宋体"/>
          <w:b/>
          <w:color w:val="auto"/>
          <w:sz w:val="72"/>
          <w:szCs w:val="72"/>
          <w:highlight w:val="none"/>
        </w:rPr>
      </w:pPr>
    </w:p>
    <w:p>
      <w:pPr>
        <w:spacing w:before="312" w:beforeLines="100" w:after="156" w:afterLines="50" w:line="600" w:lineRule="exact"/>
        <w:ind w:firstLine="1446"/>
        <w:jc w:val="left"/>
        <w:rPr>
          <w:rFonts w:hint="eastAsia" w:ascii="宋体" w:hAnsi="宋体"/>
          <w:b/>
          <w:color w:val="auto"/>
          <w:sz w:val="72"/>
          <w:szCs w:val="72"/>
          <w:highlight w:val="none"/>
        </w:rPr>
      </w:pPr>
    </w:p>
    <w:p>
      <w:pPr>
        <w:tabs>
          <w:tab w:val="left" w:pos="7230"/>
        </w:tabs>
        <w:ind w:firstLine="1606" w:firstLineChars="500"/>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项目名称：</w:t>
      </w:r>
      <w:r>
        <w:rPr>
          <w:rFonts w:hint="eastAsia" w:ascii="宋体" w:hAnsi="宋体"/>
          <w:b/>
          <w:color w:val="auto"/>
          <w:sz w:val="32"/>
          <w:szCs w:val="32"/>
          <w:highlight w:val="none"/>
          <w:lang w:eastAsia="zh-CN"/>
        </w:rPr>
        <w:t>白沙镇宜居宜业和美乡村精品村建设项目</w:t>
      </w:r>
    </w:p>
    <w:p>
      <w:pPr>
        <w:tabs>
          <w:tab w:val="left" w:pos="7230"/>
        </w:tabs>
        <w:spacing w:line="400" w:lineRule="exact"/>
        <w:ind w:firstLine="1606" w:firstLineChars="500"/>
        <w:rPr>
          <w:rFonts w:hint="eastAsia" w:ascii="宋体" w:hAnsi="宋体" w:eastAsia="宋体"/>
          <w:b/>
          <w:color w:val="auto"/>
          <w:spacing w:val="100"/>
          <w:sz w:val="32"/>
          <w:szCs w:val="32"/>
          <w:highlight w:val="none"/>
          <w:lang w:eastAsia="zh-CN"/>
        </w:rPr>
      </w:pPr>
      <w:r>
        <w:rPr>
          <w:rFonts w:hint="eastAsia" w:ascii="宋体" w:hAnsi="宋体"/>
          <w:b/>
          <w:color w:val="auto"/>
          <w:sz w:val="32"/>
          <w:szCs w:val="32"/>
          <w:highlight w:val="none"/>
        </w:rPr>
        <w:t>项目编号：</w:t>
      </w:r>
      <w:r>
        <w:rPr>
          <w:rFonts w:hint="eastAsia" w:ascii="宋体" w:hAnsi="宋体"/>
          <w:b/>
          <w:color w:val="auto"/>
          <w:sz w:val="32"/>
          <w:szCs w:val="32"/>
          <w:highlight w:val="none"/>
          <w:lang w:eastAsia="zh-CN"/>
        </w:rPr>
        <w:t>LZZC2025-J1-030061-YTGC</w:t>
      </w:r>
    </w:p>
    <w:p>
      <w:pPr>
        <w:spacing w:line="400" w:lineRule="exact"/>
        <w:ind w:firstLine="1699" w:firstLineChars="326"/>
        <w:rPr>
          <w:rFonts w:hint="eastAsia" w:ascii="宋体" w:hAnsi="宋体"/>
          <w:b/>
          <w:color w:val="auto"/>
          <w:spacing w:val="100"/>
          <w:sz w:val="32"/>
          <w:szCs w:val="32"/>
          <w:highlight w:val="none"/>
        </w:rPr>
      </w:pPr>
    </w:p>
    <w:p>
      <w:pPr>
        <w:pStyle w:val="9"/>
        <w:rPr>
          <w:color w:val="auto"/>
          <w:highlight w:val="none"/>
        </w:rPr>
      </w:pPr>
    </w:p>
    <w:p>
      <w:pPr>
        <w:spacing w:line="400" w:lineRule="exact"/>
        <w:ind w:firstLine="1559" w:firstLineChars="409"/>
        <w:rPr>
          <w:rFonts w:hint="eastAsia" w:ascii="宋体" w:hAnsi="宋体" w:eastAsia="宋体"/>
          <w:b/>
          <w:color w:val="auto"/>
          <w:spacing w:val="30"/>
          <w:sz w:val="32"/>
          <w:szCs w:val="32"/>
          <w:highlight w:val="none"/>
          <w:lang w:eastAsia="zh-CN"/>
        </w:rPr>
      </w:pPr>
      <w:r>
        <w:rPr>
          <w:rFonts w:hint="eastAsia" w:ascii="宋体" w:hAnsi="宋体"/>
          <w:b/>
          <w:color w:val="auto"/>
          <w:spacing w:val="30"/>
          <w:sz w:val="32"/>
          <w:szCs w:val="32"/>
          <w:highlight w:val="none"/>
        </w:rPr>
        <w:t>采购人：</w:t>
      </w:r>
      <w:r>
        <w:rPr>
          <w:rFonts w:hint="eastAsia" w:ascii="宋体" w:hAnsi="宋体"/>
          <w:b/>
          <w:color w:val="auto"/>
          <w:spacing w:val="30"/>
          <w:kern w:val="0"/>
          <w:sz w:val="32"/>
          <w:szCs w:val="32"/>
          <w:highlight w:val="none"/>
          <w:lang w:eastAsia="zh-CN"/>
        </w:rPr>
        <w:t>柳州市鱼峰区白沙镇人民政府</w:t>
      </w:r>
    </w:p>
    <w:p>
      <w:pPr>
        <w:spacing w:line="400" w:lineRule="exact"/>
        <w:ind w:firstLine="1314" w:firstLineChars="409"/>
        <w:jc w:val="left"/>
        <w:rPr>
          <w:rFonts w:hint="eastAsia" w:ascii="宋体" w:hAnsi="宋体"/>
          <w:b/>
          <w:color w:val="auto"/>
          <w:sz w:val="32"/>
          <w:szCs w:val="32"/>
          <w:highlight w:val="none"/>
        </w:rPr>
      </w:pPr>
    </w:p>
    <w:p>
      <w:pPr>
        <w:spacing w:line="400" w:lineRule="exact"/>
        <w:ind w:firstLine="1558" w:firstLineChars="485"/>
        <w:rPr>
          <w:rFonts w:hint="eastAsia" w:ascii="宋体" w:hAnsi="宋体"/>
          <w:b/>
          <w:color w:val="auto"/>
          <w:sz w:val="32"/>
          <w:szCs w:val="32"/>
          <w:highlight w:val="none"/>
        </w:rPr>
      </w:pPr>
      <w:r>
        <w:rPr>
          <w:rFonts w:hint="eastAsia" w:ascii="宋体" w:hAnsi="宋体"/>
          <w:b/>
          <w:color w:val="auto"/>
          <w:sz w:val="32"/>
          <w:szCs w:val="32"/>
          <w:highlight w:val="none"/>
        </w:rPr>
        <w:t>采购代理机构：广西银泰工程管理有限公司</w:t>
      </w:r>
    </w:p>
    <w:p>
      <w:pPr>
        <w:spacing w:line="400" w:lineRule="exact"/>
        <w:ind w:firstLine="643"/>
        <w:jc w:val="center"/>
        <w:rPr>
          <w:rFonts w:hint="eastAsia" w:ascii="宋体" w:hAnsi="宋体"/>
          <w:b/>
          <w:color w:val="auto"/>
          <w:sz w:val="32"/>
          <w:szCs w:val="32"/>
          <w:highlight w:val="none"/>
        </w:rPr>
      </w:pPr>
    </w:p>
    <w:p>
      <w:pPr>
        <w:spacing w:line="400" w:lineRule="exact"/>
        <w:ind w:firstLine="643"/>
        <w:jc w:val="center"/>
        <w:rPr>
          <w:rFonts w:hint="eastAsia" w:ascii="宋体" w:hAnsi="宋体"/>
          <w:b/>
          <w:color w:val="auto"/>
          <w:sz w:val="32"/>
          <w:szCs w:val="32"/>
          <w:highlight w:val="none"/>
        </w:rPr>
      </w:pPr>
    </w:p>
    <w:p>
      <w:pPr>
        <w:spacing w:line="400" w:lineRule="exact"/>
        <w:ind w:firstLine="643"/>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r>
        <w:rPr>
          <w:rFonts w:hint="eastAsia" w:hAnsi="宋体"/>
          <w:b/>
          <w:bCs/>
          <w:color w:val="auto"/>
          <w:w w:val="95"/>
          <w:sz w:val="32"/>
          <w:szCs w:val="32"/>
          <w:highlight w:val="none"/>
        </w:rPr>
        <w:t>二〇二五年</w:t>
      </w:r>
      <w:r>
        <w:rPr>
          <w:rFonts w:hint="eastAsia" w:hAnsi="宋体"/>
          <w:b/>
          <w:bCs/>
          <w:color w:val="auto"/>
          <w:w w:val="95"/>
          <w:sz w:val="32"/>
          <w:szCs w:val="32"/>
          <w:highlight w:val="none"/>
          <w:lang w:val="en-US" w:eastAsia="zh-CN"/>
        </w:rPr>
        <w:t>九</w:t>
      </w:r>
      <w:r>
        <w:rPr>
          <w:rFonts w:hint="eastAsia" w:hAnsi="宋体"/>
          <w:b/>
          <w:bCs/>
          <w:color w:val="auto"/>
          <w:w w:val="95"/>
          <w:sz w:val="32"/>
          <w:szCs w:val="32"/>
          <w:highlight w:val="none"/>
        </w:rPr>
        <w:t>月</w:t>
      </w:r>
    </w:p>
    <w:p>
      <w:pPr>
        <w:pStyle w:val="20"/>
        <w:snapToGrid w:val="0"/>
        <w:spacing w:line="360" w:lineRule="auto"/>
        <w:jc w:val="center"/>
        <w:rPr>
          <w:rFonts w:hint="eastAsia" w:hAnsi="宋体" w:cs="Adobe 黑体 Std R"/>
          <w:color w:val="auto"/>
          <w:sz w:val="44"/>
          <w:szCs w:val="24"/>
          <w:highlight w:val="none"/>
        </w:rPr>
      </w:pPr>
      <w:r>
        <w:rPr>
          <w:rFonts w:hAnsi="宋体" w:cs="Adobe 黑体 Std R"/>
          <w:color w:val="auto"/>
          <w:sz w:val="44"/>
          <w:szCs w:val="24"/>
          <w:highlight w:val="none"/>
        </w:rPr>
        <w:br w:type="page"/>
      </w:r>
      <w:r>
        <w:rPr>
          <w:rFonts w:hint="eastAsia" w:hAnsi="宋体" w:cs="Adobe 黑体 Std R"/>
          <w:b/>
          <w:bCs/>
          <w:color w:val="auto"/>
          <w:sz w:val="40"/>
          <w:szCs w:val="22"/>
          <w:highlight w:val="none"/>
        </w:rPr>
        <w:t>目  录</w:t>
      </w:r>
    </w:p>
    <w:p>
      <w:pPr>
        <w:pStyle w:val="28"/>
        <w:tabs>
          <w:tab w:val="right" w:leader="dot" w:pos="9638"/>
        </w:tabs>
        <w:rPr>
          <w:color w:val="auto"/>
          <w:highlight w:val="none"/>
        </w:rPr>
      </w:pPr>
      <w:r>
        <w:rPr>
          <w:rFonts w:ascii="宋体" w:hAnsi="宋体"/>
          <w:b/>
          <w:color w:val="auto"/>
          <w:sz w:val="36"/>
          <w:szCs w:val="36"/>
          <w:highlight w:val="none"/>
        </w:rPr>
        <w:fldChar w:fldCharType="begin"/>
      </w:r>
      <w:r>
        <w:rPr>
          <w:rFonts w:ascii="宋体" w:hAnsi="宋体"/>
          <w:b/>
          <w:color w:val="auto"/>
          <w:sz w:val="36"/>
          <w:szCs w:val="36"/>
          <w:highlight w:val="none"/>
        </w:rPr>
        <w:instrText xml:space="preserve"> TOC \o "1-3" \h \z \u </w:instrText>
      </w:r>
      <w:r>
        <w:rPr>
          <w:rFonts w:ascii="宋体" w:hAnsi="宋体"/>
          <w:b/>
          <w:color w:val="auto"/>
          <w:sz w:val="36"/>
          <w:szCs w:val="36"/>
          <w:highlight w:val="none"/>
        </w:rPr>
        <w:fldChar w:fldCharType="separate"/>
      </w:r>
      <w:r>
        <w:rPr>
          <w:color w:val="auto"/>
          <w:highlight w:val="none"/>
        </w:rPr>
        <w:fldChar w:fldCharType="begin"/>
      </w:r>
      <w:r>
        <w:rPr>
          <w:color w:val="auto"/>
          <w:highlight w:val="none"/>
        </w:rPr>
        <w:instrText xml:space="preserve"> HYPERLINK \l "_Toc25731" </w:instrText>
      </w:r>
      <w:r>
        <w:rPr>
          <w:color w:val="auto"/>
          <w:highlight w:val="none"/>
        </w:rPr>
        <w:fldChar w:fldCharType="separate"/>
      </w:r>
      <w:r>
        <w:rPr>
          <w:rFonts w:hint="eastAsia" w:ascii="宋体" w:hAnsi="宋体"/>
          <w:color w:val="auto"/>
          <w:highlight w:val="none"/>
        </w:rPr>
        <w:t xml:space="preserve">第一章 </w:t>
      </w:r>
      <w:r>
        <w:rPr>
          <w:rFonts w:hint="eastAsia" w:ascii="宋体" w:hAnsi="宋体"/>
          <w:color w:val="auto"/>
          <w:szCs w:val="32"/>
          <w:highlight w:val="none"/>
        </w:rPr>
        <w:t>竞争性谈判公告</w:t>
      </w:r>
      <w:r>
        <w:rPr>
          <w:color w:val="auto"/>
          <w:highlight w:val="none"/>
        </w:rPr>
        <w:tab/>
      </w:r>
      <w:r>
        <w:rPr>
          <w:color w:val="auto"/>
          <w:highlight w:val="none"/>
        </w:rPr>
        <w:fldChar w:fldCharType="begin"/>
      </w:r>
      <w:r>
        <w:rPr>
          <w:color w:val="auto"/>
          <w:highlight w:val="none"/>
        </w:rPr>
        <w:instrText xml:space="preserve"> PAGEREF _Toc25731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8"/>
        <w:tabs>
          <w:tab w:val="right" w:leader="dot" w:pos="9638"/>
        </w:tabs>
        <w:rPr>
          <w:color w:val="auto"/>
          <w:highlight w:val="none"/>
        </w:rPr>
      </w:pPr>
      <w:r>
        <w:rPr>
          <w:color w:val="auto"/>
          <w:highlight w:val="none"/>
        </w:rPr>
        <w:fldChar w:fldCharType="begin"/>
      </w:r>
      <w:r>
        <w:rPr>
          <w:color w:val="auto"/>
          <w:highlight w:val="none"/>
        </w:rPr>
        <w:instrText xml:space="preserve"> HYPERLINK \l "_Toc6030" </w:instrText>
      </w:r>
      <w:r>
        <w:rPr>
          <w:color w:val="auto"/>
          <w:highlight w:val="none"/>
        </w:rPr>
        <w:fldChar w:fldCharType="separate"/>
      </w:r>
      <w:r>
        <w:rPr>
          <w:rFonts w:hint="eastAsia" w:ascii="宋体" w:hAnsi="宋体"/>
          <w:bCs/>
          <w:color w:val="auto"/>
          <w:szCs w:val="32"/>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_Toc6030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8"/>
        <w:tabs>
          <w:tab w:val="right" w:leader="dot" w:pos="9638"/>
        </w:tabs>
        <w:rPr>
          <w:color w:val="auto"/>
          <w:highlight w:val="none"/>
        </w:rPr>
      </w:pPr>
      <w:r>
        <w:rPr>
          <w:color w:val="auto"/>
          <w:highlight w:val="none"/>
        </w:rPr>
        <w:fldChar w:fldCharType="begin"/>
      </w:r>
      <w:r>
        <w:rPr>
          <w:color w:val="auto"/>
          <w:highlight w:val="none"/>
        </w:rPr>
        <w:instrText xml:space="preserve"> HYPERLINK \l "_Toc29464" </w:instrText>
      </w:r>
      <w:r>
        <w:rPr>
          <w:color w:val="auto"/>
          <w:highlight w:val="none"/>
        </w:rPr>
        <w:fldChar w:fldCharType="separate"/>
      </w:r>
      <w:r>
        <w:rPr>
          <w:rFonts w:hint="eastAsia" w:ascii="宋体" w:hAnsi="宋体"/>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_Toc29464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28"/>
        <w:tabs>
          <w:tab w:val="right" w:leader="dot" w:pos="9638"/>
        </w:tabs>
        <w:rPr>
          <w:color w:val="auto"/>
          <w:highlight w:val="none"/>
        </w:rPr>
      </w:pPr>
      <w:r>
        <w:rPr>
          <w:color w:val="auto"/>
          <w:highlight w:val="none"/>
        </w:rPr>
        <w:fldChar w:fldCharType="begin"/>
      </w:r>
      <w:r>
        <w:rPr>
          <w:color w:val="auto"/>
          <w:highlight w:val="none"/>
        </w:rPr>
        <w:instrText xml:space="preserve"> HYPERLINK \l "_Toc17576" </w:instrText>
      </w:r>
      <w:r>
        <w:rPr>
          <w:color w:val="auto"/>
          <w:highlight w:val="none"/>
        </w:rPr>
        <w:fldChar w:fldCharType="separate"/>
      </w:r>
      <w:r>
        <w:rPr>
          <w:rFonts w:hint="eastAsia" w:ascii="宋体" w:hAnsi="宋体"/>
          <w:color w:val="auto"/>
          <w:highlight w:val="none"/>
        </w:rPr>
        <w:t>第四章 响应文件格式</w:t>
      </w:r>
      <w:r>
        <w:rPr>
          <w:color w:val="auto"/>
          <w:highlight w:val="none"/>
        </w:rPr>
        <w:tab/>
      </w:r>
      <w:r>
        <w:rPr>
          <w:color w:val="auto"/>
          <w:highlight w:val="none"/>
        </w:rPr>
        <w:fldChar w:fldCharType="begin"/>
      </w:r>
      <w:r>
        <w:rPr>
          <w:color w:val="auto"/>
          <w:highlight w:val="none"/>
        </w:rPr>
        <w:instrText xml:space="preserve"> PAGEREF _Toc17576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28"/>
        <w:tabs>
          <w:tab w:val="right" w:leader="dot" w:pos="9638"/>
        </w:tabs>
        <w:rPr>
          <w:color w:val="auto"/>
          <w:highlight w:val="none"/>
        </w:rPr>
      </w:pPr>
      <w:r>
        <w:rPr>
          <w:color w:val="auto"/>
          <w:highlight w:val="none"/>
        </w:rPr>
        <w:fldChar w:fldCharType="begin"/>
      </w:r>
      <w:r>
        <w:rPr>
          <w:color w:val="auto"/>
          <w:highlight w:val="none"/>
        </w:rPr>
        <w:instrText xml:space="preserve"> HYPERLINK \l "_Toc336" </w:instrText>
      </w:r>
      <w:r>
        <w:rPr>
          <w:color w:val="auto"/>
          <w:highlight w:val="none"/>
        </w:rPr>
        <w:fldChar w:fldCharType="separate"/>
      </w:r>
      <w:r>
        <w:rPr>
          <w:rFonts w:hint="eastAsia" w:ascii="宋体" w:hAnsi="宋体"/>
          <w:color w:val="auto"/>
          <w:highlight w:val="none"/>
        </w:rPr>
        <w:t>第五章 合同条款（主要条款）</w:t>
      </w:r>
      <w:r>
        <w:rPr>
          <w:color w:val="auto"/>
          <w:highlight w:val="none"/>
        </w:rPr>
        <w:tab/>
      </w:r>
      <w:r>
        <w:rPr>
          <w:color w:val="auto"/>
          <w:highlight w:val="none"/>
        </w:rPr>
        <w:fldChar w:fldCharType="begin"/>
      </w:r>
      <w:r>
        <w:rPr>
          <w:color w:val="auto"/>
          <w:highlight w:val="none"/>
        </w:rPr>
        <w:instrText xml:space="preserve"> PAGEREF _Toc336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28"/>
        <w:tabs>
          <w:tab w:val="right" w:leader="dot" w:pos="9638"/>
        </w:tabs>
        <w:rPr>
          <w:color w:val="auto"/>
          <w:highlight w:val="none"/>
        </w:rPr>
      </w:pPr>
      <w:r>
        <w:rPr>
          <w:color w:val="auto"/>
          <w:highlight w:val="none"/>
        </w:rPr>
        <w:fldChar w:fldCharType="begin"/>
      </w:r>
      <w:r>
        <w:rPr>
          <w:color w:val="auto"/>
          <w:highlight w:val="none"/>
        </w:rPr>
        <w:instrText xml:space="preserve"> HYPERLINK \l "_Toc22601" </w:instrText>
      </w:r>
      <w:r>
        <w:rPr>
          <w:color w:val="auto"/>
          <w:highlight w:val="none"/>
        </w:rPr>
        <w:fldChar w:fldCharType="separate"/>
      </w:r>
      <w:r>
        <w:rPr>
          <w:rFonts w:hint="eastAsia" w:ascii="宋体" w:hAnsi="宋体"/>
          <w:color w:val="auto"/>
          <w:highlight w:val="none"/>
        </w:rPr>
        <w:t>第六章 评审办法</w:t>
      </w:r>
      <w:r>
        <w:rPr>
          <w:color w:val="auto"/>
          <w:highlight w:val="none"/>
        </w:rPr>
        <w:tab/>
      </w:r>
      <w:r>
        <w:rPr>
          <w:color w:val="auto"/>
          <w:highlight w:val="none"/>
        </w:rPr>
        <w:fldChar w:fldCharType="begin"/>
      </w:r>
      <w:r>
        <w:rPr>
          <w:color w:val="auto"/>
          <w:highlight w:val="none"/>
        </w:rPr>
        <w:instrText xml:space="preserve"> PAGEREF _Toc22601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rPr>
          <w:rFonts w:hint="eastAsia" w:ascii="宋体" w:hAnsi="宋体"/>
          <w:color w:val="auto"/>
          <w:sz w:val="28"/>
          <w:szCs w:val="28"/>
          <w:highlight w:val="none"/>
        </w:rPr>
      </w:pPr>
      <w:r>
        <w:rPr>
          <w:rFonts w:ascii="宋体" w:hAnsi="宋体"/>
          <w:color w:val="auto"/>
          <w:szCs w:val="36"/>
          <w:highlight w:val="none"/>
        </w:rPr>
        <w:fldChar w:fldCharType="end"/>
      </w:r>
    </w:p>
    <w:p>
      <w:pPr>
        <w:pStyle w:val="20"/>
        <w:snapToGrid w:val="0"/>
        <w:spacing w:line="360" w:lineRule="auto"/>
        <w:jc w:val="center"/>
        <w:rPr>
          <w:rFonts w:hint="eastAsia" w:hAnsi="宋体" w:cs="Adobe 黑体 Std R"/>
          <w:color w:val="auto"/>
          <w:sz w:val="44"/>
          <w:szCs w:val="24"/>
          <w:highlight w:val="none"/>
        </w:rPr>
      </w:pPr>
    </w:p>
    <w:p>
      <w:pPr>
        <w:ind w:left="-2"/>
        <w:jc w:val="left"/>
        <w:rPr>
          <w:rFonts w:hint="eastAsia" w:ascii="宋体" w:hAnsi="宋体" w:cs="Adobe 黑体 Std R"/>
          <w:color w:val="auto"/>
          <w:sz w:val="32"/>
          <w:highlight w:val="none"/>
        </w:rPr>
      </w:pPr>
    </w:p>
    <w:p>
      <w:pPr>
        <w:jc w:val="center"/>
        <w:rPr>
          <w:rFonts w:hint="eastAsia" w:ascii="宋体" w:hAnsi="宋体"/>
          <w:b/>
          <w:color w:val="auto"/>
          <w:sz w:val="32"/>
          <w:highlight w:val="none"/>
        </w:rPr>
      </w:pPr>
    </w:p>
    <w:p>
      <w:pPr>
        <w:jc w:val="center"/>
        <w:rPr>
          <w:rFonts w:hint="eastAsia" w:ascii="宋体" w:hAnsi="宋体"/>
          <w:b/>
          <w:color w:val="auto"/>
          <w:sz w:val="32"/>
          <w:highlight w:val="none"/>
        </w:rPr>
      </w:pPr>
    </w:p>
    <w:p>
      <w:pPr>
        <w:jc w:val="center"/>
        <w:rPr>
          <w:rFonts w:hint="eastAsia" w:ascii="宋体" w:hAnsi="宋体"/>
          <w:b/>
          <w:color w:val="auto"/>
          <w:sz w:val="32"/>
          <w:highlight w:val="none"/>
        </w:rPr>
      </w:pPr>
    </w:p>
    <w:p>
      <w:pPr>
        <w:jc w:val="center"/>
        <w:rPr>
          <w:rFonts w:hint="eastAsia" w:ascii="宋体" w:hAnsi="宋体"/>
          <w:b/>
          <w:color w:val="auto"/>
          <w:sz w:val="32"/>
          <w:highlight w:val="none"/>
        </w:rPr>
      </w:pPr>
    </w:p>
    <w:p>
      <w:pPr>
        <w:jc w:val="center"/>
        <w:rPr>
          <w:rFonts w:hint="eastAsia" w:ascii="宋体" w:hAnsi="宋体"/>
          <w:b/>
          <w:color w:val="auto"/>
          <w:sz w:val="32"/>
          <w:highlight w:val="none"/>
        </w:rPr>
      </w:pPr>
    </w:p>
    <w:p>
      <w:pPr>
        <w:jc w:val="center"/>
        <w:rPr>
          <w:rFonts w:hint="eastAsia" w:ascii="宋体" w:hAnsi="宋体"/>
          <w:b/>
          <w:color w:val="auto"/>
          <w:sz w:val="32"/>
          <w:highlight w:val="none"/>
        </w:rPr>
      </w:pPr>
    </w:p>
    <w:p>
      <w:pPr>
        <w:jc w:val="center"/>
        <w:rPr>
          <w:rFonts w:hint="eastAsia" w:ascii="宋体" w:hAnsi="宋体"/>
          <w:b/>
          <w:color w:val="auto"/>
          <w:sz w:val="32"/>
          <w:highlight w:val="none"/>
        </w:rPr>
      </w:pPr>
    </w:p>
    <w:p>
      <w:pPr>
        <w:jc w:val="center"/>
        <w:rPr>
          <w:rFonts w:hint="eastAsia" w:ascii="宋体" w:hAnsi="宋体"/>
          <w:b/>
          <w:color w:val="auto"/>
          <w:sz w:val="32"/>
          <w:highlight w:val="none"/>
        </w:rPr>
      </w:pPr>
    </w:p>
    <w:p>
      <w:pPr>
        <w:jc w:val="center"/>
        <w:rPr>
          <w:rFonts w:hint="eastAsia" w:ascii="宋体" w:hAnsi="宋体"/>
          <w:b/>
          <w:color w:val="auto"/>
          <w:sz w:val="32"/>
          <w:highlight w:val="none"/>
        </w:rPr>
      </w:pPr>
    </w:p>
    <w:p>
      <w:pPr>
        <w:jc w:val="center"/>
        <w:rPr>
          <w:rFonts w:hint="eastAsia" w:ascii="宋体" w:hAnsi="宋体"/>
          <w:b/>
          <w:color w:val="auto"/>
          <w:sz w:val="32"/>
          <w:highlight w:val="none"/>
        </w:rPr>
      </w:pPr>
    </w:p>
    <w:p>
      <w:pPr>
        <w:jc w:val="center"/>
        <w:rPr>
          <w:rFonts w:hint="eastAsia" w:ascii="宋体" w:hAnsi="宋体"/>
          <w:b/>
          <w:color w:val="auto"/>
          <w:sz w:val="32"/>
          <w:highlight w:val="none"/>
        </w:rPr>
      </w:pPr>
    </w:p>
    <w:p>
      <w:pPr>
        <w:pStyle w:val="3"/>
        <w:spacing w:line="360" w:lineRule="exact"/>
        <w:rPr>
          <w:rFonts w:hint="eastAsia" w:ascii="宋体" w:hAnsi="宋体"/>
          <w:color w:val="auto"/>
          <w:highlight w:val="none"/>
        </w:rPr>
        <w:sectPr>
          <w:headerReference r:id="rId4" w:type="first"/>
          <w:footerReference r:id="rId6" w:type="first"/>
          <w:headerReference r:id="rId3" w:type="default"/>
          <w:footerReference r:id="rId5" w:type="even"/>
          <w:pgSz w:w="11906" w:h="16838"/>
          <w:pgMar w:top="1134" w:right="1134" w:bottom="1134" w:left="1134" w:header="720" w:footer="720" w:gutter="0"/>
          <w:cols w:space="0" w:num="1"/>
          <w:docGrid w:type="lines" w:linePitch="312" w:charSpace="0"/>
        </w:sectPr>
      </w:pPr>
    </w:p>
    <w:p>
      <w:pPr>
        <w:pStyle w:val="3"/>
        <w:spacing w:line="360" w:lineRule="exact"/>
        <w:rPr>
          <w:rFonts w:hint="eastAsia" w:ascii="宋体" w:hAnsi="宋体"/>
          <w:color w:val="auto"/>
          <w:sz w:val="24"/>
          <w:highlight w:val="none"/>
        </w:rPr>
      </w:pPr>
      <w:bookmarkStart w:id="0" w:name="_Toc25731"/>
      <w:r>
        <w:rPr>
          <w:rFonts w:hint="eastAsia" w:ascii="宋体" w:hAnsi="宋体"/>
          <w:color w:val="auto"/>
          <w:highlight w:val="none"/>
        </w:rPr>
        <w:t xml:space="preserve">第一章 </w:t>
      </w:r>
      <w:r>
        <w:rPr>
          <w:rFonts w:hint="eastAsia" w:ascii="宋体" w:hAnsi="宋体"/>
          <w:color w:val="auto"/>
          <w:szCs w:val="32"/>
          <w:highlight w:val="none"/>
        </w:rPr>
        <w:t>竞争性谈判公告</w:t>
      </w:r>
      <w:bookmarkEnd w:id="0"/>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33"/>
              <w:widowControl/>
              <w:spacing w:beforeAutospacing="0" w:afterAutospacing="0"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项目概况</w:t>
            </w:r>
          </w:p>
          <w:p>
            <w:pPr>
              <w:pStyle w:val="33"/>
              <w:widowControl/>
              <w:spacing w:beforeAutospacing="0" w:afterAutospacing="0" w:line="36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白沙镇宜居宜业和美乡村精品村建设项目</w:t>
            </w:r>
            <w:r>
              <w:rPr>
                <w:rFonts w:hint="eastAsia" w:ascii="宋体" w:hAnsi="宋体" w:cs="宋体"/>
                <w:color w:val="auto"/>
                <w:sz w:val="21"/>
                <w:szCs w:val="21"/>
                <w:highlight w:val="none"/>
              </w:rPr>
              <w:t>项目的潜在供应商应在广西政府采购云平台（https：//www.gcy.zfcg.gxzf.gov.cn/）获取采购文件，并于2025年</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eastAsia="zh-CN"/>
              </w:rPr>
              <w:t>15：00</w:t>
            </w:r>
            <w:r>
              <w:rPr>
                <w:rFonts w:hint="eastAsia" w:ascii="宋体" w:hAnsi="宋体" w:cs="宋体"/>
                <w:color w:val="auto"/>
                <w:sz w:val="21"/>
                <w:szCs w:val="21"/>
                <w:highlight w:val="none"/>
              </w:rPr>
              <w:t>（北京时间）前提交响应文件。</w:t>
            </w:r>
          </w:p>
        </w:tc>
      </w:tr>
    </w:tbl>
    <w:p>
      <w:pPr>
        <w:pStyle w:val="33"/>
        <w:widowControl/>
        <w:spacing w:beforeAutospacing="0" w:afterAutospacing="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Style w:val="40"/>
          <w:rFonts w:hint="eastAsia" w:ascii="宋体" w:hAnsi="宋体" w:cs="宋体"/>
          <w:color w:val="auto"/>
          <w:sz w:val="21"/>
          <w:szCs w:val="21"/>
          <w:highlight w:val="none"/>
        </w:rPr>
        <w:t>一、项目基本情况</w:t>
      </w:r>
      <w:r>
        <w:rPr>
          <w:rFonts w:hint="eastAsia" w:ascii="宋体" w:hAnsi="宋体" w:cs="宋体"/>
          <w:color w:val="auto"/>
          <w:sz w:val="21"/>
          <w:szCs w:val="21"/>
          <w:highlight w:val="none"/>
        </w:rPr>
        <w:t>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lang w:eastAsia="zh-CN"/>
        </w:rPr>
        <w:t>LZZC2025-J1-030061-YTGC</w:t>
      </w:r>
      <w:r>
        <w:rPr>
          <w:rFonts w:hint="eastAsia" w:ascii="宋体" w:hAnsi="宋体" w:cs="宋体"/>
          <w:color w:val="auto"/>
          <w:sz w:val="21"/>
          <w:szCs w:val="21"/>
          <w:highlight w:val="none"/>
        </w:rPr>
        <w:t>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eastAsia="zh-CN"/>
        </w:rPr>
        <w:t>白沙镇宜居宜业和美乡村精品村建设项目</w:t>
      </w:r>
      <w:r>
        <w:rPr>
          <w:rFonts w:hint="eastAsia" w:ascii="宋体" w:hAnsi="宋体" w:cs="宋体"/>
          <w:color w:val="auto"/>
          <w:sz w:val="21"/>
          <w:szCs w:val="21"/>
          <w:highlight w:val="none"/>
        </w:rPr>
        <w:t>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采购方式：竞争性谈判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预算总金额（元）：</w:t>
      </w:r>
      <w:r>
        <w:rPr>
          <w:rFonts w:hint="eastAsia" w:ascii="宋体" w:hAnsi="宋体" w:cs="宋体"/>
          <w:color w:val="auto"/>
          <w:sz w:val="21"/>
          <w:szCs w:val="21"/>
          <w:highlight w:val="none"/>
          <w:lang w:eastAsia="zh-CN"/>
        </w:rPr>
        <w:t>1500000</w:t>
      </w:r>
      <w:r>
        <w:rPr>
          <w:rFonts w:hint="eastAsia" w:ascii="宋体" w:hAnsi="宋体" w:cs="宋体"/>
          <w:color w:val="auto"/>
          <w:sz w:val="21"/>
          <w:szCs w:val="21"/>
          <w:highlight w:val="none"/>
        </w:rPr>
        <w:t>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采购需求：</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p>
    <w:p>
      <w:pPr>
        <w:pStyle w:val="33"/>
        <w:widowControl/>
        <w:spacing w:beforeAutospacing="0" w:afterAutospacing="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标项名称：</w:t>
      </w:r>
      <w:r>
        <w:rPr>
          <w:rFonts w:hint="eastAsia" w:ascii="宋体" w:hAnsi="宋体" w:cs="宋体"/>
          <w:color w:val="auto"/>
          <w:sz w:val="21"/>
          <w:szCs w:val="21"/>
          <w:highlight w:val="none"/>
          <w:lang w:eastAsia="zh-CN"/>
        </w:rPr>
        <w:t>白沙镇宜居宜业和美乡村精品村建设项目</w:t>
      </w:r>
    </w:p>
    <w:p>
      <w:pPr>
        <w:pStyle w:val="33"/>
        <w:widowControl/>
        <w:spacing w:beforeAutospacing="0" w:afterAutospacing="0"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数量：</w:t>
      </w:r>
      <w:r>
        <w:rPr>
          <w:rFonts w:hint="eastAsia" w:ascii="宋体" w:hAnsi="宋体" w:cs="宋体"/>
          <w:color w:val="auto"/>
          <w:sz w:val="21"/>
          <w:szCs w:val="21"/>
          <w:highlight w:val="none"/>
          <w:lang w:val="en-US" w:eastAsia="zh-CN"/>
        </w:rPr>
        <w:t>1项</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预算金额（元）：</w:t>
      </w:r>
      <w:r>
        <w:rPr>
          <w:rFonts w:hint="eastAsia" w:ascii="宋体" w:hAnsi="宋体" w:cs="宋体"/>
          <w:color w:val="auto"/>
          <w:sz w:val="21"/>
          <w:szCs w:val="21"/>
          <w:highlight w:val="none"/>
          <w:lang w:eastAsia="zh-CN"/>
        </w:rPr>
        <w:t>1500000</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简要规格描述或项目基本概况介绍、用途：</w:t>
      </w:r>
      <w:bookmarkStart w:id="1" w:name="OLE_LINK3"/>
      <w:r>
        <w:rPr>
          <w:rFonts w:hint="eastAsia" w:ascii="宋体" w:hAnsi="宋体" w:cs="宋体"/>
          <w:color w:val="auto"/>
          <w:sz w:val="21"/>
          <w:szCs w:val="21"/>
          <w:highlight w:val="none"/>
        </w:rPr>
        <w:t>具体内容见竞争性谈判文件第三章《采购需求》。</w:t>
      </w:r>
      <w:bookmarkEnd w:id="1"/>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最高限价（如有）：</w:t>
      </w:r>
      <w:bookmarkStart w:id="2" w:name="OLE_LINK1"/>
      <w:r>
        <w:rPr>
          <w:rFonts w:hint="eastAsia" w:ascii="宋体" w:hAnsi="宋体" w:cs="宋体"/>
          <w:color w:val="auto"/>
          <w:sz w:val="21"/>
          <w:szCs w:val="21"/>
          <w:highlight w:val="none"/>
        </w:rPr>
        <w:t>1413778.6</w:t>
      </w:r>
      <w:bookmarkEnd w:id="2"/>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合同履约期限：</w:t>
      </w:r>
      <w:bookmarkStart w:id="3" w:name="OLE_LINK2"/>
      <w:bookmarkStart w:id="4" w:name="OLE_LINK4"/>
      <w:r>
        <w:rPr>
          <w:rFonts w:hint="eastAsia" w:ascii="宋体" w:hAnsi="宋体" w:cs="宋体"/>
          <w:color w:val="auto"/>
          <w:sz w:val="21"/>
          <w:szCs w:val="21"/>
          <w:highlight w:val="none"/>
        </w:rPr>
        <w:t>自签订合同之日起20个工作日内到货，并全部安装调试合格完毕。</w:t>
      </w:r>
      <w:bookmarkEnd w:id="3"/>
    </w:p>
    <w:bookmarkEnd w:id="4"/>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本项目（否）接受联合体投标</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r>
        <w:rPr>
          <w:rFonts w:hint="eastAsia" w:ascii="宋体" w:hAnsi="宋体" w:eastAsia="宋体" w:cs="宋体"/>
          <w:color w:val="auto"/>
          <w:sz w:val="21"/>
          <w:szCs w:val="21"/>
          <w:highlight w:val="none"/>
        </w:rPr>
        <w:t>本项目为全流程电子化采购项目，有意向参与本项目</w:t>
      </w:r>
      <w:r>
        <w:rPr>
          <w:rFonts w:hint="eastAsia" w:ascii="宋体" w:hAnsi="宋体" w:cs="宋体"/>
          <w:color w:val="auto"/>
          <w:sz w:val="21"/>
          <w:szCs w:val="21"/>
          <w:highlight w:val="none"/>
          <w:lang w:val="en-US" w:eastAsia="zh-CN"/>
        </w:rPr>
        <w:t>竞标</w:t>
      </w:r>
      <w:r>
        <w:rPr>
          <w:rFonts w:hint="eastAsia" w:ascii="宋体" w:hAnsi="宋体" w:eastAsia="宋体" w:cs="宋体"/>
          <w:color w:val="auto"/>
          <w:sz w:val="21"/>
          <w:szCs w:val="21"/>
          <w:highlight w:val="none"/>
        </w:rPr>
        <w:t>的潜在</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应当做好参与全流程电子招投标交易的充分准备</w:t>
      </w:r>
      <w:r>
        <w:rPr>
          <w:rFonts w:hint="eastAsia" w:ascii="宋体" w:hAnsi="宋体" w:cs="宋体"/>
          <w:color w:val="auto"/>
          <w:sz w:val="21"/>
          <w:szCs w:val="21"/>
          <w:highlight w:val="none"/>
        </w:rPr>
        <w:t>。</w:t>
      </w:r>
    </w:p>
    <w:p>
      <w:pPr>
        <w:pStyle w:val="33"/>
        <w:widowControl/>
        <w:spacing w:beforeAutospacing="0" w:afterAutospacing="0" w:line="360" w:lineRule="auto"/>
        <w:ind w:firstLine="422" w:firstLineChars="200"/>
        <w:rPr>
          <w:rFonts w:hint="eastAsia" w:ascii="宋体" w:hAnsi="宋体" w:cs="宋体"/>
          <w:color w:val="auto"/>
          <w:sz w:val="21"/>
          <w:szCs w:val="21"/>
          <w:highlight w:val="none"/>
        </w:rPr>
      </w:pPr>
      <w:r>
        <w:rPr>
          <w:rStyle w:val="40"/>
          <w:rFonts w:hint="eastAsia" w:ascii="宋体" w:hAnsi="宋体" w:cs="宋体"/>
          <w:color w:val="auto"/>
          <w:sz w:val="21"/>
          <w:szCs w:val="21"/>
          <w:highlight w:val="none"/>
        </w:rPr>
        <w:t>二、申请人的资格要求：</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1.满足《中华人民共和国政府采购法》第二十二条规定；</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2.落实政府采购政策需满足的资格要求：分标1：</w:t>
      </w:r>
      <w:bookmarkStart w:id="5" w:name="OLE_LINK5"/>
      <w:r>
        <w:rPr>
          <w:rFonts w:hint="eastAsia" w:ascii="宋体" w:hAnsi="宋体" w:cs="宋体"/>
          <w:color w:val="auto"/>
          <w:sz w:val="21"/>
          <w:szCs w:val="21"/>
          <w:highlight w:val="none"/>
        </w:rPr>
        <w:t>本项目属于专门面向小微企业采购的项目，提供的服务由符合政策要求的小微企业承接；监狱企业、残疾人福利单位视同小型、微型企业；小微企业须符合本项目采购标的所属行业对应的小微企业划分标准。</w:t>
      </w:r>
      <w:bookmarkEnd w:id="5"/>
      <w:r>
        <w:rPr>
          <w:rFonts w:hint="eastAsia" w:ascii="宋体" w:hAnsi="宋体" w:cs="宋体"/>
          <w:color w:val="auto"/>
          <w:sz w:val="21"/>
          <w:szCs w:val="21"/>
          <w:highlight w:val="none"/>
        </w:rPr>
        <w:t>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3.本项目的特定资格要求：无 </w:t>
      </w:r>
    </w:p>
    <w:p>
      <w:pPr>
        <w:pStyle w:val="33"/>
        <w:widowControl/>
        <w:spacing w:beforeAutospacing="0" w:afterAutospacing="0" w:line="360" w:lineRule="auto"/>
        <w:ind w:firstLine="422" w:firstLineChars="200"/>
        <w:jc w:val="both"/>
        <w:rPr>
          <w:rFonts w:hint="eastAsia" w:ascii="宋体" w:hAnsi="宋体" w:cs="宋体"/>
          <w:color w:val="auto"/>
          <w:sz w:val="21"/>
          <w:szCs w:val="21"/>
          <w:highlight w:val="none"/>
        </w:rPr>
      </w:pPr>
      <w:r>
        <w:rPr>
          <w:rStyle w:val="40"/>
          <w:rFonts w:hint="eastAsia" w:ascii="宋体" w:hAnsi="宋体" w:cs="宋体"/>
          <w:color w:val="auto"/>
          <w:sz w:val="21"/>
          <w:szCs w:val="21"/>
          <w:highlight w:val="none"/>
        </w:rPr>
        <w:t>三、获取采购文件</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时间：2025年</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08</w:t>
      </w:r>
      <w:r>
        <w:rPr>
          <w:rFonts w:hint="eastAsia" w:ascii="宋体" w:hAnsi="宋体" w:cs="宋体"/>
          <w:color w:val="auto"/>
          <w:sz w:val="21"/>
          <w:szCs w:val="21"/>
          <w:highlight w:val="none"/>
        </w:rPr>
        <w:t>日2025年</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日，每天上午00：00至11：59，下午12：00至23：59（北京时间，法定节假日除外）</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地点（网址）：广西政府采购云平台（https：//www.gcy.zfcg.gxzf.gov.cn/）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方式：本项目为全流程电子化项目，不发放纸质文件，供应商可自行在“广西政府采购云平台”（https：//www.gcy.zfcg.gxzf.gov.cn/）下载竞争性谈判文件，实名申请获取竞争性谈判文件，如在操作过程中遇到问题或者需要技术支持，请致电广西政府采购云平台客服热线：95763。供应商登陆“广西政府采购云平台”平台，应进行“申请获取竞争性谈判文件”操作，否则，有可能导致无法在线编制响应文件并参与竞标，其不利后果由供应商自行承担。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售价（元）：0 </w:t>
      </w:r>
    </w:p>
    <w:p>
      <w:pPr>
        <w:pStyle w:val="33"/>
        <w:widowControl/>
        <w:spacing w:beforeAutospacing="0" w:afterAutospacing="0" w:line="360" w:lineRule="auto"/>
        <w:ind w:firstLine="422" w:firstLineChars="200"/>
        <w:jc w:val="both"/>
        <w:rPr>
          <w:rFonts w:hint="eastAsia" w:ascii="宋体" w:hAnsi="宋体" w:cs="宋体"/>
          <w:color w:val="auto"/>
          <w:sz w:val="21"/>
          <w:szCs w:val="21"/>
          <w:highlight w:val="none"/>
        </w:rPr>
      </w:pPr>
      <w:r>
        <w:rPr>
          <w:rStyle w:val="40"/>
          <w:rFonts w:hint="eastAsia" w:ascii="宋体" w:hAnsi="宋体" w:cs="宋体"/>
          <w:color w:val="auto"/>
          <w:sz w:val="21"/>
          <w:szCs w:val="21"/>
          <w:highlight w:val="none"/>
        </w:rPr>
        <w:t>四、响应文件提交</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截止时间：2025年</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eastAsia="zh-CN"/>
        </w:rPr>
        <w:t>15：00</w:t>
      </w:r>
      <w:r>
        <w:rPr>
          <w:rFonts w:hint="eastAsia" w:ascii="宋体" w:hAnsi="宋体" w:cs="宋体"/>
          <w:color w:val="auto"/>
          <w:sz w:val="21"/>
          <w:szCs w:val="21"/>
          <w:highlight w:val="none"/>
        </w:rPr>
        <w:t>（北京时间）</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地点（网址）：</w:t>
      </w:r>
      <w:bookmarkStart w:id="6" w:name="OLE_LINK7"/>
      <w:r>
        <w:rPr>
          <w:rFonts w:hint="eastAsia" w:ascii="宋体" w:hAnsi="宋体" w:cs="宋体"/>
          <w:color w:val="auto"/>
          <w:sz w:val="21"/>
          <w:szCs w:val="21"/>
          <w:highlight w:val="none"/>
        </w:rPr>
        <w:t>请登录广西政府采购云平台投标客户端投标</w:t>
      </w:r>
      <w:bookmarkEnd w:id="6"/>
      <w:r>
        <w:rPr>
          <w:rFonts w:hint="eastAsia" w:ascii="宋体" w:hAnsi="宋体" w:cs="宋体"/>
          <w:color w:val="auto"/>
          <w:sz w:val="21"/>
          <w:szCs w:val="21"/>
          <w:highlight w:val="none"/>
        </w:rPr>
        <w:t> </w:t>
      </w:r>
    </w:p>
    <w:p>
      <w:pPr>
        <w:pStyle w:val="33"/>
        <w:widowControl/>
        <w:spacing w:beforeAutospacing="0" w:afterAutospacing="0" w:line="360" w:lineRule="auto"/>
        <w:ind w:firstLine="422" w:firstLineChars="200"/>
        <w:jc w:val="both"/>
        <w:rPr>
          <w:rFonts w:hint="eastAsia" w:ascii="宋体" w:hAnsi="宋体" w:cs="宋体"/>
          <w:color w:val="auto"/>
          <w:sz w:val="21"/>
          <w:szCs w:val="21"/>
          <w:highlight w:val="none"/>
        </w:rPr>
      </w:pPr>
      <w:r>
        <w:rPr>
          <w:rStyle w:val="40"/>
          <w:rFonts w:hint="eastAsia" w:ascii="宋体" w:hAnsi="宋体" w:cs="宋体"/>
          <w:color w:val="auto"/>
          <w:sz w:val="21"/>
          <w:szCs w:val="21"/>
          <w:highlight w:val="none"/>
        </w:rPr>
        <w:t>五、响应文件开启</w:t>
      </w:r>
      <w:r>
        <w:rPr>
          <w:rFonts w:hint="eastAsia" w:ascii="宋体" w:hAnsi="宋体" w:cs="宋体"/>
          <w:color w:val="auto"/>
          <w:sz w:val="21"/>
          <w:szCs w:val="21"/>
          <w:highlight w:val="none"/>
        </w:rPr>
        <w:t>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开启时间：2025年</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eastAsia="zh-CN"/>
        </w:rPr>
        <w:t>15：00</w:t>
      </w:r>
      <w:r>
        <w:rPr>
          <w:rFonts w:hint="eastAsia" w:ascii="宋体" w:hAnsi="宋体" w:cs="宋体"/>
          <w:color w:val="auto"/>
          <w:sz w:val="21"/>
          <w:szCs w:val="21"/>
          <w:highlight w:val="none"/>
        </w:rPr>
        <w:t>（北京时间）</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地点：</w:t>
      </w:r>
      <w:bookmarkStart w:id="7" w:name="OLE_LINK6"/>
      <w:r>
        <w:rPr>
          <w:rFonts w:hint="eastAsia" w:ascii="宋体" w:hAnsi="宋体" w:cs="宋体"/>
          <w:color w:val="auto"/>
          <w:sz w:val="21"/>
          <w:szCs w:val="21"/>
          <w:highlight w:val="none"/>
        </w:rPr>
        <w:t>广西政府采购云平台（https：//www.gcy.zfcg.gxzf.gov.cn/）</w:t>
      </w:r>
      <w:bookmarkEnd w:id="7"/>
      <w:r>
        <w:rPr>
          <w:rFonts w:hint="eastAsia" w:ascii="宋体" w:hAnsi="宋体" w:cs="宋体"/>
          <w:color w:val="auto"/>
          <w:sz w:val="21"/>
          <w:szCs w:val="21"/>
          <w:highlight w:val="none"/>
        </w:rPr>
        <w:t> </w:t>
      </w:r>
    </w:p>
    <w:p>
      <w:pPr>
        <w:pStyle w:val="33"/>
        <w:widowControl/>
        <w:spacing w:beforeAutospacing="0" w:afterAutospacing="0" w:line="360" w:lineRule="auto"/>
        <w:ind w:firstLine="422" w:firstLineChars="200"/>
        <w:jc w:val="both"/>
        <w:rPr>
          <w:rFonts w:hint="eastAsia" w:ascii="宋体" w:hAnsi="宋体" w:cs="宋体"/>
          <w:color w:val="auto"/>
          <w:sz w:val="21"/>
          <w:szCs w:val="21"/>
          <w:highlight w:val="none"/>
        </w:rPr>
      </w:pPr>
      <w:r>
        <w:rPr>
          <w:rStyle w:val="40"/>
          <w:rFonts w:hint="eastAsia" w:ascii="宋体" w:hAnsi="宋体" w:cs="宋体"/>
          <w:color w:val="auto"/>
          <w:sz w:val="21"/>
          <w:szCs w:val="21"/>
          <w:highlight w:val="none"/>
        </w:rPr>
        <w:t>六、公告期限</w:t>
      </w:r>
      <w:r>
        <w:rPr>
          <w:rFonts w:hint="eastAsia" w:ascii="宋体" w:hAnsi="宋体" w:cs="宋体"/>
          <w:color w:val="auto"/>
          <w:sz w:val="21"/>
          <w:szCs w:val="21"/>
          <w:highlight w:val="none"/>
        </w:rPr>
        <w:t>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自本公告发布之日起3个工作日。</w:t>
      </w:r>
    </w:p>
    <w:p>
      <w:pPr>
        <w:pStyle w:val="33"/>
        <w:widowControl/>
        <w:spacing w:beforeAutospacing="0" w:afterAutospacing="0" w:line="360" w:lineRule="auto"/>
        <w:ind w:firstLine="422" w:firstLineChars="200"/>
        <w:jc w:val="both"/>
        <w:rPr>
          <w:rFonts w:hint="eastAsia" w:ascii="宋体" w:hAnsi="宋体" w:cs="宋体"/>
          <w:color w:val="auto"/>
          <w:sz w:val="21"/>
          <w:szCs w:val="21"/>
          <w:highlight w:val="none"/>
        </w:rPr>
      </w:pPr>
      <w:r>
        <w:rPr>
          <w:rStyle w:val="40"/>
          <w:rFonts w:hint="eastAsia" w:ascii="宋体" w:hAnsi="宋体" w:cs="宋体"/>
          <w:color w:val="auto"/>
          <w:sz w:val="21"/>
          <w:szCs w:val="21"/>
          <w:highlight w:val="none"/>
        </w:rPr>
        <w:t>七、其他补充事宜</w:t>
      </w:r>
      <w:r>
        <w:rPr>
          <w:rFonts w:hint="eastAsia" w:ascii="宋体" w:hAnsi="宋体" w:cs="宋体"/>
          <w:color w:val="auto"/>
          <w:sz w:val="21"/>
          <w:szCs w:val="21"/>
          <w:highlight w:val="none"/>
        </w:rPr>
        <w:t> </w:t>
      </w:r>
    </w:p>
    <w:p>
      <w:pPr>
        <w:spacing w:line="360" w:lineRule="auto"/>
        <w:ind w:firstLine="420"/>
        <w:jc w:val="left"/>
        <w:rPr>
          <w:rFonts w:hint="default" w:hAnsi="宋体" w:eastAsia="宋体"/>
          <w:color w:val="auto"/>
          <w:highlight w:val="none"/>
          <w:lang w:val="en-US" w:eastAsia="zh-CN"/>
        </w:rPr>
      </w:pPr>
      <w:bookmarkStart w:id="8" w:name="OLE_LINK8"/>
      <w:r>
        <w:rPr>
          <w:rFonts w:hint="eastAsia" w:ascii="宋体" w:hAnsi="宋体" w:cs="仿宋"/>
          <w:bCs/>
          <w:color w:val="auto"/>
          <w:szCs w:val="21"/>
          <w:highlight w:val="none"/>
        </w:rPr>
        <w:t>（1）竞标保证金：</w:t>
      </w:r>
      <w:r>
        <w:rPr>
          <w:rFonts w:hint="eastAsia" w:ascii="宋体" w:hAnsi="宋体" w:cs="仿宋"/>
          <w:bCs/>
          <w:color w:val="auto"/>
          <w:szCs w:val="21"/>
          <w:highlight w:val="none"/>
          <w:lang w:val="en-US" w:eastAsia="zh-CN"/>
        </w:rPr>
        <w:t>本项目不收取竞标保证金。</w:t>
      </w:r>
    </w:p>
    <w:p>
      <w:pPr>
        <w:spacing w:line="360" w:lineRule="auto"/>
        <w:ind w:firstLine="420"/>
        <w:jc w:val="left"/>
        <w:rPr>
          <w:rFonts w:hint="eastAsia" w:ascii="宋体" w:hAnsi="宋体" w:cs="仿宋"/>
          <w:bCs/>
          <w:color w:val="auto"/>
          <w:szCs w:val="21"/>
          <w:highlight w:val="none"/>
        </w:rPr>
      </w:pPr>
      <w:r>
        <w:rPr>
          <w:rFonts w:hint="eastAsia" w:hAnsi="宋体"/>
          <w:color w:val="auto"/>
          <w:highlight w:val="none"/>
        </w:rPr>
        <w:t>竞标保证金的交纳方式：银行转账、支票、汇票、本票或者金融机构、担保机构出具的保险、保函（含电子保函，下同）等，禁止采用现钞方式。采用银行转账方式的，在响应文件提交截止时间前交至采购代理机构指定账户并且到账【开户银行：上海浦东发展银行股份有限公司柳州分行营业部，开户名称：广西银泰工程管理有限公司柳州分公司，银行账号：5501 0078 8011 0000 2683】</w:t>
      </w:r>
      <w:r>
        <w:rPr>
          <w:rFonts w:hint="eastAsia" w:ascii="宋体" w:hAnsi="宋体" w:cs="仿宋"/>
          <w:bCs/>
          <w:color w:val="auto"/>
          <w:szCs w:val="21"/>
          <w:highlight w:val="none"/>
        </w:rPr>
        <w:t>。</w:t>
      </w:r>
    </w:p>
    <w:p>
      <w:pPr>
        <w:spacing w:line="360" w:lineRule="auto"/>
        <w:ind w:firstLine="420"/>
        <w:jc w:val="left"/>
        <w:rPr>
          <w:rFonts w:hint="eastAsia" w:ascii="宋体" w:hAnsi="宋体" w:cs="仿宋"/>
          <w:bCs/>
          <w:color w:val="auto"/>
          <w:szCs w:val="21"/>
          <w:highlight w:val="none"/>
        </w:rPr>
      </w:pPr>
      <w:r>
        <w:rPr>
          <w:rFonts w:hint="eastAsia" w:ascii="宋体" w:hAnsi="宋体" w:cs="仿宋"/>
          <w:bCs/>
          <w:color w:val="auto"/>
          <w:szCs w:val="21"/>
          <w:highlight w:val="none"/>
        </w:rPr>
        <w:t>（2）本项目为全流程电子化采购项目，通过广西政府采购云平台（https：//www.zcygov.cn）实行在线电子竞标，供应商应先安装“广西政府采购云电子交易客户端”（请自行前往广西政府采购云平台进行下载），并按照本项目竞争性竞标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pPr>
        <w:spacing w:line="360" w:lineRule="auto"/>
        <w:ind w:firstLine="420"/>
        <w:jc w:val="left"/>
        <w:rPr>
          <w:rFonts w:hint="eastAsia" w:ascii="宋体" w:hAnsi="宋体" w:cs="仿宋"/>
          <w:bCs/>
          <w:color w:val="auto"/>
          <w:szCs w:val="21"/>
          <w:highlight w:val="none"/>
        </w:rPr>
      </w:pPr>
      <w:r>
        <w:rPr>
          <w:rFonts w:hint="eastAsia" w:ascii="宋体" w:hAnsi="宋体" w:cs="仿宋"/>
          <w:bCs/>
          <w:color w:val="auto"/>
          <w:szCs w:val="21"/>
          <w:highlight w:val="none"/>
        </w:rPr>
        <w:t>（3）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客服热线：95763）。</w:t>
      </w:r>
    </w:p>
    <w:p>
      <w:pPr>
        <w:spacing w:line="360" w:lineRule="auto"/>
        <w:ind w:firstLine="420"/>
        <w:jc w:val="left"/>
        <w:rPr>
          <w:rFonts w:hint="eastAsia" w:ascii="宋体" w:hAnsi="宋体" w:cs="仿宋"/>
          <w:bCs/>
          <w:color w:val="auto"/>
          <w:szCs w:val="21"/>
          <w:highlight w:val="none"/>
        </w:rPr>
      </w:pPr>
      <w:r>
        <w:rPr>
          <w:rFonts w:hint="eastAsia" w:ascii="宋体" w:hAnsi="宋体" w:cs="仿宋"/>
          <w:bCs/>
          <w:color w:val="auto"/>
          <w:szCs w:val="21"/>
          <w:highlight w:val="none"/>
        </w:rPr>
        <w:t>（4）CA证书在线解密：首次响应文件开启时，需携带制作响应文件时用来加密的有效数字证书（CA认证）登录广西政府采购云平台电子开标大厅现场按规定时间对加密的响应文件进行解密，否则后果自负。</w:t>
      </w:r>
    </w:p>
    <w:p>
      <w:pPr>
        <w:spacing w:line="360" w:lineRule="auto"/>
        <w:ind w:firstLine="420"/>
        <w:jc w:val="left"/>
        <w:rPr>
          <w:rFonts w:hint="eastAsia" w:ascii="宋体" w:hAnsi="宋体" w:cs="仿宋"/>
          <w:bCs/>
          <w:color w:val="auto"/>
          <w:szCs w:val="21"/>
          <w:highlight w:val="none"/>
        </w:rPr>
      </w:pPr>
      <w:r>
        <w:rPr>
          <w:rFonts w:hint="eastAsia" w:ascii="宋体" w:hAnsi="宋体" w:cs="仿宋"/>
          <w:bCs/>
          <w:color w:val="auto"/>
          <w:szCs w:val="21"/>
          <w:highlight w:val="none"/>
        </w:rPr>
        <w:t>注：1）为确保网上操作合法、有效和安全，请供应商确保在电子竞标过程中能够对相关数据电文进行加密和使用电子公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spacing w:line="360" w:lineRule="auto"/>
        <w:ind w:firstLine="420"/>
        <w:jc w:val="left"/>
        <w:rPr>
          <w:rFonts w:hint="eastAsia" w:ascii="宋体" w:hAnsi="宋体" w:cs="仿宋"/>
          <w:bCs/>
          <w:color w:val="auto"/>
          <w:szCs w:val="21"/>
          <w:highlight w:val="none"/>
        </w:rPr>
      </w:pPr>
      <w:r>
        <w:rPr>
          <w:rFonts w:hint="eastAsia" w:ascii="宋体" w:hAnsi="宋体" w:cs="仿宋"/>
          <w:bCs/>
          <w:color w:val="auto"/>
          <w:szCs w:val="21"/>
          <w:highlight w:val="none"/>
        </w:rPr>
        <w:t>（5）供应商需要在具备有摄像头及语音功能且互联网网络状况良好的电脑登录广西政府采购云平台远程开标大厅参与本次竞标，否则后果自负。</w:t>
      </w:r>
    </w:p>
    <w:p>
      <w:pPr>
        <w:spacing w:line="360" w:lineRule="auto"/>
        <w:ind w:firstLine="420"/>
        <w:jc w:val="left"/>
        <w:rPr>
          <w:rFonts w:hint="eastAsia" w:ascii="宋体" w:hAnsi="宋体" w:cs="仿宋"/>
          <w:bCs/>
          <w:color w:val="auto"/>
          <w:szCs w:val="21"/>
          <w:highlight w:val="none"/>
        </w:rPr>
      </w:pPr>
      <w:r>
        <w:rPr>
          <w:rFonts w:hint="eastAsia" w:ascii="宋体" w:hAnsi="宋体" w:cs="仿宋"/>
          <w:bCs/>
          <w:color w:val="auto"/>
          <w:szCs w:val="21"/>
          <w:highlight w:val="none"/>
        </w:rPr>
        <w:t>2.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pPr>
        <w:spacing w:line="360" w:lineRule="auto"/>
        <w:ind w:firstLine="420"/>
        <w:rPr>
          <w:rFonts w:hint="eastAsia" w:ascii="宋体" w:hAnsi="宋体" w:cs="仿宋"/>
          <w:color w:val="auto"/>
          <w:kern w:val="0"/>
          <w:szCs w:val="21"/>
          <w:highlight w:val="none"/>
        </w:rPr>
      </w:pPr>
      <w:r>
        <w:rPr>
          <w:rFonts w:hint="eastAsia" w:ascii="宋体" w:hAnsi="宋体" w:cs="仿宋"/>
          <w:color w:val="auto"/>
          <w:kern w:val="0"/>
          <w:szCs w:val="21"/>
          <w:highlight w:val="none"/>
        </w:rPr>
        <w:t>3.网上查询地址：</w:t>
      </w:r>
      <w:r>
        <w:rPr>
          <w:rFonts w:hint="eastAsia" w:ascii="宋体" w:hAnsi="宋体" w:cs="宋体"/>
          <w:color w:val="auto"/>
          <w:kern w:val="0"/>
          <w:szCs w:val="21"/>
          <w:highlight w:val="none"/>
        </w:rPr>
        <w:t>中国政府采购网（http://www.ccgp.gov.cn）、广西壮族自治区政府采购网（zfcg.gxzf.gov.cn）、柳州市政府采购网（zfcg.lzscz.liuzhou.gov.cn）</w:t>
      </w:r>
      <w:r>
        <w:rPr>
          <w:rFonts w:hint="eastAsia" w:ascii="宋体" w:hAnsi="宋体" w:cs="仿宋"/>
          <w:color w:val="auto"/>
          <w:kern w:val="0"/>
          <w:szCs w:val="21"/>
          <w:highlight w:val="none"/>
        </w:rPr>
        <w:t>。</w:t>
      </w:r>
    </w:p>
    <w:p>
      <w:pPr>
        <w:spacing w:line="360" w:lineRule="auto"/>
        <w:ind w:firstLine="420"/>
        <w:rPr>
          <w:rFonts w:hint="eastAsia" w:ascii="宋体" w:hAnsi="宋体" w:cs="仿宋"/>
          <w:color w:val="auto"/>
          <w:kern w:val="0"/>
          <w:szCs w:val="21"/>
          <w:highlight w:val="none"/>
        </w:rPr>
      </w:pPr>
      <w:r>
        <w:rPr>
          <w:rFonts w:hint="eastAsia" w:ascii="宋体" w:hAnsi="宋体" w:cs="仿宋"/>
          <w:color w:val="auto"/>
          <w:szCs w:val="21"/>
          <w:highlight w:val="none"/>
        </w:rPr>
        <w:t>4.</w:t>
      </w:r>
      <w:r>
        <w:rPr>
          <w:rFonts w:hint="eastAsia" w:ascii="宋体" w:hAnsi="宋体" w:cs="仿宋"/>
          <w:color w:val="auto"/>
          <w:kern w:val="0"/>
          <w:szCs w:val="21"/>
          <w:highlight w:val="none"/>
        </w:rPr>
        <w:t>本项目需要落实的政府采购政策：（1）政府采购促进中小企业发展；（2）政府采购支持采用本国产品的政策；（3）本项目为服务项目，采购内容不涉及政府强制采购节能产品；（4）政府采购促进残疾人就业政策；（5）政府采购支持监狱企业发展。</w:t>
      </w:r>
      <w:bookmarkEnd w:id="8"/>
    </w:p>
    <w:p>
      <w:pPr>
        <w:pStyle w:val="33"/>
        <w:widowControl/>
        <w:spacing w:beforeAutospacing="0" w:afterAutospacing="0" w:line="360" w:lineRule="auto"/>
        <w:ind w:firstLine="422" w:firstLineChars="200"/>
        <w:rPr>
          <w:rFonts w:hint="eastAsia" w:ascii="宋体" w:hAnsi="宋体" w:cs="宋体"/>
          <w:color w:val="auto"/>
          <w:sz w:val="21"/>
          <w:szCs w:val="21"/>
          <w:highlight w:val="none"/>
        </w:rPr>
      </w:pPr>
      <w:r>
        <w:rPr>
          <w:rStyle w:val="40"/>
          <w:rFonts w:hint="eastAsia" w:ascii="宋体" w:hAnsi="宋体" w:cs="宋体"/>
          <w:color w:val="auto"/>
          <w:sz w:val="21"/>
          <w:szCs w:val="21"/>
          <w:highlight w:val="none"/>
        </w:rPr>
        <w:t>八、凡对本次招标提出询问，请按以下方式联系</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1.采购人信息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名称：</w:t>
      </w:r>
      <w:r>
        <w:rPr>
          <w:rFonts w:hint="eastAsia" w:ascii="宋体" w:hAnsi="宋体" w:cs="宋体"/>
          <w:color w:val="auto"/>
          <w:sz w:val="21"/>
          <w:szCs w:val="21"/>
          <w:highlight w:val="none"/>
          <w:lang w:eastAsia="zh-CN"/>
        </w:rPr>
        <w:t>柳州市鱼峰区白沙镇人民政府</w:t>
      </w:r>
      <w:r>
        <w:rPr>
          <w:rFonts w:hint="eastAsia" w:ascii="宋体" w:hAnsi="宋体" w:cs="宋体"/>
          <w:color w:val="auto"/>
          <w:sz w:val="21"/>
          <w:szCs w:val="21"/>
          <w:highlight w:val="none"/>
        </w:rPr>
        <w:t>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lang w:eastAsia="zh-CN"/>
        </w:rPr>
        <w:t>柳州市鱼峰区白沙乡白沙街251号</w:t>
      </w:r>
      <w:r>
        <w:rPr>
          <w:rFonts w:hint="eastAsia" w:ascii="宋体" w:hAnsi="宋体" w:cs="宋体"/>
          <w:color w:val="auto"/>
          <w:sz w:val="21"/>
          <w:szCs w:val="21"/>
          <w:highlight w:val="none"/>
        </w:rPr>
        <w:t> </w:t>
      </w:r>
    </w:p>
    <w:p>
      <w:pPr>
        <w:snapToGrid w:val="0"/>
        <w:spacing w:line="39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项目联系人：罗敬航</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项目联系方式：0772-7566007</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2.采购代理机构信息</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名称：广西银泰工程管理有限公司</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地址：广西柳州市东环大道168号翡翠龙庭12栋3-17</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项目联系人：</w:t>
      </w:r>
      <w:bookmarkStart w:id="9" w:name="OLE_LINK10"/>
      <w:r>
        <w:rPr>
          <w:rFonts w:hint="eastAsia" w:ascii="宋体" w:hAnsi="宋体" w:cs="宋体"/>
          <w:color w:val="auto"/>
          <w:sz w:val="21"/>
          <w:szCs w:val="21"/>
          <w:highlight w:val="none"/>
        </w:rPr>
        <w:t>刘国亮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全丽丹、刘洁</w:t>
      </w:r>
      <w:bookmarkEnd w:id="9"/>
      <w:r>
        <w:rPr>
          <w:rFonts w:hint="eastAsia" w:ascii="宋体" w:hAnsi="宋体" w:cs="宋体"/>
          <w:color w:val="auto"/>
          <w:sz w:val="21"/>
          <w:szCs w:val="21"/>
          <w:highlight w:val="none"/>
        </w:rPr>
        <w:t xml:space="preserve"> </w:t>
      </w:r>
    </w:p>
    <w:p>
      <w:pPr>
        <w:pStyle w:val="33"/>
        <w:widowControl/>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项目联系方式：0772-2813184</w:t>
      </w:r>
    </w:p>
    <w:p>
      <w:pPr>
        <w:pStyle w:val="33"/>
        <w:widowControl/>
        <w:spacing w:beforeAutospacing="0" w:afterAutospacing="0" w:line="360" w:lineRule="auto"/>
        <w:ind w:firstLine="630"/>
        <w:rPr>
          <w:rFonts w:hint="eastAsia" w:ascii="宋体" w:hAnsi="宋体" w:cs="宋体"/>
          <w:color w:val="auto"/>
          <w:sz w:val="21"/>
          <w:szCs w:val="21"/>
          <w:highlight w:val="none"/>
        </w:rPr>
      </w:pPr>
      <w:r>
        <w:rPr>
          <w:rFonts w:hint="eastAsia" w:ascii="宋体" w:hAnsi="宋体" w:cs="宋体"/>
          <w:color w:val="auto"/>
          <w:sz w:val="21"/>
          <w:szCs w:val="21"/>
          <w:highlight w:val="none"/>
        </w:rPr>
        <w:t> </w:t>
      </w:r>
    </w:p>
    <w:p>
      <w:pPr>
        <w:spacing w:line="360" w:lineRule="exact"/>
        <w:jc w:val="center"/>
        <w:outlineLvl w:val="0"/>
        <w:rPr>
          <w:rFonts w:hint="eastAsia" w:ascii="宋体" w:hAnsi="宋体"/>
          <w:b/>
          <w:bCs/>
          <w:color w:val="auto"/>
          <w:sz w:val="32"/>
          <w:szCs w:val="32"/>
          <w:highlight w:val="none"/>
        </w:rPr>
        <w:sectPr>
          <w:footerReference r:id="rId7" w:type="default"/>
          <w:pgSz w:w="11906" w:h="16838"/>
          <w:pgMar w:top="1134" w:right="1134" w:bottom="1134" w:left="1134" w:header="720" w:footer="720" w:gutter="0"/>
          <w:pgNumType w:start="1"/>
          <w:cols w:space="0" w:num="1"/>
          <w:docGrid w:type="lines" w:linePitch="312" w:charSpace="0"/>
        </w:sectPr>
      </w:pPr>
    </w:p>
    <w:p>
      <w:pPr>
        <w:spacing w:line="360" w:lineRule="exact"/>
        <w:jc w:val="center"/>
        <w:outlineLvl w:val="0"/>
        <w:rPr>
          <w:rFonts w:hint="eastAsia" w:ascii="宋体" w:hAnsi="宋体"/>
          <w:b/>
          <w:bCs/>
          <w:color w:val="auto"/>
          <w:sz w:val="32"/>
          <w:szCs w:val="32"/>
          <w:highlight w:val="none"/>
        </w:rPr>
      </w:pPr>
      <w:bookmarkStart w:id="10" w:name="_Toc6030"/>
      <w:r>
        <w:rPr>
          <w:rFonts w:hint="eastAsia" w:ascii="宋体" w:hAnsi="宋体"/>
          <w:b/>
          <w:bCs/>
          <w:color w:val="auto"/>
          <w:sz w:val="32"/>
          <w:szCs w:val="32"/>
          <w:highlight w:val="none"/>
        </w:rPr>
        <w:t>第二章 供应商须知</w:t>
      </w:r>
      <w:bookmarkEnd w:id="10"/>
    </w:p>
    <w:tbl>
      <w:tblPr>
        <w:tblStyle w:val="37"/>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925"/>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序号</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条款号</w:t>
            </w:r>
          </w:p>
        </w:tc>
        <w:tc>
          <w:tcPr>
            <w:tcW w:w="8038"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1.1</w:t>
            </w:r>
          </w:p>
        </w:tc>
        <w:tc>
          <w:tcPr>
            <w:tcW w:w="8038" w:type="dxa"/>
            <w:vAlign w:val="center"/>
          </w:tcPr>
          <w:p>
            <w:pPr>
              <w:pStyle w:val="20"/>
              <w:spacing w:line="360" w:lineRule="auto"/>
              <w:rPr>
                <w:rFonts w:hint="eastAsia" w:hAnsi="宋体"/>
                <w:color w:val="auto"/>
                <w:sz w:val="21"/>
                <w:szCs w:val="21"/>
                <w:highlight w:val="none"/>
              </w:rPr>
            </w:pPr>
            <w:r>
              <w:rPr>
                <w:rFonts w:hint="eastAsia" w:hAnsi="宋体"/>
                <w:color w:val="auto"/>
                <w:sz w:val="21"/>
                <w:szCs w:val="22"/>
                <w:highlight w:val="none"/>
              </w:rPr>
              <w:t>供应商资格要求：详见谈判公告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17</w:t>
            </w:r>
          </w:p>
        </w:tc>
        <w:tc>
          <w:tcPr>
            <w:tcW w:w="8038" w:type="dxa"/>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竞标保证金金额：应按第一章“竞争性谈判公告”规定交纳，</w:t>
            </w:r>
            <w:r>
              <w:rPr>
                <w:rFonts w:hint="eastAsia" w:ascii="宋体" w:hAnsi="宋体"/>
                <w:b/>
                <w:color w:val="auto"/>
                <w:szCs w:val="21"/>
                <w:highlight w:val="none"/>
              </w:rPr>
              <w:t>否则竞标无效</w:t>
            </w:r>
            <w:r>
              <w:rPr>
                <w:rFonts w:hint="eastAsia" w:ascii="宋体" w:hAnsi="宋体"/>
                <w:color w:val="auto"/>
                <w:szCs w:val="21"/>
                <w:highlight w:val="none"/>
              </w:rPr>
              <w:t>。</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竞标保证金应在竞标有效期内保持有效。</w:t>
            </w:r>
          </w:p>
          <w:p>
            <w:pPr>
              <w:snapToGrid w:val="0"/>
              <w:spacing w:line="360" w:lineRule="auto"/>
              <w:rPr>
                <w:rFonts w:hint="eastAsia" w:hAnsi="宋体" w:cs="Arial"/>
                <w:color w:val="auto"/>
                <w:highlight w:val="none"/>
              </w:rPr>
            </w:pPr>
            <w:r>
              <w:rPr>
                <w:rFonts w:hint="eastAsia" w:ascii="宋体" w:hAnsi="宋体"/>
                <w:color w:val="auto"/>
                <w:szCs w:val="21"/>
                <w:highlight w:val="none"/>
              </w:rPr>
              <w:t>竞标保证金交纳方式：</w:t>
            </w:r>
            <w:r>
              <w:rPr>
                <w:rFonts w:hint="eastAsia" w:hAnsi="宋体" w:cs="Arial"/>
                <w:color w:val="auto"/>
                <w:highlight w:val="none"/>
              </w:rPr>
              <w:t>银行转账、支票、汇票、本票或者金融机构、担保机构出具的保函</w:t>
            </w:r>
            <w:r>
              <w:rPr>
                <w:rFonts w:hint="eastAsia" w:ascii="宋体" w:hAnsi="宋体"/>
                <w:color w:val="auto"/>
                <w:szCs w:val="21"/>
                <w:highlight w:val="none"/>
              </w:rPr>
              <w:t>（含电子保函，下同）</w:t>
            </w:r>
            <w:r>
              <w:rPr>
                <w:rFonts w:hint="eastAsia" w:hAnsi="宋体" w:cs="Arial"/>
                <w:color w:val="auto"/>
                <w:highlight w:val="none"/>
              </w:rPr>
              <w:t>、保险，禁止采用现钞交纳方式。</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竞标保证金交纳截止时间：首次响应文件提交截止时间前。</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相关要求：</w:t>
            </w:r>
          </w:p>
          <w:p>
            <w:pPr>
              <w:snapToGrid w:val="0"/>
              <w:spacing w:line="360" w:lineRule="auto"/>
              <w:rPr>
                <w:rFonts w:hint="eastAsia" w:ascii="宋体" w:hAnsi="宋体"/>
                <w:b/>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竞标保证金采用银行转账交纳方式的，在响应文件提交截止时间前交至采购代理机构指定账户并且到账，供应商应将银行转账底单的复印件作为竞标保证金交纳证明，放置于报价商务技术文件中，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pPr>
              <w:snapToGrid w:val="0"/>
              <w:spacing w:line="360" w:lineRule="auto"/>
              <w:rPr>
                <w:rFonts w:hint="eastAsia" w:ascii="宋体" w:hAnsi="宋体"/>
                <w:b/>
                <w:color w:val="auto"/>
                <w:szCs w:val="21"/>
                <w:highlight w:val="none"/>
              </w:rPr>
            </w:pPr>
            <w:r>
              <w:rPr>
                <w:rFonts w:hint="eastAsia" w:ascii="宋体" w:hAnsi="宋体"/>
                <w:color w:val="auto"/>
                <w:szCs w:val="21"/>
                <w:highlight w:val="none"/>
              </w:rPr>
              <w:t>2.竞标保证金采用支票、汇票、本票或者金融机构、担保机构出具的保函</w:t>
            </w:r>
            <w:r>
              <w:rPr>
                <w:rFonts w:hint="eastAsia" w:hAnsi="宋体" w:cs="Arial"/>
                <w:color w:val="auto"/>
                <w:highlight w:val="none"/>
              </w:rPr>
              <w:t>、保险</w:t>
            </w:r>
            <w:r>
              <w:rPr>
                <w:rFonts w:hint="eastAsia" w:ascii="宋体" w:hAnsi="宋体"/>
                <w:color w:val="auto"/>
                <w:szCs w:val="21"/>
                <w:highlight w:val="none"/>
              </w:rPr>
              <w:t>交纳方式的，供应商应将支票、汇票、本票或者金融机构、担保机构出具的保函</w:t>
            </w:r>
            <w:r>
              <w:rPr>
                <w:rFonts w:hint="eastAsia" w:hAnsi="宋体" w:cs="Arial"/>
                <w:color w:val="auto"/>
                <w:highlight w:val="none"/>
              </w:rPr>
              <w:t>、保险</w:t>
            </w:r>
            <w:r>
              <w:rPr>
                <w:rFonts w:hint="eastAsia" w:ascii="宋体" w:hAnsi="宋体"/>
                <w:color w:val="auto"/>
                <w:szCs w:val="21"/>
                <w:highlight w:val="none"/>
              </w:rPr>
              <w:t>的复印件作为竞标保证金交纳证明，放置于</w:t>
            </w:r>
            <w:r>
              <w:rPr>
                <w:rFonts w:hint="eastAsia" w:ascii="宋体" w:hAnsi="宋体" w:cs="宋体"/>
                <w:color w:val="auto"/>
                <w:szCs w:val="21"/>
                <w:highlight w:val="none"/>
              </w:rPr>
              <w:t>报价商务技术文件</w:t>
            </w:r>
            <w:r>
              <w:rPr>
                <w:rFonts w:hint="eastAsia" w:ascii="宋体" w:hAnsi="宋体"/>
                <w:color w:val="auto"/>
                <w:szCs w:val="21"/>
                <w:highlight w:val="none"/>
              </w:rPr>
              <w:t>中，</w:t>
            </w:r>
            <w:r>
              <w:rPr>
                <w:rFonts w:hint="eastAsia" w:ascii="宋体" w:hAnsi="宋体"/>
                <w:b/>
                <w:color w:val="auto"/>
                <w:szCs w:val="21"/>
                <w:highlight w:val="none"/>
              </w:rPr>
              <w:t>否则竞标无效</w:t>
            </w:r>
            <w:r>
              <w:rPr>
                <w:rFonts w:hint="eastAsia" w:ascii="宋体" w:hAnsi="宋体"/>
                <w:color w:val="auto"/>
                <w:szCs w:val="21"/>
                <w:highlight w:val="none"/>
              </w:rPr>
              <w:t>。供应商必须于递交响应文件时将支票、汇票、本票或者金融机构、担保机构出具的保函</w:t>
            </w:r>
            <w:r>
              <w:rPr>
                <w:rFonts w:hint="eastAsia" w:hAnsi="宋体" w:cs="Arial"/>
                <w:color w:val="auto"/>
                <w:highlight w:val="none"/>
              </w:rPr>
              <w:t>、保险</w:t>
            </w:r>
            <w:r>
              <w:rPr>
                <w:rFonts w:hint="eastAsia" w:ascii="宋体" w:hAnsi="宋体"/>
                <w:color w:val="auto"/>
                <w:szCs w:val="21"/>
                <w:highlight w:val="none"/>
              </w:rPr>
              <w:t>原件提交给采购人或者采购代理机构</w:t>
            </w:r>
            <w:r>
              <w:rPr>
                <w:rFonts w:hint="eastAsia" w:ascii="宋体" w:hAnsi="宋体"/>
                <w:color w:val="auto"/>
                <w:highlight w:val="none"/>
              </w:rPr>
              <w:t>[提交地点：</w:t>
            </w:r>
            <w:r>
              <w:rPr>
                <w:rFonts w:hint="eastAsia" w:ascii="宋体" w:hAnsi="宋体"/>
                <w:color w:val="auto"/>
                <w:szCs w:val="21"/>
                <w:highlight w:val="none"/>
              </w:rPr>
              <w:t>柳州市龙湖路13号柳州市民服务中心北楼4楼）对应开标室，</w:t>
            </w:r>
            <w:r>
              <w:rPr>
                <w:rFonts w:hint="eastAsia" w:hAnsi="宋体"/>
                <w:color w:val="auto"/>
                <w:highlight w:val="none"/>
              </w:rPr>
              <w:t>采用电子保函方式交纳竞标保证金的，不需提交</w:t>
            </w:r>
            <w:r>
              <w:rPr>
                <w:rFonts w:hint="eastAsia" w:ascii="宋体" w:hAnsi="宋体"/>
                <w:color w:val="auto"/>
                <w:highlight w:val="none"/>
              </w:rPr>
              <w:t>]</w:t>
            </w:r>
            <w:r>
              <w:rPr>
                <w:rFonts w:hint="eastAsia" w:ascii="宋体" w:hAnsi="宋体"/>
                <w:color w:val="auto"/>
                <w:szCs w:val="21"/>
                <w:highlight w:val="none"/>
              </w:rPr>
              <w:t>，由采购人或者采购代理机构向供应商出具回执，并妥善保管。</w:t>
            </w:r>
          </w:p>
          <w:p>
            <w:pPr>
              <w:snapToGrid w:val="0"/>
              <w:spacing w:line="360" w:lineRule="auto"/>
              <w:rPr>
                <w:rFonts w:hint="eastAsia" w:ascii="宋体" w:hAnsi="宋体"/>
                <w:b/>
                <w:color w:val="auto"/>
                <w:szCs w:val="21"/>
                <w:highlight w:val="none"/>
              </w:rPr>
            </w:pPr>
            <w:r>
              <w:rPr>
                <w:rFonts w:hint="eastAsia" w:ascii="宋体" w:hAnsi="宋体" w:cs="宋体"/>
                <w:color w:val="auto"/>
                <w:szCs w:val="21"/>
                <w:highlight w:val="none"/>
              </w:rPr>
              <w:t>3.供应商为联合体的，可以由联合体中的一方或者多方共同交纳竞标保证金，其交纳的保证金对联合体各方均具有约束力。</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备注：</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1.竞标保证金在响应文件提交截止时间后提交的，或者不按规定交纳方式交纳的，或者未足额交纳的（包含保函、保险额度不足的），视为无效竞标保证金。</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2.供应商采用现钞方式或者从个人账户（自然人竞标除外）转出的竞标保证金，视为无效竞标保证金。</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3.支票、汇票或者本票出现无效或者背书情形的，视为无效竞标保证金。</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4.保函、保险有效期低于竞标有效期的，视为无效竞标保证金。</w:t>
            </w:r>
          </w:p>
          <w:p>
            <w:pPr>
              <w:snapToGrid w:val="0"/>
              <w:spacing w:line="360" w:lineRule="auto"/>
              <w:rPr>
                <w:rFonts w:hint="eastAsia" w:ascii="宋体" w:hAnsi="宋体" w:cs="宋体"/>
                <w:b/>
                <w:color w:val="auto"/>
                <w:szCs w:val="21"/>
                <w:highlight w:val="none"/>
              </w:rPr>
            </w:pPr>
            <w:r>
              <w:rPr>
                <w:rFonts w:hint="eastAsia" w:ascii="宋体" w:hAnsi="宋体"/>
                <w:b/>
                <w:color w:val="auto"/>
                <w:szCs w:val="21"/>
                <w:highlight w:val="none"/>
              </w:rPr>
              <w:t>5.采用金融机构、担保机构出具保函、保险的，必须为无条</w:t>
            </w:r>
            <w:r>
              <w:rPr>
                <w:rFonts w:hint="eastAsia" w:ascii="宋体" w:hAnsi="宋体" w:cs="宋体"/>
                <w:b/>
                <w:color w:val="auto"/>
                <w:szCs w:val="21"/>
                <w:highlight w:val="none"/>
              </w:rPr>
              <w:t>件保函</w:t>
            </w:r>
            <w:r>
              <w:rPr>
                <w:rFonts w:hint="eastAsia" w:ascii="宋体" w:hAnsi="宋体"/>
                <w:b/>
                <w:color w:val="auto"/>
                <w:szCs w:val="21"/>
                <w:highlight w:val="none"/>
              </w:rPr>
              <w:t>、保险</w:t>
            </w:r>
            <w:r>
              <w:rPr>
                <w:rFonts w:hint="eastAsia" w:ascii="宋体" w:hAnsi="宋体" w:cs="宋体"/>
                <w:b/>
                <w:color w:val="auto"/>
                <w:szCs w:val="21"/>
                <w:highlight w:val="none"/>
              </w:rPr>
              <w:t>，否则视为无效竞标保证金。</w:t>
            </w:r>
          </w:p>
          <w:p>
            <w:pPr>
              <w:spacing w:line="360" w:lineRule="auto"/>
              <w:rPr>
                <w:rFonts w:hint="eastAsia" w:ascii="宋体" w:hAnsi="宋体"/>
                <w:color w:val="auto"/>
                <w:szCs w:val="21"/>
                <w:highlight w:val="none"/>
              </w:rPr>
            </w:pPr>
            <w:r>
              <w:rPr>
                <w:rFonts w:ascii="宋体" w:hAnsi="宋体"/>
                <w:b/>
                <w:color w:val="auto"/>
                <w:highlight w:val="none"/>
              </w:rPr>
              <w:t>6.</w:t>
            </w:r>
            <w:r>
              <w:rPr>
                <w:rFonts w:hint="eastAsia" w:ascii="宋体" w:hAnsi="宋体"/>
                <w:b/>
                <w:color w:val="auto"/>
                <w:highlight w:val="none"/>
              </w:rPr>
              <w:t>采用竞标保证保险的，保单确定的受益人（本项目采购人）的权益应与采用银行保函形式同等，否则视为无效竞标保证金。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5</w:t>
            </w:r>
          </w:p>
        </w:tc>
        <w:tc>
          <w:tcPr>
            <w:tcW w:w="8038" w:type="dxa"/>
            <w:vAlign w:val="center"/>
          </w:tcPr>
          <w:p>
            <w:pPr>
              <w:spacing w:line="360" w:lineRule="auto"/>
              <w:rPr>
                <w:rFonts w:ascii="宋体" w:hAnsi="Calibri" w:cs="宋体"/>
                <w:color w:val="auto"/>
                <w:kern w:val="0"/>
                <w:szCs w:val="21"/>
                <w:highlight w:val="none"/>
              </w:rPr>
            </w:pPr>
            <w:r>
              <w:rPr>
                <w:rFonts w:hint="eastAsia" w:ascii="宋体" w:hAnsi="Calibri" w:cs="宋体"/>
                <w:color w:val="auto"/>
                <w:kern w:val="0"/>
                <w:szCs w:val="21"/>
                <w:highlight w:val="none"/>
              </w:rPr>
              <w:t>联合体竞标：</w:t>
            </w:r>
          </w:p>
          <w:p>
            <w:pPr>
              <w:spacing w:line="360" w:lineRule="auto"/>
              <w:rPr>
                <w:rFonts w:hint="eastAsia"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接受联合体竞标。</w:t>
            </w:r>
          </w:p>
          <w:p>
            <w:pPr>
              <w:spacing w:line="360" w:lineRule="auto"/>
              <w:rPr>
                <w:rFonts w:hint="eastAsia" w:ascii="宋体" w:hAnsi="宋体"/>
                <w:color w:val="auto"/>
                <w:szCs w:val="21"/>
                <w:highlight w:val="none"/>
              </w:rPr>
            </w:pPr>
            <w:r>
              <w:rPr>
                <w:rFonts w:hint="eastAsia" w:ascii="宋体" w:hAnsi="Calibri" w:cs="宋体"/>
                <w:color w:val="auto"/>
                <w:kern w:val="0"/>
                <w:szCs w:val="21"/>
                <w:highlight w:val="none"/>
              </w:rPr>
              <w:t>☑</w:t>
            </w:r>
            <w:r>
              <w:rPr>
                <w:rFonts w:hint="eastAsia" w:ascii="宋体" w:hAnsi="宋体"/>
                <w:color w:val="auto"/>
                <w:szCs w:val="21"/>
                <w:highlight w:val="none"/>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4</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6</w:t>
            </w:r>
          </w:p>
        </w:tc>
        <w:tc>
          <w:tcPr>
            <w:tcW w:w="8038" w:type="dxa"/>
            <w:vAlign w:val="center"/>
          </w:tcPr>
          <w:p>
            <w:pPr>
              <w:spacing w:line="360" w:lineRule="auto"/>
              <w:rPr>
                <w:rFonts w:ascii="宋体" w:hAnsi="Calibri" w:cs="宋体"/>
                <w:color w:val="auto"/>
                <w:kern w:val="0"/>
                <w:szCs w:val="21"/>
                <w:highlight w:val="none"/>
              </w:rPr>
            </w:pPr>
            <w:r>
              <w:rPr>
                <w:rFonts w:hint="eastAsia" w:ascii="宋体" w:hAnsi="Calibri" w:cs="宋体"/>
                <w:color w:val="auto"/>
                <w:kern w:val="0"/>
                <w:szCs w:val="21"/>
                <w:highlight w:val="none"/>
              </w:rPr>
              <w:t>是否允许分包：</w:t>
            </w:r>
          </w:p>
          <w:p>
            <w:pPr>
              <w:spacing w:line="360" w:lineRule="auto"/>
              <w:rPr>
                <w:rFonts w:ascii="宋体" w:hAnsi="Calibri" w:cs="宋体"/>
                <w:color w:val="auto"/>
                <w:kern w:val="0"/>
                <w:szCs w:val="21"/>
                <w:highlight w:val="none"/>
              </w:rPr>
            </w:pPr>
            <w:r>
              <w:rPr>
                <w:rFonts w:hint="eastAsia" w:ascii="宋体" w:hAnsi="Calibri" w:cs="宋体"/>
                <w:color w:val="auto"/>
                <w:kern w:val="0"/>
                <w:szCs w:val="21"/>
                <w:highlight w:val="none"/>
              </w:rPr>
              <w:t>☑不允许分包</w:t>
            </w:r>
          </w:p>
          <w:p>
            <w:pPr>
              <w:spacing w:line="360" w:lineRule="auto"/>
              <w:rPr>
                <w:rFonts w:ascii="宋体" w:hAnsi="Calibri" w:cs="宋体"/>
                <w:color w:val="auto"/>
                <w:kern w:val="0"/>
                <w:szCs w:val="21"/>
                <w:highlight w:val="none"/>
              </w:rPr>
            </w:pPr>
            <w:r>
              <w:rPr>
                <w:rFonts w:hint="eastAsia" w:ascii="宋体" w:hAnsi="Calibri" w:cs="宋体"/>
                <w:color w:val="auto"/>
                <w:kern w:val="0"/>
                <w:szCs w:val="21"/>
                <w:highlight w:val="none"/>
              </w:rPr>
              <w:t>□允许分包</w:t>
            </w:r>
          </w:p>
          <w:p>
            <w:pPr>
              <w:spacing w:line="360" w:lineRule="auto"/>
              <w:rPr>
                <w:rFonts w:hint="eastAsia" w:ascii="宋体" w:hAnsi="宋体"/>
                <w:color w:val="auto"/>
                <w:szCs w:val="21"/>
                <w:highlight w:val="none"/>
              </w:rPr>
            </w:pPr>
            <w:r>
              <w:rPr>
                <w:rFonts w:hint="eastAsia" w:ascii="宋体" w:hAnsi="Calibri" w:cs="宋体"/>
                <w:color w:val="auto"/>
                <w:kern w:val="0"/>
                <w:szCs w:val="21"/>
                <w:highlight w:val="none"/>
              </w:rPr>
              <w:t>分包内容：</w:t>
            </w:r>
            <w:r>
              <w:rPr>
                <w:rFonts w:hint="eastAsia" w:ascii="宋体" w:hAnsi="Calibri" w:cs="宋体"/>
                <w:color w:val="auto"/>
                <w:kern w:val="0"/>
                <w:szCs w:val="21"/>
                <w:highlight w:val="none"/>
                <w:u w:val="single"/>
              </w:rPr>
              <w:t xml:space="preserve">                       </w:t>
            </w:r>
            <w:r>
              <w:rPr>
                <w:rFonts w:hint="eastAsia" w:ascii="宋体" w:hAnsi="Calibri"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5</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16</w:t>
            </w:r>
          </w:p>
        </w:tc>
        <w:tc>
          <w:tcPr>
            <w:tcW w:w="8038" w:type="dxa"/>
            <w:vAlign w:val="center"/>
          </w:tcPr>
          <w:p>
            <w:pPr>
              <w:spacing w:line="360" w:lineRule="auto"/>
              <w:rPr>
                <w:rFonts w:hint="eastAsia" w:ascii="宋体" w:hAnsi="宋体"/>
                <w:color w:val="auto"/>
                <w:szCs w:val="21"/>
                <w:highlight w:val="none"/>
              </w:rPr>
            </w:pPr>
            <w:r>
              <w:rPr>
                <w:rFonts w:hint="eastAsia" w:ascii="宋体" w:hAnsi="宋体" w:cs="宋体"/>
                <w:color w:val="auto"/>
                <w:szCs w:val="21"/>
                <w:highlight w:val="none"/>
              </w:rPr>
              <w:t>响应文件有效期：提交首次响应文件截止之日起120天内。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6</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13.1</w:t>
            </w:r>
          </w:p>
        </w:tc>
        <w:tc>
          <w:tcPr>
            <w:tcW w:w="8038" w:type="dxa"/>
            <w:vAlign w:val="center"/>
          </w:tcPr>
          <w:p>
            <w:pPr>
              <w:pStyle w:val="20"/>
              <w:spacing w:line="360" w:lineRule="auto"/>
              <w:rPr>
                <w:rFonts w:hint="eastAsia" w:hAnsi="宋体"/>
                <w:b/>
                <w:color w:val="auto"/>
                <w:sz w:val="21"/>
                <w:szCs w:val="21"/>
                <w:highlight w:val="none"/>
              </w:rPr>
            </w:pPr>
            <w:r>
              <w:rPr>
                <w:rFonts w:hint="eastAsia" w:hAnsi="宋体" w:cs="Adobe 宋体 Std L"/>
                <w:b/>
                <w:bCs/>
                <w:color w:val="auto"/>
                <w:szCs w:val="21"/>
                <w:highlight w:val="none"/>
              </w:rPr>
              <w:t>资格证明文件</w:t>
            </w:r>
            <w:r>
              <w:rPr>
                <w:rFonts w:hint="eastAsia" w:hAnsi="宋体" w:cs="宋体"/>
                <w:b/>
                <w:color w:val="auto"/>
                <w:szCs w:val="21"/>
                <w:highlight w:val="none"/>
              </w:rPr>
              <w:t>【下列第1至</w:t>
            </w:r>
            <w:r>
              <w:rPr>
                <w:rFonts w:hint="eastAsia" w:hAnsi="宋体" w:cs="宋体"/>
                <w:b/>
                <w:color w:val="auto"/>
                <w:szCs w:val="21"/>
                <w:highlight w:val="none"/>
                <w:lang w:val="en-US" w:eastAsia="zh-CN"/>
              </w:rPr>
              <w:t>6</w:t>
            </w:r>
            <w:r>
              <w:rPr>
                <w:rFonts w:hint="eastAsia" w:hAnsi="宋体" w:cs="宋体"/>
                <w:b/>
                <w:color w:val="auto"/>
                <w:szCs w:val="21"/>
                <w:highlight w:val="none"/>
              </w:rPr>
              <w:t>项必须提供</w:t>
            </w:r>
            <w:r>
              <w:rPr>
                <w:rFonts w:hint="eastAsia" w:hAnsi="宋体" w:cs="Courier New"/>
                <w:b/>
                <w:color w:val="auto"/>
                <w:highlight w:val="none"/>
              </w:rPr>
              <w:t>（注明不须提供的情形除外）</w:t>
            </w:r>
            <w:r>
              <w:rPr>
                <w:rFonts w:hint="eastAsia" w:hAnsi="宋体" w:cs="宋体"/>
                <w:b/>
                <w:color w:val="auto"/>
                <w:szCs w:val="21"/>
                <w:highlight w:val="none"/>
              </w:rPr>
              <w:t>，否则响应文件按竞标无效处理，其他如有请提供】</w:t>
            </w:r>
            <w:r>
              <w:rPr>
                <w:rFonts w:hint="eastAsia" w:hAnsi="宋体" w:cs="宋体"/>
                <w:color w:val="auto"/>
                <w:szCs w:val="21"/>
                <w:highlight w:val="none"/>
              </w:rPr>
              <w:t>：</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rPr>
              <w:t>（1）谈判声明书(按第四章要求格式填写)；</w:t>
            </w:r>
          </w:p>
          <w:p>
            <w:pPr>
              <w:spacing w:line="360" w:lineRule="auto"/>
              <w:jc w:val="left"/>
              <w:rPr>
                <w:rFonts w:hint="eastAsia" w:hAnsi="宋体"/>
                <w:color w:val="auto"/>
                <w:szCs w:val="21"/>
                <w:highlight w:val="none"/>
              </w:rPr>
            </w:pPr>
            <w:r>
              <w:rPr>
                <w:rFonts w:hint="eastAsia" w:ascii="宋体" w:hAnsi="宋体"/>
                <w:color w:val="auto"/>
                <w:szCs w:val="21"/>
                <w:highlight w:val="none"/>
              </w:rPr>
              <w:t>（2）供应商</w:t>
            </w:r>
            <w:r>
              <w:rPr>
                <w:rFonts w:hint="eastAsia" w:hAnsi="宋体"/>
                <w:color w:val="auto"/>
                <w:szCs w:val="21"/>
                <w:highlight w:val="none"/>
              </w:rPr>
              <w:t>合法的主体资格证明（如营业执照、事业单位法人证书、执业许可证、个体工商户营业执照、自然人身份证等）复印件</w:t>
            </w:r>
            <w:r>
              <w:rPr>
                <w:rFonts w:hint="eastAsia" w:ascii="宋体" w:hAnsi="宋体"/>
                <w:bCs/>
                <w:color w:val="auto"/>
                <w:szCs w:val="21"/>
                <w:highlight w:val="none"/>
              </w:rPr>
              <w:t>；</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政府采购供应商资格信用承诺函(按第四章要求格式填写)；</w:t>
            </w:r>
          </w:p>
          <w:p>
            <w:pPr>
              <w:spacing w:line="360" w:lineRule="auto"/>
              <w:jc w:val="left"/>
              <w:rPr>
                <w:color w:val="auto"/>
                <w:szCs w:val="21"/>
                <w:highlight w:val="none"/>
              </w:rPr>
            </w:pPr>
            <w:r>
              <w:rPr>
                <w:rFonts w:hint="eastAsia" w:ascii="宋体" w:hAnsi="宋体"/>
                <w:color w:val="auto"/>
                <w:szCs w:val="21"/>
                <w:highlight w:val="none"/>
              </w:rPr>
              <w:t xml:space="preserve">（4）参加政府采购活动前三年内在经营活动中没有重大违法记录和不良信用记录的书面声明书（格式自拟）； </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rPr>
              <w:t>（5）供应商直接控股、管理关系信息表(按第四章要求格式填写)；</w:t>
            </w:r>
          </w:p>
          <w:p>
            <w:pPr>
              <w:spacing w:line="360" w:lineRule="auto"/>
              <w:jc w:val="left"/>
              <w:rPr>
                <w:rFonts w:hint="eastAsia" w:ascii="宋体" w:hAnsi="宋体" w:eastAsia="宋体" w:cs="Times New Roman"/>
                <w:color w:val="auto"/>
                <w:szCs w:val="21"/>
                <w:highlight w:val="none"/>
              </w:rPr>
            </w:pPr>
            <w:r>
              <w:rPr>
                <w:rFonts w:hint="eastAsia" w:ascii="宋体" w:hAnsi="宋体"/>
                <w:color w:val="auto"/>
                <w:szCs w:val="21"/>
                <w:highlight w:val="none"/>
              </w:rPr>
              <w:t>（6）</w:t>
            </w:r>
            <w:bookmarkStart w:id="11" w:name="OLE_LINK11"/>
            <w:r>
              <w:rPr>
                <w:rFonts w:hint="eastAsia" w:ascii="宋体" w:hAnsi="宋体" w:eastAsia="宋体" w:cs="Times New Roman"/>
                <w:color w:val="auto"/>
                <w:szCs w:val="21"/>
                <w:highlight w:val="none"/>
              </w:rPr>
              <w:t>中小企业声明函或者残疾人福利性单位声明函或者供应商属于监狱企业的证明材料；</w:t>
            </w:r>
            <w:r>
              <w:rPr>
                <w:rFonts w:hint="eastAsia" w:ascii="宋体" w:hAnsi="宋体" w:eastAsia="宋体" w:cs="Times New Roman"/>
                <w:b/>
                <w:bCs/>
                <w:color w:val="auto"/>
                <w:szCs w:val="21"/>
                <w:highlight w:val="none"/>
              </w:rPr>
              <w:t>（必须提供，否则响应文件按无效响应处理）</w:t>
            </w:r>
          </w:p>
          <w:bookmarkEnd w:id="11"/>
          <w:p>
            <w:pPr>
              <w:spacing w:line="360" w:lineRule="auto"/>
              <w:jc w:val="left"/>
              <w:rPr>
                <w:rFonts w:hint="eastAsia" w:hAnsi="宋体"/>
                <w:bCs/>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）联合体协议书（联合体投标时必须提供，否则投标无效）；</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1.以上文件均须法定代表人或被授权人在规定签章处签字（或者电子签名或者加盖电子印章）并加盖单位电子公章，否则作竞标无效处理。</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2.以上文件属于复印件的，必须加盖供应商电子公章，否则作竞标无效处理。</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3.分支机构竞标说明：</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供应商如为分支机构竞标的须提供其总公司主体资格证明（如营业执照、事业单位法人证书、执业许可证等）、竞标授权书及相关资质证书。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7</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13.2</w:t>
            </w:r>
          </w:p>
        </w:tc>
        <w:tc>
          <w:tcPr>
            <w:tcW w:w="8038" w:type="dxa"/>
            <w:vAlign w:val="center"/>
          </w:tcPr>
          <w:p>
            <w:pPr>
              <w:spacing w:line="360" w:lineRule="auto"/>
              <w:rPr>
                <w:rFonts w:hint="eastAsia" w:ascii="宋体" w:hAnsi="宋体" w:cs="Adobe 宋体 Std L"/>
                <w:b/>
                <w:bCs/>
                <w:color w:val="auto"/>
                <w:szCs w:val="21"/>
                <w:highlight w:val="none"/>
              </w:rPr>
            </w:pPr>
            <w:r>
              <w:rPr>
                <w:rFonts w:hint="eastAsia" w:ascii="宋体" w:hAnsi="宋体" w:cs="Adobe 宋体 Std L"/>
                <w:b/>
                <w:bCs/>
                <w:color w:val="auto"/>
                <w:szCs w:val="21"/>
                <w:highlight w:val="none"/>
              </w:rPr>
              <w:t>商务和技术文件</w:t>
            </w:r>
            <w:r>
              <w:rPr>
                <w:rFonts w:hint="eastAsia" w:ascii="宋体" w:hAnsi="宋体" w:cs="宋体"/>
                <w:b/>
                <w:color w:val="auto"/>
                <w:szCs w:val="21"/>
                <w:highlight w:val="none"/>
              </w:rPr>
              <w:t>【下列第1至</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项必须提供，否则响应文件按竞标无效处理</w:t>
            </w:r>
            <w:r>
              <w:rPr>
                <w:rFonts w:hint="eastAsia" w:ascii="宋体" w:hAnsi="宋体"/>
                <w:b/>
                <w:color w:val="auto"/>
                <w:szCs w:val="21"/>
                <w:highlight w:val="none"/>
              </w:rPr>
              <w:t>；</w:t>
            </w:r>
            <w:r>
              <w:rPr>
                <w:rFonts w:hint="eastAsia" w:ascii="宋体" w:hAnsi="宋体" w:cs="宋体"/>
                <w:b/>
                <w:color w:val="auto"/>
                <w:szCs w:val="21"/>
                <w:highlight w:val="none"/>
              </w:rPr>
              <w:t>其他如有请提供】：</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（1）</w:t>
            </w:r>
            <w:bookmarkStart w:id="12" w:name="OLE_LINK12"/>
            <w:r>
              <w:rPr>
                <w:rFonts w:hint="eastAsia" w:ascii="宋体" w:hAnsi="宋体"/>
                <w:color w:val="auto"/>
                <w:szCs w:val="21"/>
                <w:highlight w:val="none"/>
              </w:rPr>
              <w:t>法定代表人身份证明书(按第四章要求格式填写)</w:t>
            </w:r>
            <w:bookmarkEnd w:id="12"/>
            <w:r>
              <w:rPr>
                <w:rFonts w:hint="eastAsia" w:ascii="宋体" w:hAnsi="宋体"/>
                <w:color w:val="auto"/>
                <w:szCs w:val="21"/>
                <w:highlight w:val="none"/>
              </w:rPr>
              <w:t xml:space="preserve">； </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（2）法定代表人授权委托书及被授权委托人身份证复印件(委托代理时，按第四章要求格式填写)；</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）商务响应表(按第四章要求格式填写)；</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）技术响应表(按第四章要求格式填写，附“第三章采购需求”中要求提供的相关材料)；</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）设备配置清单；(按第四章要求格式填写)； </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）项目实施方案；(按第四章要求格式填写)；</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w:t>
            </w:r>
            <w:bookmarkStart w:id="13" w:name="OLE_LINK15"/>
            <w:r>
              <w:rPr>
                <w:rFonts w:hint="eastAsia" w:ascii="宋体" w:hAnsi="宋体"/>
                <w:color w:val="auto"/>
                <w:szCs w:val="21"/>
                <w:highlight w:val="none"/>
              </w:rPr>
              <w:t>售后服务方案及承诺书(按第四章要求格式填写)</w:t>
            </w:r>
            <w:bookmarkEnd w:id="13"/>
            <w:r>
              <w:rPr>
                <w:rFonts w:hint="eastAsia" w:ascii="宋体" w:hAnsi="宋体"/>
                <w:color w:val="auto"/>
                <w:szCs w:val="21"/>
                <w:highlight w:val="none"/>
              </w:rPr>
              <w:t>；</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）选配件、专用耗材、售后服务优惠表(按第四章要求格式填写)；</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）供应商同类项目业绩一览表(按第四章要求格式填写)；</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）供应商对本项目的合理化建议和改进措施（格式自拟）；</w:t>
            </w:r>
          </w:p>
          <w:p>
            <w:pPr>
              <w:spacing w:line="360" w:lineRule="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）供应商认为需要提供的其他证明材料。（供应商根据“第三章 采购需求”及“第六章 评标方法及评标标准”提供有关证明材料）。</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1.以上文件均须法定代表人或被授权人在规定签章处签字（或者电子签名或者加盖电子印章）并加盖单位电子公章，否则作竞标无效处理。</w:t>
            </w:r>
          </w:p>
          <w:p>
            <w:pPr>
              <w:snapToGrid w:val="0"/>
              <w:spacing w:line="360" w:lineRule="auto"/>
              <w:ind w:firstLine="413" w:firstLineChars="196"/>
              <w:jc w:val="left"/>
              <w:rPr>
                <w:rFonts w:hint="eastAsia" w:ascii="宋体" w:hAnsi="宋体"/>
                <w:color w:val="auto"/>
                <w:szCs w:val="21"/>
                <w:highlight w:val="none"/>
              </w:rPr>
            </w:pPr>
            <w:r>
              <w:rPr>
                <w:rFonts w:hint="eastAsia" w:ascii="宋体" w:hAnsi="宋体" w:cs="宋体"/>
                <w:b/>
                <w:color w:val="auto"/>
                <w:szCs w:val="21"/>
                <w:highlight w:val="none"/>
              </w:rPr>
              <w:t>2.以上文件属于复印件的，必须加盖供应商电子公章，否则作竞标无效处理。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8</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13.3</w:t>
            </w:r>
          </w:p>
        </w:tc>
        <w:tc>
          <w:tcPr>
            <w:tcW w:w="8038" w:type="dxa"/>
            <w:vAlign w:val="center"/>
          </w:tcPr>
          <w:p>
            <w:pPr>
              <w:spacing w:line="360" w:lineRule="auto"/>
              <w:rPr>
                <w:rFonts w:hint="eastAsia" w:ascii="宋体" w:hAnsi="宋体" w:cs="Adobe 宋体 Std L"/>
                <w:b/>
                <w:bCs/>
                <w:color w:val="auto"/>
                <w:szCs w:val="21"/>
                <w:highlight w:val="none"/>
              </w:rPr>
            </w:pPr>
            <w:r>
              <w:rPr>
                <w:rFonts w:hint="eastAsia" w:ascii="宋体" w:hAnsi="宋体" w:cs="Adobe 宋体 Std L"/>
                <w:b/>
                <w:bCs/>
                <w:color w:val="auto"/>
                <w:szCs w:val="21"/>
                <w:highlight w:val="none"/>
              </w:rPr>
              <w:t>报价文件</w:t>
            </w:r>
            <w:r>
              <w:rPr>
                <w:rFonts w:hint="eastAsia" w:ascii="宋体" w:hAnsi="宋体" w:cs="宋体"/>
                <w:b/>
                <w:color w:val="auto"/>
                <w:szCs w:val="21"/>
                <w:highlight w:val="none"/>
              </w:rPr>
              <w:t>【下列第1至2项必须提供，否则响应文件按竞标无效处理</w:t>
            </w:r>
            <w:r>
              <w:rPr>
                <w:rFonts w:hint="eastAsia" w:ascii="宋体" w:hAnsi="宋体"/>
                <w:b/>
                <w:color w:val="auto"/>
                <w:szCs w:val="21"/>
                <w:highlight w:val="none"/>
              </w:rPr>
              <w:t>；</w:t>
            </w:r>
            <w:r>
              <w:rPr>
                <w:rFonts w:hint="eastAsia" w:ascii="宋体" w:hAnsi="宋体" w:cs="宋体"/>
                <w:b/>
                <w:color w:val="auto"/>
                <w:szCs w:val="21"/>
                <w:highlight w:val="none"/>
              </w:rPr>
              <w:t>其他如有请提供】：</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（1）竞标函（按第四章要求格式填写）；</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w:t>
            </w:r>
            <w:bookmarkStart w:id="14" w:name="OLE_LINK16"/>
            <w:r>
              <w:rPr>
                <w:rFonts w:hint="eastAsia" w:ascii="宋体" w:hAnsi="宋体"/>
                <w:color w:val="auto"/>
                <w:szCs w:val="21"/>
                <w:highlight w:val="none"/>
              </w:rPr>
              <w:t>报价表 (按第四章要求格式填写)</w:t>
            </w:r>
            <w:bookmarkEnd w:id="14"/>
            <w:r>
              <w:rPr>
                <w:rFonts w:hint="eastAsia" w:ascii="宋体" w:hAnsi="宋体"/>
                <w:color w:val="auto"/>
                <w:szCs w:val="21"/>
                <w:highlight w:val="none"/>
              </w:rPr>
              <w:t xml:space="preserve"> ； </w:t>
            </w:r>
            <w:bookmarkStart w:id="53" w:name="_GoBack"/>
            <w:bookmarkEnd w:id="53"/>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）监狱企业由省级以上监狱管理局、戒毒管理局（含新疆生产建设兵团）出具的属于监狱企业的证明文件；</w:t>
            </w:r>
          </w:p>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）残疾人福利性单位声明函（供应商如为残疾人福利性单位的请按第四章要求的格式提供，否则不予享受优惠政策）；</w:t>
            </w:r>
          </w:p>
          <w:p>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）供应商针对报价需要说明的其他文件和说明（如有，格式自拟）</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1.以上文件均须法定代表人或被授权人在规定签章处签字（或者电子签名或者加盖电子印章）并加盖单位电子公章，否则作竞标无效处理。</w:t>
            </w:r>
          </w:p>
          <w:p>
            <w:pPr>
              <w:spacing w:line="360" w:lineRule="auto"/>
              <w:rPr>
                <w:rFonts w:hint="eastAsia" w:ascii="宋体" w:hAnsi="宋体"/>
                <w:color w:val="auto"/>
                <w:szCs w:val="21"/>
                <w:highlight w:val="none"/>
              </w:rPr>
            </w:pPr>
            <w:r>
              <w:rPr>
                <w:rFonts w:hint="eastAsia" w:ascii="宋体" w:hAnsi="宋体" w:cs="宋体"/>
                <w:b/>
                <w:color w:val="auto"/>
                <w:szCs w:val="21"/>
                <w:highlight w:val="none"/>
              </w:rPr>
              <w:t>2.以上文件属于复印件的，必须加盖供应商电子公章，否则作竞标无效处理。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9</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34.6</w:t>
            </w:r>
          </w:p>
        </w:tc>
        <w:tc>
          <w:tcPr>
            <w:tcW w:w="8038" w:type="dxa"/>
            <w:vAlign w:val="center"/>
          </w:tcPr>
          <w:p>
            <w:pPr>
              <w:spacing w:line="360" w:lineRule="auto"/>
              <w:rPr>
                <w:rFonts w:hint="eastAsia" w:ascii="宋体" w:hAnsi="宋体" w:cs="宋体"/>
                <w:b/>
                <w:color w:val="auto"/>
                <w:szCs w:val="21"/>
                <w:highlight w:val="none"/>
              </w:rPr>
            </w:pPr>
            <w:r>
              <w:rPr>
                <w:rFonts w:hint="eastAsia" w:ascii="MS Mincho" w:hAnsi="MS Mincho" w:cs="MS Mincho"/>
                <w:b/>
                <w:color w:val="auto"/>
                <w:szCs w:val="21"/>
                <w:highlight w:val="none"/>
                <w:lang w:eastAsia="zh-CN"/>
              </w:rPr>
              <w:t>☑</w:t>
            </w:r>
            <w:r>
              <w:rPr>
                <w:rFonts w:hint="eastAsia" w:ascii="宋体" w:hAnsi="宋体" w:cs="宋体"/>
                <w:b/>
                <w:color w:val="auto"/>
                <w:szCs w:val="21"/>
                <w:highlight w:val="none"/>
              </w:rPr>
              <w:t>无履约保证金</w:t>
            </w:r>
          </w:p>
          <w:p>
            <w:pPr>
              <w:spacing w:line="360" w:lineRule="auto"/>
              <w:rPr>
                <w:rFonts w:hint="eastAsia" w:ascii="宋体" w:hAnsi="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有履约保证金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10</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37.1</w:t>
            </w:r>
          </w:p>
        </w:tc>
        <w:tc>
          <w:tcPr>
            <w:tcW w:w="8038" w:type="dxa"/>
            <w:vAlign w:val="center"/>
          </w:tcPr>
          <w:p>
            <w:pPr>
              <w:spacing w:line="360" w:lineRule="auto"/>
              <w:rPr>
                <w:rFonts w:hint="eastAsia" w:hAnsi="宋体" w:cs="Arial"/>
                <w:color w:val="auto"/>
                <w:szCs w:val="21"/>
                <w:highlight w:val="none"/>
              </w:rPr>
            </w:pPr>
            <w:r>
              <w:rPr>
                <w:rFonts w:hint="eastAsia" w:ascii="宋体" w:hAnsi="宋体" w:cs="宋体"/>
                <w:color w:val="auto"/>
                <w:szCs w:val="21"/>
                <w:highlight w:val="none"/>
              </w:rPr>
              <w:t>代理服务收费标准：1.本项目竞标应以人民币报价；2.不论竞标结果如何，供应商均应自行承担所有与竞标有关的全部费用；3.</w:t>
            </w:r>
            <w:bookmarkStart w:id="15" w:name="OLE_LINK9"/>
            <w:r>
              <w:rPr>
                <w:rFonts w:hint="eastAsia" w:ascii="宋体" w:hAnsi="宋体" w:cs="宋体"/>
                <w:color w:val="auto"/>
                <w:szCs w:val="21"/>
                <w:highlight w:val="none"/>
              </w:rPr>
              <w:t>本项目的代理服务费按本须知第40.2款规定的（货物类）标准采用差额定率累进计费方式计算（取整到元），由成交供应商向采购代理机构支付。</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11</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34</w:t>
            </w:r>
          </w:p>
        </w:tc>
        <w:tc>
          <w:tcPr>
            <w:tcW w:w="8038" w:type="dxa"/>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w:t>
            </w:r>
          </w:p>
          <w:p>
            <w:pPr>
              <w:spacing w:line="360"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12</w:t>
            </w:r>
          </w:p>
        </w:tc>
        <w:tc>
          <w:tcPr>
            <w:tcW w:w="925"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8</w:t>
            </w:r>
          </w:p>
        </w:tc>
        <w:tc>
          <w:tcPr>
            <w:tcW w:w="8038" w:type="dxa"/>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pPr>
              <w:pStyle w:val="20"/>
              <w:snapToGrid w:val="0"/>
              <w:spacing w:line="360" w:lineRule="auto"/>
              <w:rPr>
                <w:rFonts w:hint="eastAsia" w:hAnsi="宋体" w:cs="宋体"/>
                <w:color w:val="auto"/>
                <w:kern w:val="2"/>
                <w:sz w:val="21"/>
                <w:highlight w:val="none"/>
              </w:rPr>
            </w:pPr>
            <w:r>
              <w:rPr>
                <w:rFonts w:hint="eastAsia" w:hAnsi="宋体" w:cs="宋体"/>
                <w:color w:val="auto"/>
                <w:kern w:val="2"/>
                <w:sz w:val="21"/>
                <w:highlight w:val="none"/>
              </w:rPr>
              <w:t>质疑联系部门及联系方式：广西银泰工程管理有限公司项目部，</w:t>
            </w:r>
          </w:p>
          <w:p>
            <w:pPr>
              <w:pStyle w:val="20"/>
              <w:snapToGrid w:val="0"/>
              <w:spacing w:line="360" w:lineRule="auto"/>
              <w:rPr>
                <w:rFonts w:hint="eastAsia" w:hAnsi="宋体" w:cs="宋体"/>
                <w:color w:val="auto"/>
                <w:kern w:val="2"/>
                <w:sz w:val="21"/>
                <w:highlight w:val="none"/>
              </w:rPr>
            </w:pPr>
            <w:r>
              <w:rPr>
                <w:rFonts w:hint="eastAsia" w:hAnsi="宋体" w:cs="宋体"/>
                <w:color w:val="auto"/>
                <w:kern w:val="2"/>
                <w:sz w:val="21"/>
                <w:highlight w:val="none"/>
              </w:rPr>
              <w:t>联系电话：0772-2813184，通讯地址：广西柳州市东环大道168号翡翠龙庭12栋3-17。</w:t>
            </w:r>
          </w:p>
          <w:p>
            <w:pPr>
              <w:spacing w:line="360" w:lineRule="auto"/>
              <w:rPr>
                <w:rFonts w:hint="eastAsia" w:ascii="宋体" w:hAnsi="宋体" w:cs="宋体"/>
                <w:color w:val="auto"/>
                <w:szCs w:val="21"/>
                <w:highlight w:val="none"/>
              </w:rPr>
            </w:pPr>
            <w:r>
              <w:rPr>
                <w:rFonts w:hint="eastAsia" w:hAnsi="宋体" w:cs="宋体"/>
                <w:color w:val="auto"/>
                <w:highlight w:val="none"/>
              </w:rPr>
              <w:t>业务时间：8时30分到12时00分，14时30分到</w:t>
            </w:r>
            <w:r>
              <w:rPr>
                <w:rFonts w:hAnsi="宋体" w:cs="宋体"/>
                <w:color w:val="auto"/>
                <w:highlight w:val="none"/>
              </w:rPr>
              <w:t>18</w:t>
            </w:r>
            <w:r>
              <w:rPr>
                <w:rFonts w:hint="eastAsia" w:hAnsi="宋体" w:cs="宋体"/>
                <w:color w:val="auto"/>
                <w:highlight w:val="none"/>
              </w:rPr>
              <w:t>时00分，</w:t>
            </w:r>
            <w:r>
              <w:rPr>
                <w:rFonts w:hint="eastAsia" w:hAnsi="宋体"/>
                <w:color w:val="auto"/>
                <w:highlight w:val="none"/>
              </w:rPr>
              <w:t>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1" w:type="dxa"/>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13</w:t>
            </w:r>
          </w:p>
        </w:tc>
        <w:tc>
          <w:tcPr>
            <w:tcW w:w="925" w:type="dxa"/>
            <w:vAlign w:val="center"/>
          </w:tcPr>
          <w:p>
            <w:pPr>
              <w:spacing w:line="360" w:lineRule="auto"/>
              <w:jc w:val="center"/>
              <w:rPr>
                <w:rFonts w:hint="eastAsia" w:ascii="宋体" w:hAnsi="宋体"/>
                <w:color w:val="auto"/>
                <w:szCs w:val="21"/>
                <w:highlight w:val="none"/>
              </w:rPr>
            </w:pPr>
          </w:p>
        </w:tc>
        <w:tc>
          <w:tcPr>
            <w:tcW w:w="8038" w:type="dxa"/>
            <w:vAlign w:val="center"/>
          </w:tcPr>
          <w:p>
            <w:pPr>
              <w:autoSpaceDE w:val="0"/>
              <w:autoSpaceDN w:val="0"/>
              <w:adjustRightInd w:val="0"/>
              <w:spacing w:line="360" w:lineRule="auto"/>
              <w:jc w:val="left"/>
              <w:rPr>
                <w:rFonts w:hint="eastAsia" w:ascii="宋体" w:hAnsi="宋体" w:cs="宋体"/>
                <w:color w:val="auto"/>
                <w:szCs w:val="21"/>
                <w:highlight w:val="none"/>
              </w:rPr>
            </w:pPr>
            <w:r>
              <w:rPr>
                <w:rFonts w:hint="eastAsia" w:hAnsi="宋体"/>
                <w:color w:val="auto"/>
                <w:highlight w:val="none"/>
              </w:rPr>
              <w:t>解释：</w:t>
            </w:r>
            <w:r>
              <w:rPr>
                <w:rFonts w:hAnsi="宋体"/>
                <w:color w:val="auto"/>
                <w:highlight w:val="none"/>
              </w:rPr>
              <w:t>构成本</w:t>
            </w:r>
            <w:r>
              <w:rPr>
                <w:rFonts w:hint="eastAsia" w:hAnsi="宋体"/>
                <w:color w:val="auto"/>
                <w:highlight w:val="none"/>
              </w:rPr>
              <w:t>竞争性谈判文件</w:t>
            </w:r>
            <w:r>
              <w:rPr>
                <w:rFonts w:hAnsi="宋体"/>
                <w:color w:val="auto"/>
                <w:highlight w:val="none"/>
              </w:rPr>
              <w:t>的各个组成文件应互为解释，互为说明；除</w:t>
            </w:r>
            <w:r>
              <w:rPr>
                <w:rFonts w:hint="eastAsia" w:hAnsi="宋体"/>
                <w:color w:val="auto"/>
                <w:highlight w:val="none"/>
              </w:rPr>
              <w:t>竞争性谈判文件</w:t>
            </w:r>
            <w:r>
              <w:rPr>
                <w:rFonts w:hAnsi="宋体"/>
                <w:color w:val="auto"/>
                <w:highlight w:val="none"/>
              </w:rPr>
              <w:t>中有特别规定外，仅适用于</w:t>
            </w:r>
            <w:r>
              <w:rPr>
                <w:rFonts w:hint="eastAsia" w:hAnsi="宋体"/>
                <w:color w:val="auto"/>
                <w:highlight w:val="none"/>
              </w:rPr>
              <w:t>竞标</w:t>
            </w:r>
            <w:r>
              <w:rPr>
                <w:rFonts w:hAnsi="宋体"/>
                <w:color w:val="auto"/>
                <w:highlight w:val="none"/>
              </w:rPr>
              <w:t>阶段的规定，按</w:t>
            </w:r>
            <w:r>
              <w:rPr>
                <w:rFonts w:hint="eastAsia" w:hAnsi="宋体"/>
                <w:color w:val="auto"/>
                <w:highlight w:val="none"/>
              </w:rPr>
              <w:t>更正公告（澄清公告）</w:t>
            </w:r>
            <w:r>
              <w:rPr>
                <w:rFonts w:hAnsi="宋体"/>
                <w:color w:val="auto"/>
                <w:highlight w:val="none"/>
              </w:rPr>
              <w:t>、</w:t>
            </w:r>
            <w:r>
              <w:rPr>
                <w:rFonts w:hint="eastAsia" w:hAnsi="宋体"/>
                <w:color w:val="auto"/>
                <w:highlight w:val="none"/>
              </w:rPr>
              <w:t>竞争性谈判</w:t>
            </w:r>
            <w:r>
              <w:rPr>
                <w:rFonts w:hAnsi="宋体"/>
                <w:color w:val="auto"/>
                <w:highlight w:val="none"/>
              </w:rPr>
              <w:t>公告、</w:t>
            </w:r>
            <w:r>
              <w:rPr>
                <w:rFonts w:hint="eastAsia" w:hAnsi="宋体"/>
                <w:color w:val="auto"/>
                <w:highlight w:val="none"/>
              </w:rPr>
              <w:t>供应商</w:t>
            </w:r>
            <w:r>
              <w:rPr>
                <w:rFonts w:hAnsi="宋体"/>
                <w:color w:val="auto"/>
                <w:highlight w:val="none"/>
              </w:rPr>
              <w:t>须知</w:t>
            </w:r>
            <w:r>
              <w:rPr>
                <w:rFonts w:hint="eastAsia" w:hAnsi="宋体"/>
                <w:color w:val="auto"/>
                <w:highlight w:val="none"/>
              </w:rPr>
              <w:t>、采购需求</w:t>
            </w:r>
            <w:r>
              <w:rPr>
                <w:rFonts w:hAnsi="宋体"/>
                <w:color w:val="auto"/>
                <w:highlight w:val="none"/>
              </w:rPr>
              <w:t>、</w:t>
            </w:r>
            <w:r>
              <w:rPr>
                <w:rFonts w:hint="eastAsia"/>
                <w:color w:val="auto"/>
                <w:highlight w:val="none"/>
              </w:rPr>
              <w:t>评审程序、评审方法和评审标准</w:t>
            </w:r>
            <w:r>
              <w:rPr>
                <w:rFonts w:hAnsi="宋体"/>
                <w:color w:val="auto"/>
                <w:highlight w:val="none"/>
              </w:rPr>
              <w:t>、</w:t>
            </w:r>
            <w:r>
              <w:rPr>
                <w:rFonts w:hint="eastAsia" w:hAnsi="宋体"/>
                <w:color w:val="auto"/>
                <w:highlight w:val="none"/>
              </w:rPr>
              <w:t>响应</w:t>
            </w:r>
            <w:r>
              <w:rPr>
                <w:rFonts w:hAnsi="宋体"/>
                <w:color w:val="auto"/>
                <w:highlight w:val="none"/>
              </w:rPr>
              <w:t>文件格式</w:t>
            </w:r>
            <w:r>
              <w:rPr>
                <w:rFonts w:hint="eastAsia" w:hAnsi="宋体"/>
                <w:color w:val="auto"/>
                <w:highlight w:val="none"/>
              </w:rPr>
              <w:t>、合同文本</w:t>
            </w:r>
            <w:r>
              <w:rPr>
                <w:rFonts w:hAnsi="宋体"/>
                <w:color w:val="auto"/>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highlight w:val="none"/>
              </w:rPr>
              <w:t>更正公告（澄清公告）</w:t>
            </w:r>
            <w:r>
              <w:rPr>
                <w:rFonts w:hAnsi="宋体"/>
                <w:color w:val="auto"/>
                <w:highlight w:val="none"/>
              </w:rPr>
              <w:t>与同步更新的</w:t>
            </w:r>
            <w:r>
              <w:rPr>
                <w:rFonts w:hint="eastAsia" w:hAnsi="宋体"/>
                <w:color w:val="auto"/>
                <w:highlight w:val="none"/>
              </w:rPr>
              <w:t>竞争性谈判文件</w:t>
            </w:r>
            <w:r>
              <w:rPr>
                <w:rFonts w:hAnsi="宋体"/>
                <w:color w:val="auto"/>
                <w:highlight w:val="none"/>
              </w:rPr>
              <w:t>不一致时以</w:t>
            </w:r>
            <w:r>
              <w:rPr>
                <w:rFonts w:hint="eastAsia" w:hAnsi="宋体"/>
                <w:color w:val="auto"/>
                <w:highlight w:val="none"/>
              </w:rPr>
              <w:t>更正公告（澄清公告）</w:t>
            </w:r>
            <w:r>
              <w:rPr>
                <w:rFonts w:hAnsi="宋体"/>
                <w:color w:val="auto"/>
                <w:highlight w:val="none"/>
              </w:rPr>
              <w:t>为准。按本款前述规定仍不能形成结论的，由</w:t>
            </w:r>
            <w:r>
              <w:rPr>
                <w:rFonts w:hint="eastAsia" w:hAnsi="宋体"/>
                <w:color w:val="auto"/>
                <w:highlight w:val="none"/>
              </w:rPr>
              <w:t>采购</w:t>
            </w:r>
            <w:r>
              <w:rPr>
                <w:rFonts w:hAnsi="宋体"/>
                <w:color w:val="auto"/>
                <w:highlight w:val="none"/>
              </w:rPr>
              <w:t>人</w:t>
            </w:r>
            <w:r>
              <w:rPr>
                <w:rFonts w:hint="eastAsia" w:hAnsi="宋体"/>
                <w:color w:val="auto"/>
                <w:highlight w:val="none"/>
              </w:rPr>
              <w:t>或者采购代理机构</w:t>
            </w:r>
            <w:r>
              <w:rPr>
                <w:rFonts w:hAnsi="宋体"/>
                <w:color w:val="auto"/>
                <w:highlight w:val="none"/>
              </w:rPr>
              <w:t>负责解释。</w:t>
            </w:r>
          </w:p>
        </w:tc>
      </w:tr>
    </w:tbl>
    <w:p>
      <w:pPr>
        <w:spacing w:line="360" w:lineRule="auto"/>
        <w:rPr>
          <w:rFonts w:hint="eastAsia" w:ascii="宋体" w:hAnsi="宋体"/>
          <w:b/>
          <w:color w:val="auto"/>
          <w:szCs w:val="21"/>
          <w:highlight w:val="none"/>
        </w:rPr>
      </w:pPr>
    </w:p>
    <w:p>
      <w:pPr>
        <w:pStyle w:val="20"/>
        <w:spacing w:line="360" w:lineRule="auto"/>
        <w:jc w:val="center"/>
        <w:rPr>
          <w:rFonts w:hint="eastAsia" w:hAnsi="宋体"/>
          <w:b/>
          <w:color w:val="auto"/>
          <w:sz w:val="21"/>
          <w:szCs w:val="21"/>
          <w:highlight w:val="none"/>
        </w:rPr>
      </w:pPr>
      <w:r>
        <w:rPr>
          <w:rFonts w:hAnsi="宋体"/>
          <w:b/>
          <w:color w:val="auto"/>
          <w:sz w:val="32"/>
          <w:highlight w:val="none"/>
        </w:rPr>
        <w:br w:type="page"/>
      </w:r>
      <w:r>
        <w:rPr>
          <w:rFonts w:hint="eastAsia" w:hAnsi="宋体"/>
          <w:b/>
          <w:color w:val="auto"/>
          <w:sz w:val="30"/>
          <w:szCs w:val="30"/>
          <w:highlight w:val="none"/>
        </w:rPr>
        <w:t>供应商须知正文</w:t>
      </w:r>
    </w:p>
    <w:p>
      <w:pPr>
        <w:pStyle w:val="20"/>
        <w:spacing w:line="360" w:lineRule="auto"/>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一、总　则</w:t>
      </w:r>
    </w:p>
    <w:p>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1. 适用范围</w:t>
      </w:r>
      <w:r>
        <w:rPr>
          <w:rFonts w:hint="eastAsia" w:ascii="宋体" w:hAnsi="宋体" w:cs="宋体"/>
          <w:bCs/>
          <w:color w:val="auto"/>
          <w:szCs w:val="21"/>
          <w:highlight w:val="none"/>
        </w:rPr>
        <w:t>：本竞争性谈判文件（以下简称谈判文件）适用于本项目的所有采购程序和环节（法律、法规另有规定的，从其规定）。</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 定义</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2.1“采购人”：</w:t>
      </w:r>
      <w:r>
        <w:rPr>
          <w:rFonts w:hint="eastAsia" w:ascii="宋体" w:hAnsi="宋体" w:cs="宋体"/>
          <w:color w:val="auto"/>
          <w:szCs w:val="21"/>
          <w:highlight w:val="none"/>
        </w:rPr>
        <w:t>详见竞争性谈判公告</w:t>
      </w:r>
      <w:r>
        <w:rPr>
          <w:rFonts w:hint="eastAsia" w:ascii="宋体" w:hAnsi="宋体" w:cs="宋体"/>
          <w:bCs/>
          <w:color w:val="auto"/>
          <w:szCs w:val="21"/>
          <w:highlight w:val="none"/>
        </w:rPr>
        <w:t>。</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2.2“采购代理机构”是指：广西银泰工程管理有限公司。</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2.3“供应商”是指响应本谈判文件要求，参加谈判的法人、其他组织或者自然人。如果该供应商在本次谈判中成交，即为“成交供应商”。</w:t>
      </w:r>
      <w:r>
        <w:rPr>
          <w:rFonts w:hint="eastAsia" w:ascii="宋体" w:hAnsi="宋体" w:cs="宋体"/>
          <w:color w:val="auto"/>
          <w:szCs w:val="21"/>
          <w:highlight w:val="none"/>
        </w:rPr>
        <w:t>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分支机构的，是指分支机构营业执照上的负责人；当供应商是个体工商户的，是指个体工商户营业执照上的经营者；当供应商是自然人的，是指参与本项目响应的自然人本人。</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2.4“货物”是指各种形态和种类的物品，包括原材料、燃料、设备、产品等。</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2.5“服务”是指除货物和工程以外的其他政府采购对象。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2.6“书面形式”包括是指合同书、信件和数据电文（包括电报、电传、传真、电子数据交换和电子邮件）等可以有形地表现所载内容的形式。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2.7“响应文件”是指：供应商根据本谈判文件要求，编制包含报价、技术和服务等所有内容的文件。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2.8“▲”系指实质性要求条款。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签字/签名”是指：指应商通过指定电子化政府采购平台办理数字证书（CA认证证书）获得的以供应商法定代表人（负责人、自然人）或者委托代理人姓名制作的个人电子印章或手写签字。没有办理个人CA证书的，可以为手写签字的形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公章”是指供应商通过指定电子化政府采购平台办理数字证书（CA认证证书）获得的以法定主体行为名称制作的电子印章。本谈判文件中要求供应商对其电子响应文件的相关内容加盖公章的，均指采用CA证书签章。</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2.11本谈判文件所称的“以上”“以下”“以内”“届满”，包括本数；所称的“不满”“超过”“以外”，不包括本数；如谈判文件另有特殊规定的从其规定。 </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 供应商资格</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3.1供应商资格：详见供应商须知前附表。</w:t>
      </w:r>
    </w:p>
    <w:p>
      <w:pPr>
        <w:spacing w:line="360" w:lineRule="auto"/>
        <w:ind w:firstLine="420" w:firstLineChars="200"/>
        <w:rPr>
          <w:rFonts w:hint="eastAsia" w:ascii="宋体" w:hAnsi="宋体" w:cs="宋体"/>
          <w:b/>
          <w:bCs/>
          <w:color w:val="auto"/>
          <w:szCs w:val="21"/>
          <w:highlight w:val="none"/>
        </w:rPr>
      </w:pPr>
      <w:r>
        <w:rPr>
          <w:rFonts w:hint="eastAsia" w:ascii="宋体" w:hAnsi="宋体" w:cs="宋体"/>
          <w:bCs/>
          <w:color w:val="auto"/>
          <w:szCs w:val="21"/>
          <w:highlight w:val="none"/>
        </w:rPr>
        <w:t>4.</w:t>
      </w:r>
      <w:r>
        <w:rPr>
          <w:rFonts w:hint="eastAsia" w:ascii="宋体" w:hAnsi="宋体" w:cs="宋体"/>
          <w:b/>
          <w:bCs/>
          <w:color w:val="auto"/>
          <w:szCs w:val="21"/>
          <w:highlight w:val="none"/>
        </w:rPr>
        <w:t>谈判费用</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4.1供应商应自行承担所有与编写和提交响应文件有关的费用，不论谈判结果如何，采购人和采购代理机构在任何情况下无义务和责任承担此类费用。</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 联合体竞标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5.2联合体要求（联合体竞标时应满足下列要求）：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（1）两个以上供应商可以组成一个竞标联合体，以一个供应商的身份共同参加投标，联合体供应商的名称应统一按“XXX公司与XXX公司的联合体”的规则填写。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（2）以联合体形式参加投标的，联合体各方均应当符合“具有独立承担民事责任的能力”的条件。 本项目有特殊要求规定供应商特定条件的，联合体各方中至少应当有一方符合谈判文件规定的特定条件。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联合体竞标的，须提供《联合体投标协议书》（格式后附），协议书必须明确主体方（或者牵头方）并明确约定联合体各方承担的工作和相应的责任（各方承担责任与义务的分工必须符合采购需求，否则，联合体投标无效），并将联合投标协议放入响应文件。联合体各方必须共同与采购人签订采购合同，就采购合同约定的事项对采购人承担连带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（4）以联合体形式参加政府采购活动的，联合体各方不得再单独参加或者与其他供应商另外组成联合体参加同一合同项下的政府采购活动，否则与之相关的响应文件作废。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（5）联合体中有同类资质的供应商按照联合体分工承担相同工作的，应当按照资质等级较低的供应商确定资质等级。</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（6）联合体投标业绩、履约能力按照联合体各方其中较高的一方认定并计算（谈判文件另有规定的除外）。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（7）联合体各方均应按照谈判文件的规定提交资格证明文件。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6. 分包与转包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供应商根据谈判文件的规定和采购项目的实际情况，拟在中标后将中标项目的非主体、非关键性工作分包的，应当在响应文件中载明分包承担主体，分包承担主体应当具备相应资质条件且不得再次分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根据《政府采购促进中小企业发展管理办法》（财库[2020]46号）第九条规定，允许大中型企业向一家或者多家小微企业分包的采购项目，对于分包意向协议约定小微企业的合同份额占到合同总金额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6.3本项目不允许转包。</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 特别说明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出现下列情形之一的，在评审过程中，按一家供应商计算，评审后得分最高的同品牌供应商获得中标人推荐资格；评审得分相同的，以报价最低的供应商获得中标人推荐资格；评审得分及投标报价相同的，以技术得分最高的供应商获得中标人推荐资格；其他同品牌供应商不作为中标候选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（1）提供相同品牌产品且通过资格审查、符合性审查的不同供应商参加单一产品的同一合同项下的政府采购活动的。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（2）非单一产品采购项目中，多家供应商提供的核心产品品牌相同的，视为提供相同品牌产品。核心产品的名称应当在谈判文件中载明。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7.2供应商投标所使用的资格、信誉、荣誉、业绩与企业认证必须为本供应商所拥有。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7.3供应商应仔细阅读谈判文件的所有内容，按照谈判文件的要求提交响应文件，并对所提供的全部资料的真实性承担法律责任。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7.4供应商在投标活动中提供任何虚假材料，其投标无效，并报监管部门查处；中标后发现的，</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7.5在政府采购活动中，采购人员及相关人员与供应商有下列利害关系之一的，应当回避：</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7.6有下列情形之一的视为供应商相互串通投标，其投标无效：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（2）不同供应商委托同一单位或者个人办理投标事宜；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（3）不同供应商的响应文件载明的项目管理成员或者联系人员为同一人；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（4）不同供应商的响应文件异常一致或投标报价呈规律性差异；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（6）不同供应商的竞标保证金从同一单位或者个人账户转出。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7.7供应商有下列情形之一的，属于恶意串通行为：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（1）供应商直接或者间接从采购人或者采购代理机构处获得其他供应商的相关信息并修改其响应文件或者响应文件：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（2）供应商按照采购人或者采购代理机构的授意撤换、修改响应文件或者响应文件；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（6）供应商之间商定部分供应商放弃参加政府采购活动或者放弃中标；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（7）供应商与采购人或者采购代理机构之间、供应商相互之间，为谋求特定供应商中标或者排斥其他供应商的其他串通行为。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7.8关联供应商不得参加同一合同项下政府采购活动，否则响应文件将被视为无效：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（1）单位负责人为同一人或者存在直接控股、管理关系的不同的供应商，不得参加同一合同项下的政府采购活动；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（2）生产厂商授权给供应商后自己不得参加同一合同项下的政府采购活动；生产厂商对同一品牌同一型号的货物，仅能委托一个代理商参加投标。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8.质疑和投诉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供应商认为竞争性谈判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8.2质疑、投诉应当采用书面形式，质疑书、投诉书均应明确阐述竞争性谈判文件、招标过程或中标结果中使自己合法权益受到损害的实质性内容，提供相关事实、依据和证据及其来源或线索，便于有关单位调查、答复和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8.3质疑和投诉书面要求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质疑人或投诉人提供的书面材料（如材料中有外文资料须同时附上中文译本）至少包括以下内容：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（1）质疑人或投诉人的姓名或者名称、地址、邮编、联系人及联系电话；</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（2）质疑项目的名称、编号；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（3）具体、明确的质疑事项和与质疑事项相关的请求；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（4）事实依据；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（5）必要的法律依据；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（6）质疑人或投诉人的签章及质疑或投诉时间；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（7）质疑或投诉的书面材料须提供法定代表人签名和加盖单位公章的原件。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（8）质疑人须一次性提出针对同一采购程序环节的质疑。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如质疑或投诉委托代理人办理时，须提供质疑人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未持有有效授权委托书的代理人提交的质疑函或不在法定质疑期内提交的质疑函，将不予受理。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8.4接受质疑函的联系方式等详见谈判公告中采购人、采购代理机构的联系方式。</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二、谈判文件</w:t>
      </w:r>
    </w:p>
    <w:p>
      <w:pPr>
        <w:spacing w:line="360" w:lineRule="auto"/>
        <w:ind w:left="420" w:leftChars="200"/>
        <w:rPr>
          <w:rFonts w:hint="eastAsia" w:ascii="宋体" w:hAnsi="宋体" w:cs="宋体"/>
          <w:b/>
          <w:color w:val="auto"/>
          <w:szCs w:val="21"/>
          <w:highlight w:val="none"/>
        </w:rPr>
      </w:pPr>
      <w:r>
        <w:rPr>
          <w:rFonts w:hint="eastAsia" w:ascii="宋体" w:hAnsi="宋体" w:cs="宋体"/>
          <w:b/>
          <w:color w:val="auto"/>
          <w:szCs w:val="21"/>
          <w:highlight w:val="none"/>
        </w:rPr>
        <w:t>9.竞争性谈判文件的组成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（1）谈判公告；</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（2）供应商须知；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（3）采购需求；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（4）评审办法和定标标准；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（5）响应文件格式；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（6）合同主要条款；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（7）其他资料。</w:t>
      </w:r>
    </w:p>
    <w:p>
      <w:pPr>
        <w:spacing w:line="360" w:lineRule="auto"/>
        <w:ind w:left="420" w:leftChars="200"/>
        <w:rPr>
          <w:rFonts w:hint="eastAsia" w:ascii="宋体" w:hAnsi="宋体" w:cs="宋体"/>
          <w:b/>
          <w:color w:val="auto"/>
          <w:szCs w:val="21"/>
          <w:highlight w:val="none"/>
        </w:rPr>
      </w:pPr>
      <w:r>
        <w:rPr>
          <w:rFonts w:hint="eastAsia" w:ascii="宋体" w:hAnsi="宋体" w:cs="宋体"/>
          <w:b/>
          <w:color w:val="auto"/>
          <w:szCs w:val="21"/>
          <w:highlight w:val="none"/>
        </w:rPr>
        <w:t>10. 供应商的风险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10.1供应商没有按照谈判文件要求提供全部资料，或者供应商没有对谈判文件在各方面作出实质性响应是供应商的风险，并可能导致其投标被拒绝。</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11.谈判文件的澄清或修改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11.1供应商应认真</w:t>
      </w:r>
      <w:r>
        <w:rPr>
          <w:rFonts w:hint="eastAsia" w:ascii="宋体" w:hAnsi="宋体" w:cs="宋体"/>
          <w:bCs/>
          <w:color w:val="auto"/>
          <w:szCs w:val="21"/>
          <w:highlight w:val="none"/>
        </w:rPr>
        <w:t>阅读本谈判文件，发现</w:t>
      </w:r>
      <w:r>
        <w:rPr>
          <w:rFonts w:hint="eastAsia" w:ascii="宋体" w:hAnsi="宋体" w:cs="宋体"/>
          <w:color w:val="auto"/>
          <w:szCs w:val="21"/>
          <w:highlight w:val="none"/>
        </w:rPr>
        <w:t>谈判文件表述不清晰、存在歧视性、排他性或者其他违法内容的，应以书面形式要求招标采购单位作出书面解释、澄清，否则，由此产生的后果由供应商负责。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11.2任何要求澄清谈判文件的供应商，均应在首次响应文件递交截止日期前的正常工作时间以书面形式通知采购人或采购代理机构，采购人或采购代理机构将以书面形式予以答复。</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采购人或采购代理机构对已发出的谈判文件进行必要澄清或者修改的，澄清和修改对供应商编制响应文件造成实质影响的，在谈判文件要求提交竞争性谈判响应文件截止时间三个工作日前（不足三个工作日顺延），并将以书面形式通知（在“供应商须知前附表”规定的发布媒体上发布更正公告）所有谈判文件收受人。该澄清或者修改的内容为性谈判文件的组成部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11.4采购人可视具体情况，延长响应文件递交截止时间和开标时间，并在“供应商须知前附表”规定的发布媒体上发布变更公告。</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12.现场考察或答疑会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12.1采购人可以视采购项目的具体情况，按须知前附表的规定组织供应商进行现场考察或召开谈判前答疑会，但不得单独或分别组织只有一个供应商参加的现场考察和答疑会。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12.2供应商考察现场或参加答疑会发生的费用自理。</w:t>
      </w:r>
    </w:p>
    <w:p>
      <w:pPr>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12.3供应商自行负责在考察现场或参加答疑会中所发生的人员伤亡和财产损失。</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三、响应文件的编制</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13. </w:t>
      </w:r>
      <w:r>
        <w:rPr>
          <w:rFonts w:hint="eastAsia" w:ascii="宋体" w:hAnsi="宋体" w:cs="宋体"/>
          <w:b/>
          <w:color w:val="auto"/>
          <w:szCs w:val="21"/>
          <w:highlight w:val="none"/>
        </w:rPr>
        <w:t>响应文件的组成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响应文件由资格证明文件、商务和技术文件、报价文件组成。</w:t>
      </w:r>
    </w:p>
    <w:p>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13.1资格证明文件：详见须知前附表</w:t>
      </w:r>
    </w:p>
    <w:p>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13.2商务技术文件：详见须知前附表</w:t>
      </w:r>
    </w:p>
    <w:p>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13.3报价文件：详见须知前附表</w:t>
      </w:r>
    </w:p>
    <w:p>
      <w:pPr>
        <w:pStyle w:val="20"/>
        <w:spacing w:line="360" w:lineRule="auto"/>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14. 响应文件的语言及计量</w:t>
      </w:r>
    </w:p>
    <w:p>
      <w:pPr>
        <w:pStyle w:val="20"/>
        <w:spacing w:line="360" w:lineRule="auto"/>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14.1响应文件以及竞标方与招标方就有关竞标事宜的所有来往函电，均应以中文汉语书写。除签名、盖章、专用名称等特殊情形外，以中文汉语以外的文字表述的响应文件视同未提供。</w:t>
      </w:r>
    </w:p>
    <w:p>
      <w:pPr>
        <w:pStyle w:val="20"/>
        <w:spacing w:line="360" w:lineRule="auto"/>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14.2竞标计量单位，谈判文件已有明确规定的，使用谈判文件规定的计量单位；谈判文件没有规定的，应采用中华人民共和国法定计量单位（货币单位：人民币元），否则视同未响应。</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15、响应文件报价要求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15.1本项目最高限价详见须知前附表。响应文件报价须小于等于最高限价，否则响应无效。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15.2对于本谈判文件中未列明，而供应商认为必需的费用也需列入总报价。在合同实施时，采购人将不予支付成交供应商没有列入的项目费用，并认为此项目的费用已包括在总报价中。</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成交供应商负责本项目所需服务的全部工作，包括货款、标准附件、备品备件、专用工具、包装、运输、装卸、保险、税金、货到就位以及安装、安装所需辅材、调试、检验、验收等所需的一切使本项目完成验收的费用及供货商对采购人承诺培训、售前、售后质量保证等相关费用等在内的一切可能发生的费用。对于本谈判采购文件中未列明，而供应商认为必需的费用也需列入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15.4供应商应就第三章《采购需求》中的全部服务内容作完整唯一报价。</w:t>
      </w:r>
    </w:p>
    <w:p>
      <w:pPr>
        <w:spacing w:line="360" w:lineRule="auto"/>
        <w:ind w:left="420"/>
        <w:rPr>
          <w:rFonts w:hint="eastAsia" w:ascii="宋体" w:hAnsi="宋体" w:cs="宋体"/>
          <w:color w:val="auto"/>
          <w:szCs w:val="21"/>
          <w:highlight w:val="none"/>
        </w:rPr>
      </w:pPr>
      <w:r>
        <w:rPr>
          <w:rFonts w:hint="eastAsia" w:ascii="宋体" w:hAnsi="宋体" w:cs="宋体"/>
          <w:color w:val="auto"/>
          <w:szCs w:val="21"/>
          <w:highlight w:val="none"/>
        </w:rPr>
        <w:t>15.5响应文件只允许有一个报价，有选择的或有条件的报价将不予接受（谈判文件另有规定的除外）。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15.6供应商应在响应文件报价表上标明单价和总价。响应文件的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除上述原因以外，如果因供应商原因引起的报价失误，并在谈判时被接受，其后果由供应商自负。</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16、响应文件有效期</w:t>
      </w:r>
    </w:p>
    <w:p>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16.1响应文件有效期：详见供应商须知前附表。有效期不足的响应文件将被拒绝。</w:t>
      </w:r>
    </w:p>
    <w:p>
      <w:pPr>
        <w:pStyle w:val="20"/>
        <w:spacing w:line="360" w:lineRule="auto"/>
        <w:ind w:firstLine="420" w:firstLineChars="200"/>
        <w:jc w:val="left"/>
        <w:rPr>
          <w:rFonts w:hint="eastAsia" w:hAnsi="宋体" w:cs="宋体"/>
          <w:color w:val="auto"/>
          <w:kern w:val="2"/>
          <w:sz w:val="21"/>
          <w:szCs w:val="21"/>
          <w:highlight w:val="none"/>
        </w:rPr>
      </w:pPr>
      <w:r>
        <w:rPr>
          <w:rFonts w:hint="eastAsia" w:hAnsi="宋体" w:cs="宋体"/>
          <w:color w:val="auto"/>
          <w:kern w:val="2"/>
          <w:sz w:val="21"/>
          <w:szCs w:val="21"/>
          <w:highlight w:val="none"/>
        </w:rPr>
        <w:t>16.2在特殊情况下，采购人可与供应商协商延长响应文件的有效期，这种要求和答复均以书面形式进行。</w:t>
      </w:r>
    </w:p>
    <w:p>
      <w:pPr>
        <w:pStyle w:val="20"/>
        <w:spacing w:line="360" w:lineRule="auto"/>
        <w:ind w:firstLine="420" w:firstLineChars="200"/>
        <w:jc w:val="left"/>
        <w:rPr>
          <w:rFonts w:hint="eastAsia" w:hAnsi="宋体" w:cs="宋体"/>
          <w:color w:val="auto"/>
          <w:kern w:val="2"/>
          <w:sz w:val="21"/>
          <w:szCs w:val="21"/>
          <w:highlight w:val="none"/>
        </w:rPr>
      </w:pPr>
      <w:r>
        <w:rPr>
          <w:rFonts w:hint="eastAsia" w:hAnsi="宋体" w:cs="宋体"/>
          <w:color w:val="auto"/>
          <w:kern w:val="2"/>
          <w:sz w:val="21"/>
          <w:szCs w:val="21"/>
          <w:highlight w:val="none"/>
        </w:rPr>
        <w:t xml:space="preserve">16.3供应商可拒绝接受延长有效期要求而不会导致竞标保证金被没收。同意延长有效期的供应商需要相应延长竞标保证金的有效期，但不能修改响应文件其它内容。 </w:t>
      </w:r>
    </w:p>
    <w:p>
      <w:pPr>
        <w:pStyle w:val="20"/>
        <w:spacing w:line="360" w:lineRule="auto"/>
        <w:ind w:firstLine="420" w:firstLineChars="200"/>
        <w:jc w:val="left"/>
        <w:rPr>
          <w:rFonts w:hint="eastAsia" w:hAnsi="宋体" w:cs="宋体"/>
          <w:color w:val="auto"/>
          <w:kern w:val="2"/>
          <w:sz w:val="21"/>
          <w:szCs w:val="21"/>
          <w:highlight w:val="none"/>
        </w:rPr>
      </w:pPr>
      <w:r>
        <w:rPr>
          <w:rFonts w:hint="eastAsia" w:hAnsi="宋体" w:cs="宋体"/>
          <w:color w:val="auto"/>
          <w:kern w:val="2"/>
          <w:sz w:val="21"/>
          <w:szCs w:val="21"/>
          <w:highlight w:val="none"/>
        </w:rPr>
        <w:t>16.4供应商的响应文件自开标之日起至合同履行完毕止均应保持有效。</w:t>
      </w:r>
    </w:p>
    <w:p>
      <w:pPr>
        <w:pStyle w:val="20"/>
        <w:spacing w:line="360" w:lineRule="auto"/>
        <w:ind w:firstLine="422" w:firstLineChars="200"/>
        <w:jc w:val="left"/>
        <w:rPr>
          <w:rFonts w:hint="eastAsia" w:hAnsi="宋体" w:cs="宋体"/>
          <w:color w:val="auto"/>
          <w:kern w:val="2"/>
          <w:sz w:val="21"/>
          <w:szCs w:val="21"/>
          <w:highlight w:val="none"/>
        </w:rPr>
      </w:pPr>
      <w:r>
        <w:rPr>
          <w:rFonts w:hint="eastAsia" w:hAnsi="宋体" w:cs="宋体"/>
          <w:b/>
          <w:color w:val="auto"/>
          <w:sz w:val="21"/>
          <w:szCs w:val="21"/>
          <w:highlight w:val="none"/>
        </w:rPr>
        <w:t>17、竞标保证金</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17.1供应商须按“供应商须知前附表”的规定提交竞标保证金。</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17.2竞标保证金的退还。</w:t>
      </w:r>
    </w:p>
    <w:p>
      <w:pPr>
        <w:spacing w:line="360" w:lineRule="auto"/>
        <w:ind w:firstLine="420"/>
        <w:rPr>
          <w:rFonts w:hint="eastAsia" w:ascii="宋体" w:hAnsi="宋体" w:cs="宋体"/>
          <w:color w:val="auto"/>
          <w:szCs w:val="21"/>
          <w:highlight w:val="none"/>
        </w:rPr>
      </w:pPr>
      <w:bookmarkStart w:id="16" w:name="_Hlk66782243"/>
      <w:r>
        <w:rPr>
          <w:rFonts w:hint="eastAsia" w:ascii="宋体" w:hAnsi="宋体" w:cs="宋体"/>
          <w:color w:val="auto"/>
          <w:szCs w:val="21"/>
          <w:highlight w:val="none"/>
        </w:rPr>
        <w:t>未成交供应商的竞标保证金自成交通知书发出之日起5个工作日内退还；成交供应商的竞标保证金自签订合同之日起5个工作日内退还。</w:t>
      </w:r>
      <w:bookmarkEnd w:id="16"/>
      <w:r>
        <w:rPr>
          <w:rFonts w:hint="eastAsia" w:ascii="宋体" w:hAnsi="宋体" w:cs="宋体"/>
          <w:color w:val="auto"/>
          <w:szCs w:val="21"/>
          <w:highlight w:val="none"/>
        </w:rPr>
        <w:t xml:space="preserve"> </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（1）采用银行转账支付方式的，均以转账方式退回到供应商银行账户。</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（2）采用支票、汇票或本票方式的，以转账方式退回到供应商银行账户或由供应商代表持相关授权证明材料至采购人或采购代理机构办理支票、汇票或本票原件退还手续。 </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（3）采用金融机构、担保机构出具的保函、保险方式的，由供应商代表持相关授权证明材料至采购人或采购代理机构办理保函、保险原件退还手续。</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17.3竞标保证金不计息。</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17.4供应商有下列情形之一的，竞标保证金将不予退还： </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（2）未按规定提交履约保证金的；</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（4）除因不可抗力或者竞标文件认可的情形以外，成交供应商不与采购人签订合同的；</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pPr>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18、</w:t>
      </w:r>
      <w:bookmarkStart w:id="17" w:name="_Toc254970542"/>
      <w:bookmarkStart w:id="18" w:name="_Toc254970683"/>
      <w:r>
        <w:rPr>
          <w:rFonts w:hint="eastAsia" w:ascii="宋体" w:hAnsi="宋体" w:cs="宋体"/>
          <w:b/>
          <w:color w:val="auto"/>
          <w:szCs w:val="21"/>
          <w:highlight w:val="none"/>
        </w:rPr>
        <w:t>响应文件的</w:t>
      </w:r>
      <w:bookmarkEnd w:id="17"/>
      <w:bookmarkEnd w:id="18"/>
      <w:r>
        <w:rPr>
          <w:rFonts w:hint="eastAsia" w:ascii="宋体" w:hAnsi="宋体" w:cs="宋体"/>
          <w:b/>
          <w:color w:val="auto"/>
          <w:szCs w:val="21"/>
          <w:highlight w:val="none"/>
        </w:rPr>
        <w:t>编制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18.1供应商应按本性谈判文件规定的格式和顺序编制、装订响应文件并标注页码，响应文件内容不完整、编排混乱导致响应文件被误读、漏读或者查找不到相关内容的，所引起的后果由供应商负责。</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18.2响应文件应按资格证明、报价分别编制，商务技术文件合并编制，本谈判只接受电子版响应文件。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18.3 响应文件电子版要求：按照本谈判文件“第四章 响应文件格式”编写（第四章未附格式的，由供应商自行拟定），并在规定加盖公章处加盖电子公章，否则响应文件按无效响应处理。</w:t>
      </w:r>
      <w:r>
        <w:rPr>
          <w:rFonts w:hint="eastAsia" w:ascii="宋体" w:hAnsi="宋体" w:cs="宋体"/>
          <w:color w:val="auto"/>
          <w:kern w:val="0"/>
          <w:szCs w:val="21"/>
          <w:highlight w:val="none"/>
        </w:rPr>
        <w:t>骑缝盖</w:t>
      </w:r>
      <w:r>
        <w:rPr>
          <w:rFonts w:hint="eastAsia" w:ascii="宋体" w:hAnsi="宋体" w:cs="宋体"/>
          <w:color w:val="auto"/>
          <w:szCs w:val="21"/>
          <w:highlight w:val="none"/>
        </w:rPr>
        <w:t>公章不视为在规定位置盖章。</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18.5</w:t>
      </w:r>
      <w:r>
        <w:rPr>
          <w:rFonts w:hint="eastAsia" w:ascii="宋体" w:hAnsi="宋体" w:cs="宋体"/>
          <w:color w:val="auto"/>
          <w:kern w:val="0"/>
          <w:szCs w:val="21"/>
          <w:highlight w:val="none"/>
        </w:rPr>
        <w:t>响应文件应避免涂改、行间插字或者删除，否则其响应文件按无效响应处理。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18.6供应商进行电子交易应安装客户端软件—“广西政府采购云平台客户端”，并按照谈判文件和电子交易平台的要求编制并加密响应文件。供应商未按规定加密的响应文件，电子交易平台将拒收并提示。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18.7使用“广西政府采购云平台客户端”需要提前申领CA数字证书，申领流程见该项目采购公告附件。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18.8为确保网上操作合法、有效和安全，供应商应当在响应文件提交截止时间前完成在“政府采购云平台”的身份认证，确保在电子交易过程中能够对相关数据电文进行加密和使用电子签名。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19.响应文件的递交</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19.1供应商必须在“供应商须知前附表”规定的响应文件接收时间和地点提交电子版响应文件。电子响应文件应在制作完成后，在提交截止时间前通过有效数字证书（CA认证锁）进行电子公章、加密，然后通过网络将加密的电子响应文件递交至“广西政府采购云平台”。</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19.2未在规定时间内提交或者未按照谈判文件要求密封或者标记的电子响应文件，“广西政府采购云平台”将拒收。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19.3电子版响应文件提交方式见“谈判公告”中“四、提交响应文件截止时间、开标时间和地点”。</w:t>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20.响应文件的补充、修改、撤回与退回</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20.1供应商应当在首次提交响应文件截止时间前完成响应文件的传输递交，并可以补充、修改或者撤回响应文件。补充或者修改响应文件的，应当先行撤回原文件，补充、修改后重新传输递交。提交响应文件截止时间前未完成传输的，视为撤回响应文件。提交响应文件截止时间后递交的响应文件，“广西政府采购云平台”平台将拒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20.2 “广西政府采购云平台”平台收到响应文件，将妥善保存并即时向供应商发出确认回执通知。在提交响应文件截止时间前，除供应商补充、修改或者撤回响应文件外，任何单位和个人不得解密或提取响应文件。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20.3在提交响应文件截止时间止提交电子版响应文件的供应商不足3家时，电子版响应文件由代理机构在“广西政府采购云平台”平台操作退回，除此之外采购人和采购代理机构对已提交的响应文件概不退回。</w:t>
      </w:r>
    </w:p>
    <w:p>
      <w:pPr>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四、评审及谈判</w:t>
      </w:r>
    </w:p>
    <w:p>
      <w:pPr>
        <w:pStyle w:val="20"/>
        <w:spacing w:line="360" w:lineRule="auto"/>
        <w:ind w:firstLine="422" w:firstLineChars="200"/>
        <w:rPr>
          <w:rFonts w:hint="eastAsia" w:hAnsi="宋体" w:cs="宋体"/>
          <w:b/>
          <w:bCs/>
          <w:color w:val="auto"/>
          <w:kern w:val="2"/>
          <w:sz w:val="21"/>
          <w:szCs w:val="21"/>
          <w:highlight w:val="none"/>
        </w:rPr>
      </w:pPr>
      <w:r>
        <w:rPr>
          <w:rFonts w:hint="eastAsia" w:hAnsi="宋体" w:cs="宋体"/>
          <w:b/>
          <w:bCs/>
          <w:color w:val="auto"/>
          <w:kern w:val="2"/>
          <w:sz w:val="21"/>
          <w:szCs w:val="21"/>
          <w:highlight w:val="none"/>
        </w:rPr>
        <w:t>21.谈判小组</w:t>
      </w:r>
    </w:p>
    <w:p>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21.1竞争性谈判小组由采购人代表和评审专家共三人以上的单数组成。其中评审专家人数不少于谈判小组成员总数的2/3。</w:t>
      </w:r>
      <w:r>
        <w:rPr>
          <w:rFonts w:hint="eastAsia" w:ascii="宋体" w:hAnsi="宋体" w:cs="宋体"/>
          <w:color w:val="auto"/>
          <w:szCs w:val="21"/>
          <w:highlight w:val="none"/>
        </w:rPr>
        <w:t>采购人不得以评审专家身份参加本部门或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22.首次响应文件的开启</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22.1首次响应文件由谈判小组或者采购代理机构在“供应商须知前附表”规定的时间开启。</w:t>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23. 响应文件解密</w:t>
      </w:r>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23.1采购代理机构将在“供应商须知前附表”规定的时间通过电子交易平台组织响应文件开启采购机构依托电子交易平台发起开始解密指令，供应商的法定代表人或其委托代理人须携带加密时所用的CA锁按平台提示和谈判文件的规定登录到“广西政府采购云平台”平台电子开标大厅签到并在发起解密指令之时起30分钟内完成对电子响应文件在线解密。发起解密指令之时起5分钟内供应商还未进行解密的，代理机构通知供应商，</w:t>
      </w:r>
      <w:r>
        <w:rPr>
          <w:rFonts w:hint="eastAsia" w:ascii="宋体" w:hAnsi="宋体" w:cs="宋体"/>
          <w:bCs/>
          <w:color w:val="auto"/>
          <w:szCs w:val="21"/>
          <w:highlight w:val="none"/>
        </w:rPr>
        <w:t>通知后，</w:t>
      </w:r>
      <w:r>
        <w:rPr>
          <w:rFonts w:hint="eastAsia" w:ascii="宋体" w:hAnsi="宋体" w:cs="宋体"/>
          <w:color w:val="auto"/>
          <w:szCs w:val="21"/>
          <w:highlight w:val="none"/>
        </w:rPr>
        <w:t>响应</w:t>
      </w:r>
      <w:r>
        <w:rPr>
          <w:rFonts w:hint="eastAsia" w:ascii="宋体" w:hAnsi="宋体" w:cs="宋体"/>
          <w:bCs/>
          <w:color w:val="auto"/>
          <w:szCs w:val="21"/>
          <w:highlight w:val="none"/>
        </w:rPr>
        <w:t>文件仍未按时解密，或者</w:t>
      </w:r>
      <w:r>
        <w:rPr>
          <w:rFonts w:hint="eastAsia" w:ascii="宋体" w:hAnsi="宋体" w:cs="宋体"/>
          <w:color w:val="auto"/>
          <w:szCs w:val="21"/>
          <w:highlight w:val="none"/>
        </w:rPr>
        <w:t>供应商</w:t>
      </w:r>
      <w:r>
        <w:rPr>
          <w:rFonts w:hint="eastAsia" w:ascii="宋体" w:hAnsi="宋体" w:cs="宋体"/>
          <w:bCs/>
          <w:color w:val="auto"/>
          <w:szCs w:val="21"/>
          <w:highlight w:val="none"/>
        </w:rPr>
        <w:t>没预留联系方式或预留联系方式无效，</w:t>
      </w:r>
      <w:r>
        <w:rPr>
          <w:rFonts w:hint="eastAsia" w:ascii="宋体" w:hAnsi="宋体" w:cs="宋体"/>
          <w:color w:val="auto"/>
          <w:szCs w:val="21"/>
          <w:highlight w:val="none"/>
        </w:rPr>
        <w:t>非代理机构原因导致代理机构无法联系到供应商进行解密的</w:t>
      </w:r>
      <w:r>
        <w:rPr>
          <w:rFonts w:hint="eastAsia" w:ascii="宋体" w:hAnsi="宋体" w:cs="宋体"/>
          <w:bCs/>
          <w:color w:val="auto"/>
          <w:szCs w:val="21"/>
          <w:highlight w:val="none"/>
        </w:rPr>
        <w:t>，</w:t>
      </w:r>
      <w:r>
        <w:rPr>
          <w:rFonts w:hint="eastAsia" w:ascii="宋体" w:hAnsi="宋体" w:cs="宋体"/>
          <w:color w:val="auto"/>
          <w:szCs w:val="21"/>
          <w:highlight w:val="none"/>
        </w:rPr>
        <w:t>视为响应文件无效</w:t>
      </w:r>
      <w:r>
        <w:rPr>
          <w:rFonts w:hint="eastAsia" w:ascii="宋体" w:hAnsi="宋体" w:cs="宋体"/>
          <w:bCs/>
          <w:color w:val="auto"/>
          <w:szCs w:val="21"/>
          <w:highlight w:val="none"/>
        </w:rPr>
        <w:t>。</w:t>
      </w:r>
      <w:r>
        <w:rPr>
          <w:rFonts w:hint="eastAsia" w:ascii="宋体" w:hAnsi="宋体" w:cs="宋体"/>
          <w:color w:val="auto"/>
          <w:szCs w:val="21"/>
          <w:highlight w:val="none"/>
        </w:rPr>
        <w:t>（解密异常情况处理：详见本章30.电子交易活动的中止。）</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23.2如供应商成功解密响应文件，但未在“广西政府采购云平台”电子开标大厅参加谈判的，视同认可谈判过程和结果，由此产生的后果由供应商自行负责。参与谈判的供应商不足3家的，不得谈判。</w:t>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24.评审程序</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24.1谈判小组按照“第六章 评审方法和评审标准”规定的方法、评审因素、标准和程序对响应文件进行评审。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w:t>
      </w:r>
      <w:r>
        <w:rPr>
          <w:rFonts w:hint="eastAsia" w:ascii="宋体" w:hAnsi="宋体" w:cs="宋体"/>
          <w:bCs/>
          <w:color w:val="auto"/>
          <w:szCs w:val="21"/>
          <w:highlight w:val="none"/>
        </w:rPr>
        <w:t>资格审查</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响应文件开启后，谈判小组依法对供应商的资格文件进行审查</w:t>
      </w:r>
      <w:r>
        <w:rPr>
          <w:rFonts w:hint="eastAsia" w:ascii="宋体" w:hAnsi="宋体" w:cs="宋体"/>
          <w:color w:val="auto"/>
          <w:spacing w:val="-2"/>
          <w:szCs w:val="21"/>
          <w:highlight w:val="none"/>
        </w:rPr>
        <w:t>。</w:t>
      </w:r>
      <w:r>
        <w:rPr>
          <w:rFonts w:hint="eastAsia" w:ascii="宋体" w:hAnsi="宋体" w:cs="宋体"/>
          <w:b/>
          <w:bCs/>
          <w:color w:val="auto"/>
          <w:szCs w:val="21"/>
          <w:highlight w:val="none"/>
        </w:rPr>
        <w:t>在资格审查时，如发现下列情形之一的，响应文件将被视为无效：</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（1）不具备谈判文件中规定的资格要求的；（注：其中信用查询由谈判小组于资格审查时</w:t>
      </w:r>
      <w:r>
        <w:rPr>
          <w:rFonts w:hint="eastAsia" w:ascii="宋体" w:hAnsi="宋体" w:cs="宋体"/>
          <w:color w:val="auto"/>
          <w:szCs w:val="21"/>
          <w:highlight w:val="none"/>
        </w:rPr>
        <w:t>在“信用中国”网站和“中国政府采购网”</w:t>
      </w:r>
      <w:r>
        <w:rPr>
          <w:rFonts w:hint="eastAsia" w:ascii="宋体" w:hAnsi="宋体" w:cs="宋体"/>
          <w:bCs/>
          <w:color w:val="auto"/>
          <w:szCs w:val="21"/>
          <w:highlight w:val="none"/>
        </w:rPr>
        <w:t>对供应商进行信用查询，联合体成员存在不良信用记录的视同联合体存在不良信用记录。）</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（2）未提供谈判文件中“13.响应文件的组成13.1资格证明文件”要求必须提供的资料的；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（3）法律、法规和谈判文件规定的其他无效情形。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通过资格审查的合格供应商不足3家的，不得进入符合性审查环节，采购人或者采购代理机构应当重新开展采购活动。</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24.3符合性审查</w:t>
      </w:r>
    </w:p>
    <w:p>
      <w:pPr>
        <w:widowControl/>
        <w:spacing w:line="360" w:lineRule="auto"/>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谈判小组依法对供应商的符合性进行审查</w:t>
      </w:r>
      <w:r>
        <w:rPr>
          <w:rFonts w:hint="eastAsia" w:ascii="宋体" w:hAnsi="宋体" w:cs="宋体"/>
          <w:color w:val="auto"/>
          <w:spacing w:val="-2"/>
          <w:szCs w:val="21"/>
          <w:highlight w:val="none"/>
        </w:rPr>
        <w:t>。</w:t>
      </w:r>
      <w:r>
        <w:rPr>
          <w:rFonts w:hint="eastAsia" w:ascii="宋体" w:hAnsi="宋体" w:cs="宋体"/>
          <w:b/>
          <w:bCs/>
          <w:color w:val="auto"/>
          <w:szCs w:val="21"/>
          <w:highlight w:val="none"/>
        </w:rPr>
        <w:t>在符合性审查时，如发现下列情形之一的，响应文件将被视为无效：</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未按照竞争性谈判文件的规定足额交纳竞标保证金的</w:t>
      </w:r>
      <w:r>
        <w:rPr>
          <w:rFonts w:hint="eastAsia" w:ascii="宋体" w:hAnsi="宋体" w:cs="宋体"/>
          <w:bCs/>
          <w:color w:val="auto"/>
          <w:szCs w:val="21"/>
          <w:highlight w:val="none"/>
        </w:rPr>
        <w:t>；</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（2）响应文件未按谈判文件要求签署、盖章的；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（3）投标代表人未能出具身份证明或与法定代表人授权委托人身份不符的；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（4）响应文件的实质性内容未使用中文表述、意思表述不明确、前后矛盾或者使用计量单位不符合谈判文件要求的（经评标委员会认定并允许其当场更正的笔误除外）</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（5）响应文件有效期、服务期或交货期、质保期等商务条款不能满足</w:t>
      </w:r>
      <w:r>
        <w:rPr>
          <w:rFonts w:hint="eastAsia" w:ascii="宋体" w:hAnsi="宋体" w:cs="宋体"/>
          <w:bCs/>
          <w:color w:val="auto"/>
          <w:szCs w:val="21"/>
          <w:highlight w:val="none"/>
          <w:lang w:eastAsia="zh-CN"/>
        </w:rPr>
        <w:t>采购文件</w:t>
      </w:r>
      <w:r>
        <w:rPr>
          <w:rFonts w:hint="eastAsia" w:ascii="宋体" w:hAnsi="宋体" w:cs="宋体"/>
          <w:bCs/>
          <w:color w:val="auto"/>
          <w:szCs w:val="21"/>
          <w:highlight w:val="none"/>
        </w:rPr>
        <w:t>要求的；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（6）未实质性响应谈判文件要求或者响应文件有采购人不能接受的附加条件的。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（7）未提供谈判文件中“13.响应文件的组成13.2商务和技术文件”要求必须提供的资料的；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（8）未提供或未如实提供投标货物的技术参数，或者响应文件标明的响应或偏离与事实不符或虚假投标的；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（9）明显不符合</w:t>
      </w:r>
      <w:r>
        <w:rPr>
          <w:rFonts w:hint="eastAsia" w:ascii="宋体" w:hAnsi="宋体" w:cs="宋体"/>
          <w:bCs/>
          <w:color w:val="auto"/>
          <w:szCs w:val="21"/>
          <w:highlight w:val="none"/>
          <w:lang w:eastAsia="zh-CN"/>
        </w:rPr>
        <w:t>采购文件</w:t>
      </w:r>
      <w:r>
        <w:rPr>
          <w:rFonts w:hint="eastAsia" w:ascii="宋体" w:hAnsi="宋体" w:cs="宋体"/>
          <w:bCs/>
          <w:color w:val="auto"/>
          <w:szCs w:val="21"/>
          <w:highlight w:val="none"/>
        </w:rPr>
        <w:t>要求的规格型号、质量标准和采购需求的，或者与</w:t>
      </w:r>
      <w:r>
        <w:rPr>
          <w:rFonts w:hint="eastAsia" w:ascii="宋体" w:hAnsi="宋体" w:cs="宋体"/>
          <w:bCs/>
          <w:color w:val="auto"/>
          <w:szCs w:val="21"/>
          <w:highlight w:val="none"/>
          <w:lang w:eastAsia="zh-CN"/>
        </w:rPr>
        <w:t>采购文件</w:t>
      </w:r>
      <w:r>
        <w:rPr>
          <w:rFonts w:hint="eastAsia" w:ascii="宋体" w:hAnsi="宋体" w:cs="宋体"/>
          <w:bCs/>
          <w:color w:val="auto"/>
          <w:szCs w:val="21"/>
          <w:highlight w:val="none"/>
        </w:rPr>
        <w:t>中标“▲”的技术指标、主要功能项目发生实质性偏离的；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（10）允许偏离的技术、性能指标或者辅助功能项目发生负偏离达 1 项（含1项）以上的；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（11）技术方案不明确，存在一个或一个以上备选（替代）竞标方案的。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（12）未提供谈判文件中“13.响应文件的组成13.3报价文件”要求必须提供的资料的；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（13）报价超过</w:t>
      </w:r>
      <w:r>
        <w:rPr>
          <w:rFonts w:hint="eastAsia" w:ascii="宋体" w:hAnsi="宋体" w:cs="宋体"/>
          <w:bCs/>
          <w:color w:val="auto"/>
          <w:szCs w:val="21"/>
          <w:highlight w:val="none"/>
          <w:lang w:eastAsia="zh-CN"/>
        </w:rPr>
        <w:t>采购文件</w:t>
      </w:r>
      <w:r>
        <w:rPr>
          <w:rFonts w:hint="eastAsia" w:ascii="宋体" w:hAnsi="宋体" w:cs="宋体"/>
          <w:bCs/>
          <w:color w:val="auto"/>
          <w:szCs w:val="21"/>
          <w:highlight w:val="none"/>
        </w:rPr>
        <w:t>中规定的预算金额或者最高限价的；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（14）未采用人民币报价或者未按照</w:t>
      </w:r>
      <w:r>
        <w:rPr>
          <w:rFonts w:hint="eastAsia" w:ascii="宋体" w:hAnsi="宋体" w:cs="宋体"/>
          <w:bCs/>
          <w:color w:val="auto"/>
          <w:szCs w:val="21"/>
          <w:highlight w:val="none"/>
          <w:lang w:eastAsia="zh-CN"/>
        </w:rPr>
        <w:t>采购文件</w:t>
      </w:r>
      <w:r>
        <w:rPr>
          <w:rFonts w:hint="eastAsia" w:ascii="宋体" w:hAnsi="宋体" w:cs="宋体"/>
          <w:bCs/>
          <w:color w:val="auto"/>
          <w:szCs w:val="21"/>
          <w:highlight w:val="none"/>
        </w:rPr>
        <w:t>标明的币种报价的；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（15）竞标报价具有选择性，或者云平台中开标记录表的报价与响应文件承诺的优惠（折扣）价格不一致的；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（16）法律、法规和</w:t>
      </w:r>
      <w:r>
        <w:rPr>
          <w:rFonts w:hint="eastAsia" w:ascii="宋体" w:hAnsi="宋体" w:cs="宋体"/>
          <w:bCs/>
          <w:color w:val="auto"/>
          <w:szCs w:val="21"/>
          <w:highlight w:val="none"/>
          <w:lang w:eastAsia="zh-CN"/>
        </w:rPr>
        <w:t>采购文件</w:t>
      </w:r>
      <w:r>
        <w:rPr>
          <w:rFonts w:hint="eastAsia" w:ascii="宋体" w:hAnsi="宋体" w:cs="宋体"/>
          <w:bCs/>
          <w:color w:val="auto"/>
          <w:szCs w:val="21"/>
          <w:highlight w:val="none"/>
        </w:rPr>
        <w:t>规定的其他无效情形。</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（17）出现恶意竞争低于成本价的情形</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（18）修正后的报价，供应商不确认的。</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通过符合性审查的合格供应商不足3家的，不得进入谈判环节，应当重新开展采购活动。</w:t>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25.谈判程序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25.1谈判小组按照“供应商须知前附表” 确定的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color w:val="auto"/>
          <w:szCs w:val="21"/>
          <w:highlight w:val="none"/>
        </w:rPr>
        <w:t>其响应文件按无效响应处理。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25.3对谈判文件作出的实质性变动是谈判文件的有效组成部分，由谈判小组及时以电子澄清函形式同时通知所有参加谈判的供应商。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25.5谈判中，谈判的任何一方不得透露与谈判有关的其他供应商的技术资料、价格和其他信息。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25.6谈判小组应对谈判过程和重要谈判内容进行记录，作为评标报告一部分，谈判小组在记录上签字确认。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25.7谈判过程中重新提交的响应文件，供应商可以在开启前补充、修改。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25.8对谈判过程提交的响应文件进行有效性、完整性和响应程度审查，通过审查的合格供应商不足3家的，采购人或者采购代理机构应当重新开展采购活动。</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26.最后报价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26.1谈判文件能够详细列明采购标的的技术、服务要求的，谈判结束后，由谈判小组要求所有继续参加谈判的供应商在规定时间内密封提交最后报价，提交最后报价的供应商不得少于3家，否则必须重新采购。</w:t>
      </w:r>
      <w:r>
        <w:rPr>
          <w:rFonts w:hint="eastAsia" w:ascii="宋体" w:hAnsi="宋体" w:cs="宋体"/>
          <w:color w:val="auto"/>
          <w:kern w:val="0"/>
          <w:szCs w:val="21"/>
          <w:highlight w:val="none"/>
        </w:rPr>
        <w:t>继续参加谈判的供应商</w:t>
      </w:r>
      <w:r>
        <w:rPr>
          <w:rFonts w:hint="eastAsia" w:ascii="宋体" w:hAnsi="宋体" w:cs="宋体"/>
          <w:color w:val="auto"/>
          <w:szCs w:val="21"/>
          <w:highlight w:val="none"/>
        </w:rPr>
        <w:t>作最后报价</w:t>
      </w:r>
      <w:r>
        <w:rPr>
          <w:rFonts w:hint="eastAsia" w:ascii="宋体" w:hAnsi="宋体" w:cs="宋体"/>
          <w:b/>
          <w:color w:val="auto"/>
          <w:szCs w:val="21"/>
          <w:highlight w:val="none"/>
        </w:rPr>
        <w:t>并附相应的最后报价明细表（报价明细表按第四章要求格式填写），最后报价和相应的最后报价明细表须由其法定代表人或授权代表签字或者加盖电子公章</w:t>
      </w:r>
      <w:r>
        <w:rPr>
          <w:rFonts w:hint="eastAsia" w:ascii="宋体" w:hAnsi="宋体" w:cs="宋体"/>
          <w:b/>
          <w:color w:val="auto"/>
          <w:kern w:val="0"/>
          <w:szCs w:val="21"/>
          <w:highlight w:val="none"/>
        </w:rPr>
        <w:t>后递交</w:t>
      </w:r>
      <w:r>
        <w:rPr>
          <w:rFonts w:hint="eastAsia" w:ascii="宋体" w:hAnsi="宋体" w:cs="宋体"/>
          <w:b/>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谈判文件不能详细列明采购标的的技术、服务要求，需经谈判由供应商提供最后设计方案或者解决方案的，谈判结束后，由谈判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26.3 最后报价是供应商响应文件的有效组成部分。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26.4已经提交响应文件的供应商，在提交最后报价之前，可以根据谈判情况退出谈判，退出谈判的供应商的响应文件按无效响应处理。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26.5供应商未在规定时间内提交最后报价的，视同</w:t>
      </w:r>
      <w:r>
        <w:rPr>
          <w:rFonts w:hint="eastAsia" w:ascii="宋体" w:hAnsi="宋体" w:cs="宋体"/>
          <w:b/>
          <w:color w:val="auto"/>
          <w:kern w:val="0"/>
          <w:szCs w:val="21"/>
          <w:highlight w:val="none"/>
        </w:rPr>
        <w:t>放弃报价权利退出谈判</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26.6谈判小组收齐项目或某一分标最后报价后统一开启，谈判小组对最后报价进行有效性、完整性和响应程度的审查。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26.7最终响应文件的报价出现前后不一致的，按照本章第29.1条的规定修正。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26.8修正后的最终报价出现下列情形的，按无效响应处理：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26.9经供应商确认修正后的最后报价作为评审及签订合同的依据。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26.10供应商出现最后报价按无效响应处理或者响应文件按无效处理时，谈判小组应当告知有关供应商。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26.11最后报价结束后，谈判小组不得再与供应商进行任何形式的商谈。</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27. 最后报价政府采购政策性扣除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评审价为供应商的最后报价进行政策性扣除后的价格，评审价只是作为评审时使用。最终成交供应商的成交金额等于最后报价（如有修正，以确认修正后的最后报价为准）。如价格未进行政策性扣除，则评审价=最后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27.2谈判小组从质量和服务均能满足竞争性谈判文件实质性响应要求的供应商中，按照最后评审价由低到高的顺序提出3名以上成交候选人；</w:t>
      </w:r>
      <w:r>
        <w:rPr>
          <w:rFonts w:hint="eastAsia" w:ascii="宋体" w:hAnsi="宋体" w:cs="宋体"/>
          <w:color w:val="auto"/>
          <w:highlight w:val="none"/>
        </w:rPr>
        <w:t>最后评审报价相同时，依次最后竞标报价低优先、</w:t>
      </w:r>
      <w:r>
        <w:rPr>
          <w:rFonts w:hint="eastAsia" w:ascii="宋体" w:hAnsi="宋体" w:cs="宋体"/>
          <w:color w:val="auto"/>
          <w:szCs w:val="21"/>
          <w:highlight w:val="none"/>
        </w:rPr>
        <w:t>依次按节能环保产品累计金额高的优先、</w:t>
      </w:r>
      <w:r>
        <w:rPr>
          <w:rFonts w:hint="eastAsia" w:ascii="宋体" w:hAnsi="宋体" w:cs="宋体"/>
          <w:color w:val="auto"/>
          <w:highlight w:val="none"/>
        </w:rPr>
        <w:t>环境标志产品优先、关键技术指标高优先、质量保证期长优先、</w:t>
      </w:r>
      <w:r>
        <w:rPr>
          <w:rFonts w:hint="eastAsia" w:ascii="宋体" w:hAnsi="宋体" w:cs="宋体"/>
          <w:bCs/>
          <w:color w:val="auto"/>
          <w:highlight w:val="none"/>
        </w:rPr>
        <w:t>交货期</w:t>
      </w:r>
      <w:r>
        <w:rPr>
          <w:rFonts w:hint="eastAsia" w:ascii="宋体" w:hAnsi="宋体" w:cs="宋体"/>
          <w:color w:val="auto"/>
          <w:highlight w:val="none"/>
        </w:rPr>
        <w:t>短优先、故障处理时间短优先的顺序排列</w:t>
      </w:r>
      <w:r>
        <w:rPr>
          <w:rFonts w:hint="eastAsia" w:ascii="宋体" w:hAnsi="宋体" w:cs="宋体"/>
          <w:color w:val="auto"/>
          <w:szCs w:val="21"/>
          <w:highlight w:val="none"/>
        </w:rPr>
        <w:t>成交候选人，并编写评审报告。最后报价是供应商竞争性谈判响应文件的有效组成部分。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28.澄清问题的形式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28.1对于响应文件中含义不明确、同类问题表述不一致或者有明显文字和计算错误的内容，评标委员会应在“广西政府采购云平台”平台发布电子澄清函，要求供应商在规定时间内作出必要的澄清、说明或者补正。供应商在“广西政府采购云平台”平台接收到电子澄清函后根据澄清函内容上传PDF格式回函，电子澄清答复函使用CA证书加盖单位公章后在线上传至评标委员会。供应商的澄清、说明或者补正不得超出响应文件的范围或者改变响应文件的实质性内容。供应商未在规定时间内进行澄清、说明或者补正的，按无效竞标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28.2异常情况处理：如遇无法正常使用线上发送澄清函的情况，将启动书面形式办理。启动书面形式办理的情况下，评标委员会以书面形式要求供应商在规定时间内作出必要的澄清、说明或者补正。供应商的澄清、说明或者补正必须采用书面形式，并加盖公章，或者由法定代表人或者其授权的代表签字。</w:t>
      </w:r>
    </w:p>
    <w:p>
      <w:pPr>
        <w:widowControl/>
        <w:tabs>
          <w:tab w:val="left" w:pos="540"/>
        </w:tabs>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29.错误修正</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29.1竞争性谈判响应文件如果出现计算或表达上的错误，修正错误的原则如下：</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（1）响应文件中开标一览表（报价表）内容与响应文件中相应内容不一致的，以开标一览表（报价表）为准；</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widowControl/>
        <w:tabs>
          <w:tab w:val="left" w:pos="540"/>
        </w:tabs>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同时出现两种以上不一致的，按照前款规定的顺序修正。修正后的报价经供应商确认并加盖公章或者由法定代表人或其授权的代表签字后产生约束力，供应商不确认的，其竞标无效。</w:t>
      </w:r>
    </w:p>
    <w:p>
      <w:pPr>
        <w:widowControl/>
        <w:tabs>
          <w:tab w:val="left" w:pos="540"/>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29.2经供应商确认修正后的首次及最后报价若超过采购预算金额，供应商的响应文件作无效处理。</w:t>
      </w:r>
    </w:p>
    <w:p>
      <w:pPr>
        <w:widowControl/>
        <w:tabs>
          <w:tab w:val="left" w:pos="540"/>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29.3经供应商确认修正后的最后报价作为评审及签订合同的依据。</w:t>
      </w:r>
    </w:p>
    <w:p>
      <w:pPr>
        <w:widowControl/>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30.电子交易活动的中止</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30.1采购过程中出现以下情形，导致电子交易平台无法正常运行，或者无法保证电子交易的公平、公正和安全时，采购机构可中止电子交易活动：</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（1）电子交易平台发生故障而无法登录访问的；</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（4）病毒发作导致不能进行正常操作的；</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30.2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widowControl/>
        <w:tabs>
          <w:tab w:val="left" w:pos="540"/>
        </w:tabs>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31.评委表决</w:t>
      </w:r>
    </w:p>
    <w:p>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31.1在评标过程中出现法律法规和谈判文件均没有明确规定的情形时，由谈判小组现场协商解决，协商不一致的，由全体评委投票表决，以得票率二分之一以上专家的意见为准。</w:t>
      </w:r>
    </w:p>
    <w:p>
      <w:pPr>
        <w:widowControl/>
        <w:tabs>
          <w:tab w:val="left" w:pos="540"/>
        </w:tabs>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32.评审过程的监控</w:t>
      </w:r>
    </w:p>
    <w:p>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32.1本项目电子评标过程实行网上留痕、全程录音、录像监控，供应商在评审过程中所进行的试图影响评审结果的不公正活动，可能导致其竞争性谈判被拒绝。</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五、成交及合同</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33.确定成交供应商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33.1 </w:t>
      </w:r>
      <w:r>
        <w:rPr>
          <w:rFonts w:hint="eastAsia" w:ascii="宋体" w:hAnsi="宋体" w:cs="宋体"/>
          <w:color w:val="auto"/>
          <w:kern w:val="0"/>
          <w:szCs w:val="21"/>
          <w:highlight w:val="none"/>
        </w:rPr>
        <w:t>根据以下原则确定成交供应商：响应文件满足谈判文件全部实质性要求，且评审报价最低的供应商为成交供应商。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33.2采购代理机构将在评标结束后两个工作日内将评标报告送采购人，采购人在五个工作日内按照评标报告中推荐的成交候选人顺序确定成交供应商。采购人也可以事先授权谈判小组直接确定成交供应商。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33.3成交供应商确定后二个工作日内，采购代理机构或采购人</w:t>
      </w:r>
      <w:r>
        <w:rPr>
          <w:rFonts w:hint="eastAsia" w:ascii="宋体" w:hAnsi="宋体" w:cs="宋体"/>
          <w:color w:val="auto"/>
          <w:kern w:val="0"/>
          <w:szCs w:val="21"/>
          <w:highlight w:val="none"/>
        </w:rPr>
        <w:t>应当对成交供应商信用进行核实</w:t>
      </w:r>
      <w:r>
        <w:rPr>
          <w:rFonts w:hint="eastAsia" w:ascii="宋体" w:hAnsi="宋体" w:cs="宋体"/>
          <w:color w:val="auto"/>
          <w:szCs w:val="21"/>
          <w:highlight w:val="none"/>
        </w:rPr>
        <w:t>，如其未被列入失信被执行人、重大税收违法案件当事人名单、政府采购严重违法失信行为记录名单，则采购代理机构在公告发布媒体中标公告；如其被列入失信被执行人、重大税收违法案件当事人名单、政府采购严重违法失信行为记录名单，则取消其中标资格，</w:t>
      </w:r>
      <w:r>
        <w:rPr>
          <w:rFonts w:hint="eastAsia" w:ascii="宋体" w:hAnsi="宋体" w:cs="宋体"/>
          <w:color w:val="auto"/>
          <w:spacing w:val="-3"/>
          <w:szCs w:val="21"/>
          <w:highlight w:val="none"/>
        </w:rPr>
        <w:t>并确定排名第二的中标候选人为中标人。排名第二的中标候选人因前款规定的同样原因被取消中标资格的，采购人可以确定排名第三的中标候选人为中标人，以此类推，采购人也可以取消采购。以上信息查询记录</w:t>
      </w:r>
      <w:r>
        <w:rPr>
          <w:rFonts w:hint="eastAsia" w:ascii="宋体" w:hAnsi="宋体" w:cs="宋体"/>
          <w:color w:val="auto"/>
          <w:szCs w:val="21"/>
          <w:highlight w:val="none"/>
        </w:rPr>
        <w:t>及相关证据与谈判文件一并保存。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33.4在发布成交公告的同时，采购代理机构向成交供应商</w:t>
      </w:r>
      <w:r>
        <w:rPr>
          <w:rFonts w:hint="eastAsia" w:ascii="宋体" w:hAnsi="宋体" w:cs="宋体"/>
          <w:color w:val="auto"/>
          <w:kern w:val="0"/>
          <w:szCs w:val="21"/>
          <w:highlight w:val="none"/>
        </w:rPr>
        <w:t>通过“广西政府采购云平台”平台发出电子</w:t>
      </w:r>
      <w:r>
        <w:rPr>
          <w:rFonts w:hint="eastAsia" w:ascii="宋体" w:hAnsi="宋体" w:cs="宋体"/>
          <w:color w:val="auto"/>
          <w:szCs w:val="21"/>
          <w:highlight w:val="none"/>
        </w:rPr>
        <w:t>成交通知书。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33.5供应商认为竞争性谈判文件、招标过程和成交结果使自己的权益受到损害的，可以在知道或者应知其权益受到损害之日起七个工作日内，以书面形式向招标采购单位提出质疑，并及时索要书面回执。</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33.6采购代理机构应当按照有关规定就采购人委托授权范围内的事项在收到供应商的书面质疑后七个工作日内做出答复，但答复的内容不得涉及商业秘密。</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34.签订合同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成交供应商应在成交通知书发出之日起二十五日内（采购文件另有约定的除外），按谈判文件确定的合同文本及采购标的、规格型号、采购金额、采购数量、技术和服务要求等事项与采购人签订政府采购合同。如成交供应商为联合体的，由联合体成员各方法定代表人或其授权代表与采购人代表签订合同。</w:t>
      </w:r>
      <w:r>
        <w:rPr>
          <w:rFonts w:hint="eastAsia" w:ascii="宋体" w:hAnsi="宋体" w:cs="宋体"/>
          <w:color w:val="auto"/>
          <w:kern w:val="0"/>
          <w:szCs w:val="21"/>
          <w:highlight w:val="none"/>
        </w:rPr>
        <w:t>电子采购合同需要供应商通过有效CA证书进行电子签名与签章。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34.3如成交供应商不按成交通知书的规定签订合同，则按成交供应商违约处理，采购代理机构将没收成交供应商投标的全部竞标保证金并上缴同级财政国库。</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34.4成交供应商拒绝签订政府采购合同或者因不可抗力或自身原因不能履行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34.5政府采购合同公告：采购人或者受托采购代理机构应当自政府采购合同签订之日起2个工作日内，将政府采购合同在“广西政府采购网”（http：//zfcg.gxzf.gov.cn）上发布公告，但政府采购合同中涉及国家秘密、商业秘密的内容除外。因此请各供应商应在响应文件中注明投标内容中涉及商业秘密的部分，未注明的视为响应文件中不涉及商业秘密。</w:t>
      </w:r>
    </w:p>
    <w:p>
      <w:pPr>
        <w:pStyle w:val="20"/>
        <w:spacing w:line="360" w:lineRule="auto"/>
        <w:ind w:firstLine="310" w:firstLineChars="147"/>
        <w:rPr>
          <w:rFonts w:hint="eastAsia" w:hAnsi="宋体" w:cs="宋体"/>
          <w:b/>
          <w:color w:val="auto"/>
          <w:sz w:val="21"/>
          <w:szCs w:val="21"/>
          <w:highlight w:val="none"/>
        </w:rPr>
      </w:pPr>
      <w:r>
        <w:rPr>
          <w:rFonts w:hint="eastAsia" w:hAnsi="宋体" w:cs="宋体"/>
          <w:b/>
          <w:color w:val="auto"/>
          <w:sz w:val="21"/>
          <w:szCs w:val="21"/>
          <w:highlight w:val="none"/>
        </w:rPr>
        <w:t>34.6履约保证金</w:t>
      </w:r>
    </w:p>
    <w:p>
      <w:pPr>
        <w:spacing w:line="360" w:lineRule="auto"/>
        <w:ind w:firstLine="283" w:firstLineChars="13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34.6.1履约保证金金额：详见供应商须知前附</w:t>
      </w:r>
      <w:r>
        <w:rPr>
          <w:rFonts w:hint="eastAsia" w:ascii="宋体" w:hAnsi="宋体" w:cs="宋体"/>
          <w:color w:val="auto"/>
          <w:szCs w:val="21"/>
          <w:highlight w:val="none"/>
        </w:rPr>
        <w:t>表</w:t>
      </w:r>
      <w:r>
        <w:rPr>
          <w:rFonts w:hint="eastAsia" w:ascii="宋体" w:hAnsi="宋体" w:cs="宋体"/>
          <w:color w:val="auto"/>
          <w:kern w:val="0"/>
          <w:szCs w:val="21"/>
          <w:highlight w:val="none"/>
        </w:rPr>
        <w:t>。</w:t>
      </w:r>
    </w:p>
    <w:p>
      <w:pPr>
        <w:spacing w:line="360" w:lineRule="auto"/>
        <w:ind w:firstLine="283" w:firstLineChars="13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34.6.2履约保证金递交时间：详见供应商须知前附</w:t>
      </w:r>
      <w:r>
        <w:rPr>
          <w:rFonts w:hint="eastAsia" w:ascii="宋体" w:hAnsi="宋体" w:cs="宋体"/>
          <w:color w:val="auto"/>
          <w:szCs w:val="21"/>
          <w:highlight w:val="none"/>
        </w:rPr>
        <w:t>表，未在规定时间内足额缴纳履约保证金的，不予签订合同</w:t>
      </w:r>
      <w:r>
        <w:rPr>
          <w:rFonts w:hint="eastAsia" w:ascii="宋体" w:hAnsi="宋体" w:cs="宋体"/>
          <w:color w:val="auto"/>
          <w:kern w:val="0"/>
          <w:szCs w:val="21"/>
          <w:highlight w:val="none"/>
        </w:rPr>
        <w:t>。</w:t>
      </w:r>
    </w:p>
    <w:p>
      <w:pPr>
        <w:pStyle w:val="20"/>
        <w:spacing w:line="360" w:lineRule="auto"/>
        <w:ind w:firstLine="283" w:firstLineChars="135"/>
        <w:rPr>
          <w:rFonts w:hint="eastAsia" w:hAnsi="宋体" w:cs="宋体"/>
          <w:color w:val="auto"/>
          <w:sz w:val="21"/>
          <w:szCs w:val="21"/>
          <w:highlight w:val="none"/>
        </w:rPr>
      </w:pPr>
      <w:r>
        <w:rPr>
          <w:rFonts w:hint="eastAsia" w:hAnsi="宋体" w:cs="宋体"/>
          <w:color w:val="auto"/>
          <w:sz w:val="21"/>
          <w:szCs w:val="21"/>
          <w:highlight w:val="none"/>
        </w:rPr>
        <w:t>34.6.3在履约保证金退还日期前，若</w:t>
      </w:r>
      <w:r>
        <w:rPr>
          <w:rFonts w:hint="eastAsia" w:hAnsi="宋体" w:cs="宋体"/>
          <w:color w:val="auto"/>
          <w:sz w:val="21"/>
          <w:szCs w:val="21"/>
          <w:highlight w:val="none"/>
          <w:lang w:eastAsia="zh-CN"/>
        </w:rPr>
        <w:t>成交供应商</w:t>
      </w:r>
      <w:r>
        <w:rPr>
          <w:rFonts w:hint="eastAsia" w:hAnsi="宋体" w:cs="宋体"/>
          <w:color w:val="auto"/>
          <w:sz w:val="21"/>
          <w:szCs w:val="21"/>
          <w:highlight w:val="none"/>
        </w:rPr>
        <w:t>的开户名称、开户银行、帐号有变动的，请以书面形式通知保证金收取单位，否则由此产生的后果由</w:t>
      </w:r>
      <w:r>
        <w:rPr>
          <w:rFonts w:hint="eastAsia" w:hAnsi="宋体" w:cs="宋体"/>
          <w:color w:val="auto"/>
          <w:sz w:val="21"/>
          <w:szCs w:val="21"/>
          <w:highlight w:val="none"/>
          <w:lang w:eastAsia="zh-CN"/>
        </w:rPr>
        <w:t>成交供应商</w:t>
      </w:r>
      <w:r>
        <w:rPr>
          <w:rFonts w:hint="eastAsia" w:hAnsi="宋体" w:cs="宋体"/>
          <w:color w:val="auto"/>
          <w:sz w:val="21"/>
          <w:szCs w:val="21"/>
          <w:highlight w:val="none"/>
        </w:rPr>
        <w:t>自负。</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六、验收</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35.验收</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35.2采购人可以邀请参加本项目的其他供应商或者第三方机构参与验收。参与验收的供应商或者第三方机构的意见作为验收书的参考资料一并存档。</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35.3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35.4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35.5项目验收完毕，成交供应商将壹份《广西壮族自治区政府采购项目合同验收书》（格式详见附件）送采购代理机构存档。</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七、其他事项</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36. 需要补充的其他内容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36.1本谈判文件解释规则详见“供应商须知前附表”。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37.2其他事项详见“供应商须知前附表”。</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37. 成交服务费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37.1成交服务费：代理服务费以成交价为计费依据，参照国家发展计划委员会《招标代理服务收费管理暂行办法》(计价格[2002]1980号)收费标准及《国家发展改革委关于降低部分建设项目收费标准规范收费行为等有关问题的通知》(发改价格[2011]534号)标准费率的规定向成交供应商收取。成交供应商在领取成交通知书时，一次性向采购代理机构支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37.2成交服务费收费标准：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hint="eastAsia"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641350</wp:posOffset>
                      </wp:positionH>
                      <wp:positionV relativeFrom="paragraph">
                        <wp:posOffset>12065</wp:posOffset>
                      </wp:positionV>
                      <wp:extent cx="831850" cy="1131570"/>
                      <wp:effectExtent l="3810" t="2540" r="21590" b="8890"/>
                      <wp:wrapNone/>
                      <wp:docPr id="3" name="直线 20"/>
                      <wp:cNvGraphicFramePr/>
                      <a:graphic xmlns:a="http://schemas.openxmlformats.org/drawingml/2006/main">
                        <a:graphicData uri="http://schemas.microsoft.com/office/word/2010/wordprocessingShape">
                          <wps:wsp>
                            <wps:cNvCnPr/>
                            <wps:spPr>
                              <a:xfrm flipH="1" flipV="1">
                                <a:off x="0" y="0"/>
                                <a:ext cx="831850" cy="11315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0" o:spid="_x0000_s1026" o:spt="20" style="position:absolute;left:0pt;flip:x y;margin-left:50.5pt;margin-top:0.95pt;height:89.1pt;width:65.5pt;z-index:251661312;mso-width-relative:page;mso-height-relative:page;" filled="f" stroked="t" coordsize="21600,21600" o:gfxdata="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uCX0tEAAAAJAQAADwAAAAAAAAABACAAAAAiAAAAZHJzL2Rvd25yZXYueG1sUEsBAhQAFAAA&#10;AAgAh07iQIX8OZv2AQAA9wMAAA4AAAAAAAAAAQAgAAAAIAEAAGRycy9lMm9Eb2MueG1sUEsFBgAA&#10;AAAGAAYAWQEAAIgFAAAAAA==&#10;">
                      <v:fill on="f" focussize="0,0"/>
                      <v:stroke color="#000000" joinstyle="round"/>
                      <v:imagedata o:title=""/>
                      <o:lock v:ext="edit" aspectratio="f"/>
                    </v:line>
                  </w:pict>
                </mc:Fallback>
              </mc:AlternateContent>
            </w:r>
            <w:r>
              <w:rPr>
                <w:rFonts w:hint="eastAsia" w:ascii="宋体" w:hAnsi="宋体" w:cs="宋体"/>
                <w:b/>
                <w:color w:val="auto"/>
                <w:szCs w:val="21"/>
                <w:highlight w:val="none"/>
              </w:rPr>
              <w:t>费率</w:t>
            </w:r>
            <w:r>
              <w:rPr>
                <w:rFonts w:hint="eastAsia" w:ascii="宋体" w:hAnsi="宋体" w:cs="宋体"/>
                <w:color w:val="auto"/>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 name="直线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uR037VAAAACQEAAA8A&#10;AAAAAAAAAQAgAAAAIgAAAGRycy9kb3ducmV2LnhtbFBLAQIUABQAAAAIAIdO4kCpcURx4QEAAN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cs="宋体"/>
                <w:b/>
                <w:color w:val="auto"/>
                <w:szCs w:val="21"/>
                <w:highlight w:val="none"/>
              </w:rPr>
              <w:t xml:space="preserve">    服务类型</w:t>
            </w:r>
          </w:p>
          <w:p>
            <w:pPr>
              <w:spacing w:line="360" w:lineRule="auto"/>
              <w:ind w:firstLine="422" w:firstLineChars="200"/>
              <w:jc w:val="center"/>
              <w:rPr>
                <w:rFonts w:hint="eastAsia" w:ascii="宋体" w:hAnsi="宋体" w:cs="宋体"/>
                <w:b/>
                <w:color w:val="auto"/>
                <w:szCs w:val="21"/>
                <w:highlight w:val="none"/>
              </w:rPr>
            </w:pPr>
          </w:p>
          <w:p>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-159385</wp:posOffset>
                      </wp:positionV>
                      <wp:extent cx="1508760" cy="723265"/>
                      <wp:effectExtent l="1905" t="4445" r="13335" b="15240"/>
                      <wp:wrapNone/>
                      <wp:docPr id="2" name="直线 19"/>
                      <wp:cNvGraphicFramePr/>
                      <a:graphic xmlns:a="http://schemas.openxmlformats.org/drawingml/2006/main">
                        <a:graphicData uri="http://schemas.microsoft.com/office/word/2010/wordprocessingShape">
                          <wps:wsp>
                            <wps:cNvCnPr/>
                            <wps:spPr>
                              <a:xfrm flipH="1" flipV="1">
                                <a:off x="0" y="0"/>
                                <a:ext cx="1508760" cy="7232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flip:x y;margin-left:-2.85pt;margin-top:-12.55pt;height:56.95pt;width:118.8pt;z-index:251660288;mso-width-relative:page;mso-height-relative:page;" filled="f" stroked="t" coordsize="21600,21600" o:gfxdata="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K7I93VAAAACQEAAA8AAAAAAAAAAQAgAAAAIgAAAGRycy9kb3ducmV2LnhtbFBLAQIU&#10;ABQAAAAIAIdO4kDo/BH+9gEAAPcDAAAOAAAAAAAAAAEAIAAAACQBAABkcnMvZTJvRG9jLnhtbFBL&#10;BQYAAAAABgAGAFkBAACMBQAAAAA=&#10;">
                      <v:fill on="f" focussize="0,0"/>
                      <v:stroke color="#000000" joinstyle="round"/>
                      <v:imagedata o:title=""/>
                      <o:lock v:ext="edit" aspectratio="f"/>
                    </v:line>
                  </w:pict>
                </mc:Fallback>
              </mc:AlternateConten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成交金额（万元）</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jc w:val="center"/>
              <w:rPr>
                <w:rFonts w:hint="eastAsia" w:ascii="宋体" w:hAnsi="宋体" w:cs="宋体"/>
                <w:b/>
                <w:color w:val="auto"/>
                <w:szCs w:val="21"/>
                <w:highlight w:val="none"/>
              </w:rPr>
            </w:pPr>
            <w:r>
              <w:rPr>
                <w:rFonts w:hint="eastAsia" w:ascii="宋体" w:hAnsi="宋体" w:cs="宋体"/>
                <w:b/>
                <w:color w:val="auto"/>
                <w:szCs w:val="21"/>
                <w:highlight w:val="none"/>
              </w:rPr>
              <w:t>货物招标</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jc w:val="center"/>
              <w:rPr>
                <w:rFonts w:hint="eastAsia" w:ascii="宋体" w:hAnsi="宋体" w:cs="宋体"/>
                <w:b/>
                <w:color w:val="auto"/>
                <w:szCs w:val="21"/>
                <w:highlight w:val="none"/>
              </w:rPr>
            </w:pPr>
            <w:r>
              <w:rPr>
                <w:rFonts w:hint="eastAsia" w:ascii="宋体" w:hAnsi="宋体" w:cs="宋体"/>
                <w:b/>
                <w:color w:val="auto"/>
                <w:szCs w:val="21"/>
                <w:highlight w:val="none"/>
              </w:rPr>
              <w:t>服务招标</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jc w:val="center"/>
              <w:rPr>
                <w:rFonts w:hint="eastAsia" w:ascii="宋体" w:hAnsi="宋体" w:cs="宋体"/>
                <w:b/>
                <w:color w:val="auto"/>
                <w:szCs w:val="21"/>
                <w:highlight w:val="none"/>
              </w:rPr>
            </w:pPr>
            <w:r>
              <w:rPr>
                <w:rFonts w:hint="eastAsia" w:ascii="宋体" w:hAnsi="宋体" w:cs="宋体"/>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100以下</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1.5%</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1.5%</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100-500</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1.1%</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0.8%</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500-1000</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0.8%</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0.45%</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1000-5000</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0.5%</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0.25%</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5000-10000</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0.25%</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0.1%</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10000-100000</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0.05%</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0.05%</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1000000以上</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0.01%</w:t>
            </w:r>
          </w:p>
        </w:tc>
        <w:tc>
          <w:tcPr>
            <w:tcW w:w="198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0.01%</w:t>
            </w:r>
          </w:p>
        </w:tc>
        <w:tc>
          <w:tcPr>
            <w:tcW w:w="2700"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firstLine="420" w:firstLineChars="20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0.01%</w:t>
            </w:r>
          </w:p>
        </w:tc>
      </w:tr>
    </w:tbl>
    <w:p>
      <w:pPr>
        <w:pStyle w:val="20"/>
        <w:spacing w:line="360" w:lineRule="auto"/>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注：招标代理服务费收费按差额定率累进法计算。</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38.供应商信用查询相关规定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38.1信用查询渠道：“信用中国”网站（www.creditchina.gov.cn）、中国政府采购网（www.ccgp.gov.cn）；</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38.2信用查询截止时点：资格审查时。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38.3信用信息查询记录：“列入失信被执行人”、“ 重大税收违法案件当事人名单”、“政府采购严重违法失信行为记录名单”。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38.4信用信息的使用规则：如供应商被列入“列入失信被执行人”、 “ 重大税收违法案件当事人名单”、“政府采购严重违法失信行为记录名单”等名单内的，将按照信用信息使用规则处理。</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39.关于中小企业的相关规定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39.1根据《政府采购促进中小企业发展管理办法》（财库[2020]46号），本谈判文件中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39.2供应商提供的货物、工程或者服务符合下列情形的，享受中小企业扶持政策：①在货物采购项目中，货物由中小企业制造，即货物由中小企业生产且使用该中小企业商号或者注册商标；②在工程采购项目中，工程由中小企业承建，即工程施工单位为中小企业；③在服务采购项目中，服务由中小企业承接，即提供服务的人员为中小企业依照《中华人民共和国劳动合同法》订立劳动合同的从业人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39.3在货物采购项目中，供应商提供的货物既有中小企业制造货物，也有大型企业制造货物的，不享受中小企业扶持政策。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39.4以联合体形式参加政府采购活动，联合体各方均为中小企业的，联合体视同中小企业。其中，联合体各方均为小微企业的，联合体视同小微企业。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合体参与政府采购项目的，联合体各方所提供货物、工程、服务均为中小企业制造、承建、承接的，联合体视同中小企业，享受对中小企业的预留份额政策；联合体各方提供货物、工程、服务均为小微企业制造、承建、承接的，联合体视同小微企业，享受对小微企业的预留份额政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39.5享受中小企业扶持政策获得政府采购合同的，小微企业不得将合同分包给大中型企业，中型企业不得将合同分包给大型企业。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39.6供应商（货物项目时为竞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39.7供应商（货物项目时为竞标产品提供企业）按《三部门联合发布关于促进残疾人就业政府采购政策的通知》（财库[2017]141号）认定为残疾人福利性单位的，视同小型、微型企业；残疾人福利性单位参加政府采购活动时，应当提供《残疾人福利性单位声明函》。残疾人福利性单位属于小型、微型企业的，不重复享受政策。</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39.8对于专门面向中小企业采购的采购项目或者采购包，通过发布公告方式邀请供应商后，符合资格条件的中小企业数量不足 3 家的，应当中止采购活动，视同非专门面向中小企业采购的采购项目或者采购包，按照《政府采购促进中小企业发展管理办法》（财库[2020]46号）第九条有关规定重新组织采购活动。</w:t>
      </w:r>
      <w:r>
        <w:rPr>
          <w:rFonts w:hint="eastAsia" w:ascii="宋体" w:hAnsi="宋体" w:cs="宋体"/>
          <w:color w:val="auto"/>
          <w:kern w:val="0"/>
          <w:szCs w:val="21"/>
          <w:highlight w:val="none"/>
        </w:rPr>
        <w:t xml:space="preserve"> </w:t>
      </w:r>
    </w:p>
    <w:p>
      <w:pPr>
        <w:spacing w:line="360" w:lineRule="auto"/>
        <w:ind w:firstLine="420" w:firstLineChars="200"/>
        <w:rPr>
          <w:rFonts w:hint="eastAsia" w:ascii="宋体" w:hAnsi="宋体" w:cs="Adobe 宋体 Std L"/>
          <w:color w:val="auto"/>
          <w:szCs w:val="21"/>
          <w:highlight w:val="none"/>
        </w:rPr>
      </w:pPr>
    </w:p>
    <w:p>
      <w:pPr>
        <w:tabs>
          <w:tab w:val="left" w:pos="2835"/>
        </w:tabs>
        <w:spacing w:line="360" w:lineRule="auto"/>
        <w:rPr>
          <w:rFonts w:hint="eastAsia" w:ascii="宋体" w:hAnsi="宋体"/>
          <w:color w:val="auto"/>
          <w:szCs w:val="21"/>
          <w:highlight w:val="none"/>
        </w:rPr>
      </w:pPr>
    </w:p>
    <w:p>
      <w:pPr>
        <w:pStyle w:val="3"/>
        <w:rPr>
          <w:rFonts w:hint="eastAsia" w:ascii="宋体" w:hAnsi="宋体"/>
          <w:color w:val="auto"/>
          <w:highlight w:val="none"/>
        </w:rPr>
        <w:sectPr>
          <w:pgSz w:w="11906" w:h="16838"/>
          <w:pgMar w:top="1134" w:right="1134" w:bottom="1134" w:left="1134" w:header="720" w:footer="720" w:gutter="0"/>
          <w:cols w:space="0" w:num="1"/>
          <w:docGrid w:type="lines" w:linePitch="312" w:charSpace="0"/>
        </w:sectPr>
      </w:pPr>
      <w:r>
        <w:rPr>
          <w:rFonts w:ascii="宋体" w:hAnsi="宋体"/>
          <w:color w:val="auto"/>
          <w:highlight w:val="none"/>
        </w:rPr>
        <w:br w:type="page"/>
      </w:r>
    </w:p>
    <w:p>
      <w:pPr>
        <w:tabs>
          <w:tab w:val="left" w:pos="2835"/>
        </w:tabs>
        <w:rPr>
          <w:rFonts w:hint="eastAsia" w:ascii="宋体" w:hAnsi="宋体" w:cs="宋体"/>
          <w:b/>
          <w:color w:val="auto"/>
          <w:highlight w:val="none"/>
        </w:rPr>
      </w:pPr>
      <w:r>
        <w:rPr>
          <w:rFonts w:hint="eastAsia" w:ascii="宋体" w:hAnsi="宋体" w:cs="宋体"/>
          <w:b/>
          <w:color w:val="auto"/>
          <w:highlight w:val="none"/>
        </w:rPr>
        <w:t>附件1</w:t>
      </w:r>
    </w:p>
    <w:p>
      <w:pPr>
        <w:pStyle w:val="20"/>
        <w:snapToGrid w:val="0"/>
        <w:spacing w:line="360" w:lineRule="auto"/>
        <w:jc w:val="center"/>
        <w:rPr>
          <w:rFonts w:hint="eastAsia" w:hAnsi="宋体" w:cs="宋体"/>
          <w:color w:val="auto"/>
          <w:sz w:val="36"/>
          <w:szCs w:val="36"/>
          <w:highlight w:val="none"/>
        </w:rPr>
      </w:pPr>
      <w:r>
        <w:rPr>
          <w:rFonts w:hint="eastAsia" w:hAnsi="宋体" w:cs="宋体"/>
          <w:b/>
          <w:color w:val="auto"/>
          <w:sz w:val="36"/>
          <w:szCs w:val="36"/>
          <w:highlight w:val="none"/>
        </w:rPr>
        <w:t>广西壮族自治区政府采购项目合同验收书</w:t>
      </w:r>
      <w:r>
        <w:rPr>
          <w:rFonts w:hint="eastAsia" w:hAnsi="宋体" w:cs="宋体"/>
          <w:color w:val="auto"/>
          <w:sz w:val="36"/>
          <w:szCs w:val="36"/>
          <w:highlight w:val="none"/>
        </w:rPr>
        <w:t>（格式）</w:t>
      </w:r>
    </w:p>
    <w:p>
      <w:pPr>
        <w:widowControl/>
        <w:shd w:val="clear" w:color="auto" w:fill="FFFFFF"/>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项目名称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 政府采购项目中标（或成交）供应商（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提供的货物（或工程、服务）进行了验收，验收情况如下：</w:t>
      </w:r>
    </w:p>
    <w:tbl>
      <w:tblPr>
        <w:tblStyle w:val="37"/>
        <w:tblW w:w="9639" w:type="dxa"/>
        <w:jc w:val="center"/>
        <w:tblLayout w:type="fixed"/>
        <w:tblCellMar>
          <w:top w:w="0" w:type="dxa"/>
          <w:left w:w="0" w:type="dxa"/>
          <w:bottom w:w="0" w:type="dxa"/>
          <w:right w:w="0" w:type="dxa"/>
        </w:tblCellMar>
      </w:tblPr>
      <w:tblGrid>
        <w:gridCol w:w="1519"/>
        <w:gridCol w:w="2193"/>
        <w:gridCol w:w="911"/>
        <w:gridCol w:w="116"/>
        <w:gridCol w:w="2285"/>
        <w:gridCol w:w="203"/>
        <w:gridCol w:w="782"/>
        <w:gridCol w:w="1630"/>
      </w:tblGrid>
      <w:tr>
        <w:tblPrEx>
          <w:tblCellMar>
            <w:top w:w="0" w:type="dxa"/>
            <w:left w:w="0" w:type="dxa"/>
            <w:bottom w:w="0" w:type="dxa"/>
            <w:right w:w="0" w:type="dxa"/>
          </w:tblCellMar>
        </w:tblPrEx>
        <w:trPr>
          <w:trHeight w:val="497" w:hRule="atLeast"/>
          <w:jc w:val="center"/>
        </w:trPr>
        <w:tc>
          <w:tcPr>
            <w:tcW w:w="371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927"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519"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19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名称</w:t>
            </w:r>
          </w:p>
        </w:tc>
        <w:tc>
          <w:tcPr>
            <w:tcW w:w="331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985"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630"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2193"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331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98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2193"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331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98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7024" w:type="dxa"/>
            <w:gridSpan w:val="5"/>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合计</w:t>
            </w:r>
          </w:p>
        </w:tc>
        <w:tc>
          <w:tcPr>
            <w:tcW w:w="985"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9639" w:type="dxa"/>
            <w:gridSpan w:val="8"/>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519"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104"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2604"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412"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519"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3104"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2604"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2412"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5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2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竞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51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2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519" w:type="dxa"/>
            <w:vMerge w:val="continue"/>
            <w:tcBorders>
              <w:top w:val="nil"/>
              <w:left w:val="single" w:color="auto" w:sz="8" w:space="0"/>
              <w:bottom w:val="single" w:color="auto" w:sz="8" w:space="0"/>
              <w:right w:val="single" w:color="auto" w:sz="8" w:space="0"/>
            </w:tcBorders>
            <w:vAlign w:val="center"/>
          </w:tcPr>
          <w:p>
            <w:pPr>
              <w:widowControl/>
              <w:spacing w:line="360" w:lineRule="auto"/>
              <w:jc w:val="left"/>
              <w:rPr>
                <w:rFonts w:hint="eastAsia" w:ascii="宋体" w:hAnsi="宋体" w:cs="宋体"/>
                <w:color w:val="auto"/>
                <w:kern w:val="0"/>
                <w:szCs w:val="21"/>
                <w:highlight w:val="none"/>
              </w:rPr>
            </w:pPr>
          </w:p>
        </w:tc>
        <w:tc>
          <w:tcPr>
            <w:tcW w:w="812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tblPrEx>
          <w:tblCellMar>
            <w:top w:w="0" w:type="dxa"/>
            <w:left w:w="0" w:type="dxa"/>
            <w:bottom w:w="0" w:type="dxa"/>
            <w:right w:w="0" w:type="dxa"/>
          </w:tblCellMar>
        </w:tblPrEx>
        <w:trPr>
          <w:trHeight w:val="758" w:hRule="atLeast"/>
          <w:jc w:val="center"/>
        </w:trPr>
        <w:tc>
          <w:tcPr>
            <w:tcW w:w="4739"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900"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采购人或受托机构的意见（盖章）：</w:t>
            </w:r>
          </w:p>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pPr>
        <w:ind w:firstLine="422"/>
        <w:jc w:val="left"/>
        <w:rPr>
          <w:rFonts w:hint="eastAsia" w:hAnsi="宋体"/>
          <w:b/>
          <w:color w:val="auto"/>
          <w:highlight w:val="none"/>
        </w:rPr>
      </w:pPr>
    </w:p>
    <w:p>
      <w:pPr>
        <w:tabs>
          <w:tab w:val="left" w:pos="2835"/>
        </w:tabs>
        <w:rPr>
          <w:rFonts w:hint="eastAsia" w:ascii="宋体" w:hAnsi="宋体" w:cs="宋体"/>
          <w:b/>
          <w:color w:val="auto"/>
          <w:highlight w:val="none"/>
        </w:rPr>
      </w:pPr>
      <w:r>
        <w:rPr>
          <w:rFonts w:hAnsi="宋体"/>
          <w:b/>
          <w:color w:val="auto"/>
          <w:highlight w:val="none"/>
        </w:rPr>
        <w:br w:type="page"/>
      </w:r>
      <w:r>
        <w:rPr>
          <w:rFonts w:hint="eastAsia" w:ascii="宋体" w:hAnsi="宋体" w:cs="宋体"/>
          <w:b/>
          <w:color w:val="auto"/>
          <w:highlight w:val="none"/>
        </w:rPr>
        <w:t>附件2：</w:t>
      </w:r>
    </w:p>
    <w:p>
      <w:pPr>
        <w:pStyle w:val="20"/>
        <w:snapToGrid w:val="0"/>
        <w:spacing w:line="360" w:lineRule="auto"/>
        <w:jc w:val="center"/>
        <w:rPr>
          <w:rFonts w:hint="eastAsia" w:hAnsi="宋体" w:cs="宋体"/>
          <w:b/>
          <w:color w:val="auto"/>
          <w:sz w:val="36"/>
          <w:szCs w:val="36"/>
          <w:highlight w:val="none"/>
        </w:rPr>
      </w:pPr>
      <w:r>
        <w:rPr>
          <w:rFonts w:hint="eastAsia" w:hAnsi="宋体" w:cs="宋体"/>
          <w:b/>
          <w:color w:val="auto"/>
          <w:sz w:val="36"/>
          <w:szCs w:val="36"/>
          <w:highlight w:val="none"/>
        </w:rPr>
        <w:t>政府采购项目履约保证金退付意见书</w:t>
      </w:r>
      <w:r>
        <w:rPr>
          <w:rFonts w:hint="eastAsia" w:hAnsi="宋体" w:cs="宋体"/>
          <w:color w:val="auto"/>
          <w:sz w:val="36"/>
          <w:szCs w:val="36"/>
          <w:highlight w:val="none"/>
        </w:rPr>
        <w:t>（参考）</w:t>
      </w:r>
    </w:p>
    <w:tbl>
      <w:tblPr>
        <w:tblStyle w:val="3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vAlign w:val="center"/>
          </w:tcPr>
          <w:p>
            <w:pPr>
              <w:ind w:left="1" w:leftChars="-51" w:hanging="108" w:hangingChars="45"/>
              <w:jc w:val="center"/>
              <w:rPr>
                <w:color w:val="auto"/>
                <w:sz w:val="24"/>
                <w:highlight w:val="none"/>
              </w:rPr>
            </w:pPr>
            <w:r>
              <w:rPr>
                <w:rFonts w:hint="eastAsia"/>
                <w:color w:val="auto"/>
                <w:sz w:val="24"/>
                <w:highlight w:val="none"/>
              </w:rPr>
              <w:t>供</w:t>
            </w:r>
          </w:p>
          <w:p>
            <w:pPr>
              <w:ind w:left="1" w:leftChars="-51" w:hanging="108" w:hangingChars="45"/>
              <w:jc w:val="center"/>
              <w:rPr>
                <w:color w:val="auto"/>
                <w:sz w:val="24"/>
                <w:highlight w:val="none"/>
              </w:rPr>
            </w:pPr>
            <w:r>
              <w:rPr>
                <w:rFonts w:hint="eastAsia"/>
                <w:color w:val="auto"/>
                <w:sz w:val="24"/>
                <w:highlight w:val="none"/>
              </w:rPr>
              <w:t>应</w:t>
            </w:r>
          </w:p>
          <w:p>
            <w:pPr>
              <w:ind w:left="1" w:leftChars="-51" w:hanging="108" w:hangingChars="45"/>
              <w:jc w:val="center"/>
              <w:rPr>
                <w:color w:val="auto"/>
                <w:sz w:val="24"/>
                <w:highlight w:val="none"/>
              </w:rPr>
            </w:pPr>
            <w:r>
              <w:rPr>
                <w:rFonts w:hint="eastAsia"/>
                <w:color w:val="auto"/>
                <w:sz w:val="24"/>
                <w:highlight w:val="none"/>
              </w:rPr>
              <w:t>商</w:t>
            </w:r>
          </w:p>
          <w:p>
            <w:pPr>
              <w:ind w:left="1" w:leftChars="-51" w:hanging="108" w:hangingChars="45"/>
              <w:jc w:val="center"/>
              <w:rPr>
                <w:color w:val="auto"/>
                <w:sz w:val="24"/>
                <w:highlight w:val="none"/>
              </w:rPr>
            </w:pPr>
            <w:r>
              <w:rPr>
                <w:rFonts w:hint="eastAsia"/>
                <w:color w:val="auto"/>
                <w:sz w:val="24"/>
                <w:highlight w:val="none"/>
              </w:rPr>
              <w:t>申</w:t>
            </w:r>
          </w:p>
          <w:p>
            <w:pPr>
              <w:ind w:left="1" w:leftChars="-51" w:hanging="108" w:hangingChars="45"/>
              <w:jc w:val="center"/>
              <w:rPr>
                <w:color w:val="auto"/>
                <w:sz w:val="24"/>
                <w:highlight w:val="none"/>
              </w:rPr>
            </w:pPr>
            <w:r>
              <w:rPr>
                <w:rFonts w:hint="eastAsia"/>
                <w:color w:val="auto"/>
                <w:sz w:val="24"/>
                <w:highlight w:val="none"/>
              </w:rPr>
              <w:t>请</w:t>
            </w:r>
          </w:p>
        </w:tc>
        <w:tc>
          <w:tcPr>
            <w:tcW w:w="8456" w:type="dxa"/>
            <w:vAlign w:val="center"/>
          </w:tcPr>
          <w:p>
            <w:pPr>
              <w:ind w:firstLine="480"/>
              <w:rPr>
                <w:color w:val="auto"/>
                <w:sz w:val="24"/>
                <w:highlight w:val="none"/>
              </w:rPr>
            </w:pPr>
            <w:r>
              <w:rPr>
                <w:rFonts w:hint="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vAlign w:val="center"/>
          </w:tcPr>
          <w:p>
            <w:pPr>
              <w:ind w:left="1" w:leftChars="-51" w:hanging="108" w:hangingChars="45"/>
              <w:rPr>
                <w:color w:val="auto"/>
                <w:sz w:val="24"/>
                <w:highlight w:val="none"/>
              </w:rPr>
            </w:pPr>
          </w:p>
        </w:tc>
        <w:tc>
          <w:tcPr>
            <w:tcW w:w="8456" w:type="dxa"/>
            <w:vAlign w:val="center"/>
          </w:tcPr>
          <w:p>
            <w:pPr>
              <w:ind w:firstLine="480"/>
              <w:rPr>
                <w:color w:val="auto"/>
                <w:sz w:val="24"/>
                <w:highlight w:val="none"/>
              </w:rPr>
            </w:pPr>
            <w:r>
              <w:rPr>
                <w:rFonts w:hint="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pPr>
              <w:ind w:left="1" w:leftChars="-51" w:hanging="108" w:hangingChars="45"/>
              <w:rPr>
                <w:color w:val="auto"/>
                <w:sz w:val="24"/>
                <w:highlight w:val="none"/>
              </w:rPr>
            </w:pPr>
          </w:p>
        </w:tc>
        <w:tc>
          <w:tcPr>
            <w:tcW w:w="8456" w:type="dxa"/>
          </w:tcPr>
          <w:p>
            <w:pPr>
              <w:ind w:firstLine="480"/>
              <w:rPr>
                <w:color w:val="auto"/>
                <w:sz w:val="24"/>
                <w:highlight w:val="none"/>
              </w:rPr>
            </w:pPr>
            <w:r>
              <w:rPr>
                <w:rFonts w:hint="eastAsia"/>
                <w:color w:val="auto"/>
                <w:sz w:val="24"/>
                <w:highlight w:val="none"/>
              </w:rPr>
              <w:t xml:space="preserve">  </w:t>
            </w:r>
          </w:p>
          <w:p>
            <w:pPr>
              <w:spacing w:line="400" w:lineRule="exact"/>
              <w:ind w:firstLine="480"/>
              <w:rPr>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（小写）退付到达以下帐户。</w:t>
            </w:r>
          </w:p>
          <w:p>
            <w:pPr>
              <w:spacing w:line="400" w:lineRule="exact"/>
              <w:ind w:firstLine="480"/>
              <w:rPr>
                <w:color w:val="auto"/>
                <w:sz w:val="24"/>
                <w:highlight w:val="none"/>
              </w:rPr>
            </w:pPr>
            <w:r>
              <w:rPr>
                <w:rFonts w:hint="eastAsia"/>
                <w:color w:val="auto"/>
                <w:sz w:val="24"/>
                <w:highlight w:val="none"/>
              </w:rPr>
              <w:t>单位名称：</w:t>
            </w:r>
          </w:p>
          <w:p>
            <w:pPr>
              <w:spacing w:line="400" w:lineRule="exact"/>
              <w:ind w:firstLine="480"/>
              <w:rPr>
                <w:color w:val="auto"/>
                <w:sz w:val="24"/>
                <w:highlight w:val="none"/>
              </w:rPr>
            </w:pPr>
            <w:r>
              <w:rPr>
                <w:rFonts w:hint="eastAsia"/>
                <w:color w:val="auto"/>
                <w:sz w:val="24"/>
                <w:highlight w:val="none"/>
              </w:rPr>
              <w:t>开户银行：</w:t>
            </w:r>
          </w:p>
          <w:p>
            <w:pPr>
              <w:spacing w:line="400" w:lineRule="exact"/>
              <w:ind w:firstLine="480"/>
              <w:rPr>
                <w:color w:val="auto"/>
                <w:sz w:val="24"/>
                <w:highlight w:val="none"/>
              </w:rPr>
            </w:pPr>
            <w:r>
              <w:rPr>
                <w:rFonts w:hint="eastAsia"/>
                <w:color w:val="auto"/>
                <w:sz w:val="24"/>
                <w:highlight w:val="none"/>
              </w:rPr>
              <w:t>帐   号：</w:t>
            </w:r>
          </w:p>
          <w:p>
            <w:pPr>
              <w:spacing w:line="400" w:lineRule="exact"/>
              <w:ind w:firstLine="480"/>
              <w:rPr>
                <w:color w:val="auto"/>
                <w:sz w:val="24"/>
                <w:highlight w:val="none"/>
              </w:rPr>
            </w:pPr>
            <w:r>
              <w:rPr>
                <w:rFonts w:hint="eastAsia"/>
                <w:color w:val="auto"/>
                <w:sz w:val="24"/>
                <w:highlight w:val="none"/>
              </w:rPr>
              <w:t>联系人及电话：</w:t>
            </w:r>
          </w:p>
          <w:p>
            <w:pPr>
              <w:spacing w:line="400" w:lineRule="exact"/>
              <w:ind w:firstLine="480"/>
              <w:rPr>
                <w:color w:val="auto"/>
                <w:sz w:val="24"/>
                <w:highlight w:val="none"/>
              </w:rPr>
            </w:pPr>
          </w:p>
          <w:p>
            <w:pPr>
              <w:spacing w:line="520" w:lineRule="exact"/>
              <w:ind w:firstLine="480"/>
              <w:jc w:val="center"/>
              <w:rPr>
                <w:color w:val="auto"/>
                <w:sz w:val="24"/>
                <w:highlight w:val="none"/>
              </w:rPr>
            </w:pPr>
            <w:r>
              <w:rPr>
                <w:rFonts w:hint="eastAsia"/>
                <w:color w:val="auto"/>
                <w:sz w:val="24"/>
                <w:highlight w:val="none"/>
              </w:rPr>
              <w:t xml:space="preserve">         供应商签章：</w:t>
            </w:r>
          </w:p>
          <w:p>
            <w:pPr>
              <w:spacing w:line="520" w:lineRule="exact"/>
              <w:ind w:firstLine="480"/>
              <w:jc w:val="center"/>
              <w:rPr>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vAlign w:val="center"/>
          </w:tcPr>
          <w:p>
            <w:pPr>
              <w:ind w:left="1" w:leftChars="-51" w:hanging="108" w:hangingChars="45"/>
              <w:jc w:val="center"/>
              <w:rPr>
                <w:color w:val="auto"/>
                <w:sz w:val="24"/>
                <w:highlight w:val="none"/>
              </w:rPr>
            </w:pPr>
            <w:r>
              <w:rPr>
                <w:rFonts w:hint="eastAsia"/>
                <w:color w:val="auto"/>
                <w:sz w:val="24"/>
                <w:highlight w:val="none"/>
              </w:rPr>
              <w:t>采</w:t>
            </w:r>
          </w:p>
          <w:p>
            <w:pPr>
              <w:ind w:left="1" w:leftChars="-51" w:hanging="108" w:hangingChars="45"/>
              <w:jc w:val="center"/>
              <w:rPr>
                <w:color w:val="auto"/>
                <w:sz w:val="24"/>
                <w:highlight w:val="none"/>
              </w:rPr>
            </w:pPr>
            <w:r>
              <w:rPr>
                <w:rFonts w:hint="eastAsia"/>
                <w:color w:val="auto"/>
                <w:sz w:val="24"/>
                <w:highlight w:val="none"/>
              </w:rPr>
              <w:t>购</w:t>
            </w:r>
          </w:p>
          <w:p>
            <w:pPr>
              <w:ind w:left="1" w:leftChars="-51" w:hanging="108" w:hangingChars="45"/>
              <w:jc w:val="center"/>
              <w:rPr>
                <w:color w:val="auto"/>
                <w:sz w:val="24"/>
                <w:highlight w:val="none"/>
              </w:rPr>
            </w:pPr>
            <w:r>
              <w:rPr>
                <w:rFonts w:hint="eastAsia"/>
                <w:color w:val="auto"/>
                <w:sz w:val="24"/>
                <w:highlight w:val="none"/>
              </w:rPr>
              <w:t>人</w:t>
            </w:r>
          </w:p>
          <w:p>
            <w:pPr>
              <w:ind w:left="1" w:leftChars="-51" w:hanging="108" w:hangingChars="45"/>
              <w:jc w:val="center"/>
              <w:rPr>
                <w:color w:val="auto"/>
                <w:sz w:val="24"/>
                <w:highlight w:val="none"/>
              </w:rPr>
            </w:pPr>
            <w:r>
              <w:rPr>
                <w:rFonts w:hint="eastAsia"/>
                <w:color w:val="auto"/>
                <w:sz w:val="24"/>
                <w:highlight w:val="none"/>
              </w:rPr>
              <w:t>意</w:t>
            </w:r>
          </w:p>
          <w:p>
            <w:pPr>
              <w:ind w:left="1" w:leftChars="-51" w:hanging="108" w:hangingChars="45"/>
              <w:jc w:val="center"/>
              <w:rPr>
                <w:color w:val="auto"/>
                <w:sz w:val="24"/>
                <w:highlight w:val="none"/>
              </w:rPr>
            </w:pPr>
            <w:r>
              <w:rPr>
                <w:rFonts w:hint="eastAsia"/>
                <w:color w:val="auto"/>
                <w:sz w:val="24"/>
                <w:highlight w:val="none"/>
              </w:rPr>
              <w:t>见</w:t>
            </w:r>
          </w:p>
        </w:tc>
        <w:tc>
          <w:tcPr>
            <w:tcW w:w="8456" w:type="dxa"/>
          </w:tcPr>
          <w:p>
            <w:pPr>
              <w:ind w:firstLine="480"/>
              <w:rPr>
                <w:color w:val="auto"/>
                <w:sz w:val="24"/>
                <w:highlight w:val="none"/>
              </w:rPr>
            </w:pPr>
          </w:p>
          <w:p>
            <w:pPr>
              <w:ind w:firstLine="480"/>
              <w:rPr>
                <w:color w:val="auto"/>
                <w:sz w:val="24"/>
                <w:highlight w:val="none"/>
              </w:rPr>
            </w:pPr>
            <w:r>
              <w:rPr>
                <w:rFonts w:hint="eastAsia"/>
                <w:color w:val="auto"/>
                <w:sz w:val="24"/>
                <w:highlight w:val="none"/>
              </w:rPr>
              <w:t>退付意见：（是否同意退付履约保证金及退付金额）</w:t>
            </w:r>
          </w:p>
          <w:p>
            <w:pPr>
              <w:ind w:firstLine="480"/>
              <w:rPr>
                <w:color w:val="auto"/>
                <w:sz w:val="24"/>
                <w:highlight w:val="none"/>
              </w:rPr>
            </w:pPr>
          </w:p>
          <w:p>
            <w:pPr>
              <w:ind w:firstLine="480"/>
              <w:rPr>
                <w:color w:val="auto"/>
                <w:sz w:val="24"/>
                <w:highlight w:val="none"/>
              </w:rPr>
            </w:pPr>
          </w:p>
          <w:p>
            <w:pPr>
              <w:ind w:firstLine="480"/>
              <w:rPr>
                <w:color w:val="auto"/>
                <w:sz w:val="24"/>
                <w:highlight w:val="none"/>
              </w:rPr>
            </w:pPr>
          </w:p>
          <w:p>
            <w:pPr>
              <w:ind w:firstLine="480"/>
              <w:rPr>
                <w:color w:val="auto"/>
                <w:sz w:val="24"/>
                <w:highlight w:val="none"/>
              </w:rPr>
            </w:pPr>
          </w:p>
          <w:p>
            <w:pPr>
              <w:spacing w:line="520" w:lineRule="exact"/>
              <w:ind w:firstLine="480"/>
              <w:rPr>
                <w:color w:val="auto"/>
                <w:sz w:val="24"/>
                <w:highlight w:val="none"/>
              </w:rPr>
            </w:pPr>
            <w:r>
              <w:rPr>
                <w:rFonts w:hint="eastAsia"/>
                <w:color w:val="auto"/>
                <w:sz w:val="24"/>
                <w:highlight w:val="none"/>
              </w:rPr>
              <w:t>联系人及电话：                         采购人签章</w:t>
            </w:r>
          </w:p>
          <w:p>
            <w:pPr>
              <w:spacing w:line="520" w:lineRule="exact"/>
              <w:ind w:firstLine="480"/>
              <w:jc w:val="center"/>
              <w:rPr>
                <w:color w:val="auto"/>
                <w:sz w:val="24"/>
                <w:highlight w:val="none"/>
              </w:rPr>
            </w:pPr>
            <w:r>
              <w:rPr>
                <w:rFonts w:hint="eastAsia"/>
                <w:color w:val="auto"/>
                <w:sz w:val="24"/>
                <w:highlight w:val="none"/>
              </w:rPr>
              <w:t xml:space="preserve">                                        年    月     日</w:t>
            </w:r>
          </w:p>
          <w:p>
            <w:pPr>
              <w:spacing w:line="520" w:lineRule="exact"/>
              <w:ind w:firstLine="480"/>
              <w:jc w:val="center"/>
              <w:rPr>
                <w:color w:val="auto"/>
                <w:sz w:val="24"/>
                <w:highlight w:val="none"/>
              </w:rPr>
            </w:pPr>
          </w:p>
        </w:tc>
      </w:tr>
    </w:tbl>
    <w:p>
      <w:pPr>
        <w:ind w:firstLine="181" w:firstLineChars="100"/>
        <w:rPr>
          <w:rFonts w:hint="eastAsia" w:ascii="黑体" w:hAnsi="黑体" w:eastAsia="黑体"/>
          <w:color w:val="auto"/>
          <w:szCs w:val="21"/>
          <w:highlight w:val="none"/>
        </w:rPr>
      </w:pPr>
      <w:r>
        <w:rPr>
          <w:rFonts w:hint="eastAsia" w:ascii="宋体"/>
          <w:b/>
          <w:bCs/>
          <w:color w:val="auto"/>
          <w:sz w:val="18"/>
          <w:szCs w:val="18"/>
          <w:highlight w:val="none"/>
        </w:rPr>
        <w:t>注：供应商凭经采购人审批的退付意见书到履约保证金收取单位财务部门办理履约保证金退付事宜。</w:t>
      </w:r>
    </w:p>
    <w:p>
      <w:pPr>
        <w:pStyle w:val="3"/>
        <w:rPr>
          <w:rFonts w:hint="eastAsia" w:ascii="宋体" w:hAnsi="宋体"/>
          <w:color w:val="auto"/>
          <w:highlight w:val="none"/>
        </w:rPr>
        <w:sectPr>
          <w:pgSz w:w="11906" w:h="16838"/>
          <w:pgMar w:top="1134" w:right="1134" w:bottom="1134" w:left="1134" w:header="720" w:footer="720" w:gutter="0"/>
          <w:cols w:space="0" w:num="1"/>
          <w:docGrid w:type="lines" w:linePitch="312" w:charSpace="0"/>
        </w:sectPr>
      </w:pPr>
    </w:p>
    <w:p>
      <w:pPr>
        <w:pStyle w:val="3"/>
        <w:rPr>
          <w:rFonts w:hint="eastAsia" w:ascii="宋体" w:hAnsi="宋体"/>
          <w:color w:val="auto"/>
          <w:highlight w:val="none"/>
        </w:rPr>
      </w:pPr>
      <w:bookmarkStart w:id="19" w:name="_Toc29464"/>
      <w:r>
        <w:rPr>
          <w:rFonts w:hint="eastAsia" w:ascii="宋体" w:hAnsi="宋体"/>
          <w:color w:val="auto"/>
          <w:highlight w:val="none"/>
        </w:rPr>
        <w:t>第三章 采购需求</w:t>
      </w:r>
      <w:bookmarkEnd w:id="19"/>
      <w:bookmarkStart w:id="20" w:name="_Toc49329249"/>
      <w:bookmarkStart w:id="21" w:name="_Toc83636396"/>
      <w:bookmarkStart w:id="22" w:name="_Toc37670349"/>
      <w:bookmarkStart w:id="23" w:name="_Toc78604590"/>
    </w:p>
    <w:bookmarkEnd w:id="20"/>
    <w:bookmarkEnd w:id="21"/>
    <w:bookmarkEnd w:id="22"/>
    <w:bookmarkEnd w:id="23"/>
    <w:p>
      <w:pPr>
        <w:spacing w:line="360" w:lineRule="exact"/>
        <w:ind w:firstLine="422" w:firstLineChars="200"/>
        <w:rPr>
          <w:rFonts w:hint="eastAsia" w:ascii="宋体" w:hAnsi="宋体" w:cs="Courier New"/>
          <w:b/>
          <w:color w:val="auto"/>
          <w:szCs w:val="21"/>
          <w:highlight w:val="none"/>
        </w:rPr>
      </w:pPr>
      <w:r>
        <w:rPr>
          <w:rFonts w:hint="eastAsia" w:ascii="宋体" w:hAnsi="宋体" w:cs="Courier New"/>
          <w:b/>
          <w:color w:val="auto"/>
          <w:szCs w:val="21"/>
          <w:highlight w:val="none"/>
        </w:rPr>
        <w:t>说明：</w:t>
      </w:r>
    </w:p>
    <w:p>
      <w:pPr>
        <w:spacing w:line="36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一、本一览表中的品牌、型号技术参数及其性能（配置）仅起参考作用，供应商可选用其他产品替代，但这些替代的产品要实质上相当于或优于参考品牌型号及其技术参数性能（配置）要求。</w:t>
      </w:r>
    </w:p>
    <w:p>
      <w:pPr>
        <w:spacing w:line="36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二、本一览表中参考品牌、型号及技术参数性能（配置）不明确或有误的，或供应商选用其他产品替代的，须说明品牌型号和详细的技术参数性能（配置）同时填写投标明细表和技术响应表。</w:t>
      </w:r>
    </w:p>
    <w:p>
      <w:pPr>
        <w:spacing w:line="360" w:lineRule="exact"/>
        <w:ind w:firstLine="420" w:firstLineChars="200"/>
        <w:rPr>
          <w:rFonts w:hint="eastAsia" w:ascii="宋体" w:hAnsi="宋体" w:cs="宋体"/>
          <w:color w:val="auto"/>
          <w:szCs w:val="21"/>
          <w:highlight w:val="none"/>
        </w:rPr>
      </w:pPr>
      <w:bookmarkStart w:id="24" w:name="_Toc519523657"/>
      <w:bookmarkStart w:id="25" w:name="_Toc511133381"/>
      <w:r>
        <w:rPr>
          <w:rFonts w:hint="eastAsia" w:ascii="宋体" w:hAnsi="宋体" w:cs="宋体"/>
          <w:color w:val="auto"/>
          <w:szCs w:val="21"/>
          <w:highlight w:val="none"/>
        </w:rPr>
        <w:t>三、供应商必须自行为其竞标产品侵权其他供应商或专利人的专利成果承担相应法律责任；同时，具有产品专利的供应商应在其响应文件中提供与其自有产品专利相关的有效证明材料，否则，不能就其产品的专利在本项目投标过程中被侵权问题提出异议。</w:t>
      </w:r>
      <w:bookmarkEnd w:id="24"/>
      <w:bookmarkEnd w:id="25"/>
    </w:p>
    <w:p>
      <w:pPr>
        <w:widowControl/>
        <w:spacing w:line="360" w:lineRule="exact"/>
        <w:ind w:firstLine="420" w:firstLineChars="200"/>
        <w:jc w:val="left"/>
        <w:rPr>
          <w:rFonts w:hint="eastAsia" w:ascii="宋体" w:hAnsi="宋体" w:cs="宋体"/>
          <w:bCs/>
          <w:color w:val="auto"/>
          <w:kern w:val="0"/>
          <w:szCs w:val="21"/>
          <w:highlight w:val="none"/>
        </w:rPr>
      </w:pPr>
      <w:r>
        <w:rPr>
          <w:rFonts w:hint="eastAsia" w:ascii="宋体" w:hAnsi="宋体" w:cs="宋体"/>
          <w:bCs/>
          <w:color w:val="auto"/>
          <w:szCs w:val="21"/>
          <w:highlight w:val="none"/>
        </w:rPr>
        <w:t>▲四、根据《财政部发展改革委生态环境部市场监管总局关于调整优化节能产品、环境标志产品政府采购执行机制的通知》（财库〔2019〕9号）和《关于印发节能产品政府采购品目清单的通知》（财库〔2019〕19号）的规定，采购需求中的货物属于节能产品政府采购品目清单内标注“★”的（详见本章后附的节能产品政府采购品目清单，专业定制除外），供应商的投标货物必须使用政府强制采购的节能产品，供应商必须在响应文件（商务及技术文件）中提供所竞标产品的节能产品认证证书复印件（或扫描件）（加盖供应商电子公章），否则按无效投标处理。如本项目包含的货物属于品目清单内非标注“★”的产品时，应优先采购，具体详见“第四章 评标方法及评标标准”。</w:t>
      </w:r>
      <w:r>
        <w:rPr>
          <w:rFonts w:hint="eastAsia" w:ascii="宋体" w:hAnsi="宋体" w:cs="宋体"/>
          <w:bCs/>
          <w:color w:val="auto"/>
          <w:kern w:val="0"/>
          <w:szCs w:val="21"/>
          <w:highlight w:val="none"/>
        </w:rPr>
        <w:t xml:space="preserve"> </w:t>
      </w:r>
    </w:p>
    <w:p>
      <w:pPr>
        <w:widowControl/>
        <w:spacing w:line="36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▲五、本一览表中的技术参数及其性能（配置）为必须满足的项目，供应商必须提供相当于或优于这些技术参数性能（配置）要求。</w:t>
      </w:r>
    </w:p>
    <w:p>
      <w:pPr>
        <w:widowControl/>
        <w:spacing w:line="3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六、根据财政部令87号规定，提供相同品牌产品且通过资格审查、符合性审查的不同供应商参加同一合同项下投标的，按一家供应商计算，评审后得分最高的同品牌供应商获得中标人推荐资格；评审得分相同时，以总报价最低的同品牌供应商获得中标人推荐资格；当总报价相同时，则以技术标最优的同品牌供应商获得中标人推荐资格；均相同时，由评标委员会集体决定。</w:t>
      </w:r>
    </w:p>
    <w:p>
      <w:pPr>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七、本项目标的所属行业：</w:t>
      </w:r>
      <w:r>
        <w:rPr>
          <w:rFonts w:hint="eastAsia" w:ascii="宋体" w:hAnsi="宋体" w:cs="宋体"/>
          <w:b/>
          <w:color w:val="auto"/>
          <w:szCs w:val="21"/>
          <w:highlight w:val="none"/>
          <w:u w:val="single"/>
        </w:rPr>
        <w:t xml:space="preserve">  工业  </w:t>
      </w:r>
      <w:r>
        <w:rPr>
          <w:rFonts w:hint="eastAsia" w:ascii="宋体" w:hAnsi="宋体" w:cs="宋体"/>
          <w:b/>
          <w:color w:val="auto"/>
          <w:szCs w:val="21"/>
          <w:highlight w:val="none"/>
        </w:rPr>
        <w:t>，划分依据：《关于印发中小企业划型标准规定的通知》（工信部联企业[2011]300号）。</w:t>
      </w:r>
    </w:p>
    <w:p>
      <w:pPr>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八、技术需求评审中允许负偏离的条款数为</w:t>
      </w:r>
      <w:r>
        <w:rPr>
          <w:rFonts w:hint="eastAsia" w:ascii="宋体" w:hAnsi="宋体" w:cs="宋体"/>
          <w:b/>
          <w:color w:val="auto"/>
          <w:szCs w:val="21"/>
          <w:highlight w:val="none"/>
          <w:lang w:val="en-US" w:eastAsia="zh-CN"/>
        </w:rPr>
        <w:t>0</w:t>
      </w:r>
      <w:r>
        <w:rPr>
          <w:rFonts w:hint="eastAsia" w:ascii="宋体" w:hAnsi="宋体" w:cs="宋体"/>
          <w:b/>
          <w:color w:val="auto"/>
          <w:szCs w:val="21"/>
          <w:highlight w:val="none"/>
        </w:rPr>
        <w:t>项；商务条款评审中允许负偏离的条款数为0项。</w:t>
      </w:r>
    </w:p>
    <w:p>
      <w:pPr>
        <w:spacing w:line="360" w:lineRule="exact"/>
        <w:ind w:firstLine="422" w:firstLineChars="200"/>
        <w:rPr>
          <w:rFonts w:hint="eastAsia" w:ascii="宋体" w:hAnsi="宋体" w:cs="宋体"/>
          <w:b/>
          <w:color w:val="auto"/>
          <w:szCs w:val="21"/>
          <w:highlight w:val="none"/>
        </w:rPr>
      </w:pPr>
    </w:p>
    <w:tbl>
      <w:tblPr>
        <w:tblStyle w:val="37"/>
        <w:tblW w:w="10198" w:type="dxa"/>
        <w:tblInd w:w="-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5"/>
        <w:gridCol w:w="1234"/>
        <w:gridCol w:w="879"/>
        <w:gridCol w:w="993"/>
        <w:gridCol w:w="879"/>
        <w:gridCol w:w="1064"/>
        <w:gridCol w:w="4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19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hAnsi="宋体"/>
                <w:b/>
                <w:color w:val="auto"/>
                <w:sz w:val="21"/>
                <w:highlight w:val="none"/>
              </w:rPr>
            </w:pPr>
            <w:r>
              <w:rPr>
                <w:rFonts w:hint="eastAsia" w:hAnsi="宋体"/>
                <w:b/>
                <w:color w:val="auto"/>
                <w:sz w:val="21"/>
                <w:highlight w:val="none"/>
              </w:rPr>
              <w:t>一、项目要求及技术需求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项号</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标的</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数量及单位</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w:t>
            </w:r>
            <w:r>
              <w:rPr>
                <w:rFonts w:hint="eastAsia" w:hAnsi="宋体" w:eastAsia="宋体" w:cs="宋体"/>
                <w:b/>
                <w:bCs/>
                <w:i w:val="0"/>
                <w:iCs w:val="0"/>
                <w:color w:val="auto"/>
                <w:kern w:val="0"/>
                <w:sz w:val="21"/>
                <w:szCs w:val="21"/>
                <w:highlight w:val="none"/>
                <w:u w:val="none"/>
                <w:lang w:val="en-US" w:eastAsia="zh-CN" w:bidi="ar"/>
              </w:rPr>
              <w:t>上限价</w:t>
            </w:r>
            <w:r>
              <w:rPr>
                <w:rFonts w:hint="eastAsia" w:ascii="宋体" w:hAnsi="宋体" w:eastAsia="宋体" w:cs="宋体"/>
                <w:b/>
                <w:bCs/>
                <w:i w:val="0"/>
                <w:iCs w:val="0"/>
                <w:color w:val="auto"/>
                <w:kern w:val="0"/>
                <w:sz w:val="21"/>
                <w:szCs w:val="21"/>
                <w:highlight w:val="none"/>
                <w:u w:val="none"/>
                <w:lang w:val="en-US" w:eastAsia="zh-CN" w:bidi="ar"/>
              </w:rPr>
              <w:t>（元）</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hAnsi="宋体" w:eastAsia="宋体" w:cs="宋体"/>
                <w:b/>
                <w:bCs/>
                <w:i w:val="0"/>
                <w:iCs w:val="0"/>
                <w:color w:val="auto"/>
                <w:kern w:val="0"/>
                <w:sz w:val="21"/>
                <w:szCs w:val="21"/>
                <w:highlight w:val="none"/>
                <w:u w:val="none"/>
                <w:lang w:val="en-US" w:eastAsia="zh-CN" w:bidi="ar"/>
              </w:rPr>
              <w:t>单项</w:t>
            </w:r>
            <w:r>
              <w:rPr>
                <w:rFonts w:hint="eastAsia" w:ascii="宋体" w:hAnsi="宋体" w:eastAsia="宋体" w:cs="宋体"/>
                <w:b/>
                <w:bCs/>
                <w:i w:val="0"/>
                <w:iCs w:val="0"/>
                <w:color w:val="auto"/>
                <w:kern w:val="0"/>
                <w:sz w:val="21"/>
                <w:szCs w:val="21"/>
                <w:highlight w:val="none"/>
                <w:u w:val="none"/>
                <w:lang w:val="en-US" w:eastAsia="zh-CN" w:bidi="ar"/>
              </w:rPr>
              <w:t>合计（元）</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所属行业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技术参数及性能（配置）要求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9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（一）甜野里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甜野里主体改造</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1座</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68000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68000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1、尺寸：（≦12400mm*5360mm*5400mm-66平方）。建筑面积≦66㎡，房屋内均高≦5400mm。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2、屋内现状：拆除及清理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3、屋内地面：室内地面使用地砖尺寸600×600mm。由采购人选样确定，满足相关规范及技术要求。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4、屋内墙面：高压水枪清洗及刷光油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5、门窗：所有门采用铝合金门，所有窗户采用铝合金框架，中空钢化玻璃，安全、防爆、隔热。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甜野里电路系统</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20000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1、电路设计：安全可靠，符合国标并满足所有设施设备用电需要；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2、电源进线10/6mm2，照明1.5mm2，插座2.5/4mm2，均采用明装，不同线路需分别穿管敷设；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3、电源配电箱（含漏电保护装置）含总电源控制面板,电路集成；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4、室内墙壁上按照电器布置和使用需求布置标准插座，插座布置需考虑外接线路；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甜野里排给水</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6600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1、Φ20/25mm环保PPR冷热水管（含PPR配件）完工后打压仪≥10公斤压力，试压≥30分钟；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2、Φ110mm联塑PVC排污管；安装水表1套。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店铺招牌定制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2980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1、规格：≥长1080*高925mm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2、材质：L型亚克力灯箱+贴膜+PVC字喷漆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发光字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3250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1、规格：≥长1700*高260mm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2、材质：迷你发光字+螺杆立装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店铺氛围招牌定制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6880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1、规格：≥长5275*高1050mm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2、材质：30mm樟子松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特色招牌</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1044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1、规格：≥长680*高780mm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2、材质：30mm樟子松凹雕+圈梁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椰子风格组合装饰</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5250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1、规格：≥直径780mm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2、材质：玻璃钢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店外绿植</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1盆</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684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1、规格：≥高1700mm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2、材质：陶瓷、绿植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定制款吊灯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1盏</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4480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1、规格：≥直径1500*高800mm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定制款吊灯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6盏</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324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1944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1、尺寸：≥直径70cm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店内氛围射灯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198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1、规格：≥30瓦射灯、轨道长1000mm、三灯头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复古风扇</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2把</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810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1、规格：≥直径1170高400mm（46寸）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2、材质：ABS塑胶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休息区摆件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1批</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58200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58200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1、规格：≥边长600*高750mm  16张、≥高730*宽400mm    6张、≥高860*宽455mm   24张、≥长5800*高500*座位宽650mm 1套、≥宽1380*高1025mm 1套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2、材质：多层板、瓷砖、钢脚、橡木、藤、橡胶木、PU、海绵、多层板+科技布/海绵、木+大理石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店铺前台工作站</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23400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23400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1、规格：≥长4000*高860mm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2、材质：大理石、多层板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多功能甜品师平面控制台</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8820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8820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1、规格：≥长3300*高860mm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2、材质：多层板、石英石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艺术花瓶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123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1、规格：≥高220*宽130mm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2、材质：瓷器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壁灯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3盏</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112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1、规格：≥高255*宽120mm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2、材质：铁、喷漆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墙面装饰</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527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2637</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1、规格：≥直径300mm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2、材质：胡桃木、天然洞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天花吊板</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18000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1、规格：≥长4000*宽1450高200mm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2、材质：多层板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菜单牌定制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2组</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594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1、规格：≥长3300*高460/长2600*高460mm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2、材质：棉麻布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墙面柜定制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5184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5184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1、规格：≥长4000*高750mm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2、材质：多层板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店内绿植</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1盆</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684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1、规格：≥高1100mm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2、材质：陶瓷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时钟</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584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1、规格：≥长447*高160mm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2、材质：亚克力、ABS、金属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嵌入式冰柜</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4320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4320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1、规格：≥长1042*宽600*高800mm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2、容量：≥129L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商用冰箱</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4230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4230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1、规格：≥宽1260*高1830mm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2、材质：≥功率350W-380W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多功能榨汁机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672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1、规格：≥长291*宽235*高495mm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2、容量：≥0.8L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多功能料理机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770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1、容量：≥0.8L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2、功率：≥2200W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收银系统</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9870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9870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1、≥27寸显示屏、收款云喇叭、小票机、标签机、收款系统（含1年年费）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306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1、规格：≥长330*高430mm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饮料保温储存桶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117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1、规格：≥高405*直径230mm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2、容量：≥10L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净水器</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1652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1、规格：≥350*145*400mm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2、滤芯：RO膜，PP棉，活性炭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商用消毒柜</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868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1、规格：≥长480*宽380*高1510mm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2、材质：≥额定功率600w、净重18kg、机身材质410不锈钢、箱体材质410不锈钢、控制方式机械式、消毒时间0~60min、温度60~80℃、消毒方式红外线中温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微波炉</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532 </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1、规格：≥高287*宽378*深490mm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2、材质：≥23L大容量、纳米内胆、功率700w、额定电压220v~50Hz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多用烤箱</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3200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1、规格：≥长519*宽635*高545mm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2、材质：≥可调温度20-260℃；可调时间0-99min；电压220v；功率2600w；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商用制冰机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2266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2266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1、规格：≥388*370*798mm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2、材质：≥单次出冰32颗；储冰量15kg；额定功率200w；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绵冰机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2248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2248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1、规格：≥320*460*435mm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2、材质：≥滚轮长度90mm、电压220v/50Hz；最大产量80kg/24h;制冷功率360w；料筒2.5L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电磁炉</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1400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1、规格：≥440*140*740mm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2、材质：双层线圈盘、≥2200w、操作按键+旋钮双智能；10档火力、高强度微晶面板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开水机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2585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1、规格：≥260*460*640mm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2、材质：304不锈钢内胆、多段调温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高压锅</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550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1、规格：≥324*303*292mm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2、材质：≥内胆容量5L、额定功率1000w、额定电压220v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打蛋器（厨师机）</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2350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2350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1、规格：≥425mm*410mm*250mm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2、材质：≥电压功率220v/350w、容量7L、数显档位操控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电炸炉</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1278 </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1278</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1、规格：≥570*460*305mm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2、材质：≥3kw+3kw功率、温度60-200℃、双温控、独立油缸、304不锈钢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糖水熬煮煲套装</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4850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1、规格：≥24*30.5*17.5*22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2、材质：耐热陶瓷砂锅≤6L、304不锈钢内胆≤4L、内嵌入式电陶炉，黑晶面板，额定功率1500w，额定电压：220V/50hz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珍珠锅</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998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1.规格：≥30*28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2、材质：304不锈钢内胆≤8L，功率1300w，电源：220v/50hz，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孔板工具</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324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1.规格：≥90*100cm*1.2mm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2.材质：冷轧钢、特殊定制造型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糖水小料水吧台</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4858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4858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1.规格：≥1.2*0.7*1.2m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2.材质：电压220v，电源：220v/50hz，不锈钢板、料盒槽、铜管制冷，冰柜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果糖定量机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447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447</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1.规格：≥250*355*400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2、材质：智能面板控制，≤6L，功率350w，电压220v/50hz,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雪平锅</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1、规格：≤18*8.5*35cm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2.材质：316不锈钢单锅，≤2L，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陶瓷不粘奶锅</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1、规格：≤18*9.5*33cm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2.材质：精铁、路合金、陶瓷复核三层底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不锈钢一体量勺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1、规格：≥28*2*4.1cm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2、材质：304不锈钢，≥15ml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不锈钢一体量勺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45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1、规格：≥27.5*2*4.1cm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2、材质：304不锈钢，≥20ml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不锈钢一体量勺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1、规格：≥28*2.7*4.9cm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2、材质：304不锈钢，≥30ml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料理机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537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537</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1、规格：≥440*260*265mm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2、材质：不锈钢机身、额定电压/频率220v/50hz，≤15L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托盘</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5个</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86 </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1、规格：≥42*27*3.2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2、材质：仿真木花纹、塑料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不锈钢去核器</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22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1、规格：≥8*5.8*5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冷水壶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1、规格：≥25*15.4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2、材质：耐热温差0℃-100℃，≥2500ml，塑料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不锈钢漏篮</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33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1、规格：≥19.5*8*2.2cm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小吃篮</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45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1、规格：≥10*14.2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2、材质：金属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小吃蓝套装</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1、规格：≥17*5.5*12.5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2、材质：金属、木托盘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电子秤</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186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1、规格：≥33.5*33.5*13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2、材质：不锈钢秤盘，LCD智能显示屏，ASB材料，供电方式220直冲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漏斗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115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1、规格：≥30*20*17</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2、材质：金属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漏勺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22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1、规格：≥7.5*29.5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2、材质：金属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展示牌立架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1、规格：≥210*297mm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2、材质：木质、亚克力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营业中挂牌</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1、规格：≥36*24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2、材质：木质、亚克力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温馨提示牌</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180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1、规格：≥长250*宽100mm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2、材质：亚克力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灭火器及外箱</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2组</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1、规格：≥4kg*2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2、材质：干粉+不锈钢箱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防毒面具</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1、规格：≥长140*宽110*高190mm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2、成分：滤烟层，吸附剂层烟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灭火毯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1、规格：≥长2000*宽2000mm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2、材质：玻璃纤维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1、规格：≥长265*高245mm、孔距200mm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2、材质：亚克力面板、环保阻燃灯头、led光源、智能状态指示灯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音响功放+音响</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1、规格：≥长270*高78*宽235mm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2、功率：≥150瓦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3、规格：一拖二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1、规格：≥直径220*高285mm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2、材质：PP环保材质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网络+监控</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1、分辨率:≥2960x1666mm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2、材质:电子元件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空调门帘</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个 </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1、规格:≥1500mm软门帘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2、材质:PVC+磁吸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入户地毯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个 </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1、规格:≥1100*800mm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2、材质:正面PVC，底部塑胶发泡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古铜环拉手庭院善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头拉手</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1、规格:≥76*59*44mm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新中式门锁门栓门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扣</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1、规格:≥500*100mm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2、材质:铜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9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（二）白沙陶社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白沙陶社主体改造</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1座</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44000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44000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1、尺寸：（≦9100mm*4900mm*5400mm-44平方）。建筑面积≦44㎡，房屋内均高≦5400mm。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2、屋内现状：拆除及清理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3、屋内地面：室内地面使用地砖尺寸600×600mm。由采购人选样确定，满足相关规范及技术要求。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4、屋内墙面：高压水枪清洗及刷光油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5、门窗：所有门采用铝合金门，所有窗户采用铝合金框架，中空钢化玻璃，安全、防爆、隔热。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白沙陶社电路系统</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13000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1、电路设计：安全可靠，符合国标并满足所有设施设备用电需要；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2、电源进线10/6mm2，照明1.5mm2，插座2.5/4mm2，均采用明装，不同线路需分别穿管敷设；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3、电源配电箱（含漏电保护装置）含总电源控制面板,电路集成；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4、室内墙壁上按照电器布置和使用需求布置标准插座，插座布置需考虑外接线路；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白沙陶社排给水</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4500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1、Φ20/25mm环保PPR冷热水管（含PPR配件）完工后打压仪≥10公斤压力，试压≥30分钟；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2、Φ110mm联塑PVC排污管；安装水表1套。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店铺招牌定制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8900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1、规格：≥长4530*高830mm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2、材质：30mm樟子松底板+圈梁，字高约70侧面金属背发光字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门头装饰</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1组</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8200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1、规格：≥长4530*560mm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2、材质：陶罐、铁板、玻璃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门头孔灯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153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1、规格：≥直径11-13cm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2、材质：中性光4000k、led芯、防腐、钢材灯架卡扣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外墙大缸</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675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1、规格：≥宽500*高6000mm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2、材质：陶瓷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外墙假植装饰</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3350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1、规格：≥长1800宽500mm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射灯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198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1、规格：≥30瓦射灯、轨道长1000、三灯头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洞洞墙</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1组</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12500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1、规格：≥长6800*高2000mm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2、材质：多层板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洞洞板配件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5150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1、材质：木质，金属，特殊造型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外墙打卡点</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1、规格：≥长1300*高420mm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2、材质：石头、榆木板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陶社工作操作区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21752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21752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1、规格：≥长6800*宽500*高530mm  1套、≥高40*直径60cm  6个、≥高350直径300mm  24张、≥长2200*高650*宽800mm  2张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2、材质：多层板、铁梨木、橡胶木、松木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墙面装饰物</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19平方</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193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3676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1、材质：涤纶，反面无纺布 正面是高精密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店铺前台工作站</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7560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7560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1、规格：≥长3000*宽600高1000mm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2、材质：环保高密度纤维板、水曲柳实木皮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陶瓷拉坯机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1142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1、规格：≥高420*宽370*长550mm、长脚踏款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2、材质：铁、喷漆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磨底机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1980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1、规格：≥34*35*550*20*2.1cm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2、材质：铁、喷漆，额定功率400w，电压220v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修坯套装</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1、规格：≥16cm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2、材质：金属、木质、橡胶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泥浆搅拌机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520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1、规格：≥14cm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2、材质：金属，产品电流:220V-50/60HZ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修坯套筒底座</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145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1、规格：≥25*1.7cm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陶瓷项链</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50条</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45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1、规格：≥20cm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2、材质：陶瓷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陶瓷挂件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50条</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1、规格：≥8cm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2、材质：陶瓷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陶瓷挂饰</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50件</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53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1、规格：≥2-5.5cm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2、材质：陶瓷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陶瓷无铅色釉套装</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6300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1、规格：≥500ml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2、材质：色釉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陶泥</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25斤</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2、材质：陶泥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复古风扇</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2把</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810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1、规格：≥直径1170*高400mm（46寸）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2、材质：ABS塑胶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艺术吊灯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4盏</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198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1、规格：≥高460*直径440mm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2、材质：竹编藤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时钟</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584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1、规格：≥长447*高160mm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2、材质：亚克力、ABS、金属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陶艺作品展示架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82896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82896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1、规格：≥长8910*高4250宽300mm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2、材质：杉木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陶艺展示品</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268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1、规格：≥高700*宽300mm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2、材质：陶瓷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306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1、规格：≥长330*高430mm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收银系统</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9870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9870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1、≥27寸显示屏、收款云喇叭、小票机、标签机、收款系统（含1年年费）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绿植物+陶瓷花瓶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2组</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325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1、规格：≥高860mm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2、材质：绿植物+陶瓷花瓶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电子烧窑箱</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14500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14500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1、规格：≥长1000宽810高1260mm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2、材质：金属、钢化玻璃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区域牌定制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1764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1764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1、规格：≥长3000*高220mm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2、材质：30mm樟子松凹雕，单独字约100mm高*5个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扎染布吊顶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4组</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324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1296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1、规格：≥长9200*宽1000mm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2、材质：扎染布条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艺术灯饰定制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1组</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8516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8516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1、规格：≥60cm*3、80cm*3、100cm*3、150cm*3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2、材质：布艺、led灯芯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绿植物+陶瓷花盆</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1盆</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684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1、规格：≥高1500mm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2、材质：绿植物+陶瓷花盆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绿植物+陶瓷花盆</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1盆</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684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1、规格：≥高1350mm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2、材质：绿植物+陶瓷花盆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陈列陶瓷缸饰品</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108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3240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1、规格：≥高400*宽600mm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2、材质：陶瓷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定制区域牌</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576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1、规格：≥40*16cm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2、材质：防腐木；烧窑区、体验区、展示区、展示区等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户外洗手盆</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1920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1920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1、规格：≥盆长宽高深37.5*30*11cm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底座长*宽*高44.5*30*66cm，整体重约14.55kg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2、材质：石头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吸尘器</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799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799</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1、铜芯电机、≥86-100kpa吸力、可吸尘吸水吹干、智能自动泄压、五重过滤系统、双向自动散热、≥容量40L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温馨提示牌</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180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1、规格：≥长250*宽100mm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2、材质：亚克力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灭火器及外箱</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2组</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1、规格：≥4kg*2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2、材质：干粉+不锈钢箱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防毒面具</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1、规格：≥长140*宽110*高190mm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2、成分：滤烟层，吸附剂层烟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灭火毯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1、规格：≥长2000*宽2000mm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2、材质：玻璃纤维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1、规格：≥长265*高245mm、孔距200mm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2、材质：亚克力面板、环保阻燃灯头、led光源、智能状态指示灯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音响功放+音响</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1、规格：≥长270*高78*宽235mm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2、功率：≥150瓦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3、规格：一拖二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1、规格：≥直径220*高285mm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2、材质：PP环保材质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网络+监控</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1、分辨率:≥2960x1666mm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2、材质:电子元件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空调门帘</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个 </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1、规格:≥1500mm软门帘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2、材质:PVC+磁吸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入户地毯定制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个 </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1、规格:≥1100*800mm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2、材质:正面PVC，底部塑胶发泡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古铜环拉手庭院善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头拉手</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1、规格:≥76*59*44mm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新中式门锁门栓门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扣</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1、规格:≥500*100mm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2、材质:铜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19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（三）白沙食光小吃店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白沙食光小吃店主体改造</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1座</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38000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1、尺寸：（≦8000mm*4750mm*5400mm-38平方）。建筑面积≦38㎡，房屋内均高≦5400mm。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2、屋内现状：拆除及清理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3、屋内地面：室内地面使用地砖尺寸600×600mm。由采购人选样确定，满足相关规范及技术要求。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4、屋内墙面：高压水枪清洗及刷光油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5、门窗：所有门采用铝合金门，所有窗户采用铝合金框架，中空钢化玻璃，安全、防爆、隔热。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白沙食光小吃店电路系统</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11000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1、电路设计：安全可靠，符合国标并满足所有设施设备用电需要；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2、电源进线10/6mm2，照明1.5mm2，插座2.5/4mm2，均采用明装，不同线路需分别穿管敷设；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3、电源配电箱（含漏电保护装置）含总电源控制面板,电路集成；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4、室内墙壁上按照电器布置和使用需求布置标准插座，插座布置需考虑外接线路；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白沙食光小吃店排给水</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4000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1、Φ20/25mm环保PPR冷热水管（含PPR配件）完工后打压仪≥10公斤压力，试压≥30分钟；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2、Φ110mm联塑PVC排污管；安装水表1套。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店铺招牌定制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3580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1、规格：≥长2500*宽580mm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2、材质：≥30mm樟子松阳雕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特色场景招牌</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1836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1836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1、规格：≥长500*宽860mm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2、材质：木框、光管、铁艺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墙上装饰画</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15副</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162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2430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1、规格：≥长750*高600mm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2、材质：PVCuv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店铺产品储物点</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1批</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20318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20318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1、规格：≥长1770*高1000*宽1250mm 1套、≥长4380*宽300*高720mm  1套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2、材质：多层板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休息区摆件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1批</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5508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1、规格：≥2200*宽400*高1050mm  2张、≥直径420*高750mm   6张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2、材质：铁+松木板、橡胶木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店铺前台工作站</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28726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28726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1、规格：≥长1900*高900宽 700mm   2张、≥120*90*10cm   1张、 ≥长2000*高800*宽550mm   1张、 ≥长2400*高650*宽250 mm  1个、≥长2200*高650mm  1个、≥长2500*高 880 宽580mm  1个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2、材质：多层板、石英石、亚克力、金属、304不锈钢、铁艺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艺术吊灯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3盏</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1、规格：≥直径1000*高350mm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2、材质：布、铁艺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复古风扇</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2把</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810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1、规格：≥直径1170高400mm（≥46寸）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2、材质：ABS塑胶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射灯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4条</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198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1、规格：≥30瓦射灯、轨道≥长1000mm、三灯头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商用冰柜</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4000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1、规格：≥长1200*高1250*宽700mm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2、功率：≥580w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熟食柜</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6560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6560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1、规格：≥875*578*678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2、功率：钢化玻璃，金属，额定功率230/180w，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木架展示板</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3382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10145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1、规格：≥长4380*宽300*60厚mm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2、材质：多层板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汽水机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6368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6368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1、规格：≥长400**宽680高830mm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2、功率：≥660W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商用冰箱</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8900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1、规格：≥长1780*高2000*宽1000mm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2、容量：≥300L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商用冻藏柜</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14800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14800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1、规格：≥长2300*高800*宽760 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黑板</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117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1、规格：≥长400*高600mm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2、材质：松木包边、铁板烤漆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关东煮机器</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1152 </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1、规格：≥长565*高260*宽350mm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2、容量：≥9格+9格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炸锅</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396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1、规格：≥280*430*290mm      ≥10L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控油盘</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153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1、规格：≥  50*35*2.2cm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烤肠机</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438 </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438</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1、规格：≥57*28*47cm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2、材质：不锈钢，额定功率750w，温控范围：50-300度，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157</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章鱼小丸子烤盘</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700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1、规格：≥240*435*140mm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2、材质：金属，加热方式：电热，功率电压：2000/220v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蛋仔机</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627 </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627</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1、规格：≥198*303*250cm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2、材质：金属，功率1400w，额定电压220v，加热方式：电热。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漏斗</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115 </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1、规格：≥30*20*17</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2、材质：金属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不锈钢漏篮</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3个</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33 </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1、规格：≥19.5*8*2.2cm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防烫夹</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33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1、规格：≥26*9*3.5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2、材质：金属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不锈钢盆</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45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1、规格：≥30*22*10cm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制冰机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2266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2266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1、规格：≥388*370*798mm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2、材质：≥单次出冰32颗；储冰量15kg；额定功率200w；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外卖夹单器</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1、规格：≥20*3.2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保温罩</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1134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1、规格：≥长880*高500*宽200mm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多层蒸架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1512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1、规格：≥长380*高750*420mm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收银系统</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9870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9870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1、规格：≥27寸显示屏、收款云喇叭、小票机、标签机、收款系统（含1年年费）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306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1、规格：≥长330*高430mm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料理机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990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1、容量：≥0.8L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2、功率：≥2200W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多功能榨汁机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672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1、规格：≥长291*宽235*高495mm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2、容量：≥0.8L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开水机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2585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1、规格：≥260*460*640mm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2、材质：304不锈钢内胆、多段调温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食品保温柜</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1698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1698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1、尺寸：≥1200*460*620mm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2、规格：额定电压≥220v/50Hz、额定功率≥1200w、温度范围≥30-110℃、钢化玻璃/不锈钢节能管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木质食物托盘</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1、尺寸：≥33.7*44cm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2、材质：胡桃木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木质食物展示盘</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1、尺寸：≥40*30*5.8cm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2、材质：高竹木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果糖机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1288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1、尺寸：≥25*25.5*40.1cm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2、材质：304不锈钢、铜嘴、容量≥8.5L、16格记忆、功率≥350w、产品电压≥220v/50Hz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净水器</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1652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1、规格：≥350*145*400mm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2、滤芯：RO膜，PP棉，活性炭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绵冰机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2248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2248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1、规格：≥320*460*435mm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2、材质：≥滚轮长度90mm、电压220v/50Hz；最大产量80kg/24h;制冷功率360w；料筒2.5L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制冰机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2566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2566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1、规格：≥388*370*798mm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2、材质：≥单次出冰32颗；储冰量≥15kg；额定功率≥200w；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饮料保温储存桶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117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1、规格：≥高405*直径230mm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2、容量：≥10L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温馨提示牌</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180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1、规格：≥长250*宽100mm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2、材质：亚克力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灭火器及箱</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2组</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1、规格：≥4kg*2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2、材质：干粉+不锈钢箱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防毒面具</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1、规格：≥长140*宽110*高190mm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2、成分：滤烟层，吸附剂层烟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灭火毯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1、规格：≥长2000*宽2000mm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2、材质：玻璃纤维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1、规格：≥长265*高245mm、孔距200mm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2、材质：亚克力面板、环保阻燃灯头、led光源、智能状态指示灯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音响功放+音响</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1、规格：≥长270*高78*宽235mm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2、功率：≥150瓦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3、规格：一拖二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186</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6个</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1、规格：≥直径220*高285mm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2、材质：PP环保材质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网络+监控</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1、分辨率:≥2960x1666mm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2、材质:电子元件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入户地毯定制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个 </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1、规格:≥1100*800mm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2、材质:正面PVC，底部塑胶发泡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古铜环拉手庭院善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头拉手</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1、规格:≥76*59*44mm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新中式门锁门栓门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扣</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1、规格:≥500*100mm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2、材质:铜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19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（四）江火鲜生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江火鲜生主体改造</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1座</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53000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53000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1、尺寸：（≦9450mm*5600mm*5400mm-53平方）。建筑面积≦53㎡，房屋内均高≦5400mm。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2、屋内现状：拆除及清理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3、屋内地面：室内地面使用地砖尺寸600×600mm。由采购人选样确定，满足相关规范及技术要求。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4、屋内墙面：高压水枪清洗及刷光油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5、门窗：所有门采用铝合金门，所有窗户采用铝合金框架，中空钢化玻璃，安全、防爆、隔热。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江火鲜生电路系统</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16000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1、电路设计：安全可靠，符合国标并满足所有设施设备用电需要；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2、电源进线10/6mm2，照明1.5mm2，插座2.5/4mm2，均采用明装，不同线路需分别穿管敷设；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3、电源配电箱（含漏电保护装置）含总电源控制面板,电路集成；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4、室内墙壁上按照电器布置和使用需求布置标准插座，插座布置需考虑外接线路；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江火鲜生排给水</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5300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1、Φ20/25mm环保PPR冷热水管（含PPR配件）完工后打压仪≥10公斤压力，试压≥30分钟；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2、Φ110mm联塑PVC排污管；安装水表1套。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店铺招牌定制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3780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1、规格：≥长5300*高1270mm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2、材质：软膜灯箱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店铺氛围招牌定制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504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1、规格：≥宽310*高530mm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2、材质：松木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店内招牌</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1404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1、规格：≥宽1200*高2150mm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2、材质：软膜灯箱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店内艺术装饰</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261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1、规格：≥直径1000mm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2、材质：竹编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休息区摆件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1批</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25897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25897</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1、规格：≥长500*宽500*高500mm  1张、≥长420宽350高850mm   2张、≥边长1000*高750mm  8张、≥长465*宽470*高740mm   32张、≥直径300*高750mm  7张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2、材质：竹、多层板+大理石、亚克力+金属、橡胶木+精铁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店铺前台工作站</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1批</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52873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52873</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1、规格：≥L形，长4000长650长1460高1000宽320mm  1套、≥长1070*宽630*高850mm  1套、≥长3300*宽630*高850mm  1套、≥长2680*宽300*高850mm  1套、≥长3400*宽300*高1450mm  1套、≥长180*宽750*高750mm  2张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2、材质：多层板、石英石、实木、大理石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照明灯笼定制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115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1、规格：≥直径300高500mm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2、材质：竹条+油纸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射灯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198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1、规格:≥30瓦射灯、轨道长1000mm、三灯头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吊顶招牌</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216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1、规格：≥长1500*高560mm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2、材质：双面夹黑旗帜布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墙面画</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4副</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1、规格：≥长2010*高1080mm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2、材质：双面夹黑旗帜布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LED灯管</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72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1、规格：≥长625mm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2、材质：PVC 亚克力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单门制冷展示柜</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3200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1、电压：≥220v50HZ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2、温度范围℃：冷藏：-0～10℃；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3、制冷方式：直冷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207</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306 </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1、规格：≥长330*高430mm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灭火器及外箱</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2组</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1、规格：≥4kg*2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2、材质：干粉+不锈钢箱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防毒面具</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1、规格：≥长140*宽110*高190mm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2、成分：滤烟层，吸附剂层烟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灭火毯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1、规格：≥长2000*宽2000mm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2、材质：玻璃纤维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1、规格：≥长265*高245mm、孔距200mm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2、材质：亚克力面板、环保阻燃灯头、led光源、智能状态指示灯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音响功放+音响</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1、规格：≥长270*高78*宽235mm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2、功率：≥150瓦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3、规格：一拖二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1、规格：≥直径220*高285mm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2、材质：PP环保材质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网络+监控</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1、分辨率:≥2960x1666mm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2、材质:电子元件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冷藏柜</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4160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4160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1、规格：≥120*60*80cm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双开门消毒柜</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3120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3120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1、规格：≥100*60*80cm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洗手盆 1格</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960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1、规格：≥100*60*80cm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商业制冰机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2566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2566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1、规格：≥798*400*448mm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净水器</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1652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1、规格：≥350*145*400mm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2、滤芯：RO膜，PP棉，活性炭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吧台洗杯器</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294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1、规格：≥13.8*12.5*3cm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2、材质：304不锈钢外壳+全包橡胶垫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纸巾盒定制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1、规格：≥19*13.5cm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2、材质：楠竹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调酒设备</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441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1、雪克杯1个，中量杯1个，小量杯1个，吧勺1个，收纳架1个，海马刀1个，吸管刷1个，碎冰棒1个，滤冰器1个，酒塞2个，酒嘴3个，冰块夹2个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收银系统</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9870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9870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1、≥27寸显示屏、收款云喇叭、小票机、标签机、收款系统（含1年年费）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电磁炉</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488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1、规格：≥3000W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2、材质：晶板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门头孔灯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153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1、规格：≥直径11-13cm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2、材质：中性光4000k、led芯、防腐、钢材灯架卡扣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锅</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112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1、规格：≥38*18*7.8cm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2、材质：鸳鸯锅*10、清汤锅*5；加厚不锈钢、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圆形垃圾桶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96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1、规格：≥40*62*50cm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2、材质：容量≥100L、≥hdpe材质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开水机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2585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1、规格：≥260*460*640mm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2、材质：304不锈钢内胆、多段调温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低汤炉</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2690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2690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1、规格：≥650*750*1150mm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2、材质：不锈钢、容量98L、电压220v、功率8KW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入户地毯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个 </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1、规格:≥1100*800mm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2、材质:正面PVC，底部塑胶发泡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古铜环拉手庭院善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头拉手</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1、规格:≥76*59*44mm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新中式门锁门栓门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扣</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1、规格:≥500*100mm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2、材质:铜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9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（五）文史馆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文史馆主体改造</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1座</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23000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1、尺寸：建筑面积≦53㎡，房屋内均高≦3500mm。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2、室内地面使用地砖尺寸600×600mm。由采购人选样确定，满足相关规范及技术要求。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3、木墙裙由采购人选样确定，满足相关规范及技术要求。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4、修补墙面天花油漆面层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5、所有门采用铝合金门，所有窗户采用铝合金框架，单层钢化玻璃，安全、防爆、隔热。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文史馆庭院改造</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1座</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40000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1、尺寸：庭院面积≦248.63㎡。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2、庭院地面：庭院地面补充地砖尺寸300×600mm。由采购人选样确定，满足相关规范及技术要求。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4、庭院凉亭（≦14000mm*3000mm*2700mm）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5、流水水系（≦4400mm*1850mm*1100mm）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文史馆电路系统</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26500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26500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1、电路设计：安全可靠，符合国标并满足所有设施设备用电需要；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2、电源进线10/6mm2，照明1.5mm2，插座2.5/4mm2，均采用明装，不同线路需分别穿管敷设；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3、电源配电箱（含漏电保护装置）含总电源控制面板,电路集成；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4、室内墙壁上按照电器布置和使用需求布置标准插座，插座布置需考虑外接线路；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文史馆排给水</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18000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1、Φ20/25mm环保PPR冷热水管（含PPR配件）完工后打压仪≥10公斤压力，试压≥30分钟；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2、Φ110mm联塑PVC排污管；安装水表1套。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艺术吊灯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1盏</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1404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1、规格：≥直径1000*高850mm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2、材质：铁艺、布艺灯罩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擀面杖装饰品</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1250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1、规格：≥长2000*宽300mm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2、材质：松木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面包坊储物点</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7920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7920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1、规格：≥长900*宽400*高  820mm  1个、   ≥长900*宽400*高  620mm   3个                                                                                                                         2、材质：多层板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面点师平面控制台</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3308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1、规格：≥1000*250mm   2个、≥长1500*宽800*高800mm  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2、材质：不锈钢304、180W不锈钢304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墙面装饰物</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1批</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1798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1798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1、规格：≥长920*高160mm   3个、   ≥长250*高150mm   4个                                                                                                                                    2、材质：多层板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面点销售服务站</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2155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4309</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1、规格：≥长750*宽390*高300mm   1个；≥长2700*宽600*高800mm   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 不锈钢、多层板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儿童阅读站</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1批</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11447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11447</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1、规格：≥长1800*宽1200 高600mm  1张、≥直径350*高380mm  6张、≥长400*宽350*高380mm  3张、≥长1200高1200宽350mm  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2、材质：多层板、铁艺、多层板软包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农家书屋畅读空间摆件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1批</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5658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1、规格：≥长1800*宽600*高900mm   1张、≥直径290*高640mm  6张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2、材质：多层板、铁艺、橡木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户外休息区摆件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1批</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35516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35516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1、规格：≥长2400*宽600*高550mm  1个、≥直径550*高730mm  2张、≥直径550*高730mm   2张、≥长1900*宽460mm  1张、≥长450*宽450*高900mm  8张、≥直径800*高750mm  2张、≥直径2700mm  2个、≥长2640*高750*宽840mm  3张、≥宽400*高750mm  24张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2、材质：铁艺、帆布、橡木、榆木、防腐木、铁艺+塑木、铁艺+尼龙布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户外书屋门面招牌</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3800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1、规格：≥长2500*高600mm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2、材质：不锈钢、亚克力、灯带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咖啡机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13080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1、规格：≥长420*宽370*高460 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  不锈钢咖啡研磨一体机（9885）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果汁机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1330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1、规格：≥高420*宽180  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 不锈钢、食品级塑料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商用制冰机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2566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2566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1、规格：≥388*370*798mm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2、材质：≥单次出冰32颗；储冰量15kg；额定功率200w；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251</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电磁炉</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1400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1、规格：≥440*140*740mm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2、材质：双层线圈盘、≥2200w、操作按键+旋钮双智能；10档火力、高强度微晶面板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开水机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2585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1、规格：≥260*460*640mm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2、材质：304不锈钢内胆、多段调温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烤箱</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2680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1、规格：≥长519*宽635*高545mm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2、材质：≥可调温度20-260℃；可调时间0-99min；电压220v；功率2600w；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微波炉</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532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1、规格：≥高287*宽378*深490mm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2、材质：≥23L大容量、纳米内胆、功率700w、额定电压220v~50Hz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消毒柜</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865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1、规格：≥长480*宽380*高1510mm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2、材质：≥额定功率600w、净重18kg、机身材质410不锈钢、箱体材质410不锈钢、控制方式机械式、消毒时间0~60min、温度60~80℃、消毒方式红外线中温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破壁机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770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1.容量：≥0.8L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2.功率≥2200W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蒸锅</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898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1、规格：≥宽35cm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2、材质：不锈钢材质、≥2100w功率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平底锅</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495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1、规格：锅口直径≥28cm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2、材质：铸铝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保鲜膜包装机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305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1、规格：≥49*44*16cm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2、可松紧调节、防刮伤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烤盘</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1、规格：≥60*40*5cm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2、材质：镀铝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木质披萨盘</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86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1、规格：≥326*230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2、材质：木质，≥9寸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木质披萨盘</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176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1、规格：≥440*30mm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2、材质：木质，≥12寸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冲孔芝士盘</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117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1、规格：≥330*300*1.6mm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2、材质：金属，≥12寸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冲孔芝士盘</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1、规格：≥255*225*1.6mm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2、材质：金属，≥9寸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烤盘夹</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1、规格：≥19cm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不锈钢调料盒</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158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1、规格：≥30*45*6.5cm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2、材质：304不锈钢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267</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背景墙1</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1面</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3325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3325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1、规格：长3500*高2500mm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2、材质：PVCuv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268</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背景墙2</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1面</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1780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1、规格：长3000*高1500mm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2、材质：PVCuv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展示墙</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1、规格：≥长3200*高800mm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2、材质：PVC字+洞洞板置物架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定制吊灯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3盏</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1485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4455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1、规格：≥直径1200*高720 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2、材质：木皮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绿植</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1盆</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216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1、规格：≥高350mm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2、材质：陶瓷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书籍</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200本</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儿童、妇女、爱国主义教育、日常生活、柳宗元相关书籍等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273</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背景墙</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4855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4855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1、规格：长3500*高2700mm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2、材质：生态板+PVC字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274</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背景墙</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828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1、规格：长1800*高750mm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2、材质：双层PVCuv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艺术吊 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1盏</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1285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1、规格：≥720*1200 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2、材质：木皮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书籍</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200本</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儿童、妇女、爱国主义教育、日常生活、柳宗元相关书籍等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洗手台</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1224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1、规格：≥800*500*1000mm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278</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揉面压面机</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3080 </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3080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1、规格：≥400*350*860mm      功率1100W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2、材质：锰钢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279</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醒发发酵箱</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1372 </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1、规格：≥1610*700*500mm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2、材质：额定电压220v，额定功率：2,6千瓦，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打面机</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2604 </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2604</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1、规格：≥540*425*855MM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2、材质：不锈钢，额定电压220V/50HZ，产品功率1100W，纯铜电机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模具</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53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1、规格：≥16.5*9.5*7.5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2、材质：金属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屋檐装饰</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3528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7056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1、规格：≥长2100*900mm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2、材质：木镀锌龙骨架，树脂造型屋顶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中式灯笼</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1200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1、规格：≥560*560*900mm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2、材质：铁艺、玻璃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船小品户外景观</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1组</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4680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1、规格：≥长2500*宽400*高350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 杉木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定制圆型座椅户外景观</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10500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1、规格：≥直径2100*600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  防腐木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户外洗手台</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3724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3724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1、规格：≥长2000*高680*宽780mm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2、材质：木+石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中式灯笼</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176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1、规格：≥直径300*高600  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 铁架包弹力布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定制户外广告牌</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234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1、规格：≥600*15*350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2、工艺：1.5cmPVCuv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定制墙绘</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12个字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54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1、规格：≥文字80*12个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2、工艺：PVC字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定制文化墙</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54平方</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216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11664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1、规格：≥4560*2200、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6030*2200、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14000*2200mm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定制文化墙</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15平方</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1、规格：≥6000*15*2500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2、工艺：1.5cmPVCuv雕刻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入户地毯定制</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个 </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1、规格:≥1100*800mm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2、材质:正面PVC，底部塑胶发泡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古铜环拉手庭院善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头拉手</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1、规格:≥76*59*44mm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新中式门锁门栓门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扣</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450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1、规格:≥500*100mm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2、材质:铜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9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（六）沿街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沿街电路系统</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20000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1、电路设计：安全可靠，符合国标并满足所有设施设备用电需要；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2、电源进线：其余2.5/4mm2，均采用明装，不同线路需分别穿管敷设；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3、电源配电箱（含漏电保护装置）含总电源控制面板,电路集成；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灯带</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186米</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22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4130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1、规格:≥24V+变压器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灯笼</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43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1、规格：≥直径250*高400mm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2、材质：牛皮灯笼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双头洗墙灯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62个</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101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6250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1、规格：≥长83*宽120*高160mm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2、材质：铝材+玻璃灯罩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户外布艺猫造型灯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14040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14040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1、规格：≥长4米其余按比例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2、材质：钢架结构、丝架造型，高清喷布，彩色绸布分色裱糊，部分专业美工彩绘，内置防雨LED灯泡。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户外充气气膜造型灯</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8100 </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8100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工业</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1、规格：≥高4000*宽3500mm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2、材质：平纹尼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19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hAnsi="宋体"/>
                <w:b/>
                <w:color w:val="auto"/>
                <w:sz w:val="21"/>
                <w:highlight w:val="none"/>
              </w:rPr>
            </w:pPr>
            <w:r>
              <w:rPr>
                <w:rFonts w:hint="eastAsia" w:hAnsi="宋体"/>
                <w:b/>
                <w:color w:val="auto"/>
                <w:sz w:val="21"/>
                <w:highlight w:val="none"/>
              </w:rPr>
              <w:t>二、涉及项目的其他要求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6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color w:val="auto"/>
                <w:sz w:val="21"/>
                <w:highlight w:val="none"/>
              </w:rPr>
            </w:pPr>
            <w:r>
              <w:rPr>
                <w:rFonts w:hint="eastAsia" w:hAnsi="宋体"/>
                <w:b/>
                <w:color w:val="auto"/>
                <w:sz w:val="21"/>
                <w:highlight w:val="none"/>
              </w:rPr>
              <w:t>采购预算</w:t>
            </w:r>
          </w:p>
        </w:tc>
        <w:tc>
          <w:tcPr>
            <w:tcW w:w="7530"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308" w:firstLineChars="147"/>
              <w:rPr>
                <w:rFonts w:hAnsi="宋体"/>
                <w:color w:val="auto"/>
                <w:sz w:val="21"/>
                <w:highlight w:val="none"/>
              </w:rPr>
            </w:pPr>
            <w:r>
              <w:rPr>
                <w:rFonts w:hint="eastAsia" w:hAnsi="宋体"/>
                <w:color w:val="auto"/>
                <w:sz w:val="21"/>
                <w:highlight w:val="none"/>
              </w:rPr>
              <w:t>具体见本</w:t>
            </w:r>
            <w:r>
              <w:rPr>
                <w:rFonts w:hint="eastAsia" w:hAnsi="宋体"/>
                <w:color w:val="auto"/>
                <w:sz w:val="21"/>
                <w:highlight w:val="none"/>
                <w:lang w:eastAsia="zh-CN"/>
              </w:rPr>
              <w:t>采购文件</w:t>
            </w:r>
            <w:r>
              <w:rPr>
                <w:rFonts w:hint="eastAsia" w:hAnsi="宋体"/>
                <w:color w:val="auto"/>
                <w:sz w:val="21"/>
                <w:highlight w:val="none"/>
              </w:rPr>
              <w:t>第一章“</w:t>
            </w:r>
            <w:r>
              <w:rPr>
                <w:rFonts w:hint="eastAsia" w:hAnsi="宋体"/>
                <w:color w:val="auto"/>
                <w:sz w:val="21"/>
                <w:highlight w:val="none"/>
                <w:lang w:eastAsia="zh-CN"/>
              </w:rPr>
              <w:t>竞争性谈判公告</w:t>
            </w:r>
            <w:r>
              <w:rPr>
                <w:rFonts w:hint="eastAsia" w:hAnsi="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6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color w:val="auto"/>
                <w:sz w:val="21"/>
                <w:highlight w:val="none"/>
              </w:rPr>
            </w:pPr>
            <w:r>
              <w:rPr>
                <w:rFonts w:hint="eastAsia" w:hAnsi="宋体" w:cs="Arial"/>
                <w:b/>
                <w:color w:val="auto"/>
                <w:sz w:val="21"/>
                <w:highlight w:val="none"/>
              </w:rPr>
              <w:t>为落实政府采购政策需满足的要求</w:t>
            </w:r>
          </w:p>
        </w:tc>
        <w:tc>
          <w:tcPr>
            <w:tcW w:w="753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08" w:firstLineChars="147"/>
              <w:rPr>
                <w:rFonts w:hAnsi="宋体"/>
                <w:color w:val="auto"/>
                <w:sz w:val="21"/>
                <w:highlight w:val="none"/>
              </w:rPr>
            </w:pPr>
            <w:r>
              <w:rPr>
                <w:rFonts w:hint="eastAsia" w:hAnsi="宋体"/>
                <w:color w:val="auto"/>
                <w:sz w:val="21"/>
                <w:highlight w:val="none"/>
              </w:rPr>
              <w:t>具体见本</w:t>
            </w:r>
            <w:r>
              <w:rPr>
                <w:rFonts w:hint="eastAsia" w:hAnsi="宋体"/>
                <w:color w:val="auto"/>
                <w:sz w:val="21"/>
                <w:highlight w:val="none"/>
                <w:lang w:eastAsia="zh-CN"/>
              </w:rPr>
              <w:t>采购文件</w:t>
            </w:r>
            <w:r>
              <w:rPr>
                <w:rFonts w:hint="eastAsia" w:hAnsi="宋体"/>
                <w:color w:val="auto"/>
                <w:sz w:val="21"/>
                <w:highlight w:val="none"/>
              </w:rPr>
              <w:t>第三章“</w:t>
            </w:r>
            <w:r>
              <w:rPr>
                <w:rFonts w:hint="eastAsia" w:hAnsi="宋体"/>
                <w:color w:val="auto"/>
                <w:sz w:val="21"/>
                <w:highlight w:val="none"/>
                <w:lang w:eastAsia="zh-CN"/>
              </w:rPr>
              <w:t>供应商须知</w:t>
            </w:r>
            <w:r>
              <w:rPr>
                <w:rFonts w:hint="eastAsia" w:hAnsi="宋体"/>
                <w:color w:val="auto"/>
                <w:sz w:val="21"/>
                <w:highlight w:val="none"/>
              </w:rPr>
              <w:t>”及第</w:t>
            </w:r>
            <w:r>
              <w:rPr>
                <w:rFonts w:hint="eastAsia" w:hAnsi="宋体"/>
                <w:color w:val="auto"/>
                <w:sz w:val="21"/>
                <w:highlight w:val="none"/>
                <w:lang w:val="en-US" w:eastAsia="zh-CN"/>
              </w:rPr>
              <w:t>六</w:t>
            </w:r>
            <w:r>
              <w:rPr>
                <w:rFonts w:hint="eastAsia" w:hAnsi="宋体"/>
                <w:color w:val="auto"/>
                <w:sz w:val="21"/>
                <w:highlight w:val="none"/>
              </w:rPr>
              <w:t>章“</w:t>
            </w:r>
            <w:r>
              <w:rPr>
                <w:rFonts w:hint="eastAsia" w:hAnsi="宋体"/>
                <w:color w:val="auto"/>
                <w:sz w:val="21"/>
                <w:highlight w:val="none"/>
                <w:lang w:eastAsia="zh-CN"/>
              </w:rPr>
              <w:t>评审办法</w:t>
            </w:r>
            <w:r>
              <w:rPr>
                <w:rFonts w:hint="eastAsia" w:hAnsi="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266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Arial"/>
                <w:b/>
                <w:color w:val="auto"/>
                <w:sz w:val="21"/>
                <w:highlight w:val="none"/>
              </w:rPr>
            </w:pPr>
            <w:r>
              <w:rPr>
                <w:rFonts w:hint="eastAsia" w:hAnsi="宋体" w:cs="Arial"/>
                <w:b/>
                <w:color w:val="auto"/>
                <w:sz w:val="21"/>
                <w:highlight w:val="none"/>
              </w:rPr>
              <w:t>规范标准</w:t>
            </w:r>
          </w:p>
        </w:tc>
        <w:tc>
          <w:tcPr>
            <w:tcW w:w="753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08" w:firstLineChars="147"/>
              <w:rPr>
                <w:rFonts w:hAnsi="宋体"/>
                <w:color w:val="auto"/>
                <w:sz w:val="21"/>
                <w:highlight w:val="none"/>
              </w:rPr>
            </w:pPr>
            <w:r>
              <w:rPr>
                <w:rFonts w:hint="eastAsia" w:hAnsi="宋体" w:cs="Arial"/>
                <w:color w:val="auto"/>
                <w:sz w:val="21"/>
                <w:highlight w:val="none"/>
              </w:rPr>
              <w:t>采购标的需执行的国家标准、行业标准、地方标准或者其他标准、规范。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6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Arial"/>
                <w:b/>
                <w:color w:val="auto"/>
                <w:sz w:val="21"/>
                <w:highlight w:val="none"/>
              </w:rPr>
            </w:pPr>
            <w:r>
              <w:rPr>
                <w:rFonts w:hint="eastAsia" w:hAnsi="宋体" w:cs="Arial"/>
                <w:b/>
                <w:color w:val="auto"/>
                <w:sz w:val="21"/>
                <w:highlight w:val="none"/>
              </w:rPr>
              <w:t>采购标的需满足的质量、安全、技术规格、物理特性等</w:t>
            </w:r>
          </w:p>
        </w:tc>
        <w:tc>
          <w:tcPr>
            <w:tcW w:w="753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08" w:firstLineChars="147"/>
              <w:rPr>
                <w:rFonts w:hAnsi="宋体" w:cs="Arial"/>
                <w:color w:val="auto"/>
                <w:sz w:val="21"/>
                <w:highlight w:val="none"/>
              </w:rPr>
            </w:pPr>
            <w:r>
              <w:rPr>
                <w:rFonts w:hint="eastAsia" w:hAnsi="宋体" w:cs="Arial"/>
                <w:color w:val="auto"/>
                <w:sz w:val="21"/>
                <w:highlight w:val="none"/>
              </w:rPr>
              <w:t>见本表“技术参数及性能（配置）要求”及国家行业相关标准。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266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s="Arial"/>
                <w:b/>
                <w:color w:val="auto"/>
                <w:sz w:val="21"/>
                <w:highlight w:val="none"/>
              </w:rPr>
            </w:pPr>
            <w:r>
              <w:rPr>
                <w:rFonts w:hint="eastAsia" w:hAnsi="宋体" w:cs="Arial"/>
                <w:b/>
                <w:color w:val="auto"/>
                <w:sz w:val="21"/>
                <w:highlight w:val="none"/>
              </w:rPr>
              <w:t>采购标的需满足的服务标准、期限、效率等</w:t>
            </w:r>
          </w:p>
        </w:tc>
        <w:tc>
          <w:tcPr>
            <w:tcW w:w="753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08" w:firstLineChars="147"/>
              <w:rPr>
                <w:rFonts w:hAnsi="宋体" w:cs="Arial"/>
                <w:color w:val="auto"/>
                <w:sz w:val="21"/>
                <w:highlight w:val="none"/>
              </w:rPr>
            </w:pPr>
            <w:r>
              <w:rPr>
                <w:rFonts w:hint="eastAsia" w:hAnsi="宋体" w:cs="Arial"/>
                <w:color w:val="auto"/>
                <w:sz w:val="21"/>
                <w:highlight w:val="none"/>
              </w:rPr>
              <w:t>见本表</w:t>
            </w:r>
            <w:r>
              <w:rPr>
                <w:rFonts w:hint="eastAsia" w:hAnsi="宋体"/>
                <w:color w:val="auto"/>
                <w:sz w:val="21"/>
                <w:highlight w:val="none"/>
              </w:rPr>
              <w:t>“商务最低要求”</w:t>
            </w:r>
            <w:r>
              <w:rPr>
                <w:rFonts w:hint="eastAsia" w:hAnsi="宋体" w:cs="Arial"/>
                <w:color w:val="auto"/>
                <w:sz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266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Arial"/>
                <w:b/>
                <w:color w:val="auto"/>
                <w:sz w:val="21"/>
                <w:highlight w:val="none"/>
              </w:rPr>
            </w:pPr>
            <w:r>
              <w:rPr>
                <w:rFonts w:hint="eastAsia" w:hAnsi="宋体" w:cs="Arial"/>
                <w:b/>
                <w:color w:val="auto"/>
                <w:sz w:val="21"/>
                <w:highlight w:val="none"/>
              </w:rPr>
              <w:t>进口产品说明</w:t>
            </w:r>
          </w:p>
        </w:tc>
        <w:tc>
          <w:tcPr>
            <w:tcW w:w="753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10" w:firstLineChars="147"/>
              <w:rPr>
                <w:rFonts w:hint="eastAsia" w:hAnsi="宋体" w:cs="Arial"/>
                <w:b/>
                <w:color w:val="auto"/>
                <w:sz w:val="21"/>
                <w:highlight w:val="none"/>
              </w:rPr>
            </w:pPr>
            <w:r>
              <w:rPr>
                <w:rFonts w:hint="eastAsia" w:hAnsi="宋体" w:cs="Arial"/>
                <w:b/>
                <w:bCs/>
                <w:color w:val="auto"/>
                <w:sz w:val="21"/>
                <w:highlight w:val="none"/>
              </w:rPr>
              <w:t>本项目</w:t>
            </w:r>
            <w:r>
              <w:rPr>
                <w:rFonts w:hint="eastAsia" w:hAnsi="宋体" w:cs="Arial"/>
                <w:b/>
                <w:bCs/>
                <w:color w:val="auto"/>
                <w:sz w:val="21"/>
                <w:highlight w:val="none"/>
                <w:lang w:val="en-US" w:eastAsia="zh-CN"/>
              </w:rPr>
              <w:t>所采购</w:t>
            </w:r>
            <w:r>
              <w:rPr>
                <w:rFonts w:hint="eastAsia" w:hAnsi="宋体" w:cs="Arial"/>
                <w:b/>
                <w:bCs/>
                <w:color w:val="auto"/>
                <w:sz w:val="21"/>
                <w:highlight w:val="none"/>
              </w:rPr>
              <w:t>货物不接受进口产品（即通过中国海关报关验放进入中国境内且产自关境外的产品）参与</w:t>
            </w:r>
            <w:r>
              <w:rPr>
                <w:rFonts w:hint="eastAsia" w:hAnsi="宋体" w:cs="Arial"/>
                <w:b/>
                <w:bCs/>
                <w:color w:val="auto"/>
                <w:sz w:val="21"/>
                <w:highlight w:val="none"/>
                <w:lang w:val="en-US" w:eastAsia="zh-CN"/>
              </w:rPr>
              <w:t>竞标</w:t>
            </w:r>
            <w:r>
              <w:rPr>
                <w:rFonts w:hint="eastAsia" w:hAnsi="宋体" w:cs="Arial"/>
                <w:b/>
                <w:bCs/>
                <w:color w:val="auto"/>
                <w:sz w:val="21"/>
                <w:highlight w:val="none"/>
              </w:rPr>
              <w:t>，如有进口产品参与</w:t>
            </w:r>
            <w:r>
              <w:rPr>
                <w:rFonts w:hint="eastAsia" w:hAnsi="宋体" w:cs="Arial"/>
                <w:b/>
                <w:bCs/>
                <w:color w:val="auto"/>
                <w:sz w:val="21"/>
                <w:highlight w:val="none"/>
                <w:lang w:val="en-US" w:eastAsia="zh-CN"/>
              </w:rPr>
              <w:t>竞标</w:t>
            </w:r>
            <w:r>
              <w:rPr>
                <w:rFonts w:hint="eastAsia" w:hAnsi="宋体" w:cs="Arial"/>
                <w:b/>
                <w:bCs/>
                <w:color w:val="auto"/>
                <w:sz w:val="21"/>
                <w:highlight w:val="none"/>
              </w:rPr>
              <w:t>的作</w:t>
            </w:r>
            <w:r>
              <w:rPr>
                <w:rFonts w:hint="eastAsia" w:ascii="宋体" w:hAnsi="宋体" w:cs="宋体"/>
                <w:b/>
                <w:color w:val="auto"/>
                <w:szCs w:val="21"/>
                <w:highlight w:val="none"/>
              </w:rPr>
              <w:t>无效响应处理</w:t>
            </w:r>
            <w:r>
              <w:rPr>
                <w:rFonts w:hint="eastAsia" w:hAnsi="宋体" w:cs="Arial"/>
                <w:b/>
                <w:bCs/>
                <w:color w:val="auto"/>
                <w:sz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198"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hAnsi="宋体"/>
                <w:b/>
                <w:color w:val="auto"/>
                <w:sz w:val="21"/>
                <w:highlight w:val="none"/>
              </w:rPr>
            </w:pPr>
            <w:r>
              <w:rPr>
                <w:rFonts w:hint="eastAsia" w:hAnsi="宋体"/>
                <w:b/>
                <w:color w:val="auto"/>
                <w:sz w:val="21"/>
                <w:highlight w:val="none"/>
              </w:rPr>
              <w:t>▲三、商务最低要求（</w:t>
            </w:r>
            <w:r>
              <w:rPr>
                <w:rFonts w:hint="eastAsia" w:hAnsi="宋体"/>
                <w:b/>
                <w:color w:val="auto"/>
                <w:sz w:val="21"/>
                <w:highlight w:val="none"/>
                <w:lang w:eastAsia="zh-CN"/>
              </w:rPr>
              <w:t>供应商</w:t>
            </w:r>
            <w:r>
              <w:rPr>
                <w:rFonts w:hint="eastAsia" w:hAnsi="宋体"/>
                <w:b/>
                <w:color w:val="auto"/>
                <w:sz w:val="21"/>
                <w:highlight w:val="none"/>
              </w:rPr>
              <w:t>商务响应表与售后服务方案及承诺书同一内容不相符的，以低计算）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266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hAnsi="宋体" w:cs="仿宋"/>
                <w:b/>
                <w:color w:val="auto"/>
                <w:sz w:val="21"/>
                <w:highlight w:val="none"/>
              </w:rPr>
            </w:pPr>
            <w:r>
              <w:rPr>
                <w:rFonts w:hint="eastAsia" w:hAnsi="宋体" w:cs="仿宋"/>
                <w:b/>
                <w:color w:val="auto"/>
                <w:sz w:val="21"/>
                <w:highlight w:val="none"/>
              </w:rPr>
              <w:t>基本要求</w:t>
            </w:r>
          </w:p>
        </w:tc>
        <w:tc>
          <w:tcPr>
            <w:tcW w:w="75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l.</w:t>
            </w:r>
            <w:r>
              <w:rPr>
                <w:rFonts w:hint="eastAsia" w:hAnsi="宋体" w:cs="仿宋"/>
                <w:color w:val="auto"/>
                <w:sz w:val="21"/>
                <w:highlight w:val="none"/>
                <w:lang w:eastAsia="zh-CN"/>
              </w:rPr>
              <w:t>成交供应商</w:t>
            </w:r>
            <w:r>
              <w:rPr>
                <w:rFonts w:hint="eastAsia" w:hAnsi="宋体" w:cs="仿宋"/>
                <w:color w:val="auto"/>
                <w:sz w:val="21"/>
                <w:highlight w:val="none"/>
              </w:rPr>
              <w:t>提供的</w:t>
            </w:r>
            <w:r>
              <w:rPr>
                <w:rFonts w:hint="eastAsia" w:hAnsi="宋体" w:cs="仿宋"/>
                <w:color w:val="auto"/>
                <w:sz w:val="21"/>
                <w:highlight w:val="none"/>
                <w:lang w:val="en-US" w:eastAsia="zh-CN"/>
              </w:rPr>
              <w:t>产品</w:t>
            </w:r>
            <w:r>
              <w:rPr>
                <w:rFonts w:hint="eastAsia" w:hAnsi="宋体" w:cs="仿宋"/>
                <w:color w:val="auto"/>
                <w:sz w:val="21"/>
                <w:highlight w:val="none"/>
              </w:rPr>
              <w:t>必须是全新、完整、未使用过的原装产品。</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2.</w:t>
            </w:r>
            <w:r>
              <w:rPr>
                <w:rFonts w:hint="eastAsia" w:hAnsi="宋体" w:cs="仿宋"/>
                <w:color w:val="auto"/>
                <w:sz w:val="21"/>
                <w:highlight w:val="none"/>
                <w:lang w:eastAsia="zh-CN"/>
              </w:rPr>
              <w:t>成交供应商</w:t>
            </w:r>
            <w:r>
              <w:rPr>
                <w:rFonts w:hint="eastAsia" w:hAnsi="宋体" w:cs="仿宋"/>
                <w:color w:val="auto"/>
                <w:sz w:val="21"/>
                <w:highlight w:val="none"/>
              </w:rPr>
              <w:t>负责设备的包装、运输、装卸、就位、安装、调试、保险及通过相关部门的检测验收，并承担相关的一切费用。</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3.</w:t>
            </w:r>
            <w:r>
              <w:rPr>
                <w:rFonts w:hint="eastAsia" w:hAnsi="宋体" w:cs="仿宋"/>
                <w:color w:val="auto"/>
                <w:sz w:val="21"/>
                <w:highlight w:val="none"/>
                <w:lang w:eastAsia="zh-CN"/>
              </w:rPr>
              <w:t>成交供应商</w:t>
            </w:r>
            <w:r>
              <w:rPr>
                <w:rFonts w:hint="eastAsia" w:hAnsi="宋体" w:cs="仿宋"/>
                <w:color w:val="auto"/>
                <w:sz w:val="21"/>
                <w:highlight w:val="none"/>
              </w:rPr>
              <w:t>提供详细完整的设备资质证件、中文操作手册、产品合格证明材料、使用说明书及维修手册等资料交给</w:t>
            </w:r>
            <w:r>
              <w:rPr>
                <w:rFonts w:hint="eastAsia" w:hAnsi="宋体" w:cs="仿宋"/>
                <w:color w:val="auto"/>
                <w:sz w:val="21"/>
                <w:highlight w:val="none"/>
                <w:lang w:eastAsia="zh-CN"/>
              </w:rPr>
              <w:t>采购人</w:t>
            </w:r>
            <w:r>
              <w:rPr>
                <w:rFonts w:hint="eastAsia" w:hAnsi="宋体" w:cs="仿宋"/>
                <w:color w:val="auto"/>
                <w:sz w:val="21"/>
                <w:highlight w:val="none"/>
              </w:rPr>
              <w:t xml:space="preserve">，同时提供全套光盘资料（包括：用户手册和安装程序等）使用操作及安全须知等重要资料应附有中文说明。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266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color w:val="auto"/>
                <w:sz w:val="21"/>
                <w:highlight w:val="none"/>
              </w:rPr>
            </w:pPr>
            <w:r>
              <w:rPr>
                <w:rFonts w:hint="eastAsia" w:hAnsi="宋体"/>
                <w:b/>
                <w:color w:val="auto"/>
                <w:sz w:val="21"/>
                <w:highlight w:val="none"/>
              </w:rPr>
              <w:t>售后服务要求</w:t>
            </w:r>
          </w:p>
        </w:tc>
        <w:tc>
          <w:tcPr>
            <w:tcW w:w="7530"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（1）保修期要求：</w:t>
            </w:r>
            <w:r>
              <w:rPr>
                <w:rFonts w:hint="eastAsia" w:ascii="宋体" w:hAnsi="宋体" w:cs="Times New Roman"/>
                <w:color w:val="auto"/>
                <w:sz w:val="21"/>
                <w:highlight w:val="none"/>
                <w:lang w:eastAsia="zh-CN"/>
              </w:rPr>
              <w:t>成交供应商</w:t>
            </w:r>
            <w:r>
              <w:rPr>
                <w:rFonts w:hint="eastAsia" w:hAnsi="宋体"/>
                <w:color w:val="auto"/>
                <w:sz w:val="21"/>
                <w:highlight w:val="none"/>
              </w:rPr>
              <w:t>提供至少</w:t>
            </w:r>
            <w:r>
              <w:rPr>
                <w:rFonts w:hint="eastAsia" w:hAnsi="宋体"/>
                <w:color w:val="auto"/>
                <w:sz w:val="21"/>
                <w:highlight w:val="none"/>
                <w:u w:val="single"/>
                <w:lang w:val="en-US" w:eastAsia="zh-CN"/>
              </w:rPr>
              <w:t xml:space="preserve"> 3 </w:t>
            </w:r>
            <w:r>
              <w:rPr>
                <w:rFonts w:hint="eastAsia" w:hAnsi="宋体"/>
                <w:color w:val="auto"/>
                <w:sz w:val="21"/>
                <w:highlight w:val="none"/>
              </w:rPr>
              <w:t>年保修服务。</w:t>
            </w:r>
            <w:r>
              <w:rPr>
                <w:rFonts w:hint="eastAsia" w:hAnsi="宋体"/>
                <w:color w:val="auto"/>
                <w:sz w:val="21"/>
                <w:highlight w:val="none"/>
              </w:rPr>
              <w:t>保修期内设备发生一般故障时，</w:t>
            </w:r>
            <w:r>
              <w:rPr>
                <w:rFonts w:hint="eastAsia" w:hAnsi="宋体"/>
                <w:color w:val="auto"/>
                <w:sz w:val="21"/>
                <w:highlight w:val="none"/>
                <w:lang w:eastAsia="zh-CN"/>
              </w:rPr>
              <w:t>成交供应商</w:t>
            </w:r>
            <w:r>
              <w:rPr>
                <w:rFonts w:hint="eastAsia" w:hAnsi="宋体"/>
                <w:color w:val="auto"/>
                <w:sz w:val="21"/>
                <w:highlight w:val="none"/>
              </w:rPr>
              <w:t>应负责维修、更换零配件：设备发生大故障（指主要部件出现质量问题）时，</w:t>
            </w:r>
            <w:r>
              <w:rPr>
                <w:rFonts w:hint="eastAsia" w:hAnsi="宋体"/>
                <w:color w:val="auto"/>
                <w:sz w:val="21"/>
                <w:highlight w:val="none"/>
                <w:lang w:eastAsia="zh-CN"/>
              </w:rPr>
              <w:t>成交供应商</w:t>
            </w:r>
            <w:r>
              <w:rPr>
                <w:rFonts w:hint="eastAsia" w:hAnsi="宋体"/>
                <w:color w:val="auto"/>
                <w:sz w:val="21"/>
                <w:highlight w:val="none"/>
              </w:rPr>
              <w:t>应负责更换相同品牌、型号的新设备，设备维修或更换后其保修期相应顺延。所有非故意性损坏以及在要求质量标准范围内的正常使用造成的损坏均要维修。保修期内发生的故障维修服务及更换配件均包含在投标报价中，</w:t>
            </w:r>
            <w:r>
              <w:rPr>
                <w:rFonts w:hint="eastAsia" w:hAnsi="宋体"/>
                <w:color w:val="auto"/>
                <w:sz w:val="21"/>
                <w:highlight w:val="none"/>
                <w:lang w:eastAsia="zh-CN"/>
              </w:rPr>
              <w:t>采购人</w:t>
            </w:r>
            <w:r>
              <w:rPr>
                <w:rFonts w:hint="eastAsia" w:hAnsi="宋体"/>
                <w:color w:val="auto"/>
                <w:sz w:val="21"/>
                <w:highlight w:val="none"/>
              </w:rPr>
              <w:t>不再另外支付费用。对因采购</w:t>
            </w:r>
            <w:r>
              <w:rPr>
                <w:rFonts w:hint="eastAsia" w:hAnsi="宋体"/>
                <w:color w:val="auto"/>
                <w:sz w:val="21"/>
                <w:highlight w:val="none"/>
                <w:lang w:val="en-US" w:eastAsia="zh-CN"/>
              </w:rPr>
              <w:t>人工作</w:t>
            </w:r>
            <w:r>
              <w:rPr>
                <w:rFonts w:hint="eastAsia" w:hAnsi="宋体"/>
                <w:color w:val="auto"/>
                <w:sz w:val="21"/>
                <w:highlight w:val="none"/>
              </w:rPr>
              <w:t>人员的不正当使用所造成的设备损坏不在</w:t>
            </w:r>
            <w:r>
              <w:rPr>
                <w:rFonts w:hint="eastAsia" w:hAnsi="宋体"/>
                <w:color w:val="auto"/>
                <w:sz w:val="21"/>
                <w:highlight w:val="none"/>
                <w:lang w:eastAsia="zh-CN"/>
              </w:rPr>
              <w:t>成交供应商</w:t>
            </w:r>
            <w:r>
              <w:rPr>
                <w:rFonts w:hint="eastAsia" w:hAnsi="宋体"/>
                <w:color w:val="auto"/>
                <w:sz w:val="21"/>
                <w:highlight w:val="none"/>
              </w:rPr>
              <w:t>保修范围，但</w:t>
            </w:r>
            <w:r>
              <w:rPr>
                <w:rFonts w:hint="eastAsia" w:hAnsi="宋体"/>
                <w:color w:val="auto"/>
                <w:sz w:val="21"/>
                <w:highlight w:val="none"/>
                <w:lang w:eastAsia="zh-CN"/>
              </w:rPr>
              <w:t>成交供应商</w:t>
            </w:r>
            <w:r>
              <w:rPr>
                <w:rFonts w:hint="eastAsia" w:hAnsi="宋体"/>
                <w:color w:val="auto"/>
                <w:sz w:val="21"/>
                <w:highlight w:val="none"/>
              </w:rPr>
              <w:t>也要积极帮助</w:t>
            </w:r>
            <w:r>
              <w:rPr>
                <w:rFonts w:hint="eastAsia" w:hAnsi="宋体"/>
                <w:color w:val="auto"/>
                <w:sz w:val="21"/>
                <w:highlight w:val="none"/>
                <w:lang w:eastAsia="zh-CN"/>
              </w:rPr>
              <w:t>采购人</w:t>
            </w:r>
            <w:r>
              <w:rPr>
                <w:rFonts w:hint="eastAsia" w:hAnsi="宋体"/>
                <w:color w:val="auto"/>
                <w:sz w:val="21"/>
                <w:highlight w:val="none"/>
              </w:rPr>
              <w:t>修理设备，并保证提供优惠价格的配件和服务。</w:t>
            </w:r>
          </w:p>
          <w:p>
            <w:pPr>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（2）提供相关设备的维修工程师姓名及电话号码。如国内有400、800等电话维修系统提供电话号码。</w:t>
            </w:r>
          </w:p>
          <w:p>
            <w:pPr>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（3）故障响应时间：当接到设备报修通知后立即响应，24小时内派工程师到设备现场及时维修，保证不影响</w:t>
            </w:r>
            <w:r>
              <w:rPr>
                <w:rFonts w:hint="eastAsia" w:hAnsi="宋体"/>
                <w:color w:val="auto"/>
                <w:sz w:val="21"/>
                <w:highlight w:val="none"/>
                <w:lang w:eastAsia="zh-CN"/>
              </w:rPr>
              <w:t>采购人</w:t>
            </w:r>
            <w:r>
              <w:rPr>
                <w:rFonts w:hint="eastAsia" w:hAnsi="宋体"/>
                <w:color w:val="auto"/>
                <w:sz w:val="21"/>
                <w:highlight w:val="none"/>
              </w:rPr>
              <w:t>正常使用，每次维修应提供维修报告交给</w:t>
            </w:r>
            <w:r>
              <w:rPr>
                <w:rFonts w:hint="eastAsia" w:hAnsi="宋体"/>
                <w:color w:val="auto"/>
                <w:sz w:val="21"/>
                <w:highlight w:val="none"/>
                <w:lang w:eastAsia="zh-CN"/>
              </w:rPr>
              <w:t>采购人</w:t>
            </w:r>
            <w:r>
              <w:rPr>
                <w:rFonts w:hint="eastAsia" w:hAnsi="宋体"/>
                <w:color w:val="auto"/>
                <w:sz w:val="21"/>
                <w:highlight w:val="none"/>
              </w:rPr>
              <w:t>备案。规定时限内</w:t>
            </w:r>
            <w:r>
              <w:rPr>
                <w:rFonts w:hint="eastAsia" w:hAnsi="宋体"/>
                <w:color w:val="auto"/>
                <w:sz w:val="21"/>
                <w:highlight w:val="none"/>
                <w:lang w:eastAsia="zh-CN"/>
              </w:rPr>
              <w:t>成交供应商</w:t>
            </w:r>
            <w:r>
              <w:rPr>
                <w:rFonts w:hint="eastAsia" w:hAnsi="宋体"/>
                <w:color w:val="auto"/>
                <w:sz w:val="21"/>
                <w:highlight w:val="none"/>
              </w:rPr>
              <w:t>未能按时响应，</w:t>
            </w:r>
            <w:r>
              <w:rPr>
                <w:rFonts w:hint="eastAsia" w:hAnsi="宋体"/>
                <w:color w:val="auto"/>
                <w:sz w:val="21"/>
                <w:highlight w:val="none"/>
                <w:lang w:eastAsia="zh-CN"/>
              </w:rPr>
              <w:t>采购人</w:t>
            </w:r>
            <w:r>
              <w:rPr>
                <w:rFonts w:hint="eastAsia" w:hAnsi="宋体"/>
                <w:color w:val="auto"/>
                <w:sz w:val="21"/>
                <w:highlight w:val="none"/>
              </w:rPr>
              <w:t>有权聘请第三方进行维修处理，由此产生的相关费用由</w:t>
            </w:r>
            <w:r>
              <w:rPr>
                <w:rFonts w:hint="eastAsia" w:hAnsi="宋体"/>
                <w:color w:val="auto"/>
                <w:sz w:val="21"/>
                <w:highlight w:val="none"/>
                <w:lang w:eastAsia="zh-CN"/>
              </w:rPr>
              <w:t>成交供应商</w:t>
            </w:r>
            <w:r>
              <w:rPr>
                <w:rFonts w:hint="eastAsia" w:hAnsi="宋体"/>
                <w:color w:val="auto"/>
                <w:sz w:val="21"/>
                <w:highlight w:val="none"/>
              </w:rPr>
              <w:t>承担。</w:t>
            </w:r>
          </w:p>
          <w:p>
            <w:pPr>
              <w:snapToGrid w:val="0"/>
              <w:spacing w:line="400" w:lineRule="exact"/>
              <w:ind w:firstLine="420" w:firstLineChars="200"/>
              <w:rPr>
                <w:rFonts w:hint="eastAsia" w:hAnsi="宋体"/>
                <w:color w:val="auto"/>
                <w:sz w:val="21"/>
                <w:highlight w:val="none"/>
              </w:rPr>
            </w:pPr>
            <w:r>
              <w:rPr>
                <w:rFonts w:hint="eastAsia" w:hAnsi="宋体"/>
                <w:color w:val="auto"/>
                <w:sz w:val="21"/>
                <w:highlight w:val="none"/>
              </w:rPr>
              <w:t>（4）人员培训：设备安装完毕，由</w:t>
            </w:r>
            <w:r>
              <w:rPr>
                <w:rFonts w:hint="eastAsia" w:hAnsi="宋体"/>
                <w:color w:val="auto"/>
                <w:sz w:val="21"/>
                <w:highlight w:val="none"/>
                <w:lang w:eastAsia="zh-CN"/>
              </w:rPr>
              <w:t>成交供应商</w:t>
            </w:r>
            <w:r>
              <w:rPr>
                <w:rFonts w:hint="eastAsia" w:hAnsi="宋体"/>
                <w:color w:val="auto"/>
                <w:sz w:val="21"/>
                <w:highlight w:val="none"/>
              </w:rPr>
              <w:t>工程师对</w:t>
            </w:r>
            <w:r>
              <w:rPr>
                <w:rFonts w:hint="eastAsia" w:hAnsi="宋体"/>
                <w:color w:val="auto"/>
                <w:sz w:val="21"/>
                <w:highlight w:val="none"/>
                <w:lang w:eastAsia="zh-CN"/>
              </w:rPr>
              <w:t>采购人</w:t>
            </w:r>
            <w:r>
              <w:rPr>
                <w:rFonts w:hint="eastAsia" w:hAnsi="宋体"/>
                <w:color w:val="auto"/>
                <w:sz w:val="21"/>
                <w:highlight w:val="none"/>
              </w:rPr>
              <w:t>操作人员和维修人员现场进行设备的应用、保养和维护培训，培训主要内容包括设备的基本结构、性能、主要部件的构造，日常使用保养与管理，常见故障的维修，使相关人员掌握常规操作规程和各种功能的使用，并能处理简单故障，由此产生的一切支出，由</w:t>
            </w:r>
            <w:r>
              <w:rPr>
                <w:rFonts w:hint="eastAsia" w:hAnsi="宋体"/>
                <w:color w:val="auto"/>
                <w:sz w:val="21"/>
                <w:highlight w:val="none"/>
                <w:lang w:eastAsia="zh-CN"/>
              </w:rPr>
              <w:t>成交供应商</w:t>
            </w:r>
            <w:r>
              <w:rPr>
                <w:rFonts w:hint="eastAsia" w:hAnsi="宋体"/>
                <w:color w:val="auto"/>
                <w:sz w:val="21"/>
                <w:highlight w:val="none"/>
              </w:rPr>
              <w:t>承担。</w:t>
            </w:r>
          </w:p>
          <w:p>
            <w:pPr>
              <w:snapToGrid w:val="0"/>
              <w:spacing w:line="400" w:lineRule="exact"/>
              <w:ind w:firstLine="0" w:firstLineChars="0"/>
              <w:rPr>
                <w:rFonts w:hint="eastAsia" w:hAnsi="宋体"/>
                <w:color w:val="auto"/>
                <w:sz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266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hAnsi="宋体" w:cs="仿宋"/>
                <w:b/>
                <w:color w:val="auto"/>
                <w:sz w:val="21"/>
                <w:highlight w:val="none"/>
              </w:rPr>
            </w:pPr>
            <w:r>
              <w:rPr>
                <w:rFonts w:hint="eastAsia" w:hAnsi="宋体" w:cs="仿宋"/>
                <w:b/>
                <w:color w:val="auto"/>
                <w:sz w:val="21"/>
                <w:highlight w:val="none"/>
              </w:rPr>
              <w:t>备品备件及耗材等要求</w:t>
            </w:r>
          </w:p>
        </w:tc>
        <w:tc>
          <w:tcPr>
            <w:tcW w:w="75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1.质保期内，发现设备存在制造上的缺陷，</w:t>
            </w:r>
            <w:r>
              <w:rPr>
                <w:rFonts w:hint="eastAsia" w:hAnsi="宋体" w:cs="仿宋"/>
                <w:color w:val="auto"/>
                <w:sz w:val="21"/>
                <w:highlight w:val="none"/>
                <w:lang w:eastAsia="zh-CN"/>
              </w:rPr>
              <w:t>成交供应商</w:t>
            </w:r>
            <w:r>
              <w:rPr>
                <w:rFonts w:hint="eastAsia" w:hAnsi="宋体" w:cs="仿宋"/>
                <w:color w:val="auto"/>
                <w:sz w:val="21"/>
                <w:highlight w:val="none"/>
              </w:rPr>
              <w:t>应负责采取补救措施，包括但不限于维修或更换必要配件等，</w:t>
            </w:r>
            <w:r>
              <w:rPr>
                <w:rFonts w:hint="eastAsia" w:hAnsi="宋体"/>
                <w:color w:val="auto"/>
                <w:sz w:val="21"/>
                <w:highlight w:val="none"/>
              </w:rPr>
              <w:t>费用含在投标报价中</w:t>
            </w:r>
            <w:r>
              <w:rPr>
                <w:rFonts w:hint="eastAsia" w:hAnsi="宋体" w:cs="仿宋"/>
                <w:color w:val="auto"/>
                <w:sz w:val="21"/>
                <w:highlight w:val="none"/>
              </w:rPr>
              <w:t>。该缺陷导致设备存在安全隐患或不能使用，</w:t>
            </w:r>
            <w:r>
              <w:rPr>
                <w:rFonts w:hint="eastAsia" w:hAnsi="宋体" w:cs="仿宋"/>
                <w:color w:val="auto"/>
                <w:sz w:val="21"/>
                <w:highlight w:val="none"/>
                <w:lang w:eastAsia="zh-CN"/>
              </w:rPr>
              <w:t>成交供应商</w:t>
            </w:r>
            <w:r>
              <w:rPr>
                <w:rFonts w:hint="eastAsia" w:hAnsi="宋体" w:cs="仿宋"/>
                <w:color w:val="auto"/>
                <w:sz w:val="21"/>
                <w:highlight w:val="none"/>
              </w:rPr>
              <w:t>应负责更换整件产品，应提供足够数量的常用易损件备品备件作为采购人平时应急使用，能及时处理、更换损坏的零部件。</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2.投标产品如包括必备的易损易耗备品备件和专用工具，</w:t>
            </w:r>
            <w:r>
              <w:rPr>
                <w:rFonts w:hint="eastAsia" w:hAnsi="宋体" w:cs="仿宋"/>
                <w:color w:val="auto"/>
                <w:sz w:val="21"/>
                <w:highlight w:val="none"/>
                <w:lang w:eastAsia="zh-CN"/>
              </w:rPr>
              <w:t>供应商</w:t>
            </w:r>
            <w:r>
              <w:rPr>
                <w:rFonts w:hint="eastAsia" w:hAnsi="宋体" w:cs="仿宋"/>
                <w:color w:val="auto"/>
                <w:sz w:val="21"/>
                <w:highlight w:val="none"/>
              </w:rPr>
              <w:t>应提供其清单。</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3.设备产生的所有数据资料归采购人所有，无需任何附加条件的前提下能导出数据。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266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hAnsi="宋体" w:cs="仿宋"/>
                <w:b/>
                <w:color w:val="auto"/>
                <w:sz w:val="21"/>
                <w:highlight w:val="none"/>
              </w:rPr>
            </w:pPr>
            <w:r>
              <w:rPr>
                <w:rFonts w:hint="eastAsia" w:hAnsi="宋体" w:cs="仿宋"/>
                <w:b/>
                <w:color w:val="auto"/>
                <w:sz w:val="21"/>
                <w:highlight w:val="none"/>
              </w:rPr>
              <w:t>报价要求</w:t>
            </w:r>
          </w:p>
        </w:tc>
        <w:tc>
          <w:tcPr>
            <w:tcW w:w="75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1.本次报价须为人民币报价，应包含设备本身费用以及设备调试至可正常使用前，发生的运输费、安装调试费、税费以及其他所有可能发生的费用。</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2.报价特别说明：报价不能超过控制价，否则报价无效。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266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hAnsi="宋体" w:cs="仿宋"/>
                <w:b/>
                <w:color w:val="auto"/>
                <w:sz w:val="21"/>
                <w:highlight w:val="none"/>
              </w:rPr>
            </w:pPr>
            <w:r>
              <w:rPr>
                <w:rFonts w:hint="eastAsia" w:hAnsi="宋体" w:cs="仿宋"/>
                <w:b/>
                <w:color w:val="auto"/>
                <w:sz w:val="21"/>
                <w:highlight w:val="none"/>
              </w:rPr>
              <w:t>交付和安装要求</w:t>
            </w:r>
          </w:p>
        </w:tc>
        <w:tc>
          <w:tcPr>
            <w:tcW w:w="75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16" w:firstLine="420" w:firstLineChars="200"/>
              <w:jc w:val="both"/>
              <w:rPr>
                <w:rFonts w:hAnsi="宋体" w:cs="仿宋"/>
                <w:color w:val="auto"/>
                <w:sz w:val="21"/>
                <w:highlight w:val="none"/>
              </w:rPr>
            </w:pPr>
            <w:r>
              <w:rPr>
                <w:rFonts w:hint="eastAsia" w:hAnsi="宋体" w:cs="仿宋"/>
                <w:color w:val="auto"/>
                <w:sz w:val="21"/>
                <w:highlight w:val="none"/>
              </w:rPr>
              <w:t>1.</w:t>
            </w:r>
            <w:r>
              <w:rPr>
                <w:rFonts w:hint="eastAsia" w:hAnsi="宋体" w:cs="仿宋"/>
                <w:color w:val="auto"/>
                <w:sz w:val="21"/>
                <w:highlight w:val="none"/>
                <w:lang w:eastAsia="zh-CN"/>
              </w:rPr>
              <w:t>交付期</w:t>
            </w:r>
            <w:r>
              <w:rPr>
                <w:rFonts w:hint="eastAsia" w:hAnsi="宋体" w:cs="仿宋"/>
                <w:color w:val="auto"/>
                <w:sz w:val="21"/>
                <w:highlight w:val="none"/>
              </w:rPr>
              <w:t>：</w:t>
            </w:r>
            <w:r>
              <w:rPr>
                <w:rFonts w:hint="eastAsia" w:hAnsi="宋体" w:cs="仿宋"/>
                <w:color w:val="auto"/>
                <w:sz w:val="21"/>
                <w:highlight w:val="none"/>
                <w:lang w:eastAsia="zh-CN"/>
              </w:rPr>
              <w:t>签订合同之日起</w:t>
            </w:r>
            <w:r>
              <w:rPr>
                <w:rFonts w:hint="eastAsia" w:hAnsi="宋体" w:cs="仿宋"/>
                <w:color w:val="auto"/>
                <w:sz w:val="21"/>
                <w:highlight w:val="none"/>
                <w:lang w:val="en-US" w:eastAsia="zh-CN"/>
              </w:rPr>
              <w:t>30</w:t>
            </w:r>
            <w:r>
              <w:rPr>
                <w:rFonts w:hint="eastAsia" w:hAnsi="宋体" w:cs="仿宋"/>
                <w:color w:val="auto"/>
                <w:sz w:val="21"/>
                <w:highlight w:val="none"/>
                <w:lang w:eastAsia="zh-CN"/>
              </w:rPr>
              <w:t>天内交付使用</w:t>
            </w:r>
            <w:r>
              <w:rPr>
                <w:rFonts w:hint="eastAsia" w:hAnsi="宋体" w:cs="仿宋"/>
                <w:color w:val="auto"/>
                <w:sz w:val="21"/>
                <w:highlight w:val="none"/>
              </w:rPr>
              <w:t>。</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2.交付地点：广西柳州市</w:t>
            </w:r>
            <w:r>
              <w:rPr>
                <w:rFonts w:hint="eastAsia" w:hAnsi="宋体" w:cs="仿宋"/>
                <w:color w:val="auto"/>
                <w:sz w:val="21"/>
                <w:highlight w:val="none"/>
                <w:lang w:eastAsia="zh-CN"/>
              </w:rPr>
              <w:t>采购人</w:t>
            </w:r>
            <w:r>
              <w:rPr>
                <w:rFonts w:hint="eastAsia" w:hAnsi="宋体" w:cs="仿宋"/>
                <w:color w:val="auto"/>
                <w:sz w:val="21"/>
                <w:highlight w:val="none"/>
              </w:rPr>
              <w:t>指定地点。</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3.</w:t>
            </w:r>
            <w:r>
              <w:rPr>
                <w:rFonts w:hint="eastAsia" w:hAnsi="宋体" w:cs="仿宋"/>
                <w:color w:val="auto"/>
                <w:sz w:val="21"/>
                <w:highlight w:val="none"/>
                <w:lang w:eastAsia="zh-CN"/>
              </w:rPr>
              <w:t>成交供应商</w:t>
            </w:r>
            <w:r>
              <w:rPr>
                <w:rFonts w:hint="eastAsia" w:hAnsi="宋体" w:cs="仿宋"/>
                <w:color w:val="auto"/>
                <w:sz w:val="21"/>
                <w:highlight w:val="none"/>
              </w:rPr>
              <w:t>提供不符合招</w:t>
            </w:r>
            <w:r>
              <w:rPr>
                <w:rFonts w:hint="eastAsia" w:hAnsi="宋体" w:cs="仿宋"/>
                <w:color w:val="auto"/>
                <w:sz w:val="21"/>
                <w:highlight w:val="none"/>
                <w:lang w:eastAsia="zh-CN"/>
              </w:rPr>
              <w:t>响应文件</w:t>
            </w:r>
            <w:r>
              <w:rPr>
                <w:rFonts w:hint="eastAsia" w:hAnsi="宋体" w:cs="仿宋"/>
                <w:color w:val="auto"/>
                <w:sz w:val="21"/>
                <w:highlight w:val="none"/>
              </w:rPr>
              <w:t>和签订的合同规定的货物，采购人有权拒绝接收。</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4.</w:t>
            </w:r>
            <w:r>
              <w:rPr>
                <w:rFonts w:hint="eastAsia" w:hAnsi="宋体" w:cs="仿宋"/>
                <w:color w:val="auto"/>
                <w:sz w:val="21"/>
                <w:highlight w:val="none"/>
                <w:lang w:eastAsia="zh-CN"/>
              </w:rPr>
              <w:t>成交供应商</w:t>
            </w:r>
            <w:r>
              <w:rPr>
                <w:rFonts w:hint="eastAsia" w:hAnsi="宋体" w:cs="仿宋"/>
                <w:color w:val="auto"/>
                <w:sz w:val="21"/>
                <w:highlight w:val="none"/>
              </w:rPr>
              <w:t>应将所提供货物的装箱清单、用户手册、原厂保修卡、随附资料、工具和备品、备件、中英文操作说明书等一并交付给采购人，如有缺失应及时补齐，否则视为逾期交货。</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5.</w:t>
            </w:r>
            <w:r>
              <w:rPr>
                <w:rFonts w:hint="eastAsia" w:hAnsi="宋体" w:cs="仿宋"/>
                <w:color w:val="auto"/>
                <w:sz w:val="21"/>
                <w:highlight w:val="none"/>
                <w:lang w:eastAsia="zh-CN"/>
              </w:rPr>
              <w:t>成交供应商</w:t>
            </w:r>
            <w:r>
              <w:rPr>
                <w:rFonts w:hint="eastAsia" w:hAnsi="宋体" w:cs="仿宋"/>
                <w:color w:val="auto"/>
                <w:sz w:val="21"/>
                <w:highlight w:val="none"/>
              </w:rPr>
              <w:t>交货前应对产品作出全面检查和对验收文件进行整理，并列出清单，作为采购人收货验收和使用的技术条件依据，检验的结果应随货物交采购人。</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6.</w:t>
            </w:r>
            <w:r>
              <w:rPr>
                <w:rFonts w:hint="eastAsia" w:hAnsi="宋体" w:cs="仿宋"/>
                <w:color w:val="auto"/>
                <w:sz w:val="21"/>
                <w:highlight w:val="none"/>
                <w:lang w:eastAsia="zh-CN"/>
              </w:rPr>
              <w:t>成交供应商</w:t>
            </w:r>
            <w:r>
              <w:rPr>
                <w:rFonts w:hint="eastAsia" w:hAnsi="宋体" w:cs="仿宋"/>
                <w:color w:val="auto"/>
                <w:sz w:val="21"/>
                <w:highlight w:val="none"/>
              </w:rPr>
              <w:t>负责货物的卸货、搬运及安装，按照采购人要求将货物搬运至指定地点并负责安装、组合成套。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266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hAnsi="宋体" w:cs="仿宋"/>
                <w:b/>
                <w:color w:val="auto"/>
                <w:sz w:val="21"/>
                <w:highlight w:val="none"/>
              </w:rPr>
            </w:pPr>
            <w:r>
              <w:rPr>
                <w:rFonts w:hint="eastAsia" w:hAnsi="宋体" w:cs="仿宋"/>
                <w:b/>
                <w:color w:val="auto"/>
                <w:sz w:val="21"/>
                <w:highlight w:val="none"/>
              </w:rPr>
              <w:t>验收要求</w:t>
            </w:r>
          </w:p>
        </w:tc>
        <w:tc>
          <w:tcPr>
            <w:tcW w:w="75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1.交付验收标准依次序对照适用标准为：①符合中华人民共和国国家安全质量标准、环保标准或行业标准；②符合采购文件和</w:t>
            </w:r>
            <w:r>
              <w:rPr>
                <w:rFonts w:hint="eastAsia" w:hAnsi="宋体" w:cs="仿宋"/>
                <w:color w:val="auto"/>
                <w:sz w:val="21"/>
                <w:highlight w:val="none"/>
                <w:lang w:eastAsia="zh-CN"/>
              </w:rPr>
              <w:t>响应文件</w:t>
            </w:r>
            <w:r>
              <w:rPr>
                <w:rFonts w:hint="eastAsia" w:hAnsi="宋体" w:cs="仿宋"/>
                <w:color w:val="auto"/>
                <w:sz w:val="21"/>
                <w:highlight w:val="none"/>
              </w:rPr>
              <w:t>承诺中采购人认可的合理最佳配置、参数及各项要求；③货物符合国家官方合格标准。</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2.</w:t>
            </w:r>
            <w:r>
              <w:rPr>
                <w:rFonts w:hint="eastAsia" w:hAnsi="宋体" w:cs="仿宋"/>
                <w:color w:val="auto"/>
                <w:sz w:val="21"/>
                <w:highlight w:val="none"/>
                <w:lang w:eastAsia="zh-CN"/>
              </w:rPr>
              <w:t>成交供应商</w:t>
            </w:r>
            <w:r>
              <w:rPr>
                <w:rFonts w:hint="eastAsia" w:hAnsi="宋体" w:cs="仿宋"/>
                <w:color w:val="auto"/>
                <w:sz w:val="21"/>
                <w:highlight w:val="none"/>
              </w:rPr>
              <w:t>须确保货物为原制造商制造的全新产品，无污染，无侵权行为、表面无划损、无任何缺陷隐患，在中国境内可依常规安全合法使用。</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3.供货时</w:t>
            </w:r>
            <w:r>
              <w:rPr>
                <w:rFonts w:hint="eastAsia" w:hAnsi="宋体" w:cs="仿宋"/>
                <w:color w:val="auto"/>
                <w:sz w:val="21"/>
                <w:highlight w:val="none"/>
                <w:lang w:eastAsia="zh-CN"/>
              </w:rPr>
              <w:t>成交供应商</w:t>
            </w:r>
            <w:r>
              <w:rPr>
                <w:rFonts w:hint="eastAsia" w:hAnsi="宋体" w:cs="仿宋"/>
                <w:color w:val="auto"/>
                <w:sz w:val="21"/>
                <w:highlight w:val="none"/>
              </w:rPr>
              <w:t>应将关键货物的用户手册、保修手册、有关单证资料及配备件等交付给采购人，使用操作及安全须知等重要资料应附有中文说明。</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4.采购人按国家有关规定、规范进行验收，必要时邀请相关的专业人员或机构参与验收。因货物质量问题发生争议时，由本地质量技术监督部门鉴定。鉴定费由</w:t>
            </w:r>
            <w:r>
              <w:rPr>
                <w:rFonts w:hint="eastAsia" w:hAnsi="宋体" w:cs="仿宋"/>
                <w:color w:val="auto"/>
                <w:sz w:val="21"/>
                <w:highlight w:val="none"/>
                <w:lang w:eastAsia="zh-CN"/>
              </w:rPr>
              <w:t>成交供应商</w:t>
            </w:r>
            <w:r>
              <w:rPr>
                <w:rFonts w:hint="eastAsia" w:hAnsi="宋体" w:cs="仿宋"/>
                <w:color w:val="auto"/>
                <w:sz w:val="21"/>
                <w:highlight w:val="none"/>
              </w:rPr>
              <w:t>承担。</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5.</w:t>
            </w:r>
            <w:r>
              <w:rPr>
                <w:rFonts w:hint="eastAsia" w:hAnsi="宋体" w:cs="仿宋"/>
                <w:color w:val="auto"/>
                <w:sz w:val="21"/>
                <w:highlight w:val="none"/>
                <w:lang w:eastAsia="zh-CN"/>
              </w:rPr>
              <w:t>成交供应商</w:t>
            </w:r>
            <w:r>
              <w:rPr>
                <w:rFonts w:hint="eastAsia" w:hAnsi="宋体" w:cs="仿宋"/>
                <w:color w:val="auto"/>
                <w:sz w:val="21"/>
                <w:highlight w:val="none"/>
              </w:rPr>
              <w:t>必须依照采购文件的要求和</w:t>
            </w:r>
            <w:r>
              <w:rPr>
                <w:rFonts w:hint="eastAsia" w:hAnsi="宋体" w:cs="仿宋"/>
                <w:color w:val="auto"/>
                <w:sz w:val="21"/>
                <w:highlight w:val="none"/>
                <w:lang w:eastAsia="zh-CN"/>
              </w:rPr>
              <w:t>响应文件</w:t>
            </w:r>
            <w:r>
              <w:rPr>
                <w:rFonts w:hint="eastAsia" w:hAnsi="宋体" w:cs="仿宋"/>
                <w:color w:val="auto"/>
                <w:sz w:val="21"/>
                <w:highlight w:val="none"/>
              </w:rPr>
              <w:t>的承诺，将设备、系统安装并调试至正常运行的最佳状态。</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6.采购人对</w:t>
            </w:r>
            <w:r>
              <w:rPr>
                <w:rFonts w:hint="eastAsia" w:hAnsi="宋体" w:cs="仿宋"/>
                <w:color w:val="auto"/>
                <w:sz w:val="21"/>
                <w:highlight w:val="none"/>
                <w:lang w:eastAsia="zh-CN"/>
              </w:rPr>
              <w:t>成交供应商</w:t>
            </w:r>
            <w:r>
              <w:rPr>
                <w:rFonts w:hint="eastAsia" w:hAnsi="宋体" w:cs="仿宋"/>
                <w:color w:val="auto"/>
                <w:sz w:val="21"/>
                <w:highlight w:val="none"/>
              </w:rPr>
              <w:t>提交的货物依据采购（或投标）文件及签订的合同上的技术规格要求和国家有关质量标准进行现场初步验收，外观、说明书符合采购文件技术要求的，给予签收，初步验收不合格的不予签收。</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7.采购人对</w:t>
            </w:r>
            <w:r>
              <w:rPr>
                <w:rFonts w:hint="eastAsia" w:hAnsi="宋体" w:cs="仿宋"/>
                <w:color w:val="auto"/>
                <w:sz w:val="21"/>
                <w:highlight w:val="none"/>
                <w:lang w:eastAsia="zh-CN"/>
              </w:rPr>
              <w:t>成交供应商</w:t>
            </w:r>
            <w:r>
              <w:rPr>
                <w:rFonts w:hint="eastAsia" w:hAnsi="宋体" w:cs="仿宋"/>
                <w:color w:val="auto"/>
                <w:sz w:val="21"/>
                <w:highlight w:val="none"/>
              </w:rPr>
              <w:t>提供的货物验收前，</w:t>
            </w:r>
            <w:r>
              <w:rPr>
                <w:rFonts w:hint="eastAsia" w:hAnsi="宋体" w:cs="仿宋"/>
                <w:color w:val="auto"/>
                <w:sz w:val="21"/>
                <w:highlight w:val="none"/>
                <w:lang w:eastAsia="zh-CN"/>
              </w:rPr>
              <w:t>成交供应商</w:t>
            </w:r>
            <w:r>
              <w:rPr>
                <w:rFonts w:hint="eastAsia" w:hAnsi="宋体" w:cs="仿宋"/>
                <w:color w:val="auto"/>
                <w:sz w:val="21"/>
                <w:highlight w:val="none"/>
              </w:rPr>
              <w:t>需负责安装完毕、培训采购人的使用操作人员并协助采购人一起调试，直到符合招、</w:t>
            </w:r>
            <w:r>
              <w:rPr>
                <w:rFonts w:hint="eastAsia" w:hAnsi="宋体" w:cs="仿宋"/>
                <w:color w:val="auto"/>
                <w:sz w:val="21"/>
                <w:highlight w:val="none"/>
                <w:lang w:eastAsia="zh-CN"/>
              </w:rPr>
              <w:t>响应文件</w:t>
            </w:r>
            <w:r>
              <w:rPr>
                <w:rFonts w:hint="eastAsia" w:hAnsi="宋体" w:cs="仿宋"/>
                <w:color w:val="auto"/>
                <w:sz w:val="21"/>
                <w:highlight w:val="none"/>
              </w:rPr>
              <w:t>及签订的合同规定的技术要求，采购人才做最终验收。在验收过程中发现</w:t>
            </w:r>
            <w:r>
              <w:rPr>
                <w:rFonts w:hint="eastAsia" w:hAnsi="宋体" w:cs="仿宋"/>
                <w:color w:val="auto"/>
                <w:sz w:val="21"/>
                <w:highlight w:val="none"/>
                <w:lang w:eastAsia="zh-CN"/>
              </w:rPr>
              <w:t>成交供应商</w:t>
            </w:r>
            <w:r>
              <w:rPr>
                <w:rFonts w:hint="eastAsia" w:hAnsi="宋体" w:cs="仿宋"/>
                <w:color w:val="auto"/>
                <w:sz w:val="21"/>
                <w:highlight w:val="none"/>
              </w:rPr>
              <w:t>有违约问题，可暂缓资金结算，待违约问题解决后，方可办理资金结算事宜。</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8.对技术复杂的货物，采购人可聘请国家认可的专业检测机构参与初步验收及最终验收并由其出具质量检测报告，检测费用由</w:t>
            </w:r>
            <w:r>
              <w:rPr>
                <w:rFonts w:hint="eastAsia" w:hAnsi="宋体" w:cs="仿宋"/>
                <w:color w:val="auto"/>
                <w:sz w:val="21"/>
                <w:highlight w:val="none"/>
                <w:lang w:eastAsia="zh-CN"/>
              </w:rPr>
              <w:t>成交供应商</w:t>
            </w:r>
            <w:r>
              <w:rPr>
                <w:rFonts w:hint="eastAsia" w:hAnsi="宋体" w:cs="仿宋"/>
                <w:color w:val="auto"/>
                <w:sz w:val="21"/>
                <w:highlight w:val="none"/>
              </w:rPr>
              <w:t>垫付和承担。</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9.验收时</w:t>
            </w:r>
            <w:r>
              <w:rPr>
                <w:rFonts w:hint="eastAsia" w:hAnsi="宋体" w:cs="仿宋"/>
                <w:color w:val="auto"/>
                <w:sz w:val="21"/>
                <w:highlight w:val="none"/>
                <w:lang w:eastAsia="zh-CN"/>
              </w:rPr>
              <w:t>成交供应商</w:t>
            </w:r>
            <w:r>
              <w:rPr>
                <w:rFonts w:hint="eastAsia" w:hAnsi="宋体" w:cs="仿宋"/>
                <w:color w:val="auto"/>
                <w:sz w:val="21"/>
                <w:highlight w:val="none"/>
              </w:rPr>
              <w:t>代表必须在现场，验收完毕后作出验收结果报告；验收费用由</w:t>
            </w:r>
            <w:r>
              <w:rPr>
                <w:rFonts w:hint="eastAsia" w:hAnsi="宋体" w:cs="仿宋"/>
                <w:color w:val="auto"/>
                <w:sz w:val="21"/>
                <w:highlight w:val="none"/>
                <w:lang w:eastAsia="zh-CN"/>
              </w:rPr>
              <w:t>成交供应商</w:t>
            </w:r>
            <w:r>
              <w:rPr>
                <w:rFonts w:hint="eastAsia" w:hAnsi="宋体" w:cs="仿宋"/>
                <w:color w:val="auto"/>
                <w:sz w:val="21"/>
                <w:highlight w:val="none"/>
              </w:rPr>
              <w:t>承担。</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10.</w:t>
            </w:r>
            <w:r>
              <w:rPr>
                <w:rFonts w:hint="eastAsia" w:hAnsi="宋体" w:cs="仿宋"/>
                <w:color w:val="auto"/>
                <w:sz w:val="21"/>
                <w:highlight w:val="none"/>
                <w:lang w:eastAsia="zh-CN"/>
              </w:rPr>
              <w:t>成交供应商</w:t>
            </w:r>
            <w:r>
              <w:rPr>
                <w:rFonts w:hint="eastAsia" w:hAnsi="宋体" w:cs="仿宋"/>
                <w:color w:val="auto"/>
                <w:sz w:val="21"/>
                <w:highlight w:val="none"/>
              </w:rPr>
              <w:t>对验收结果有异议的，须在验收后五个工作日内以书面形式向采购人提出，采购人自收到</w:t>
            </w:r>
            <w:r>
              <w:rPr>
                <w:rFonts w:hint="eastAsia" w:hAnsi="宋体" w:cs="仿宋"/>
                <w:color w:val="auto"/>
                <w:sz w:val="21"/>
                <w:highlight w:val="none"/>
                <w:lang w:eastAsia="zh-CN"/>
              </w:rPr>
              <w:t>成交供应商</w:t>
            </w:r>
            <w:r>
              <w:rPr>
                <w:rFonts w:hint="eastAsia" w:hAnsi="宋体" w:cs="仿宋"/>
                <w:color w:val="auto"/>
                <w:sz w:val="21"/>
                <w:highlight w:val="none"/>
              </w:rPr>
              <w:t>书面异议后5个工作日内及时予以复核并书面回复最终验收结果。</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11.如</w:t>
            </w:r>
            <w:r>
              <w:rPr>
                <w:rFonts w:hint="eastAsia" w:hAnsi="宋体" w:cs="仿宋"/>
                <w:color w:val="auto"/>
                <w:sz w:val="21"/>
                <w:highlight w:val="none"/>
                <w:lang w:eastAsia="zh-CN"/>
              </w:rPr>
              <w:t>成交供应商</w:t>
            </w:r>
            <w:r>
              <w:rPr>
                <w:rFonts w:hint="eastAsia" w:hAnsi="宋体" w:cs="仿宋"/>
                <w:color w:val="auto"/>
                <w:sz w:val="21"/>
                <w:highlight w:val="none"/>
              </w:rPr>
              <w:t>有下列情况之一的，采购人有权拒绝验收和支付款项，并依照处罚条款作出相应处罚：</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（1）提供的货物规格、技术标准、材料未达到其</w:t>
            </w:r>
            <w:r>
              <w:rPr>
                <w:rFonts w:hint="eastAsia" w:hAnsi="宋体" w:cs="仿宋"/>
                <w:color w:val="auto"/>
                <w:sz w:val="21"/>
                <w:highlight w:val="none"/>
                <w:lang w:eastAsia="zh-CN"/>
              </w:rPr>
              <w:t>响应文件</w:t>
            </w:r>
            <w:r>
              <w:rPr>
                <w:rFonts w:hint="eastAsia" w:hAnsi="宋体" w:cs="仿宋"/>
                <w:color w:val="auto"/>
                <w:sz w:val="21"/>
                <w:highlight w:val="none"/>
              </w:rPr>
              <w:t>所承诺的，导致无法通过验收交付使用的；</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（2）提供的货物经查证无法得到生产厂家正规售后服务的；</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（3）提供的货物未经正规合法经销渠道的；</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（4）提供的货物侵犯了第三方合法权益而引发了纠纷或诉讼，导致无法按期交付使用的；</w:t>
            </w:r>
          </w:p>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rPr>
              <w:t>（5）所交的货物品种、型号、规格、质量等不符合</w:t>
            </w:r>
            <w:r>
              <w:rPr>
                <w:rFonts w:hint="eastAsia" w:hAnsi="宋体" w:cs="仿宋"/>
                <w:color w:val="auto"/>
                <w:sz w:val="21"/>
                <w:highlight w:val="none"/>
                <w:lang w:eastAsia="zh-CN"/>
              </w:rPr>
              <w:t>响应文件</w:t>
            </w:r>
            <w:r>
              <w:rPr>
                <w:rFonts w:hint="eastAsia" w:hAnsi="宋体" w:cs="仿宋"/>
                <w:color w:val="auto"/>
                <w:sz w:val="21"/>
                <w:highlight w:val="none"/>
              </w:rPr>
              <w:t>提供的技术数据经实际测试发现不真实的。</w:t>
            </w:r>
          </w:p>
          <w:p>
            <w:pPr>
              <w:snapToGrid w:val="0"/>
              <w:spacing w:line="360" w:lineRule="auto"/>
              <w:ind w:right="-16" w:firstLine="420" w:firstLineChars="200"/>
              <w:jc w:val="both"/>
              <w:rPr>
                <w:rFonts w:hAnsi="宋体" w:cs="仿宋"/>
                <w:color w:val="auto"/>
                <w:sz w:val="21"/>
                <w:highlight w:val="none"/>
              </w:rPr>
            </w:pPr>
            <w:r>
              <w:rPr>
                <w:rFonts w:hint="eastAsia" w:hAnsi="宋体" w:cs="仿宋"/>
                <w:color w:val="auto"/>
                <w:sz w:val="21"/>
                <w:highlight w:val="none"/>
              </w:rPr>
              <w:t>（6）发现所提供的产品有弄虚作假的行为的。</w:t>
            </w:r>
          </w:p>
          <w:p>
            <w:pPr>
              <w:snapToGrid w:val="0"/>
              <w:spacing w:line="360" w:lineRule="auto"/>
              <w:ind w:right="-16" w:firstLine="422" w:firstLineChars="200"/>
              <w:jc w:val="both"/>
              <w:rPr>
                <w:rFonts w:hint="eastAsia" w:hAnsi="宋体" w:cs="仿宋"/>
                <w:color w:val="auto"/>
                <w:sz w:val="21"/>
                <w:highlight w:val="none"/>
              </w:rPr>
            </w:pPr>
            <w:r>
              <w:rPr>
                <w:rFonts w:hint="eastAsia" w:hAnsi="宋体" w:cs="宋体"/>
                <w:b/>
                <w:color w:val="auto"/>
                <w:sz w:val="21"/>
                <w:highlight w:val="none"/>
              </w:rPr>
              <w:t>12.采购人有权委托第三方进行履约验收，履约验收费用由</w:t>
            </w:r>
            <w:r>
              <w:rPr>
                <w:rFonts w:hint="eastAsia" w:hAnsi="宋体" w:cs="宋体"/>
                <w:b/>
                <w:color w:val="auto"/>
                <w:sz w:val="21"/>
                <w:highlight w:val="none"/>
                <w:lang w:eastAsia="zh-CN"/>
              </w:rPr>
              <w:t>成交供应商</w:t>
            </w:r>
            <w:r>
              <w:rPr>
                <w:rFonts w:hint="eastAsia" w:hAnsi="宋体" w:cs="宋体"/>
                <w:b/>
                <w:color w:val="auto"/>
                <w:sz w:val="21"/>
                <w:highlight w:val="none"/>
              </w:rPr>
              <w:t>支付。</w:t>
            </w:r>
            <w:r>
              <w:rPr>
                <w:rFonts w:hint="eastAsia" w:hAnsi="宋体" w:cs="宋体"/>
                <w:b/>
                <w:color w:val="auto"/>
                <w:sz w:val="21"/>
                <w:highlight w:val="none"/>
                <w:lang w:eastAsia="zh-CN"/>
              </w:rPr>
              <w:t>供应商</w:t>
            </w:r>
            <w:r>
              <w:rPr>
                <w:rFonts w:hint="eastAsia" w:hAnsi="宋体" w:cs="宋体"/>
                <w:b/>
                <w:color w:val="auto"/>
                <w:sz w:val="21"/>
                <w:highlight w:val="none"/>
              </w:rPr>
              <w:t>在投标报价时自行考虑。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266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hAnsi="宋体" w:cs="仿宋"/>
                <w:b/>
                <w:color w:val="auto"/>
                <w:sz w:val="21"/>
                <w:highlight w:val="none"/>
              </w:rPr>
            </w:pPr>
            <w:r>
              <w:rPr>
                <w:rFonts w:hint="eastAsia" w:hAnsi="宋体" w:cs="仿宋"/>
                <w:b/>
                <w:color w:val="auto"/>
                <w:sz w:val="21"/>
                <w:highlight w:val="none"/>
              </w:rPr>
              <w:t>培训</w:t>
            </w:r>
          </w:p>
        </w:tc>
        <w:tc>
          <w:tcPr>
            <w:tcW w:w="75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16" w:firstLine="420" w:firstLineChars="200"/>
              <w:jc w:val="both"/>
              <w:rPr>
                <w:rFonts w:hint="eastAsia" w:hAnsi="宋体" w:cs="仿宋"/>
                <w:color w:val="auto"/>
                <w:sz w:val="21"/>
                <w:highlight w:val="none"/>
              </w:rPr>
            </w:pPr>
            <w:r>
              <w:rPr>
                <w:rFonts w:hint="eastAsia" w:hAnsi="宋体" w:cs="仿宋"/>
                <w:color w:val="auto"/>
                <w:sz w:val="21"/>
                <w:highlight w:val="none"/>
                <w:lang w:eastAsia="zh-CN"/>
              </w:rPr>
              <w:t>成交供应商</w:t>
            </w:r>
            <w:r>
              <w:rPr>
                <w:rFonts w:hint="eastAsia" w:hAnsi="宋体" w:cs="仿宋"/>
                <w:color w:val="auto"/>
                <w:sz w:val="21"/>
                <w:highlight w:val="none"/>
              </w:rPr>
              <w:t>负责采购人有关人员的培训，保证采购人有关人员能熟练、独立掌握货物的基本操作技能及运行原理。培训时间、地点、方式由采购人指定，所有培训涉及的费用均由</w:t>
            </w:r>
            <w:r>
              <w:rPr>
                <w:rFonts w:hint="eastAsia" w:hAnsi="宋体" w:cs="仿宋"/>
                <w:color w:val="auto"/>
                <w:sz w:val="21"/>
                <w:highlight w:val="none"/>
                <w:lang w:eastAsia="zh-CN"/>
              </w:rPr>
              <w:t>成交供应商</w:t>
            </w:r>
            <w:r>
              <w:rPr>
                <w:rFonts w:hint="eastAsia" w:hAnsi="宋体" w:cs="仿宋"/>
                <w:color w:val="auto"/>
                <w:sz w:val="21"/>
                <w:highlight w:val="none"/>
              </w:rPr>
              <w:t>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266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hAnsi="宋体" w:cs="仿宋"/>
                <w:b/>
                <w:color w:val="auto"/>
                <w:sz w:val="21"/>
                <w:highlight w:val="none"/>
              </w:rPr>
            </w:pPr>
            <w:r>
              <w:rPr>
                <w:rFonts w:hint="eastAsia" w:hAnsi="宋体" w:cs="仿宋"/>
                <w:b/>
                <w:color w:val="auto"/>
                <w:sz w:val="21"/>
                <w:highlight w:val="none"/>
              </w:rPr>
              <w:t>付款方式</w:t>
            </w:r>
          </w:p>
        </w:tc>
        <w:tc>
          <w:tcPr>
            <w:tcW w:w="75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rPr>
                <w:rFonts w:hint="eastAsia" w:hAnsi="宋体" w:cs="仿宋"/>
                <w:b/>
                <w:bCs/>
                <w:color w:val="auto"/>
                <w:sz w:val="21"/>
                <w:highlight w:val="none"/>
              </w:rPr>
            </w:pPr>
            <w:r>
              <w:rPr>
                <w:rFonts w:hint="eastAsia" w:hAnsi="宋体" w:cs="宋体"/>
                <w:bCs/>
                <w:color w:val="auto"/>
                <w:kern w:val="0"/>
                <w:sz w:val="21"/>
                <w:highlight w:val="none"/>
              </w:rPr>
              <w:t>合同签订之日起</w:t>
            </w:r>
            <w:r>
              <w:rPr>
                <w:rFonts w:hint="eastAsia" w:hAnsi="宋体" w:cs="宋体"/>
                <w:bCs/>
                <w:color w:val="auto"/>
                <w:kern w:val="0"/>
                <w:sz w:val="21"/>
                <w:highlight w:val="none"/>
                <w:lang w:val="en-US" w:eastAsia="zh-CN"/>
              </w:rPr>
              <w:t>5</w:t>
            </w:r>
            <w:r>
              <w:rPr>
                <w:rFonts w:hint="eastAsia" w:hAnsi="宋体" w:cs="宋体"/>
                <w:bCs/>
                <w:color w:val="auto"/>
                <w:kern w:val="0"/>
                <w:sz w:val="21"/>
                <w:highlight w:val="none"/>
              </w:rPr>
              <w:t>个工作日内采购人支付合同金额的</w:t>
            </w:r>
            <w:r>
              <w:rPr>
                <w:rFonts w:hint="eastAsia" w:hAnsi="宋体" w:cs="宋体"/>
                <w:bCs/>
                <w:color w:val="auto"/>
                <w:kern w:val="0"/>
                <w:sz w:val="21"/>
                <w:highlight w:val="none"/>
                <w:lang w:val="en-US" w:eastAsia="zh-CN"/>
              </w:rPr>
              <w:t>5</w:t>
            </w:r>
            <w:r>
              <w:rPr>
                <w:rFonts w:hint="eastAsia" w:hAnsi="宋体" w:cs="宋体"/>
                <w:bCs/>
                <w:color w:val="auto"/>
                <w:kern w:val="0"/>
                <w:sz w:val="21"/>
                <w:highlight w:val="none"/>
              </w:rPr>
              <w:t>0%，合同货物运抵</w:t>
            </w:r>
            <w:r>
              <w:rPr>
                <w:rFonts w:hint="eastAsia" w:hAnsi="宋体" w:cs="宋体"/>
                <w:bCs/>
                <w:color w:val="auto"/>
                <w:kern w:val="0"/>
                <w:sz w:val="21"/>
                <w:highlight w:val="none"/>
                <w:lang w:val="en-US" w:eastAsia="zh-CN"/>
              </w:rPr>
              <w:t>项目实施</w:t>
            </w:r>
            <w:r>
              <w:rPr>
                <w:rFonts w:hint="eastAsia" w:hAnsi="宋体" w:cs="宋体"/>
                <w:bCs/>
                <w:color w:val="auto"/>
                <w:kern w:val="0"/>
                <w:sz w:val="21"/>
                <w:highlight w:val="none"/>
              </w:rPr>
              <w:t>现场，采购人按合同中的供货一览表对货物的产品名称、商标品牌、规格型号、生产厂家、数量及单位进行初次验收，验收无误后1</w:t>
            </w:r>
            <w:r>
              <w:rPr>
                <w:rFonts w:hint="eastAsia" w:hAnsi="宋体" w:cs="宋体"/>
                <w:bCs/>
                <w:color w:val="auto"/>
                <w:kern w:val="0"/>
                <w:sz w:val="21"/>
                <w:highlight w:val="none"/>
                <w:lang w:val="en-US" w:eastAsia="zh-CN"/>
              </w:rPr>
              <w:t>0</w:t>
            </w:r>
            <w:r>
              <w:rPr>
                <w:rFonts w:hint="eastAsia" w:hAnsi="宋体" w:cs="宋体"/>
                <w:bCs/>
                <w:color w:val="auto"/>
                <w:kern w:val="0"/>
                <w:sz w:val="21"/>
                <w:highlight w:val="none"/>
              </w:rPr>
              <w:t>个工作日内，</w:t>
            </w:r>
            <w:r>
              <w:rPr>
                <w:rFonts w:hint="eastAsia" w:hAnsi="宋体" w:cs="宋体"/>
                <w:bCs/>
                <w:color w:val="auto"/>
                <w:kern w:val="0"/>
                <w:sz w:val="21"/>
                <w:highlight w:val="none"/>
                <w:lang w:eastAsia="zh-CN"/>
              </w:rPr>
              <w:t>成交供应商</w:t>
            </w:r>
            <w:r>
              <w:rPr>
                <w:rFonts w:hint="eastAsia" w:hAnsi="宋体" w:cs="宋体"/>
                <w:bCs/>
                <w:color w:val="auto"/>
                <w:kern w:val="0"/>
                <w:sz w:val="21"/>
                <w:highlight w:val="none"/>
              </w:rPr>
              <w:t>开具所验收货物全款价的发票给采购人，采购人向</w:t>
            </w:r>
            <w:r>
              <w:rPr>
                <w:rFonts w:hint="eastAsia" w:hAnsi="宋体" w:cs="宋体"/>
                <w:bCs/>
                <w:color w:val="auto"/>
                <w:kern w:val="0"/>
                <w:sz w:val="21"/>
                <w:highlight w:val="none"/>
                <w:lang w:eastAsia="zh-CN"/>
              </w:rPr>
              <w:t>成交供应商</w:t>
            </w:r>
            <w:r>
              <w:rPr>
                <w:rFonts w:hint="eastAsia" w:hAnsi="宋体" w:cs="宋体"/>
                <w:bCs/>
                <w:color w:val="auto"/>
                <w:kern w:val="0"/>
                <w:sz w:val="21"/>
                <w:highlight w:val="none"/>
              </w:rPr>
              <w:t>支付</w:t>
            </w:r>
            <w:r>
              <w:rPr>
                <w:rFonts w:hint="eastAsia" w:hAnsi="宋体" w:cs="宋体"/>
                <w:bCs/>
                <w:color w:val="auto"/>
                <w:kern w:val="0"/>
                <w:sz w:val="21"/>
                <w:highlight w:val="none"/>
                <w:lang w:val="en-US" w:eastAsia="zh-CN"/>
              </w:rPr>
              <w:t>合同金额的30%</w:t>
            </w:r>
            <w:r>
              <w:rPr>
                <w:rFonts w:hint="eastAsia" w:hAnsi="宋体" w:cs="宋体"/>
                <w:bCs/>
                <w:color w:val="auto"/>
                <w:kern w:val="0"/>
                <w:sz w:val="21"/>
                <w:highlight w:val="none"/>
              </w:rPr>
              <w:t>；全部货物安装、调试完毕，验收合格交付使用后，采购人支付合同价款剩余的部分。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266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7" w:leftChars="-51" w:firstLine="126" w:firstLineChars="60"/>
              <w:jc w:val="center"/>
              <w:rPr>
                <w:rFonts w:hAnsi="宋体"/>
                <w:b/>
                <w:color w:val="auto"/>
                <w:sz w:val="21"/>
                <w:highlight w:val="none"/>
              </w:rPr>
            </w:pPr>
            <w:r>
              <w:rPr>
                <w:rFonts w:hint="eastAsia" w:hAnsi="宋体"/>
                <w:b/>
                <w:color w:val="auto"/>
                <w:sz w:val="21"/>
                <w:highlight w:val="none"/>
              </w:rPr>
              <w:t>签订合同日期</w:t>
            </w:r>
          </w:p>
        </w:tc>
        <w:tc>
          <w:tcPr>
            <w:tcW w:w="75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rPr>
                <w:rFonts w:hAnsi="宋体"/>
                <w:color w:val="auto"/>
                <w:sz w:val="21"/>
                <w:highlight w:val="none"/>
              </w:rPr>
            </w:pPr>
            <w:r>
              <w:rPr>
                <w:rFonts w:hint="eastAsia" w:hAnsi="宋体"/>
                <w:color w:val="auto"/>
                <w:sz w:val="21"/>
                <w:highlight w:val="none"/>
              </w:rPr>
              <w:t>自</w:t>
            </w:r>
            <w:r>
              <w:rPr>
                <w:rFonts w:hint="eastAsia" w:hAnsi="宋体"/>
                <w:color w:val="auto"/>
                <w:kern w:val="0"/>
                <w:sz w:val="21"/>
                <w:highlight w:val="none"/>
              </w:rPr>
              <w:t>中标通知书</w:t>
            </w:r>
            <w:r>
              <w:rPr>
                <w:rFonts w:hint="eastAsia" w:hAnsi="宋体"/>
                <w:color w:val="auto"/>
                <w:sz w:val="21"/>
                <w:highlight w:val="none"/>
              </w:rPr>
              <w:t>发出之日起</w:t>
            </w:r>
            <w:r>
              <w:rPr>
                <w:rFonts w:hAnsi="宋体"/>
                <w:color w:val="auto"/>
                <w:sz w:val="21"/>
                <w:highlight w:val="none"/>
              </w:rPr>
              <w:t>25</w:t>
            </w:r>
            <w:r>
              <w:rPr>
                <w:rFonts w:hint="eastAsia" w:hAnsi="宋体"/>
                <w:color w:val="auto"/>
                <w:sz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2668" w:type="dxa"/>
            <w:gridSpan w:val="3"/>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int="eastAsia" w:hAnsi="宋体"/>
                <w:b/>
                <w:bCs/>
                <w:color w:val="auto"/>
                <w:sz w:val="21"/>
                <w:highlight w:val="none"/>
              </w:rPr>
            </w:pPr>
            <w:r>
              <w:rPr>
                <w:rFonts w:hint="eastAsia" w:hAnsi="宋体"/>
                <w:b/>
                <w:bCs/>
                <w:color w:val="auto"/>
                <w:sz w:val="21"/>
                <w:highlight w:val="none"/>
              </w:rPr>
              <w:t>包装方式</w:t>
            </w:r>
          </w:p>
        </w:tc>
        <w:tc>
          <w:tcPr>
            <w:tcW w:w="75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按产品出厂时的包装。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2668" w:type="dxa"/>
            <w:gridSpan w:val="3"/>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int="eastAsia" w:hAnsi="宋体"/>
                <w:b/>
                <w:bCs/>
                <w:color w:val="auto"/>
                <w:sz w:val="21"/>
                <w:highlight w:val="none"/>
              </w:rPr>
            </w:pPr>
            <w:r>
              <w:rPr>
                <w:rFonts w:hint="eastAsia" w:hAnsi="宋体"/>
                <w:b/>
                <w:bCs/>
                <w:color w:val="auto"/>
                <w:sz w:val="21"/>
                <w:highlight w:val="none"/>
              </w:rPr>
              <w:t>运输方式</w:t>
            </w:r>
          </w:p>
        </w:tc>
        <w:tc>
          <w:tcPr>
            <w:tcW w:w="75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2668" w:type="dxa"/>
            <w:gridSpan w:val="3"/>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int="eastAsia" w:hAnsi="宋体"/>
                <w:b/>
                <w:bCs/>
                <w:color w:val="auto"/>
                <w:sz w:val="21"/>
                <w:highlight w:val="none"/>
              </w:rPr>
            </w:pPr>
            <w:r>
              <w:rPr>
                <w:rFonts w:hint="eastAsia" w:hAnsi="宋体"/>
                <w:b/>
                <w:bCs/>
                <w:color w:val="auto"/>
                <w:sz w:val="21"/>
                <w:highlight w:val="none"/>
              </w:rPr>
              <w:t>其他要求</w:t>
            </w:r>
          </w:p>
        </w:tc>
        <w:tc>
          <w:tcPr>
            <w:tcW w:w="75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rPr>
                <w:rFonts w:hint="eastAsia" w:ascii="宋体" w:hAnsi="宋体" w:eastAsia="宋体" w:cs="宋体"/>
                <w:bCs/>
                <w:color w:val="auto"/>
                <w:kern w:val="0"/>
                <w:sz w:val="21"/>
                <w:highlight w:val="none"/>
              </w:rPr>
            </w:pPr>
            <w:r>
              <w:rPr>
                <w:rFonts w:hint="eastAsia" w:ascii="宋体" w:hAnsi="宋体" w:eastAsia="宋体" w:cs="宋体"/>
                <w:bCs/>
                <w:color w:val="auto"/>
                <w:kern w:val="0"/>
                <w:sz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198"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hAnsi="宋体"/>
                <w:color w:val="auto"/>
                <w:kern w:val="0"/>
                <w:sz w:val="21"/>
                <w:highlight w:val="none"/>
              </w:rPr>
            </w:pPr>
            <w:r>
              <w:rPr>
                <w:rFonts w:hint="eastAsia" w:hAnsi="宋体"/>
                <w:b/>
                <w:color w:val="auto"/>
                <w:kern w:val="0"/>
                <w:sz w:val="21"/>
                <w:highlight w:val="none"/>
              </w:rPr>
              <w:t>四、</w:t>
            </w:r>
            <w:r>
              <w:rPr>
                <w:rFonts w:hint="eastAsia" w:hAnsi="宋体"/>
                <w:b/>
                <w:color w:val="auto"/>
                <w:kern w:val="0"/>
                <w:sz w:val="21"/>
                <w:highlight w:val="none"/>
                <w:lang w:eastAsia="zh-CN"/>
              </w:rPr>
              <w:t>供应商</w:t>
            </w:r>
            <w:r>
              <w:rPr>
                <w:rFonts w:hint="eastAsia" w:hAnsi="宋体"/>
                <w:b/>
                <w:color w:val="auto"/>
                <w:kern w:val="0"/>
                <w:sz w:val="21"/>
                <w:highlight w:val="none"/>
              </w:rPr>
              <w:t>的履约能力要求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68" w:type="dxa"/>
            <w:gridSpan w:val="3"/>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int="eastAsia" w:hAnsi="宋体"/>
                <w:b/>
                <w:color w:val="auto"/>
                <w:sz w:val="21"/>
                <w:highlight w:val="none"/>
              </w:rPr>
            </w:pPr>
            <w:r>
              <w:rPr>
                <w:rFonts w:hint="eastAsia" w:hAnsi="宋体"/>
                <w:b/>
                <w:bCs/>
                <w:color w:val="auto"/>
                <w:sz w:val="21"/>
                <w:highlight w:val="none"/>
              </w:rPr>
              <w:t>质量管理、企业信用要求</w:t>
            </w:r>
          </w:p>
        </w:tc>
        <w:tc>
          <w:tcPr>
            <w:tcW w:w="75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1.</w:t>
            </w:r>
            <w:r>
              <w:rPr>
                <w:rFonts w:hint="eastAsia" w:hAnsi="宋体"/>
                <w:color w:val="auto"/>
                <w:kern w:val="0"/>
                <w:sz w:val="21"/>
                <w:highlight w:val="none"/>
                <w:lang w:eastAsia="zh-CN"/>
              </w:rPr>
              <w:t>供应商</w:t>
            </w:r>
            <w:r>
              <w:rPr>
                <w:rFonts w:hint="eastAsia" w:hAnsi="宋体"/>
                <w:color w:val="auto"/>
                <w:kern w:val="0"/>
                <w:sz w:val="21"/>
                <w:highlight w:val="none"/>
              </w:rPr>
              <w:t>无任何违法、违规、质量安全事故、履约不良等行为反映或记录；</w:t>
            </w:r>
          </w:p>
          <w:p>
            <w:pPr>
              <w:snapToGrid w:val="0"/>
              <w:spacing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2.</w:t>
            </w:r>
            <w:r>
              <w:rPr>
                <w:rFonts w:hint="eastAsia" w:hAnsi="宋体"/>
                <w:color w:val="auto"/>
                <w:kern w:val="0"/>
                <w:sz w:val="21"/>
                <w:highlight w:val="none"/>
                <w:lang w:eastAsia="zh-CN"/>
              </w:rPr>
              <w:t>供应商</w:t>
            </w:r>
            <w:r>
              <w:rPr>
                <w:rFonts w:hint="eastAsia" w:hAnsi="宋体"/>
                <w:color w:val="auto"/>
                <w:kern w:val="0"/>
                <w:sz w:val="21"/>
                <w:highlight w:val="none"/>
              </w:rPr>
              <w:t>无自身原因违约或不恰当履行合同引起的终止、纠纷、争议、仲裁、和诉讼记录；</w:t>
            </w:r>
          </w:p>
          <w:p>
            <w:pPr>
              <w:snapToGrid w:val="0"/>
              <w:spacing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3.</w:t>
            </w:r>
            <w:r>
              <w:rPr>
                <w:rFonts w:hint="eastAsia" w:hAnsi="宋体"/>
                <w:color w:val="auto"/>
                <w:kern w:val="0"/>
                <w:sz w:val="21"/>
                <w:highlight w:val="none"/>
                <w:lang w:eastAsia="zh-CN"/>
              </w:rPr>
              <w:t>供应商</w:t>
            </w:r>
            <w:r>
              <w:rPr>
                <w:rFonts w:hint="eastAsia" w:hAnsi="宋体"/>
                <w:color w:val="auto"/>
                <w:kern w:val="0"/>
                <w:sz w:val="21"/>
                <w:highlight w:val="none"/>
              </w:rPr>
              <w:t>无被责令停业或暂停、取消投标资格，无经济方面犯罪或严重违法记录；</w:t>
            </w:r>
          </w:p>
          <w:p>
            <w:pPr>
              <w:snapToGrid w:val="0"/>
              <w:spacing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4.</w:t>
            </w:r>
            <w:r>
              <w:rPr>
                <w:rFonts w:hint="eastAsia" w:hAnsi="宋体"/>
                <w:color w:val="auto"/>
                <w:kern w:val="0"/>
                <w:sz w:val="21"/>
                <w:highlight w:val="none"/>
                <w:lang w:eastAsia="zh-CN"/>
              </w:rPr>
              <w:t>供应商</w:t>
            </w:r>
            <w:r>
              <w:rPr>
                <w:rFonts w:hint="eastAsia" w:hAnsi="宋体"/>
                <w:color w:val="auto"/>
                <w:kern w:val="0"/>
                <w:sz w:val="21"/>
                <w:highlight w:val="none"/>
              </w:rPr>
              <w:t>无被国家工商或质量监督部门年检或抽检不合格或复查未通过问题；</w:t>
            </w:r>
          </w:p>
          <w:p>
            <w:pPr>
              <w:snapToGrid w:val="0"/>
              <w:spacing w:line="360" w:lineRule="auto"/>
              <w:ind w:firstLine="420" w:firstLineChars="200"/>
              <w:rPr>
                <w:rFonts w:hint="eastAsia" w:hAnsi="宋体"/>
                <w:bCs/>
                <w:color w:val="auto"/>
                <w:sz w:val="21"/>
                <w:highlight w:val="none"/>
              </w:rPr>
            </w:pPr>
            <w:r>
              <w:rPr>
                <w:rFonts w:hint="eastAsia" w:hAnsi="宋体"/>
                <w:color w:val="auto"/>
                <w:kern w:val="0"/>
                <w:sz w:val="21"/>
                <w:highlight w:val="none"/>
              </w:rPr>
              <w:t>5.</w:t>
            </w:r>
            <w:r>
              <w:rPr>
                <w:rFonts w:hint="eastAsia" w:hAnsi="宋体"/>
                <w:color w:val="auto"/>
                <w:kern w:val="0"/>
                <w:sz w:val="21"/>
                <w:highlight w:val="none"/>
                <w:lang w:eastAsia="zh-CN"/>
              </w:rPr>
              <w:t>供应商</w:t>
            </w:r>
            <w:r>
              <w:rPr>
                <w:rFonts w:hint="eastAsia" w:hAnsi="宋体"/>
                <w:color w:val="auto"/>
                <w:kern w:val="0"/>
                <w:sz w:val="21"/>
                <w:highlight w:val="none"/>
              </w:rPr>
              <w:t>或投标产品</w:t>
            </w:r>
            <w:r>
              <w:rPr>
                <w:rFonts w:hint="eastAsia" w:hAnsi="宋体"/>
                <w:bCs/>
                <w:color w:val="auto"/>
                <w:sz w:val="21"/>
                <w:highlight w:val="none"/>
              </w:rPr>
              <w:t>无信用不良而处于禁止或取消投标、采购情形。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668" w:type="dxa"/>
            <w:gridSpan w:val="3"/>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int="eastAsia" w:hAnsi="宋体"/>
                <w:b/>
                <w:bCs/>
                <w:color w:val="auto"/>
                <w:sz w:val="21"/>
                <w:highlight w:val="none"/>
              </w:rPr>
            </w:pPr>
            <w:r>
              <w:rPr>
                <w:rFonts w:hint="eastAsia" w:hAnsi="宋体"/>
                <w:b/>
                <w:bCs/>
                <w:color w:val="auto"/>
                <w:sz w:val="21"/>
                <w:highlight w:val="none"/>
              </w:rPr>
              <w:t>能力或业绩及其他要求</w:t>
            </w:r>
          </w:p>
        </w:tc>
        <w:tc>
          <w:tcPr>
            <w:tcW w:w="75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rPr>
                <w:rFonts w:hint="eastAsia" w:hAnsi="宋体" w:cs="宋体"/>
                <w:color w:val="auto"/>
                <w:sz w:val="21"/>
                <w:highlight w:val="none"/>
                <w:lang w:bidi="ar"/>
              </w:rPr>
            </w:pPr>
            <w:r>
              <w:rPr>
                <w:rFonts w:hint="eastAsia" w:hAnsi="宋体"/>
                <w:color w:val="auto"/>
                <w:kern w:val="0"/>
                <w:sz w:val="21"/>
                <w:highlight w:val="none"/>
              </w:rPr>
              <w:t>1</w:t>
            </w:r>
            <w:r>
              <w:rPr>
                <w:rFonts w:hAnsi="宋体"/>
                <w:color w:val="auto"/>
                <w:kern w:val="0"/>
                <w:sz w:val="21"/>
                <w:highlight w:val="none"/>
              </w:rPr>
              <w:t>.</w:t>
            </w:r>
            <w:r>
              <w:rPr>
                <w:rFonts w:hint="eastAsia" w:hAnsi="宋体"/>
                <w:color w:val="auto"/>
                <w:kern w:val="0"/>
                <w:sz w:val="21"/>
                <w:highlight w:val="none"/>
                <w:lang w:eastAsia="zh-CN"/>
              </w:rPr>
              <w:t>供应商</w:t>
            </w:r>
            <w:r>
              <w:rPr>
                <w:rStyle w:val="74"/>
                <w:rFonts w:hint="default"/>
                <w:color w:val="auto"/>
                <w:sz w:val="21"/>
                <w:szCs w:val="21"/>
                <w:highlight w:val="none"/>
                <w:lang w:bidi="ar"/>
              </w:rPr>
              <w:t>具备履行本项目合同的能力。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0198"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color w:val="auto"/>
                <w:kern w:val="0"/>
                <w:sz w:val="21"/>
                <w:highlight w:val="none"/>
              </w:rPr>
            </w:pPr>
            <w:r>
              <w:rPr>
                <w:rFonts w:hint="eastAsia" w:ascii="宋体" w:hAnsi="宋体" w:eastAsia="宋体" w:cs="Times New Roman"/>
                <w:b/>
                <w:color w:val="auto"/>
                <w:kern w:val="0"/>
                <w:sz w:val="21"/>
                <w:highlight w:val="none"/>
              </w:rPr>
              <w:t>五、项目的特殊要求及说明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668" w:type="dxa"/>
            <w:gridSpan w:val="3"/>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int="eastAsia" w:ascii="宋体" w:hAnsi="宋体" w:eastAsia="宋体" w:cs="Times New Roman"/>
                <w:b/>
                <w:bCs/>
                <w:color w:val="auto"/>
                <w:sz w:val="21"/>
                <w:highlight w:val="none"/>
              </w:rPr>
            </w:pPr>
            <w:r>
              <w:rPr>
                <w:rFonts w:hint="eastAsia" w:ascii="宋体" w:hAnsi="宋体" w:eastAsia="宋体" w:cs="Times New Roman"/>
                <w:b/>
                <w:bCs/>
                <w:color w:val="auto"/>
                <w:sz w:val="21"/>
                <w:highlight w:val="none"/>
              </w:rPr>
              <w:t>核心产品</w:t>
            </w:r>
          </w:p>
        </w:tc>
        <w:tc>
          <w:tcPr>
            <w:tcW w:w="75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2" w:firstLineChars="200"/>
              <w:rPr>
                <w:rFonts w:hint="eastAsia" w:hAnsi="宋体"/>
                <w:color w:val="auto"/>
                <w:kern w:val="0"/>
                <w:sz w:val="21"/>
                <w:highlight w:val="none"/>
              </w:rPr>
            </w:pPr>
            <w:r>
              <w:rPr>
                <w:rFonts w:hint="eastAsia" w:hAnsi="宋体" w:cs="宋体"/>
                <w:b/>
                <w:bCs/>
                <w:color w:val="auto"/>
                <w:kern w:val="0"/>
                <w:sz w:val="21"/>
                <w:highlight w:val="none"/>
              </w:rPr>
              <w:t>本项目项号</w:t>
            </w:r>
            <w:r>
              <w:rPr>
                <w:rFonts w:hint="eastAsia" w:hAnsi="宋体" w:cs="宋体"/>
                <w:b/>
                <w:bCs/>
                <w:color w:val="auto"/>
                <w:kern w:val="0"/>
                <w:sz w:val="21"/>
                <w:highlight w:val="none"/>
                <w:lang w:val="en-US" w:eastAsia="zh-CN"/>
              </w:rPr>
              <w:t>90</w:t>
            </w:r>
            <w:r>
              <w:rPr>
                <w:rFonts w:hint="eastAsia" w:hAnsi="宋体" w:cs="宋体"/>
                <w:b/>
                <w:bCs/>
                <w:color w:val="auto"/>
                <w:kern w:val="0"/>
                <w:sz w:val="21"/>
                <w:highlight w:val="none"/>
              </w:rPr>
              <w:t>“</w:t>
            </w:r>
            <w:r>
              <w:rPr>
                <w:rFonts w:hint="eastAsia" w:hAnsi="宋体" w:cs="宋体"/>
                <w:b/>
                <w:bCs/>
                <w:color w:val="auto"/>
                <w:kern w:val="0"/>
                <w:sz w:val="21"/>
                <w:highlight w:val="none"/>
                <w:lang w:val="en-US" w:eastAsia="zh-CN"/>
              </w:rPr>
              <w:t>陶社工作操作区</w:t>
            </w:r>
            <w:r>
              <w:rPr>
                <w:rFonts w:hint="eastAsia" w:hAnsi="宋体" w:cs="宋体"/>
                <w:b/>
                <w:bCs/>
                <w:color w:val="auto"/>
                <w:kern w:val="0"/>
                <w:sz w:val="21"/>
                <w:highlight w:val="none"/>
              </w:rPr>
              <w:t>”为核心产品</w:t>
            </w:r>
            <w:r>
              <w:rPr>
                <w:rFonts w:hint="eastAsia" w:hAnsi="宋体" w:cs="宋体"/>
                <w:b/>
                <w:bCs/>
                <w:color w:val="auto"/>
                <w:kern w:val="0"/>
                <w:sz w:val="21"/>
                <w:highlight w:val="none"/>
              </w:rPr>
              <w:t>，</w:t>
            </w:r>
            <w:r>
              <w:rPr>
                <w:rFonts w:hint="eastAsia" w:hAnsi="宋体" w:cs="宋体"/>
                <w:color w:val="auto"/>
                <w:kern w:val="0"/>
                <w:sz w:val="21"/>
                <w:highlight w:val="none"/>
              </w:rPr>
              <w:t>提供相同品牌产品且通过资格审查、符合性审查的不同</w:t>
            </w:r>
            <w:r>
              <w:rPr>
                <w:rFonts w:hint="eastAsia" w:hAnsi="宋体" w:cs="宋体"/>
                <w:color w:val="auto"/>
                <w:kern w:val="0"/>
                <w:sz w:val="21"/>
                <w:highlight w:val="none"/>
                <w:lang w:eastAsia="zh-CN"/>
              </w:rPr>
              <w:t>供应商</w:t>
            </w:r>
            <w:r>
              <w:rPr>
                <w:rFonts w:hint="eastAsia" w:hAnsi="宋体" w:cs="宋体"/>
                <w:color w:val="auto"/>
                <w:kern w:val="0"/>
                <w:sz w:val="21"/>
                <w:highlight w:val="none"/>
              </w:rPr>
              <w:t>参加同一合同项下投标的，按一家</w:t>
            </w:r>
            <w:r>
              <w:rPr>
                <w:rFonts w:hint="eastAsia" w:hAnsi="宋体" w:cs="宋体"/>
                <w:color w:val="auto"/>
                <w:kern w:val="0"/>
                <w:sz w:val="21"/>
                <w:highlight w:val="none"/>
                <w:lang w:eastAsia="zh-CN"/>
              </w:rPr>
              <w:t>供应商</w:t>
            </w:r>
            <w:r>
              <w:rPr>
                <w:rFonts w:hint="eastAsia" w:hAnsi="宋体" w:cs="宋体"/>
                <w:color w:val="auto"/>
                <w:kern w:val="0"/>
                <w:sz w:val="21"/>
                <w:highlight w:val="none"/>
              </w:rPr>
              <w:t>计算，评审后得分最高的同品牌</w:t>
            </w:r>
            <w:r>
              <w:rPr>
                <w:rFonts w:hint="eastAsia" w:hAnsi="宋体" w:cs="宋体"/>
                <w:color w:val="auto"/>
                <w:kern w:val="0"/>
                <w:sz w:val="21"/>
                <w:highlight w:val="none"/>
                <w:lang w:eastAsia="zh-CN"/>
              </w:rPr>
              <w:t>供应商</w:t>
            </w:r>
            <w:r>
              <w:rPr>
                <w:rFonts w:hint="eastAsia" w:hAnsi="宋体" w:cs="宋体"/>
                <w:color w:val="auto"/>
                <w:kern w:val="0"/>
                <w:sz w:val="21"/>
                <w:highlight w:val="none"/>
              </w:rPr>
              <w:t>获得中标人推荐资格；评审得分相同的，由采购人或者采购人委托评标委员会采取随机抽取方式确定一个</w:t>
            </w:r>
            <w:r>
              <w:rPr>
                <w:rFonts w:hint="eastAsia" w:hAnsi="宋体" w:cs="宋体"/>
                <w:color w:val="auto"/>
                <w:kern w:val="0"/>
                <w:sz w:val="21"/>
                <w:highlight w:val="none"/>
                <w:lang w:eastAsia="zh-CN"/>
              </w:rPr>
              <w:t>供应商</w:t>
            </w:r>
            <w:r>
              <w:rPr>
                <w:rFonts w:hint="eastAsia" w:hAnsi="宋体" w:cs="宋体"/>
                <w:color w:val="auto"/>
                <w:kern w:val="0"/>
                <w:sz w:val="21"/>
                <w:highlight w:val="none"/>
              </w:rPr>
              <w:t>获得</w:t>
            </w:r>
            <w:r>
              <w:rPr>
                <w:rFonts w:hint="eastAsia" w:hAnsi="宋体" w:cs="宋体"/>
                <w:color w:val="auto"/>
                <w:kern w:val="0"/>
                <w:sz w:val="21"/>
                <w:highlight w:val="none"/>
                <w:lang w:eastAsia="zh-CN"/>
              </w:rPr>
              <w:t>成交供应商</w:t>
            </w:r>
            <w:r>
              <w:rPr>
                <w:rFonts w:hint="eastAsia" w:hAnsi="宋体" w:cs="宋体"/>
                <w:color w:val="auto"/>
                <w:kern w:val="0"/>
                <w:sz w:val="21"/>
                <w:highlight w:val="none"/>
              </w:rPr>
              <w:t>推荐资格。</w:t>
            </w:r>
          </w:p>
        </w:tc>
      </w:tr>
    </w:tbl>
    <w:p>
      <w:pPr>
        <w:spacing w:line="360" w:lineRule="exact"/>
        <w:ind w:firstLine="422" w:firstLineChars="200"/>
        <w:rPr>
          <w:rFonts w:hint="eastAsia" w:ascii="宋体" w:hAnsi="宋体" w:cs="宋体"/>
          <w:b/>
          <w:color w:val="auto"/>
          <w:szCs w:val="21"/>
          <w:highlight w:val="none"/>
        </w:rPr>
      </w:pPr>
    </w:p>
    <w:p>
      <w:pPr>
        <w:spacing w:line="360" w:lineRule="exact"/>
        <w:ind w:firstLine="422" w:firstLineChars="200"/>
        <w:rPr>
          <w:rFonts w:hint="eastAsia" w:ascii="宋体" w:hAnsi="宋体" w:cs="宋体"/>
          <w:b/>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2"/>
        <w:rPr>
          <w:rFonts w:hint="eastAsia" w:ascii="Arial Unicode MS" w:hAnsi="Arial Unicode MS" w:eastAsia="Arial Unicode MS" w:cs="Arial Unicode MS"/>
          <w:color w:val="auto"/>
          <w:sz w:val="28"/>
          <w:szCs w:val="28"/>
          <w:highlight w:val="none"/>
        </w:rPr>
      </w:pPr>
      <w:r>
        <w:rPr>
          <w:rFonts w:hint="eastAsia" w:ascii="微软雅黑" w:hAnsi="微软雅黑" w:eastAsia="微软雅黑" w:cs="微软雅黑"/>
          <w:color w:val="auto"/>
          <w:sz w:val="28"/>
          <w:szCs w:val="28"/>
          <w:highlight w:val="none"/>
        </w:rPr>
        <w:t>附件</w:t>
      </w:r>
      <w:r>
        <w:rPr>
          <w:rFonts w:hint="eastAsia" w:ascii="Arial Unicode MS" w:hAnsi="Arial Unicode MS" w:eastAsia="Arial Unicode MS" w:cs="Arial Unicode MS"/>
          <w:color w:val="auto"/>
          <w:sz w:val="28"/>
          <w:szCs w:val="28"/>
          <w:highlight w:val="none"/>
        </w:rPr>
        <w:t>1</w:t>
      </w:r>
      <w:r>
        <w:rPr>
          <w:rFonts w:hint="eastAsia" w:ascii="微软雅黑" w:hAnsi="微软雅黑" w:eastAsia="微软雅黑" w:cs="微软雅黑"/>
          <w:color w:val="auto"/>
          <w:sz w:val="28"/>
          <w:szCs w:val="28"/>
          <w:highlight w:val="none"/>
        </w:rPr>
        <w:t>：</w:t>
      </w:r>
    </w:p>
    <w:p>
      <w:pPr>
        <w:spacing w:line="528" w:lineRule="exact"/>
        <w:ind w:left="1871"/>
        <w:rPr>
          <w:rFonts w:hint="eastAsia"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37"/>
        <w:tblW w:w="9220" w:type="dxa"/>
        <w:jc w:val="center"/>
        <w:tblLayout w:type="autofit"/>
        <w:tblCellMar>
          <w:top w:w="0" w:type="dxa"/>
          <w:left w:w="108" w:type="dxa"/>
          <w:bottom w:w="0" w:type="dxa"/>
          <w:right w:w="108" w:type="dxa"/>
        </w:tblCellMar>
      </w:tblPr>
      <w:tblGrid>
        <w:gridCol w:w="660"/>
        <w:gridCol w:w="1116"/>
        <w:gridCol w:w="1516"/>
        <w:gridCol w:w="1620"/>
        <w:gridCol w:w="4540"/>
      </w:tblGrid>
      <w:tr>
        <w:tblPrEx>
          <w:tblCellMar>
            <w:top w:w="0" w:type="dxa"/>
            <w:left w:w="108" w:type="dxa"/>
            <w:bottom w:w="0" w:type="dxa"/>
            <w:right w:w="108" w:type="dxa"/>
          </w:tblCellMar>
        </w:tblPrEx>
        <w:trPr>
          <w:trHeight w:val="555" w:hRule="atLeast"/>
          <w:jc w:val="center"/>
        </w:trPr>
        <w:tc>
          <w:tcPr>
            <w:tcW w:w="660" w:type="dxa"/>
            <w:tcBorders>
              <w:top w:val="single" w:color="000000" w:sz="8" w:space="0"/>
              <w:left w:val="single" w:color="000000" w:sz="8" w:space="0"/>
              <w:bottom w:val="nil"/>
              <w:right w:val="single" w:color="000000" w:sz="8" w:space="0"/>
            </w:tcBorders>
            <w:noWrap/>
          </w:tcPr>
          <w:p>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noWrap/>
            <w:vAlign w:val="center"/>
          </w:tcPr>
          <w:p>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noWrap/>
            <w:vAlign w:val="center"/>
          </w:tcPr>
          <w:p>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tblPrEx>
          <w:tblCellMar>
            <w:top w:w="0" w:type="dxa"/>
            <w:left w:w="108" w:type="dxa"/>
            <w:bottom w:w="0" w:type="dxa"/>
            <w:right w:w="108" w:type="dxa"/>
          </w:tblCellMar>
        </w:tblPrEx>
        <w:trPr>
          <w:trHeight w:val="495" w:hRule="atLeast"/>
          <w:jc w:val="center"/>
        </w:trPr>
        <w:tc>
          <w:tcPr>
            <w:tcW w:w="660" w:type="dxa"/>
            <w:vMerge w:val="restar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CellMar>
            <w:top w:w="0" w:type="dxa"/>
            <w:left w:w="108" w:type="dxa"/>
            <w:bottom w:w="0" w:type="dxa"/>
            <w:right w:w="108" w:type="dxa"/>
          </w:tblCellMar>
        </w:tblPrEx>
        <w:trPr>
          <w:trHeight w:val="495"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CellMar>
            <w:top w:w="0" w:type="dxa"/>
            <w:left w:w="108" w:type="dxa"/>
            <w:bottom w:w="0" w:type="dxa"/>
            <w:right w:w="108" w:type="dxa"/>
          </w:tblCellMar>
        </w:tblPrEx>
        <w:trPr>
          <w:trHeight w:val="735"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tblPrEx>
          <w:tblCellMar>
            <w:top w:w="0" w:type="dxa"/>
            <w:left w:w="108" w:type="dxa"/>
            <w:bottom w:w="0" w:type="dxa"/>
            <w:right w:w="108" w:type="dxa"/>
          </w:tblCellMar>
        </w:tblPrEx>
        <w:trPr>
          <w:trHeight w:val="97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tblPrEx>
          <w:tblCellMar>
            <w:top w:w="0" w:type="dxa"/>
            <w:left w:w="108" w:type="dxa"/>
            <w:bottom w:w="0" w:type="dxa"/>
            <w:right w:w="108" w:type="dxa"/>
          </w:tblCellMar>
        </w:tblPrEx>
        <w:trPr>
          <w:trHeight w:val="735" w:hRule="atLeast"/>
          <w:jc w:val="center"/>
        </w:trPr>
        <w:tc>
          <w:tcPr>
            <w:tcW w:w="66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tblPrEx>
          <w:tblCellMar>
            <w:top w:w="0" w:type="dxa"/>
            <w:left w:w="108" w:type="dxa"/>
            <w:bottom w:w="0" w:type="dxa"/>
            <w:right w:w="108" w:type="dxa"/>
          </w:tblCellMar>
        </w:tblPrEx>
        <w:trPr>
          <w:trHeight w:val="97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tblPrEx>
          <w:tblCellMar>
            <w:top w:w="0" w:type="dxa"/>
            <w:left w:w="108" w:type="dxa"/>
            <w:bottom w:w="0" w:type="dxa"/>
            <w:right w:w="108" w:type="dxa"/>
          </w:tblCellMar>
        </w:tblPrEx>
        <w:trPr>
          <w:trHeight w:val="735" w:hRule="atLeast"/>
          <w:jc w:val="center"/>
        </w:trPr>
        <w:tc>
          <w:tcPr>
            <w:tcW w:w="660" w:type="dxa"/>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tblPrEx>
          <w:tblCellMar>
            <w:top w:w="0" w:type="dxa"/>
            <w:left w:w="108" w:type="dxa"/>
            <w:bottom w:w="0" w:type="dxa"/>
            <w:right w:w="108" w:type="dxa"/>
          </w:tblCellMar>
        </w:tblPrEx>
        <w:trPr>
          <w:trHeight w:val="975" w:hRule="atLeast"/>
          <w:jc w:val="center"/>
        </w:trPr>
        <w:tc>
          <w:tcPr>
            <w:tcW w:w="660" w:type="dxa"/>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tblPrEx>
          <w:tblCellMar>
            <w:top w:w="0" w:type="dxa"/>
            <w:left w:w="108" w:type="dxa"/>
            <w:bottom w:w="0" w:type="dxa"/>
            <w:right w:w="108" w:type="dxa"/>
          </w:tblCellMar>
        </w:tblPrEx>
        <w:trPr>
          <w:trHeight w:val="285" w:hRule="atLeast"/>
          <w:jc w:val="center"/>
        </w:trPr>
        <w:tc>
          <w:tcPr>
            <w:tcW w:w="660" w:type="dxa"/>
            <w:vMerge w:val="restart"/>
            <w:tcBorders>
              <w:top w:val="nil"/>
              <w:left w:val="single" w:color="auto" w:sz="8" w:space="0"/>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auto" w:sz="8" w:space="0"/>
              <w:bottom w:val="single" w:color="000000"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auto" w:sz="8" w:space="0"/>
              <w:right w:val="single" w:color="auto"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pPr>
        <w:widowControl/>
        <w:rPr>
          <w:rFonts w:hint="eastAsia" w:ascii="宋体" w:hAnsi="宋体" w:cs="宋体"/>
          <w:color w:val="auto"/>
          <w:sz w:val="20"/>
          <w:szCs w:val="20"/>
          <w:highlight w:val="none"/>
        </w:rPr>
      </w:pPr>
    </w:p>
    <w:p>
      <w:pPr>
        <w:pStyle w:val="2"/>
        <w:spacing w:after="0" w:line="360" w:lineRule="exact"/>
        <w:rPr>
          <w:rFonts w:hint="eastAsia" w:hAnsi="宋体"/>
          <w:color w:val="auto"/>
          <w:sz w:val="21"/>
          <w:szCs w:val="21"/>
          <w:highlight w:val="none"/>
        </w:rPr>
      </w:pPr>
      <w:r>
        <w:rPr>
          <w:rFonts w:hint="eastAsia"/>
          <w:color w:val="auto"/>
          <w:spacing w:val="-3"/>
          <w:sz w:val="21"/>
          <w:szCs w:val="21"/>
          <w:highlight w:val="none"/>
        </w:rPr>
        <w:t>注：</w:t>
      </w:r>
      <w:r>
        <w:rPr>
          <w:color w:val="auto"/>
          <w:spacing w:val="-3"/>
          <w:sz w:val="21"/>
          <w:szCs w:val="21"/>
          <w:highlight w:val="none"/>
        </w:rPr>
        <w:t>1.</w:t>
      </w:r>
      <w:r>
        <w:rPr>
          <w:rFonts w:hint="eastAsia"/>
          <w:color w:val="auto"/>
          <w:spacing w:val="-3"/>
          <w:sz w:val="21"/>
          <w:szCs w:val="21"/>
          <w:highlight w:val="none"/>
        </w:rPr>
        <w:t>节能产品认证应依据相关国家标准的最新版本，依据国家标准中二级能效（水效）</w:t>
      </w:r>
      <w:r>
        <w:rPr>
          <w:rFonts w:hint="eastAsia"/>
          <w:color w:val="auto"/>
          <w:sz w:val="21"/>
          <w:szCs w:val="21"/>
          <w:highlight w:val="none"/>
        </w:rPr>
        <w:t>指标。</w:t>
      </w:r>
    </w:p>
    <w:p>
      <w:pPr>
        <w:spacing w:line="360" w:lineRule="exact"/>
        <w:ind w:firstLine="420" w:firstLineChars="200"/>
        <w:rPr>
          <w:rFonts w:hint="eastAsia" w:ascii="宋体" w:hAnsi="宋体" w:cs="宋体"/>
          <w:color w:val="auto"/>
          <w:szCs w:val="21"/>
          <w:highlight w:val="none"/>
        </w:rPr>
      </w:pPr>
      <w:r>
        <w:rPr>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ascii="宋体" w:hAnsi="宋体" w:cs="宋体"/>
          <w:color w:val="auto"/>
          <w:kern w:val="0"/>
          <w:sz w:val="20"/>
          <w:szCs w:val="20"/>
          <w:highlight w:val="none"/>
        </w:rPr>
        <w:t>★</w:t>
      </w:r>
      <w:r>
        <w:rPr>
          <w:b/>
          <w:bCs/>
          <w:color w:val="auto"/>
          <w:szCs w:val="21"/>
          <w:highlight w:val="none"/>
        </w:rPr>
        <w:t>”</w:t>
      </w:r>
      <w:r>
        <w:rPr>
          <w:rFonts w:hint="eastAsia"/>
          <w:b/>
          <w:bCs/>
          <w:color w:val="auto"/>
          <w:szCs w:val="21"/>
          <w:highlight w:val="none"/>
        </w:rPr>
        <w:t>标注的为政府强制采购产品。</w:t>
      </w:r>
      <w:r>
        <w:rPr>
          <w:rFonts w:hAnsi="宋体"/>
          <w:color w:val="auto"/>
          <w:highlight w:val="none"/>
        </w:rPr>
        <w:br w:type="page"/>
      </w:r>
    </w:p>
    <w:p>
      <w:pPr>
        <w:pStyle w:val="2"/>
        <w:spacing w:line="360" w:lineRule="auto"/>
        <w:rPr>
          <w:rFonts w:hint="eastAsia" w:ascii="Arial Unicode MS" w:hAnsi="Arial Unicode MS" w:eastAsia="Arial Unicode MS" w:cs="Arial Unicode MS"/>
          <w:color w:val="auto"/>
          <w:sz w:val="28"/>
          <w:szCs w:val="28"/>
          <w:highlight w:val="none"/>
        </w:rPr>
      </w:pPr>
      <w:r>
        <w:rPr>
          <w:rFonts w:hint="eastAsia" w:ascii="微软雅黑" w:hAnsi="微软雅黑" w:eastAsia="微软雅黑" w:cs="微软雅黑"/>
          <w:color w:val="auto"/>
          <w:sz w:val="28"/>
          <w:szCs w:val="28"/>
          <w:highlight w:val="none"/>
        </w:rPr>
        <w:t>附件</w:t>
      </w:r>
      <w:r>
        <w:rPr>
          <w:rFonts w:hint="eastAsia" w:ascii="Arial Unicode MS" w:hAnsi="Arial Unicode MS" w:eastAsia="Arial Unicode MS" w:cs="Arial Unicode MS"/>
          <w:color w:val="auto"/>
          <w:sz w:val="28"/>
          <w:szCs w:val="28"/>
          <w:highlight w:val="none"/>
        </w:rPr>
        <w:t>2</w:t>
      </w:r>
      <w:r>
        <w:rPr>
          <w:rFonts w:hint="eastAsia" w:ascii="微软雅黑" w:hAnsi="微软雅黑" w:eastAsia="微软雅黑" w:cs="微软雅黑"/>
          <w:color w:val="auto"/>
          <w:sz w:val="28"/>
          <w:szCs w:val="28"/>
          <w:highlight w:val="none"/>
        </w:rPr>
        <w:t>：</w:t>
      </w:r>
    </w:p>
    <w:p>
      <w:pPr>
        <w:spacing w:line="528" w:lineRule="exact"/>
        <w:jc w:val="center"/>
        <w:rPr>
          <w:rFonts w:hint="eastAsia"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37"/>
        <w:tblW w:w="9511" w:type="dxa"/>
        <w:jc w:val="center"/>
        <w:tblLayout w:type="fixed"/>
        <w:tblCellMar>
          <w:top w:w="0" w:type="dxa"/>
          <w:left w:w="108" w:type="dxa"/>
          <w:bottom w:w="0" w:type="dxa"/>
          <w:right w:w="108" w:type="dxa"/>
        </w:tblCellMar>
      </w:tblPr>
      <w:tblGrid>
        <w:gridCol w:w="1700"/>
        <w:gridCol w:w="1383"/>
        <w:gridCol w:w="865"/>
        <w:gridCol w:w="2097"/>
        <w:gridCol w:w="2105"/>
        <w:gridCol w:w="1361"/>
      </w:tblGrid>
      <w:tr>
        <w:tblPrEx>
          <w:tblCellMar>
            <w:top w:w="0" w:type="dxa"/>
            <w:left w:w="108" w:type="dxa"/>
            <w:bottom w:w="0" w:type="dxa"/>
            <w:right w:w="108" w:type="dxa"/>
          </w:tblCellMar>
        </w:tblPrEx>
        <w:trPr>
          <w:trHeight w:val="285" w:hRule="atLeast"/>
          <w:jc w:val="center"/>
        </w:trPr>
        <w:tc>
          <w:tcPr>
            <w:tcW w:w="1700" w:type="dxa"/>
            <w:tcBorders>
              <w:top w:val="single" w:color="auto" w:sz="4" w:space="0"/>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行业名称</w:t>
            </w:r>
          </w:p>
        </w:tc>
        <w:tc>
          <w:tcPr>
            <w:tcW w:w="1383" w:type="dxa"/>
            <w:tcBorders>
              <w:top w:val="single" w:color="auto" w:sz="4" w:space="0"/>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指标名称</w:t>
            </w:r>
          </w:p>
        </w:tc>
        <w:tc>
          <w:tcPr>
            <w:tcW w:w="865" w:type="dxa"/>
            <w:tcBorders>
              <w:top w:val="single" w:color="auto" w:sz="4" w:space="0"/>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计量单位</w:t>
            </w:r>
          </w:p>
        </w:tc>
        <w:tc>
          <w:tcPr>
            <w:tcW w:w="2097" w:type="dxa"/>
            <w:tcBorders>
              <w:top w:val="single" w:color="auto" w:sz="4" w:space="0"/>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中型</w:t>
            </w:r>
          </w:p>
        </w:tc>
        <w:tc>
          <w:tcPr>
            <w:tcW w:w="2105" w:type="dxa"/>
            <w:tcBorders>
              <w:top w:val="single" w:color="auto" w:sz="4" w:space="0"/>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小型</w:t>
            </w:r>
          </w:p>
        </w:tc>
        <w:tc>
          <w:tcPr>
            <w:tcW w:w="1361" w:type="dxa"/>
            <w:tcBorders>
              <w:top w:val="single" w:color="auto" w:sz="4" w:space="0"/>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微型</w:t>
            </w:r>
          </w:p>
        </w:tc>
      </w:tr>
      <w:tr>
        <w:tblPrEx>
          <w:tblCellMar>
            <w:top w:w="0" w:type="dxa"/>
            <w:left w:w="108" w:type="dxa"/>
            <w:bottom w:w="0" w:type="dxa"/>
            <w:right w:w="108" w:type="dxa"/>
          </w:tblCellMar>
        </w:tblPrEx>
        <w:trPr>
          <w:trHeight w:val="225" w:hRule="atLeast"/>
          <w:jc w:val="center"/>
        </w:trPr>
        <w:tc>
          <w:tcPr>
            <w:tcW w:w="1700" w:type="dxa"/>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农、林、牧、渔</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500≤Y＜20000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50≤Y＜500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Y＜50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工业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300≤X＜1000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20≤X＜300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2000≤Y＜40000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300≤Y＜2000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Y＜300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建筑业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6000≤Y＜80000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300≤Y＜6000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Y＜300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资产总额（Z）</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5000≤Z＜80000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300≤Z＜5000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Z＜300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批发业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20≤X＜200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5≤X＜20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X＜5</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5000≤Y＜40000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1000≤Y＜5000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Y＜1000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零售业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10≤X＜50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500≤Y＜20000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100≤Y＜500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交通运输业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300≤X＜1000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20≤X＜300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3000≤Y＜30000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200≤Y＜3000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Y＜200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仓储业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100≤X＜200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1000≤Y＜30000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100≤Y＜1000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邮政业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300≤X＜1000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20≤X＜300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X＜20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2000≤Y＜30000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100≤Y＜2000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住宿业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2000≤Y＜10000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100≤Y＜2000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餐饮业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2000≤Y＜10000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100≤Y＜2000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信息传输业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100≤X＜2000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1000≤Y＜100000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100≤Y＜1000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Y＜100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软件和信息技术服务业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1000≤Y＜10000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50≤Y＜1000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Y＜50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房地产开发经营</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1000≤Y＜200000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100≤X＜1000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X＜100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资产总额（Z）</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5000≤Z＜10000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2000≤Y＜5000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Y＜2000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物业管理</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300≤X＜1000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100≤X＜300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X＜100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营业收入（Y）</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1000≤Y＜5000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500≤Y＜1000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Y＜500</w:t>
            </w:r>
          </w:p>
        </w:tc>
      </w:tr>
      <w:tr>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租赁和商务服务业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X＜10</w:t>
            </w:r>
          </w:p>
        </w:tc>
      </w:tr>
      <w:tr>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pPr>
              <w:pStyle w:val="33"/>
              <w:widowControl/>
              <w:spacing w:line="360" w:lineRule="exact"/>
              <w:jc w:val="center"/>
              <w:rPr>
                <w:rFonts w:hint="eastAsia" w:ascii="宋体" w:hAnsi="宋体" w:cs="宋体"/>
                <w:color w:val="auto"/>
                <w:sz w:val="21"/>
                <w:szCs w:val="21"/>
                <w:highlight w:val="none"/>
              </w:rPr>
            </w:pP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资产总额（Z）</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万元</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8000≤Z＜120000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100≤Z＜8000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Y＜100</w:t>
            </w:r>
          </w:p>
        </w:tc>
      </w:tr>
      <w:tr>
        <w:tblPrEx>
          <w:tblCellMar>
            <w:top w:w="0" w:type="dxa"/>
            <w:left w:w="108" w:type="dxa"/>
            <w:bottom w:w="0" w:type="dxa"/>
            <w:right w:w="108" w:type="dxa"/>
          </w:tblCellMar>
        </w:tblPrEx>
        <w:trPr>
          <w:trHeight w:val="225" w:hRule="atLeast"/>
          <w:jc w:val="center"/>
        </w:trPr>
        <w:tc>
          <w:tcPr>
            <w:tcW w:w="1700" w:type="dxa"/>
            <w:tcBorders>
              <w:top w:val="nil"/>
              <w:left w:val="single" w:color="auto" w:sz="4" w:space="0"/>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其他未列明行业</w:t>
            </w:r>
          </w:p>
        </w:tc>
        <w:tc>
          <w:tcPr>
            <w:tcW w:w="1383"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从业人员（X）</w:t>
            </w:r>
          </w:p>
        </w:tc>
        <w:tc>
          <w:tcPr>
            <w:tcW w:w="86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2097"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100≤X＜300</w:t>
            </w:r>
          </w:p>
        </w:tc>
        <w:tc>
          <w:tcPr>
            <w:tcW w:w="2105"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10≤X＜100</w:t>
            </w:r>
          </w:p>
        </w:tc>
        <w:tc>
          <w:tcPr>
            <w:tcW w:w="1361" w:type="dxa"/>
            <w:tcBorders>
              <w:top w:val="nil"/>
              <w:left w:val="nil"/>
              <w:bottom w:val="single" w:color="auto" w:sz="4" w:space="0"/>
              <w:right w:val="single" w:color="auto" w:sz="4" w:space="0"/>
            </w:tcBorders>
            <w:noWrap/>
            <w:vAlign w:val="center"/>
          </w:tcPr>
          <w:p>
            <w:pPr>
              <w:pStyle w:val="33"/>
              <w:widowControl/>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X＜10</w:t>
            </w:r>
          </w:p>
        </w:tc>
      </w:tr>
    </w:tbl>
    <w:p>
      <w:pPr>
        <w:spacing w:line="360" w:lineRule="auto"/>
        <w:ind w:firstLine="525" w:firstLineChars="25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3"/>
        <w:rPr>
          <w:rFonts w:hint="eastAsia" w:ascii="宋体" w:hAnsi="宋体"/>
          <w:color w:val="auto"/>
          <w:highlight w:val="none"/>
        </w:rPr>
      </w:pPr>
      <w:bookmarkStart w:id="26" w:name="_Toc17576"/>
      <w:r>
        <w:rPr>
          <w:rFonts w:hint="eastAsia" w:ascii="宋体" w:hAnsi="宋体"/>
          <w:color w:val="auto"/>
          <w:highlight w:val="none"/>
        </w:rPr>
        <w:t>第四章 响应文件格式</w:t>
      </w:r>
      <w:bookmarkEnd w:id="26"/>
    </w:p>
    <w:p>
      <w:pPr>
        <w:snapToGrid w:val="0"/>
        <w:spacing w:before="156" w:beforeLines="50" w:after="50"/>
        <w:rPr>
          <w:rFonts w:hint="eastAsia" w:ascii="宋体" w:hAnsi="宋体" w:cs="宋体"/>
          <w:b/>
          <w:bCs/>
          <w:color w:val="auto"/>
          <w:szCs w:val="21"/>
          <w:highlight w:val="none"/>
        </w:rPr>
      </w:pPr>
      <w:bookmarkStart w:id="27" w:name="_Toc455646389"/>
      <w:r>
        <w:rPr>
          <w:rFonts w:hint="eastAsia" w:ascii="宋体" w:hAnsi="宋体" w:cs="宋体"/>
          <w:b/>
          <w:bCs/>
          <w:color w:val="auto"/>
          <w:szCs w:val="21"/>
          <w:highlight w:val="none"/>
        </w:rPr>
        <w:t>一、响应文件袋外层包装封面格式</w:t>
      </w:r>
    </w:p>
    <w:p>
      <w:pPr>
        <w:snapToGrid w:val="0"/>
        <w:spacing w:before="156" w:beforeLines="50" w:after="50"/>
        <w:rPr>
          <w:rFonts w:hint="eastAsia" w:ascii="宋体" w:hAnsi="宋体" w:cs="宋体"/>
          <w:b/>
          <w:bCs/>
          <w:color w:val="auto"/>
          <w:szCs w:val="21"/>
          <w:highlight w:val="none"/>
        </w:rPr>
      </w:pPr>
      <w:r>
        <w:rPr>
          <w:rFonts w:hint="eastAsia" w:ascii="宋体" w:hAnsi="宋体" w:cs="宋体"/>
          <w:b/>
          <w:bCs/>
          <w:color w:val="auto"/>
          <w:szCs w:val="21"/>
          <w:highlight w:val="none"/>
        </w:rPr>
        <w:t>1.所有文件（资格证明文件、商务和技术文件、报价文件）的外装封面格式：</w:t>
      </w:r>
    </w:p>
    <w:p>
      <w:pPr>
        <w:snapToGrid w:val="0"/>
        <w:spacing w:before="156" w:beforeLines="50" w:after="50"/>
        <w:jc w:val="center"/>
        <w:rPr>
          <w:rFonts w:hint="eastAsia" w:ascii="宋体" w:hAnsi="宋体" w:cs="宋体"/>
          <w:bCs/>
          <w:color w:val="auto"/>
          <w:szCs w:val="21"/>
          <w:highlight w:val="none"/>
        </w:rPr>
      </w:pPr>
    </w:p>
    <w:p>
      <w:pPr>
        <w:snapToGrid w:val="0"/>
        <w:spacing w:before="156" w:beforeLines="50" w:after="50"/>
        <w:jc w:val="center"/>
        <w:rPr>
          <w:rFonts w:hint="eastAsia" w:ascii="宋体" w:hAnsi="宋体" w:cs="宋体"/>
          <w:bCs/>
          <w:color w:val="auto"/>
          <w:szCs w:val="21"/>
          <w:highlight w:val="none"/>
        </w:rPr>
      </w:pPr>
    </w:p>
    <w:p>
      <w:pPr>
        <w:snapToGrid w:val="0"/>
        <w:spacing w:before="156" w:beforeLines="50" w:after="50"/>
        <w:jc w:val="center"/>
        <w:rPr>
          <w:rFonts w:hint="eastAsia" w:ascii="宋体" w:hAnsi="宋体" w:cs="宋体"/>
          <w:bCs/>
          <w:color w:val="auto"/>
          <w:szCs w:val="21"/>
          <w:highlight w:val="none"/>
        </w:rPr>
      </w:pPr>
    </w:p>
    <w:p>
      <w:pPr>
        <w:snapToGrid w:val="0"/>
        <w:spacing w:before="156" w:beforeLines="50" w:after="50"/>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响  应 文 件 袋</w:t>
      </w:r>
    </w:p>
    <w:p>
      <w:pPr>
        <w:snapToGrid w:val="0"/>
        <w:spacing w:before="156" w:beforeLines="50" w:after="50"/>
        <w:jc w:val="center"/>
        <w:rPr>
          <w:rFonts w:hint="eastAsia" w:ascii="宋体" w:hAnsi="宋体" w:cs="宋体"/>
          <w:bCs/>
          <w:color w:val="auto"/>
          <w:sz w:val="52"/>
          <w:szCs w:val="52"/>
          <w:highlight w:val="none"/>
        </w:rPr>
      </w:pPr>
    </w:p>
    <w:p>
      <w:pPr>
        <w:snapToGrid w:val="0"/>
        <w:spacing w:before="156" w:beforeLines="50" w:after="50"/>
        <w:jc w:val="center"/>
        <w:rPr>
          <w:rFonts w:hint="eastAsia" w:ascii="宋体" w:hAnsi="宋体" w:cs="宋体"/>
          <w:bCs/>
          <w:color w:val="auto"/>
          <w:sz w:val="52"/>
          <w:szCs w:val="52"/>
          <w:highlight w:val="none"/>
        </w:rPr>
      </w:pPr>
    </w:p>
    <w:p>
      <w:pPr>
        <w:snapToGrid w:val="0"/>
        <w:spacing w:before="156" w:beforeLines="50" w:after="50"/>
        <w:rPr>
          <w:rFonts w:hint="eastAsia" w:ascii="宋体" w:hAnsi="宋体" w:cs="宋体"/>
          <w:bCs/>
          <w:color w:val="auto"/>
          <w:szCs w:val="21"/>
          <w:highlight w:val="none"/>
        </w:rPr>
      </w:pPr>
    </w:p>
    <w:p>
      <w:pPr>
        <w:tabs>
          <w:tab w:val="left" w:pos="3240"/>
        </w:tabs>
        <w:spacing w:before="156" w:beforeLines="50" w:after="156" w:afterLines="50" w:line="480" w:lineRule="auto"/>
        <w:ind w:firstLine="848" w:firstLineChars="303"/>
        <w:jc w:val="left"/>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采购项目名称：</w:t>
      </w:r>
      <w:r>
        <w:rPr>
          <w:rFonts w:hint="eastAsia" w:ascii="宋体" w:hAnsi="宋体" w:cs="宋体"/>
          <w:color w:val="auto"/>
          <w:sz w:val="28"/>
          <w:szCs w:val="28"/>
          <w:highlight w:val="none"/>
          <w:u w:val="single"/>
        </w:rPr>
        <w:t xml:space="preserve">                                </w:t>
      </w:r>
    </w:p>
    <w:p>
      <w:pPr>
        <w:spacing w:before="156" w:beforeLines="50" w:after="156" w:afterLines="50" w:line="480" w:lineRule="auto"/>
        <w:ind w:firstLine="848" w:firstLineChars="303"/>
        <w:jc w:val="left"/>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采购项目编号：</w:t>
      </w:r>
      <w:r>
        <w:rPr>
          <w:rFonts w:hint="eastAsia" w:ascii="宋体" w:hAnsi="宋体" w:cs="宋体"/>
          <w:color w:val="auto"/>
          <w:sz w:val="28"/>
          <w:szCs w:val="28"/>
          <w:highlight w:val="none"/>
          <w:u w:val="single"/>
        </w:rPr>
        <w:t xml:space="preserve">                                </w:t>
      </w:r>
    </w:p>
    <w:p>
      <w:pPr>
        <w:tabs>
          <w:tab w:val="left" w:pos="3240"/>
        </w:tabs>
        <w:spacing w:before="156" w:beforeLines="50" w:after="156" w:afterLines="50" w:line="480" w:lineRule="auto"/>
        <w:ind w:firstLine="848" w:firstLineChars="303"/>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分标号（如有）：</w:t>
      </w:r>
      <w:r>
        <w:rPr>
          <w:rFonts w:hint="eastAsia" w:ascii="宋体" w:hAnsi="宋体" w:cs="宋体"/>
          <w:color w:val="auto"/>
          <w:sz w:val="28"/>
          <w:szCs w:val="28"/>
          <w:highlight w:val="none"/>
          <w:u w:val="single"/>
        </w:rPr>
        <w:t xml:space="preserve">  （如有则填写，无分标时填写“无”或者留空） </w:t>
      </w:r>
      <w:r>
        <w:rPr>
          <w:rFonts w:ascii="宋体" w:hAnsi="宋体" w:cs="宋体"/>
          <w:color w:val="auto"/>
          <w:sz w:val="28"/>
          <w:szCs w:val="28"/>
          <w:highlight w:val="none"/>
          <w:u w:val="single"/>
        </w:rPr>
        <w:t xml:space="preserve"> </w:t>
      </w:r>
    </w:p>
    <w:p>
      <w:pPr>
        <w:tabs>
          <w:tab w:val="left" w:pos="3240"/>
        </w:tabs>
        <w:spacing w:before="156" w:beforeLines="50" w:after="156" w:afterLines="50" w:line="480" w:lineRule="auto"/>
        <w:ind w:firstLine="848" w:firstLineChars="303"/>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供应商名称：</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p>
    <w:p>
      <w:pPr>
        <w:tabs>
          <w:tab w:val="left" w:pos="3240"/>
        </w:tabs>
        <w:spacing w:before="156" w:beforeLines="50" w:after="156" w:afterLines="50" w:line="480" w:lineRule="auto"/>
        <w:ind w:firstLine="848" w:firstLineChars="303"/>
        <w:jc w:val="left"/>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供应商地址：</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p>
    <w:p>
      <w:pPr>
        <w:tabs>
          <w:tab w:val="left" w:pos="3240"/>
        </w:tabs>
        <w:spacing w:before="156" w:beforeLines="50" w:after="156" w:afterLines="50" w:line="480" w:lineRule="auto"/>
        <w:ind w:firstLine="848" w:firstLineChars="303"/>
        <w:jc w:val="left"/>
        <w:rPr>
          <w:rFonts w:hint="eastAsia" w:ascii="宋体" w:hAnsi="宋体" w:cs="宋体"/>
          <w:color w:val="auto"/>
          <w:sz w:val="28"/>
          <w:szCs w:val="28"/>
          <w:highlight w:val="none"/>
        </w:rPr>
      </w:pPr>
    </w:p>
    <w:p>
      <w:pPr>
        <w:tabs>
          <w:tab w:val="left" w:pos="2625"/>
        </w:tabs>
        <w:spacing w:line="360" w:lineRule="auto"/>
        <w:ind w:firstLine="560"/>
        <w:jc w:val="center"/>
        <w:rPr>
          <w:rFonts w:hint="eastAsia" w:ascii="宋体" w:hAnsi="宋体" w:cs="宋体"/>
          <w:color w:val="auto"/>
          <w:sz w:val="28"/>
          <w:szCs w:val="28"/>
          <w:highlight w:val="none"/>
        </w:rPr>
      </w:pPr>
    </w:p>
    <w:p>
      <w:pPr>
        <w:spacing w:line="360" w:lineRule="auto"/>
        <w:ind w:firstLine="56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（供应商名称）</w:t>
      </w:r>
    </w:p>
    <w:p>
      <w:pPr>
        <w:wordWrap w:val="0"/>
        <w:spacing w:line="360" w:lineRule="auto"/>
        <w:ind w:right="420"/>
        <w:jc w:val="right"/>
        <w:rPr>
          <w:rFonts w:hint="eastAsia" w:ascii="宋体" w:hAnsi="宋体" w:cs="宋体"/>
          <w:color w:val="auto"/>
          <w:szCs w:val="21"/>
          <w:highlight w:val="none"/>
        </w:rPr>
      </w:pPr>
      <w:r>
        <w:rPr>
          <w:rFonts w:hint="eastAsia" w:ascii="宋体" w:hAnsi="宋体" w:cs="宋体"/>
          <w:color w:val="auto"/>
          <w:sz w:val="28"/>
          <w:szCs w:val="28"/>
          <w:highlight w:val="none"/>
        </w:rPr>
        <w:t>年     月    日</w:t>
      </w:r>
    </w:p>
    <w:p>
      <w:pPr>
        <w:snapToGrid w:val="0"/>
        <w:spacing w:before="156" w:beforeLines="50" w:after="50"/>
        <w:outlineLvl w:val="1"/>
        <w:rPr>
          <w:rFonts w:hint="eastAsia" w:ascii="宋体" w:hAnsi="宋体" w:cs="宋体"/>
          <w:b/>
          <w:bCs/>
          <w:color w:val="auto"/>
          <w:szCs w:val="21"/>
          <w:highlight w:val="none"/>
        </w:rPr>
      </w:pPr>
      <w:r>
        <w:rPr>
          <w:rFonts w:hint="eastAsia" w:ascii="宋体" w:hAnsi="宋体" w:cs="宋体"/>
          <w:b/>
          <w:bCs/>
          <w:color w:val="auto"/>
          <w:szCs w:val="21"/>
          <w:highlight w:val="none"/>
        </w:rPr>
        <w:br w:type="page"/>
      </w:r>
      <w:bookmarkEnd w:id="27"/>
      <w:bookmarkStart w:id="28" w:name="_Toc1763"/>
      <w:bookmarkStart w:id="29" w:name="_Toc20994"/>
      <w:bookmarkStart w:id="30" w:name="_Toc7387"/>
      <w:bookmarkStart w:id="31" w:name="_Toc16140"/>
      <w:r>
        <w:rPr>
          <w:rFonts w:hint="eastAsia" w:ascii="宋体" w:hAnsi="宋体" w:cs="宋体"/>
          <w:b/>
          <w:bCs/>
          <w:color w:val="auto"/>
          <w:szCs w:val="21"/>
          <w:highlight w:val="none"/>
        </w:rPr>
        <w:t>二、响应文件格式</w:t>
      </w:r>
      <w:bookmarkEnd w:id="28"/>
      <w:bookmarkEnd w:id="29"/>
      <w:bookmarkEnd w:id="30"/>
      <w:bookmarkEnd w:id="31"/>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r>
        <w:rPr>
          <w:rFonts w:hint="eastAsia" w:ascii="宋体" w:hAnsi="宋体" w:cs="宋体"/>
          <w:b/>
          <w:bCs/>
          <w:color w:val="auto"/>
          <w:szCs w:val="21"/>
          <w:highlight w:val="none"/>
        </w:rPr>
        <w:t>1、资格证明文件格式：</w:t>
      </w:r>
    </w:p>
    <w:p>
      <w:pPr>
        <w:snapToGrid w:val="0"/>
        <w:spacing w:before="156" w:beforeLines="50" w:after="50" w:line="330" w:lineRule="exact"/>
        <w:jc w:val="center"/>
        <w:rPr>
          <w:rFonts w:hint="eastAsia" w:ascii="宋体" w:hAnsi="宋体" w:cs="宋体"/>
          <w:b/>
          <w:color w:val="auto"/>
          <w:szCs w:val="21"/>
          <w:highlight w:val="none"/>
        </w:rPr>
      </w:pPr>
    </w:p>
    <w:p>
      <w:pPr>
        <w:snapToGrid w:val="0"/>
        <w:spacing w:before="156" w:beforeLines="50" w:after="50" w:line="330" w:lineRule="exact"/>
        <w:jc w:val="center"/>
        <w:rPr>
          <w:rFonts w:hint="eastAsia" w:ascii="宋体" w:hAnsi="宋体" w:cs="宋体"/>
          <w:b/>
          <w:color w:val="auto"/>
          <w:szCs w:val="21"/>
          <w:highlight w:val="none"/>
        </w:rPr>
      </w:pPr>
    </w:p>
    <w:p>
      <w:pPr>
        <w:snapToGrid w:val="0"/>
        <w:spacing w:before="156" w:beforeLines="50" w:after="50" w:line="330" w:lineRule="exact"/>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目录</w:t>
      </w:r>
    </w:p>
    <w:p>
      <w:pPr>
        <w:tabs>
          <w:tab w:val="left" w:pos="2625"/>
        </w:tabs>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(供应商需根据响应文件自行编制目录及页码)</w:t>
      </w:r>
    </w:p>
    <w:p>
      <w:pPr>
        <w:widowControl/>
        <w:spacing w:line="360" w:lineRule="exact"/>
        <w:rPr>
          <w:rFonts w:hint="eastAsia" w:ascii="宋体" w:hAnsi="宋体"/>
          <w:b/>
          <w:bCs/>
          <w:color w:val="auto"/>
          <w:sz w:val="24"/>
          <w:highlight w:val="none"/>
        </w:rPr>
      </w:pPr>
    </w:p>
    <w:p>
      <w:pPr>
        <w:tabs>
          <w:tab w:val="left" w:pos="2625"/>
        </w:tabs>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一、谈判声明书格式</w:t>
      </w:r>
    </w:p>
    <w:p>
      <w:pPr>
        <w:spacing w:line="32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谈判声明书</w:t>
      </w:r>
    </w:p>
    <w:p>
      <w:pPr>
        <w:pStyle w:val="20"/>
        <w:spacing w:line="360" w:lineRule="exact"/>
        <w:rPr>
          <w:rFonts w:hint="eastAsia" w:hAnsi="宋体" w:cs="宋体"/>
          <w:color w:val="auto"/>
          <w:sz w:val="21"/>
          <w:szCs w:val="21"/>
          <w:highlight w:val="none"/>
        </w:rPr>
      </w:pPr>
      <w:r>
        <w:rPr>
          <w:rFonts w:hint="eastAsia" w:hAnsi="宋体"/>
          <w:color w:val="auto"/>
          <w:sz w:val="21"/>
          <w:highlight w:val="none"/>
        </w:rPr>
        <w:t>致：</w:t>
      </w:r>
      <w:r>
        <w:rPr>
          <w:rFonts w:hint="eastAsia" w:hAnsi="宋体"/>
          <w:color w:val="auto"/>
          <w:sz w:val="21"/>
          <w:highlight w:val="none"/>
          <w:u w:val="single"/>
        </w:rPr>
        <w:t xml:space="preserve">              </w:t>
      </w:r>
      <w:r>
        <w:rPr>
          <w:rFonts w:hint="eastAsia" w:hAnsi="宋体"/>
          <w:color w:val="auto"/>
          <w:sz w:val="21"/>
          <w:highlight w:val="none"/>
        </w:rPr>
        <w:t>（采购人单位名称）：</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3.在此，我方宣布同意如下：</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（1）将按谈判文件的约定履行合同责任和义务；</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（2）已详细审查全部谈判文件，包括澄清或者更正公告（如有）；</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（3）同意提供按照贵方可能要求的与谈判有关的一切数据或者资料；</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（4）响应谈判文件规定的响应文件有效期。</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□我方本次响应文件内容中未涉及商业秘密；</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□我方本次响应文件涉及商业秘密的内容有： </w:t>
      </w:r>
    </w:p>
    <w:p>
      <w:pPr>
        <w:snapToGrid w:val="0"/>
        <w:spacing w:before="50" w:after="50"/>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7.以上事项如有虚假或者隐瞒，我方愿意承担一切后果，并不再寻求任何旨在减轻或者免除法律责任的辩解。</w:t>
      </w: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ind w:firstLine="363" w:firstLineChars="202"/>
        <w:rPr>
          <w:color w:val="auto"/>
          <w:sz w:val="18"/>
          <w:szCs w:val="18"/>
          <w:highlight w:val="none"/>
        </w:rPr>
      </w:pPr>
      <w:r>
        <w:rPr>
          <w:rFonts w:hint="eastAsia"/>
          <w:color w:val="auto"/>
          <w:sz w:val="18"/>
          <w:szCs w:val="18"/>
          <w:highlight w:val="none"/>
        </w:rPr>
        <w:t>说明：</w:t>
      </w:r>
    </w:p>
    <w:p>
      <w:pPr>
        <w:ind w:firstLine="363" w:firstLineChars="202"/>
        <w:rPr>
          <w:color w:val="auto"/>
          <w:sz w:val="18"/>
          <w:szCs w:val="18"/>
          <w:highlight w:val="none"/>
        </w:rPr>
      </w:pPr>
      <w:r>
        <w:rPr>
          <w:color w:val="auto"/>
          <w:sz w:val="18"/>
          <w:szCs w:val="18"/>
          <w:highlight w:val="none"/>
        </w:rPr>
        <w:t>1.</w:t>
      </w:r>
      <w:r>
        <w:rPr>
          <w:rFonts w:hint="eastAsia"/>
          <w:color w:val="auto"/>
          <w:sz w:val="18"/>
          <w:szCs w:val="18"/>
          <w:highlight w:val="none"/>
        </w:rPr>
        <w:t>供应商可以自行通过</w:t>
      </w:r>
      <w:r>
        <w:rPr>
          <w:color w:val="auto"/>
          <w:sz w:val="18"/>
          <w:szCs w:val="18"/>
          <w:highlight w:val="none"/>
        </w:rPr>
        <w:t xml:space="preserve"> </w:t>
      </w:r>
      <w:r>
        <w:rPr>
          <w:rFonts w:hint="eastAsia"/>
          <w:color w:val="auto"/>
          <w:sz w:val="18"/>
          <w:szCs w:val="18"/>
          <w:highlight w:val="none"/>
        </w:rPr>
        <w:t>“信用中国”（</w:t>
      </w:r>
      <w:r>
        <w:rPr>
          <w:color w:val="auto"/>
          <w:sz w:val="18"/>
          <w:szCs w:val="18"/>
          <w:highlight w:val="none"/>
        </w:rPr>
        <w:t>www.creditchina.gov.cn</w:t>
      </w:r>
      <w:r>
        <w:rPr>
          <w:rFonts w:hint="eastAsia"/>
          <w:color w:val="auto"/>
          <w:sz w:val="18"/>
          <w:szCs w:val="18"/>
          <w:highlight w:val="none"/>
        </w:rPr>
        <w:t>）和“中国政府采购网”网站（</w:t>
      </w:r>
      <w:r>
        <w:rPr>
          <w:color w:val="auto"/>
          <w:sz w:val="18"/>
          <w:szCs w:val="18"/>
          <w:highlight w:val="none"/>
        </w:rPr>
        <w:t>www.ccgp.gov.cn</w:t>
      </w:r>
      <w:r>
        <w:rPr>
          <w:rFonts w:hint="eastAsia"/>
          <w:color w:val="auto"/>
          <w:sz w:val="18"/>
          <w:szCs w:val="18"/>
          <w:highlight w:val="none"/>
        </w:rPr>
        <w:t>）查询供应商相关主体的信用记录。查询时间为本项目投标截止时间前</w:t>
      </w:r>
      <w:r>
        <w:rPr>
          <w:color w:val="auto"/>
          <w:sz w:val="18"/>
          <w:szCs w:val="18"/>
          <w:highlight w:val="none"/>
        </w:rPr>
        <w:t>10</w:t>
      </w:r>
      <w:r>
        <w:rPr>
          <w:rFonts w:hint="eastAsia"/>
          <w:color w:val="auto"/>
          <w:sz w:val="18"/>
          <w:szCs w:val="18"/>
          <w:highlight w:val="none"/>
        </w:rPr>
        <w:t>日至投标截止时间中任意一天。在资格审查阶段经谈判小组查询，对列入失信被执行人、重大税收违法案件当事人名单、政府采购严重违法失信行为记录名单的供应商，将被拒绝参与本项目政府采购活动。</w:t>
      </w:r>
    </w:p>
    <w:p>
      <w:pPr>
        <w:ind w:firstLine="363" w:firstLineChars="202"/>
        <w:rPr>
          <w:color w:val="auto"/>
          <w:sz w:val="18"/>
          <w:szCs w:val="18"/>
          <w:highlight w:val="none"/>
        </w:rPr>
      </w:pPr>
      <w:r>
        <w:rPr>
          <w:color w:val="auto"/>
          <w:sz w:val="18"/>
          <w:szCs w:val="18"/>
          <w:highlight w:val="none"/>
        </w:rPr>
        <w:t>2.</w:t>
      </w:r>
      <w:r>
        <w:rPr>
          <w:rFonts w:hint="eastAsia"/>
          <w:color w:val="auto"/>
          <w:sz w:val="18"/>
          <w:szCs w:val="18"/>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ind w:firstLine="363" w:firstLineChars="202"/>
        <w:rPr>
          <w:color w:val="auto"/>
          <w:sz w:val="18"/>
          <w:szCs w:val="18"/>
          <w:highlight w:val="none"/>
        </w:rPr>
      </w:pPr>
      <w:r>
        <w:rPr>
          <w:color w:val="auto"/>
          <w:sz w:val="18"/>
          <w:szCs w:val="18"/>
          <w:highlight w:val="none"/>
        </w:rPr>
        <w:t>3.</w:t>
      </w:r>
      <w:r>
        <w:rPr>
          <w:rFonts w:hint="eastAsia"/>
          <w:color w:val="auto"/>
          <w:sz w:val="18"/>
          <w:szCs w:val="18"/>
          <w:highlight w:val="none"/>
        </w:rPr>
        <w:t>如为联合体投标，盖章处须加盖联合体各方公章，否则投标无效。</w:t>
      </w:r>
    </w:p>
    <w:p>
      <w:pPr>
        <w:ind w:firstLine="363" w:firstLineChars="202"/>
        <w:rPr>
          <w:color w:val="auto"/>
          <w:sz w:val="18"/>
          <w:szCs w:val="18"/>
          <w:highlight w:val="none"/>
        </w:rPr>
      </w:pPr>
    </w:p>
    <w:p>
      <w:pPr>
        <w:spacing w:line="360" w:lineRule="auto"/>
        <w:rPr>
          <w:rFonts w:hint="eastAsia" w:ascii="宋体" w:hAnsi="宋体"/>
          <w:b/>
          <w:bCs/>
          <w:color w:val="auto"/>
          <w:sz w:val="24"/>
          <w:highlight w:val="none"/>
        </w:rPr>
      </w:pPr>
      <w:r>
        <w:rPr>
          <w:rFonts w:hint="eastAsia" w:ascii="宋体" w:hAnsi="宋体"/>
          <w:b/>
          <w:bCs/>
          <w:color w:val="auto"/>
          <w:sz w:val="24"/>
          <w:highlight w:val="none"/>
        </w:rPr>
        <w:t>二、政府采购供应商资格信用承诺函格式</w:t>
      </w:r>
    </w:p>
    <w:p>
      <w:pPr>
        <w:autoSpaceDE w:val="0"/>
        <w:autoSpaceDN w:val="0"/>
        <w:adjustRightInd w:val="0"/>
        <w:spacing w:line="400" w:lineRule="exact"/>
        <w:jc w:val="left"/>
        <w:rPr>
          <w:rFonts w:hint="eastAsia" w:ascii="宋体" w:hAnsi="宋体" w:cs="宋体"/>
          <w:b/>
          <w:bCs/>
          <w:color w:val="auto"/>
          <w:szCs w:val="21"/>
          <w:highlight w:val="none"/>
        </w:rPr>
      </w:pPr>
    </w:p>
    <w:p>
      <w:pPr>
        <w:autoSpaceDE w:val="0"/>
        <w:autoSpaceDN w:val="0"/>
        <w:adjustRightInd w:val="0"/>
        <w:jc w:val="center"/>
        <w:rPr>
          <w:rFonts w:hint="eastAsia" w:ascii="宋体" w:hAnsi="宋体" w:cs="宋体"/>
          <w:b/>
          <w:bCs/>
          <w:color w:val="auto"/>
          <w:szCs w:val="21"/>
          <w:highlight w:val="none"/>
        </w:rPr>
      </w:pPr>
      <w:r>
        <w:rPr>
          <w:rFonts w:hint="eastAsia" w:ascii="宋体" w:hAnsi="宋体" w:cs="宋体"/>
          <w:b/>
          <w:bCs/>
          <w:color w:val="auto"/>
          <w:szCs w:val="21"/>
          <w:highlight w:val="none"/>
        </w:rPr>
        <w:t>政府采购供应商资格信用承诺函</w:t>
      </w:r>
    </w:p>
    <w:p>
      <w:pPr>
        <w:pStyle w:val="30"/>
        <w:rPr>
          <w:rFonts w:hint="eastAsia" w:ascii="宋体" w:hAnsi="宋体" w:cs="宋体"/>
          <w:color w:val="auto"/>
          <w:sz w:val="21"/>
          <w:szCs w:val="21"/>
          <w:highlight w:val="none"/>
        </w:rPr>
      </w:pPr>
    </w:p>
    <w:p>
      <w:pPr>
        <w:autoSpaceDE w:val="0"/>
        <w:autoSpaceDN w:val="0"/>
        <w:adjustRightInd w:val="0"/>
        <w:spacing w:line="360" w:lineRule="auto"/>
        <w:ind w:firstLine="444"/>
        <w:rPr>
          <w:rFonts w:hint="eastAsia" w:ascii="宋体" w:hAnsi="宋体"/>
          <w:color w:val="auto"/>
          <w:spacing w:val="6"/>
          <w:szCs w:val="21"/>
          <w:highlight w:val="none"/>
        </w:rPr>
      </w:pPr>
      <w:r>
        <w:rPr>
          <w:rFonts w:hint="eastAsia" w:ascii="宋体" w:hAnsi="宋体"/>
          <w:color w:val="auto"/>
          <w:spacing w:val="6"/>
          <w:szCs w:val="21"/>
          <w:highlight w:val="none"/>
        </w:rPr>
        <w:t>致：</w:t>
      </w:r>
      <w:r>
        <w:rPr>
          <w:rFonts w:hint="eastAsia" w:ascii="宋体" w:hAnsi="宋体"/>
          <w:color w:val="auto"/>
          <w:spacing w:val="6"/>
          <w:szCs w:val="21"/>
          <w:highlight w:val="none"/>
          <w:u w:val="single"/>
        </w:rPr>
        <w:t>（采购人名称）、（代理机构名称）</w:t>
      </w:r>
      <w:r>
        <w:rPr>
          <w:rFonts w:hint="eastAsia" w:ascii="宋体" w:hAnsi="宋体"/>
          <w:color w:val="auto"/>
          <w:spacing w:val="6"/>
          <w:szCs w:val="21"/>
          <w:highlight w:val="none"/>
        </w:rPr>
        <w:t>：</w:t>
      </w:r>
    </w:p>
    <w:p>
      <w:pPr>
        <w:autoSpaceDE w:val="0"/>
        <w:autoSpaceDN w:val="0"/>
        <w:adjustRightInd w:val="0"/>
        <w:spacing w:line="360" w:lineRule="auto"/>
        <w:ind w:firstLine="444"/>
        <w:rPr>
          <w:rFonts w:hint="eastAsia" w:ascii="宋体" w:hAnsi="宋体"/>
          <w:color w:val="auto"/>
          <w:spacing w:val="6"/>
          <w:szCs w:val="21"/>
          <w:highlight w:val="none"/>
        </w:rPr>
      </w:pPr>
      <w:r>
        <w:rPr>
          <w:rFonts w:hint="eastAsia" w:ascii="宋体" w:hAnsi="宋体"/>
          <w:color w:val="auto"/>
          <w:spacing w:val="6"/>
          <w:szCs w:val="21"/>
          <w:highlight w:val="none"/>
        </w:rPr>
        <w:t>我方自愿参加</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项目（项目编号：</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）的政府采购活动，并郑重承诺我方符合《中华人民共和国政府采购法》第二十二条规定的条件：</w:t>
      </w:r>
    </w:p>
    <w:p>
      <w:pPr>
        <w:autoSpaceDE w:val="0"/>
        <w:autoSpaceDN w:val="0"/>
        <w:adjustRightInd w:val="0"/>
        <w:spacing w:line="360" w:lineRule="auto"/>
        <w:ind w:firstLine="444"/>
        <w:rPr>
          <w:rFonts w:hint="eastAsia" w:ascii="宋体" w:hAnsi="宋体"/>
          <w:color w:val="auto"/>
          <w:spacing w:val="6"/>
          <w:szCs w:val="21"/>
          <w:highlight w:val="none"/>
        </w:rPr>
      </w:pPr>
      <w:r>
        <w:rPr>
          <w:rFonts w:hint="eastAsia" w:ascii="宋体" w:hAnsi="宋体"/>
          <w:color w:val="auto"/>
          <w:spacing w:val="6"/>
          <w:szCs w:val="21"/>
          <w:highlight w:val="none"/>
        </w:rPr>
        <w:t xml:space="preserve">（一）具有独立承担民事责任的能力； </w:t>
      </w:r>
    </w:p>
    <w:p>
      <w:pPr>
        <w:autoSpaceDE w:val="0"/>
        <w:autoSpaceDN w:val="0"/>
        <w:adjustRightInd w:val="0"/>
        <w:spacing w:line="360" w:lineRule="auto"/>
        <w:ind w:firstLine="444"/>
        <w:rPr>
          <w:rFonts w:hint="eastAsia" w:ascii="宋体" w:hAnsi="宋体"/>
          <w:color w:val="auto"/>
          <w:spacing w:val="6"/>
          <w:szCs w:val="21"/>
          <w:highlight w:val="none"/>
        </w:rPr>
      </w:pPr>
      <w:r>
        <w:rPr>
          <w:rFonts w:hint="eastAsia" w:ascii="宋体" w:hAnsi="宋体"/>
          <w:color w:val="auto"/>
          <w:spacing w:val="6"/>
          <w:szCs w:val="21"/>
          <w:highlight w:val="none"/>
        </w:rPr>
        <w:t xml:space="preserve">（二）具有良好的商业信誉和健全的财务会计制度； </w:t>
      </w:r>
    </w:p>
    <w:p>
      <w:pPr>
        <w:autoSpaceDE w:val="0"/>
        <w:autoSpaceDN w:val="0"/>
        <w:adjustRightInd w:val="0"/>
        <w:spacing w:line="360" w:lineRule="auto"/>
        <w:ind w:firstLine="444"/>
        <w:rPr>
          <w:rFonts w:hint="eastAsia" w:ascii="宋体" w:hAnsi="宋体"/>
          <w:color w:val="auto"/>
          <w:spacing w:val="6"/>
          <w:szCs w:val="21"/>
          <w:highlight w:val="none"/>
        </w:rPr>
      </w:pPr>
      <w:r>
        <w:rPr>
          <w:rFonts w:hint="eastAsia" w:ascii="宋体" w:hAnsi="宋体"/>
          <w:color w:val="auto"/>
          <w:spacing w:val="6"/>
          <w:szCs w:val="21"/>
          <w:highlight w:val="none"/>
        </w:rPr>
        <w:t xml:space="preserve">（三）具有履行合同所必需的设备和专业技术能力； </w:t>
      </w:r>
    </w:p>
    <w:p>
      <w:pPr>
        <w:autoSpaceDE w:val="0"/>
        <w:autoSpaceDN w:val="0"/>
        <w:adjustRightInd w:val="0"/>
        <w:spacing w:line="360" w:lineRule="auto"/>
        <w:ind w:firstLine="444"/>
        <w:rPr>
          <w:rFonts w:hint="eastAsia" w:ascii="宋体" w:hAnsi="宋体"/>
          <w:color w:val="auto"/>
          <w:spacing w:val="6"/>
          <w:szCs w:val="21"/>
          <w:highlight w:val="none"/>
        </w:rPr>
      </w:pPr>
      <w:r>
        <w:rPr>
          <w:rFonts w:hint="eastAsia" w:ascii="宋体" w:hAnsi="宋体"/>
          <w:color w:val="auto"/>
          <w:spacing w:val="6"/>
          <w:szCs w:val="21"/>
          <w:highlight w:val="none"/>
        </w:rPr>
        <w:t xml:space="preserve">（四）有依法缴纳税收和社会保障资金的良好记录； </w:t>
      </w:r>
    </w:p>
    <w:p>
      <w:pPr>
        <w:autoSpaceDE w:val="0"/>
        <w:autoSpaceDN w:val="0"/>
        <w:adjustRightInd w:val="0"/>
        <w:spacing w:line="360" w:lineRule="auto"/>
        <w:ind w:firstLine="444"/>
        <w:rPr>
          <w:rFonts w:hint="eastAsia" w:ascii="宋体" w:hAnsi="宋体"/>
          <w:color w:val="auto"/>
          <w:spacing w:val="6"/>
          <w:szCs w:val="21"/>
          <w:highlight w:val="none"/>
        </w:rPr>
      </w:pPr>
      <w:r>
        <w:rPr>
          <w:rFonts w:hint="eastAsia" w:ascii="宋体" w:hAnsi="宋体"/>
          <w:color w:val="auto"/>
          <w:spacing w:val="6"/>
          <w:szCs w:val="21"/>
          <w:highlight w:val="none"/>
        </w:rPr>
        <w:t xml:space="preserve">（五）参加政府采购活动前三年内，在经营活动中没有重大违法记录； </w:t>
      </w:r>
    </w:p>
    <w:p>
      <w:pPr>
        <w:autoSpaceDE w:val="0"/>
        <w:autoSpaceDN w:val="0"/>
        <w:adjustRightInd w:val="0"/>
        <w:spacing w:line="360" w:lineRule="auto"/>
        <w:ind w:firstLine="444"/>
        <w:rPr>
          <w:rFonts w:hint="eastAsia" w:ascii="宋体" w:hAnsi="宋体"/>
          <w:color w:val="auto"/>
          <w:spacing w:val="6"/>
          <w:szCs w:val="21"/>
          <w:highlight w:val="none"/>
        </w:rPr>
      </w:pPr>
      <w:r>
        <w:rPr>
          <w:rFonts w:hint="eastAsia" w:ascii="宋体" w:hAnsi="宋体"/>
          <w:color w:val="auto"/>
          <w:spacing w:val="6"/>
          <w:szCs w:val="21"/>
          <w:highlight w:val="none"/>
        </w:rPr>
        <w:t xml:space="preserve">（六）法律、行政法规规定的其他条件。 </w:t>
      </w:r>
    </w:p>
    <w:p>
      <w:pPr>
        <w:autoSpaceDE w:val="0"/>
        <w:autoSpaceDN w:val="0"/>
        <w:adjustRightInd w:val="0"/>
        <w:spacing w:line="360" w:lineRule="auto"/>
        <w:ind w:firstLine="444"/>
        <w:rPr>
          <w:rFonts w:hint="eastAsia" w:ascii="宋体" w:hAnsi="宋体"/>
          <w:color w:val="auto"/>
          <w:spacing w:val="6"/>
          <w:szCs w:val="21"/>
          <w:highlight w:val="none"/>
        </w:rPr>
      </w:pPr>
      <w:r>
        <w:rPr>
          <w:rFonts w:hint="eastAsia" w:ascii="宋体" w:hAnsi="宋体"/>
          <w:color w:val="auto"/>
          <w:spacing w:val="6"/>
          <w:szCs w:val="21"/>
          <w:highlight w:val="none"/>
        </w:rPr>
        <w:t xml:space="preserve">我方保证上述承诺事项的真实性，如有弄虚作假或其他违法违规行为，愿意承担一切法律责任，并承担因此所造成的一切损失。 </w:t>
      </w:r>
    </w:p>
    <w:p>
      <w:pPr>
        <w:autoSpaceDE w:val="0"/>
        <w:autoSpaceDN w:val="0"/>
        <w:adjustRightInd w:val="0"/>
        <w:spacing w:line="360" w:lineRule="auto"/>
        <w:ind w:firstLine="446"/>
        <w:rPr>
          <w:rFonts w:hint="eastAsia" w:ascii="宋体" w:hAnsi="宋体"/>
          <w:color w:val="auto"/>
          <w:spacing w:val="6"/>
          <w:szCs w:val="21"/>
          <w:highlight w:val="none"/>
        </w:rPr>
      </w:pPr>
      <w:r>
        <w:rPr>
          <w:rFonts w:hint="eastAsia" w:ascii="宋体" w:hAnsi="宋体"/>
          <w:b/>
          <w:bCs/>
          <w:color w:val="auto"/>
          <w:spacing w:val="6"/>
          <w:szCs w:val="21"/>
          <w:highlight w:val="none"/>
        </w:rPr>
        <w:t>特此声明！</w:t>
      </w:r>
      <w:r>
        <w:rPr>
          <w:rFonts w:hint="eastAsia" w:ascii="宋体" w:hAnsi="宋体"/>
          <w:color w:val="auto"/>
          <w:spacing w:val="6"/>
          <w:szCs w:val="21"/>
          <w:highlight w:val="none"/>
        </w:rPr>
        <w:t xml:space="preserve"> </w:t>
      </w:r>
    </w:p>
    <w:p>
      <w:pPr>
        <w:pStyle w:val="36"/>
        <w:spacing w:line="360" w:lineRule="auto"/>
        <w:ind w:firstLine="444"/>
        <w:rPr>
          <w:rFonts w:hint="eastAsia" w:ascii="宋体" w:hAnsi="宋体"/>
          <w:color w:val="auto"/>
          <w:spacing w:val="6"/>
          <w:szCs w:val="21"/>
          <w:highlight w:val="none"/>
        </w:rPr>
      </w:pPr>
    </w:p>
    <w:p>
      <w:pPr>
        <w:spacing w:line="360" w:lineRule="auto"/>
        <w:ind w:firstLine="420"/>
        <w:rPr>
          <w:rFonts w:hint="eastAsia" w:ascii="宋体" w:hAnsi="宋体"/>
          <w:color w:val="auto"/>
          <w:szCs w:val="21"/>
          <w:highlight w:val="none"/>
        </w:rPr>
      </w:pPr>
    </w:p>
    <w:p>
      <w:pPr>
        <w:pStyle w:val="20"/>
        <w:tabs>
          <w:tab w:val="left" w:pos="5529"/>
        </w:tabs>
        <w:wordWrap w:val="0"/>
        <w:ind w:firstLine="2509" w:firstLineChars="1195"/>
        <w:rPr>
          <w:rFonts w:hint="eastAsia" w:hAnsi="宋体"/>
          <w:color w:val="auto"/>
          <w:kern w:val="2"/>
          <w:sz w:val="21"/>
          <w:highlight w:val="none"/>
          <w:u w:val="single"/>
        </w:rPr>
      </w:pPr>
      <w:r>
        <w:rPr>
          <w:rFonts w:hint="eastAsia" w:hAnsi="宋体"/>
          <w:color w:val="auto"/>
          <w:kern w:val="2"/>
          <w:sz w:val="21"/>
          <w:highlight w:val="none"/>
        </w:rPr>
        <w:t>供应商名称（</w:t>
      </w:r>
      <w:r>
        <w:rPr>
          <w:rFonts w:hint="eastAsia" w:hAnsi="宋体"/>
          <w:color w:val="auto"/>
          <w:sz w:val="21"/>
          <w:highlight w:val="none"/>
        </w:rPr>
        <w:t>电子公章</w:t>
      </w:r>
      <w:r>
        <w:rPr>
          <w:rFonts w:hint="eastAsia" w:hAnsi="宋体"/>
          <w:color w:val="auto"/>
          <w:kern w:val="2"/>
          <w:sz w:val="21"/>
          <w:highlight w:val="non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pPr>
        <w:pStyle w:val="20"/>
        <w:tabs>
          <w:tab w:val="left" w:pos="5529"/>
        </w:tabs>
        <w:wordWrap w:val="0"/>
        <w:ind w:firstLine="3968" w:firstLineChars="1890"/>
        <w:rPr>
          <w:rFonts w:hint="eastAsia" w:hAnsi="宋体"/>
          <w:color w:val="auto"/>
          <w:kern w:val="2"/>
          <w:sz w:val="21"/>
          <w:highlight w:val="none"/>
        </w:rPr>
      </w:pPr>
      <w:r>
        <w:rPr>
          <w:rFonts w:hint="eastAsia" w:hAnsi="宋体"/>
          <w:color w:val="auto"/>
          <w:kern w:val="2"/>
          <w:sz w:val="21"/>
          <w:highlight w:val="none"/>
        </w:rPr>
        <w:t xml:space="preserve">                                 </w:t>
      </w:r>
    </w:p>
    <w:p>
      <w:pPr>
        <w:tabs>
          <w:tab w:val="left" w:pos="4111"/>
        </w:tabs>
        <w:wordWrap w:val="0"/>
        <w:snapToGrid w:val="0"/>
        <w:spacing w:before="50"/>
        <w:ind w:firstLine="2520" w:firstLineChars="1200"/>
        <w:rPr>
          <w:rFonts w:hint="eastAsia" w:hAnsi="宋体"/>
          <w:color w:val="auto"/>
          <w:highlight w:val="none"/>
        </w:rPr>
      </w:pPr>
      <w:r>
        <w:rPr>
          <w:rFonts w:hint="eastAsia" w:hAnsi="宋体"/>
          <w:color w:val="auto"/>
          <w:highlight w:val="none"/>
        </w:rPr>
        <w:t>法定代表人或委托代理人(签字或者电子签名或者加盖电子印章)：</w:t>
      </w:r>
      <w:r>
        <w:rPr>
          <w:rFonts w:hint="eastAsia" w:hAnsi="宋体"/>
          <w:color w:val="auto"/>
          <w:highlight w:val="none"/>
          <w:u w:val="single"/>
        </w:rPr>
        <w:t xml:space="preserve">         </w:t>
      </w:r>
    </w:p>
    <w:p>
      <w:pPr>
        <w:tabs>
          <w:tab w:val="left" w:pos="4111"/>
        </w:tabs>
        <w:wordWrap w:val="0"/>
        <w:snapToGrid w:val="0"/>
        <w:spacing w:before="50"/>
        <w:ind w:firstLine="3968" w:firstLineChars="1890"/>
        <w:rPr>
          <w:rFonts w:hint="eastAsia" w:hAnsi="宋体"/>
          <w:color w:val="auto"/>
          <w:highlight w:val="none"/>
        </w:rPr>
      </w:pPr>
    </w:p>
    <w:p>
      <w:pPr>
        <w:pStyle w:val="20"/>
        <w:wordWrap w:val="0"/>
        <w:ind w:firstLine="420"/>
        <w:jc w:val="right"/>
        <w:rPr>
          <w:rFonts w:hint="eastAsia"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pPr>
        <w:snapToGrid w:val="0"/>
        <w:spacing w:before="156" w:beforeLines="50" w:after="50" w:line="400" w:lineRule="exact"/>
        <w:rPr>
          <w:rFonts w:hint="eastAsia" w:ascii="宋体" w:hAnsi="宋体" w:cs="宋体"/>
          <w:b/>
          <w:color w:val="auto"/>
          <w:highlight w:val="none"/>
        </w:rPr>
      </w:pPr>
    </w:p>
    <w:p>
      <w:pPr>
        <w:snapToGrid w:val="0"/>
        <w:spacing w:before="156" w:beforeLines="50" w:after="50" w:line="400" w:lineRule="exact"/>
        <w:rPr>
          <w:rFonts w:hint="eastAsia" w:ascii="宋体" w:hAnsi="宋体" w:cs="宋体"/>
          <w:b/>
          <w:color w:val="auto"/>
          <w:highlight w:val="none"/>
        </w:rPr>
      </w:pPr>
    </w:p>
    <w:p>
      <w:pPr>
        <w:snapToGrid w:val="0"/>
        <w:spacing w:before="156" w:beforeLines="50" w:after="50" w:line="400" w:lineRule="exact"/>
        <w:rPr>
          <w:rFonts w:hint="eastAsia" w:ascii="宋体" w:hAnsi="宋体" w:cs="宋体"/>
          <w:b/>
          <w:color w:val="auto"/>
          <w:highlight w:val="none"/>
        </w:rPr>
      </w:pPr>
    </w:p>
    <w:p>
      <w:pPr>
        <w:snapToGrid w:val="0"/>
        <w:spacing w:before="156" w:beforeLines="50" w:after="50" w:line="400" w:lineRule="exact"/>
        <w:rPr>
          <w:rFonts w:hint="eastAsia" w:ascii="宋体" w:hAnsi="宋体" w:cs="宋体"/>
          <w:b/>
          <w:color w:val="auto"/>
          <w:highlight w:val="none"/>
        </w:rPr>
      </w:pPr>
    </w:p>
    <w:p>
      <w:pPr>
        <w:snapToGrid w:val="0"/>
        <w:spacing w:before="156" w:beforeLines="50" w:after="50" w:line="400" w:lineRule="exact"/>
        <w:rPr>
          <w:rFonts w:hint="eastAsia" w:ascii="宋体" w:hAnsi="宋体" w:cs="宋体"/>
          <w:b/>
          <w:color w:val="auto"/>
          <w:highlight w:val="none"/>
        </w:rPr>
      </w:pPr>
    </w:p>
    <w:p>
      <w:pPr>
        <w:snapToGrid w:val="0"/>
        <w:spacing w:before="156" w:beforeLines="50" w:after="50" w:line="400" w:lineRule="exact"/>
        <w:rPr>
          <w:rFonts w:hint="eastAsia" w:ascii="宋体" w:hAnsi="宋体" w:cs="宋体"/>
          <w:b/>
          <w:color w:val="auto"/>
          <w:highlight w:val="none"/>
        </w:rPr>
      </w:pPr>
    </w:p>
    <w:p>
      <w:pPr>
        <w:snapToGrid w:val="0"/>
        <w:spacing w:before="156" w:beforeLines="50" w:after="50" w:line="400" w:lineRule="exact"/>
        <w:rPr>
          <w:rFonts w:hint="eastAsia" w:ascii="宋体" w:hAnsi="宋体" w:cs="宋体"/>
          <w:b/>
          <w:color w:val="auto"/>
          <w:highlight w:val="none"/>
        </w:rPr>
      </w:pPr>
    </w:p>
    <w:p>
      <w:pPr>
        <w:snapToGrid w:val="0"/>
        <w:spacing w:before="156" w:beforeLines="50" w:after="50" w:line="400" w:lineRule="exact"/>
        <w:rPr>
          <w:rFonts w:hint="eastAsia" w:ascii="宋体" w:hAnsi="宋体" w:cs="宋体"/>
          <w:b/>
          <w:color w:val="auto"/>
          <w:highlight w:val="none"/>
        </w:rPr>
      </w:pPr>
    </w:p>
    <w:p>
      <w:pPr>
        <w:spacing w:line="360" w:lineRule="auto"/>
        <w:rPr>
          <w:rFonts w:hint="eastAsia" w:ascii="宋体" w:hAnsi="宋体"/>
          <w:b/>
          <w:bCs/>
          <w:color w:val="auto"/>
          <w:sz w:val="24"/>
          <w:highlight w:val="none"/>
        </w:rPr>
      </w:pPr>
      <w:r>
        <w:rPr>
          <w:rFonts w:hint="eastAsia" w:ascii="宋体" w:hAnsi="宋体"/>
          <w:b/>
          <w:bCs/>
          <w:color w:val="auto"/>
          <w:sz w:val="24"/>
          <w:highlight w:val="none"/>
        </w:rPr>
        <w:t>三、供应商直接控股、管理关系信息表格式</w:t>
      </w:r>
    </w:p>
    <w:p>
      <w:pPr>
        <w:snapToGrid w:val="0"/>
        <w:spacing w:before="156" w:beforeLines="50" w:after="50" w:line="360" w:lineRule="auto"/>
        <w:ind w:firstLine="643"/>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r>
        <w:rPr>
          <w:rFonts w:hint="eastAsia" w:hAnsi="宋体" w:cs="宋体"/>
          <w:b/>
          <w:color w:val="auto"/>
          <w:sz w:val="32"/>
          <w:highlight w:val="none"/>
        </w:rPr>
        <w:t>（格式）</w:t>
      </w:r>
    </w:p>
    <w:tbl>
      <w:tblPr>
        <w:tblStyle w:val="37"/>
        <w:tblW w:w="9840" w:type="dxa"/>
        <w:jc w:val="center"/>
        <w:shd w:val="clear" w:color="auto" w:fill="FBFBFB"/>
        <w:tblLayout w:type="fixed"/>
        <w:tblCellMar>
          <w:top w:w="0" w:type="dxa"/>
          <w:left w:w="0" w:type="dxa"/>
          <w:bottom w:w="0" w:type="dxa"/>
          <w:right w:w="0" w:type="dxa"/>
        </w:tblCellMar>
      </w:tblPr>
      <w:tblGrid>
        <w:gridCol w:w="880"/>
        <w:gridCol w:w="2656"/>
        <w:gridCol w:w="1455"/>
        <w:gridCol w:w="3857"/>
        <w:gridCol w:w="992"/>
      </w:tblGrid>
      <w:tr>
        <w:tblPrEx>
          <w:shd w:val="clear" w:color="auto" w:fill="FBFBFB"/>
          <w:tblCellMar>
            <w:top w:w="0" w:type="dxa"/>
            <w:left w:w="0" w:type="dxa"/>
            <w:bottom w:w="0" w:type="dxa"/>
            <w:right w:w="0" w:type="dxa"/>
          </w:tblCellMar>
        </w:tblPrEx>
        <w:trPr>
          <w:trHeight w:val="431"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38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身份证号码或统一社会信用代码</w:t>
            </w:r>
          </w:p>
        </w:tc>
        <w:tc>
          <w:tcPr>
            <w:tcW w:w="9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199" w:firstLineChars="95"/>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38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199" w:firstLineChars="95"/>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38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199" w:firstLineChars="95"/>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38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38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r>
    </w:tbl>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注：</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3.供应商不存在直接控股股东的，则填“无”。</w:t>
      </w:r>
    </w:p>
    <w:p>
      <w:pPr>
        <w:snapToGrid w:val="0"/>
        <w:spacing w:line="360" w:lineRule="auto"/>
        <w:ind w:firstLine="420"/>
        <w:jc w:val="left"/>
        <w:rPr>
          <w:rFonts w:hint="eastAsia" w:ascii="宋体" w:hAnsi="宋体" w:cs="宋体"/>
          <w:color w:val="auto"/>
          <w:szCs w:val="21"/>
          <w:highlight w:val="none"/>
        </w:rPr>
      </w:pPr>
    </w:p>
    <w:p>
      <w:pPr>
        <w:snapToGrid w:val="0"/>
        <w:spacing w:line="360" w:lineRule="auto"/>
        <w:ind w:firstLine="420"/>
        <w:jc w:val="left"/>
        <w:rPr>
          <w:rFonts w:hint="eastAsia" w:ascii="宋体" w:hAnsi="宋体" w:cs="宋体"/>
          <w:color w:val="auto"/>
          <w:szCs w:val="21"/>
          <w:highlight w:val="none"/>
        </w:rPr>
      </w:pPr>
    </w:p>
    <w:p>
      <w:pPr>
        <w:snapToGrid w:val="0"/>
        <w:spacing w:line="360" w:lineRule="auto"/>
        <w:ind w:firstLine="420"/>
        <w:jc w:val="left"/>
        <w:rPr>
          <w:rFonts w:hint="eastAsia" w:ascii="宋体" w:hAnsi="宋体" w:cs="宋体"/>
          <w:color w:val="auto"/>
          <w:szCs w:val="21"/>
          <w:highlight w:val="none"/>
        </w:rPr>
      </w:pPr>
    </w:p>
    <w:p>
      <w:pPr>
        <w:pStyle w:val="20"/>
        <w:tabs>
          <w:tab w:val="left" w:pos="5529"/>
        </w:tabs>
        <w:wordWrap w:val="0"/>
        <w:ind w:firstLine="2299" w:firstLineChars="1095"/>
        <w:rPr>
          <w:rFonts w:hint="eastAsia" w:hAnsi="宋体"/>
          <w:color w:val="auto"/>
          <w:kern w:val="2"/>
          <w:sz w:val="21"/>
          <w:highlight w:val="none"/>
          <w:u w:val="single"/>
        </w:rPr>
      </w:pPr>
      <w:r>
        <w:rPr>
          <w:rFonts w:hint="eastAsia" w:hAnsi="宋体"/>
          <w:color w:val="auto"/>
          <w:kern w:val="2"/>
          <w:sz w:val="21"/>
          <w:highlight w:val="none"/>
        </w:rPr>
        <w:t>供应商名称（</w:t>
      </w:r>
      <w:r>
        <w:rPr>
          <w:rFonts w:hint="eastAsia" w:hAnsi="宋体"/>
          <w:color w:val="auto"/>
          <w:sz w:val="21"/>
          <w:highlight w:val="none"/>
        </w:rPr>
        <w:t>电子公章</w:t>
      </w:r>
      <w:r>
        <w:rPr>
          <w:rFonts w:hint="eastAsia" w:hAnsi="宋体"/>
          <w:color w:val="auto"/>
          <w:kern w:val="2"/>
          <w:sz w:val="21"/>
          <w:highlight w:val="non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pPr>
        <w:pStyle w:val="20"/>
        <w:tabs>
          <w:tab w:val="left" w:pos="5529"/>
        </w:tabs>
        <w:wordWrap w:val="0"/>
        <w:ind w:firstLine="3968" w:firstLineChars="1890"/>
        <w:rPr>
          <w:rFonts w:hint="eastAsia" w:hAnsi="宋体"/>
          <w:color w:val="auto"/>
          <w:kern w:val="2"/>
          <w:sz w:val="21"/>
          <w:highlight w:val="none"/>
        </w:rPr>
      </w:pPr>
      <w:r>
        <w:rPr>
          <w:rFonts w:hint="eastAsia" w:hAnsi="宋体"/>
          <w:color w:val="auto"/>
          <w:kern w:val="2"/>
          <w:sz w:val="21"/>
          <w:highlight w:val="none"/>
        </w:rPr>
        <w:t xml:space="preserve">                                 </w:t>
      </w:r>
    </w:p>
    <w:p>
      <w:pPr>
        <w:tabs>
          <w:tab w:val="left" w:pos="4111"/>
        </w:tabs>
        <w:wordWrap w:val="0"/>
        <w:snapToGrid w:val="0"/>
        <w:spacing w:before="50"/>
        <w:ind w:firstLine="2310" w:firstLineChars="1100"/>
        <w:rPr>
          <w:rFonts w:hint="eastAsia" w:hAnsi="宋体"/>
          <w:color w:val="auto"/>
          <w:highlight w:val="none"/>
        </w:rPr>
      </w:pPr>
      <w:r>
        <w:rPr>
          <w:rFonts w:hint="eastAsia" w:hAnsi="宋体"/>
          <w:color w:val="auto"/>
          <w:highlight w:val="none"/>
        </w:rPr>
        <w:t>法定代表人或委托代理人(签字或者电子签名或者加盖电子印章)：</w:t>
      </w:r>
      <w:r>
        <w:rPr>
          <w:rFonts w:hint="eastAsia" w:hAnsi="宋体"/>
          <w:color w:val="auto"/>
          <w:highlight w:val="none"/>
          <w:u w:val="single"/>
        </w:rPr>
        <w:t xml:space="preserve">           </w:t>
      </w:r>
    </w:p>
    <w:p>
      <w:pPr>
        <w:tabs>
          <w:tab w:val="left" w:pos="4111"/>
        </w:tabs>
        <w:wordWrap w:val="0"/>
        <w:snapToGrid w:val="0"/>
        <w:spacing w:before="50"/>
        <w:ind w:firstLine="3968" w:firstLineChars="1890"/>
        <w:rPr>
          <w:rFonts w:hint="eastAsia" w:hAnsi="宋体"/>
          <w:color w:val="auto"/>
          <w:highlight w:val="none"/>
        </w:rPr>
      </w:pPr>
    </w:p>
    <w:p>
      <w:pPr>
        <w:snapToGrid w:val="0"/>
        <w:jc w:val="right"/>
        <w:rPr>
          <w:rFonts w:hint="eastAsia" w:hAnsi="宋体"/>
          <w:color w:val="auto"/>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snapToGrid w:val="0"/>
        <w:jc w:val="right"/>
        <w:rPr>
          <w:rFonts w:hint="eastAsia" w:hAnsi="宋体"/>
          <w:color w:val="auto"/>
          <w:highlight w:val="none"/>
        </w:rPr>
      </w:pPr>
    </w:p>
    <w:p>
      <w:pPr>
        <w:snapToGrid w:val="0"/>
        <w:jc w:val="left"/>
        <w:rPr>
          <w:rFonts w:hint="eastAsia" w:ascii="宋体" w:hAnsi="宋体" w:cs="宋体"/>
          <w:b/>
          <w:color w:val="auto"/>
          <w:szCs w:val="21"/>
          <w:highlight w:val="none"/>
        </w:rPr>
      </w:pPr>
      <w:r>
        <w:rPr>
          <w:rFonts w:hAnsi="宋体"/>
          <w:color w:val="auto"/>
          <w:highlight w:val="none"/>
        </w:rPr>
        <w:br w:type="page"/>
      </w:r>
      <w:r>
        <w:rPr>
          <w:rFonts w:hint="eastAsia" w:ascii="宋体" w:hAnsi="宋体" w:cs="宋体"/>
          <w:b/>
          <w:color w:val="auto"/>
          <w:szCs w:val="21"/>
          <w:highlight w:val="none"/>
        </w:rPr>
        <w:t>附件</w:t>
      </w:r>
    </w:p>
    <w:p>
      <w:pPr>
        <w:pStyle w:val="20"/>
        <w:ind w:firstLine="400"/>
        <w:jc w:val="right"/>
        <w:rPr>
          <w:rFonts w:hint="eastAsia" w:hAnsi="宋体" w:cs="宋体"/>
          <w:color w:val="auto"/>
          <w:highlight w:val="none"/>
        </w:rPr>
      </w:pPr>
    </w:p>
    <w:p>
      <w:pPr>
        <w:spacing w:before="100" w:beforeAutospacing="1" w:after="156" w:afterLines="50"/>
        <w:jc w:val="center"/>
        <w:rPr>
          <w:b/>
          <w:color w:val="auto"/>
          <w:sz w:val="32"/>
          <w:szCs w:val="32"/>
          <w:highlight w:val="none"/>
        </w:rPr>
      </w:pPr>
      <w:r>
        <w:rPr>
          <w:rFonts w:hint="eastAsia"/>
          <w:b/>
          <w:color w:val="auto"/>
          <w:sz w:val="32"/>
          <w:szCs w:val="32"/>
          <w:highlight w:val="none"/>
        </w:rPr>
        <w:t>供应商直接管理关系信息表</w:t>
      </w:r>
      <w:r>
        <w:rPr>
          <w:rFonts w:hint="eastAsia" w:hAnsi="宋体" w:cs="宋体"/>
          <w:b/>
          <w:color w:val="auto"/>
          <w:sz w:val="32"/>
          <w:highlight w:val="none"/>
        </w:rPr>
        <w:t>（格式）</w:t>
      </w:r>
    </w:p>
    <w:tbl>
      <w:tblPr>
        <w:tblStyle w:val="37"/>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2"/>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2"/>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2"/>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149" w:firstLineChars="71"/>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149" w:firstLineChars="71"/>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149" w:firstLineChars="71"/>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ind w:firstLine="420"/>
              <w:jc w:val="center"/>
              <w:rPr>
                <w:rFonts w:hint="eastAsia" w:ascii="宋体" w:hAnsi="宋体" w:cs="宋体"/>
                <w:color w:val="auto"/>
                <w:kern w:val="0"/>
                <w:szCs w:val="21"/>
                <w:highlight w:val="none"/>
              </w:rPr>
            </w:pPr>
          </w:p>
        </w:tc>
      </w:tr>
    </w:tbl>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pacing w:val="-6"/>
          <w:szCs w:val="21"/>
          <w:highlight w:val="none"/>
        </w:rPr>
        <w:t>本表所指的管理关系仅限于直接管理关系，不包括间接的管理关系。</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3.供应商不存在直接管理关系的，则填“无”。</w:t>
      </w:r>
    </w:p>
    <w:p>
      <w:pPr>
        <w:snapToGrid w:val="0"/>
        <w:spacing w:line="360" w:lineRule="auto"/>
        <w:ind w:firstLine="420"/>
        <w:jc w:val="left"/>
        <w:rPr>
          <w:rFonts w:hint="eastAsia" w:ascii="宋体" w:hAnsi="宋体"/>
          <w:color w:val="auto"/>
          <w:szCs w:val="21"/>
          <w:highlight w:val="none"/>
        </w:rPr>
      </w:pPr>
    </w:p>
    <w:p>
      <w:pPr>
        <w:snapToGrid w:val="0"/>
        <w:spacing w:line="360" w:lineRule="auto"/>
        <w:ind w:firstLine="420"/>
        <w:jc w:val="left"/>
        <w:rPr>
          <w:rFonts w:hint="eastAsia" w:ascii="宋体" w:hAnsi="宋体"/>
          <w:color w:val="auto"/>
          <w:szCs w:val="21"/>
          <w:highlight w:val="none"/>
        </w:rPr>
      </w:pPr>
    </w:p>
    <w:p>
      <w:pPr>
        <w:snapToGrid w:val="0"/>
        <w:ind w:firstLine="560"/>
        <w:jc w:val="left"/>
        <w:rPr>
          <w:color w:val="auto"/>
          <w:sz w:val="28"/>
          <w:szCs w:val="28"/>
          <w:highlight w:val="none"/>
        </w:rPr>
      </w:pPr>
    </w:p>
    <w:p>
      <w:pPr>
        <w:snapToGrid w:val="0"/>
        <w:ind w:firstLine="560"/>
        <w:jc w:val="left"/>
        <w:rPr>
          <w:color w:val="auto"/>
          <w:sz w:val="28"/>
          <w:szCs w:val="28"/>
          <w:highlight w:val="none"/>
        </w:rPr>
      </w:pPr>
    </w:p>
    <w:p>
      <w:pPr>
        <w:pStyle w:val="20"/>
        <w:tabs>
          <w:tab w:val="left" w:pos="5529"/>
        </w:tabs>
        <w:wordWrap w:val="0"/>
        <w:ind w:firstLine="2299" w:firstLineChars="1095"/>
        <w:rPr>
          <w:rFonts w:hint="eastAsia" w:hAnsi="宋体"/>
          <w:color w:val="auto"/>
          <w:kern w:val="2"/>
          <w:sz w:val="21"/>
          <w:highlight w:val="none"/>
          <w:u w:val="single"/>
        </w:rPr>
      </w:pPr>
      <w:r>
        <w:rPr>
          <w:rFonts w:hint="eastAsia" w:hAnsi="宋体"/>
          <w:color w:val="auto"/>
          <w:kern w:val="2"/>
          <w:sz w:val="21"/>
          <w:highlight w:val="none"/>
        </w:rPr>
        <w:t>供应商名称（</w:t>
      </w:r>
      <w:r>
        <w:rPr>
          <w:rFonts w:hint="eastAsia" w:hAnsi="宋体"/>
          <w:color w:val="auto"/>
          <w:sz w:val="21"/>
          <w:highlight w:val="none"/>
        </w:rPr>
        <w:t>电子公章</w:t>
      </w:r>
      <w:r>
        <w:rPr>
          <w:rFonts w:hint="eastAsia" w:hAnsi="宋体"/>
          <w:color w:val="auto"/>
          <w:kern w:val="2"/>
          <w:sz w:val="21"/>
          <w:highlight w:val="non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pPr>
        <w:pStyle w:val="20"/>
        <w:tabs>
          <w:tab w:val="left" w:pos="5529"/>
        </w:tabs>
        <w:wordWrap w:val="0"/>
        <w:ind w:firstLine="3968" w:firstLineChars="1890"/>
        <w:rPr>
          <w:rFonts w:hint="eastAsia" w:hAnsi="宋体"/>
          <w:color w:val="auto"/>
          <w:kern w:val="2"/>
          <w:sz w:val="21"/>
          <w:highlight w:val="none"/>
        </w:rPr>
      </w:pPr>
      <w:r>
        <w:rPr>
          <w:rFonts w:hint="eastAsia" w:hAnsi="宋体"/>
          <w:color w:val="auto"/>
          <w:kern w:val="2"/>
          <w:sz w:val="21"/>
          <w:highlight w:val="none"/>
        </w:rPr>
        <w:t xml:space="preserve">                                 </w:t>
      </w:r>
    </w:p>
    <w:p>
      <w:pPr>
        <w:tabs>
          <w:tab w:val="left" w:pos="4111"/>
        </w:tabs>
        <w:wordWrap w:val="0"/>
        <w:snapToGrid w:val="0"/>
        <w:spacing w:before="50"/>
        <w:ind w:firstLine="2310" w:firstLineChars="1100"/>
        <w:rPr>
          <w:rFonts w:hint="eastAsia" w:hAnsi="宋体"/>
          <w:color w:val="auto"/>
          <w:highlight w:val="none"/>
        </w:rPr>
      </w:pPr>
      <w:r>
        <w:rPr>
          <w:rFonts w:hint="eastAsia" w:hAnsi="宋体"/>
          <w:color w:val="auto"/>
          <w:highlight w:val="none"/>
        </w:rPr>
        <w:t>法定代表人或委托代理人(签字或者电子签名或者加盖电子印章)：</w:t>
      </w:r>
      <w:r>
        <w:rPr>
          <w:rFonts w:hint="eastAsia" w:hAnsi="宋体"/>
          <w:color w:val="auto"/>
          <w:highlight w:val="none"/>
          <w:u w:val="single"/>
        </w:rPr>
        <w:t xml:space="preserve">           </w:t>
      </w:r>
    </w:p>
    <w:p>
      <w:pPr>
        <w:tabs>
          <w:tab w:val="left" w:pos="4111"/>
        </w:tabs>
        <w:wordWrap w:val="0"/>
        <w:snapToGrid w:val="0"/>
        <w:spacing w:before="50"/>
        <w:ind w:firstLine="3968" w:firstLineChars="1890"/>
        <w:rPr>
          <w:rFonts w:hint="eastAsia" w:hAnsi="宋体"/>
          <w:color w:val="auto"/>
          <w:highlight w:val="none"/>
        </w:rPr>
      </w:pPr>
    </w:p>
    <w:p>
      <w:pPr>
        <w:pStyle w:val="20"/>
        <w:wordWrap w:val="0"/>
        <w:ind w:firstLine="420"/>
        <w:jc w:val="right"/>
        <w:rPr>
          <w:rFonts w:hint="eastAsia"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pPr>
        <w:snapToGrid w:val="0"/>
        <w:spacing w:before="50" w:after="50"/>
        <w:ind w:left="-6" w:leftChars="-3" w:right="-817" w:rightChars="-389" w:firstLine="6720" w:firstLineChars="3200"/>
        <w:rPr>
          <w:rFonts w:hint="eastAsia" w:ascii="宋体" w:hAnsi="宋体" w:cs="宋体"/>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sectPr>
          <w:pgSz w:w="11906" w:h="16838"/>
          <w:pgMar w:top="1134" w:right="1134" w:bottom="1134" w:left="1134" w:header="720" w:footer="720" w:gutter="0"/>
          <w:cols w:space="0" w:num="1"/>
          <w:docGrid w:type="lines" w:linePitch="312" w:charSpace="0"/>
        </w:sectPr>
      </w:pPr>
    </w:p>
    <w:p>
      <w:pPr>
        <w:snapToGrid w:val="0"/>
        <w:spacing w:before="156" w:beforeLines="50" w:after="50"/>
        <w:rPr>
          <w:rFonts w:hint="eastAsia" w:ascii="宋体" w:hAnsi="宋体" w:cs="宋体"/>
          <w:b/>
          <w:bCs/>
          <w:color w:val="auto"/>
          <w:szCs w:val="21"/>
          <w:highlight w:val="none"/>
        </w:rPr>
      </w:pPr>
      <w:r>
        <w:rPr>
          <w:rFonts w:hint="eastAsia" w:ascii="宋体" w:hAnsi="宋体" w:cs="宋体"/>
          <w:b/>
          <w:bCs/>
          <w:color w:val="auto"/>
          <w:szCs w:val="21"/>
          <w:highlight w:val="none"/>
        </w:rPr>
        <w:t>2、商务和技术文件格式：</w:t>
      </w:r>
    </w:p>
    <w:p>
      <w:pPr>
        <w:snapToGrid w:val="0"/>
        <w:spacing w:before="156" w:beforeLines="50" w:after="50" w:line="330" w:lineRule="exact"/>
        <w:jc w:val="center"/>
        <w:rPr>
          <w:rFonts w:hint="eastAsia" w:ascii="宋体" w:hAnsi="宋体" w:cs="宋体"/>
          <w:b/>
          <w:color w:val="auto"/>
          <w:szCs w:val="21"/>
          <w:highlight w:val="none"/>
        </w:rPr>
      </w:pPr>
    </w:p>
    <w:p>
      <w:pPr>
        <w:snapToGrid w:val="0"/>
        <w:spacing w:before="156" w:beforeLines="50" w:after="50" w:line="330" w:lineRule="exact"/>
        <w:jc w:val="center"/>
        <w:rPr>
          <w:rFonts w:hint="eastAsia" w:ascii="宋体" w:hAnsi="宋体" w:cs="宋体"/>
          <w:b/>
          <w:color w:val="auto"/>
          <w:szCs w:val="21"/>
          <w:highlight w:val="none"/>
        </w:rPr>
      </w:pPr>
    </w:p>
    <w:p>
      <w:pPr>
        <w:snapToGrid w:val="0"/>
        <w:spacing w:before="156" w:beforeLines="50" w:after="50" w:line="330" w:lineRule="exact"/>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目录</w:t>
      </w:r>
    </w:p>
    <w:p>
      <w:pPr>
        <w:snapToGrid w:val="0"/>
        <w:spacing w:before="156" w:beforeLines="50" w:after="50" w:line="330" w:lineRule="exact"/>
        <w:jc w:val="center"/>
        <w:rPr>
          <w:rFonts w:hint="eastAsia" w:ascii="宋体" w:hAnsi="宋体" w:cs="宋体"/>
          <w:color w:val="auto"/>
          <w:sz w:val="28"/>
          <w:szCs w:val="28"/>
          <w:highlight w:val="none"/>
        </w:rPr>
      </w:pPr>
    </w:p>
    <w:p>
      <w:pPr>
        <w:tabs>
          <w:tab w:val="left" w:pos="2625"/>
        </w:tabs>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(供应商需根据响应文件自行编制目录及页码)</w:t>
      </w: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pStyle w:val="36"/>
        <w:rPr>
          <w:rFonts w:hint="eastAsia" w:ascii="宋体" w:hAnsi="宋体"/>
          <w:color w:val="auto"/>
          <w:szCs w:val="21"/>
          <w:highlight w:val="none"/>
        </w:rPr>
      </w:pPr>
    </w:p>
    <w:p>
      <w:pPr>
        <w:pStyle w:val="36"/>
        <w:rPr>
          <w:rFonts w:hint="eastAsia" w:ascii="宋体" w:hAnsi="宋体"/>
          <w:color w:val="auto"/>
          <w:szCs w:val="21"/>
          <w:highlight w:val="none"/>
        </w:rPr>
      </w:pPr>
    </w:p>
    <w:p>
      <w:pPr>
        <w:pStyle w:val="36"/>
        <w:rPr>
          <w:rFonts w:hint="eastAsia" w:ascii="宋体" w:hAnsi="宋体"/>
          <w:color w:val="auto"/>
          <w:szCs w:val="21"/>
          <w:highlight w:val="none"/>
        </w:rPr>
      </w:pPr>
    </w:p>
    <w:p>
      <w:pPr>
        <w:pStyle w:val="36"/>
        <w:rPr>
          <w:rFonts w:hint="eastAsia" w:ascii="宋体" w:hAnsi="宋体"/>
          <w:color w:val="auto"/>
          <w:szCs w:val="21"/>
          <w:highlight w:val="none"/>
        </w:rPr>
      </w:pPr>
    </w:p>
    <w:p>
      <w:pPr>
        <w:pStyle w:val="36"/>
        <w:rPr>
          <w:rFonts w:hint="eastAsia" w:ascii="宋体" w:hAnsi="宋体"/>
          <w:color w:val="auto"/>
          <w:szCs w:val="21"/>
          <w:highlight w:val="none"/>
        </w:rPr>
      </w:pPr>
    </w:p>
    <w:p>
      <w:pPr>
        <w:pStyle w:val="36"/>
        <w:rPr>
          <w:rFonts w:hint="eastAsia" w:ascii="宋体" w:hAnsi="宋体"/>
          <w:color w:val="auto"/>
          <w:szCs w:val="21"/>
          <w:highlight w:val="none"/>
        </w:rPr>
      </w:pPr>
    </w:p>
    <w:p>
      <w:pPr>
        <w:pStyle w:val="36"/>
        <w:rPr>
          <w:rFonts w:hint="eastAsia" w:ascii="宋体" w:hAnsi="宋体"/>
          <w:color w:val="auto"/>
          <w:szCs w:val="21"/>
          <w:highlight w:val="none"/>
        </w:rPr>
      </w:pPr>
    </w:p>
    <w:p>
      <w:pPr>
        <w:pStyle w:val="36"/>
        <w:rPr>
          <w:rFonts w:hint="eastAsia" w:ascii="宋体" w:hAnsi="宋体"/>
          <w:color w:val="auto"/>
          <w:szCs w:val="21"/>
          <w:highlight w:val="none"/>
        </w:rPr>
      </w:pPr>
    </w:p>
    <w:p>
      <w:pPr>
        <w:pStyle w:val="36"/>
        <w:rPr>
          <w:rFonts w:hint="eastAsia" w:ascii="宋体" w:hAnsi="宋体"/>
          <w:color w:val="auto"/>
          <w:szCs w:val="21"/>
          <w:highlight w:val="none"/>
        </w:rPr>
      </w:pPr>
    </w:p>
    <w:p>
      <w:pPr>
        <w:pStyle w:val="36"/>
        <w:rPr>
          <w:rFonts w:hint="eastAsia" w:ascii="宋体" w:hAnsi="宋体"/>
          <w:color w:val="auto"/>
          <w:szCs w:val="21"/>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t>一、法定代表人身份证明书格式</w:t>
      </w:r>
    </w:p>
    <w:p>
      <w:pPr>
        <w:pStyle w:val="20"/>
        <w:ind w:left="-10" w:firstLine="10" w:firstLineChars="3"/>
        <w:jc w:val="center"/>
        <w:rPr>
          <w:rFonts w:hint="eastAsia" w:hAnsi="宋体" w:cs="宋体"/>
          <w:b/>
          <w:color w:val="auto"/>
          <w:sz w:val="32"/>
          <w:highlight w:val="none"/>
        </w:rPr>
      </w:pPr>
      <w:r>
        <w:rPr>
          <w:rFonts w:hint="eastAsia" w:hAnsi="宋体" w:cs="宋体"/>
          <w:b/>
          <w:color w:val="auto"/>
          <w:sz w:val="32"/>
          <w:highlight w:val="none"/>
        </w:rPr>
        <w:t>法定代表人身份证明书（格式）</w:t>
      </w:r>
    </w:p>
    <w:p>
      <w:pPr>
        <w:pStyle w:val="20"/>
        <w:spacing w:line="480" w:lineRule="auto"/>
        <w:ind w:firstLine="698" w:firstLineChars="349"/>
        <w:rPr>
          <w:rFonts w:hint="eastAsia" w:hAnsi="宋体" w:cs="宋体"/>
          <w:color w:val="auto"/>
          <w:highlight w:val="none"/>
        </w:rPr>
      </w:pPr>
    </w:p>
    <w:p>
      <w:pPr>
        <w:pStyle w:val="20"/>
        <w:spacing w:line="480" w:lineRule="auto"/>
        <w:ind w:firstLine="720" w:firstLineChars="300"/>
        <w:rPr>
          <w:rFonts w:hint="eastAsia" w:hAnsi="宋体"/>
          <w:color w:val="auto"/>
          <w:sz w:val="24"/>
          <w:szCs w:val="24"/>
          <w:highlight w:val="none"/>
          <w:u w:val="single"/>
        </w:rPr>
      </w:pPr>
      <w:r>
        <w:rPr>
          <w:rFonts w:hint="eastAsia" w:hAnsi="宋体"/>
          <w:color w:val="auto"/>
          <w:sz w:val="24"/>
          <w:szCs w:val="24"/>
          <w:highlight w:val="none"/>
        </w:rPr>
        <w:t>供 应 商：</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p>
    <w:p>
      <w:pPr>
        <w:pStyle w:val="20"/>
        <w:spacing w:line="480" w:lineRule="auto"/>
        <w:ind w:firstLine="720" w:firstLineChars="300"/>
        <w:rPr>
          <w:rFonts w:hint="eastAsia" w:hAnsi="宋体"/>
          <w:color w:val="auto"/>
          <w:sz w:val="24"/>
          <w:szCs w:val="24"/>
          <w:highlight w:val="none"/>
          <w:u w:val="single"/>
        </w:rPr>
      </w:pPr>
      <w:r>
        <w:rPr>
          <w:rFonts w:hint="eastAsia" w:hAnsi="宋体"/>
          <w:color w:val="auto"/>
          <w:sz w:val="24"/>
          <w:szCs w:val="24"/>
          <w:highlight w:val="none"/>
        </w:rPr>
        <w:t xml:space="preserve">地 </w:t>
      </w:r>
      <w:r>
        <w:rPr>
          <w:rFonts w:hAnsi="宋体"/>
          <w:color w:val="auto"/>
          <w:sz w:val="24"/>
          <w:szCs w:val="24"/>
          <w:highlight w:val="none"/>
        </w:rPr>
        <w:t xml:space="preserve">   </w:t>
      </w:r>
      <w:r>
        <w:rPr>
          <w:rFonts w:hint="eastAsia" w:hAnsi="宋体"/>
          <w:color w:val="auto"/>
          <w:sz w:val="24"/>
          <w:szCs w:val="24"/>
          <w:highlight w:val="none"/>
        </w:rPr>
        <w:t>址：</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p>
    <w:p>
      <w:pPr>
        <w:pStyle w:val="20"/>
        <w:spacing w:line="480" w:lineRule="auto"/>
        <w:ind w:firstLine="720" w:firstLineChars="300"/>
        <w:rPr>
          <w:rFonts w:hint="eastAsia" w:hAnsi="宋体"/>
          <w:color w:val="auto"/>
          <w:sz w:val="24"/>
          <w:szCs w:val="24"/>
          <w:highlight w:val="none"/>
        </w:rPr>
      </w:pPr>
      <w:r>
        <w:rPr>
          <w:rFonts w:hint="eastAsia" w:hAnsi="宋体"/>
          <w:color w:val="auto"/>
          <w:sz w:val="24"/>
          <w:szCs w:val="24"/>
          <w:highlight w:val="none"/>
        </w:rPr>
        <w:t xml:space="preserve">姓 </w:t>
      </w:r>
      <w:r>
        <w:rPr>
          <w:rFonts w:hAnsi="宋体"/>
          <w:color w:val="auto"/>
          <w:sz w:val="24"/>
          <w:szCs w:val="24"/>
          <w:highlight w:val="none"/>
        </w:rPr>
        <w:t xml:space="preserve">   </w:t>
      </w:r>
      <w:r>
        <w:rPr>
          <w:rFonts w:hint="eastAsia" w:hAnsi="宋体"/>
          <w:color w:val="auto"/>
          <w:sz w:val="24"/>
          <w:szCs w:val="24"/>
          <w:highlight w:val="none"/>
        </w:rPr>
        <w:t>名：</w:t>
      </w:r>
      <w:r>
        <w:rPr>
          <w:rFonts w:hint="eastAsia" w:hAnsi="宋体"/>
          <w:color w:val="auto"/>
          <w:sz w:val="24"/>
          <w:szCs w:val="24"/>
          <w:highlight w:val="none"/>
          <w:u w:val="single"/>
        </w:rPr>
        <w:t xml:space="preserve">                  </w:t>
      </w:r>
      <w:r>
        <w:rPr>
          <w:rFonts w:hAnsi="宋体"/>
          <w:color w:val="auto"/>
          <w:sz w:val="24"/>
          <w:szCs w:val="24"/>
          <w:highlight w:val="none"/>
        </w:rPr>
        <w:t xml:space="preserve">     </w:t>
      </w:r>
      <w:r>
        <w:rPr>
          <w:rFonts w:hint="eastAsia" w:hAnsi="宋体"/>
          <w:color w:val="auto"/>
          <w:sz w:val="24"/>
          <w:szCs w:val="24"/>
          <w:highlight w:val="none"/>
        </w:rPr>
        <w:t xml:space="preserve">性 </w:t>
      </w:r>
      <w:r>
        <w:rPr>
          <w:rFonts w:hAnsi="宋体"/>
          <w:color w:val="auto"/>
          <w:sz w:val="24"/>
          <w:szCs w:val="24"/>
          <w:highlight w:val="none"/>
        </w:rPr>
        <w:t xml:space="preserve">    </w:t>
      </w:r>
      <w:r>
        <w:rPr>
          <w:rFonts w:hint="eastAsia" w:hAnsi="宋体"/>
          <w:color w:val="auto"/>
          <w:sz w:val="24"/>
          <w:szCs w:val="24"/>
          <w:highlight w:val="none"/>
        </w:rPr>
        <w:t>别：</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p>
    <w:p>
      <w:pPr>
        <w:pStyle w:val="20"/>
        <w:spacing w:line="480" w:lineRule="auto"/>
        <w:ind w:firstLine="720" w:firstLineChars="300"/>
        <w:rPr>
          <w:rFonts w:hint="eastAsia" w:hAnsi="宋体"/>
          <w:color w:val="auto"/>
          <w:sz w:val="24"/>
          <w:szCs w:val="24"/>
          <w:highlight w:val="none"/>
        </w:rPr>
      </w:pPr>
      <w:r>
        <w:rPr>
          <w:rFonts w:hint="eastAsia" w:hAnsi="宋体"/>
          <w:color w:val="auto"/>
          <w:sz w:val="24"/>
          <w:szCs w:val="24"/>
          <w:highlight w:val="none"/>
        </w:rPr>
        <w:t xml:space="preserve">年 </w:t>
      </w:r>
      <w:r>
        <w:rPr>
          <w:rFonts w:hAnsi="宋体"/>
          <w:color w:val="auto"/>
          <w:sz w:val="24"/>
          <w:szCs w:val="24"/>
          <w:highlight w:val="none"/>
        </w:rPr>
        <w:t xml:space="preserve">   </w:t>
      </w:r>
      <w:r>
        <w:rPr>
          <w:rFonts w:hint="eastAsia" w:hAnsi="宋体"/>
          <w:color w:val="auto"/>
          <w:sz w:val="24"/>
          <w:szCs w:val="24"/>
          <w:highlight w:val="none"/>
        </w:rPr>
        <w:t>龄：</w:t>
      </w:r>
      <w:r>
        <w:rPr>
          <w:rFonts w:hint="eastAsia" w:hAnsi="宋体"/>
          <w:color w:val="auto"/>
          <w:sz w:val="24"/>
          <w:szCs w:val="24"/>
          <w:highlight w:val="none"/>
          <w:u w:val="single"/>
        </w:rPr>
        <w:t xml:space="preserve">                  </w:t>
      </w:r>
      <w:r>
        <w:rPr>
          <w:rFonts w:hAnsi="宋体"/>
          <w:color w:val="auto"/>
          <w:sz w:val="24"/>
          <w:szCs w:val="24"/>
          <w:highlight w:val="none"/>
        </w:rPr>
        <w:t xml:space="preserve">     </w:t>
      </w:r>
      <w:r>
        <w:rPr>
          <w:rFonts w:hint="eastAsia" w:hAnsi="宋体"/>
          <w:color w:val="auto"/>
          <w:sz w:val="24"/>
          <w:szCs w:val="24"/>
          <w:highlight w:val="none"/>
        </w:rPr>
        <w:t xml:space="preserve">职 </w:t>
      </w:r>
      <w:r>
        <w:rPr>
          <w:rFonts w:hAnsi="宋体"/>
          <w:color w:val="auto"/>
          <w:sz w:val="24"/>
          <w:szCs w:val="24"/>
          <w:highlight w:val="none"/>
        </w:rPr>
        <w:t xml:space="preserve">    </w:t>
      </w:r>
      <w:r>
        <w:rPr>
          <w:rFonts w:hint="eastAsia" w:hAnsi="宋体"/>
          <w:color w:val="auto"/>
          <w:sz w:val="24"/>
          <w:szCs w:val="24"/>
          <w:highlight w:val="none"/>
        </w:rPr>
        <w:t>务：</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p>
    <w:p>
      <w:pPr>
        <w:pStyle w:val="20"/>
        <w:spacing w:line="480" w:lineRule="auto"/>
        <w:ind w:firstLine="720" w:firstLineChars="300"/>
        <w:rPr>
          <w:rFonts w:hint="eastAsia" w:hAnsi="宋体"/>
          <w:color w:val="auto"/>
          <w:sz w:val="24"/>
          <w:szCs w:val="24"/>
          <w:highlight w:val="none"/>
        </w:rPr>
      </w:pPr>
      <w:r>
        <w:rPr>
          <w:rFonts w:hint="eastAsia" w:hAnsi="宋体"/>
          <w:color w:val="auto"/>
          <w:sz w:val="24"/>
          <w:szCs w:val="24"/>
          <w:highlight w:val="none"/>
        </w:rPr>
        <w:t>系</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（供应商单位名称）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的法定代表人。</w:t>
      </w:r>
    </w:p>
    <w:p>
      <w:pPr>
        <w:pStyle w:val="20"/>
        <w:spacing w:line="480" w:lineRule="auto"/>
        <w:ind w:firstLine="720" w:firstLineChars="300"/>
        <w:rPr>
          <w:rFonts w:hint="eastAsia" w:hAnsi="宋体"/>
          <w:color w:val="auto"/>
          <w:sz w:val="24"/>
          <w:szCs w:val="24"/>
          <w:highlight w:val="none"/>
        </w:rPr>
      </w:pPr>
      <w:r>
        <w:rPr>
          <w:rFonts w:hint="eastAsia" w:hAnsi="宋体"/>
          <w:color w:val="auto"/>
          <w:sz w:val="24"/>
          <w:szCs w:val="24"/>
          <w:highlight w:val="none"/>
        </w:rPr>
        <w:t>特此证明。</w:t>
      </w:r>
    </w:p>
    <w:p>
      <w:pPr>
        <w:pStyle w:val="20"/>
        <w:spacing w:line="480" w:lineRule="auto"/>
        <w:ind w:firstLine="720" w:firstLineChars="300"/>
        <w:rPr>
          <w:rFonts w:hint="eastAsia" w:hAnsi="宋体"/>
          <w:color w:val="auto"/>
          <w:sz w:val="24"/>
          <w:szCs w:val="24"/>
          <w:highlight w:val="none"/>
        </w:rPr>
      </w:pPr>
    </w:p>
    <w:p>
      <w:pPr>
        <w:pStyle w:val="20"/>
        <w:spacing w:line="480" w:lineRule="auto"/>
        <w:ind w:firstLine="843" w:firstLineChars="300"/>
        <w:rPr>
          <w:rFonts w:hint="eastAsia" w:hAnsi="宋体"/>
          <w:color w:val="auto"/>
          <w:sz w:val="24"/>
          <w:szCs w:val="24"/>
          <w:highlight w:val="none"/>
        </w:rPr>
      </w:pPr>
      <w:r>
        <w:rPr>
          <w:b/>
          <w:color w:val="auto"/>
          <w:sz w:val="28"/>
          <w:szCs w:val="28"/>
          <w:highlight w:val="none"/>
        </w:rPr>
        <w:t>附件：法定代表人有效身份证正反面复印件</w:t>
      </w:r>
    </w:p>
    <w:p>
      <w:pPr>
        <w:pStyle w:val="20"/>
        <w:tabs>
          <w:tab w:val="left" w:pos="5529"/>
        </w:tabs>
        <w:wordWrap w:val="0"/>
        <w:ind w:firstLine="3968" w:firstLineChars="1890"/>
        <w:rPr>
          <w:rFonts w:hint="eastAsia" w:hAnsi="宋体"/>
          <w:color w:val="auto"/>
          <w:kern w:val="2"/>
          <w:sz w:val="21"/>
          <w:highlight w:val="none"/>
        </w:rPr>
      </w:pPr>
    </w:p>
    <w:p>
      <w:pPr>
        <w:pStyle w:val="20"/>
        <w:tabs>
          <w:tab w:val="left" w:pos="5529"/>
        </w:tabs>
        <w:wordWrap w:val="0"/>
        <w:ind w:firstLine="4389" w:firstLineChars="2090"/>
        <w:rPr>
          <w:rFonts w:hint="eastAsia" w:hAnsi="宋体"/>
          <w:color w:val="auto"/>
          <w:kern w:val="2"/>
          <w:sz w:val="21"/>
          <w:highlight w:val="none"/>
        </w:rPr>
      </w:pPr>
    </w:p>
    <w:p>
      <w:pPr>
        <w:pStyle w:val="20"/>
        <w:tabs>
          <w:tab w:val="left" w:pos="5529"/>
        </w:tabs>
        <w:wordWrap w:val="0"/>
        <w:ind w:firstLine="4389" w:firstLineChars="2090"/>
        <w:rPr>
          <w:rFonts w:hint="eastAsia" w:hAnsi="宋体"/>
          <w:color w:val="auto"/>
          <w:kern w:val="2"/>
          <w:sz w:val="21"/>
          <w:highlight w:val="none"/>
        </w:rPr>
      </w:pPr>
    </w:p>
    <w:p>
      <w:pPr>
        <w:pStyle w:val="20"/>
        <w:tabs>
          <w:tab w:val="left" w:pos="5529"/>
        </w:tabs>
        <w:wordWrap w:val="0"/>
        <w:ind w:firstLine="4389" w:firstLineChars="2090"/>
        <w:rPr>
          <w:rFonts w:hint="eastAsia" w:hAnsi="宋体"/>
          <w:color w:val="auto"/>
          <w:kern w:val="2"/>
          <w:sz w:val="21"/>
          <w:highlight w:val="none"/>
        </w:rPr>
      </w:pPr>
    </w:p>
    <w:p>
      <w:pPr>
        <w:pStyle w:val="20"/>
        <w:tabs>
          <w:tab w:val="left" w:pos="5529"/>
        </w:tabs>
        <w:wordWrap w:val="0"/>
        <w:ind w:firstLine="4560" w:firstLineChars="1900"/>
        <w:rPr>
          <w:rFonts w:hint="eastAsia" w:hAnsi="宋体"/>
          <w:color w:val="auto"/>
          <w:kern w:val="2"/>
          <w:sz w:val="24"/>
          <w:szCs w:val="24"/>
          <w:highlight w:val="none"/>
          <w:u w:val="single"/>
        </w:rPr>
      </w:pPr>
      <w:r>
        <w:rPr>
          <w:rFonts w:hint="eastAsia" w:hAnsi="宋体"/>
          <w:color w:val="auto"/>
          <w:kern w:val="2"/>
          <w:sz w:val="24"/>
          <w:szCs w:val="24"/>
          <w:highlight w:val="none"/>
        </w:rPr>
        <w:t xml:space="preserve">供应商名称（电子公章）： </w:t>
      </w:r>
      <w:r>
        <w:rPr>
          <w:rFonts w:hint="eastAsia" w:hAnsi="宋体"/>
          <w:color w:val="auto"/>
          <w:sz w:val="24"/>
          <w:szCs w:val="24"/>
          <w:highlight w:val="none"/>
          <w:u w:val="single"/>
        </w:rPr>
        <w:t xml:space="preserve">                </w:t>
      </w:r>
    </w:p>
    <w:p>
      <w:pPr>
        <w:pStyle w:val="20"/>
        <w:tabs>
          <w:tab w:val="left" w:pos="5529"/>
        </w:tabs>
        <w:wordWrap w:val="0"/>
        <w:ind w:firstLine="4536" w:firstLineChars="1890"/>
        <w:rPr>
          <w:rFonts w:hint="eastAsia" w:hAnsi="宋体"/>
          <w:color w:val="auto"/>
          <w:kern w:val="2"/>
          <w:sz w:val="24"/>
          <w:szCs w:val="24"/>
          <w:highlight w:val="none"/>
        </w:rPr>
      </w:pPr>
      <w:r>
        <w:rPr>
          <w:rFonts w:hint="eastAsia" w:hAnsi="宋体"/>
          <w:color w:val="auto"/>
          <w:kern w:val="2"/>
          <w:sz w:val="24"/>
          <w:szCs w:val="24"/>
          <w:highlight w:val="none"/>
        </w:rPr>
        <w:t xml:space="preserve">                                 </w:t>
      </w:r>
    </w:p>
    <w:p>
      <w:pPr>
        <w:pStyle w:val="20"/>
        <w:tabs>
          <w:tab w:val="left" w:pos="5529"/>
        </w:tabs>
        <w:ind w:right="120" w:firstLine="4536" w:firstLineChars="1890"/>
        <w:jc w:val="right"/>
        <w:rPr>
          <w:color w:val="auto"/>
          <w:sz w:val="24"/>
          <w:szCs w:val="24"/>
          <w:highlight w:val="none"/>
        </w:rPr>
      </w:pPr>
      <w:r>
        <w:rPr>
          <w:color w:val="auto"/>
          <w:sz w:val="24"/>
          <w:szCs w:val="24"/>
          <w:highlight w:val="none"/>
        </w:rPr>
        <w:t>年    月    日</w:t>
      </w:r>
    </w:p>
    <w:p>
      <w:pPr>
        <w:pStyle w:val="20"/>
        <w:tabs>
          <w:tab w:val="left" w:pos="5529"/>
        </w:tabs>
        <w:ind w:right="120" w:firstLine="4536" w:firstLineChars="1890"/>
        <w:jc w:val="right"/>
        <w:rPr>
          <w:color w:val="auto"/>
          <w:sz w:val="24"/>
          <w:szCs w:val="24"/>
          <w:highlight w:val="none"/>
        </w:rPr>
      </w:pPr>
    </w:p>
    <w:p>
      <w:pPr>
        <w:pStyle w:val="20"/>
        <w:tabs>
          <w:tab w:val="left" w:pos="5529"/>
        </w:tabs>
        <w:ind w:right="120" w:firstLine="4536" w:firstLineChars="1890"/>
        <w:jc w:val="right"/>
        <w:rPr>
          <w:color w:val="auto"/>
          <w:sz w:val="24"/>
          <w:szCs w:val="24"/>
          <w:highlight w:val="none"/>
        </w:rPr>
      </w:pPr>
    </w:p>
    <w:p>
      <w:pPr>
        <w:pStyle w:val="20"/>
        <w:tabs>
          <w:tab w:val="left" w:pos="5529"/>
        </w:tabs>
        <w:ind w:right="120" w:firstLine="480"/>
        <w:rPr>
          <w:color w:val="auto"/>
          <w:sz w:val="24"/>
          <w:szCs w:val="24"/>
          <w:highlight w:val="none"/>
        </w:rPr>
      </w:pPr>
    </w:p>
    <w:p>
      <w:pPr>
        <w:pStyle w:val="20"/>
        <w:tabs>
          <w:tab w:val="left" w:pos="5529"/>
        </w:tabs>
        <w:ind w:right="120" w:firstLine="482"/>
        <w:rPr>
          <w:b/>
          <w:color w:val="auto"/>
          <w:sz w:val="24"/>
          <w:szCs w:val="24"/>
          <w:highlight w:val="none"/>
        </w:rPr>
      </w:pPr>
      <w:r>
        <w:rPr>
          <w:rFonts w:hint="eastAsia"/>
          <w:b/>
          <w:color w:val="auto"/>
          <w:sz w:val="24"/>
          <w:szCs w:val="24"/>
          <w:highlight w:val="none"/>
        </w:rPr>
        <w:t>注：自然人竞标的无需提供</w:t>
      </w:r>
    </w:p>
    <w:p>
      <w:pPr>
        <w:jc w:val="center"/>
        <w:rPr>
          <w:rFonts w:hint="eastAsia" w:ascii="宋体" w:hAnsi="宋体" w:cs="宋体"/>
          <w:color w:val="auto"/>
          <w:highlight w:val="none"/>
          <w:u w:val="single"/>
        </w:rPr>
      </w:pPr>
      <w:r>
        <w:rPr>
          <w:rFonts w:hint="eastAsia" w:ascii="宋体" w:hAnsi="宋体" w:cs="宋体"/>
          <w:color w:val="auto"/>
          <w:highlight w:val="none"/>
        </w:rPr>
        <w:t xml:space="preserve">        </w:t>
      </w:r>
    </w:p>
    <w:p>
      <w:pPr>
        <w:pStyle w:val="20"/>
        <w:spacing w:line="240" w:lineRule="exact"/>
        <w:rPr>
          <w:rFonts w:hint="eastAsia" w:hAnsi="宋体" w:cs="宋体"/>
          <w:color w:val="auto"/>
          <w:sz w:val="44"/>
          <w:highlight w:val="none"/>
        </w:rPr>
      </w:pPr>
    </w:p>
    <w:p>
      <w:pPr>
        <w:pStyle w:val="20"/>
        <w:spacing w:line="240" w:lineRule="atLeast"/>
        <w:ind w:firstLine="5500" w:firstLineChars="2750"/>
        <w:rPr>
          <w:rFonts w:hint="eastAsia" w:hAnsi="宋体" w:cs="宋体"/>
          <w:color w:val="auto"/>
          <w:highlight w:val="none"/>
        </w:rPr>
      </w:pPr>
    </w:p>
    <w:p>
      <w:pPr>
        <w:pStyle w:val="20"/>
        <w:spacing w:line="240" w:lineRule="atLeast"/>
        <w:ind w:firstLine="5500" w:firstLineChars="2750"/>
        <w:rPr>
          <w:rFonts w:hint="eastAsia" w:hAnsi="宋体" w:cs="宋体"/>
          <w:color w:val="auto"/>
          <w:highlight w:val="none"/>
        </w:rPr>
      </w:pPr>
    </w:p>
    <w:p>
      <w:pPr>
        <w:pStyle w:val="20"/>
        <w:spacing w:line="240" w:lineRule="atLeast"/>
        <w:ind w:firstLine="5500" w:firstLineChars="2750"/>
        <w:rPr>
          <w:rFonts w:hint="eastAsia" w:hAnsi="宋体" w:cs="宋体"/>
          <w:color w:val="auto"/>
          <w:highlight w:val="none"/>
        </w:rPr>
      </w:pPr>
    </w:p>
    <w:p>
      <w:pPr>
        <w:pStyle w:val="20"/>
        <w:spacing w:line="240" w:lineRule="atLeast"/>
        <w:ind w:firstLine="5500" w:firstLineChars="2750"/>
        <w:rPr>
          <w:rFonts w:hint="eastAsia" w:hAnsi="宋体" w:cs="宋体"/>
          <w:color w:val="auto"/>
          <w:highlight w:val="none"/>
        </w:rPr>
      </w:pPr>
    </w:p>
    <w:p>
      <w:pPr>
        <w:pStyle w:val="20"/>
        <w:spacing w:line="240" w:lineRule="atLeast"/>
        <w:ind w:firstLine="5500" w:firstLineChars="2750"/>
        <w:rPr>
          <w:rFonts w:hint="eastAsia" w:hAnsi="宋体" w:cs="宋体"/>
          <w:color w:val="auto"/>
          <w:highlight w:val="none"/>
        </w:rPr>
      </w:pPr>
    </w:p>
    <w:p>
      <w:pPr>
        <w:spacing w:line="300" w:lineRule="auto"/>
        <w:rPr>
          <w:rFonts w:hint="eastAsia" w:ascii="宋体" w:hAnsi="宋体" w:cs="宋体"/>
          <w:b/>
          <w:color w:val="auto"/>
          <w:highlight w:val="none"/>
        </w:rPr>
        <w:sectPr>
          <w:pgSz w:w="11906" w:h="16838"/>
          <w:pgMar w:top="1134" w:right="1134" w:bottom="1134" w:left="1134" w:header="720" w:footer="720" w:gutter="0"/>
          <w:cols w:space="0" w:num="1"/>
          <w:docGrid w:type="lines" w:linePitch="312" w:charSpace="0"/>
        </w:sectPr>
      </w:pPr>
    </w:p>
    <w:p>
      <w:pPr>
        <w:spacing w:line="300" w:lineRule="auto"/>
        <w:rPr>
          <w:rFonts w:hint="eastAsia" w:ascii="宋体" w:hAnsi="宋体" w:cs="宋体"/>
          <w:b/>
          <w:color w:val="auto"/>
          <w:sz w:val="24"/>
          <w:highlight w:val="none"/>
        </w:rPr>
      </w:pPr>
      <w:r>
        <w:rPr>
          <w:rFonts w:hint="eastAsia" w:ascii="宋体" w:hAnsi="宋体" w:cs="宋体"/>
          <w:b/>
          <w:color w:val="auto"/>
          <w:sz w:val="24"/>
          <w:highlight w:val="none"/>
        </w:rPr>
        <w:t>二、法定代表人授权委托书格式</w:t>
      </w:r>
    </w:p>
    <w:p>
      <w:pPr>
        <w:pStyle w:val="20"/>
        <w:jc w:val="center"/>
        <w:rPr>
          <w:rFonts w:hint="eastAsia" w:hAnsi="宋体" w:cs="宋体"/>
          <w:b/>
          <w:color w:val="auto"/>
          <w:sz w:val="32"/>
          <w:highlight w:val="none"/>
        </w:rPr>
      </w:pPr>
      <w:r>
        <w:rPr>
          <w:rFonts w:hint="eastAsia" w:hAnsi="宋体" w:cs="宋体"/>
          <w:b/>
          <w:color w:val="auto"/>
          <w:sz w:val="32"/>
          <w:highlight w:val="none"/>
        </w:rPr>
        <w:t>法定代表人授权委托书</w:t>
      </w:r>
    </w:p>
    <w:p>
      <w:pPr>
        <w:snapToGrid w:val="0"/>
        <w:spacing w:line="480" w:lineRule="auto"/>
        <w:rPr>
          <w:rFonts w:hint="eastAsia"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（采购人、代理机构名称）：</w:t>
      </w:r>
    </w:p>
    <w:p>
      <w:pPr>
        <w:snapToGrid w:val="0"/>
        <w:spacing w:line="48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 xml:space="preserve">我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项目的谈判活动，并代表我方全权办理针对上述项目的递交文件、谈判、澄清、签约等具体事务和签署相关文件。</w:t>
      </w:r>
    </w:p>
    <w:p>
      <w:pPr>
        <w:snapToGrid w:val="0"/>
        <w:spacing w:line="480" w:lineRule="auto"/>
        <w:ind w:firstLine="480"/>
        <w:rPr>
          <w:rFonts w:hint="eastAsia" w:ascii="宋体" w:hAnsi="宋体" w:cs="宋体"/>
          <w:color w:val="auto"/>
          <w:sz w:val="24"/>
          <w:highlight w:val="none"/>
        </w:rPr>
      </w:pPr>
      <w:r>
        <w:rPr>
          <w:rFonts w:hint="eastAsia" w:ascii="宋体" w:hAnsi="宋体" w:cs="宋体"/>
          <w:color w:val="auto"/>
          <w:sz w:val="24"/>
          <w:highlight w:val="none"/>
        </w:rPr>
        <w:t>我方对被授权人的签字或者电子签名或者加盖电子印章事项负全部责任。</w:t>
      </w:r>
    </w:p>
    <w:p>
      <w:pPr>
        <w:snapToGrid w:val="0"/>
        <w:spacing w:line="480" w:lineRule="auto"/>
        <w:ind w:firstLine="480"/>
        <w:rPr>
          <w:rFonts w:hint="eastAsia"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pPr>
        <w:snapToGrid w:val="0"/>
        <w:spacing w:line="480" w:lineRule="auto"/>
        <w:ind w:firstLine="480"/>
        <w:rPr>
          <w:rFonts w:hint="eastAsia" w:ascii="宋体" w:hAnsi="宋体" w:cs="宋体"/>
          <w:color w:val="auto"/>
          <w:sz w:val="24"/>
          <w:highlight w:val="none"/>
        </w:rPr>
      </w:pPr>
      <w:r>
        <w:rPr>
          <w:rFonts w:hint="eastAsia" w:ascii="宋体" w:hAnsi="宋体" w:cs="宋体"/>
          <w:color w:val="auto"/>
          <w:sz w:val="24"/>
          <w:highlight w:val="none"/>
        </w:rPr>
        <w:t>被授权人无转委托权，特此委托。</w:t>
      </w:r>
    </w:p>
    <w:p>
      <w:pPr>
        <w:snapToGrid w:val="0"/>
        <w:spacing w:line="360" w:lineRule="auto"/>
        <w:ind w:firstLine="480"/>
        <w:rPr>
          <w:rFonts w:hint="eastAsia" w:ascii="宋体" w:hAnsi="宋体" w:cs="宋体"/>
          <w:color w:val="auto"/>
          <w:sz w:val="24"/>
          <w:highlight w:val="none"/>
        </w:rPr>
      </w:pPr>
    </w:p>
    <w:p>
      <w:pPr>
        <w:pStyle w:val="47"/>
        <w:spacing w:line="480" w:lineRule="auto"/>
        <w:ind w:firstLine="562"/>
        <w:rPr>
          <w:b/>
          <w:color w:val="auto"/>
          <w:sz w:val="28"/>
          <w:szCs w:val="28"/>
          <w:highlight w:val="none"/>
        </w:rPr>
      </w:pPr>
      <w:r>
        <w:rPr>
          <w:b/>
          <w:color w:val="auto"/>
          <w:sz w:val="28"/>
          <w:szCs w:val="28"/>
          <w:highlight w:val="none"/>
        </w:rPr>
        <w:t>附件：委托代理人有效身份证正反面复印件</w:t>
      </w:r>
    </w:p>
    <w:p>
      <w:pPr>
        <w:pStyle w:val="20"/>
        <w:spacing w:line="480" w:lineRule="auto"/>
        <w:ind w:firstLine="482"/>
        <w:rPr>
          <w:rFonts w:hint="eastAsia" w:hAnsi="宋体"/>
          <w:b/>
          <w:color w:val="auto"/>
          <w:sz w:val="24"/>
          <w:szCs w:val="24"/>
          <w:highlight w:val="none"/>
        </w:rPr>
      </w:pPr>
    </w:p>
    <w:p>
      <w:pPr>
        <w:pStyle w:val="20"/>
        <w:spacing w:line="480" w:lineRule="auto"/>
        <w:ind w:firstLine="480"/>
        <w:rPr>
          <w:color w:val="auto"/>
          <w:sz w:val="24"/>
          <w:szCs w:val="24"/>
          <w:highlight w:val="none"/>
        </w:rPr>
      </w:pPr>
      <w:r>
        <w:rPr>
          <w:color w:val="auto"/>
          <w:sz w:val="24"/>
          <w:szCs w:val="24"/>
          <w:highlight w:val="none"/>
        </w:rPr>
        <w:t>法定代表人（</w:t>
      </w:r>
      <w:r>
        <w:rPr>
          <w:rFonts w:hint="eastAsia"/>
          <w:color w:val="auto"/>
          <w:sz w:val="24"/>
          <w:szCs w:val="24"/>
          <w:highlight w:val="none"/>
        </w:rPr>
        <w:t>签字或者电子签名或者加盖电子印章</w:t>
      </w:r>
      <w:r>
        <w:rPr>
          <w:color w:val="auto"/>
          <w:sz w:val="24"/>
          <w:szCs w:val="24"/>
          <w:highlight w:val="none"/>
        </w:rPr>
        <w:t>）：</w:t>
      </w:r>
      <w:r>
        <w:rPr>
          <w:color w:val="auto"/>
          <w:sz w:val="24"/>
          <w:szCs w:val="24"/>
          <w:highlight w:val="none"/>
          <w:u w:val="single"/>
        </w:rPr>
        <w:t xml:space="preserve">                      </w:t>
      </w:r>
    </w:p>
    <w:p>
      <w:pPr>
        <w:pStyle w:val="20"/>
        <w:spacing w:line="480" w:lineRule="auto"/>
        <w:ind w:firstLine="480"/>
        <w:rPr>
          <w:color w:val="auto"/>
          <w:sz w:val="24"/>
          <w:szCs w:val="24"/>
          <w:highlight w:val="none"/>
        </w:rPr>
      </w:pPr>
      <w:r>
        <w:rPr>
          <w:color w:val="auto"/>
          <w:sz w:val="24"/>
          <w:szCs w:val="24"/>
          <w:highlight w:val="none"/>
        </w:rPr>
        <w:t>委托代理人（</w:t>
      </w:r>
      <w:r>
        <w:rPr>
          <w:rFonts w:hint="eastAsia"/>
          <w:color w:val="auto"/>
          <w:sz w:val="24"/>
          <w:szCs w:val="24"/>
          <w:highlight w:val="none"/>
        </w:rPr>
        <w:t>签字或者电子签名或者加盖电子印章</w:t>
      </w:r>
      <w:r>
        <w:rPr>
          <w:color w:val="auto"/>
          <w:sz w:val="24"/>
          <w:szCs w:val="24"/>
          <w:highlight w:val="none"/>
        </w:rPr>
        <w:t>）：</w:t>
      </w:r>
      <w:r>
        <w:rPr>
          <w:color w:val="auto"/>
          <w:sz w:val="24"/>
          <w:szCs w:val="24"/>
          <w:highlight w:val="none"/>
          <w:u w:val="single"/>
        </w:rPr>
        <w:t xml:space="preserve">                              </w:t>
      </w:r>
    </w:p>
    <w:p>
      <w:pPr>
        <w:pStyle w:val="20"/>
        <w:spacing w:line="480" w:lineRule="auto"/>
        <w:ind w:firstLine="480"/>
        <w:rPr>
          <w:color w:val="auto"/>
          <w:sz w:val="24"/>
          <w:szCs w:val="24"/>
          <w:highlight w:val="none"/>
        </w:rPr>
      </w:pPr>
      <w:r>
        <w:rPr>
          <w:color w:val="auto"/>
          <w:sz w:val="24"/>
          <w:szCs w:val="24"/>
          <w:highlight w:val="none"/>
        </w:rPr>
        <w:t>委托代理人身份证号码：</w:t>
      </w:r>
      <w:r>
        <w:rPr>
          <w:rFonts w:hint="eastAsia"/>
          <w:color w:val="auto"/>
          <w:sz w:val="24"/>
          <w:szCs w:val="24"/>
          <w:highlight w:val="none"/>
          <w:u w:val="single"/>
        </w:rPr>
        <w:t xml:space="preserve"> </w:t>
      </w:r>
      <w:r>
        <w:rPr>
          <w:color w:val="auto"/>
          <w:sz w:val="24"/>
          <w:szCs w:val="24"/>
          <w:highlight w:val="none"/>
          <w:u w:val="single"/>
        </w:rPr>
        <w:t xml:space="preserve">                                       </w:t>
      </w:r>
    </w:p>
    <w:p>
      <w:pPr>
        <w:pStyle w:val="20"/>
        <w:spacing w:line="480" w:lineRule="auto"/>
        <w:ind w:firstLine="480"/>
        <w:rPr>
          <w:color w:val="auto"/>
          <w:sz w:val="24"/>
          <w:szCs w:val="24"/>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pStyle w:val="20"/>
        <w:spacing w:line="240" w:lineRule="exact"/>
        <w:rPr>
          <w:rFonts w:hint="eastAsia" w:hAnsi="宋体" w:cs="宋体"/>
          <w:color w:val="auto"/>
          <w:sz w:val="44"/>
          <w:highlight w:val="none"/>
        </w:rPr>
      </w:pPr>
    </w:p>
    <w:p>
      <w:pPr>
        <w:pStyle w:val="20"/>
        <w:spacing w:line="240" w:lineRule="exact"/>
        <w:rPr>
          <w:rFonts w:hint="eastAsia" w:hAnsi="宋体" w:cs="宋体"/>
          <w:color w:val="auto"/>
          <w:sz w:val="44"/>
          <w:highlight w:val="none"/>
        </w:rPr>
      </w:pPr>
    </w:p>
    <w:p>
      <w:pPr>
        <w:pStyle w:val="20"/>
        <w:spacing w:line="240" w:lineRule="exact"/>
        <w:rPr>
          <w:rFonts w:hint="eastAsia" w:hAnsi="宋体" w:cs="宋体"/>
          <w:color w:val="auto"/>
          <w:sz w:val="44"/>
          <w:highlight w:val="none"/>
        </w:rPr>
      </w:pPr>
    </w:p>
    <w:p>
      <w:pPr>
        <w:pStyle w:val="20"/>
        <w:spacing w:line="240" w:lineRule="exact"/>
        <w:rPr>
          <w:rFonts w:hint="eastAsia" w:hAnsi="宋体" w:cs="宋体"/>
          <w:color w:val="auto"/>
          <w:sz w:val="44"/>
          <w:highlight w:val="none"/>
        </w:rPr>
      </w:pPr>
    </w:p>
    <w:p>
      <w:pPr>
        <w:jc w:val="center"/>
        <w:rPr>
          <w:rFonts w:hint="eastAsia" w:ascii="宋体" w:hAnsi="宋体" w:cs="宋体"/>
          <w:color w:val="auto"/>
          <w:highlight w:val="none"/>
        </w:rPr>
      </w:pPr>
    </w:p>
    <w:p>
      <w:pPr>
        <w:spacing w:line="320" w:lineRule="exact"/>
        <w:rPr>
          <w:rFonts w:hint="eastAsia" w:ascii="宋体" w:hAnsi="宋体" w:cs="宋体"/>
          <w:b/>
          <w:color w:val="auto"/>
          <w:szCs w:val="21"/>
          <w:highlight w:val="none"/>
        </w:rPr>
      </w:pPr>
      <w:r>
        <w:rPr>
          <w:rFonts w:hAnsi="宋体" w:cs="宋体"/>
          <w:color w:val="auto"/>
          <w:highlight w:val="none"/>
        </w:rPr>
        <w:br w:type="page"/>
      </w:r>
      <w:r>
        <w:rPr>
          <w:rFonts w:hint="eastAsia" w:ascii="宋体" w:hAnsi="宋体" w:cs="宋体"/>
          <w:b/>
          <w:color w:val="auto"/>
          <w:sz w:val="24"/>
          <w:highlight w:val="none"/>
        </w:rPr>
        <w:t>三、保证金证明格式（如有）</w:t>
      </w:r>
    </w:p>
    <w:p>
      <w:pPr>
        <w:spacing w:line="360" w:lineRule="exact"/>
        <w:rPr>
          <w:rFonts w:hint="eastAsia" w:ascii="宋体" w:hAnsi="宋体" w:cs="宋体"/>
          <w:color w:val="auto"/>
          <w:szCs w:val="21"/>
          <w:highlight w:val="none"/>
        </w:rPr>
      </w:pPr>
    </w:p>
    <w:p>
      <w:pPr>
        <w:pStyle w:val="20"/>
        <w:spacing w:line="440" w:lineRule="exact"/>
        <w:ind w:firstLine="420"/>
        <w:jc w:val="center"/>
        <w:rPr>
          <w:rFonts w:hint="eastAsia" w:hAnsi="宋体" w:cs="宋体"/>
          <w:b/>
          <w:color w:val="auto"/>
          <w:kern w:val="2"/>
          <w:sz w:val="21"/>
          <w:szCs w:val="21"/>
          <w:highlight w:val="none"/>
        </w:rPr>
      </w:pPr>
      <w:r>
        <w:rPr>
          <w:rFonts w:hint="eastAsia" w:hAnsi="宋体" w:cs="宋体"/>
          <w:b/>
          <w:color w:val="auto"/>
          <w:kern w:val="2"/>
          <w:sz w:val="21"/>
          <w:highlight w:val="none"/>
        </w:rPr>
        <w:t>竞标保证金缴纳证明材料复印件</w:t>
      </w:r>
    </w:p>
    <w:p>
      <w:pPr>
        <w:pStyle w:val="20"/>
        <w:spacing w:line="360" w:lineRule="exact"/>
        <w:rPr>
          <w:rFonts w:hint="eastAsia" w:hAnsi="宋体"/>
          <w:color w:val="auto"/>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76200</wp:posOffset>
                </wp:positionV>
                <wp:extent cx="6120130" cy="2879725"/>
                <wp:effectExtent l="4445" t="4445" r="9525" b="11430"/>
                <wp:wrapNone/>
                <wp:docPr id="10" name="Rectangle 44"/>
                <wp:cNvGraphicFramePr/>
                <a:graphic xmlns:a="http://schemas.openxmlformats.org/drawingml/2006/main">
                  <a:graphicData uri="http://schemas.microsoft.com/office/word/2010/wordprocessingShape">
                    <wps:wsp>
                      <wps:cNvSpPr/>
                      <wps:spPr>
                        <a:xfrm>
                          <a:off x="0" y="0"/>
                          <a:ext cx="6120130" cy="2879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pPr>
                          </w:p>
                          <w:p>
                            <w:pPr>
                              <w:jc w:val="center"/>
                              <w:rPr>
                                <w:szCs w:val="21"/>
                              </w:rPr>
                            </w:pPr>
                            <w:r>
                              <w:rPr>
                                <w:rFonts w:hint="eastAsia" w:hAnsi="宋体"/>
                              </w:rPr>
                              <w:t>转账底单、电汇单、支票、汇票、本票或银行、保险机构出具的保函复印件</w:t>
                            </w:r>
                          </w:p>
                        </w:txbxContent>
                      </wps:txbx>
                      <wps:bodyPr upright="1"/>
                    </wps:wsp>
                  </a:graphicData>
                </a:graphic>
              </wp:anchor>
            </w:drawing>
          </mc:Choice>
          <mc:Fallback>
            <w:pict>
              <v:rect id="Rectangle 44" o:spid="_x0000_s1026" o:spt="1" style="position:absolute;left:0pt;margin-left:0pt;margin-top:6pt;height:226.75pt;width:481.9pt;z-index:251663360;mso-width-relative:page;mso-height-relative:page;" fillcolor="#FFFFFF" filled="t" stroked="t" coordsize="21600,21600" o:gfxdata="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wEnZ3WAAAABwEAAA8AAAAAAAAAAQAgAAAAIgAAAGRycy9kb3ducmV2Lnht&#10;bFBLAQIUABQAAAAIAIdO4kBTUWI6+wEAAD0EAAAOAAAAAAAAAAEAIAAAACUBAABkcnMvZTJvRG9j&#10;LnhtbFBLBQYAAAAABgAGAFkBAACSBQAAAAA=&#10;">
                <v:fill on="t" focussize="0,0"/>
                <v:stroke color="#000000" joinstyle="miter"/>
                <v:imagedata o:title=""/>
                <o:lock v:ext="edit" aspectratio="f"/>
                <v:textbox>
                  <w:txbxContent>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pPr>
                    </w:p>
                    <w:p>
                      <w:pPr>
                        <w:jc w:val="center"/>
                        <w:rPr>
                          <w:szCs w:val="21"/>
                        </w:rPr>
                      </w:pPr>
                      <w:r>
                        <w:rPr>
                          <w:rFonts w:hint="eastAsia" w:hAnsi="宋体"/>
                        </w:rPr>
                        <w:t>转账底单、电汇单、支票、汇票、本票或银行、保险机构出具的保函复印件</w:t>
                      </w:r>
                    </w:p>
                  </w:txbxContent>
                </v:textbox>
              </v:rect>
            </w:pict>
          </mc:Fallback>
        </mc:AlternateContent>
      </w:r>
    </w:p>
    <w:p>
      <w:pPr>
        <w:pStyle w:val="20"/>
        <w:spacing w:line="360" w:lineRule="exact"/>
        <w:rPr>
          <w:rFonts w:hint="eastAsia" w:hAnsi="宋体"/>
          <w:color w:val="auto"/>
          <w:highlight w:val="none"/>
        </w:rPr>
      </w:pPr>
    </w:p>
    <w:p>
      <w:pPr>
        <w:pStyle w:val="20"/>
        <w:spacing w:line="360" w:lineRule="exact"/>
        <w:rPr>
          <w:rFonts w:hint="eastAsia" w:hAnsi="宋体"/>
          <w:color w:val="auto"/>
          <w:highlight w:val="none"/>
        </w:rPr>
      </w:pPr>
    </w:p>
    <w:p>
      <w:pPr>
        <w:pStyle w:val="20"/>
        <w:spacing w:line="360" w:lineRule="exact"/>
        <w:rPr>
          <w:rFonts w:hint="eastAsia" w:hAnsi="宋体"/>
          <w:color w:val="auto"/>
          <w:sz w:val="44"/>
          <w:highlight w:val="none"/>
        </w:rPr>
      </w:pPr>
    </w:p>
    <w:p>
      <w:pPr>
        <w:pStyle w:val="20"/>
        <w:spacing w:line="360" w:lineRule="exact"/>
        <w:rPr>
          <w:rFonts w:hint="eastAsia" w:hAnsi="宋体"/>
          <w:color w:val="auto"/>
          <w:sz w:val="44"/>
          <w:highlight w:val="none"/>
        </w:rPr>
      </w:pPr>
    </w:p>
    <w:p>
      <w:pPr>
        <w:pStyle w:val="20"/>
        <w:spacing w:line="360" w:lineRule="exact"/>
        <w:rPr>
          <w:rFonts w:hint="eastAsia" w:hAnsi="宋体"/>
          <w:color w:val="auto"/>
          <w:sz w:val="44"/>
          <w:highlight w:val="none"/>
        </w:rPr>
      </w:pPr>
    </w:p>
    <w:p>
      <w:pPr>
        <w:pStyle w:val="20"/>
        <w:spacing w:line="360" w:lineRule="exact"/>
        <w:rPr>
          <w:rFonts w:hint="eastAsia" w:hAnsi="宋体"/>
          <w:color w:val="auto"/>
          <w:sz w:val="44"/>
          <w:highlight w:val="none"/>
        </w:rPr>
      </w:pPr>
    </w:p>
    <w:p>
      <w:pPr>
        <w:pStyle w:val="20"/>
        <w:spacing w:line="360" w:lineRule="exact"/>
        <w:rPr>
          <w:rFonts w:hint="eastAsia" w:hAnsi="宋体"/>
          <w:color w:val="auto"/>
          <w:sz w:val="44"/>
          <w:highlight w:val="none"/>
        </w:rPr>
      </w:pPr>
    </w:p>
    <w:p>
      <w:pPr>
        <w:pStyle w:val="20"/>
        <w:spacing w:line="360" w:lineRule="exact"/>
        <w:ind w:firstLine="4600" w:firstLineChars="2300"/>
        <w:rPr>
          <w:rFonts w:hint="eastAsia" w:hAnsi="宋体"/>
          <w:color w:val="auto"/>
          <w:highlight w:val="none"/>
        </w:rPr>
      </w:pPr>
    </w:p>
    <w:p>
      <w:pPr>
        <w:pStyle w:val="20"/>
        <w:spacing w:line="360" w:lineRule="exact"/>
        <w:ind w:firstLine="4600" w:firstLineChars="2300"/>
        <w:rPr>
          <w:rFonts w:hint="eastAsia" w:hAnsi="宋体"/>
          <w:color w:val="auto"/>
          <w:highlight w:val="none"/>
        </w:rPr>
      </w:pPr>
    </w:p>
    <w:p>
      <w:pPr>
        <w:pStyle w:val="20"/>
        <w:spacing w:line="360" w:lineRule="exact"/>
        <w:ind w:firstLine="4600" w:firstLineChars="2300"/>
        <w:rPr>
          <w:rFonts w:hint="eastAsia" w:hAnsi="宋体"/>
          <w:color w:val="auto"/>
          <w:highlight w:val="none"/>
        </w:rPr>
      </w:pPr>
    </w:p>
    <w:p>
      <w:pPr>
        <w:pStyle w:val="20"/>
        <w:spacing w:line="360" w:lineRule="exact"/>
        <w:ind w:firstLine="4600" w:firstLineChars="2300"/>
        <w:rPr>
          <w:rFonts w:hint="eastAsia" w:hAnsi="宋体"/>
          <w:color w:val="auto"/>
          <w:highlight w:val="none"/>
        </w:rPr>
      </w:pPr>
    </w:p>
    <w:p>
      <w:pPr>
        <w:pStyle w:val="20"/>
        <w:spacing w:line="360" w:lineRule="exact"/>
        <w:ind w:firstLine="4600" w:firstLineChars="2300"/>
        <w:rPr>
          <w:rFonts w:hint="eastAsia" w:hAnsi="宋体"/>
          <w:color w:val="auto"/>
          <w:highlight w:val="none"/>
        </w:rPr>
      </w:pPr>
    </w:p>
    <w:p>
      <w:pPr>
        <w:pStyle w:val="20"/>
        <w:spacing w:line="360" w:lineRule="exact"/>
        <w:ind w:firstLine="4600" w:firstLineChars="2300"/>
        <w:rPr>
          <w:rFonts w:hint="eastAsia" w:hAnsi="宋体"/>
          <w:color w:val="auto"/>
          <w:highlight w:val="none"/>
        </w:rPr>
      </w:pPr>
    </w:p>
    <w:p>
      <w:pPr>
        <w:pStyle w:val="20"/>
        <w:spacing w:line="360" w:lineRule="exact"/>
        <w:ind w:firstLine="4600" w:firstLineChars="2300"/>
        <w:rPr>
          <w:rFonts w:hint="eastAsia" w:hAnsi="宋体"/>
          <w:color w:val="auto"/>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pStyle w:val="20"/>
        <w:spacing w:line="240" w:lineRule="exact"/>
        <w:rPr>
          <w:rFonts w:hint="eastAsia" w:hAnsi="宋体" w:cs="宋体"/>
          <w:color w:val="auto"/>
          <w:szCs w:val="21"/>
          <w:highlight w:val="none"/>
          <w:u w:val="single"/>
        </w:rPr>
      </w:pPr>
    </w:p>
    <w:p>
      <w:pPr>
        <w:pStyle w:val="20"/>
        <w:spacing w:line="240" w:lineRule="exact"/>
        <w:rPr>
          <w:rFonts w:hint="eastAsia" w:hAnsi="宋体" w:cs="宋体"/>
          <w:color w:val="auto"/>
          <w:highlight w:val="none"/>
          <w:u w:val="single"/>
        </w:rPr>
      </w:pPr>
    </w:p>
    <w:p>
      <w:pPr>
        <w:pStyle w:val="20"/>
        <w:spacing w:line="240" w:lineRule="exact"/>
        <w:rPr>
          <w:rFonts w:hint="eastAsia" w:hAnsi="宋体" w:cs="宋体"/>
          <w:color w:val="auto"/>
          <w:highlight w:val="none"/>
          <w:u w:val="single"/>
        </w:rPr>
      </w:pPr>
    </w:p>
    <w:p>
      <w:pPr>
        <w:pStyle w:val="20"/>
        <w:spacing w:line="240" w:lineRule="exact"/>
        <w:rPr>
          <w:rFonts w:hint="eastAsia" w:hAnsi="宋体" w:cs="宋体"/>
          <w:color w:val="auto"/>
          <w:highlight w:val="none"/>
          <w:u w:val="single"/>
        </w:rPr>
      </w:pPr>
    </w:p>
    <w:p>
      <w:pPr>
        <w:pStyle w:val="20"/>
        <w:spacing w:line="240" w:lineRule="exact"/>
        <w:rPr>
          <w:rFonts w:hint="eastAsia" w:hAnsi="宋体" w:cs="宋体"/>
          <w:color w:val="auto"/>
          <w:highlight w:val="none"/>
          <w:u w:val="single"/>
        </w:rPr>
      </w:pPr>
    </w:p>
    <w:p>
      <w:pPr>
        <w:pStyle w:val="20"/>
        <w:spacing w:line="240" w:lineRule="exact"/>
        <w:rPr>
          <w:rFonts w:hint="eastAsia" w:hAnsi="宋体" w:cs="宋体"/>
          <w:color w:val="auto"/>
          <w:highlight w:val="none"/>
          <w:u w:val="single"/>
        </w:rPr>
      </w:pPr>
    </w:p>
    <w:p>
      <w:pPr>
        <w:pStyle w:val="20"/>
        <w:spacing w:line="240" w:lineRule="exact"/>
        <w:rPr>
          <w:rFonts w:hint="eastAsia" w:hAnsi="宋体" w:cs="宋体"/>
          <w:color w:val="auto"/>
          <w:sz w:val="44"/>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spacing w:line="320" w:lineRule="exact"/>
        <w:rPr>
          <w:rFonts w:hint="eastAsia" w:ascii="宋体" w:hAnsi="宋体"/>
          <w:color w:val="auto"/>
          <w:szCs w:val="21"/>
          <w:highlight w:val="none"/>
        </w:rPr>
      </w:pPr>
    </w:p>
    <w:p>
      <w:pPr>
        <w:pStyle w:val="49"/>
        <w:rPr>
          <w:rFonts w:hint="eastAsia" w:ascii="宋体" w:hAnsi="宋体"/>
          <w:color w:val="auto"/>
          <w:highlight w:val="none"/>
        </w:rPr>
      </w:pPr>
    </w:p>
    <w:p>
      <w:pPr>
        <w:pStyle w:val="49"/>
        <w:rPr>
          <w:rFonts w:hint="eastAsia" w:ascii="宋体" w:hAnsi="宋体"/>
          <w:color w:val="auto"/>
          <w:highlight w:val="none"/>
        </w:rPr>
      </w:pPr>
    </w:p>
    <w:p>
      <w:pPr>
        <w:pStyle w:val="49"/>
        <w:rPr>
          <w:rFonts w:hint="eastAsia" w:ascii="宋体" w:hAnsi="宋体"/>
          <w:color w:val="auto"/>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t>四、商务响应表格式</w:t>
      </w:r>
    </w:p>
    <w:p>
      <w:pPr>
        <w:spacing w:line="360" w:lineRule="exact"/>
        <w:jc w:val="center"/>
        <w:rPr>
          <w:rFonts w:hint="eastAsia" w:ascii="宋体" w:hAnsi="宋体" w:cs="宋体"/>
          <w:b/>
          <w:bCs/>
          <w:color w:val="auto"/>
          <w:kern w:val="0"/>
          <w:sz w:val="30"/>
          <w:highlight w:val="none"/>
        </w:rPr>
      </w:pPr>
    </w:p>
    <w:p>
      <w:pPr>
        <w:spacing w:line="360" w:lineRule="exact"/>
        <w:jc w:val="center"/>
        <w:rPr>
          <w:rFonts w:hint="eastAsia" w:ascii="宋体" w:hAnsi="宋体" w:cs="宋体"/>
          <w:b/>
          <w:bCs/>
          <w:color w:val="auto"/>
          <w:kern w:val="0"/>
          <w:sz w:val="30"/>
          <w:highlight w:val="none"/>
        </w:rPr>
      </w:pPr>
      <w:r>
        <w:rPr>
          <w:rFonts w:hint="eastAsia" w:ascii="宋体" w:hAnsi="宋体" w:cs="宋体"/>
          <w:b/>
          <w:bCs/>
          <w:color w:val="auto"/>
          <w:kern w:val="0"/>
          <w:sz w:val="30"/>
          <w:highlight w:val="none"/>
        </w:rPr>
        <w:t>商务响应表</w:t>
      </w:r>
    </w:p>
    <w:p>
      <w:pPr>
        <w:pStyle w:val="47"/>
        <w:rPr>
          <w:color w:val="auto"/>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977"/>
        <w:gridCol w:w="1275"/>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项目</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谈判文件的商务条款</w:t>
            </w: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是否响应</w:t>
            </w: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cs="宋体"/>
                <w:color w:val="auto"/>
                <w:kern w:val="2"/>
                <w:sz w:val="21"/>
                <w:szCs w:val="21"/>
                <w:highlight w:val="none"/>
              </w:rPr>
            </w:pPr>
            <w:r>
              <w:rPr>
                <w:rFonts w:hint="eastAsia" w:hAnsi="宋体" w:cs="宋体"/>
                <w:color w:val="auto"/>
                <w:kern w:val="2"/>
                <w:sz w:val="21"/>
                <w:szCs w:val="21"/>
                <w:highlight w:val="none"/>
              </w:rPr>
              <w:t>响应文件的承诺或说明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left="0" w:leftChars="-3" w:right="-16" w:rightChars="0" w:hanging="6" w:hangingChars="3"/>
              <w:jc w:val="center"/>
              <w:rPr>
                <w:rFonts w:hint="eastAsia" w:ascii="宋体" w:hAnsi="宋体" w:cs="宋体"/>
                <w:color w:val="auto"/>
                <w:kern w:val="0"/>
                <w:szCs w:val="21"/>
                <w:highlight w:val="none"/>
              </w:rPr>
            </w:pPr>
            <w:r>
              <w:rPr>
                <w:rFonts w:hint="eastAsia" w:hAnsi="宋体"/>
                <w:color w:val="auto"/>
                <w:sz w:val="21"/>
                <w:highlight w:val="none"/>
              </w:rPr>
              <w:t>基本要求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hAnsi="宋体"/>
                <w:color w:val="auto"/>
                <w:sz w:val="21"/>
                <w:highlight w:val="none"/>
              </w:rPr>
              <w:t>售后服务要求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hAnsi="宋体"/>
                <w:color w:val="auto"/>
                <w:sz w:val="21"/>
                <w:highlight w:val="none"/>
              </w:rPr>
              <w:t>备品备件及耗材等要求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highlight w:val="none"/>
              </w:rPr>
            </w:pPr>
            <w:r>
              <w:rPr>
                <w:rFonts w:hint="eastAsia" w:hAnsi="宋体"/>
                <w:color w:val="auto"/>
                <w:sz w:val="21"/>
                <w:highlight w:val="none"/>
              </w:rPr>
              <w:t>报价要求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left="0" w:leftChars="-3" w:right="-16" w:rightChars="0" w:hanging="6" w:hangingChars="3"/>
              <w:jc w:val="center"/>
              <w:rPr>
                <w:rFonts w:hint="eastAsia" w:ascii="宋体" w:hAnsi="宋体" w:cs="宋体"/>
                <w:color w:val="auto"/>
                <w:kern w:val="0"/>
                <w:szCs w:val="21"/>
                <w:highlight w:val="none"/>
              </w:rPr>
            </w:pPr>
            <w:r>
              <w:rPr>
                <w:rFonts w:hint="eastAsia" w:hAnsi="宋体"/>
                <w:color w:val="auto"/>
                <w:sz w:val="21"/>
                <w:highlight w:val="none"/>
              </w:rPr>
              <w:t>交付和安装要求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left="0" w:leftChars="-3" w:right="-16" w:rightChars="0" w:hanging="6" w:hangingChars="3"/>
              <w:jc w:val="center"/>
              <w:rPr>
                <w:rFonts w:hint="eastAsia" w:ascii="宋体" w:hAnsi="宋体" w:cs="宋体"/>
                <w:color w:val="auto"/>
                <w:szCs w:val="21"/>
                <w:highlight w:val="none"/>
              </w:rPr>
            </w:pPr>
            <w:r>
              <w:rPr>
                <w:rFonts w:hint="eastAsia" w:hAnsi="宋体"/>
                <w:color w:val="auto"/>
                <w:sz w:val="21"/>
                <w:highlight w:val="none"/>
              </w:rPr>
              <w:t>验收要求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left="0" w:leftChars="-3" w:right="-16" w:rightChars="0" w:hanging="6" w:hangingChars="3"/>
              <w:jc w:val="center"/>
              <w:rPr>
                <w:rFonts w:hint="eastAsia" w:ascii="宋体" w:hAnsi="宋体" w:cs="宋体"/>
                <w:color w:val="auto"/>
                <w:kern w:val="0"/>
                <w:szCs w:val="21"/>
                <w:highlight w:val="none"/>
              </w:rPr>
            </w:pPr>
            <w:r>
              <w:rPr>
                <w:rFonts w:hint="eastAsia" w:hAnsi="宋体"/>
                <w:color w:val="auto"/>
                <w:sz w:val="21"/>
                <w:highlight w:val="none"/>
              </w:rPr>
              <w:t>培训</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left="0" w:leftChars="-3" w:right="-16" w:rightChars="0" w:hanging="6" w:hangingChars="3"/>
              <w:jc w:val="center"/>
              <w:rPr>
                <w:rFonts w:hint="eastAsia" w:ascii="宋体" w:hAnsi="宋体" w:cs="宋体"/>
                <w:color w:val="auto"/>
                <w:kern w:val="0"/>
                <w:szCs w:val="21"/>
                <w:highlight w:val="none"/>
              </w:rPr>
            </w:pPr>
            <w:r>
              <w:rPr>
                <w:rFonts w:hint="eastAsia" w:hAnsi="宋体"/>
                <w:color w:val="auto"/>
                <w:sz w:val="21"/>
                <w:highlight w:val="none"/>
              </w:rPr>
              <w:t>付款方式</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left="0" w:leftChars="-3" w:right="-16" w:rightChars="0" w:hanging="6" w:hangingChars="3"/>
              <w:jc w:val="center"/>
              <w:rPr>
                <w:rFonts w:hint="eastAsia" w:ascii="宋体" w:hAnsi="宋体" w:cs="宋体"/>
                <w:color w:val="auto"/>
                <w:kern w:val="0"/>
                <w:szCs w:val="21"/>
                <w:highlight w:val="none"/>
              </w:rPr>
            </w:pPr>
            <w:r>
              <w:rPr>
                <w:rFonts w:hint="eastAsia" w:hAnsi="宋体"/>
                <w:color w:val="auto"/>
                <w:sz w:val="21"/>
                <w:highlight w:val="none"/>
              </w:rPr>
              <w:t>签订合同日期</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left="0" w:leftChars="-3" w:right="-16" w:rightChars="0" w:hanging="6" w:hangingChars="3"/>
              <w:jc w:val="center"/>
              <w:rPr>
                <w:rFonts w:hint="eastAsia" w:ascii="宋体" w:hAnsi="宋体" w:cs="宋体"/>
                <w:color w:val="auto"/>
                <w:kern w:val="0"/>
                <w:szCs w:val="21"/>
                <w:highlight w:val="none"/>
              </w:rPr>
            </w:pPr>
            <w:r>
              <w:rPr>
                <w:rFonts w:hint="eastAsia" w:hAnsi="宋体"/>
                <w:color w:val="auto"/>
                <w:sz w:val="21"/>
                <w:highlight w:val="none"/>
              </w:rPr>
              <w:t>包装方式</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left="0" w:leftChars="-3" w:right="-16" w:rightChars="0" w:hanging="6" w:hangingChars="3"/>
              <w:jc w:val="center"/>
              <w:rPr>
                <w:rFonts w:hint="eastAsia" w:ascii="宋体" w:hAnsi="宋体" w:cs="宋体"/>
                <w:color w:val="auto"/>
                <w:kern w:val="0"/>
                <w:szCs w:val="21"/>
                <w:highlight w:val="none"/>
              </w:rPr>
            </w:pPr>
            <w:r>
              <w:rPr>
                <w:rFonts w:hint="eastAsia" w:hAnsi="宋体"/>
                <w:color w:val="auto"/>
                <w:sz w:val="21"/>
                <w:highlight w:val="none"/>
              </w:rPr>
              <w:t>运输方式</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left="0" w:leftChars="-3" w:right="-16" w:rightChars="0" w:hanging="6" w:hangingChars="3"/>
              <w:jc w:val="center"/>
              <w:rPr>
                <w:rFonts w:hint="eastAsia" w:ascii="宋体" w:hAnsi="宋体" w:cs="宋体"/>
                <w:color w:val="auto"/>
                <w:kern w:val="0"/>
                <w:szCs w:val="21"/>
                <w:highlight w:val="none"/>
              </w:rPr>
            </w:pPr>
            <w:r>
              <w:rPr>
                <w:rFonts w:hint="eastAsia" w:hAnsi="宋体"/>
                <w:color w:val="auto"/>
                <w:sz w:val="21"/>
                <w:highlight w:val="none"/>
              </w:rPr>
              <w:t>其他要求</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left="0" w:leftChars="-3" w:right="-16" w:rightChars="0" w:hanging="6" w:hangingChars="3"/>
              <w:jc w:val="center"/>
              <w:rPr>
                <w:rFonts w:hint="eastAsia" w:ascii="宋体" w:hAnsi="宋体" w:cs="宋体"/>
                <w:color w:val="auto"/>
                <w:kern w:val="0"/>
                <w:szCs w:val="21"/>
                <w:highlight w:val="none"/>
              </w:rPr>
            </w:pPr>
            <w:r>
              <w:rPr>
                <w:rFonts w:hint="eastAsia" w:hAnsi="宋体"/>
                <w:color w:val="auto"/>
                <w:sz w:val="21"/>
                <w:highlight w:val="none"/>
                <w:lang w:val="en-US" w:eastAsia="zh-CN"/>
              </w:rPr>
              <w:t>核心产品</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left="0" w:leftChars="-3" w:right="-16" w:rightChars="0" w:hanging="6" w:hangingChars="3"/>
              <w:jc w:val="center"/>
              <w:rPr>
                <w:rFonts w:hint="eastAsia" w:ascii="宋体" w:hAnsi="宋体" w:cs="宋体"/>
                <w:color w:val="auto"/>
                <w:kern w:val="0"/>
                <w:szCs w:val="21"/>
                <w:highlight w:val="none"/>
              </w:rPr>
            </w:pPr>
            <w:r>
              <w:rPr>
                <w:rFonts w:hint="eastAsia" w:hAnsi="宋体"/>
                <w:color w:val="auto"/>
                <w:sz w:val="21"/>
                <w:highlight w:val="none"/>
              </w:rPr>
              <w:t>合同条款</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r>
              <w:rPr>
                <w:rFonts w:hAnsi="宋体"/>
                <w:color w:val="auto"/>
                <w:sz w:val="21"/>
                <w:highlight w:val="none"/>
              </w:rPr>
              <w:t>具体内容详见</w:t>
            </w:r>
            <w:r>
              <w:rPr>
                <w:rFonts w:hint="eastAsia" w:hAnsi="宋体"/>
                <w:color w:val="auto"/>
                <w:sz w:val="21"/>
                <w:highlight w:val="none"/>
                <w:lang w:val="en-US" w:eastAsia="zh-CN"/>
              </w:rPr>
              <w:t>采购</w:t>
            </w:r>
            <w:r>
              <w:rPr>
                <w:rFonts w:hAnsi="宋体"/>
                <w:color w:val="auto"/>
                <w:sz w:val="21"/>
                <w:highlight w:val="none"/>
              </w:rPr>
              <w:t>文件《第五章 合同主要条款格式》内容</w:t>
            </w: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hint="eastAsia" w:ascii="宋体" w:hAnsi="宋体" w:cs="宋体"/>
                <w:color w:val="auto"/>
                <w:kern w:val="0"/>
                <w:szCs w:val="21"/>
                <w:highlight w:val="none"/>
              </w:rPr>
            </w:pPr>
            <w:r>
              <w:rPr>
                <w:rFonts w:hint="eastAsia" w:hAnsi="宋体"/>
                <w:bCs/>
                <w:color w:val="auto"/>
                <w:sz w:val="21"/>
                <w:highlight w:val="none"/>
              </w:rPr>
              <w:t>……</w:t>
            </w:r>
          </w:p>
        </w:tc>
        <w:tc>
          <w:tcPr>
            <w:tcW w:w="2977"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jc w:val="left"/>
              <w:rPr>
                <w:rFonts w:hint="eastAsia" w:hAnsi="宋体" w:cs="宋体"/>
                <w:color w:val="auto"/>
                <w:kern w:val="2"/>
                <w:sz w:val="21"/>
                <w:szCs w:val="21"/>
                <w:highlight w:val="none"/>
              </w:rPr>
            </w:pPr>
          </w:p>
        </w:tc>
      </w:tr>
    </w:tbl>
    <w:p>
      <w:pPr>
        <w:spacing w:line="480" w:lineRule="auto"/>
        <w:ind w:firstLine="3990" w:firstLineChars="1900"/>
        <w:rPr>
          <w:color w:val="auto"/>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spacing w:line="320" w:lineRule="exact"/>
        <w:rPr>
          <w:rFonts w:hint="eastAsia" w:ascii="宋体" w:hAnsi="宋体" w:cs="宋体"/>
          <w:b/>
          <w:color w:val="auto"/>
          <w:sz w:val="24"/>
          <w:highlight w:val="none"/>
        </w:rPr>
      </w:pPr>
      <w:r>
        <w:rPr>
          <w:rFonts w:hint="eastAsia" w:ascii="宋体" w:hAnsi="宋体" w:cs="宋体"/>
          <w:b/>
          <w:color w:val="auto"/>
          <w:sz w:val="24"/>
          <w:highlight w:val="none"/>
        </w:rPr>
        <w:t>五、技术响应表格式</w:t>
      </w:r>
    </w:p>
    <w:p>
      <w:pPr>
        <w:jc w:val="center"/>
        <w:rPr>
          <w:rFonts w:hint="eastAsia" w:ascii="宋体" w:hAnsi="宋体" w:cs="宋体"/>
          <w:b/>
          <w:bCs/>
          <w:color w:val="auto"/>
          <w:kern w:val="0"/>
          <w:sz w:val="30"/>
          <w:highlight w:val="none"/>
        </w:rPr>
      </w:pPr>
      <w:r>
        <w:rPr>
          <w:rFonts w:hint="eastAsia" w:ascii="宋体" w:hAnsi="宋体" w:cs="宋体"/>
          <w:b/>
          <w:bCs/>
          <w:color w:val="auto"/>
          <w:kern w:val="0"/>
          <w:sz w:val="30"/>
          <w:highlight w:val="none"/>
        </w:rPr>
        <w:t>技术响应表</w:t>
      </w:r>
    </w:p>
    <w:tbl>
      <w:tblPr>
        <w:tblStyle w:val="37"/>
        <w:tblW w:w="8963"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1363"/>
        <w:gridCol w:w="1680"/>
        <w:gridCol w:w="2118"/>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exact"/>
        </w:trPr>
        <w:tc>
          <w:tcPr>
            <w:tcW w:w="826" w:type="dxa"/>
            <w:vAlign w:val="center"/>
          </w:tcPr>
          <w:p>
            <w:pPr>
              <w:pStyle w:val="88"/>
              <w:ind w:left="174" w:right="181"/>
              <w:jc w:val="center"/>
              <w:rPr>
                <w:rFonts w:hint="eastAsia"/>
                <w:color w:val="auto"/>
                <w:sz w:val="21"/>
                <w:highlight w:val="none"/>
              </w:rPr>
            </w:pPr>
            <w:r>
              <w:rPr>
                <w:color w:val="auto"/>
                <w:sz w:val="21"/>
                <w:highlight w:val="none"/>
              </w:rPr>
              <w:t>项号</w:t>
            </w:r>
          </w:p>
        </w:tc>
        <w:tc>
          <w:tcPr>
            <w:tcW w:w="1363" w:type="dxa"/>
            <w:vAlign w:val="center"/>
          </w:tcPr>
          <w:p>
            <w:pPr>
              <w:pStyle w:val="88"/>
              <w:ind w:left="174" w:right="181"/>
              <w:jc w:val="center"/>
              <w:rPr>
                <w:rFonts w:hint="eastAsia"/>
                <w:color w:val="auto"/>
                <w:sz w:val="21"/>
                <w:highlight w:val="none"/>
              </w:rPr>
            </w:pPr>
            <w:r>
              <w:rPr>
                <w:color w:val="auto"/>
                <w:sz w:val="21"/>
                <w:highlight w:val="none"/>
              </w:rPr>
              <w:t>货物名称</w:t>
            </w:r>
          </w:p>
        </w:tc>
        <w:tc>
          <w:tcPr>
            <w:tcW w:w="1680" w:type="dxa"/>
            <w:tcBorders>
              <w:right w:val="single" w:color="auto" w:sz="4" w:space="0"/>
            </w:tcBorders>
            <w:vAlign w:val="center"/>
          </w:tcPr>
          <w:p>
            <w:pPr>
              <w:pStyle w:val="88"/>
              <w:ind w:left="174" w:right="181"/>
              <w:jc w:val="center"/>
              <w:rPr>
                <w:rFonts w:hint="eastAsia"/>
                <w:color w:val="auto"/>
                <w:sz w:val="21"/>
                <w:highlight w:val="none"/>
                <w:lang w:eastAsia="zh-CN"/>
              </w:rPr>
            </w:pPr>
            <w:r>
              <w:rPr>
                <w:rFonts w:hint="eastAsia"/>
                <w:color w:val="auto"/>
                <w:sz w:val="21"/>
                <w:highlight w:val="none"/>
                <w:lang w:eastAsia="zh-CN"/>
              </w:rPr>
              <w:t>竞争性谈判文件的要求</w:t>
            </w:r>
          </w:p>
        </w:tc>
        <w:tc>
          <w:tcPr>
            <w:tcW w:w="2118" w:type="dxa"/>
            <w:tcBorders>
              <w:left w:val="single" w:color="auto" w:sz="4" w:space="0"/>
            </w:tcBorders>
            <w:vAlign w:val="center"/>
          </w:tcPr>
          <w:p>
            <w:pPr>
              <w:pStyle w:val="88"/>
              <w:ind w:left="174" w:right="181"/>
              <w:jc w:val="center"/>
              <w:rPr>
                <w:rFonts w:hint="eastAsia"/>
                <w:color w:val="auto"/>
                <w:sz w:val="21"/>
                <w:highlight w:val="none"/>
              </w:rPr>
            </w:pPr>
            <w:r>
              <w:rPr>
                <w:rFonts w:hint="eastAsia"/>
                <w:color w:val="auto"/>
                <w:sz w:val="21"/>
                <w:highlight w:val="none"/>
                <w:lang w:eastAsia="zh-CN"/>
              </w:rPr>
              <w:t>响应</w:t>
            </w:r>
            <w:r>
              <w:rPr>
                <w:rFonts w:hint="eastAsia"/>
                <w:color w:val="auto"/>
                <w:sz w:val="21"/>
                <w:highlight w:val="none"/>
              </w:rPr>
              <w:t>文件响应</w:t>
            </w:r>
          </w:p>
        </w:tc>
        <w:tc>
          <w:tcPr>
            <w:tcW w:w="2976" w:type="dxa"/>
            <w:vAlign w:val="center"/>
          </w:tcPr>
          <w:p>
            <w:pPr>
              <w:pStyle w:val="88"/>
              <w:ind w:left="174" w:right="181"/>
              <w:jc w:val="center"/>
              <w:rPr>
                <w:rFonts w:hint="eastAsia"/>
                <w:color w:val="auto"/>
                <w:sz w:val="21"/>
                <w:highlight w:val="none"/>
              </w:rPr>
            </w:pPr>
            <w:r>
              <w:rPr>
                <w:color w:val="auto"/>
                <w:sz w:val="21"/>
                <w:highlight w:val="none"/>
              </w:rPr>
              <w:t>偏离情况说明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826" w:type="dxa"/>
          </w:tcPr>
          <w:p>
            <w:pPr>
              <w:pStyle w:val="88"/>
              <w:spacing w:before="167"/>
              <w:ind w:left="0" w:right="7"/>
              <w:jc w:val="center"/>
              <w:rPr>
                <w:rFonts w:hint="eastAsia"/>
                <w:color w:val="auto"/>
                <w:sz w:val="21"/>
                <w:highlight w:val="none"/>
              </w:rPr>
            </w:pPr>
            <w:r>
              <w:rPr>
                <w:color w:val="auto"/>
                <w:sz w:val="21"/>
                <w:highlight w:val="none"/>
              </w:rPr>
              <w:t>1</w:t>
            </w:r>
          </w:p>
        </w:tc>
        <w:tc>
          <w:tcPr>
            <w:tcW w:w="1363" w:type="dxa"/>
          </w:tcPr>
          <w:p>
            <w:pPr>
              <w:rPr>
                <w:color w:val="auto"/>
                <w:highlight w:val="none"/>
              </w:rPr>
            </w:pPr>
          </w:p>
        </w:tc>
        <w:tc>
          <w:tcPr>
            <w:tcW w:w="1680" w:type="dxa"/>
            <w:tcBorders>
              <w:right w:val="single" w:color="auto" w:sz="4" w:space="0"/>
            </w:tcBorders>
          </w:tcPr>
          <w:p>
            <w:pPr>
              <w:rPr>
                <w:color w:val="auto"/>
                <w:highlight w:val="none"/>
              </w:rPr>
            </w:pPr>
          </w:p>
        </w:tc>
        <w:tc>
          <w:tcPr>
            <w:tcW w:w="2118" w:type="dxa"/>
            <w:tcBorders>
              <w:left w:val="single" w:color="auto" w:sz="4" w:space="0"/>
            </w:tcBorders>
          </w:tcPr>
          <w:p>
            <w:pPr>
              <w:rPr>
                <w:color w:val="auto"/>
                <w:highlight w:val="none"/>
              </w:rPr>
            </w:pPr>
          </w:p>
        </w:tc>
        <w:tc>
          <w:tcPr>
            <w:tcW w:w="2976"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exact"/>
        </w:trPr>
        <w:tc>
          <w:tcPr>
            <w:tcW w:w="826" w:type="dxa"/>
          </w:tcPr>
          <w:p>
            <w:pPr>
              <w:pStyle w:val="88"/>
              <w:spacing w:before="167"/>
              <w:ind w:left="0" w:right="7"/>
              <w:jc w:val="center"/>
              <w:rPr>
                <w:rFonts w:hint="eastAsia"/>
                <w:color w:val="auto"/>
                <w:sz w:val="21"/>
                <w:highlight w:val="none"/>
              </w:rPr>
            </w:pPr>
            <w:r>
              <w:rPr>
                <w:color w:val="auto"/>
                <w:sz w:val="21"/>
                <w:highlight w:val="none"/>
              </w:rPr>
              <w:t>2</w:t>
            </w:r>
          </w:p>
        </w:tc>
        <w:tc>
          <w:tcPr>
            <w:tcW w:w="1363" w:type="dxa"/>
          </w:tcPr>
          <w:p>
            <w:pPr>
              <w:rPr>
                <w:color w:val="auto"/>
                <w:highlight w:val="none"/>
              </w:rPr>
            </w:pPr>
          </w:p>
        </w:tc>
        <w:tc>
          <w:tcPr>
            <w:tcW w:w="1680" w:type="dxa"/>
            <w:tcBorders>
              <w:right w:val="single" w:color="auto" w:sz="4" w:space="0"/>
            </w:tcBorders>
          </w:tcPr>
          <w:p>
            <w:pPr>
              <w:rPr>
                <w:color w:val="auto"/>
                <w:highlight w:val="none"/>
              </w:rPr>
            </w:pPr>
          </w:p>
        </w:tc>
        <w:tc>
          <w:tcPr>
            <w:tcW w:w="2118" w:type="dxa"/>
            <w:tcBorders>
              <w:left w:val="single" w:color="auto" w:sz="4" w:space="0"/>
            </w:tcBorders>
          </w:tcPr>
          <w:p>
            <w:pPr>
              <w:rPr>
                <w:color w:val="auto"/>
                <w:highlight w:val="none"/>
              </w:rPr>
            </w:pPr>
          </w:p>
        </w:tc>
        <w:tc>
          <w:tcPr>
            <w:tcW w:w="2976"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826" w:type="dxa"/>
          </w:tcPr>
          <w:p>
            <w:pPr>
              <w:pStyle w:val="88"/>
              <w:spacing w:before="177"/>
              <w:ind w:left="0" w:right="7"/>
              <w:jc w:val="center"/>
              <w:rPr>
                <w:rFonts w:hint="eastAsia"/>
                <w:color w:val="auto"/>
                <w:sz w:val="21"/>
                <w:highlight w:val="none"/>
              </w:rPr>
            </w:pPr>
            <w:r>
              <w:rPr>
                <w:color w:val="auto"/>
                <w:sz w:val="21"/>
                <w:highlight w:val="none"/>
              </w:rPr>
              <w:t>…</w:t>
            </w:r>
          </w:p>
        </w:tc>
        <w:tc>
          <w:tcPr>
            <w:tcW w:w="1363" w:type="dxa"/>
          </w:tcPr>
          <w:p>
            <w:pPr>
              <w:rPr>
                <w:color w:val="auto"/>
                <w:highlight w:val="none"/>
              </w:rPr>
            </w:pPr>
          </w:p>
        </w:tc>
        <w:tc>
          <w:tcPr>
            <w:tcW w:w="1680" w:type="dxa"/>
            <w:tcBorders>
              <w:right w:val="single" w:color="auto" w:sz="4" w:space="0"/>
            </w:tcBorders>
          </w:tcPr>
          <w:p>
            <w:pPr>
              <w:rPr>
                <w:color w:val="auto"/>
                <w:highlight w:val="none"/>
              </w:rPr>
            </w:pPr>
          </w:p>
        </w:tc>
        <w:tc>
          <w:tcPr>
            <w:tcW w:w="2118" w:type="dxa"/>
            <w:tcBorders>
              <w:left w:val="single" w:color="auto" w:sz="4" w:space="0"/>
            </w:tcBorders>
          </w:tcPr>
          <w:p>
            <w:pPr>
              <w:rPr>
                <w:color w:val="auto"/>
                <w:highlight w:val="none"/>
              </w:rPr>
            </w:pPr>
          </w:p>
        </w:tc>
        <w:tc>
          <w:tcPr>
            <w:tcW w:w="2976"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826" w:type="dxa"/>
          </w:tcPr>
          <w:p>
            <w:pPr>
              <w:pStyle w:val="88"/>
              <w:spacing w:before="167"/>
              <w:ind w:left="0" w:right="7"/>
              <w:jc w:val="center"/>
              <w:rPr>
                <w:rFonts w:hint="eastAsia"/>
                <w:color w:val="auto"/>
                <w:sz w:val="21"/>
                <w:highlight w:val="none"/>
              </w:rPr>
            </w:pPr>
            <w:r>
              <w:rPr>
                <w:color w:val="auto"/>
                <w:sz w:val="21"/>
                <w:highlight w:val="none"/>
              </w:rPr>
              <w:t>N</w:t>
            </w:r>
          </w:p>
        </w:tc>
        <w:tc>
          <w:tcPr>
            <w:tcW w:w="1363" w:type="dxa"/>
          </w:tcPr>
          <w:p>
            <w:pPr>
              <w:rPr>
                <w:color w:val="auto"/>
                <w:highlight w:val="none"/>
              </w:rPr>
            </w:pPr>
          </w:p>
        </w:tc>
        <w:tc>
          <w:tcPr>
            <w:tcW w:w="1680" w:type="dxa"/>
            <w:tcBorders>
              <w:right w:val="single" w:color="auto" w:sz="4" w:space="0"/>
            </w:tcBorders>
          </w:tcPr>
          <w:p>
            <w:pPr>
              <w:rPr>
                <w:color w:val="auto"/>
                <w:highlight w:val="none"/>
              </w:rPr>
            </w:pPr>
          </w:p>
        </w:tc>
        <w:tc>
          <w:tcPr>
            <w:tcW w:w="2118" w:type="dxa"/>
            <w:tcBorders>
              <w:left w:val="single" w:color="auto" w:sz="4" w:space="0"/>
            </w:tcBorders>
          </w:tcPr>
          <w:p>
            <w:pPr>
              <w:rPr>
                <w:color w:val="auto"/>
                <w:highlight w:val="none"/>
              </w:rPr>
            </w:pPr>
          </w:p>
        </w:tc>
        <w:tc>
          <w:tcPr>
            <w:tcW w:w="2976" w:type="dxa"/>
          </w:tcPr>
          <w:p>
            <w:pPr>
              <w:rPr>
                <w:color w:val="auto"/>
                <w:highlight w:val="none"/>
              </w:rPr>
            </w:pPr>
          </w:p>
        </w:tc>
      </w:tr>
    </w:tbl>
    <w:p>
      <w:pPr>
        <w:pStyle w:val="16"/>
        <w:spacing w:line="360" w:lineRule="exact"/>
        <w:rPr>
          <w:rFonts w:hint="eastAsia" w:ascii="宋体" w:hAnsi="宋体"/>
          <w:color w:val="auto"/>
          <w:sz w:val="21"/>
          <w:szCs w:val="21"/>
          <w:highlight w:val="none"/>
        </w:rPr>
      </w:pPr>
      <w:r>
        <w:rPr>
          <w:rFonts w:hint="eastAsia" w:ascii="宋体" w:hAnsi="宋体"/>
          <w:color w:val="auto"/>
          <w:sz w:val="21"/>
          <w:szCs w:val="21"/>
          <w:highlight w:val="none"/>
        </w:rPr>
        <w:t>注：1、供应商应根据投标设备的性能指标、对照</w:t>
      </w:r>
      <w:r>
        <w:rPr>
          <w:rFonts w:hint="eastAsia" w:ascii="宋体" w:hAnsi="宋体"/>
          <w:color w:val="auto"/>
          <w:sz w:val="21"/>
          <w:szCs w:val="21"/>
          <w:highlight w:val="none"/>
          <w:lang w:eastAsia="zh-CN"/>
        </w:rPr>
        <w:t>采购文件</w:t>
      </w:r>
      <w:r>
        <w:rPr>
          <w:rFonts w:hint="eastAsia" w:ascii="宋体" w:hAnsi="宋体"/>
          <w:color w:val="auto"/>
          <w:sz w:val="21"/>
          <w:szCs w:val="21"/>
          <w:highlight w:val="none"/>
        </w:rPr>
        <w:t>要求在“偏离情况”栏注明“正偏离”、“负偏离”或“无偏离”。</w:t>
      </w:r>
    </w:p>
    <w:p>
      <w:pPr>
        <w:pStyle w:val="16"/>
        <w:spacing w:line="36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2、供应商</w:t>
      </w:r>
      <w:r>
        <w:rPr>
          <w:rFonts w:ascii="宋体" w:hAnsi="宋体"/>
          <w:color w:val="auto"/>
          <w:sz w:val="21"/>
          <w:szCs w:val="21"/>
          <w:highlight w:val="none"/>
        </w:rPr>
        <w:t>应将投标货物的性能指标中与</w:t>
      </w:r>
      <w:r>
        <w:rPr>
          <w:rFonts w:hint="eastAsia" w:ascii="宋体" w:hAnsi="宋体" w:cs="宋体"/>
          <w:color w:val="auto"/>
          <w:sz w:val="21"/>
          <w:highlight w:val="none"/>
        </w:rPr>
        <w:t>竞争性谈判文件</w:t>
      </w:r>
      <w:r>
        <w:rPr>
          <w:rFonts w:ascii="宋体" w:hAnsi="宋体"/>
          <w:color w:val="auto"/>
          <w:sz w:val="21"/>
          <w:szCs w:val="21"/>
          <w:highlight w:val="none"/>
        </w:rPr>
        <w:t>要求的性能指标有偏离的地方用明显标识，以便于评委评审，否则如给评审造成困难，其可能导致评委作出不利于</w:t>
      </w:r>
      <w:r>
        <w:rPr>
          <w:rFonts w:hint="eastAsia" w:ascii="宋体" w:hAnsi="宋体"/>
          <w:color w:val="auto"/>
          <w:sz w:val="21"/>
          <w:szCs w:val="21"/>
          <w:highlight w:val="none"/>
        </w:rPr>
        <w:t>供应商</w:t>
      </w:r>
      <w:r>
        <w:rPr>
          <w:rFonts w:ascii="宋体" w:hAnsi="宋体"/>
          <w:color w:val="auto"/>
          <w:sz w:val="21"/>
          <w:szCs w:val="21"/>
          <w:highlight w:val="none"/>
        </w:rPr>
        <w:t>的评价，是</w:t>
      </w:r>
      <w:r>
        <w:rPr>
          <w:rFonts w:hint="eastAsia" w:ascii="宋体" w:hAnsi="宋体"/>
          <w:color w:val="auto"/>
          <w:sz w:val="21"/>
          <w:szCs w:val="21"/>
          <w:highlight w:val="none"/>
        </w:rPr>
        <w:t>供应商</w:t>
      </w:r>
      <w:r>
        <w:rPr>
          <w:rFonts w:ascii="宋体" w:hAnsi="宋体"/>
          <w:color w:val="auto"/>
          <w:sz w:val="21"/>
          <w:szCs w:val="21"/>
          <w:highlight w:val="none"/>
        </w:rPr>
        <w:t>的责任。</w:t>
      </w:r>
    </w:p>
    <w:p>
      <w:pPr>
        <w:spacing w:line="480" w:lineRule="auto"/>
        <w:ind w:firstLine="3990" w:firstLineChars="1900"/>
        <w:rPr>
          <w:color w:val="auto"/>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spacing w:line="500" w:lineRule="exact"/>
        <w:jc w:val="center"/>
        <w:rPr>
          <w:rFonts w:hint="eastAsia" w:ascii="宋体" w:hAnsi="宋体" w:cs="仿宋_GB2312"/>
          <w:b/>
          <w:color w:val="auto"/>
          <w:sz w:val="32"/>
          <w:szCs w:val="32"/>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pStyle w:val="25"/>
        <w:rPr>
          <w:color w:val="auto"/>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rPr>
          <w:rFonts w:hint="eastAsia" w:ascii="宋体" w:hAnsi="宋体" w:cs="宋体"/>
          <w:b/>
          <w:color w:val="auto"/>
          <w:szCs w:val="21"/>
          <w:highlight w:val="none"/>
        </w:rPr>
        <w:sectPr>
          <w:pgSz w:w="11906" w:h="16838"/>
          <w:pgMar w:top="1134" w:right="1134" w:bottom="1134" w:left="1134" w:header="720" w:footer="720" w:gutter="0"/>
          <w:cols w:space="0" w:num="1"/>
          <w:docGrid w:type="lines" w:linePitch="312" w:charSpace="0"/>
        </w:sectPr>
      </w:pPr>
    </w:p>
    <w:p>
      <w:pPr>
        <w:rPr>
          <w:rFonts w:hint="eastAsia" w:ascii="宋体" w:hAnsi="宋体" w:cs="宋体"/>
          <w:b/>
          <w:color w:val="auto"/>
          <w:sz w:val="24"/>
          <w:highlight w:val="none"/>
        </w:rPr>
      </w:pPr>
      <w:r>
        <w:rPr>
          <w:rFonts w:hint="eastAsia" w:ascii="宋体" w:hAnsi="宋体" w:cs="宋体"/>
          <w:b/>
          <w:color w:val="auto"/>
          <w:sz w:val="24"/>
          <w:highlight w:val="none"/>
        </w:rPr>
        <w:t>六、设备配置清单格式</w:t>
      </w:r>
    </w:p>
    <w:p>
      <w:pPr>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设备配置清单</w:t>
      </w:r>
    </w:p>
    <w:p>
      <w:pPr>
        <w:pStyle w:val="47"/>
        <w:rPr>
          <w:color w:val="auto"/>
          <w:highlight w:val="none"/>
        </w:rPr>
      </w:pPr>
    </w:p>
    <w:tbl>
      <w:tblPr>
        <w:tblStyle w:val="37"/>
        <w:tblW w:w="99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681"/>
        <w:gridCol w:w="839"/>
        <w:gridCol w:w="1281"/>
        <w:gridCol w:w="1419"/>
        <w:gridCol w:w="2004"/>
        <w:gridCol w:w="1080"/>
        <w:gridCol w:w="7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r>
              <w:rPr>
                <w:rFonts w:hint="eastAsia" w:ascii="宋体" w:hAnsi="宋体"/>
                <w:color w:val="auto"/>
                <w:szCs w:val="21"/>
                <w:highlight w:val="none"/>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r>
              <w:rPr>
                <w:rFonts w:hint="eastAsia" w:ascii="宋体" w:hAnsi="宋体"/>
                <w:color w:val="auto"/>
                <w:szCs w:val="21"/>
                <w:highlight w:val="none"/>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r>
              <w:rPr>
                <w:rFonts w:hint="eastAsia" w:ascii="宋体" w:hAnsi="宋体"/>
                <w:color w:val="auto"/>
                <w:szCs w:val="21"/>
                <w:highlight w:val="none"/>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r>
              <w:rPr>
                <w:rFonts w:hint="eastAsia" w:ascii="宋体" w:hAnsi="宋体"/>
                <w:color w:val="auto"/>
                <w:szCs w:val="21"/>
                <w:highlight w:val="none"/>
              </w:rPr>
              <w:t>单位及数量</w:t>
            </w:r>
          </w:p>
        </w:tc>
        <w:tc>
          <w:tcPr>
            <w:tcW w:w="2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r>
              <w:rPr>
                <w:rFonts w:hint="eastAsia" w:ascii="宋体" w:hAnsi="宋体"/>
                <w:color w:val="auto"/>
                <w:szCs w:val="21"/>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r>
              <w:rPr>
                <w:rFonts w:hint="eastAsia" w:hAnsi="宋体"/>
                <w:color w:val="auto"/>
                <w:szCs w:val="21"/>
                <w:highlight w:val="none"/>
              </w:rPr>
              <w:t>生产厂家</w:t>
            </w:r>
          </w:p>
        </w:tc>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r>
              <w:rPr>
                <w:rFonts w:hint="eastAsia" w:ascii="宋体" w:hAnsi="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color w:val="auto"/>
                <w:szCs w:val="21"/>
                <w:highlight w:val="none"/>
              </w:rPr>
            </w:pPr>
          </w:p>
        </w:tc>
      </w:tr>
    </w:tbl>
    <w:p>
      <w:pPr>
        <w:spacing w:line="360" w:lineRule="exact"/>
        <w:ind w:firstLine="6090" w:firstLineChars="2900"/>
        <w:rPr>
          <w:rFonts w:hint="eastAsia" w:ascii="宋体" w:hAnsi="宋体"/>
          <w:color w:val="auto"/>
          <w:szCs w:val="21"/>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snapToGrid w:val="0"/>
        <w:spacing w:before="50" w:line="340" w:lineRule="exact"/>
        <w:jc w:val="left"/>
        <w:rPr>
          <w:rFonts w:hint="eastAsia" w:ascii="宋体" w:hAnsi="宋体" w:cs="宋体"/>
          <w:b/>
          <w:color w:val="auto"/>
          <w:szCs w:val="21"/>
          <w:highlight w:val="none"/>
        </w:rPr>
        <w:sectPr>
          <w:pgSz w:w="11906" w:h="16838"/>
          <w:pgMar w:top="1134" w:right="1134" w:bottom="1134" w:left="1134" w:header="720" w:footer="720" w:gutter="0"/>
          <w:cols w:space="0" w:num="1"/>
          <w:docGrid w:type="lines" w:linePitch="312" w:charSpace="0"/>
        </w:sectPr>
      </w:pPr>
    </w:p>
    <w:p>
      <w:pPr>
        <w:snapToGrid w:val="0"/>
        <w:spacing w:before="50" w:line="340" w:lineRule="exact"/>
        <w:jc w:val="left"/>
        <w:rPr>
          <w:rFonts w:hint="eastAsia" w:ascii="宋体" w:hAnsi="宋体" w:cs="宋体"/>
          <w:b/>
          <w:color w:val="auto"/>
          <w:sz w:val="24"/>
          <w:highlight w:val="none"/>
        </w:rPr>
      </w:pPr>
      <w:r>
        <w:rPr>
          <w:rFonts w:hint="eastAsia" w:ascii="宋体" w:hAnsi="宋体" w:cs="宋体"/>
          <w:b/>
          <w:color w:val="auto"/>
          <w:sz w:val="24"/>
          <w:highlight w:val="none"/>
        </w:rPr>
        <w:t>七、项目实施方案格式：</w:t>
      </w:r>
    </w:p>
    <w:p>
      <w:pPr>
        <w:pStyle w:val="20"/>
        <w:spacing w:line="400" w:lineRule="exact"/>
        <w:jc w:val="center"/>
        <w:rPr>
          <w:rFonts w:hint="eastAsia" w:hAnsi="宋体"/>
          <w:b/>
          <w:bCs/>
          <w:color w:val="auto"/>
          <w:kern w:val="2"/>
          <w:sz w:val="30"/>
          <w:szCs w:val="30"/>
          <w:highlight w:val="none"/>
        </w:rPr>
      </w:pPr>
    </w:p>
    <w:p>
      <w:pPr>
        <w:pStyle w:val="20"/>
        <w:spacing w:line="400" w:lineRule="exact"/>
        <w:jc w:val="center"/>
        <w:rPr>
          <w:rFonts w:hint="eastAsia" w:hAnsi="宋体"/>
          <w:b/>
          <w:bCs/>
          <w:color w:val="auto"/>
          <w:kern w:val="2"/>
          <w:sz w:val="30"/>
          <w:szCs w:val="30"/>
          <w:highlight w:val="none"/>
        </w:rPr>
      </w:pPr>
    </w:p>
    <w:p>
      <w:pPr>
        <w:pStyle w:val="20"/>
        <w:spacing w:line="400" w:lineRule="exact"/>
        <w:jc w:val="center"/>
        <w:rPr>
          <w:rFonts w:hint="eastAsia" w:hAnsi="宋体"/>
          <w:b/>
          <w:bCs/>
          <w:color w:val="auto"/>
          <w:kern w:val="2"/>
          <w:sz w:val="30"/>
          <w:szCs w:val="30"/>
          <w:highlight w:val="none"/>
        </w:rPr>
      </w:pPr>
    </w:p>
    <w:p>
      <w:pPr>
        <w:pStyle w:val="20"/>
        <w:spacing w:line="400" w:lineRule="exact"/>
        <w:jc w:val="center"/>
        <w:rPr>
          <w:rFonts w:hint="eastAsia" w:hAnsi="宋体"/>
          <w:b/>
          <w:bCs/>
          <w:color w:val="auto"/>
          <w:kern w:val="2"/>
          <w:sz w:val="30"/>
          <w:szCs w:val="30"/>
          <w:highlight w:val="none"/>
        </w:rPr>
      </w:pPr>
      <w:r>
        <w:rPr>
          <w:rFonts w:hint="eastAsia" w:hAnsi="宋体"/>
          <w:b/>
          <w:bCs/>
          <w:color w:val="auto"/>
          <w:kern w:val="2"/>
          <w:sz w:val="30"/>
          <w:szCs w:val="30"/>
          <w:highlight w:val="none"/>
        </w:rPr>
        <w:t>项目实施方案</w:t>
      </w:r>
    </w:p>
    <w:p>
      <w:pPr>
        <w:pStyle w:val="20"/>
        <w:ind w:firstLine="480" w:firstLineChars="200"/>
        <w:rPr>
          <w:rFonts w:hint="eastAsia" w:hAnsi="宋体" w:cs="仿宋_GB2312"/>
          <w:color w:val="auto"/>
          <w:sz w:val="24"/>
          <w:szCs w:val="24"/>
          <w:highlight w:val="none"/>
        </w:rPr>
      </w:pPr>
    </w:p>
    <w:p>
      <w:pPr>
        <w:pStyle w:val="20"/>
        <w:ind w:firstLine="420" w:firstLineChars="200"/>
        <w:rPr>
          <w:rFonts w:hint="eastAsia" w:hAnsi="宋体" w:cs="宋体"/>
          <w:color w:val="auto"/>
          <w:sz w:val="21"/>
          <w:szCs w:val="21"/>
          <w:highlight w:val="none"/>
        </w:rPr>
      </w:pPr>
      <w:r>
        <w:rPr>
          <w:rFonts w:hint="eastAsia" w:hAnsi="宋体" w:cs="仿宋_GB2312"/>
          <w:color w:val="auto"/>
          <w:sz w:val="21"/>
          <w:szCs w:val="21"/>
          <w:highlight w:val="none"/>
        </w:rPr>
        <w:t>由供应商按第三章《采购需求》所投采购需求自行填写，所作的项目实施方案作为构成合同不可分割的部分，必须真实、诚信。</w:t>
      </w:r>
    </w:p>
    <w:p>
      <w:pPr>
        <w:pStyle w:val="20"/>
        <w:rPr>
          <w:rFonts w:hint="eastAsia" w:hAnsi="宋体" w:cs="宋体"/>
          <w:color w:val="auto"/>
          <w:sz w:val="24"/>
          <w:szCs w:val="24"/>
          <w:highlight w:val="none"/>
        </w:rPr>
      </w:pPr>
    </w:p>
    <w:p>
      <w:pPr>
        <w:pStyle w:val="20"/>
        <w:rPr>
          <w:rFonts w:hint="eastAsia" w:hAnsi="宋体" w:cs="宋体"/>
          <w:color w:val="auto"/>
          <w:sz w:val="24"/>
          <w:szCs w:val="24"/>
          <w:highlight w:val="none"/>
        </w:rPr>
      </w:pPr>
    </w:p>
    <w:p>
      <w:pPr>
        <w:pStyle w:val="20"/>
        <w:rPr>
          <w:rFonts w:hint="eastAsia" w:hAnsi="宋体" w:cs="宋体"/>
          <w:color w:val="auto"/>
          <w:sz w:val="24"/>
          <w:szCs w:val="24"/>
          <w:highlight w:val="none"/>
        </w:rPr>
      </w:pPr>
    </w:p>
    <w:p>
      <w:pPr>
        <w:pStyle w:val="20"/>
        <w:rPr>
          <w:rFonts w:hint="eastAsia" w:hAnsi="宋体" w:cs="宋体"/>
          <w:color w:val="auto"/>
          <w:sz w:val="24"/>
          <w:szCs w:val="24"/>
          <w:highlight w:val="none"/>
        </w:rPr>
      </w:pPr>
    </w:p>
    <w:p>
      <w:pPr>
        <w:pStyle w:val="20"/>
        <w:rPr>
          <w:rFonts w:hint="eastAsia" w:hAnsi="宋体" w:cs="宋体"/>
          <w:color w:val="auto"/>
          <w:sz w:val="24"/>
          <w:szCs w:val="24"/>
          <w:highlight w:val="none"/>
        </w:rPr>
      </w:pPr>
    </w:p>
    <w:p>
      <w:pPr>
        <w:pStyle w:val="20"/>
        <w:rPr>
          <w:rFonts w:hint="eastAsia" w:hAnsi="宋体" w:cs="宋体"/>
          <w:color w:val="auto"/>
          <w:sz w:val="24"/>
          <w:szCs w:val="24"/>
          <w:highlight w:val="none"/>
        </w:rPr>
      </w:pPr>
    </w:p>
    <w:p>
      <w:pPr>
        <w:pStyle w:val="20"/>
        <w:rPr>
          <w:rFonts w:hint="eastAsia" w:hAnsi="宋体" w:cs="宋体"/>
          <w:color w:val="auto"/>
          <w:sz w:val="24"/>
          <w:szCs w:val="24"/>
          <w:highlight w:val="none"/>
        </w:rPr>
      </w:pPr>
    </w:p>
    <w:p>
      <w:pPr>
        <w:pStyle w:val="20"/>
        <w:rPr>
          <w:rFonts w:hint="eastAsia" w:hAnsi="宋体" w:cs="宋体"/>
          <w:color w:val="auto"/>
          <w:sz w:val="24"/>
          <w:szCs w:val="24"/>
          <w:highlight w:val="none"/>
        </w:rPr>
      </w:pPr>
    </w:p>
    <w:p>
      <w:pPr>
        <w:pStyle w:val="20"/>
        <w:rPr>
          <w:rFonts w:hint="eastAsia" w:hAnsi="宋体" w:cs="宋体"/>
          <w:color w:val="auto"/>
          <w:sz w:val="24"/>
          <w:szCs w:val="24"/>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pStyle w:val="20"/>
        <w:jc w:val="left"/>
        <w:rPr>
          <w:rFonts w:hint="eastAsia" w:hAnsi="宋体" w:cs="宋体"/>
          <w:b/>
          <w:color w:val="auto"/>
          <w:sz w:val="24"/>
          <w:szCs w:val="24"/>
          <w:highlight w:val="none"/>
        </w:rPr>
      </w:pPr>
    </w:p>
    <w:p>
      <w:pPr>
        <w:pStyle w:val="20"/>
        <w:jc w:val="left"/>
        <w:rPr>
          <w:rFonts w:hint="eastAsia" w:hAnsi="宋体" w:cs="宋体"/>
          <w:b/>
          <w:color w:val="auto"/>
          <w:highlight w:val="none"/>
        </w:rPr>
      </w:pPr>
    </w:p>
    <w:p>
      <w:pPr>
        <w:spacing w:line="320" w:lineRule="exact"/>
        <w:rPr>
          <w:rFonts w:hint="eastAsia" w:ascii="宋体" w:hAnsi="宋体" w:cs="宋体"/>
          <w:b/>
          <w:color w:val="auto"/>
          <w:szCs w:val="21"/>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pacing w:line="320" w:lineRule="exact"/>
        <w:rPr>
          <w:rFonts w:hint="eastAsia" w:ascii="宋体" w:hAnsi="宋体" w:cs="宋体"/>
          <w:b/>
          <w:color w:val="auto"/>
          <w:sz w:val="24"/>
          <w:highlight w:val="none"/>
        </w:rPr>
      </w:pPr>
    </w:p>
    <w:p>
      <w:pPr>
        <w:snapToGrid w:val="0"/>
        <w:spacing w:before="50" w:after="50" w:line="360" w:lineRule="exact"/>
        <w:rPr>
          <w:rFonts w:hint="eastAsia" w:hAnsi="宋体" w:cs="宋体"/>
          <w:b/>
          <w:color w:val="auto"/>
          <w:highlight w:val="none"/>
        </w:rPr>
        <w:sectPr>
          <w:pgSz w:w="11906" w:h="16838"/>
          <w:pgMar w:top="1134" w:right="1134" w:bottom="1134" w:left="1134" w:header="720" w:footer="720" w:gutter="0"/>
          <w:cols w:space="0" w:num="1"/>
          <w:docGrid w:type="lines" w:linePitch="312" w:charSpace="0"/>
        </w:sectPr>
      </w:pPr>
    </w:p>
    <w:p>
      <w:pPr>
        <w:snapToGrid w:val="0"/>
        <w:spacing w:before="50" w:after="50" w:line="360" w:lineRule="exact"/>
        <w:rPr>
          <w:rFonts w:hint="eastAsia" w:hAnsi="宋体" w:cs="宋体"/>
          <w:b/>
          <w:color w:val="auto"/>
          <w:sz w:val="24"/>
          <w:szCs w:val="32"/>
          <w:highlight w:val="none"/>
        </w:rPr>
      </w:pPr>
      <w:r>
        <w:rPr>
          <w:rFonts w:hint="eastAsia" w:hAnsi="宋体" w:cs="宋体"/>
          <w:b/>
          <w:color w:val="auto"/>
          <w:sz w:val="24"/>
          <w:szCs w:val="32"/>
          <w:highlight w:val="none"/>
        </w:rPr>
        <w:t>八、售后服务方案及承诺书格式：</w:t>
      </w:r>
    </w:p>
    <w:p>
      <w:pPr>
        <w:snapToGrid w:val="0"/>
        <w:spacing w:before="50" w:after="50" w:line="360" w:lineRule="exact"/>
        <w:jc w:val="center"/>
        <w:rPr>
          <w:rFonts w:hint="eastAsia" w:ascii="宋体" w:hAnsi="宋体"/>
          <w:color w:val="auto"/>
          <w:sz w:val="30"/>
          <w:szCs w:val="30"/>
          <w:highlight w:val="none"/>
        </w:rPr>
      </w:pPr>
    </w:p>
    <w:p>
      <w:pPr>
        <w:snapToGrid w:val="0"/>
        <w:spacing w:before="50" w:after="50" w:line="360" w:lineRule="exact"/>
        <w:jc w:val="center"/>
        <w:rPr>
          <w:rFonts w:hint="eastAsia" w:ascii="宋体" w:hAnsi="宋体"/>
          <w:b/>
          <w:bCs/>
          <w:color w:val="auto"/>
          <w:sz w:val="30"/>
          <w:szCs w:val="30"/>
          <w:highlight w:val="none"/>
        </w:rPr>
      </w:pPr>
    </w:p>
    <w:p>
      <w:pPr>
        <w:snapToGrid w:val="0"/>
        <w:spacing w:before="50" w:after="50" w:line="360" w:lineRule="exact"/>
        <w:jc w:val="center"/>
        <w:rPr>
          <w:rFonts w:hint="eastAsia" w:ascii="宋体" w:hAnsi="宋体"/>
          <w:b/>
          <w:bCs/>
          <w:color w:val="auto"/>
          <w:sz w:val="30"/>
          <w:szCs w:val="30"/>
          <w:highlight w:val="none"/>
        </w:rPr>
      </w:pPr>
      <w:r>
        <w:rPr>
          <w:rFonts w:hint="eastAsia" w:ascii="宋体" w:hAnsi="宋体"/>
          <w:b/>
          <w:bCs/>
          <w:color w:val="auto"/>
          <w:sz w:val="30"/>
          <w:szCs w:val="30"/>
          <w:highlight w:val="none"/>
        </w:rPr>
        <w:t>售后服务方案及承诺书</w:t>
      </w:r>
    </w:p>
    <w:p>
      <w:pPr>
        <w:pStyle w:val="20"/>
        <w:spacing w:line="440" w:lineRule="exact"/>
        <w:rPr>
          <w:rFonts w:hint="eastAsia" w:hAnsi="宋体" w:cs="宋体"/>
          <w:color w:val="auto"/>
          <w:sz w:val="21"/>
          <w:highlight w:val="none"/>
        </w:rPr>
      </w:pPr>
    </w:p>
    <w:p>
      <w:pPr>
        <w:pStyle w:val="20"/>
        <w:spacing w:line="440" w:lineRule="exact"/>
        <w:rPr>
          <w:rFonts w:hint="eastAsia" w:hAnsi="宋体" w:cs="宋体"/>
          <w:color w:val="auto"/>
          <w:sz w:val="21"/>
          <w:highlight w:val="none"/>
        </w:rPr>
      </w:pPr>
      <w:r>
        <w:rPr>
          <w:rFonts w:hint="eastAsia" w:hAnsi="宋体" w:cs="宋体"/>
          <w:color w:val="auto"/>
          <w:sz w:val="21"/>
          <w:highlight w:val="none"/>
        </w:rPr>
        <w:t xml:space="preserve">第1条 </w:t>
      </w:r>
      <w:r>
        <w:rPr>
          <w:rFonts w:hint="eastAsia" w:hAnsi="宋体" w:cs="宋体"/>
          <w:b/>
          <w:color w:val="auto"/>
          <w:sz w:val="21"/>
          <w:highlight w:val="none"/>
        </w:rPr>
        <w:t>对合同条款、付款方式全部予以响应。</w:t>
      </w:r>
    </w:p>
    <w:p>
      <w:pPr>
        <w:pStyle w:val="20"/>
        <w:jc w:val="left"/>
        <w:rPr>
          <w:rFonts w:hint="eastAsia" w:hAnsi="宋体" w:cs="宋体"/>
          <w:color w:val="auto"/>
          <w:sz w:val="21"/>
          <w:highlight w:val="none"/>
        </w:rPr>
      </w:pPr>
      <w:r>
        <w:rPr>
          <w:rFonts w:hint="eastAsia" w:hAnsi="宋体"/>
          <w:color w:val="auto"/>
          <w:szCs w:val="21"/>
          <w:highlight w:val="none"/>
        </w:rPr>
        <w:t>第2条</w:t>
      </w:r>
      <w:r>
        <w:rPr>
          <w:rFonts w:hint="eastAsia" w:hAnsi="宋体"/>
          <w:b/>
          <w:color w:val="auto"/>
          <w:szCs w:val="21"/>
          <w:highlight w:val="none"/>
        </w:rPr>
        <w:t xml:space="preserve"> </w:t>
      </w:r>
      <w:r>
        <w:rPr>
          <w:rFonts w:hint="eastAsia" w:hAnsi="宋体"/>
          <w:color w:val="auto"/>
          <w:szCs w:val="21"/>
          <w:highlight w:val="none"/>
        </w:rPr>
        <w:t>（由供应商按第三章《采购需求》要求自行填写，所作的承诺作为构成合同不可分割的部分，必须真实、诚信，如提供虚假承诺或在中标、成交后不按其承诺履行的，将依法追究违约责任，并按《中华人民共和国政府采购法》规定予以处罚。）</w:t>
      </w:r>
    </w:p>
    <w:p>
      <w:pPr>
        <w:pStyle w:val="20"/>
        <w:rPr>
          <w:rFonts w:hint="eastAsia" w:hAnsi="宋体"/>
          <w:color w:val="auto"/>
          <w:szCs w:val="21"/>
          <w:highlight w:val="none"/>
        </w:rPr>
      </w:pPr>
      <w:r>
        <w:rPr>
          <w:rFonts w:hint="eastAsia" w:hAnsi="宋体"/>
          <w:color w:val="auto"/>
          <w:szCs w:val="21"/>
          <w:highlight w:val="none"/>
        </w:rPr>
        <w:t xml:space="preserve">第3条  </w:t>
      </w:r>
    </w:p>
    <w:p>
      <w:pPr>
        <w:pStyle w:val="20"/>
        <w:ind w:firstLine="480" w:firstLineChars="200"/>
        <w:jc w:val="left"/>
        <w:rPr>
          <w:rFonts w:hint="eastAsia" w:hAnsi="宋体"/>
          <w:color w:val="auto"/>
          <w:sz w:val="24"/>
          <w:szCs w:val="24"/>
          <w:highlight w:val="none"/>
        </w:rPr>
      </w:pPr>
    </w:p>
    <w:p>
      <w:pPr>
        <w:pStyle w:val="20"/>
        <w:ind w:firstLine="480" w:firstLineChars="200"/>
        <w:rPr>
          <w:rFonts w:hint="eastAsia" w:hAnsi="宋体" w:cs="宋体"/>
          <w:color w:val="auto"/>
          <w:sz w:val="24"/>
          <w:szCs w:val="24"/>
          <w:highlight w:val="none"/>
        </w:rPr>
      </w:pPr>
    </w:p>
    <w:p>
      <w:pPr>
        <w:pStyle w:val="20"/>
        <w:ind w:firstLine="480" w:firstLineChars="200"/>
        <w:rPr>
          <w:rFonts w:hint="eastAsia" w:hAnsi="宋体" w:cs="宋体"/>
          <w:color w:val="auto"/>
          <w:sz w:val="24"/>
          <w:szCs w:val="24"/>
          <w:highlight w:val="none"/>
        </w:rPr>
      </w:pPr>
    </w:p>
    <w:p>
      <w:pPr>
        <w:pStyle w:val="20"/>
        <w:ind w:firstLine="480" w:firstLineChars="200"/>
        <w:rPr>
          <w:rFonts w:hint="eastAsia" w:hAnsi="宋体" w:cs="宋体"/>
          <w:color w:val="auto"/>
          <w:sz w:val="24"/>
          <w:szCs w:val="24"/>
          <w:highlight w:val="none"/>
        </w:rPr>
      </w:pPr>
    </w:p>
    <w:p>
      <w:pPr>
        <w:pStyle w:val="20"/>
        <w:ind w:firstLine="480" w:firstLineChars="200"/>
        <w:rPr>
          <w:rFonts w:hint="eastAsia" w:hAnsi="宋体" w:cs="宋体"/>
          <w:color w:val="auto"/>
          <w:sz w:val="24"/>
          <w:szCs w:val="24"/>
          <w:highlight w:val="none"/>
        </w:rPr>
      </w:pPr>
    </w:p>
    <w:p>
      <w:pPr>
        <w:pStyle w:val="20"/>
        <w:ind w:firstLine="480" w:firstLineChars="200"/>
        <w:rPr>
          <w:rFonts w:hint="eastAsia" w:hAnsi="宋体" w:cs="宋体"/>
          <w:color w:val="auto"/>
          <w:sz w:val="24"/>
          <w:szCs w:val="24"/>
          <w:highlight w:val="none"/>
        </w:rPr>
      </w:pPr>
    </w:p>
    <w:p>
      <w:pPr>
        <w:pStyle w:val="20"/>
        <w:ind w:firstLine="480" w:firstLineChars="200"/>
        <w:rPr>
          <w:rFonts w:hint="eastAsia" w:hAnsi="宋体" w:cs="宋体"/>
          <w:color w:val="auto"/>
          <w:sz w:val="24"/>
          <w:szCs w:val="24"/>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snapToGrid w:val="0"/>
        <w:spacing w:before="50"/>
        <w:jc w:val="right"/>
        <w:rPr>
          <w:rFonts w:hint="eastAsia" w:ascii="宋体" w:hAnsi="宋体" w:cs="宋体"/>
          <w:color w:val="auto"/>
          <w:szCs w:val="21"/>
          <w:highlight w:val="none"/>
          <w:u w:val="singl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pStyle w:val="28"/>
        <w:rPr>
          <w:rFonts w:hint="eastAsia" w:ascii="宋体" w:hAnsi="宋体"/>
          <w:color w:val="auto"/>
          <w:szCs w:val="21"/>
          <w:highlight w:val="none"/>
        </w:rPr>
      </w:pPr>
    </w:p>
    <w:p>
      <w:pPr>
        <w:rPr>
          <w:rFonts w:hint="eastAsia" w:ascii="宋体" w:hAnsi="宋体"/>
          <w:color w:val="auto"/>
          <w:szCs w:val="21"/>
          <w:highlight w:val="none"/>
        </w:rPr>
      </w:pPr>
    </w:p>
    <w:p>
      <w:pPr>
        <w:pStyle w:val="28"/>
        <w:rPr>
          <w:rFonts w:hint="eastAsia" w:ascii="宋体" w:hAnsi="宋体"/>
          <w:color w:val="auto"/>
          <w:szCs w:val="21"/>
          <w:highlight w:val="none"/>
        </w:rPr>
      </w:pPr>
    </w:p>
    <w:p>
      <w:pPr>
        <w:rPr>
          <w:rFonts w:hint="eastAsia" w:ascii="宋体" w:hAnsi="宋体"/>
          <w:color w:val="auto"/>
          <w:szCs w:val="21"/>
          <w:highlight w:val="none"/>
        </w:rPr>
      </w:pPr>
    </w:p>
    <w:p>
      <w:pPr>
        <w:pStyle w:val="28"/>
        <w:rPr>
          <w:rFonts w:hint="eastAsia" w:ascii="宋体" w:hAnsi="宋体"/>
          <w:color w:val="auto"/>
          <w:szCs w:val="21"/>
          <w:highlight w:val="none"/>
        </w:rPr>
      </w:pPr>
    </w:p>
    <w:p>
      <w:pPr>
        <w:snapToGrid w:val="0"/>
        <w:spacing w:before="50" w:after="50" w:line="360" w:lineRule="exact"/>
        <w:rPr>
          <w:rFonts w:hint="eastAsia" w:hAnsi="宋体" w:cs="宋体"/>
          <w:b/>
          <w:color w:val="auto"/>
          <w:sz w:val="24"/>
          <w:szCs w:val="32"/>
          <w:highlight w:val="none"/>
        </w:rPr>
      </w:pPr>
      <w:r>
        <w:rPr>
          <w:rFonts w:hint="eastAsia" w:hAnsi="宋体" w:cs="宋体"/>
          <w:b/>
          <w:color w:val="auto"/>
          <w:sz w:val="24"/>
          <w:szCs w:val="32"/>
          <w:highlight w:val="none"/>
        </w:rPr>
        <w:t>九、选配件、专用耗材、售后服务优惠表格式：</w:t>
      </w:r>
    </w:p>
    <w:p>
      <w:pPr>
        <w:tabs>
          <w:tab w:val="left" w:pos="315"/>
        </w:tabs>
        <w:snapToGrid w:val="0"/>
        <w:spacing w:before="50" w:after="50" w:line="360" w:lineRule="exact"/>
        <w:rPr>
          <w:rFonts w:hint="eastAsia" w:ascii="宋体" w:hAnsi="宋体"/>
          <w:color w:val="auto"/>
          <w:sz w:val="24"/>
          <w:highlight w:val="none"/>
        </w:rPr>
      </w:pPr>
    </w:p>
    <w:p>
      <w:pPr>
        <w:tabs>
          <w:tab w:val="left" w:pos="315"/>
        </w:tabs>
        <w:snapToGrid w:val="0"/>
        <w:spacing w:before="50" w:after="50" w:line="360" w:lineRule="exact"/>
        <w:jc w:val="center"/>
        <w:rPr>
          <w:rFonts w:hint="eastAsia" w:ascii="宋体" w:hAnsi="宋体"/>
          <w:b/>
          <w:bCs/>
          <w:color w:val="auto"/>
          <w:sz w:val="30"/>
          <w:szCs w:val="30"/>
          <w:highlight w:val="none"/>
        </w:rPr>
      </w:pPr>
      <w:r>
        <w:rPr>
          <w:rFonts w:hint="eastAsia" w:ascii="宋体" w:hAnsi="宋体"/>
          <w:b/>
          <w:bCs/>
          <w:color w:val="auto"/>
          <w:sz w:val="30"/>
          <w:szCs w:val="30"/>
          <w:highlight w:val="none"/>
        </w:rPr>
        <w:t>选配件、专用耗材、售后服务优惠表</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71" w:hRule="exact"/>
          <w:jc w:val="center"/>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auto"/>
                <w:highlight w:val="none"/>
              </w:rPr>
            </w:pPr>
            <w:r>
              <w:rPr>
                <w:rFonts w:hint="eastAsia" w:hAnsi="宋体"/>
                <w:color w:val="auto"/>
                <w:highlight w:val="none"/>
              </w:rPr>
              <w:t>序号</w:t>
            </w:r>
          </w:p>
        </w:tc>
        <w:tc>
          <w:tcPr>
            <w:tcW w:w="2700" w:type="dxa"/>
            <w:tcBorders>
              <w:top w:val="single" w:color="auto" w:sz="4" w:space="0"/>
              <w:left w:val="single" w:color="auto" w:sz="4" w:space="0"/>
              <w:bottom w:val="single" w:color="auto" w:sz="2" w:space="0"/>
              <w:right w:val="single" w:color="auto" w:sz="4" w:space="0"/>
            </w:tcBorders>
          </w:tcPr>
          <w:p>
            <w:pPr>
              <w:pStyle w:val="20"/>
              <w:snapToGrid w:val="0"/>
              <w:spacing w:before="295" w:after="295" w:line="360" w:lineRule="exact"/>
              <w:jc w:val="center"/>
              <w:rPr>
                <w:rFonts w:hint="eastAsia" w:hAnsi="宋体"/>
                <w:color w:val="auto"/>
                <w:highlight w:val="none"/>
              </w:rPr>
            </w:pPr>
            <w:r>
              <w:rPr>
                <w:rFonts w:hint="eastAsia" w:hAnsi="宋体"/>
                <w:color w:val="auto"/>
                <w:highlight w:val="none"/>
              </w:rPr>
              <w:t>优惠内容</w:t>
            </w:r>
          </w:p>
        </w:tc>
        <w:tc>
          <w:tcPr>
            <w:tcW w:w="1440" w:type="dxa"/>
            <w:tcBorders>
              <w:top w:val="single" w:color="auto" w:sz="4" w:space="0"/>
              <w:left w:val="single" w:color="auto" w:sz="4" w:space="0"/>
              <w:bottom w:val="single" w:color="auto" w:sz="2" w:space="0"/>
              <w:right w:val="single" w:color="auto" w:sz="4" w:space="0"/>
            </w:tcBorders>
          </w:tcPr>
          <w:p>
            <w:pPr>
              <w:pStyle w:val="20"/>
              <w:snapToGrid w:val="0"/>
              <w:spacing w:before="295" w:after="295" w:line="360" w:lineRule="exact"/>
              <w:jc w:val="center"/>
              <w:rPr>
                <w:rFonts w:hint="eastAsia" w:hAnsi="宋体"/>
                <w:color w:val="auto"/>
                <w:highlight w:val="none"/>
              </w:rPr>
            </w:pPr>
            <w:r>
              <w:rPr>
                <w:rFonts w:hint="eastAsia" w:hAnsi="宋体"/>
                <w:color w:val="auto"/>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auto"/>
                <w:highlight w:val="none"/>
              </w:rPr>
            </w:pPr>
            <w:r>
              <w:rPr>
                <w:rFonts w:hint="eastAsia" w:hAnsi="宋体"/>
                <w:color w:val="auto"/>
                <w:highlight w:val="none"/>
              </w:rPr>
              <w:t>单价</w:t>
            </w:r>
          </w:p>
        </w:tc>
        <w:tc>
          <w:tcPr>
            <w:tcW w:w="2340" w:type="dxa"/>
            <w:tcBorders>
              <w:top w:val="single" w:color="auto" w:sz="4" w:space="0"/>
              <w:left w:val="single" w:color="auto" w:sz="4" w:space="0"/>
              <w:bottom w:val="single" w:color="auto" w:sz="2" w:space="0"/>
              <w:right w:val="single" w:color="auto" w:sz="4" w:space="0"/>
            </w:tcBorders>
          </w:tcPr>
          <w:p>
            <w:pPr>
              <w:pStyle w:val="20"/>
              <w:snapToGrid w:val="0"/>
              <w:spacing w:before="295" w:after="295" w:line="360" w:lineRule="exact"/>
              <w:jc w:val="center"/>
              <w:rPr>
                <w:rFonts w:hint="eastAsia" w:hAnsi="宋体"/>
                <w:color w:val="auto"/>
                <w:highlight w:val="none"/>
              </w:rPr>
            </w:pPr>
            <w:r>
              <w:rPr>
                <w:rFonts w:hint="eastAsia" w:hAnsi="宋体"/>
                <w:color w:val="auto"/>
                <w:highlight w:val="none"/>
              </w:rPr>
              <w:t>比投标报价优惠率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34" w:hRule="exac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tcPr>
          <w:p>
            <w:pPr>
              <w:pStyle w:val="20"/>
              <w:snapToGrid w:val="0"/>
              <w:spacing w:before="295" w:after="295" w:line="360" w:lineRule="exact"/>
              <w:ind w:firstLine="200" w:firstLineChars="100"/>
              <w:rPr>
                <w:rFonts w:hint="eastAsia" w:hAnsi="宋体"/>
                <w:color w:val="auto"/>
                <w:highlight w:val="none"/>
              </w:rPr>
            </w:pPr>
            <w:r>
              <w:rPr>
                <w:rFonts w:hint="eastAsia" w:hAnsi="宋体"/>
                <w:color w:val="auto"/>
                <w:highlight w:val="none"/>
              </w:rPr>
              <w:t>1</w:t>
            </w:r>
          </w:p>
        </w:tc>
        <w:tc>
          <w:tcPr>
            <w:tcW w:w="2700" w:type="dxa"/>
            <w:tcBorders>
              <w:top w:val="single" w:color="auto" w:sz="2" w:space="0"/>
              <w:left w:val="single" w:color="auto" w:sz="2" w:space="0"/>
              <w:bottom w:val="single" w:color="auto" w:sz="6" w:space="0"/>
              <w:right w:val="single" w:color="auto" w:sz="4" w:space="0"/>
            </w:tcBorders>
          </w:tcPr>
          <w:p>
            <w:pPr>
              <w:pStyle w:val="20"/>
              <w:snapToGrid w:val="0"/>
              <w:spacing w:before="295" w:after="295" w:line="360" w:lineRule="exact"/>
              <w:jc w:val="center"/>
              <w:rPr>
                <w:rFonts w:hint="eastAsia" w:hAnsi="宋体"/>
                <w:color w:val="auto"/>
                <w:highlight w:val="none"/>
              </w:rPr>
            </w:pPr>
          </w:p>
        </w:tc>
        <w:tc>
          <w:tcPr>
            <w:tcW w:w="1440" w:type="dxa"/>
            <w:tcBorders>
              <w:top w:val="single" w:color="auto" w:sz="2" w:space="0"/>
              <w:left w:val="single" w:color="auto" w:sz="4" w:space="0"/>
              <w:bottom w:val="single" w:color="auto" w:sz="6" w:space="0"/>
              <w:right w:val="single" w:color="auto" w:sz="6" w:space="0"/>
            </w:tcBorders>
          </w:tcPr>
          <w:p>
            <w:pPr>
              <w:pStyle w:val="20"/>
              <w:snapToGrid w:val="0"/>
              <w:spacing w:before="295" w:after="295" w:line="360" w:lineRule="exact"/>
              <w:jc w:val="center"/>
              <w:rPr>
                <w:rFonts w:hint="eastAsia" w:hAnsi="宋体"/>
                <w:color w:val="auto"/>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auto"/>
                <w:highlight w:val="none"/>
              </w:rPr>
            </w:pPr>
          </w:p>
        </w:tc>
        <w:tc>
          <w:tcPr>
            <w:tcW w:w="2340" w:type="dxa"/>
            <w:tcBorders>
              <w:top w:val="single" w:color="auto" w:sz="2" w:space="0"/>
              <w:left w:val="single" w:color="auto" w:sz="6" w:space="0"/>
              <w:bottom w:val="single" w:color="auto" w:sz="6" w:space="0"/>
              <w:right w:val="single" w:color="auto" w:sz="2" w:space="0"/>
            </w:tcBorders>
          </w:tcPr>
          <w:p>
            <w:pPr>
              <w:pStyle w:val="20"/>
              <w:snapToGrid w:val="0"/>
              <w:spacing w:before="295" w:after="295" w:line="360" w:lineRule="exact"/>
              <w:jc w:val="center"/>
              <w:rPr>
                <w:rFonts w:hint="eastAsia" w:hAnsi="宋体"/>
                <w:color w:val="auto"/>
                <w:highlight w:val="none"/>
              </w:rPr>
            </w:pPr>
            <w:r>
              <w:rPr>
                <w:rFonts w:hint="eastAsia"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26" w:hRule="exac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auto"/>
                <w:highlight w:val="none"/>
              </w:rPr>
            </w:pPr>
            <w:r>
              <w:rPr>
                <w:rFonts w:hint="eastAsia" w:hAnsi="宋体"/>
                <w:color w:val="auto"/>
                <w:highlight w:val="none"/>
              </w:rPr>
              <w:t>2</w:t>
            </w:r>
          </w:p>
        </w:tc>
        <w:tc>
          <w:tcPr>
            <w:tcW w:w="2700" w:type="dxa"/>
            <w:tcBorders>
              <w:top w:val="single" w:color="auto" w:sz="6" w:space="0"/>
              <w:left w:val="single" w:color="auto" w:sz="2" w:space="0"/>
              <w:bottom w:val="single" w:color="auto" w:sz="6" w:space="0"/>
              <w:right w:val="single" w:color="auto" w:sz="4" w:space="0"/>
            </w:tcBorders>
          </w:tcPr>
          <w:p>
            <w:pPr>
              <w:pStyle w:val="20"/>
              <w:snapToGrid w:val="0"/>
              <w:spacing w:before="295" w:after="295" w:line="360" w:lineRule="exact"/>
              <w:jc w:val="center"/>
              <w:rPr>
                <w:rFonts w:hint="eastAsia" w:hAnsi="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tcPr>
          <w:p>
            <w:pPr>
              <w:pStyle w:val="20"/>
              <w:snapToGrid w:val="0"/>
              <w:spacing w:before="295" w:after="295" w:line="360" w:lineRule="exact"/>
              <w:jc w:val="center"/>
              <w:rPr>
                <w:rFonts w:hint="eastAsia" w:hAnsi="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auto"/>
                <w:highlight w:val="none"/>
              </w:rPr>
            </w:pPr>
          </w:p>
        </w:tc>
        <w:tc>
          <w:tcPr>
            <w:tcW w:w="2340" w:type="dxa"/>
            <w:tcBorders>
              <w:top w:val="single" w:color="auto" w:sz="6" w:space="0"/>
              <w:left w:val="single" w:color="auto" w:sz="6" w:space="0"/>
              <w:bottom w:val="single" w:color="auto" w:sz="6" w:space="0"/>
              <w:right w:val="single" w:color="auto" w:sz="2" w:space="0"/>
            </w:tcBorders>
          </w:tcPr>
          <w:p>
            <w:pPr>
              <w:pStyle w:val="20"/>
              <w:snapToGrid w:val="0"/>
              <w:spacing w:before="295" w:after="295" w:line="360" w:lineRule="exact"/>
              <w:jc w:val="center"/>
              <w:rPr>
                <w:rFonts w:hint="eastAsia" w:hAnsi="宋体"/>
                <w:color w:val="auto"/>
                <w:highlight w:val="none"/>
              </w:rPr>
            </w:pPr>
            <w:r>
              <w:rPr>
                <w:rFonts w:hint="eastAsia"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49" w:hRule="exac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auto"/>
                <w:highlight w:val="none"/>
              </w:rPr>
            </w:pPr>
            <w:r>
              <w:rPr>
                <w:rFonts w:hint="eastAsia" w:hAnsi="宋体"/>
                <w:color w:val="auto"/>
                <w:highlight w:val="none"/>
              </w:rPr>
              <w:t>3</w:t>
            </w:r>
          </w:p>
        </w:tc>
        <w:tc>
          <w:tcPr>
            <w:tcW w:w="2700" w:type="dxa"/>
            <w:tcBorders>
              <w:top w:val="single" w:color="auto" w:sz="6" w:space="0"/>
              <w:left w:val="single" w:color="auto" w:sz="2" w:space="0"/>
              <w:bottom w:val="single" w:color="auto" w:sz="6" w:space="0"/>
              <w:right w:val="single" w:color="auto" w:sz="4" w:space="0"/>
            </w:tcBorders>
          </w:tcPr>
          <w:p>
            <w:pPr>
              <w:pStyle w:val="20"/>
              <w:snapToGrid w:val="0"/>
              <w:spacing w:before="295" w:after="295" w:line="360" w:lineRule="exact"/>
              <w:jc w:val="center"/>
              <w:rPr>
                <w:rFonts w:hint="eastAsia" w:hAnsi="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tcPr>
          <w:p>
            <w:pPr>
              <w:pStyle w:val="20"/>
              <w:snapToGrid w:val="0"/>
              <w:spacing w:before="295" w:after="295" w:line="360" w:lineRule="exact"/>
              <w:jc w:val="center"/>
              <w:rPr>
                <w:rFonts w:hint="eastAsia" w:hAnsi="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pPr>
              <w:pStyle w:val="20"/>
              <w:snapToGrid w:val="0"/>
              <w:spacing w:before="295" w:after="295" w:line="360" w:lineRule="exact"/>
              <w:jc w:val="center"/>
              <w:rPr>
                <w:rFonts w:hint="eastAsia" w:hAnsi="宋体"/>
                <w:color w:val="auto"/>
                <w:highlight w:val="none"/>
              </w:rPr>
            </w:pPr>
          </w:p>
        </w:tc>
        <w:tc>
          <w:tcPr>
            <w:tcW w:w="2340" w:type="dxa"/>
            <w:tcBorders>
              <w:top w:val="single" w:color="auto" w:sz="6" w:space="0"/>
              <w:left w:val="single" w:color="auto" w:sz="6" w:space="0"/>
              <w:bottom w:val="single" w:color="auto" w:sz="6" w:space="0"/>
              <w:right w:val="single" w:color="auto" w:sz="2" w:space="0"/>
            </w:tcBorders>
          </w:tcPr>
          <w:p>
            <w:pPr>
              <w:pStyle w:val="20"/>
              <w:snapToGrid w:val="0"/>
              <w:spacing w:before="295" w:after="295" w:line="360" w:lineRule="exact"/>
              <w:jc w:val="center"/>
              <w:rPr>
                <w:rFonts w:hint="eastAsia" w:hAnsi="宋体"/>
                <w:color w:val="auto"/>
                <w:highlight w:val="none"/>
              </w:rPr>
            </w:pPr>
            <w:r>
              <w:rPr>
                <w:rFonts w:hint="eastAsia" w:hAnsi="宋体"/>
                <w:color w:val="auto"/>
                <w:highlight w:val="none"/>
              </w:rPr>
              <w:t>%</w:t>
            </w:r>
          </w:p>
        </w:tc>
      </w:tr>
    </w:tbl>
    <w:p>
      <w:pPr>
        <w:snapToGrid w:val="0"/>
        <w:spacing w:before="50" w:after="50" w:line="360" w:lineRule="exact"/>
        <w:ind w:firstLine="210" w:firstLineChars="100"/>
        <w:rPr>
          <w:rFonts w:hint="eastAsia" w:ascii="宋体" w:hAnsi="宋体"/>
          <w:color w:val="auto"/>
          <w:szCs w:val="21"/>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snapToGrid w:val="0"/>
        <w:spacing w:before="50" w:line="340" w:lineRule="exact"/>
        <w:jc w:val="left"/>
        <w:rPr>
          <w:rFonts w:hint="eastAsia" w:ascii="宋体" w:hAnsi="宋体" w:cs="宋体"/>
          <w:b/>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spacing w:line="320" w:lineRule="exact"/>
        <w:rPr>
          <w:rFonts w:hint="eastAsia" w:ascii="宋体" w:hAnsi="宋体"/>
          <w:color w:val="auto"/>
          <w:szCs w:val="21"/>
          <w:highlight w:val="none"/>
        </w:rPr>
      </w:pPr>
    </w:p>
    <w:p>
      <w:pPr>
        <w:pStyle w:val="28"/>
        <w:rPr>
          <w:rFonts w:hint="eastAsia" w:ascii="宋体" w:hAnsi="宋体"/>
          <w:color w:val="auto"/>
          <w:szCs w:val="21"/>
          <w:highlight w:val="none"/>
        </w:rPr>
      </w:pPr>
    </w:p>
    <w:p>
      <w:pPr>
        <w:rPr>
          <w:rFonts w:hint="eastAsia" w:ascii="宋体" w:hAnsi="宋体"/>
          <w:color w:val="auto"/>
          <w:szCs w:val="21"/>
          <w:highlight w:val="none"/>
        </w:rPr>
      </w:pPr>
    </w:p>
    <w:p>
      <w:pPr>
        <w:pStyle w:val="28"/>
        <w:rPr>
          <w:rFonts w:hint="eastAsia" w:ascii="宋体" w:hAnsi="宋体"/>
          <w:color w:val="auto"/>
          <w:szCs w:val="21"/>
          <w:highlight w:val="none"/>
        </w:rPr>
      </w:pPr>
    </w:p>
    <w:p>
      <w:pPr>
        <w:rPr>
          <w:rFonts w:hint="eastAsia" w:ascii="宋体" w:hAnsi="宋体"/>
          <w:color w:val="auto"/>
          <w:szCs w:val="21"/>
          <w:highlight w:val="none"/>
        </w:rPr>
      </w:pPr>
    </w:p>
    <w:p>
      <w:pPr>
        <w:pStyle w:val="28"/>
        <w:rPr>
          <w:rFonts w:hint="eastAsia" w:ascii="宋体" w:hAnsi="宋体"/>
          <w:color w:val="auto"/>
          <w:szCs w:val="21"/>
          <w:highlight w:val="none"/>
        </w:rPr>
      </w:pPr>
    </w:p>
    <w:p>
      <w:pPr>
        <w:rPr>
          <w:rFonts w:hint="eastAsia" w:ascii="宋体" w:hAnsi="宋体"/>
          <w:color w:val="auto"/>
          <w:szCs w:val="21"/>
          <w:highlight w:val="none"/>
        </w:rPr>
      </w:pPr>
    </w:p>
    <w:p>
      <w:pPr>
        <w:pStyle w:val="28"/>
        <w:rPr>
          <w:rFonts w:hint="eastAsia" w:ascii="宋体" w:hAnsi="宋体"/>
          <w:color w:val="auto"/>
          <w:szCs w:val="21"/>
          <w:highlight w:val="none"/>
        </w:rPr>
      </w:pPr>
    </w:p>
    <w:p>
      <w:pPr>
        <w:rPr>
          <w:rFonts w:hint="eastAsia" w:ascii="宋体" w:hAnsi="宋体"/>
          <w:color w:val="auto"/>
          <w:szCs w:val="21"/>
          <w:highlight w:val="none"/>
        </w:rPr>
      </w:pPr>
    </w:p>
    <w:p>
      <w:pPr>
        <w:pStyle w:val="28"/>
        <w:rPr>
          <w:rFonts w:hint="eastAsia" w:ascii="宋体" w:hAnsi="宋体"/>
          <w:color w:val="auto"/>
          <w:szCs w:val="21"/>
          <w:highlight w:val="none"/>
        </w:rPr>
      </w:pPr>
    </w:p>
    <w:p>
      <w:pPr>
        <w:rPr>
          <w:rFonts w:hint="eastAsia" w:ascii="宋体" w:hAnsi="宋体"/>
          <w:color w:val="auto"/>
          <w:szCs w:val="21"/>
          <w:highlight w:val="none"/>
        </w:rPr>
      </w:pPr>
    </w:p>
    <w:p>
      <w:pPr>
        <w:pStyle w:val="28"/>
        <w:rPr>
          <w:rFonts w:hint="eastAsia" w:ascii="宋体" w:hAnsi="宋体"/>
          <w:color w:val="auto"/>
          <w:szCs w:val="21"/>
          <w:highlight w:val="none"/>
        </w:rPr>
      </w:pPr>
    </w:p>
    <w:p>
      <w:pPr>
        <w:snapToGrid w:val="0"/>
        <w:spacing w:before="50" w:line="360" w:lineRule="exact"/>
        <w:jc w:val="left"/>
        <w:rPr>
          <w:rFonts w:hint="eastAsia" w:ascii="宋体" w:hAnsi="宋体"/>
          <w:b/>
          <w:color w:val="auto"/>
          <w:sz w:val="24"/>
          <w:highlight w:val="none"/>
        </w:rPr>
        <w:sectPr>
          <w:pgSz w:w="11906" w:h="16838"/>
          <w:pgMar w:top="1134" w:right="1134" w:bottom="1134" w:left="1134" w:header="720" w:footer="720" w:gutter="0"/>
          <w:cols w:space="0" w:num="1"/>
          <w:docGrid w:type="lines" w:linePitch="312" w:charSpace="0"/>
        </w:sectPr>
      </w:pPr>
    </w:p>
    <w:p>
      <w:pPr>
        <w:snapToGrid w:val="0"/>
        <w:spacing w:before="50" w:line="360" w:lineRule="exact"/>
        <w:jc w:val="left"/>
        <w:rPr>
          <w:rFonts w:hint="eastAsia" w:ascii="宋体" w:hAnsi="宋体"/>
          <w:b/>
          <w:color w:val="auto"/>
          <w:sz w:val="24"/>
          <w:highlight w:val="none"/>
        </w:rPr>
      </w:pPr>
      <w:r>
        <w:rPr>
          <w:rFonts w:hint="eastAsia" w:ascii="宋体" w:hAnsi="宋体"/>
          <w:b/>
          <w:color w:val="auto"/>
          <w:sz w:val="24"/>
          <w:highlight w:val="none"/>
        </w:rPr>
        <w:t>十、 供应商同类项目业绩证明一览表（格式）</w:t>
      </w:r>
    </w:p>
    <w:p>
      <w:pPr>
        <w:pStyle w:val="29"/>
        <w:snapToGrid w:val="0"/>
        <w:spacing w:line="360" w:lineRule="exact"/>
        <w:ind w:left="643" w:hanging="643"/>
        <w:jc w:val="center"/>
        <w:rPr>
          <w:rFonts w:hint="eastAsia" w:ascii="宋体" w:hAnsi="宋体"/>
          <w:b/>
          <w:bCs/>
          <w:color w:val="auto"/>
          <w:sz w:val="32"/>
          <w:szCs w:val="32"/>
          <w:highlight w:val="none"/>
        </w:rPr>
      </w:pPr>
    </w:p>
    <w:p>
      <w:pPr>
        <w:pStyle w:val="29"/>
        <w:snapToGrid w:val="0"/>
        <w:spacing w:line="360" w:lineRule="exact"/>
        <w:ind w:left="643" w:hanging="643"/>
        <w:jc w:val="center"/>
        <w:rPr>
          <w:rFonts w:hint="eastAsia" w:ascii="宋体" w:hAnsi="宋体"/>
          <w:b/>
          <w:bCs/>
          <w:color w:val="auto"/>
          <w:sz w:val="32"/>
          <w:szCs w:val="32"/>
          <w:highlight w:val="none"/>
        </w:rPr>
      </w:pPr>
      <w:r>
        <w:rPr>
          <w:rFonts w:hint="eastAsia" w:ascii="宋体" w:hAnsi="宋体"/>
          <w:b/>
          <w:bCs/>
          <w:color w:val="auto"/>
          <w:sz w:val="32"/>
          <w:szCs w:val="32"/>
          <w:highlight w:val="none"/>
        </w:rPr>
        <w:t>供应商同类项目业绩一览表</w:t>
      </w:r>
    </w:p>
    <w:tbl>
      <w:tblPr>
        <w:tblStyle w:val="37"/>
        <w:tblW w:w="8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2"/>
        <w:gridCol w:w="1277"/>
        <w:gridCol w:w="1081"/>
        <w:gridCol w:w="1080"/>
        <w:gridCol w:w="958"/>
        <w:gridCol w:w="720"/>
        <w:gridCol w:w="720"/>
        <w:gridCol w:w="720"/>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采购单位名称</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采购</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单价</w:t>
            </w:r>
          </w:p>
        </w:tc>
        <w:tc>
          <w:tcPr>
            <w:tcW w:w="9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合同</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金额</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附件页码</w:t>
            </w:r>
          </w:p>
        </w:tc>
        <w:tc>
          <w:tcPr>
            <w:tcW w:w="132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采购单位联系人及</w:t>
            </w:r>
          </w:p>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szCs w:val="21"/>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szCs w:val="21"/>
                <w:highlight w:val="none"/>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用户评价</w:t>
            </w: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101"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101"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hint="eastAsia" w:ascii="宋体" w:hAnsi="宋体"/>
                <w:color w:val="auto"/>
                <w:szCs w:val="21"/>
                <w:highlight w:val="none"/>
              </w:rPr>
            </w:pPr>
          </w:p>
        </w:tc>
      </w:tr>
    </w:tbl>
    <w:p>
      <w:pPr>
        <w:pStyle w:val="29"/>
        <w:snapToGrid w:val="0"/>
        <w:spacing w:line="360" w:lineRule="exact"/>
        <w:ind w:left="420" w:leftChars="200" w:firstLine="0" w:firstLineChars="0"/>
        <w:jc w:val="left"/>
        <w:rPr>
          <w:rFonts w:hint="eastAsia" w:ascii="宋体" w:hAnsi="宋体"/>
          <w:color w:val="auto"/>
          <w:sz w:val="21"/>
          <w:szCs w:val="21"/>
          <w:highlight w:val="none"/>
        </w:rPr>
      </w:pPr>
      <w:r>
        <w:rPr>
          <w:rFonts w:hint="eastAsia" w:ascii="宋体" w:hAnsi="宋体"/>
          <w:color w:val="auto"/>
          <w:sz w:val="21"/>
          <w:szCs w:val="21"/>
          <w:highlight w:val="none"/>
        </w:rPr>
        <w:t>注：供应商同类项目合同复印件、用户验收报告、用户评价意见格式自拟，请提供相关证明材料扫描件并加盖供应商电子公章（如有）</w:t>
      </w:r>
    </w:p>
    <w:p>
      <w:pPr>
        <w:pStyle w:val="13"/>
        <w:snapToGrid w:val="0"/>
        <w:spacing w:line="360" w:lineRule="exact"/>
        <w:rPr>
          <w:rFonts w:hint="eastAsia" w:ascii="宋体" w:hAnsi="宋体" w:eastAsia="宋体"/>
          <w:color w:val="auto"/>
          <w:sz w:val="21"/>
          <w:szCs w:val="21"/>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p>
    <w:p>
      <w:pPr>
        <w:snapToGrid w:val="0"/>
        <w:spacing w:before="156" w:beforeLines="50" w:after="50"/>
        <w:rPr>
          <w:rFonts w:hint="eastAsia" w:ascii="宋体" w:hAnsi="宋体" w:cs="宋体"/>
          <w:b/>
          <w:bCs/>
          <w:color w:val="auto"/>
          <w:szCs w:val="21"/>
          <w:highlight w:val="none"/>
        </w:rPr>
      </w:pPr>
      <w:r>
        <w:rPr>
          <w:rFonts w:hint="eastAsia" w:ascii="宋体" w:hAnsi="宋体" w:cs="宋体"/>
          <w:b/>
          <w:bCs/>
          <w:color w:val="auto"/>
          <w:szCs w:val="21"/>
          <w:highlight w:val="none"/>
        </w:rPr>
        <w:t>3、报价文件格式：</w:t>
      </w:r>
    </w:p>
    <w:p>
      <w:pPr>
        <w:spacing w:line="240" w:lineRule="atLeast"/>
        <w:jc w:val="center"/>
        <w:rPr>
          <w:rFonts w:hint="eastAsia" w:ascii="宋体" w:hAnsi="宋体" w:cs="宋体"/>
          <w:b/>
          <w:color w:val="auto"/>
          <w:sz w:val="32"/>
          <w:szCs w:val="32"/>
          <w:highlight w:val="none"/>
        </w:rPr>
      </w:pPr>
    </w:p>
    <w:p>
      <w:pPr>
        <w:spacing w:line="240" w:lineRule="atLeast"/>
        <w:jc w:val="center"/>
        <w:rPr>
          <w:rFonts w:hint="eastAsia" w:ascii="宋体" w:hAnsi="宋体" w:cs="宋体"/>
          <w:b/>
          <w:color w:val="auto"/>
          <w:sz w:val="32"/>
          <w:szCs w:val="32"/>
          <w:highlight w:val="none"/>
        </w:rPr>
      </w:pPr>
    </w:p>
    <w:p>
      <w:pPr>
        <w:spacing w:line="320" w:lineRule="exact"/>
        <w:rPr>
          <w:rFonts w:hint="eastAsia" w:ascii="宋体" w:hAnsi="宋体" w:cs="宋体"/>
          <w:b/>
          <w:color w:val="auto"/>
          <w:szCs w:val="21"/>
          <w:highlight w:val="none"/>
        </w:rPr>
      </w:pPr>
    </w:p>
    <w:p>
      <w:pPr>
        <w:spacing w:line="320" w:lineRule="exact"/>
        <w:rPr>
          <w:rFonts w:hint="eastAsia" w:ascii="宋体" w:hAnsi="宋体" w:cs="宋体"/>
          <w:b/>
          <w:color w:val="auto"/>
          <w:szCs w:val="21"/>
          <w:highlight w:val="none"/>
        </w:rPr>
      </w:pPr>
    </w:p>
    <w:p>
      <w:pPr>
        <w:tabs>
          <w:tab w:val="left" w:pos="1418"/>
        </w:tabs>
        <w:snapToGrid w:val="0"/>
        <w:spacing w:before="50" w:after="50" w:line="320" w:lineRule="exact"/>
        <w:jc w:val="center"/>
        <w:rPr>
          <w:rFonts w:hint="eastAsia" w:ascii="宋体" w:hAnsi="宋体"/>
          <w:bCs/>
          <w:color w:val="auto"/>
          <w:sz w:val="32"/>
          <w:szCs w:val="32"/>
          <w:highlight w:val="none"/>
        </w:rPr>
      </w:pPr>
      <w:r>
        <w:rPr>
          <w:rFonts w:hint="eastAsia" w:ascii="宋体" w:hAnsi="宋体"/>
          <w:bCs/>
          <w:color w:val="auto"/>
          <w:sz w:val="32"/>
          <w:szCs w:val="32"/>
          <w:highlight w:val="none"/>
        </w:rPr>
        <w:t>目   录</w:t>
      </w:r>
    </w:p>
    <w:p>
      <w:pPr>
        <w:tabs>
          <w:tab w:val="left" w:pos="2625"/>
        </w:tabs>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(供应商需根据响应文件自行编制目录及页码)</w:t>
      </w: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pStyle w:val="28"/>
        <w:rPr>
          <w:rFonts w:hint="eastAsia" w:ascii="宋体" w:hAnsi="宋体"/>
          <w:bCs/>
          <w:color w:val="auto"/>
          <w:szCs w:val="21"/>
          <w:highlight w:val="none"/>
        </w:rPr>
      </w:pPr>
    </w:p>
    <w:p>
      <w:pPr>
        <w:rPr>
          <w:rFonts w:hint="eastAsia" w:ascii="宋体" w:hAnsi="宋体"/>
          <w:bCs/>
          <w:color w:val="auto"/>
          <w:szCs w:val="21"/>
          <w:highlight w:val="none"/>
        </w:rPr>
      </w:pPr>
    </w:p>
    <w:p>
      <w:pPr>
        <w:pStyle w:val="28"/>
        <w:rPr>
          <w:rFonts w:hint="eastAsia" w:ascii="宋体" w:hAnsi="宋体"/>
          <w:bCs/>
          <w:color w:val="auto"/>
          <w:szCs w:val="21"/>
          <w:highlight w:val="none"/>
        </w:rPr>
      </w:pPr>
    </w:p>
    <w:p>
      <w:pPr>
        <w:rPr>
          <w:rFonts w:hint="eastAsia" w:ascii="宋体" w:hAnsi="宋体"/>
          <w:bCs/>
          <w:color w:val="auto"/>
          <w:szCs w:val="21"/>
          <w:highlight w:val="none"/>
        </w:rPr>
      </w:pPr>
    </w:p>
    <w:p>
      <w:pPr>
        <w:pStyle w:val="28"/>
        <w:rPr>
          <w:rFonts w:hint="eastAsia" w:ascii="宋体" w:hAnsi="宋体"/>
          <w:bCs/>
          <w:color w:val="auto"/>
          <w:szCs w:val="21"/>
          <w:highlight w:val="none"/>
        </w:rPr>
      </w:pPr>
    </w:p>
    <w:p>
      <w:pPr>
        <w:rPr>
          <w:rFonts w:hint="eastAsia" w:ascii="宋体" w:hAnsi="宋体"/>
          <w:bCs/>
          <w:color w:val="auto"/>
          <w:szCs w:val="21"/>
          <w:highlight w:val="none"/>
        </w:rPr>
      </w:pPr>
    </w:p>
    <w:p>
      <w:pPr>
        <w:pStyle w:val="28"/>
        <w:rPr>
          <w:rFonts w:hint="eastAsia" w:ascii="宋体" w:hAnsi="宋体"/>
          <w:bCs/>
          <w:color w:val="auto"/>
          <w:szCs w:val="21"/>
          <w:highlight w:val="none"/>
        </w:rPr>
      </w:pPr>
    </w:p>
    <w:p>
      <w:pPr>
        <w:rPr>
          <w:rFonts w:hint="eastAsia" w:ascii="宋体" w:hAnsi="宋体"/>
          <w:bCs/>
          <w:color w:val="auto"/>
          <w:szCs w:val="21"/>
          <w:highlight w:val="none"/>
        </w:rPr>
      </w:pPr>
    </w:p>
    <w:p>
      <w:pPr>
        <w:pStyle w:val="28"/>
        <w:rPr>
          <w:rFonts w:hint="eastAsia" w:ascii="宋体" w:hAnsi="宋体"/>
          <w:bCs/>
          <w:color w:val="auto"/>
          <w:szCs w:val="21"/>
          <w:highlight w:val="none"/>
        </w:rPr>
      </w:pPr>
    </w:p>
    <w:p>
      <w:pPr>
        <w:rPr>
          <w:rFonts w:hint="eastAsia" w:ascii="宋体" w:hAnsi="宋体"/>
          <w:bCs/>
          <w:color w:val="auto"/>
          <w:szCs w:val="21"/>
          <w:highlight w:val="none"/>
        </w:rPr>
      </w:pPr>
    </w:p>
    <w:p>
      <w:pPr>
        <w:pStyle w:val="28"/>
        <w:rPr>
          <w:color w:val="auto"/>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bCs/>
          <w:color w:val="auto"/>
          <w:szCs w:val="21"/>
          <w:highlight w:val="none"/>
        </w:rPr>
      </w:pPr>
    </w:p>
    <w:p>
      <w:pPr>
        <w:spacing w:line="320" w:lineRule="exact"/>
        <w:rPr>
          <w:rFonts w:hint="eastAsia" w:ascii="宋体" w:hAnsi="宋体" w:cs="宋体"/>
          <w:b/>
          <w:color w:val="auto"/>
          <w:szCs w:val="21"/>
          <w:highlight w:val="none"/>
        </w:rPr>
      </w:pPr>
      <w:r>
        <w:rPr>
          <w:rFonts w:hint="eastAsia" w:ascii="宋体" w:hAnsi="宋体" w:cs="宋体"/>
          <w:b/>
          <w:color w:val="auto"/>
          <w:szCs w:val="21"/>
          <w:highlight w:val="none"/>
        </w:rPr>
        <w:t>一、竞标函格式</w:t>
      </w:r>
    </w:p>
    <w:p>
      <w:pPr>
        <w:snapToGrid w:val="0"/>
        <w:spacing w:before="156" w:beforeLines="50" w:after="50" w:line="36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竞 标 函</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（采购人名称）：</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 xml:space="preserve">                             </w:t>
      </w:r>
      <w:r>
        <w:rPr>
          <w:rFonts w:hint="eastAsia" w:ascii="宋体" w:hAnsi="宋体"/>
          <w:color w:val="auto"/>
          <w:szCs w:val="21"/>
          <w:highlight w:val="none"/>
        </w:rPr>
        <w:t>项目的</w:t>
      </w:r>
      <w:r>
        <w:rPr>
          <w:rFonts w:hint="eastAsia" w:ascii="宋体" w:hAnsi="宋体"/>
          <w:color w:val="auto"/>
          <w:szCs w:val="21"/>
          <w:highlight w:val="none"/>
          <w:lang w:eastAsia="zh-CN"/>
        </w:rPr>
        <w:t>竞争性谈判公告</w:t>
      </w:r>
      <w:r>
        <w:rPr>
          <w:rFonts w:hint="eastAsia" w:ascii="宋体" w:hAnsi="宋体"/>
          <w:color w:val="auto"/>
          <w:szCs w:val="21"/>
          <w:highlight w:val="none"/>
        </w:rPr>
        <w:t>（项目编号：     ），签字代表</w:t>
      </w:r>
      <w:r>
        <w:rPr>
          <w:rFonts w:hint="eastAsia" w:ascii="宋体" w:hAnsi="宋体"/>
          <w:color w:val="auto"/>
          <w:szCs w:val="21"/>
          <w:highlight w:val="none"/>
          <w:u w:val="single"/>
        </w:rPr>
        <w:t xml:space="preserve">     （全名）</w:t>
      </w:r>
      <w:r>
        <w:rPr>
          <w:rFonts w:hint="eastAsia" w:ascii="宋体" w:hAnsi="宋体"/>
          <w:color w:val="auto"/>
          <w:szCs w:val="21"/>
          <w:highlight w:val="none"/>
        </w:rPr>
        <w:t>经正式授权并代表供应商</w:t>
      </w:r>
      <w:r>
        <w:rPr>
          <w:rFonts w:hint="eastAsia" w:ascii="宋体" w:hAnsi="宋体"/>
          <w:color w:val="auto"/>
          <w:szCs w:val="21"/>
          <w:highlight w:val="none"/>
          <w:u w:val="single"/>
        </w:rPr>
        <w:t xml:space="preserve">                    （供应商名称）</w:t>
      </w:r>
      <w:r>
        <w:rPr>
          <w:rFonts w:hint="eastAsia" w:ascii="宋体" w:hAnsi="宋体"/>
          <w:color w:val="auto"/>
          <w:szCs w:val="21"/>
          <w:highlight w:val="none"/>
        </w:rPr>
        <w:t>现正式递交下述文件参加贵方组织的本次政府采购活动：</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一、报价文件电子版一份；</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二、资格文件电子版一份；</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三、商务和技术文件电子版一份；</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1.我方已详细审查全部“竞争性谈判文件”，包括修改文件（如有的话）以及全部参考资料和有关附件，已经了解我方对于谈判文件、采购过程、采购结果有依法进行询问、质疑、投诉的权利及相关渠道和要求。</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2.我方在投标之前已经与贵方进行了充分的沟通，完全理解并接受竞争性谈判文件的各项规定和要求，对竞争性谈判文件的合理性、合法性不再有异议。</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3.本投标有效期自开标日起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个</w:t>
      </w:r>
      <w:r>
        <w:rPr>
          <w:rFonts w:hint="eastAsia" w:ascii="宋体" w:hAnsi="宋体"/>
          <w:color w:val="auto"/>
          <w:szCs w:val="21"/>
          <w:highlight w:val="none"/>
          <w:u w:val="single"/>
        </w:rPr>
        <w:t xml:space="preserve">    </w:t>
      </w:r>
      <w:r>
        <w:rPr>
          <w:rFonts w:hint="eastAsia" w:ascii="宋体" w:hAnsi="宋体"/>
          <w:color w:val="auto"/>
          <w:szCs w:val="21"/>
          <w:highlight w:val="none"/>
        </w:rPr>
        <w:t>日（自然日）。</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4.如中标，本响应文件至本项目合同履行完毕止均保持有效，我方将按“竞争性谈判文件”及政府采购法律、法规的规定履行合同责任和义务。</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5.我方同意按照贵方要求提供与投标有关的一切数据或资料。</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6.与本投标有关的一切正式往来信函请寄：</w:t>
      </w:r>
    </w:p>
    <w:p>
      <w:pPr>
        <w:snapToGrid w:val="0"/>
        <w:spacing w:line="360" w:lineRule="exact"/>
        <w:rPr>
          <w:rFonts w:hint="eastAsia" w:ascii="宋体" w:hAnsi="宋体"/>
          <w:color w:val="auto"/>
          <w:szCs w:val="21"/>
          <w:highlight w:val="none"/>
          <w:u w:val="singl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供应商代表姓名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供应商名称：</w:t>
      </w:r>
      <w:r>
        <w:rPr>
          <w:rFonts w:hint="eastAsia" w:ascii="宋体" w:hAnsi="宋体"/>
          <w:color w:val="auto"/>
          <w:szCs w:val="21"/>
          <w:highlight w:val="none"/>
          <w:u w:val="single"/>
        </w:rPr>
        <w:t xml:space="preserve">                    </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银行帐号：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exact"/>
        <w:rPr>
          <w:rFonts w:hint="eastAsia" w:ascii="宋体" w:hAnsi="宋体"/>
          <w:color w:val="auto"/>
          <w:szCs w:val="21"/>
          <w:highlight w:val="none"/>
        </w:rPr>
      </w:pPr>
    </w:p>
    <w:p>
      <w:pPr>
        <w:snapToGrid w:val="0"/>
        <w:spacing w:line="360" w:lineRule="exact"/>
        <w:rPr>
          <w:rFonts w:hint="eastAsia" w:ascii="宋体" w:hAnsi="宋体"/>
          <w:color w:val="auto"/>
          <w:szCs w:val="21"/>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pStyle w:val="20"/>
        <w:spacing w:line="360" w:lineRule="exact"/>
        <w:rPr>
          <w:rFonts w:hint="eastAsia" w:hAnsi="宋体"/>
          <w:color w:val="auto"/>
          <w:sz w:val="44"/>
          <w:szCs w:val="21"/>
          <w:highlight w:val="none"/>
        </w:rPr>
      </w:pPr>
    </w:p>
    <w:p>
      <w:pPr>
        <w:pStyle w:val="20"/>
        <w:spacing w:line="360" w:lineRule="exact"/>
        <w:rPr>
          <w:rFonts w:hint="eastAsia" w:hAnsi="宋体"/>
          <w:color w:val="auto"/>
          <w:sz w:val="44"/>
          <w:highlight w:val="none"/>
        </w:rPr>
      </w:pPr>
    </w:p>
    <w:p>
      <w:pPr>
        <w:pStyle w:val="20"/>
        <w:spacing w:line="360" w:lineRule="exact"/>
        <w:rPr>
          <w:rFonts w:hint="eastAsia" w:hAnsi="宋体"/>
          <w:color w:val="auto"/>
          <w:sz w:val="44"/>
          <w:highlight w:val="none"/>
        </w:rPr>
      </w:pPr>
    </w:p>
    <w:p>
      <w:pPr>
        <w:pStyle w:val="20"/>
        <w:spacing w:line="360" w:lineRule="exact"/>
        <w:rPr>
          <w:rFonts w:hint="eastAsia" w:hAnsi="宋体"/>
          <w:color w:val="auto"/>
          <w:sz w:val="44"/>
          <w:highlight w:val="none"/>
        </w:rPr>
      </w:pPr>
    </w:p>
    <w:p>
      <w:pPr>
        <w:pStyle w:val="20"/>
        <w:spacing w:line="360" w:lineRule="exact"/>
        <w:rPr>
          <w:rFonts w:hint="eastAsia" w:hAnsi="宋体"/>
          <w:color w:val="auto"/>
          <w:sz w:val="44"/>
          <w:highlight w:val="none"/>
        </w:rPr>
      </w:pPr>
    </w:p>
    <w:p>
      <w:pPr>
        <w:pStyle w:val="20"/>
        <w:spacing w:line="360" w:lineRule="exact"/>
        <w:rPr>
          <w:rFonts w:hint="eastAsia" w:hAnsi="宋体"/>
          <w:color w:val="auto"/>
          <w:sz w:val="44"/>
          <w:highlight w:val="none"/>
        </w:rPr>
      </w:pPr>
    </w:p>
    <w:p>
      <w:pPr>
        <w:pStyle w:val="20"/>
        <w:spacing w:line="360" w:lineRule="exact"/>
        <w:rPr>
          <w:rFonts w:hint="eastAsia" w:hAnsi="宋体"/>
          <w:color w:val="auto"/>
          <w:sz w:val="44"/>
          <w:highlight w:val="none"/>
        </w:rPr>
      </w:pPr>
    </w:p>
    <w:p>
      <w:pPr>
        <w:pStyle w:val="20"/>
        <w:spacing w:line="360" w:lineRule="exact"/>
        <w:rPr>
          <w:rFonts w:hint="eastAsia" w:hAnsi="宋体"/>
          <w:color w:val="auto"/>
          <w:sz w:val="44"/>
          <w:highlight w:val="none"/>
        </w:rPr>
      </w:pPr>
    </w:p>
    <w:p>
      <w:pPr>
        <w:pStyle w:val="20"/>
        <w:spacing w:line="360" w:lineRule="exact"/>
        <w:rPr>
          <w:rFonts w:hint="eastAsia" w:hAnsi="宋体"/>
          <w:color w:val="auto"/>
          <w:sz w:val="44"/>
          <w:highlight w:val="none"/>
        </w:rPr>
      </w:pPr>
    </w:p>
    <w:p>
      <w:pPr>
        <w:spacing w:line="320" w:lineRule="exact"/>
        <w:rPr>
          <w:rFonts w:hint="eastAsia" w:ascii="宋体" w:hAnsi="宋体" w:cs="宋体"/>
          <w:b/>
          <w:color w:val="auto"/>
          <w:szCs w:val="21"/>
          <w:highlight w:val="none"/>
        </w:rPr>
      </w:pPr>
    </w:p>
    <w:p>
      <w:pPr>
        <w:spacing w:line="320" w:lineRule="exact"/>
        <w:rPr>
          <w:rFonts w:hint="eastAsia" w:ascii="宋体" w:hAnsi="宋体" w:cs="宋体"/>
          <w:b/>
          <w:color w:val="auto"/>
          <w:szCs w:val="21"/>
          <w:highlight w:val="none"/>
        </w:rPr>
      </w:pPr>
      <w:r>
        <w:rPr>
          <w:rFonts w:hint="eastAsia" w:ascii="宋体" w:hAnsi="宋体" w:cs="宋体"/>
          <w:b/>
          <w:color w:val="auto"/>
          <w:szCs w:val="21"/>
          <w:highlight w:val="none"/>
        </w:rPr>
        <w:t>二、报价表和最后报价明细表格式</w:t>
      </w:r>
    </w:p>
    <w:p>
      <w:pPr>
        <w:spacing w:line="30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报  价  表</w:t>
      </w:r>
    </w:p>
    <w:p>
      <w:pPr>
        <w:spacing w:line="300" w:lineRule="auto"/>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 xml:space="preserve">                              </w:t>
      </w:r>
    </w:p>
    <w:p>
      <w:pPr>
        <w:snapToGrid w:val="0"/>
        <w:spacing w:before="50" w:after="50"/>
        <w:rPr>
          <w:rFonts w:hint="eastAsia" w:ascii="宋体" w:hAnsi="宋体" w:cs="宋体"/>
          <w:color w:val="auto"/>
          <w:highlight w:val="none"/>
          <w:u w:val="single"/>
        </w:rPr>
      </w:pPr>
      <w:r>
        <w:rPr>
          <w:rFonts w:hint="eastAsia" w:ascii="宋体" w:hAnsi="宋体" w:cs="宋体"/>
          <w:color w:val="auto"/>
          <w:szCs w:val="21"/>
          <w:highlight w:val="none"/>
        </w:rPr>
        <w:t>项目编号：</w:t>
      </w:r>
      <w:r>
        <w:rPr>
          <w:rFonts w:hint="eastAsia" w:ascii="宋体" w:hAnsi="宋体" w:cs="宋体"/>
          <w:color w:val="auto"/>
          <w:highlight w:val="none"/>
          <w:u w:val="single"/>
        </w:rPr>
        <w:t xml:space="preserve">                                </w:t>
      </w:r>
    </w:p>
    <w:p>
      <w:pPr>
        <w:snapToGrid w:val="0"/>
        <w:spacing w:before="50" w:after="50"/>
        <w:rPr>
          <w:rFonts w:hint="eastAsia" w:ascii="宋体" w:hAnsi="宋体" w:cs="宋体"/>
          <w:color w:val="auto"/>
          <w:highlight w:val="none"/>
          <w:u w:val="single"/>
        </w:rPr>
      </w:pPr>
      <w:r>
        <w:rPr>
          <w:rFonts w:hint="eastAsia" w:ascii="宋体" w:hAnsi="宋体" w:cs="宋体"/>
          <w:color w:val="auto"/>
          <w:highlight w:val="none"/>
        </w:rPr>
        <w:t>分标号</w:t>
      </w:r>
      <w:r>
        <w:rPr>
          <w:rFonts w:hint="eastAsia" w:ascii="宋体" w:hAnsi="宋体" w:cs="宋体"/>
          <w:color w:val="auto"/>
          <w:szCs w:val="21"/>
          <w:highlight w:val="none"/>
        </w:rPr>
        <w:t>：</w:t>
      </w:r>
      <w:r>
        <w:rPr>
          <w:rFonts w:hint="eastAsia" w:ascii="宋体" w:hAnsi="宋体" w:cs="宋体"/>
          <w:color w:val="auto"/>
          <w:highlight w:val="none"/>
          <w:u w:val="single"/>
        </w:rPr>
        <w:t xml:space="preserve">                                </w:t>
      </w:r>
    </w:p>
    <w:tbl>
      <w:tblPr>
        <w:tblStyle w:val="37"/>
        <w:tblW w:w="9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1603"/>
        <w:gridCol w:w="1639"/>
        <w:gridCol w:w="1229"/>
        <w:gridCol w:w="1051"/>
        <w:gridCol w:w="878"/>
        <w:gridCol w:w="1066"/>
        <w:gridCol w:w="1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912" w:type="dxa"/>
          </w:tcPr>
          <w:p>
            <w:pPr>
              <w:pStyle w:val="88"/>
              <w:spacing w:before="110"/>
              <w:ind w:left="217" w:right="224"/>
              <w:jc w:val="center"/>
              <w:rPr>
                <w:rFonts w:hint="eastAsia"/>
                <w:b/>
                <w:color w:val="auto"/>
                <w:sz w:val="21"/>
                <w:highlight w:val="none"/>
              </w:rPr>
            </w:pPr>
            <w:r>
              <w:rPr>
                <w:rFonts w:hint="eastAsia"/>
                <w:b/>
                <w:color w:val="auto"/>
                <w:sz w:val="21"/>
                <w:highlight w:val="none"/>
              </w:rPr>
              <w:t>项号</w:t>
            </w:r>
          </w:p>
        </w:tc>
        <w:tc>
          <w:tcPr>
            <w:tcW w:w="1603" w:type="dxa"/>
          </w:tcPr>
          <w:p>
            <w:pPr>
              <w:pStyle w:val="88"/>
              <w:spacing w:before="110"/>
              <w:ind w:left="369" w:right="0"/>
              <w:rPr>
                <w:rFonts w:hint="eastAsia"/>
                <w:b/>
                <w:color w:val="auto"/>
                <w:sz w:val="21"/>
                <w:highlight w:val="none"/>
              </w:rPr>
            </w:pPr>
            <w:r>
              <w:rPr>
                <w:rFonts w:hint="eastAsia"/>
                <w:b/>
                <w:color w:val="auto"/>
                <w:sz w:val="21"/>
                <w:highlight w:val="none"/>
              </w:rPr>
              <w:t>货物名称</w:t>
            </w:r>
          </w:p>
        </w:tc>
        <w:tc>
          <w:tcPr>
            <w:tcW w:w="1639" w:type="dxa"/>
          </w:tcPr>
          <w:p>
            <w:pPr>
              <w:pStyle w:val="88"/>
              <w:spacing w:before="1" w:line="322" w:lineRule="exact"/>
              <w:ind w:right="0"/>
              <w:jc w:val="center"/>
              <w:rPr>
                <w:rFonts w:hint="eastAsia"/>
                <w:b/>
                <w:color w:val="auto"/>
                <w:sz w:val="21"/>
                <w:highlight w:val="none"/>
                <w:lang w:eastAsia="zh-CN"/>
              </w:rPr>
            </w:pPr>
            <w:r>
              <w:rPr>
                <w:rFonts w:hint="eastAsia"/>
                <w:b/>
                <w:color w:val="auto"/>
                <w:sz w:val="21"/>
                <w:highlight w:val="none"/>
                <w:lang w:eastAsia="zh-CN"/>
              </w:rPr>
              <w:t>厂家、品牌、规格型号</w:t>
            </w:r>
          </w:p>
        </w:tc>
        <w:tc>
          <w:tcPr>
            <w:tcW w:w="1229" w:type="dxa"/>
          </w:tcPr>
          <w:p>
            <w:pPr>
              <w:pStyle w:val="88"/>
              <w:spacing w:before="110"/>
              <w:ind w:left="393" w:right="0"/>
              <w:rPr>
                <w:rFonts w:hint="eastAsia"/>
                <w:b/>
                <w:color w:val="auto"/>
                <w:sz w:val="21"/>
                <w:highlight w:val="none"/>
              </w:rPr>
            </w:pPr>
            <w:r>
              <w:rPr>
                <w:rFonts w:hint="eastAsia"/>
                <w:b/>
                <w:color w:val="auto"/>
                <w:sz w:val="21"/>
                <w:highlight w:val="none"/>
              </w:rPr>
              <w:t>产地</w:t>
            </w:r>
          </w:p>
        </w:tc>
        <w:tc>
          <w:tcPr>
            <w:tcW w:w="1051" w:type="dxa"/>
          </w:tcPr>
          <w:p>
            <w:pPr>
              <w:pStyle w:val="88"/>
              <w:spacing w:before="110"/>
              <w:ind w:left="196" w:right="0"/>
              <w:rPr>
                <w:rFonts w:hint="eastAsia"/>
                <w:b/>
                <w:color w:val="auto"/>
                <w:sz w:val="21"/>
                <w:highlight w:val="none"/>
              </w:rPr>
            </w:pPr>
            <w:r>
              <w:rPr>
                <w:rFonts w:hint="eastAsia"/>
                <w:b/>
                <w:color w:val="auto"/>
                <w:sz w:val="21"/>
                <w:highlight w:val="none"/>
              </w:rPr>
              <w:t>数量①</w:t>
            </w:r>
          </w:p>
        </w:tc>
        <w:tc>
          <w:tcPr>
            <w:tcW w:w="878" w:type="dxa"/>
          </w:tcPr>
          <w:p>
            <w:pPr>
              <w:pStyle w:val="88"/>
              <w:spacing w:before="110"/>
              <w:ind w:left="215" w:right="0"/>
              <w:rPr>
                <w:rFonts w:hint="eastAsia"/>
                <w:b/>
                <w:color w:val="auto"/>
                <w:sz w:val="21"/>
                <w:highlight w:val="none"/>
              </w:rPr>
            </w:pPr>
            <w:r>
              <w:rPr>
                <w:rFonts w:hint="eastAsia"/>
                <w:b/>
                <w:color w:val="auto"/>
                <w:sz w:val="21"/>
                <w:highlight w:val="none"/>
              </w:rPr>
              <w:t>单位</w:t>
            </w:r>
          </w:p>
        </w:tc>
        <w:tc>
          <w:tcPr>
            <w:tcW w:w="1066" w:type="dxa"/>
          </w:tcPr>
          <w:p>
            <w:pPr>
              <w:pStyle w:val="88"/>
              <w:spacing w:before="110"/>
              <w:ind w:left="206" w:right="0"/>
              <w:rPr>
                <w:rFonts w:hint="eastAsia"/>
                <w:b/>
                <w:color w:val="auto"/>
                <w:sz w:val="21"/>
                <w:highlight w:val="none"/>
              </w:rPr>
            </w:pPr>
            <w:r>
              <w:rPr>
                <w:rFonts w:hint="eastAsia"/>
                <w:b/>
                <w:color w:val="auto"/>
                <w:sz w:val="21"/>
                <w:highlight w:val="none"/>
              </w:rPr>
              <w:t>单价②</w:t>
            </w:r>
          </w:p>
        </w:tc>
        <w:tc>
          <w:tcPr>
            <w:tcW w:w="1404" w:type="dxa"/>
          </w:tcPr>
          <w:p>
            <w:pPr>
              <w:pStyle w:val="88"/>
              <w:spacing w:line="291" w:lineRule="exact"/>
              <w:ind w:left="311" w:right="0"/>
              <w:rPr>
                <w:rFonts w:hint="eastAsia"/>
                <w:b/>
                <w:color w:val="auto"/>
                <w:sz w:val="21"/>
                <w:highlight w:val="none"/>
              </w:rPr>
            </w:pPr>
            <w:r>
              <w:rPr>
                <w:rFonts w:hint="eastAsia"/>
                <w:b/>
                <w:color w:val="auto"/>
                <w:sz w:val="21"/>
                <w:highlight w:val="none"/>
              </w:rPr>
              <w:t>投标报价</w:t>
            </w:r>
          </w:p>
          <w:p>
            <w:pPr>
              <w:pStyle w:val="88"/>
              <w:spacing w:line="325" w:lineRule="exact"/>
              <w:ind w:left="259" w:right="0"/>
              <w:rPr>
                <w:rFonts w:hint="eastAsia"/>
                <w:b/>
                <w:color w:val="auto"/>
                <w:sz w:val="21"/>
                <w:highlight w:val="none"/>
              </w:rPr>
            </w:pPr>
            <w:r>
              <w:rPr>
                <w:rFonts w:hint="eastAsia"/>
                <w:b/>
                <w:color w:val="auto"/>
                <w:sz w:val="21"/>
                <w:highlight w:val="none"/>
              </w:rPr>
              <w:t>③=①×②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912" w:type="dxa"/>
          </w:tcPr>
          <w:p>
            <w:pPr>
              <w:pStyle w:val="88"/>
              <w:spacing w:before="38"/>
              <w:ind w:left="0" w:right="0"/>
              <w:jc w:val="center"/>
              <w:rPr>
                <w:rFonts w:hint="eastAsia"/>
                <w:color w:val="auto"/>
                <w:sz w:val="21"/>
                <w:highlight w:val="none"/>
              </w:rPr>
            </w:pPr>
            <w:r>
              <w:rPr>
                <w:color w:val="auto"/>
                <w:sz w:val="21"/>
                <w:highlight w:val="none"/>
              </w:rPr>
              <w:t>1</w:t>
            </w:r>
          </w:p>
        </w:tc>
        <w:tc>
          <w:tcPr>
            <w:tcW w:w="1603" w:type="dxa"/>
          </w:tcPr>
          <w:p>
            <w:pPr>
              <w:rPr>
                <w:color w:val="auto"/>
                <w:highlight w:val="none"/>
              </w:rPr>
            </w:pPr>
          </w:p>
        </w:tc>
        <w:tc>
          <w:tcPr>
            <w:tcW w:w="1639" w:type="dxa"/>
          </w:tcPr>
          <w:p>
            <w:pPr>
              <w:rPr>
                <w:color w:val="auto"/>
                <w:highlight w:val="none"/>
              </w:rPr>
            </w:pPr>
          </w:p>
        </w:tc>
        <w:tc>
          <w:tcPr>
            <w:tcW w:w="1229" w:type="dxa"/>
          </w:tcPr>
          <w:p>
            <w:pPr>
              <w:rPr>
                <w:color w:val="auto"/>
                <w:highlight w:val="none"/>
              </w:rPr>
            </w:pPr>
          </w:p>
        </w:tc>
        <w:tc>
          <w:tcPr>
            <w:tcW w:w="1051" w:type="dxa"/>
          </w:tcPr>
          <w:p>
            <w:pPr>
              <w:rPr>
                <w:color w:val="auto"/>
                <w:highlight w:val="none"/>
              </w:rPr>
            </w:pPr>
          </w:p>
        </w:tc>
        <w:tc>
          <w:tcPr>
            <w:tcW w:w="878" w:type="dxa"/>
          </w:tcPr>
          <w:p>
            <w:pPr>
              <w:rPr>
                <w:color w:val="auto"/>
                <w:highlight w:val="none"/>
              </w:rPr>
            </w:pPr>
          </w:p>
        </w:tc>
        <w:tc>
          <w:tcPr>
            <w:tcW w:w="1066" w:type="dxa"/>
          </w:tcPr>
          <w:p>
            <w:pPr>
              <w:rPr>
                <w:color w:val="auto"/>
                <w:highlight w:val="none"/>
              </w:rPr>
            </w:pPr>
          </w:p>
        </w:tc>
        <w:tc>
          <w:tcPr>
            <w:tcW w:w="1404"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auto"/>
                <w:sz w:val="21"/>
                <w:highlight w:val="none"/>
              </w:rPr>
            </w:pPr>
            <w:r>
              <w:rPr>
                <w:color w:val="auto"/>
                <w:sz w:val="21"/>
                <w:highlight w:val="none"/>
              </w:rPr>
              <w:t>2</w:t>
            </w:r>
          </w:p>
        </w:tc>
        <w:tc>
          <w:tcPr>
            <w:tcW w:w="1603" w:type="dxa"/>
          </w:tcPr>
          <w:p>
            <w:pPr>
              <w:rPr>
                <w:color w:val="auto"/>
                <w:highlight w:val="none"/>
              </w:rPr>
            </w:pPr>
          </w:p>
        </w:tc>
        <w:tc>
          <w:tcPr>
            <w:tcW w:w="1639" w:type="dxa"/>
          </w:tcPr>
          <w:p>
            <w:pPr>
              <w:rPr>
                <w:color w:val="auto"/>
                <w:highlight w:val="none"/>
              </w:rPr>
            </w:pPr>
          </w:p>
        </w:tc>
        <w:tc>
          <w:tcPr>
            <w:tcW w:w="1229" w:type="dxa"/>
          </w:tcPr>
          <w:p>
            <w:pPr>
              <w:rPr>
                <w:color w:val="auto"/>
                <w:highlight w:val="none"/>
              </w:rPr>
            </w:pPr>
          </w:p>
        </w:tc>
        <w:tc>
          <w:tcPr>
            <w:tcW w:w="1051" w:type="dxa"/>
          </w:tcPr>
          <w:p>
            <w:pPr>
              <w:rPr>
                <w:color w:val="auto"/>
                <w:highlight w:val="none"/>
              </w:rPr>
            </w:pPr>
          </w:p>
        </w:tc>
        <w:tc>
          <w:tcPr>
            <w:tcW w:w="878" w:type="dxa"/>
          </w:tcPr>
          <w:p>
            <w:pPr>
              <w:rPr>
                <w:color w:val="auto"/>
                <w:highlight w:val="none"/>
              </w:rPr>
            </w:pPr>
          </w:p>
        </w:tc>
        <w:tc>
          <w:tcPr>
            <w:tcW w:w="1066" w:type="dxa"/>
          </w:tcPr>
          <w:p>
            <w:pPr>
              <w:rPr>
                <w:color w:val="auto"/>
                <w:highlight w:val="none"/>
              </w:rPr>
            </w:pPr>
          </w:p>
        </w:tc>
        <w:tc>
          <w:tcPr>
            <w:tcW w:w="1404"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auto"/>
                <w:sz w:val="21"/>
                <w:highlight w:val="none"/>
              </w:rPr>
            </w:pPr>
            <w:r>
              <w:rPr>
                <w:color w:val="auto"/>
                <w:sz w:val="21"/>
                <w:highlight w:val="none"/>
              </w:rPr>
              <w:t>…</w:t>
            </w:r>
          </w:p>
        </w:tc>
        <w:tc>
          <w:tcPr>
            <w:tcW w:w="1603" w:type="dxa"/>
          </w:tcPr>
          <w:p>
            <w:pPr>
              <w:rPr>
                <w:color w:val="auto"/>
                <w:highlight w:val="none"/>
              </w:rPr>
            </w:pPr>
          </w:p>
        </w:tc>
        <w:tc>
          <w:tcPr>
            <w:tcW w:w="1639" w:type="dxa"/>
          </w:tcPr>
          <w:p>
            <w:pPr>
              <w:rPr>
                <w:color w:val="auto"/>
                <w:highlight w:val="none"/>
              </w:rPr>
            </w:pPr>
          </w:p>
        </w:tc>
        <w:tc>
          <w:tcPr>
            <w:tcW w:w="1229" w:type="dxa"/>
          </w:tcPr>
          <w:p>
            <w:pPr>
              <w:rPr>
                <w:color w:val="auto"/>
                <w:highlight w:val="none"/>
              </w:rPr>
            </w:pPr>
          </w:p>
        </w:tc>
        <w:tc>
          <w:tcPr>
            <w:tcW w:w="1051" w:type="dxa"/>
          </w:tcPr>
          <w:p>
            <w:pPr>
              <w:rPr>
                <w:color w:val="auto"/>
                <w:highlight w:val="none"/>
              </w:rPr>
            </w:pPr>
          </w:p>
        </w:tc>
        <w:tc>
          <w:tcPr>
            <w:tcW w:w="878" w:type="dxa"/>
          </w:tcPr>
          <w:p>
            <w:pPr>
              <w:rPr>
                <w:color w:val="auto"/>
                <w:highlight w:val="none"/>
              </w:rPr>
            </w:pPr>
          </w:p>
        </w:tc>
        <w:tc>
          <w:tcPr>
            <w:tcW w:w="1066" w:type="dxa"/>
          </w:tcPr>
          <w:p>
            <w:pPr>
              <w:rPr>
                <w:color w:val="auto"/>
                <w:highlight w:val="none"/>
              </w:rPr>
            </w:pPr>
          </w:p>
        </w:tc>
        <w:tc>
          <w:tcPr>
            <w:tcW w:w="1404"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auto"/>
                <w:sz w:val="21"/>
                <w:highlight w:val="none"/>
              </w:rPr>
            </w:pPr>
            <w:r>
              <w:rPr>
                <w:color w:val="auto"/>
                <w:sz w:val="21"/>
                <w:highlight w:val="none"/>
              </w:rPr>
              <w:t>N</w:t>
            </w:r>
          </w:p>
        </w:tc>
        <w:tc>
          <w:tcPr>
            <w:tcW w:w="1603" w:type="dxa"/>
          </w:tcPr>
          <w:p>
            <w:pPr>
              <w:rPr>
                <w:color w:val="auto"/>
                <w:highlight w:val="none"/>
              </w:rPr>
            </w:pPr>
          </w:p>
        </w:tc>
        <w:tc>
          <w:tcPr>
            <w:tcW w:w="1639" w:type="dxa"/>
          </w:tcPr>
          <w:p>
            <w:pPr>
              <w:rPr>
                <w:color w:val="auto"/>
                <w:highlight w:val="none"/>
              </w:rPr>
            </w:pPr>
          </w:p>
        </w:tc>
        <w:tc>
          <w:tcPr>
            <w:tcW w:w="1229" w:type="dxa"/>
          </w:tcPr>
          <w:p>
            <w:pPr>
              <w:rPr>
                <w:color w:val="auto"/>
                <w:highlight w:val="none"/>
              </w:rPr>
            </w:pPr>
          </w:p>
        </w:tc>
        <w:tc>
          <w:tcPr>
            <w:tcW w:w="1051" w:type="dxa"/>
          </w:tcPr>
          <w:p>
            <w:pPr>
              <w:rPr>
                <w:color w:val="auto"/>
                <w:highlight w:val="none"/>
              </w:rPr>
            </w:pPr>
          </w:p>
        </w:tc>
        <w:tc>
          <w:tcPr>
            <w:tcW w:w="878" w:type="dxa"/>
          </w:tcPr>
          <w:p>
            <w:pPr>
              <w:rPr>
                <w:color w:val="auto"/>
                <w:highlight w:val="none"/>
              </w:rPr>
            </w:pPr>
          </w:p>
        </w:tc>
        <w:tc>
          <w:tcPr>
            <w:tcW w:w="1066" w:type="dxa"/>
          </w:tcPr>
          <w:p>
            <w:pPr>
              <w:rPr>
                <w:color w:val="auto"/>
                <w:highlight w:val="none"/>
              </w:rPr>
            </w:pPr>
          </w:p>
        </w:tc>
        <w:tc>
          <w:tcPr>
            <w:tcW w:w="1404"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exact"/>
          <w:jc w:val="center"/>
        </w:trPr>
        <w:tc>
          <w:tcPr>
            <w:tcW w:w="9782" w:type="dxa"/>
            <w:gridSpan w:val="8"/>
            <w:vAlign w:val="center"/>
          </w:tcPr>
          <w:p>
            <w:pPr>
              <w:pStyle w:val="88"/>
              <w:tabs>
                <w:tab w:val="left" w:pos="2931"/>
                <w:tab w:val="left" w:pos="4727"/>
                <w:tab w:val="left" w:pos="6699"/>
                <w:tab w:val="left" w:pos="8010"/>
                <w:tab w:val="left" w:pos="8140"/>
              </w:tabs>
              <w:spacing w:before="14" w:line="295" w:lineRule="auto"/>
              <w:ind w:left="105" w:right="142"/>
              <w:jc w:val="both"/>
              <w:rPr>
                <w:rFonts w:hint="eastAsia"/>
                <w:color w:val="auto"/>
                <w:sz w:val="21"/>
                <w:szCs w:val="21"/>
                <w:highlight w:val="none"/>
                <w:lang w:eastAsia="zh-CN"/>
              </w:rPr>
            </w:pPr>
            <w:r>
              <w:rPr>
                <w:rFonts w:hint="eastAsia"/>
                <w:color w:val="auto"/>
                <w:sz w:val="21"/>
                <w:szCs w:val="21"/>
                <w:highlight w:val="none"/>
                <w:lang w:eastAsia="zh-CN"/>
              </w:rPr>
              <w:t>投标报价（合计金额）大写：</w:t>
            </w:r>
            <w:r>
              <w:rPr>
                <w:rFonts w:ascii="Times New Roman" w:hAnsi="Times New Roman" w:eastAsia="Times New Roman"/>
                <w:color w:val="auto"/>
                <w:sz w:val="21"/>
                <w:szCs w:val="21"/>
                <w:highlight w:val="none"/>
                <w:u w:val="single"/>
                <w:lang w:eastAsia="zh-CN"/>
              </w:rPr>
              <w:t xml:space="preserve"> </w:t>
            </w:r>
            <w:r>
              <w:rPr>
                <w:rFonts w:ascii="Times New Roman" w:hAnsi="Times New Roman" w:eastAsia="Times New Roman"/>
                <w:color w:val="auto"/>
                <w:sz w:val="21"/>
                <w:szCs w:val="21"/>
                <w:highlight w:val="none"/>
                <w:u w:val="single"/>
                <w:lang w:eastAsia="zh-CN"/>
              </w:rPr>
              <w:tab/>
            </w:r>
            <w:r>
              <w:rPr>
                <w:rFonts w:ascii="Times New Roman" w:hAnsi="Times New Roman" w:eastAsia="Times New Roman"/>
                <w:color w:val="auto"/>
                <w:sz w:val="21"/>
                <w:szCs w:val="21"/>
                <w:highlight w:val="none"/>
                <w:u w:val="single"/>
                <w:lang w:eastAsia="zh-CN"/>
              </w:rPr>
              <w:tab/>
            </w:r>
            <w:r>
              <w:rPr>
                <w:rFonts w:hint="eastAsia"/>
                <w:color w:val="auto"/>
                <w:sz w:val="21"/>
                <w:szCs w:val="21"/>
                <w:highlight w:val="none"/>
                <w:lang w:eastAsia="zh-CN"/>
              </w:rPr>
              <w:t>人</w:t>
            </w:r>
            <w:r>
              <w:rPr>
                <w:color w:val="auto"/>
                <w:spacing w:val="-72"/>
                <w:sz w:val="21"/>
                <w:szCs w:val="21"/>
                <w:highlight w:val="none"/>
                <w:lang w:eastAsia="zh-CN"/>
              </w:rPr>
              <w:t xml:space="preserve"> </w:t>
            </w:r>
            <w:r>
              <w:rPr>
                <w:rFonts w:hint="eastAsia"/>
                <w:color w:val="auto"/>
                <w:sz w:val="21"/>
                <w:szCs w:val="21"/>
                <w:highlight w:val="none"/>
                <w:lang w:eastAsia="zh-CN"/>
              </w:rPr>
              <w:t>民</w:t>
            </w:r>
            <w:r>
              <w:rPr>
                <w:color w:val="auto"/>
                <w:spacing w:val="-67"/>
                <w:sz w:val="21"/>
                <w:szCs w:val="21"/>
                <w:highlight w:val="none"/>
                <w:lang w:eastAsia="zh-CN"/>
              </w:rPr>
              <w:t xml:space="preserve"> </w:t>
            </w:r>
            <w:r>
              <w:rPr>
                <w:rFonts w:hint="eastAsia"/>
                <w:color w:val="auto"/>
                <w:sz w:val="21"/>
                <w:szCs w:val="21"/>
                <w:highlight w:val="none"/>
                <w:lang w:eastAsia="zh-CN"/>
              </w:rPr>
              <w:t>币</w:t>
            </w:r>
            <w:r>
              <w:rPr>
                <w:color w:val="auto"/>
                <w:spacing w:val="-67"/>
                <w:sz w:val="21"/>
                <w:szCs w:val="21"/>
                <w:highlight w:val="none"/>
                <w:lang w:eastAsia="zh-CN"/>
              </w:rPr>
              <w:t xml:space="preserve"> </w:t>
            </w:r>
            <w:r>
              <w:rPr>
                <w:rFonts w:hint="eastAsia"/>
                <w:color w:val="auto"/>
                <w:sz w:val="21"/>
                <w:szCs w:val="21"/>
                <w:highlight w:val="none"/>
                <w:lang w:eastAsia="zh-CN"/>
              </w:rPr>
              <w:t>（</w:t>
            </w:r>
            <w:r>
              <w:rPr>
                <w:color w:val="auto"/>
                <w:spacing w:val="-67"/>
                <w:sz w:val="21"/>
                <w:szCs w:val="21"/>
                <w:highlight w:val="none"/>
                <w:lang w:eastAsia="zh-CN"/>
              </w:rPr>
              <w:t xml:space="preserve"> </w:t>
            </w:r>
            <w:r>
              <w:rPr>
                <w:rFonts w:hint="eastAsia"/>
                <w:color w:val="auto"/>
                <w:sz w:val="21"/>
                <w:szCs w:val="21"/>
                <w:highlight w:val="none"/>
                <w:lang w:eastAsia="zh-CN"/>
              </w:rPr>
              <w:t>￥</w:t>
            </w:r>
            <w:r>
              <w:rPr>
                <w:rFonts w:ascii="Times New Roman" w:hAnsi="Times New Roman" w:eastAsia="Times New Roman"/>
                <w:color w:val="auto"/>
                <w:sz w:val="21"/>
                <w:szCs w:val="21"/>
                <w:highlight w:val="none"/>
                <w:u w:val="single"/>
                <w:lang w:eastAsia="zh-CN"/>
              </w:rPr>
              <w:t xml:space="preserve"> </w:t>
            </w:r>
            <w:r>
              <w:rPr>
                <w:rFonts w:ascii="Times New Roman" w:hAnsi="Times New Roman" w:eastAsia="Times New Roman"/>
                <w:color w:val="auto"/>
                <w:sz w:val="21"/>
                <w:szCs w:val="21"/>
                <w:highlight w:val="none"/>
                <w:u w:val="single"/>
                <w:lang w:eastAsia="zh-CN"/>
              </w:rPr>
              <w:tab/>
            </w:r>
            <w:r>
              <w:rPr>
                <w:rFonts w:ascii="Times New Roman" w:hAnsi="Times New Roman" w:eastAsia="Times New Roman"/>
                <w:color w:val="auto"/>
                <w:sz w:val="21"/>
                <w:szCs w:val="21"/>
                <w:highlight w:val="none"/>
                <w:u w:val="single"/>
                <w:lang w:eastAsia="zh-CN"/>
              </w:rPr>
              <w:tab/>
            </w:r>
            <w:r>
              <w:rPr>
                <w:rFonts w:ascii="Times New Roman" w:hAnsi="Times New Roman" w:eastAsia="Times New Roman"/>
                <w:color w:val="auto"/>
                <w:sz w:val="21"/>
                <w:szCs w:val="21"/>
                <w:highlight w:val="none"/>
                <w:u w:val="single"/>
                <w:lang w:eastAsia="zh-CN"/>
              </w:rPr>
              <w:tab/>
            </w:r>
            <w:r>
              <w:rPr>
                <w:rFonts w:hint="eastAsia"/>
                <w:color w:val="auto"/>
                <w:sz w:val="21"/>
                <w:szCs w:val="21"/>
                <w:highlight w:val="none"/>
                <w:lang w:eastAsia="zh-CN"/>
              </w:rPr>
              <w:t>）</w:t>
            </w:r>
            <w:r>
              <w:rPr>
                <w:color w:val="auto"/>
                <w:sz w:val="21"/>
                <w:szCs w:val="21"/>
                <w:highlight w:val="none"/>
                <w:lang w:eastAsia="zh-CN"/>
              </w:rPr>
              <w:t xml:space="preserve"> </w:t>
            </w:r>
            <w:r>
              <w:rPr>
                <w:rFonts w:hint="eastAsia"/>
                <w:color w:val="auto"/>
                <w:sz w:val="21"/>
                <w:szCs w:val="21"/>
                <w:highlight w:val="none"/>
                <w:lang w:eastAsia="zh-CN"/>
              </w:rPr>
              <w:t>。</w:t>
            </w:r>
          </w:p>
          <w:p>
            <w:pPr>
              <w:pStyle w:val="88"/>
              <w:tabs>
                <w:tab w:val="left" w:pos="2931"/>
                <w:tab w:val="left" w:pos="4727"/>
                <w:tab w:val="left" w:pos="6699"/>
                <w:tab w:val="left" w:pos="8010"/>
                <w:tab w:val="left" w:pos="8140"/>
              </w:tabs>
              <w:spacing w:before="14" w:line="295" w:lineRule="auto"/>
              <w:ind w:left="105" w:right="142"/>
              <w:jc w:val="both"/>
              <w:rPr>
                <w:rFonts w:hint="eastAsia"/>
                <w:color w:val="auto"/>
                <w:sz w:val="24"/>
                <w:highlight w:val="none"/>
                <w:lang w:eastAsia="zh-CN"/>
              </w:rPr>
            </w:pPr>
            <w:r>
              <w:rPr>
                <w:color w:val="auto"/>
                <w:sz w:val="21"/>
                <w:szCs w:val="21"/>
                <w:highlight w:val="none"/>
                <w:lang w:eastAsia="zh-CN"/>
              </w:rPr>
              <w:t>属于优先采购节能产品总值为￥</w:t>
            </w:r>
            <w:r>
              <w:rPr>
                <w:color w:val="auto"/>
                <w:sz w:val="21"/>
                <w:szCs w:val="21"/>
                <w:highlight w:val="none"/>
                <w:u w:val="single"/>
                <w:lang w:eastAsia="zh-CN"/>
              </w:rPr>
              <w:t xml:space="preserve"> </w:t>
            </w:r>
            <w:r>
              <w:rPr>
                <w:rFonts w:hint="eastAsia"/>
                <w:color w:val="auto"/>
                <w:sz w:val="21"/>
                <w:szCs w:val="21"/>
                <w:highlight w:val="none"/>
                <w:u w:val="single"/>
                <w:lang w:eastAsia="zh-CN"/>
              </w:rPr>
              <w:t xml:space="preserve">   </w:t>
            </w:r>
            <w:r>
              <w:rPr>
                <w:color w:val="auto"/>
                <w:sz w:val="21"/>
                <w:szCs w:val="21"/>
                <w:highlight w:val="none"/>
                <w:u w:val="single"/>
                <w:lang w:eastAsia="zh-CN"/>
              </w:rPr>
              <w:tab/>
            </w:r>
            <w:r>
              <w:rPr>
                <w:color w:val="auto"/>
                <w:sz w:val="21"/>
                <w:szCs w:val="21"/>
                <w:highlight w:val="none"/>
                <w:lang w:eastAsia="zh-CN"/>
              </w:rPr>
              <w:t>（具体明细详见附表），占本投标报价的比例为</w:t>
            </w:r>
            <w:r>
              <w:rPr>
                <w:color w:val="auto"/>
                <w:sz w:val="21"/>
                <w:szCs w:val="21"/>
                <w:highlight w:val="none"/>
                <w:u w:val="single"/>
                <w:lang w:eastAsia="zh-CN"/>
              </w:rPr>
              <w:t xml:space="preserve"> </w:t>
            </w:r>
            <w:r>
              <w:rPr>
                <w:rFonts w:hint="eastAsia"/>
                <w:color w:val="auto"/>
                <w:sz w:val="21"/>
                <w:szCs w:val="21"/>
                <w:highlight w:val="none"/>
                <w:u w:val="single"/>
                <w:lang w:eastAsia="zh-CN"/>
              </w:rPr>
              <w:t xml:space="preserve">  </w:t>
            </w:r>
            <w:r>
              <w:rPr>
                <w:color w:val="auto"/>
                <w:sz w:val="21"/>
                <w:szCs w:val="21"/>
                <w:highlight w:val="none"/>
                <w:lang w:eastAsia="zh-CN"/>
              </w:rPr>
              <w:t xml:space="preserve">%；属于优先采购环境标志产品总值为￥ </w:t>
            </w:r>
            <w:r>
              <w:rPr>
                <w:color w:val="auto"/>
                <w:sz w:val="21"/>
                <w:szCs w:val="21"/>
                <w:highlight w:val="none"/>
                <w:u w:val="single"/>
                <w:lang w:eastAsia="zh-CN"/>
              </w:rPr>
              <w:tab/>
            </w:r>
            <w:r>
              <w:rPr>
                <w:color w:val="auto"/>
                <w:sz w:val="21"/>
                <w:szCs w:val="21"/>
                <w:highlight w:val="none"/>
                <w:lang w:eastAsia="zh-CN"/>
              </w:rPr>
              <w:t>（具体明细详见附表）， 占本投标报价的比例为</w:t>
            </w:r>
            <w:r>
              <w:rPr>
                <w:color w:val="auto"/>
                <w:sz w:val="21"/>
                <w:szCs w:val="21"/>
                <w:highlight w:val="none"/>
                <w:u w:val="single"/>
                <w:lang w:eastAsia="zh-CN"/>
              </w:rPr>
              <w:t xml:space="preserve"> </w:t>
            </w:r>
            <w:r>
              <w:rPr>
                <w:rFonts w:hint="eastAsia"/>
                <w:color w:val="auto"/>
                <w:sz w:val="21"/>
                <w:szCs w:val="21"/>
                <w:highlight w:val="none"/>
                <w:u w:val="single"/>
                <w:lang w:eastAsia="zh-CN"/>
              </w:rPr>
              <w:t xml:space="preserve"> </w:t>
            </w:r>
            <w:r>
              <w:rPr>
                <w:color w:val="auto"/>
                <w:sz w:val="21"/>
                <w:szCs w:val="21"/>
                <w:highlight w:val="none"/>
                <w:lang w:eastAsia="zh-CN"/>
              </w:rPr>
              <w:t>%</w:t>
            </w:r>
            <w:r>
              <w:rPr>
                <w:rFonts w:hint="eastAsia"/>
                <w:color w:val="auto"/>
                <w:sz w:val="21"/>
                <w:szCs w:val="21"/>
                <w:highlight w:val="none"/>
                <w:lang w:eastAsia="zh-CN"/>
              </w:rPr>
              <w:t>。</w:t>
            </w:r>
            <w:r>
              <w:rPr>
                <w:rFonts w:hint="eastAsia"/>
                <w:color w:val="auto"/>
                <w:sz w:val="24"/>
                <w:highlight w:val="non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exact"/>
          <w:jc w:val="center"/>
        </w:trPr>
        <w:tc>
          <w:tcPr>
            <w:tcW w:w="9782" w:type="dxa"/>
            <w:gridSpan w:val="8"/>
            <w:vAlign w:val="center"/>
          </w:tcPr>
          <w:p>
            <w:pPr>
              <w:pStyle w:val="88"/>
              <w:tabs>
                <w:tab w:val="left" w:pos="3355"/>
                <w:tab w:val="left" w:pos="4727"/>
                <w:tab w:val="left" w:pos="7454"/>
                <w:tab w:val="left" w:pos="7905"/>
                <w:tab w:val="left" w:pos="8140"/>
              </w:tabs>
              <w:spacing w:before="14" w:line="295" w:lineRule="auto"/>
              <w:ind w:left="105" w:right="-20"/>
              <w:rPr>
                <w:rFonts w:hint="eastAsia"/>
                <w:color w:val="auto"/>
                <w:sz w:val="21"/>
                <w:szCs w:val="21"/>
                <w:highlight w:val="none"/>
                <w:lang w:eastAsia="zh-CN"/>
              </w:rPr>
            </w:pPr>
            <w:r>
              <w:rPr>
                <w:rFonts w:hint="eastAsia"/>
                <w:b/>
                <w:color w:val="auto"/>
                <w:sz w:val="21"/>
                <w:szCs w:val="21"/>
                <w:highlight w:val="none"/>
                <w:lang w:eastAsia="zh-CN"/>
              </w:rPr>
              <w:t>交货期：合同签订之日起</w:t>
            </w:r>
            <w:r>
              <w:rPr>
                <w:rFonts w:hint="eastAsia"/>
                <w:b/>
                <w:color w:val="auto"/>
                <w:sz w:val="21"/>
                <w:szCs w:val="21"/>
                <w:highlight w:val="none"/>
                <w:u w:val="single"/>
                <w:lang w:eastAsia="zh-CN"/>
              </w:rPr>
              <w:t xml:space="preserve">     </w:t>
            </w:r>
            <w:r>
              <w:rPr>
                <w:rFonts w:hint="eastAsia"/>
                <w:b/>
                <w:color w:val="auto"/>
                <w:sz w:val="21"/>
                <w:szCs w:val="21"/>
                <w:highlight w:val="none"/>
                <w:lang w:eastAsia="zh-CN"/>
              </w:rPr>
              <w:t>天内交付使用。</w:t>
            </w:r>
          </w:p>
        </w:tc>
      </w:tr>
    </w:tbl>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注： 1、报价一经涂改，应在涂改处加盖供应商单位公章或者由供应商法定代表人或授权委托人签字，否则其响应文件作响应无效处理。</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报价费用包含“第三章项目采购需求”中提出的所有费用，包括货款、标准附件、备品备件、专用工具、包装、运输、装卸、保险、税金、货到就位以及安装、安装所需辅材、调试、检验、验收等所需的一切使本项目完成验收的费用及供货商对业主承诺培训、售前、售后质量保证等相关费用等在内的一切可能发生的费用。对于本谈判采购文件中未列明，而供应商认为必需的费用也需列入报价。在合同实施时，采购人将不予支付成交供应商没有列入的项目费用，并认为此项目的费用已包括在报价中。</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表竞标产品中如有财政部现行《节能产品政府采购品目清单》目录内优先采购的产品、现行《环境标志产品政府采购品目清单》目录内优先采购的产品、小微企业生产的产品，请在本表后按类别分别附上此类产品明细表，明细表中列明：项号、货物名称、数量、单价、投标报价、累计金额并附相关证明材料。如因供应商未提供明细表或证明材料而导致评标委员会无法评判或无法计分而给供应商造成的损失由供应商自行负责，如因供应商提供虚假材料以谋取中标的责任亦由供应商自行负责。</w:t>
      </w:r>
    </w:p>
    <w:p>
      <w:pPr>
        <w:spacing w:line="360" w:lineRule="exact"/>
        <w:ind w:firstLine="420" w:firstLineChars="200"/>
        <w:rPr>
          <w:rFonts w:hint="eastAsia" w:ascii="宋体" w:hAnsi="宋体"/>
          <w:color w:val="auto"/>
          <w:szCs w:val="21"/>
          <w:highlight w:val="none"/>
        </w:rPr>
      </w:pPr>
    </w:p>
    <w:p>
      <w:pPr>
        <w:spacing w:line="360" w:lineRule="exact"/>
        <w:ind w:firstLine="420" w:firstLineChars="200"/>
        <w:rPr>
          <w:rFonts w:hint="eastAsia" w:ascii="宋体" w:hAnsi="宋体"/>
          <w:color w:val="auto"/>
          <w:szCs w:val="21"/>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spacing w:line="360" w:lineRule="exact"/>
        <w:ind w:firstLine="420" w:firstLineChars="200"/>
        <w:rPr>
          <w:rFonts w:hint="eastAsia" w:ascii="宋体" w:hAnsi="宋体" w:cs="宋体"/>
          <w:color w:val="auto"/>
          <w:szCs w:val="21"/>
          <w:highlight w:val="none"/>
        </w:rPr>
      </w:pPr>
    </w:p>
    <w:p>
      <w:pPr>
        <w:spacing w:line="300" w:lineRule="auto"/>
        <w:jc w:val="center"/>
        <w:rPr>
          <w:rFonts w:hint="eastAsia" w:ascii="宋体" w:hAnsi="宋体" w:cs="宋体"/>
          <w:b/>
          <w:color w:val="auto"/>
          <w:sz w:val="32"/>
          <w:szCs w:val="32"/>
          <w:highlight w:val="none"/>
        </w:rPr>
      </w:pPr>
    </w:p>
    <w:p>
      <w:pPr>
        <w:spacing w:line="300" w:lineRule="auto"/>
        <w:jc w:val="center"/>
        <w:rPr>
          <w:rFonts w:hint="eastAsia" w:ascii="宋体" w:hAnsi="宋体" w:cs="宋体"/>
          <w:b/>
          <w:color w:val="auto"/>
          <w:sz w:val="32"/>
          <w:szCs w:val="32"/>
          <w:highlight w:val="none"/>
        </w:rPr>
      </w:pPr>
    </w:p>
    <w:p>
      <w:pPr>
        <w:pStyle w:val="49"/>
        <w:rPr>
          <w:rFonts w:hint="eastAsia" w:ascii="宋体" w:hAnsi="宋体" w:cs="宋体"/>
          <w:b/>
          <w:color w:val="auto"/>
          <w:sz w:val="32"/>
          <w:szCs w:val="32"/>
          <w:highlight w:val="none"/>
        </w:rPr>
      </w:pPr>
    </w:p>
    <w:p>
      <w:pPr>
        <w:spacing w:line="30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最后报价明细表</w:t>
      </w:r>
    </w:p>
    <w:p>
      <w:pPr>
        <w:spacing w:line="300" w:lineRule="auto"/>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 xml:space="preserve">                              </w:t>
      </w:r>
    </w:p>
    <w:p>
      <w:pPr>
        <w:snapToGrid w:val="0"/>
        <w:spacing w:before="50" w:after="50"/>
        <w:rPr>
          <w:rFonts w:hint="eastAsia" w:ascii="宋体" w:hAnsi="宋体" w:cs="宋体"/>
          <w:color w:val="auto"/>
          <w:highlight w:val="none"/>
          <w:u w:val="single"/>
        </w:rPr>
      </w:pPr>
      <w:r>
        <w:rPr>
          <w:rFonts w:hint="eastAsia" w:ascii="宋体" w:hAnsi="宋体" w:cs="宋体"/>
          <w:color w:val="auto"/>
          <w:szCs w:val="21"/>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分标号</w:t>
      </w:r>
      <w:r>
        <w:rPr>
          <w:rFonts w:hint="eastAsia" w:ascii="宋体" w:hAnsi="宋体" w:cs="宋体"/>
          <w:color w:val="auto"/>
          <w:szCs w:val="21"/>
          <w:highlight w:val="none"/>
        </w:rPr>
        <w:t>：</w:t>
      </w:r>
      <w:r>
        <w:rPr>
          <w:rFonts w:hint="eastAsia" w:ascii="宋体" w:hAnsi="宋体" w:cs="宋体"/>
          <w:color w:val="auto"/>
          <w:highlight w:val="none"/>
          <w:u w:val="single"/>
        </w:rPr>
        <w:t xml:space="preserve">                                </w:t>
      </w:r>
    </w:p>
    <w:p>
      <w:pPr>
        <w:spacing w:line="500" w:lineRule="exact"/>
        <w:ind w:firstLine="8190" w:firstLineChars="3900"/>
        <w:rPr>
          <w:rFonts w:hint="eastAsia" w:ascii="宋体" w:hAnsi="宋体"/>
          <w:color w:val="auto"/>
          <w:szCs w:val="21"/>
          <w:highlight w:val="none"/>
        </w:rPr>
      </w:pPr>
      <w:r>
        <w:rPr>
          <w:rFonts w:hint="eastAsia" w:ascii="宋体" w:hAnsi="宋体"/>
          <w:color w:val="auto"/>
          <w:szCs w:val="21"/>
          <w:highlight w:val="none"/>
        </w:rPr>
        <w:t>单位：元</w:t>
      </w:r>
    </w:p>
    <w:tbl>
      <w:tblPr>
        <w:tblStyle w:val="37"/>
        <w:tblW w:w="9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1603"/>
        <w:gridCol w:w="1639"/>
        <w:gridCol w:w="1229"/>
        <w:gridCol w:w="1051"/>
        <w:gridCol w:w="878"/>
        <w:gridCol w:w="1066"/>
        <w:gridCol w:w="1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912" w:type="dxa"/>
          </w:tcPr>
          <w:p>
            <w:pPr>
              <w:pStyle w:val="88"/>
              <w:spacing w:before="110"/>
              <w:ind w:left="217" w:right="224"/>
              <w:jc w:val="center"/>
              <w:rPr>
                <w:rFonts w:hint="eastAsia"/>
                <w:b/>
                <w:color w:val="auto"/>
                <w:sz w:val="21"/>
                <w:highlight w:val="none"/>
              </w:rPr>
            </w:pPr>
            <w:r>
              <w:rPr>
                <w:rFonts w:hint="eastAsia"/>
                <w:b/>
                <w:color w:val="auto"/>
                <w:sz w:val="21"/>
                <w:highlight w:val="none"/>
              </w:rPr>
              <w:t>项号</w:t>
            </w:r>
          </w:p>
        </w:tc>
        <w:tc>
          <w:tcPr>
            <w:tcW w:w="1603" w:type="dxa"/>
          </w:tcPr>
          <w:p>
            <w:pPr>
              <w:pStyle w:val="88"/>
              <w:spacing w:before="110"/>
              <w:ind w:left="369" w:right="0"/>
              <w:rPr>
                <w:rFonts w:hint="eastAsia"/>
                <w:b/>
                <w:color w:val="auto"/>
                <w:sz w:val="21"/>
                <w:highlight w:val="none"/>
              </w:rPr>
            </w:pPr>
            <w:r>
              <w:rPr>
                <w:rFonts w:hint="eastAsia"/>
                <w:b/>
                <w:color w:val="auto"/>
                <w:sz w:val="21"/>
                <w:highlight w:val="none"/>
              </w:rPr>
              <w:t>货物名称</w:t>
            </w:r>
          </w:p>
        </w:tc>
        <w:tc>
          <w:tcPr>
            <w:tcW w:w="1639" w:type="dxa"/>
          </w:tcPr>
          <w:p>
            <w:pPr>
              <w:pStyle w:val="88"/>
              <w:spacing w:before="1" w:line="322" w:lineRule="exact"/>
              <w:ind w:right="0"/>
              <w:jc w:val="center"/>
              <w:rPr>
                <w:rFonts w:hint="eastAsia"/>
                <w:b/>
                <w:color w:val="auto"/>
                <w:sz w:val="21"/>
                <w:highlight w:val="none"/>
                <w:lang w:eastAsia="zh-CN"/>
              </w:rPr>
            </w:pPr>
            <w:r>
              <w:rPr>
                <w:rFonts w:hint="eastAsia"/>
                <w:b/>
                <w:color w:val="auto"/>
                <w:sz w:val="21"/>
                <w:highlight w:val="none"/>
                <w:lang w:eastAsia="zh-CN"/>
              </w:rPr>
              <w:t>厂家、品牌、规格型号</w:t>
            </w:r>
          </w:p>
        </w:tc>
        <w:tc>
          <w:tcPr>
            <w:tcW w:w="1229" w:type="dxa"/>
          </w:tcPr>
          <w:p>
            <w:pPr>
              <w:pStyle w:val="88"/>
              <w:spacing w:before="110"/>
              <w:ind w:left="393" w:right="0"/>
              <w:rPr>
                <w:rFonts w:hint="eastAsia"/>
                <w:b/>
                <w:color w:val="auto"/>
                <w:sz w:val="21"/>
                <w:highlight w:val="none"/>
              </w:rPr>
            </w:pPr>
            <w:r>
              <w:rPr>
                <w:rFonts w:hint="eastAsia"/>
                <w:b/>
                <w:color w:val="auto"/>
                <w:sz w:val="21"/>
                <w:highlight w:val="none"/>
              </w:rPr>
              <w:t>产地</w:t>
            </w:r>
          </w:p>
        </w:tc>
        <w:tc>
          <w:tcPr>
            <w:tcW w:w="1051" w:type="dxa"/>
          </w:tcPr>
          <w:p>
            <w:pPr>
              <w:pStyle w:val="88"/>
              <w:spacing w:before="110"/>
              <w:ind w:left="196" w:right="0"/>
              <w:rPr>
                <w:rFonts w:hint="eastAsia"/>
                <w:b/>
                <w:color w:val="auto"/>
                <w:sz w:val="21"/>
                <w:highlight w:val="none"/>
              </w:rPr>
            </w:pPr>
            <w:r>
              <w:rPr>
                <w:rFonts w:hint="eastAsia"/>
                <w:b/>
                <w:color w:val="auto"/>
                <w:sz w:val="21"/>
                <w:highlight w:val="none"/>
              </w:rPr>
              <w:t>数量①</w:t>
            </w:r>
          </w:p>
        </w:tc>
        <w:tc>
          <w:tcPr>
            <w:tcW w:w="878" w:type="dxa"/>
          </w:tcPr>
          <w:p>
            <w:pPr>
              <w:pStyle w:val="88"/>
              <w:spacing w:before="110"/>
              <w:ind w:left="215" w:right="0"/>
              <w:rPr>
                <w:rFonts w:hint="eastAsia"/>
                <w:b/>
                <w:color w:val="auto"/>
                <w:sz w:val="21"/>
                <w:highlight w:val="none"/>
              </w:rPr>
            </w:pPr>
            <w:r>
              <w:rPr>
                <w:rFonts w:hint="eastAsia"/>
                <w:b/>
                <w:color w:val="auto"/>
                <w:sz w:val="21"/>
                <w:highlight w:val="none"/>
              </w:rPr>
              <w:t>单位</w:t>
            </w:r>
          </w:p>
        </w:tc>
        <w:tc>
          <w:tcPr>
            <w:tcW w:w="1066" w:type="dxa"/>
          </w:tcPr>
          <w:p>
            <w:pPr>
              <w:pStyle w:val="88"/>
              <w:spacing w:before="110"/>
              <w:ind w:left="206" w:right="0"/>
              <w:rPr>
                <w:rFonts w:hint="eastAsia"/>
                <w:b/>
                <w:color w:val="auto"/>
                <w:sz w:val="21"/>
                <w:highlight w:val="none"/>
              </w:rPr>
            </w:pPr>
            <w:r>
              <w:rPr>
                <w:rFonts w:hint="eastAsia"/>
                <w:b/>
                <w:color w:val="auto"/>
                <w:sz w:val="21"/>
                <w:highlight w:val="none"/>
              </w:rPr>
              <w:t>单价②</w:t>
            </w:r>
          </w:p>
        </w:tc>
        <w:tc>
          <w:tcPr>
            <w:tcW w:w="1404" w:type="dxa"/>
          </w:tcPr>
          <w:p>
            <w:pPr>
              <w:pStyle w:val="88"/>
              <w:spacing w:line="291" w:lineRule="exact"/>
              <w:ind w:left="311" w:right="0"/>
              <w:rPr>
                <w:rFonts w:hint="eastAsia"/>
                <w:b/>
                <w:color w:val="auto"/>
                <w:sz w:val="21"/>
                <w:highlight w:val="none"/>
              </w:rPr>
            </w:pPr>
            <w:r>
              <w:rPr>
                <w:rFonts w:hint="eastAsia"/>
                <w:b/>
                <w:color w:val="auto"/>
                <w:sz w:val="21"/>
                <w:highlight w:val="none"/>
              </w:rPr>
              <w:t>投标报价</w:t>
            </w:r>
          </w:p>
          <w:p>
            <w:pPr>
              <w:pStyle w:val="88"/>
              <w:spacing w:line="325" w:lineRule="exact"/>
              <w:ind w:left="259" w:right="0"/>
              <w:rPr>
                <w:rFonts w:hint="eastAsia"/>
                <w:b/>
                <w:color w:val="auto"/>
                <w:sz w:val="21"/>
                <w:highlight w:val="none"/>
              </w:rPr>
            </w:pPr>
            <w:r>
              <w:rPr>
                <w:rFonts w:hint="eastAsia"/>
                <w:b/>
                <w:color w:val="auto"/>
                <w:sz w:val="21"/>
                <w:highlight w:val="none"/>
              </w:rPr>
              <w:t>③=①×②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912" w:type="dxa"/>
          </w:tcPr>
          <w:p>
            <w:pPr>
              <w:pStyle w:val="88"/>
              <w:spacing w:before="38"/>
              <w:ind w:left="0" w:right="0"/>
              <w:jc w:val="center"/>
              <w:rPr>
                <w:rFonts w:hint="eastAsia"/>
                <w:color w:val="auto"/>
                <w:sz w:val="21"/>
                <w:highlight w:val="none"/>
              </w:rPr>
            </w:pPr>
            <w:r>
              <w:rPr>
                <w:color w:val="auto"/>
                <w:sz w:val="21"/>
                <w:highlight w:val="none"/>
              </w:rPr>
              <w:t>1</w:t>
            </w:r>
          </w:p>
        </w:tc>
        <w:tc>
          <w:tcPr>
            <w:tcW w:w="1603" w:type="dxa"/>
          </w:tcPr>
          <w:p>
            <w:pPr>
              <w:rPr>
                <w:color w:val="auto"/>
                <w:highlight w:val="none"/>
              </w:rPr>
            </w:pPr>
          </w:p>
        </w:tc>
        <w:tc>
          <w:tcPr>
            <w:tcW w:w="1639" w:type="dxa"/>
          </w:tcPr>
          <w:p>
            <w:pPr>
              <w:rPr>
                <w:color w:val="auto"/>
                <w:highlight w:val="none"/>
              </w:rPr>
            </w:pPr>
          </w:p>
        </w:tc>
        <w:tc>
          <w:tcPr>
            <w:tcW w:w="1229" w:type="dxa"/>
          </w:tcPr>
          <w:p>
            <w:pPr>
              <w:rPr>
                <w:color w:val="auto"/>
                <w:highlight w:val="none"/>
              </w:rPr>
            </w:pPr>
          </w:p>
        </w:tc>
        <w:tc>
          <w:tcPr>
            <w:tcW w:w="1051" w:type="dxa"/>
          </w:tcPr>
          <w:p>
            <w:pPr>
              <w:rPr>
                <w:color w:val="auto"/>
                <w:highlight w:val="none"/>
              </w:rPr>
            </w:pPr>
          </w:p>
        </w:tc>
        <w:tc>
          <w:tcPr>
            <w:tcW w:w="878" w:type="dxa"/>
          </w:tcPr>
          <w:p>
            <w:pPr>
              <w:rPr>
                <w:color w:val="auto"/>
                <w:highlight w:val="none"/>
              </w:rPr>
            </w:pPr>
          </w:p>
        </w:tc>
        <w:tc>
          <w:tcPr>
            <w:tcW w:w="1066" w:type="dxa"/>
          </w:tcPr>
          <w:p>
            <w:pPr>
              <w:rPr>
                <w:color w:val="auto"/>
                <w:highlight w:val="none"/>
              </w:rPr>
            </w:pPr>
          </w:p>
        </w:tc>
        <w:tc>
          <w:tcPr>
            <w:tcW w:w="1404"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auto"/>
                <w:sz w:val="21"/>
                <w:highlight w:val="none"/>
              </w:rPr>
            </w:pPr>
            <w:r>
              <w:rPr>
                <w:color w:val="auto"/>
                <w:sz w:val="21"/>
                <w:highlight w:val="none"/>
              </w:rPr>
              <w:t>2</w:t>
            </w:r>
          </w:p>
        </w:tc>
        <w:tc>
          <w:tcPr>
            <w:tcW w:w="1603" w:type="dxa"/>
          </w:tcPr>
          <w:p>
            <w:pPr>
              <w:rPr>
                <w:color w:val="auto"/>
                <w:highlight w:val="none"/>
              </w:rPr>
            </w:pPr>
          </w:p>
        </w:tc>
        <w:tc>
          <w:tcPr>
            <w:tcW w:w="1639" w:type="dxa"/>
          </w:tcPr>
          <w:p>
            <w:pPr>
              <w:rPr>
                <w:color w:val="auto"/>
                <w:highlight w:val="none"/>
              </w:rPr>
            </w:pPr>
          </w:p>
        </w:tc>
        <w:tc>
          <w:tcPr>
            <w:tcW w:w="1229" w:type="dxa"/>
          </w:tcPr>
          <w:p>
            <w:pPr>
              <w:rPr>
                <w:color w:val="auto"/>
                <w:highlight w:val="none"/>
              </w:rPr>
            </w:pPr>
          </w:p>
        </w:tc>
        <w:tc>
          <w:tcPr>
            <w:tcW w:w="1051" w:type="dxa"/>
          </w:tcPr>
          <w:p>
            <w:pPr>
              <w:rPr>
                <w:color w:val="auto"/>
                <w:highlight w:val="none"/>
              </w:rPr>
            </w:pPr>
          </w:p>
        </w:tc>
        <w:tc>
          <w:tcPr>
            <w:tcW w:w="878" w:type="dxa"/>
          </w:tcPr>
          <w:p>
            <w:pPr>
              <w:rPr>
                <w:color w:val="auto"/>
                <w:highlight w:val="none"/>
              </w:rPr>
            </w:pPr>
          </w:p>
        </w:tc>
        <w:tc>
          <w:tcPr>
            <w:tcW w:w="1066" w:type="dxa"/>
          </w:tcPr>
          <w:p>
            <w:pPr>
              <w:rPr>
                <w:color w:val="auto"/>
                <w:highlight w:val="none"/>
              </w:rPr>
            </w:pPr>
          </w:p>
        </w:tc>
        <w:tc>
          <w:tcPr>
            <w:tcW w:w="1404"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auto"/>
                <w:sz w:val="21"/>
                <w:highlight w:val="none"/>
              </w:rPr>
            </w:pPr>
            <w:r>
              <w:rPr>
                <w:color w:val="auto"/>
                <w:sz w:val="21"/>
                <w:highlight w:val="none"/>
              </w:rPr>
              <w:t>…</w:t>
            </w:r>
          </w:p>
        </w:tc>
        <w:tc>
          <w:tcPr>
            <w:tcW w:w="1603" w:type="dxa"/>
          </w:tcPr>
          <w:p>
            <w:pPr>
              <w:rPr>
                <w:color w:val="auto"/>
                <w:highlight w:val="none"/>
              </w:rPr>
            </w:pPr>
          </w:p>
        </w:tc>
        <w:tc>
          <w:tcPr>
            <w:tcW w:w="1639" w:type="dxa"/>
          </w:tcPr>
          <w:p>
            <w:pPr>
              <w:rPr>
                <w:color w:val="auto"/>
                <w:highlight w:val="none"/>
              </w:rPr>
            </w:pPr>
          </w:p>
        </w:tc>
        <w:tc>
          <w:tcPr>
            <w:tcW w:w="1229" w:type="dxa"/>
          </w:tcPr>
          <w:p>
            <w:pPr>
              <w:rPr>
                <w:color w:val="auto"/>
                <w:highlight w:val="none"/>
              </w:rPr>
            </w:pPr>
          </w:p>
        </w:tc>
        <w:tc>
          <w:tcPr>
            <w:tcW w:w="1051" w:type="dxa"/>
          </w:tcPr>
          <w:p>
            <w:pPr>
              <w:rPr>
                <w:color w:val="auto"/>
                <w:highlight w:val="none"/>
              </w:rPr>
            </w:pPr>
          </w:p>
        </w:tc>
        <w:tc>
          <w:tcPr>
            <w:tcW w:w="878" w:type="dxa"/>
          </w:tcPr>
          <w:p>
            <w:pPr>
              <w:rPr>
                <w:color w:val="auto"/>
                <w:highlight w:val="none"/>
              </w:rPr>
            </w:pPr>
          </w:p>
        </w:tc>
        <w:tc>
          <w:tcPr>
            <w:tcW w:w="1066" w:type="dxa"/>
          </w:tcPr>
          <w:p>
            <w:pPr>
              <w:rPr>
                <w:color w:val="auto"/>
                <w:highlight w:val="none"/>
              </w:rPr>
            </w:pPr>
          </w:p>
        </w:tc>
        <w:tc>
          <w:tcPr>
            <w:tcW w:w="1404"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tcPr>
          <w:p>
            <w:pPr>
              <w:pStyle w:val="88"/>
              <w:spacing w:before="38"/>
              <w:ind w:left="0" w:right="0"/>
              <w:jc w:val="center"/>
              <w:rPr>
                <w:rFonts w:hint="eastAsia"/>
                <w:color w:val="auto"/>
                <w:sz w:val="21"/>
                <w:highlight w:val="none"/>
              </w:rPr>
            </w:pPr>
            <w:r>
              <w:rPr>
                <w:color w:val="auto"/>
                <w:sz w:val="21"/>
                <w:highlight w:val="none"/>
              </w:rPr>
              <w:t>N</w:t>
            </w:r>
          </w:p>
        </w:tc>
        <w:tc>
          <w:tcPr>
            <w:tcW w:w="1603" w:type="dxa"/>
          </w:tcPr>
          <w:p>
            <w:pPr>
              <w:rPr>
                <w:color w:val="auto"/>
                <w:highlight w:val="none"/>
              </w:rPr>
            </w:pPr>
          </w:p>
        </w:tc>
        <w:tc>
          <w:tcPr>
            <w:tcW w:w="1639" w:type="dxa"/>
          </w:tcPr>
          <w:p>
            <w:pPr>
              <w:rPr>
                <w:color w:val="auto"/>
                <w:highlight w:val="none"/>
              </w:rPr>
            </w:pPr>
          </w:p>
        </w:tc>
        <w:tc>
          <w:tcPr>
            <w:tcW w:w="1229" w:type="dxa"/>
          </w:tcPr>
          <w:p>
            <w:pPr>
              <w:rPr>
                <w:color w:val="auto"/>
                <w:highlight w:val="none"/>
              </w:rPr>
            </w:pPr>
          </w:p>
        </w:tc>
        <w:tc>
          <w:tcPr>
            <w:tcW w:w="1051" w:type="dxa"/>
          </w:tcPr>
          <w:p>
            <w:pPr>
              <w:rPr>
                <w:color w:val="auto"/>
                <w:highlight w:val="none"/>
              </w:rPr>
            </w:pPr>
          </w:p>
        </w:tc>
        <w:tc>
          <w:tcPr>
            <w:tcW w:w="878" w:type="dxa"/>
          </w:tcPr>
          <w:p>
            <w:pPr>
              <w:rPr>
                <w:color w:val="auto"/>
                <w:highlight w:val="none"/>
              </w:rPr>
            </w:pPr>
          </w:p>
        </w:tc>
        <w:tc>
          <w:tcPr>
            <w:tcW w:w="1066" w:type="dxa"/>
          </w:tcPr>
          <w:p>
            <w:pPr>
              <w:rPr>
                <w:color w:val="auto"/>
                <w:highlight w:val="none"/>
              </w:rPr>
            </w:pPr>
          </w:p>
        </w:tc>
        <w:tc>
          <w:tcPr>
            <w:tcW w:w="1404" w:type="dxa"/>
          </w:tcPr>
          <w:p>
            <w:pP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exact"/>
          <w:jc w:val="center"/>
        </w:trPr>
        <w:tc>
          <w:tcPr>
            <w:tcW w:w="9782" w:type="dxa"/>
            <w:gridSpan w:val="8"/>
          </w:tcPr>
          <w:p>
            <w:pPr>
              <w:pStyle w:val="88"/>
              <w:tabs>
                <w:tab w:val="left" w:pos="2931"/>
                <w:tab w:val="left" w:pos="4727"/>
                <w:tab w:val="left" w:pos="6699"/>
                <w:tab w:val="left" w:pos="8010"/>
                <w:tab w:val="left" w:pos="8140"/>
              </w:tabs>
              <w:spacing w:before="14" w:line="295" w:lineRule="auto"/>
              <w:ind w:left="105" w:right="142"/>
              <w:rPr>
                <w:rFonts w:hint="eastAsia"/>
                <w:color w:val="auto"/>
                <w:sz w:val="21"/>
                <w:szCs w:val="21"/>
                <w:highlight w:val="none"/>
                <w:lang w:eastAsia="zh-CN"/>
              </w:rPr>
            </w:pPr>
            <w:r>
              <w:rPr>
                <w:rFonts w:hint="eastAsia"/>
                <w:color w:val="auto"/>
                <w:sz w:val="21"/>
                <w:szCs w:val="21"/>
                <w:highlight w:val="none"/>
                <w:lang w:eastAsia="zh-CN"/>
              </w:rPr>
              <w:t>投标报价（合计金额）大写：</w:t>
            </w:r>
            <w:r>
              <w:rPr>
                <w:rFonts w:ascii="Times New Roman" w:hAnsi="Times New Roman" w:eastAsia="Times New Roman"/>
                <w:color w:val="auto"/>
                <w:sz w:val="21"/>
                <w:szCs w:val="21"/>
                <w:highlight w:val="none"/>
                <w:u w:val="single"/>
                <w:lang w:eastAsia="zh-CN"/>
              </w:rPr>
              <w:t xml:space="preserve"> </w:t>
            </w:r>
            <w:r>
              <w:rPr>
                <w:rFonts w:ascii="Times New Roman" w:hAnsi="Times New Roman" w:eastAsia="Times New Roman"/>
                <w:color w:val="auto"/>
                <w:sz w:val="21"/>
                <w:szCs w:val="21"/>
                <w:highlight w:val="none"/>
                <w:u w:val="single"/>
                <w:lang w:eastAsia="zh-CN"/>
              </w:rPr>
              <w:tab/>
            </w:r>
            <w:r>
              <w:rPr>
                <w:rFonts w:ascii="Times New Roman" w:hAnsi="Times New Roman" w:eastAsia="Times New Roman"/>
                <w:color w:val="auto"/>
                <w:sz w:val="21"/>
                <w:szCs w:val="21"/>
                <w:highlight w:val="none"/>
                <w:u w:val="single"/>
                <w:lang w:eastAsia="zh-CN"/>
              </w:rPr>
              <w:tab/>
            </w:r>
            <w:r>
              <w:rPr>
                <w:rFonts w:hint="eastAsia"/>
                <w:color w:val="auto"/>
                <w:sz w:val="21"/>
                <w:szCs w:val="21"/>
                <w:highlight w:val="none"/>
                <w:lang w:eastAsia="zh-CN"/>
              </w:rPr>
              <w:t>人</w:t>
            </w:r>
            <w:r>
              <w:rPr>
                <w:color w:val="auto"/>
                <w:spacing w:val="-72"/>
                <w:sz w:val="21"/>
                <w:szCs w:val="21"/>
                <w:highlight w:val="none"/>
                <w:lang w:eastAsia="zh-CN"/>
              </w:rPr>
              <w:t xml:space="preserve"> </w:t>
            </w:r>
            <w:r>
              <w:rPr>
                <w:rFonts w:hint="eastAsia"/>
                <w:color w:val="auto"/>
                <w:sz w:val="21"/>
                <w:szCs w:val="21"/>
                <w:highlight w:val="none"/>
                <w:lang w:eastAsia="zh-CN"/>
              </w:rPr>
              <w:t>民</w:t>
            </w:r>
            <w:r>
              <w:rPr>
                <w:color w:val="auto"/>
                <w:spacing w:val="-67"/>
                <w:sz w:val="21"/>
                <w:szCs w:val="21"/>
                <w:highlight w:val="none"/>
                <w:lang w:eastAsia="zh-CN"/>
              </w:rPr>
              <w:t xml:space="preserve"> </w:t>
            </w:r>
            <w:r>
              <w:rPr>
                <w:rFonts w:hint="eastAsia"/>
                <w:color w:val="auto"/>
                <w:sz w:val="21"/>
                <w:szCs w:val="21"/>
                <w:highlight w:val="none"/>
                <w:lang w:eastAsia="zh-CN"/>
              </w:rPr>
              <w:t>币</w:t>
            </w:r>
            <w:r>
              <w:rPr>
                <w:color w:val="auto"/>
                <w:spacing w:val="-67"/>
                <w:sz w:val="21"/>
                <w:szCs w:val="21"/>
                <w:highlight w:val="none"/>
                <w:lang w:eastAsia="zh-CN"/>
              </w:rPr>
              <w:t xml:space="preserve"> </w:t>
            </w:r>
            <w:r>
              <w:rPr>
                <w:rFonts w:hint="eastAsia"/>
                <w:color w:val="auto"/>
                <w:sz w:val="21"/>
                <w:szCs w:val="21"/>
                <w:highlight w:val="none"/>
                <w:lang w:eastAsia="zh-CN"/>
              </w:rPr>
              <w:t>（</w:t>
            </w:r>
            <w:r>
              <w:rPr>
                <w:color w:val="auto"/>
                <w:spacing w:val="-67"/>
                <w:sz w:val="21"/>
                <w:szCs w:val="21"/>
                <w:highlight w:val="none"/>
                <w:lang w:eastAsia="zh-CN"/>
              </w:rPr>
              <w:t xml:space="preserve"> </w:t>
            </w:r>
            <w:r>
              <w:rPr>
                <w:rFonts w:hint="eastAsia"/>
                <w:color w:val="auto"/>
                <w:sz w:val="21"/>
                <w:szCs w:val="21"/>
                <w:highlight w:val="none"/>
                <w:lang w:eastAsia="zh-CN"/>
              </w:rPr>
              <w:t>￥</w:t>
            </w:r>
            <w:r>
              <w:rPr>
                <w:rFonts w:ascii="Times New Roman" w:hAnsi="Times New Roman" w:eastAsia="Times New Roman"/>
                <w:color w:val="auto"/>
                <w:sz w:val="21"/>
                <w:szCs w:val="21"/>
                <w:highlight w:val="none"/>
                <w:u w:val="single"/>
                <w:lang w:eastAsia="zh-CN"/>
              </w:rPr>
              <w:t xml:space="preserve"> </w:t>
            </w:r>
            <w:r>
              <w:rPr>
                <w:rFonts w:ascii="Times New Roman" w:hAnsi="Times New Roman" w:eastAsia="Times New Roman"/>
                <w:color w:val="auto"/>
                <w:sz w:val="21"/>
                <w:szCs w:val="21"/>
                <w:highlight w:val="none"/>
                <w:u w:val="single"/>
                <w:lang w:eastAsia="zh-CN"/>
              </w:rPr>
              <w:tab/>
            </w:r>
            <w:r>
              <w:rPr>
                <w:rFonts w:ascii="Times New Roman" w:hAnsi="Times New Roman" w:eastAsia="Times New Roman"/>
                <w:color w:val="auto"/>
                <w:sz w:val="21"/>
                <w:szCs w:val="21"/>
                <w:highlight w:val="none"/>
                <w:u w:val="single"/>
                <w:lang w:eastAsia="zh-CN"/>
              </w:rPr>
              <w:tab/>
            </w:r>
            <w:r>
              <w:rPr>
                <w:rFonts w:ascii="Times New Roman" w:hAnsi="Times New Roman" w:eastAsia="Times New Roman"/>
                <w:color w:val="auto"/>
                <w:sz w:val="21"/>
                <w:szCs w:val="21"/>
                <w:highlight w:val="none"/>
                <w:u w:val="single"/>
                <w:lang w:eastAsia="zh-CN"/>
              </w:rPr>
              <w:tab/>
            </w:r>
            <w:r>
              <w:rPr>
                <w:rFonts w:hint="eastAsia"/>
                <w:color w:val="auto"/>
                <w:sz w:val="21"/>
                <w:szCs w:val="21"/>
                <w:highlight w:val="none"/>
                <w:lang w:eastAsia="zh-CN"/>
              </w:rPr>
              <w:t>）</w:t>
            </w:r>
            <w:r>
              <w:rPr>
                <w:color w:val="auto"/>
                <w:sz w:val="21"/>
                <w:szCs w:val="21"/>
                <w:highlight w:val="none"/>
                <w:lang w:eastAsia="zh-CN"/>
              </w:rPr>
              <w:t xml:space="preserve"> </w:t>
            </w:r>
            <w:r>
              <w:rPr>
                <w:rFonts w:hint="eastAsia"/>
                <w:color w:val="auto"/>
                <w:sz w:val="21"/>
                <w:szCs w:val="21"/>
                <w:highlight w:val="none"/>
                <w:lang w:eastAsia="zh-CN"/>
              </w:rPr>
              <w:t>。</w:t>
            </w:r>
          </w:p>
          <w:p>
            <w:pPr>
              <w:pStyle w:val="88"/>
              <w:tabs>
                <w:tab w:val="left" w:pos="2931"/>
                <w:tab w:val="left" w:pos="4727"/>
                <w:tab w:val="left" w:pos="6699"/>
                <w:tab w:val="left" w:pos="8010"/>
                <w:tab w:val="left" w:pos="8140"/>
              </w:tabs>
              <w:spacing w:before="14" w:line="295" w:lineRule="auto"/>
              <w:ind w:left="105" w:right="142"/>
              <w:rPr>
                <w:rFonts w:hint="eastAsia"/>
                <w:color w:val="auto"/>
                <w:sz w:val="24"/>
                <w:highlight w:val="none"/>
                <w:lang w:eastAsia="zh-CN"/>
              </w:rPr>
            </w:pPr>
            <w:r>
              <w:rPr>
                <w:color w:val="auto"/>
                <w:sz w:val="21"/>
                <w:szCs w:val="21"/>
                <w:highlight w:val="none"/>
                <w:lang w:eastAsia="zh-CN"/>
              </w:rPr>
              <w:t>属于优先采购节能产品总值为￥</w:t>
            </w:r>
            <w:r>
              <w:rPr>
                <w:color w:val="auto"/>
                <w:sz w:val="21"/>
                <w:szCs w:val="21"/>
                <w:highlight w:val="none"/>
                <w:u w:val="single"/>
                <w:lang w:eastAsia="zh-CN"/>
              </w:rPr>
              <w:t xml:space="preserve"> </w:t>
            </w:r>
            <w:r>
              <w:rPr>
                <w:rFonts w:hint="eastAsia"/>
                <w:color w:val="auto"/>
                <w:sz w:val="21"/>
                <w:szCs w:val="21"/>
                <w:highlight w:val="none"/>
                <w:u w:val="single"/>
                <w:lang w:eastAsia="zh-CN"/>
              </w:rPr>
              <w:t xml:space="preserve">   </w:t>
            </w:r>
            <w:r>
              <w:rPr>
                <w:color w:val="auto"/>
                <w:sz w:val="21"/>
                <w:szCs w:val="21"/>
                <w:highlight w:val="none"/>
                <w:u w:val="single"/>
                <w:lang w:eastAsia="zh-CN"/>
              </w:rPr>
              <w:tab/>
            </w:r>
            <w:r>
              <w:rPr>
                <w:color w:val="auto"/>
                <w:sz w:val="21"/>
                <w:szCs w:val="21"/>
                <w:highlight w:val="none"/>
                <w:lang w:eastAsia="zh-CN"/>
              </w:rPr>
              <w:t>（具体明细详见附表），占本投标报价的比例为</w:t>
            </w:r>
            <w:r>
              <w:rPr>
                <w:color w:val="auto"/>
                <w:sz w:val="21"/>
                <w:szCs w:val="21"/>
                <w:highlight w:val="none"/>
                <w:u w:val="single"/>
                <w:lang w:eastAsia="zh-CN"/>
              </w:rPr>
              <w:t xml:space="preserve"> </w:t>
            </w:r>
            <w:r>
              <w:rPr>
                <w:rFonts w:hint="eastAsia"/>
                <w:color w:val="auto"/>
                <w:sz w:val="21"/>
                <w:szCs w:val="21"/>
                <w:highlight w:val="none"/>
                <w:u w:val="single"/>
                <w:lang w:eastAsia="zh-CN"/>
              </w:rPr>
              <w:t xml:space="preserve">  </w:t>
            </w:r>
            <w:r>
              <w:rPr>
                <w:color w:val="auto"/>
                <w:sz w:val="21"/>
                <w:szCs w:val="21"/>
                <w:highlight w:val="none"/>
                <w:lang w:eastAsia="zh-CN"/>
              </w:rPr>
              <w:t xml:space="preserve">%；属于优先采购环境标志产品总值为￥ </w:t>
            </w:r>
            <w:r>
              <w:rPr>
                <w:color w:val="auto"/>
                <w:sz w:val="21"/>
                <w:szCs w:val="21"/>
                <w:highlight w:val="none"/>
                <w:u w:val="single"/>
                <w:lang w:eastAsia="zh-CN"/>
              </w:rPr>
              <w:tab/>
            </w:r>
            <w:r>
              <w:rPr>
                <w:color w:val="auto"/>
                <w:sz w:val="21"/>
                <w:szCs w:val="21"/>
                <w:highlight w:val="none"/>
                <w:lang w:eastAsia="zh-CN"/>
              </w:rPr>
              <w:t>（具体明细详见附表）， 占本投标报价的比例为</w:t>
            </w:r>
            <w:r>
              <w:rPr>
                <w:color w:val="auto"/>
                <w:sz w:val="21"/>
                <w:szCs w:val="21"/>
                <w:highlight w:val="none"/>
                <w:u w:val="single"/>
                <w:lang w:eastAsia="zh-CN"/>
              </w:rPr>
              <w:t xml:space="preserve"> </w:t>
            </w:r>
            <w:r>
              <w:rPr>
                <w:rFonts w:hint="eastAsia"/>
                <w:color w:val="auto"/>
                <w:sz w:val="21"/>
                <w:szCs w:val="21"/>
                <w:highlight w:val="none"/>
                <w:u w:val="single"/>
                <w:lang w:eastAsia="zh-CN"/>
              </w:rPr>
              <w:t xml:space="preserve"> </w:t>
            </w:r>
            <w:r>
              <w:rPr>
                <w:color w:val="auto"/>
                <w:sz w:val="21"/>
                <w:szCs w:val="21"/>
                <w:highlight w:val="none"/>
                <w:lang w:eastAsia="zh-CN"/>
              </w:rPr>
              <w:t>%</w:t>
            </w:r>
            <w:r>
              <w:rPr>
                <w:rFonts w:hint="eastAsia"/>
                <w:color w:val="auto"/>
                <w:sz w:val="21"/>
                <w:szCs w:val="21"/>
                <w:highlight w:val="none"/>
                <w:lang w:eastAsia="zh-CN"/>
              </w:rPr>
              <w:t>。</w:t>
            </w:r>
            <w:r>
              <w:rPr>
                <w:rFonts w:hint="eastAsia"/>
                <w:color w:val="auto"/>
                <w:sz w:val="24"/>
                <w:highlight w:val="non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exact"/>
          <w:jc w:val="center"/>
        </w:trPr>
        <w:tc>
          <w:tcPr>
            <w:tcW w:w="9782" w:type="dxa"/>
            <w:gridSpan w:val="8"/>
            <w:vAlign w:val="center"/>
          </w:tcPr>
          <w:p>
            <w:pPr>
              <w:pStyle w:val="88"/>
              <w:tabs>
                <w:tab w:val="left" w:pos="2931"/>
                <w:tab w:val="left" w:pos="4727"/>
                <w:tab w:val="left" w:pos="6699"/>
                <w:tab w:val="left" w:pos="8010"/>
                <w:tab w:val="left" w:pos="8140"/>
              </w:tabs>
              <w:spacing w:before="14" w:line="295" w:lineRule="auto"/>
              <w:ind w:left="105" w:right="142"/>
              <w:jc w:val="both"/>
              <w:rPr>
                <w:rFonts w:hint="eastAsia"/>
                <w:color w:val="auto"/>
                <w:sz w:val="21"/>
                <w:szCs w:val="21"/>
                <w:highlight w:val="none"/>
                <w:lang w:eastAsia="zh-CN"/>
              </w:rPr>
            </w:pPr>
            <w:r>
              <w:rPr>
                <w:rFonts w:hint="eastAsia"/>
                <w:b/>
                <w:color w:val="auto"/>
                <w:sz w:val="21"/>
                <w:szCs w:val="21"/>
                <w:highlight w:val="none"/>
                <w:lang w:eastAsia="zh-CN"/>
              </w:rPr>
              <w:t>交货期：合同签订之日起</w:t>
            </w:r>
            <w:r>
              <w:rPr>
                <w:rFonts w:hint="eastAsia"/>
                <w:b/>
                <w:color w:val="auto"/>
                <w:sz w:val="21"/>
                <w:szCs w:val="21"/>
                <w:highlight w:val="none"/>
                <w:u w:val="single"/>
                <w:lang w:eastAsia="zh-CN"/>
              </w:rPr>
              <w:t xml:space="preserve">     </w:t>
            </w:r>
            <w:r>
              <w:rPr>
                <w:rFonts w:hint="eastAsia"/>
                <w:b/>
                <w:color w:val="auto"/>
                <w:sz w:val="21"/>
                <w:szCs w:val="21"/>
                <w:highlight w:val="none"/>
                <w:lang w:eastAsia="zh-CN"/>
              </w:rPr>
              <w:t>天内交付使用。</w:t>
            </w:r>
          </w:p>
        </w:tc>
      </w:tr>
    </w:tbl>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注： </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1、竞标</w:t>
      </w:r>
      <w:r>
        <w:rPr>
          <w:rFonts w:hint="eastAsia" w:ascii="宋体" w:hAnsi="宋体" w:cs="宋体"/>
          <w:color w:val="auto"/>
          <w:kern w:val="0"/>
          <w:szCs w:val="21"/>
          <w:highlight w:val="none"/>
        </w:rPr>
        <w:t>总报价为现场交付使用价，</w:t>
      </w:r>
      <w:r>
        <w:rPr>
          <w:rFonts w:hint="eastAsia" w:ascii="宋体" w:hAnsi="宋体"/>
          <w:color w:val="auto"/>
          <w:szCs w:val="21"/>
          <w:highlight w:val="none"/>
        </w:rPr>
        <w:t>包括货款、标准附件、备品备件、专用工具、包装、运输、装卸、保险、税金、货到就位以及安装、安装所需辅材、调试、检验、验收等所需的一切使本项目完成验收的费用及供货商对业主承诺培训、售前、售后质量保证等相关费用等在内的一切可能发生的费用。对于本谈判采购文件中未列明，而供应商认为必需的费用也需列入报价。在合同实施时，采购人将不予支付成交供应商没有列入的项目费用，并认为此项目的费用已包括在报价中。</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参加谈判的供应商在规定时间内提交最后报价时，须附相应的报价明细表（最后报价明细表应按以上格式要求提供），并且最后报价金额须与最后报价明细表的合计金额相等，否则须在规定时间内按最后报价金额调整最后报价明细表的金额。</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3、所有价格均用人民币表示，单位为元，精确到百分位。</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4、报价一经涂改，应在涂改处加盖单位公章或者由法定代表人或授权委托人签字，否则其报价无效。</w:t>
      </w:r>
    </w:p>
    <w:p>
      <w:pPr>
        <w:spacing w:line="360" w:lineRule="exact"/>
        <w:ind w:firstLine="420" w:firstLineChars="200"/>
        <w:rPr>
          <w:rFonts w:hint="eastAsia" w:ascii="宋体" w:hAnsi="宋体" w:cs="仿宋_GB2312"/>
          <w:color w:val="auto"/>
          <w:szCs w:val="21"/>
          <w:highlight w:val="none"/>
        </w:rPr>
      </w:pPr>
      <w:r>
        <w:rPr>
          <w:rFonts w:hint="eastAsia" w:ascii="宋体" w:hAnsi="宋体" w:cs="宋体"/>
          <w:color w:val="auto"/>
          <w:kern w:val="0"/>
          <w:szCs w:val="21"/>
          <w:highlight w:val="none"/>
        </w:rPr>
        <w:t>5</w:t>
      </w:r>
      <w:r>
        <w:rPr>
          <w:rFonts w:hint="eastAsia" w:ascii="宋体" w:hAnsi="宋体"/>
          <w:color w:val="auto"/>
          <w:szCs w:val="21"/>
          <w:highlight w:val="none"/>
        </w:rPr>
        <w:t>、本表为最后报价时作为最后报价格式提供，无须在首次响应文件中体现。</w:t>
      </w:r>
    </w:p>
    <w:p>
      <w:pPr>
        <w:spacing w:line="360" w:lineRule="exact"/>
        <w:ind w:firstLine="6090" w:firstLineChars="2900"/>
        <w:rPr>
          <w:rFonts w:hint="eastAsia" w:ascii="宋体" w:hAnsi="宋体"/>
          <w:color w:val="auto"/>
          <w:szCs w:val="21"/>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spacing w:line="360" w:lineRule="exact"/>
        <w:rPr>
          <w:rFonts w:hint="eastAsia" w:ascii="宋体" w:hAnsi="宋体" w:cs="宋体"/>
          <w:b/>
          <w:color w:val="auto"/>
          <w:sz w:val="24"/>
          <w:highlight w:val="none"/>
        </w:rPr>
        <w:sectPr>
          <w:pgSz w:w="11906" w:h="16838"/>
          <w:pgMar w:top="1134" w:right="1134" w:bottom="1134" w:left="1134" w:header="720" w:footer="720" w:gutter="0"/>
          <w:cols w:space="0" w:num="1"/>
          <w:docGrid w:type="lines" w:linePitch="312" w:charSpace="0"/>
        </w:sectPr>
      </w:pPr>
    </w:p>
    <w:p>
      <w:pPr>
        <w:spacing w:line="360" w:lineRule="exact"/>
        <w:rPr>
          <w:rFonts w:hint="eastAsia" w:ascii="宋体" w:hAnsi="宋体" w:cs="宋体"/>
          <w:b/>
          <w:color w:val="auto"/>
          <w:sz w:val="24"/>
          <w:highlight w:val="none"/>
        </w:rPr>
      </w:pPr>
      <w:r>
        <w:rPr>
          <w:rFonts w:hint="eastAsia" w:ascii="宋体" w:hAnsi="宋体" w:cs="宋体"/>
          <w:b/>
          <w:color w:val="auto"/>
          <w:sz w:val="24"/>
          <w:highlight w:val="none"/>
        </w:rPr>
        <w:t>三、中小企业声明函格式</w:t>
      </w:r>
    </w:p>
    <w:p>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中小企业声明函</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说明：</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1、本声明函主要供参加政府采购活动的中小企业填写，非中小企业无需填写。</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2、小型、微型企业提供中型企业提供的货物的，视同为中型企业。</w:t>
      </w:r>
    </w:p>
    <w:p>
      <w:pPr>
        <w:spacing w:line="360" w:lineRule="exact"/>
        <w:ind w:firstLine="420" w:firstLineChars="200"/>
        <w:rPr>
          <w:rFonts w:hint="eastAsia" w:ascii="宋体" w:hAnsi="宋体"/>
          <w:color w:val="auto"/>
          <w:szCs w:val="21"/>
          <w:highlight w:val="none"/>
        </w:rPr>
      </w:pPr>
    </w:p>
    <w:p>
      <w:pPr>
        <w:spacing w:line="360" w:lineRule="exact"/>
        <w:ind w:firstLine="420" w:firstLineChars="200"/>
        <w:rPr>
          <w:rFonts w:hint="eastAsia" w:ascii="宋体" w:hAnsi="宋体"/>
          <w:color w:val="auto"/>
          <w:szCs w:val="21"/>
          <w:highlight w:val="none"/>
        </w:rPr>
      </w:pP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本公司（联合体）郑重声明，根据《政府采购促进中小企业发展管理办法》（财库﹝2020﹞46号）的规定，本公司（联合体）参加</w:t>
      </w:r>
      <w:r>
        <w:rPr>
          <w:rFonts w:hint="eastAsia" w:ascii="宋体" w:hAnsi="宋体"/>
          <w:color w:val="auto"/>
          <w:szCs w:val="21"/>
          <w:highlight w:val="none"/>
          <w:u w:val="single"/>
        </w:rPr>
        <w:t xml:space="preserve">    （单位名称）   </w:t>
      </w:r>
      <w:r>
        <w:rPr>
          <w:rFonts w:hint="eastAsia" w:ascii="宋体" w:hAnsi="宋体"/>
          <w:color w:val="auto"/>
          <w:szCs w:val="21"/>
          <w:highlight w:val="none"/>
        </w:rPr>
        <w:t>的</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采购活动，提供的货物全部由符合政策要求的中小企业制造。相关企业（含联合体中的中小企业、签订分包意向协议的中小企业）的具体情况如下：</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 xml:space="preserve">   （标的名称）  </w:t>
      </w:r>
      <w:r>
        <w:rPr>
          <w:rFonts w:hint="eastAsia" w:ascii="宋体" w:hAnsi="宋体"/>
          <w:color w:val="auto"/>
          <w:szCs w:val="21"/>
          <w:highlight w:val="none"/>
        </w:rPr>
        <w:t>，属于</w:t>
      </w:r>
      <w:r>
        <w:rPr>
          <w:rFonts w:hint="eastAsia" w:ascii="宋体" w:hAnsi="宋体"/>
          <w:color w:val="auto"/>
          <w:szCs w:val="21"/>
          <w:highlight w:val="none"/>
          <w:u w:val="single"/>
        </w:rPr>
        <w:t xml:space="preserve"> （采购文件中明确的所属行业） </w:t>
      </w:r>
      <w:r>
        <w:rPr>
          <w:rFonts w:hint="eastAsia" w:ascii="宋体" w:hAnsi="宋体"/>
          <w:color w:val="auto"/>
          <w:szCs w:val="21"/>
          <w:highlight w:val="none"/>
        </w:rPr>
        <w:t>行业；制造商为</w:t>
      </w:r>
      <w:r>
        <w:rPr>
          <w:rFonts w:hint="eastAsia" w:ascii="宋体" w:hAnsi="宋体"/>
          <w:color w:val="auto"/>
          <w:szCs w:val="21"/>
          <w:highlight w:val="none"/>
          <w:u w:val="single"/>
        </w:rPr>
        <w:t xml:space="preserve"> （企业名称） </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 xml:space="preserve">   （标的名称）  </w:t>
      </w:r>
      <w:r>
        <w:rPr>
          <w:rFonts w:hint="eastAsia" w:ascii="宋体" w:hAnsi="宋体"/>
          <w:color w:val="auto"/>
          <w:szCs w:val="21"/>
          <w:highlight w:val="none"/>
        </w:rPr>
        <w:t>，属于</w:t>
      </w:r>
      <w:r>
        <w:rPr>
          <w:rFonts w:hint="eastAsia" w:ascii="宋体" w:hAnsi="宋体"/>
          <w:color w:val="auto"/>
          <w:szCs w:val="21"/>
          <w:highlight w:val="none"/>
          <w:u w:val="single"/>
        </w:rPr>
        <w:t xml:space="preserve"> （采购文件中明确的所属行业） </w:t>
      </w:r>
      <w:r>
        <w:rPr>
          <w:rFonts w:hint="eastAsia" w:ascii="宋体" w:hAnsi="宋体"/>
          <w:color w:val="auto"/>
          <w:szCs w:val="21"/>
          <w:highlight w:val="none"/>
        </w:rPr>
        <w:t>行业；制造商为</w:t>
      </w:r>
      <w:r>
        <w:rPr>
          <w:rFonts w:hint="eastAsia" w:ascii="宋体" w:hAnsi="宋体"/>
          <w:color w:val="auto"/>
          <w:szCs w:val="21"/>
          <w:highlight w:val="none"/>
          <w:u w:val="single"/>
        </w:rPr>
        <w:t xml:space="preserve"> （企业名称） </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以上企业，不属于大企业的分支机构，不存在控股股东为大企业的情形，也不存在与大企业的负责人为同一人的情形。</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pPr>
        <w:spacing w:line="360" w:lineRule="exact"/>
        <w:ind w:firstLine="3150" w:firstLineChars="1500"/>
        <w:rPr>
          <w:rFonts w:hint="eastAsia" w:ascii="宋体" w:hAnsi="宋体"/>
          <w:color w:val="auto"/>
          <w:szCs w:val="21"/>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spacing w:line="360" w:lineRule="exact"/>
        <w:ind w:firstLine="420" w:firstLineChars="200"/>
        <w:rPr>
          <w:rFonts w:hint="eastAsia" w:ascii="宋体" w:hAnsi="宋体"/>
          <w:color w:val="auto"/>
          <w:szCs w:val="21"/>
          <w:highlight w:val="none"/>
        </w:rPr>
      </w:pPr>
    </w:p>
    <w:p>
      <w:pPr>
        <w:spacing w:line="360" w:lineRule="exact"/>
        <w:ind w:firstLine="420" w:firstLineChars="200"/>
        <w:rPr>
          <w:rFonts w:hint="eastAsia" w:ascii="宋体" w:hAnsi="宋体"/>
          <w:color w:val="auto"/>
          <w:szCs w:val="21"/>
          <w:highlight w:val="none"/>
        </w:rPr>
      </w:pPr>
    </w:p>
    <w:p>
      <w:pPr>
        <w:spacing w:line="360" w:lineRule="exact"/>
        <w:ind w:firstLine="420" w:firstLineChars="200"/>
        <w:rPr>
          <w:rFonts w:hint="eastAsia" w:ascii="宋体" w:hAnsi="宋体"/>
          <w:color w:val="auto"/>
          <w:szCs w:val="21"/>
          <w:highlight w:val="none"/>
        </w:rPr>
      </w:pP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注：</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1、从业人员、营业收入、资产总额填报上一年度数据，无上一年度数据的新成立企业可不填报。</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2、请根据自己的真实情况出具《中小企业声明函》。依法享受中小企业优惠政策的，采购人或者采购代理机构在公告中标结果时，同时公告其《中小企业声明函》，接受社会监督。</w:t>
      </w:r>
    </w:p>
    <w:p>
      <w:pPr>
        <w:spacing w:line="360" w:lineRule="exact"/>
        <w:ind w:firstLine="360" w:firstLineChars="200"/>
        <w:jc w:val="left"/>
        <w:rPr>
          <w:rFonts w:hint="eastAsia" w:ascii="宋体" w:hAnsi="宋体"/>
          <w:color w:val="auto"/>
          <w:sz w:val="18"/>
          <w:szCs w:val="18"/>
          <w:highlight w:val="none"/>
        </w:rPr>
      </w:pPr>
    </w:p>
    <w:p>
      <w:pPr>
        <w:spacing w:line="360" w:lineRule="exact"/>
        <w:ind w:firstLine="360" w:firstLineChars="200"/>
        <w:jc w:val="left"/>
        <w:rPr>
          <w:rFonts w:hint="eastAsia" w:ascii="宋体" w:hAnsi="宋体"/>
          <w:color w:val="auto"/>
          <w:sz w:val="18"/>
          <w:szCs w:val="18"/>
          <w:highlight w:val="none"/>
        </w:rPr>
      </w:pPr>
    </w:p>
    <w:p>
      <w:pPr>
        <w:spacing w:line="360" w:lineRule="exact"/>
        <w:jc w:val="left"/>
        <w:rPr>
          <w:rFonts w:hint="eastAsia" w:ascii="宋体" w:hAnsi="宋体"/>
          <w:color w:val="auto"/>
          <w:sz w:val="18"/>
          <w:szCs w:val="18"/>
          <w:highlight w:val="none"/>
        </w:rPr>
      </w:pPr>
    </w:p>
    <w:p>
      <w:pPr>
        <w:spacing w:line="360" w:lineRule="exact"/>
        <w:jc w:val="left"/>
        <w:rPr>
          <w:rFonts w:hint="eastAsia" w:ascii="宋体" w:hAnsi="宋体"/>
          <w:color w:val="auto"/>
          <w:sz w:val="18"/>
          <w:szCs w:val="18"/>
          <w:highlight w:val="none"/>
        </w:rPr>
      </w:pPr>
    </w:p>
    <w:p>
      <w:pPr>
        <w:tabs>
          <w:tab w:val="left" w:pos="4860"/>
        </w:tabs>
        <w:spacing w:line="360" w:lineRule="exact"/>
        <w:ind w:right="1560" w:firstLine="420" w:firstLineChars="200"/>
        <w:jc w:val="center"/>
        <w:rPr>
          <w:rFonts w:hint="eastAsia" w:ascii="宋体" w:hAnsi="宋体"/>
          <w:color w:val="auto"/>
          <w:szCs w:val="21"/>
          <w:highlight w:val="none"/>
        </w:rPr>
      </w:pPr>
    </w:p>
    <w:p>
      <w:pPr>
        <w:tabs>
          <w:tab w:val="left" w:pos="4860"/>
        </w:tabs>
        <w:spacing w:line="360" w:lineRule="exact"/>
        <w:ind w:right="1560" w:firstLine="420" w:firstLineChars="200"/>
        <w:jc w:val="center"/>
        <w:rPr>
          <w:rFonts w:hint="eastAsia" w:ascii="宋体" w:hAnsi="宋体"/>
          <w:color w:val="auto"/>
          <w:szCs w:val="21"/>
          <w:highlight w:val="none"/>
        </w:rPr>
      </w:pPr>
    </w:p>
    <w:p>
      <w:pPr>
        <w:tabs>
          <w:tab w:val="left" w:pos="4860"/>
        </w:tabs>
        <w:spacing w:line="360" w:lineRule="exact"/>
        <w:ind w:right="1560" w:firstLine="420" w:firstLineChars="200"/>
        <w:jc w:val="center"/>
        <w:rPr>
          <w:rFonts w:hint="eastAsia" w:ascii="宋体" w:hAnsi="宋体"/>
          <w:color w:val="auto"/>
          <w:szCs w:val="21"/>
          <w:highlight w:val="none"/>
        </w:rPr>
      </w:pPr>
    </w:p>
    <w:p>
      <w:pPr>
        <w:tabs>
          <w:tab w:val="left" w:pos="4860"/>
        </w:tabs>
        <w:spacing w:line="360" w:lineRule="exact"/>
        <w:ind w:right="1560" w:firstLine="420" w:firstLineChars="200"/>
        <w:jc w:val="center"/>
        <w:rPr>
          <w:rFonts w:hint="eastAsia" w:ascii="宋体" w:hAnsi="宋体"/>
          <w:color w:val="auto"/>
          <w:szCs w:val="21"/>
          <w:highlight w:val="none"/>
        </w:rPr>
      </w:pPr>
    </w:p>
    <w:p>
      <w:pPr>
        <w:tabs>
          <w:tab w:val="left" w:pos="4860"/>
        </w:tabs>
        <w:spacing w:line="360" w:lineRule="exact"/>
        <w:ind w:right="1560" w:firstLine="420" w:firstLineChars="200"/>
        <w:jc w:val="center"/>
        <w:rPr>
          <w:rFonts w:hint="eastAsia" w:ascii="宋体" w:hAnsi="宋体"/>
          <w:color w:val="auto"/>
          <w:szCs w:val="21"/>
          <w:highlight w:val="none"/>
        </w:rPr>
      </w:pPr>
    </w:p>
    <w:p>
      <w:pPr>
        <w:tabs>
          <w:tab w:val="left" w:pos="4860"/>
        </w:tabs>
        <w:spacing w:line="360" w:lineRule="exact"/>
        <w:ind w:right="1560" w:firstLine="420" w:firstLineChars="200"/>
        <w:jc w:val="center"/>
        <w:rPr>
          <w:rFonts w:hint="eastAsia" w:ascii="宋体" w:hAnsi="宋体"/>
          <w:color w:val="auto"/>
          <w:szCs w:val="21"/>
          <w:highlight w:val="none"/>
        </w:rPr>
      </w:pPr>
    </w:p>
    <w:p>
      <w:pPr>
        <w:spacing w:line="360" w:lineRule="exact"/>
        <w:rPr>
          <w:rFonts w:hint="eastAsia" w:ascii="宋体" w:hAnsi="宋体" w:cs="宋体"/>
          <w:b/>
          <w:color w:val="auto"/>
          <w:sz w:val="24"/>
          <w:highlight w:val="none"/>
        </w:rPr>
      </w:pPr>
      <w:bookmarkStart w:id="32" w:name="OLE_LINK13"/>
      <w:bookmarkStart w:id="33" w:name="OLE_LINK14"/>
      <w:r>
        <w:rPr>
          <w:rFonts w:hint="eastAsia" w:ascii="宋体" w:hAnsi="宋体" w:cs="宋体"/>
          <w:b/>
          <w:color w:val="auto"/>
          <w:sz w:val="24"/>
          <w:highlight w:val="none"/>
        </w:rPr>
        <w:t>四、残疾人福利性单位声明函格式</w:t>
      </w:r>
    </w:p>
    <w:p>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残疾人福利性单位声明函</w:t>
      </w:r>
    </w:p>
    <w:bookmarkEnd w:id="32"/>
    <w:bookmarkEnd w:id="33"/>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exact"/>
        <w:ind w:firstLine="420" w:firstLineChars="200"/>
        <w:rPr>
          <w:rFonts w:hint="eastAsia" w:ascii="宋体" w:hAnsi="宋体"/>
          <w:color w:val="auto"/>
          <w:szCs w:val="21"/>
          <w:highlight w:val="none"/>
        </w:rPr>
      </w:pPr>
    </w:p>
    <w:p>
      <w:pPr>
        <w:spacing w:line="360" w:lineRule="exact"/>
        <w:ind w:firstLine="420" w:firstLineChars="200"/>
        <w:rPr>
          <w:rFonts w:hint="eastAsia" w:ascii="宋体" w:hAnsi="宋体"/>
          <w:color w:val="auto"/>
          <w:szCs w:val="21"/>
          <w:highlight w:val="none"/>
        </w:rPr>
      </w:pPr>
    </w:p>
    <w:p>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pPr>
        <w:pStyle w:val="20"/>
        <w:spacing w:line="480" w:lineRule="auto"/>
        <w:ind w:right="200" w:firstLine="480"/>
        <w:jc w:val="right"/>
        <w:rPr>
          <w:rFonts w:hint="eastAsia" w:hAnsi="宋体"/>
          <w:b/>
          <w:color w:val="auto"/>
          <w:sz w:val="24"/>
          <w:szCs w:val="24"/>
          <w:highlight w:val="none"/>
        </w:rPr>
      </w:pPr>
      <w:r>
        <w:rPr>
          <w:color w:val="auto"/>
          <w:sz w:val="24"/>
          <w:szCs w:val="24"/>
          <w:highlight w:val="none"/>
        </w:rPr>
        <w:t xml:space="preserve">         年</w:t>
      </w:r>
      <w:r>
        <w:rPr>
          <w:rFonts w:hint="eastAsia"/>
          <w:color w:val="auto"/>
          <w:sz w:val="24"/>
          <w:szCs w:val="24"/>
          <w:highlight w:val="none"/>
        </w:rPr>
        <w:t xml:space="preserve"> </w:t>
      </w:r>
      <w:r>
        <w:rPr>
          <w:color w:val="auto"/>
          <w:sz w:val="24"/>
          <w:szCs w:val="24"/>
          <w:highlight w:val="none"/>
        </w:rPr>
        <w:t xml:space="preserve">   月    日</w:t>
      </w:r>
    </w:p>
    <w:p>
      <w:pPr>
        <w:spacing w:line="360" w:lineRule="exact"/>
        <w:ind w:firstLine="420" w:firstLineChars="200"/>
        <w:rPr>
          <w:rFonts w:hint="eastAsia" w:ascii="宋体" w:hAnsi="宋体"/>
          <w:color w:val="auto"/>
          <w:szCs w:val="21"/>
          <w:highlight w:val="none"/>
        </w:rPr>
      </w:pP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注：请根据自己的真实情况出具《残疾人福利性单位声明函》。依法享受中小企业优惠政策的，采购人或者采购代理机构在公告中标结果时，同时公告其《残疾人福利性单位声明函》，接受社会监督。 </w:t>
      </w:r>
    </w:p>
    <w:p>
      <w:pPr>
        <w:spacing w:line="360" w:lineRule="exact"/>
        <w:jc w:val="center"/>
        <w:rPr>
          <w:rFonts w:hint="eastAsia" w:ascii="宋体" w:hAnsi="宋体"/>
          <w:color w:val="auto"/>
          <w:sz w:val="32"/>
          <w:szCs w:val="32"/>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spacing w:line="500" w:lineRule="exact"/>
        <w:jc w:val="center"/>
        <w:rPr>
          <w:rFonts w:hint="eastAsia" w:ascii="宋体" w:hAnsi="宋体"/>
          <w:color w:val="auto"/>
          <w:sz w:val="44"/>
          <w:szCs w:val="20"/>
          <w:highlight w:val="none"/>
        </w:rPr>
      </w:pPr>
    </w:p>
    <w:p>
      <w:pPr>
        <w:pStyle w:val="3"/>
        <w:rPr>
          <w:rFonts w:hint="eastAsia" w:ascii="宋体" w:hAnsi="宋体"/>
          <w:color w:val="auto"/>
          <w:highlight w:val="none"/>
        </w:rPr>
      </w:pPr>
      <w:bookmarkStart w:id="34" w:name="_Toc336"/>
      <w:r>
        <w:rPr>
          <w:rFonts w:hint="eastAsia" w:ascii="宋体" w:hAnsi="宋体"/>
          <w:color w:val="auto"/>
          <w:highlight w:val="none"/>
        </w:rPr>
        <w:t>第五章 合同条款（主要条款）</w:t>
      </w:r>
      <w:bookmarkEnd w:id="34"/>
    </w:p>
    <w:p>
      <w:pPr>
        <w:pStyle w:val="129"/>
        <w:jc w:val="center"/>
        <w:rPr>
          <w:rFonts w:hint="eastAsia" w:ascii="宋体" w:hAnsi="宋体" w:eastAsia="宋体" w:cs="宋体"/>
          <w:color w:val="auto"/>
          <w:highlight w:val="none"/>
        </w:rPr>
      </w:pPr>
      <w:bookmarkStart w:id="35" w:name="_Toc373478199"/>
      <w:bookmarkStart w:id="36" w:name="_Toc389065255"/>
      <w:bookmarkStart w:id="37" w:name="_Toc407135191"/>
      <w:bookmarkStart w:id="38" w:name="_Toc373227552"/>
      <w:bookmarkStart w:id="39" w:name="_Toc78449777"/>
      <w:bookmarkStart w:id="40" w:name="_Toc296890982"/>
      <w:bookmarkStart w:id="41" w:name="_Toc1756478213"/>
      <w:bookmarkStart w:id="42" w:name="_Toc351203480"/>
      <w:bookmarkStart w:id="43" w:name="_Toc724920571"/>
      <w:bookmarkStart w:id="44" w:name="_Toc296503025"/>
    </w:p>
    <w:p>
      <w:pPr>
        <w:pStyle w:val="130"/>
        <w:adjustRightInd w:val="0"/>
        <w:snapToGrid w:val="0"/>
        <w:spacing w:line="800" w:lineRule="exact"/>
        <w:contextualSpacing/>
        <w:jc w:val="center"/>
        <w:rPr>
          <w:rFonts w:hint="eastAsia" w:ascii="宋体" w:hAnsi="宋体" w:cs="宋体"/>
          <w:b/>
          <w:bCs/>
          <w:color w:val="auto"/>
          <w:sz w:val="44"/>
          <w:szCs w:val="44"/>
          <w:highlight w:val="none"/>
        </w:rPr>
      </w:pPr>
      <w:bookmarkStart w:id="45" w:name="_Toc74156273"/>
      <w:bookmarkStart w:id="46" w:name="_Toc403396429"/>
      <w:bookmarkStart w:id="47" w:name="_Toc74156228"/>
    </w:p>
    <w:p>
      <w:pPr>
        <w:pStyle w:val="130"/>
        <w:adjustRightInd w:val="0"/>
        <w:snapToGrid w:val="0"/>
        <w:spacing w:line="800" w:lineRule="exact"/>
        <w:contextualSpacing/>
        <w:jc w:val="center"/>
        <w:rPr>
          <w:rFonts w:hint="eastAsia" w:ascii="宋体" w:hAnsi="宋体" w:cs="宋体"/>
          <w:b/>
          <w:color w:val="auto"/>
          <w:sz w:val="72"/>
          <w:szCs w:val="72"/>
          <w:highlight w:val="none"/>
        </w:rPr>
      </w:pPr>
      <w:r>
        <w:rPr>
          <w:rFonts w:hint="eastAsia" w:ascii="宋体" w:hAnsi="宋体" w:cs="宋体"/>
          <w:b/>
          <w:bCs/>
          <w:color w:val="auto"/>
          <w:sz w:val="84"/>
          <w:szCs w:val="84"/>
          <w:highlight w:val="none"/>
        </w:rPr>
        <w:t>政府采购合同</w:t>
      </w:r>
    </w:p>
    <w:p>
      <w:pPr>
        <w:pStyle w:val="130"/>
        <w:adjustRightInd w:val="0"/>
        <w:snapToGrid w:val="0"/>
        <w:spacing w:line="800" w:lineRule="exact"/>
        <w:contextualSpacing/>
        <w:rPr>
          <w:rFonts w:hint="eastAsia" w:ascii="宋体" w:hAnsi="宋体" w:cs="宋体"/>
          <w:b/>
          <w:color w:val="auto"/>
          <w:sz w:val="32"/>
          <w:szCs w:val="32"/>
          <w:highlight w:val="none"/>
        </w:rPr>
      </w:pPr>
    </w:p>
    <w:p>
      <w:pPr>
        <w:spacing w:line="360" w:lineRule="exact"/>
        <w:ind w:left="2202" w:leftChars="284" w:hanging="1606" w:hangingChars="500"/>
        <w:rPr>
          <w:rFonts w:hint="eastAsia" w:ascii="宋体" w:hAnsi="宋体" w:cs="宋体"/>
          <w:b/>
          <w:color w:val="auto"/>
          <w:sz w:val="32"/>
          <w:szCs w:val="32"/>
          <w:highlight w:val="none"/>
        </w:rPr>
      </w:pPr>
      <w:r>
        <w:rPr>
          <w:rFonts w:hint="eastAsia" w:ascii="宋体" w:hAnsi="宋体" w:cs="宋体"/>
          <w:b/>
          <w:bCs/>
          <w:color w:val="auto"/>
          <w:sz w:val="32"/>
          <w:szCs w:val="32"/>
          <w:highlight w:val="none"/>
        </w:rPr>
        <w:t>项目名称：</w:t>
      </w:r>
      <w:r>
        <w:rPr>
          <w:rFonts w:hint="eastAsia" w:ascii="宋体" w:hAnsi="宋体" w:cs="宋体"/>
          <w:b/>
          <w:color w:val="auto"/>
          <w:sz w:val="32"/>
          <w:szCs w:val="32"/>
          <w:highlight w:val="none"/>
        </w:rPr>
        <w:t xml:space="preserve"> </w:t>
      </w:r>
    </w:p>
    <w:p>
      <w:pPr>
        <w:spacing w:line="360" w:lineRule="exact"/>
        <w:ind w:firstLine="643" w:firstLineChars="200"/>
        <w:rPr>
          <w:rFonts w:hint="eastAsia" w:ascii="宋体" w:hAnsi="宋体" w:cs="宋体"/>
          <w:b/>
          <w:color w:val="auto"/>
          <w:sz w:val="32"/>
          <w:szCs w:val="32"/>
          <w:highlight w:val="none"/>
        </w:rPr>
      </w:pPr>
    </w:p>
    <w:p>
      <w:pPr>
        <w:spacing w:line="360" w:lineRule="exact"/>
        <w:ind w:firstLine="643" w:firstLineChars="200"/>
        <w:rPr>
          <w:rFonts w:hint="eastAsia" w:ascii="宋体" w:hAnsi="宋体" w:cs="宋体"/>
          <w:b/>
          <w:color w:val="auto"/>
          <w:sz w:val="32"/>
          <w:szCs w:val="32"/>
          <w:highlight w:val="none"/>
        </w:rPr>
      </w:pPr>
    </w:p>
    <w:p>
      <w:pPr>
        <w:spacing w:line="360" w:lineRule="exact"/>
        <w:ind w:firstLine="643"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w:t>
      </w:r>
      <w:r>
        <w:rPr>
          <w:rFonts w:hint="eastAsia" w:ascii="宋体" w:hAnsi="宋体" w:cs="宋体"/>
          <w:b/>
          <w:bCs/>
          <w:color w:val="auto"/>
          <w:sz w:val="32"/>
          <w:szCs w:val="32"/>
          <w:highlight w:val="none"/>
        </w:rPr>
        <w:t xml:space="preserve"> </w:t>
      </w:r>
    </w:p>
    <w:p>
      <w:pPr>
        <w:spacing w:line="360" w:lineRule="exact"/>
        <w:ind w:firstLine="643" w:firstLineChars="200"/>
        <w:rPr>
          <w:rFonts w:hint="eastAsia" w:ascii="宋体" w:hAnsi="宋体" w:cs="宋体"/>
          <w:b/>
          <w:bCs/>
          <w:color w:val="auto"/>
          <w:sz w:val="32"/>
          <w:szCs w:val="32"/>
          <w:highlight w:val="none"/>
        </w:rPr>
      </w:pPr>
    </w:p>
    <w:p>
      <w:pPr>
        <w:spacing w:line="360" w:lineRule="exact"/>
        <w:ind w:firstLine="643" w:firstLineChars="200"/>
        <w:rPr>
          <w:rFonts w:hint="eastAsia" w:ascii="宋体" w:hAnsi="宋体" w:cs="宋体"/>
          <w:b/>
          <w:bCs/>
          <w:color w:val="auto"/>
          <w:sz w:val="32"/>
          <w:szCs w:val="32"/>
          <w:highlight w:val="none"/>
        </w:rPr>
      </w:pPr>
    </w:p>
    <w:p>
      <w:pPr>
        <w:spacing w:line="360" w:lineRule="exact"/>
        <w:ind w:firstLine="643" w:firstLineChars="2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合同编号： </w:t>
      </w:r>
    </w:p>
    <w:p>
      <w:pPr>
        <w:spacing w:line="360" w:lineRule="exact"/>
        <w:ind w:firstLine="643" w:firstLineChars="200"/>
        <w:rPr>
          <w:rFonts w:hint="eastAsia" w:ascii="宋体" w:hAnsi="宋体" w:cs="宋体"/>
          <w:b/>
          <w:bCs/>
          <w:color w:val="auto"/>
          <w:sz w:val="32"/>
          <w:szCs w:val="32"/>
          <w:highlight w:val="none"/>
        </w:rPr>
      </w:pPr>
    </w:p>
    <w:p>
      <w:pPr>
        <w:spacing w:line="360" w:lineRule="exact"/>
        <w:ind w:firstLine="643" w:firstLineChars="200"/>
        <w:rPr>
          <w:rFonts w:hint="eastAsia" w:ascii="宋体" w:hAnsi="宋体" w:cs="宋体"/>
          <w:b/>
          <w:bCs/>
          <w:color w:val="auto"/>
          <w:sz w:val="32"/>
          <w:szCs w:val="32"/>
          <w:highlight w:val="none"/>
        </w:rPr>
      </w:pPr>
    </w:p>
    <w:p>
      <w:pPr>
        <w:spacing w:line="360" w:lineRule="exact"/>
        <w:ind w:firstLine="643" w:firstLineChars="2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合同甲方：</w:t>
      </w:r>
    </w:p>
    <w:p>
      <w:pPr>
        <w:spacing w:line="360" w:lineRule="exact"/>
        <w:ind w:firstLine="643" w:firstLineChars="200"/>
        <w:rPr>
          <w:rFonts w:hint="eastAsia" w:ascii="宋体" w:hAnsi="宋体" w:cs="宋体"/>
          <w:b/>
          <w:bCs/>
          <w:color w:val="auto"/>
          <w:sz w:val="32"/>
          <w:szCs w:val="32"/>
          <w:highlight w:val="none"/>
        </w:rPr>
      </w:pPr>
    </w:p>
    <w:p>
      <w:pPr>
        <w:spacing w:line="360" w:lineRule="exact"/>
        <w:ind w:firstLine="643" w:firstLineChars="200"/>
        <w:rPr>
          <w:rFonts w:hint="eastAsia" w:ascii="宋体" w:hAnsi="宋体" w:cs="宋体"/>
          <w:b/>
          <w:bCs/>
          <w:color w:val="auto"/>
          <w:sz w:val="32"/>
          <w:szCs w:val="32"/>
          <w:highlight w:val="none"/>
        </w:rPr>
      </w:pPr>
    </w:p>
    <w:p>
      <w:pPr>
        <w:spacing w:line="360" w:lineRule="exact"/>
        <w:ind w:firstLine="643" w:firstLineChars="2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合同乙方：  </w:t>
      </w:r>
    </w:p>
    <w:p>
      <w:pPr>
        <w:spacing w:line="360" w:lineRule="exact"/>
        <w:ind w:firstLine="643" w:firstLineChars="200"/>
        <w:rPr>
          <w:rFonts w:hint="eastAsia" w:ascii="宋体" w:hAnsi="宋体" w:cs="宋体"/>
          <w:b/>
          <w:bCs/>
          <w:color w:val="auto"/>
          <w:sz w:val="32"/>
          <w:szCs w:val="32"/>
          <w:highlight w:val="none"/>
        </w:rPr>
      </w:pPr>
    </w:p>
    <w:p>
      <w:pPr>
        <w:spacing w:line="360" w:lineRule="exact"/>
        <w:ind w:firstLine="643" w:firstLineChars="200"/>
        <w:rPr>
          <w:rFonts w:hint="eastAsia" w:ascii="宋体" w:hAnsi="宋体" w:cs="宋体"/>
          <w:b/>
          <w:bCs/>
          <w:color w:val="auto"/>
          <w:sz w:val="32"/>
          <w:szCs w:val="32"/>
          <w:highlight w:val="none"/>
        </w:rPr>
      </w:pPr>
    </w:p>
    <w:p>
      <w:pPr>
        <w:spacing w:line="360" w:lineRule="exact"/>
        <w:ind w:firstLine="643" w:firstLineChars="2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合同签订时间：     年  月  日</w:t>
      </w:r>
    </w:p>
    <w:p>
      <w:pPr>
        <w:pStyle w:val="130"/>
        <w:adjustRightInd w:val="0"/>
        <w:snapToGrid w:val="0"/>
        <w:spacing w:line="800" w:lineRule="exact"/>
        <w:contextualSpacing/>
        <w:rPr>
          <w:rFonts w:hint="eastAsia" w:ascii="宋体" w:hAnsi="宋体" w:cs="宋体"/>
          <w:b/>
          <w:bCs/>
          <w:color w:val="auto"/>
          <w:sz w:val="32"/>
          <w:szCs w:val="32"/>
          <w:highlight w:val="none"/>
          <w:u w:val="single"/>
        </w:rPr>
      </w:pPr>
    </w:p>
    <w:p>
      <w:pPr>
        <w:pStyle w:val="130"/>
        <w:adjustRightInd w:val="0"/>
        <w:snapToGrid w:val="0"/>
        <w:spacing w:line="800" w:lineRule="exact"/>
        <w:contextualSpacing/>
        <w:rPr>
          <w:rFonts w:hint="eastAsia" w:ascii="宋体" w:hAnsi="宋体" w:cs="宋体"/>
          <w:b/>
          <w:bCs/>
          <w:color w:val="auto"/>
          <w:sz w:val="32"/>
          <w:szCs w:val="32"/>
          <w:highlight w:val="none"/>
          <w:u w:val="single"/>
        </w:rPr>
      </w:pPr>
    </w:p>
    <w:p>
      <w:pPr>
        <w:pStyle w:val="130"/>
        <w:adjustRightInd w:val="0"/>
        <w:snapToGrid w:val="0"/>
        <w:spacing w:line="800" w:lineRule="exact"/>
        <w:contextualSpacing/>
        <w:rPr>
          <w:rFonts w:hint="eastAsia" w:ascii="宋体" w:hAnsi="宋体" w:cs="宋体"/>
          <w:b/>
          <w:bCs/>
          <w:color w:val="auto"/>
          <w:sz w:val="28"/>
          <w:szCs w:val="28"/>
          <w:highlight w:val="none"/>
          <w:u w:val="single"/>
        </w:rPr>
      </w:pPr>
    </w:p>
    <w:p>
      <w:pPr>
        <w:pStyle w:val="130"/>
        <w:adjustRightInd w:val="0"/>
        <w:snapToGrid w:val="0"/>
        <w:spacing w:line="800" w:lineRule="exact"/>
        <w:contextualSpacing/>
        <w:rPr>
          <w:rFonts w:hint="eastAsia" w:ascii="宋体" w:hAnsi="宋体" w:cs="宋体"/>
          <w:b/>
          <w:bCs/>
          <w:color w:val="auto"/>
          <w:sz w:val="28"/>
          <w:szCs w:val="28"/>
          <w:highlight w:val="none"/>
          <w:u w:val="single"/>
        </w:rPr>
      </w:pPr>
    </w:p>
    <w:p>
      <w:pPr>
        <w:pStyle w:val="130"/>
        <w:adjustRightInd w:val="0"/>
        <w:snapToGrid w:val="0"/>
        <w:spacing w:line="800" w:lineRule="exact"/>
        <w:contextualSpacing/>
        <w:rPr>
          <w:rFonts w:hint="eastAsia" w:ascii="宋体" w:hAnsi="宋体" w:cs="宋体"/>
          <w:b/>
          <w:bCs/>
          <w:color w:val="auto"/>
          <w:sz w:val="28"/>
          <w:szCs w:val="28"/>
          <w:highlight w:val="none"/>
          <w:u w:val="single"/>
        </w:rPr>
      </w:pPr>
    </w:p>
    <w:bookmarkEnd w:id="45"/>
    <w:bookmarkEnd w:id="46"/>
    <w:bookmarkEnd w:id="47"/>
    <w:p>
      <w:pPr>
        <w:pStyle w:val="3"/>
        <w:spacing w:line="360" w:lineRule="exact"/>
        <w:rPr>
          <w:rFonts w:hint="eastAsia" w:ascii="宋体" w:hAnsi="宋体" w:cs="宋体"/>
          <w:color w:val="auto"/>
          <w:sz w:val="28"/>
          <w:szCs w:val="28"/>
          <w:highlight w:val="none"/>
        </w:rPr>
        <w:sectPr>
          <w:pgSz w:w="11906" w:h="16838"/>
          <w:pgMar w:top="1134" w:right="1134" w:bottom="1134" w:left="1134" w:header="720" w:footer="720" w:gutter="0"/>
          <w:cols w:space="0" w:num="1"/>
          <w:docGrid w:type="lines" w:linePitch="312" w:charSpace="0"/>
        </w:sectPr>
      </w:pPr>
    </w:p>
    <w:p>
      <w:pPr>
        <w:pStyle w:val="3"/>
        <w:spacing w:line="360" w:lineRule="exact"/>
        <w:rPr>
          <w:rFonts w:hint="eastAsia" w:ascii="宋体" w:hAnsi="宋体" w:cs="宋体"/>
          <w:color w:val="auto"/>
          <w:sz w:val="28"/>
          <w:szCs w:val="28"/>
          <w:highlight w:val="none"/>
        </w:rPr>
      </w:pPr>
      <w:bookmarkStart w:id="48" w:name="_Toc27904"/>
      <w:bookmarkStart w:id="49" w:name="_Toc10916"/>
      <w:bookmarkStart w:id="50" w:name="_Toc20923"/>
      <w:r>
        <w:rPr>
          <w:rFonts w:hint="eastAsia" w:ascii="宋体" w:hAnsi="宋体" w:cs="宋体"/>
          <w:color w:val="auto"/>
          <w:sz w:val="28"/>
          <w:szCs w:val="28"/>
          <w:highlight w:val="none"/>
        </w:rPr>
        <w:t>政府采购合同</w:t>
      </w:r>
      <w:bookmarkEnd w:id="48"/>
      <w:bookmarkEnd w:id="49"/>
      <w:r>
        <w:rPr>
          <w:rFonts w:hint="eastAsia" w:ascii="宋体" w:hAnsi="宋体" w:cs="宋体"/>
          <w:color w:val="auto"/>
          <w:sz w:val="28"/>
          <w:szCs w:val="28"/>
          <w:highlight w:val="none"/>
        </w:rPr>
        <w:t>（主要条款）</w:t>
      </w:r>
      <w:bookmarkEnd w:id="50"/>
    </w:p>
    <w:p>
      <w:pPr>
        <w:rPr>
          <w:color w:val="auto"/>
          <w:highlight w:val="none"/>
        </w:rPr>
      </w:pPr>
    </w:p>
    <w:p>
      <w:pPr>
        <w:spacing w:line="360" w:lineRule="exact"/>
        <w:rPr>
          <w:rFonts w:hint="eastAsia" w:ascii="宋体" w:hAnsi="宋体"/>
          <w:color w:val="auto"/>
          <w:szCs w:val="21"/>
          <w:highlight w:val="none"/>
        </w:rPr>
      </w:pPr>
      <w:bookmarkStart w:id="51" w:name="_Toc99768080"/>
      <w:r>
        <w:rPr>
          <w:rFonts w:hint="eastAsia" w:ascii="宋体" w:hAnsi="宋体"/>
          <w:color w:val="auto"/>
          <w:szCs w:val="21"/>
          <w:highlight w:val="none"/>
        </w:rPr>
        <w:t>采购单位（甲方）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采购计划号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exact"/>
        <w:rPr>
          <w:rFonts w:hint="eastAsia" w:ascii="宋体" w:hAnsi="宋体"/>
          <w:color w:val="auto"/>
          <w:szCs w:val="21"/>
          <w:highlight w:val="non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项目名称和编号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exact"/>
        <w:rPr>
          <w:rFonts w:hint="eastAsia" w:ascii="宋体" w:hAnsi="宋体"/>
          <w:color w:val="auto"/>
          <w:szCs w:val="21"/>
          <w:highlight w:val="none"/>
        </w:rPr>
      </w:pPr>
      <w:r>
        <w:rPr>
          <w:rFonts w:hint="eastAsia" w:ascii="宋体" w:hAnsi="宋体"/>
          <w:color w:val="auto"/>
          <w:szCs w:val="21"/>
          <w:highlight w:val="none"/>
        </w:rPr>
        <w:t xml:space="preserve">签订地点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签订时间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pStyle w:val="2"/>
        <w:spacing w:after="0" w:line="360" w:lineRule="exact"/>
        <w:ind w:firstLine="420" w:firstLineChars="200"/>
        <w:jc w:val="both"/>
        <w:rPr>
          <w:rFonts w:hint="eastAsia" w:hAnsi="宋体"/>
          <w:color w:val="auto"/>
          <w:kern w:val="2"/>
          <w:sz w:val="21"/>
          <w:szCs w:val="21"/>
          <w:highlight w:val="none"/>
        </w:rPr>
      </w:pP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根据《中华人民共和国政府采购法》、《中华人民共和国民法典》等法律、法规规定，按照招</w:t>
      </w:r>
      <w:r>
        <w:rPr>
          <w:rFonts w:hint="eastAsia" w:hAnsi="宋体"/>
          <w:color w:val="auto"/>
          <w:sz w:val="21"/>
          <w:highlight w:val="none"/>
          <w:lang w:eastAsia="zh-CN"/>
        </w:rPr>
        <w:t>响应文件</w:t>
      </w:r>
      <w:r>
        <w:rPr>
          <w:rFonts w:hint="eastAsia" w:hAnsi="宋体"/>
          <w:color w:val="auto"/>
          <w:sz w:val="21"/>
          <w:highlight w:val="none"/>
        </w:rPr>
        <w:t>规定条款和中标（成交）供应商承诺，甲乙双方签订本合同。</w:t>
      </w:r>
    </w:p>
    <w:p>
      <w:pPr>
        <w:snapToGrid w:val="0"/>
        <w:spacing w:line="440" w:lineRule="exact"/>
        <w:ind w:firstLine="422" w:firstLineChars="200"/>
        <w:rPr>
          <w:rFonts w:hAnsi="宋体"/>
          <w:b/>
          <w:color w:val="auto"/>
          <w:sz w:val="21"/>
          <w:highlight w:val="none"/>
        </w:rPr>
      </w:pPr>
      <w:r>
        <w:rPr>
          <w:rFonts w:hint="eastAsia" w:hAnsi="宋体"/>
          <w:b/>
          <w:color w:val="auto"/>
          <w:sz w:val="21"/>
          <w:highlight w:val="none"/>
        </w:rPr>
        <w:t>第一条　合同标的</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1.供货一览表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207"/>
        <w:gridCol w:w="1134"/>
        <w:gridCol w:w="760"/>
        <w:gridCol w:w="892"/>
        <w:gridCol w:w="125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636" w:type="dxa"/>
            <w:noWrap w:val="0"/>
            <w:vAlign w:val="center"/>
          </w:tcPr>
          <w:p>
            <w:pPr>
              <w:snapToGrid w:val="0"/>
              <w:spacing w:line="440" w:lineRule="exact"/>
              <w:jc w:val="center"/>
              <w:rPr>
                <w:rFonts w:hAnsi="宋体"/>
                <w:color w:val="auto"/>
                <w:sz w:val="21"/>
                <w:highlight w:val="none"/>
              </w:rPr>
            </w:pPr>
            <w:r>
              <w:rPr>
                <w:rFonts w:hint="eastAsia" w:hAnsi="宋体"/>
                <w:color w:val="auto"/>
                <w:sz w:val="21"/>
                <w:highlight w:val="none"/>
              </w:rPr>
              <w:t>序号</w:t>
            </w:r>
          </w:p>
        </w:tc>
        <w:tc>
          <w:tcPr>
            <w:tcW w:w="1207" w:type="dxa"/>
            <w:noWrap w:val="0"/>
            <w:vAlign w:val="center"/>
          </w:tcPr>
          <w:p>
            <w:pPr>
              <w:snapToGrid w:val="0"/>
              <w:spacing w:line="440" w:lineRule="exact"/>
              <w:jc w:val="center"/>
              <w:rPr>
                <w:rFonts w:hAnsi="宋体"/>
                <w:color w:val="auto"/>
                <w:sz w:val="21"/>
                <w:highlight w:val="none"/>
              </w:rPr>
            </w:pPr>
            <w:r>
              <w:rPr>
                <w:rFonts w:hint="eastAsia" w:hAnsi="宋体"/>
                <w:color w:val="auto"/>
                <w:sz w:val="21"/>
                <w:highlight w:val="none"/>
              </w:rPr>
              <w:t>产品名称</w:t>
            </w:r>
          </w:p>
        </w:tc>
        <w:tc>
          <w:tcPr>
            <w:tcW w:w="1134" w:type="dxa"/>
            <w:noWrap w:val="0"/>
            <w:vAlign w:val="center"/>
          </w:tcPr>
          <w:p>
            <w:pPr>
              <w:snapToGrid w:val="0"/>
              <w:spacing w:line="440" w:lineRule="exact"/>
              <w:jc w:val="center"/>
              <w:rPr>
                <w:rFonts w:hAnsi="宋体"/>
                <w:color w:val="auto"/>
                <w:sz w:val="21"/>
                <w:highlight w:val="none"/>
              </w:rPr>
            </w:pPr>
            <w:r>
              <w:rPr>
                <w:rFonts w:hint="eastAsia" w:hAnsi="宋体"/>
                <w:color w:val="auto"/>
                <w:sz w:val="21"/>
                <w:highlight w:val="none"/>
              </w:rPr>
              <w:t>商标品牌</w:t>
            </w:r>
          </w:p>
        </w:tc>
        <w:tc>
          <w:tcPr>
            <w:tcW w:w="1207" w:type="dxa"/>
            <w:noWrap w:val="0"/>
            <w:vAlign w:val="center"/>
          </w:tcPr>
          <w:p>
            <w:pPr>
              <w:snapToGrid w:val="0"/>
              <w:spacing w:line="440" w:lineRule="exact"/>
              <w:jc w:val="center"/>
              <w:rPr>
                <w:rFonts w:hAnsi="宋体"/>
                <w:color w:val="auto"/>
                <w:sz w:val="21"/>
                <w:highlight w:val="none"/>
              </w:rPr>
            </w:pPr>
            <w:r>
              <w:rPr>
                <w:rFonts w:hint="eastAsia" w:hAnsi="宋体"/>
                <w:color w:val="auto"/>
                <w:sz w:val="21"/>
                <w:highlight w:val="none"/>
              </w:rPr>
              <w:t>规格型号</w:t>
            </w:r>
          </w:p>
        </w:tc>
        <w:tc>
          <w:tcPr>
            <w:tcW w:w="1134" w:type="dxa"/>
            <w:noWrap w:val="0"/>
            <w:vAlign w:val="center"/>
          </w:tcPr>
          <w:p>
            <w:pPr>
              <w:snapToGrid w:val="0"/>
              <w:spacing w:line="440" w:lineRule="exact"/>
              <w:jc w:val="center"/>
              <w:rPr>
                <w:rFonts w:hAnsi="宋体"/>
                <w:color w:val="auto"/>
                <w:sz w:val="21"/>
                <w:highlight w:val="none"/>
              </w:rPr>
            </w:pPr>
            <w:r>
              <w:rPr>
                <w:rFonts w:hint="eastAsia" w:hAnsi="宋体"/>
                <w:color w:val="auto"/>
                <w:sz w:val="21"/>
                <w:highlight w:val="none"/>
              </w:rPr>
              <w:t>生产厂家</w:t>
            </w:r>
          </w:p>
        </w:tc>
        <w:tc>
          <w:tcPr>
            <w:tcW w:w="760" w:type="dxa"/>
            <w:noWrap w:val="0"/>
            <w:vAlign w:val="center"/>
          </w:tcPr>
          <w:p>
            <w:pPr>
              <w:snapToGrid w:val="0"/>
              <w:spacing w:line="440" w:lineRule="exact"/>
              <w:jc w:val="center"/>
              <w:rPr>
                <w:rFonts w:hAnsi="宋体"/>
                <w:color w:val="auto"/>
                <w:sz w:val="21"/>
                <w:highlight w:val="none"/>
              </w:rPr>
            </w:pPr>
            <w:r>
              <w:rPr>
                <w:rFonts w:hint="eastAsia" w:hAnsi="宋体"/>
                <w:color w:val="auto"/>
                <w:sz w:val="21"/>
                <w:highlight w:val="none"/>
              </w:rPr>
              <w:t>数量</w:t>
            </w:r>
          </w:p>
        </w:tc>
        <w:tc>
          <w:tcPr>
            <w:tcW w:w="892" w:type="dxa"/>
            <w:noWrap w:val="0"/>
            <w:vAlign w:val="center"/>
          </w:tcPr>
          <w:p>
            <w:pPr>
              <w:snapToGrid w:val="0"/>
              <w:spacing w:line="440" w:lineRule="exact"/>
              <w:jc w:val="center"/>
              <w:rPr>
                <w:rFonts w:hAnsi="宋体"/>
                <w:color w:val="auto"/>
                <w:sz w:val="21"/>
                <w:highlight w:val="none"/>
              </w:rPr>
            </w:pPr>
            <w:r>
              <w:rPr>
                <w:rFonts w:hint="eastAsia" w:hAnsi="宋体"/>
                <w:color w:val="auto"/>
                <w:sz w:val="21"/>
                <w:highlight w:val="none"/>
              </w:rPr>
              <w:t>单位</w:t>
            </w:r>
          </w:p>
        </w:tc>
        <w:tc>
          <w:tcPr>
            <w:tcW w:w="1253" w:type="dxa"/>
            <w:noWrap w:val="0"/>
            <w:vAlign w:val="center"/>
          </w:tcPr>
          <w:p>
            <w:pPr>
              <w:snapToGrid w:val="0"/>
              <w:spacing w:line="440" w:lineRule="exact"/>
              <w:jc w:val="center"/>
              <w:rPr>
                <w:rFonts w:hAnsi="宋体"/>
                <w:color w:val="auto"/>
                <w:sz w:val="21"/>
                <w:highlight w:val="none"/>
              </w:rPr>
            </w:pPr>
            <w:r>
              <w:rPr>
                <w:rFonts w:hint="eastAsia" w:hAnsi="宋体"/>
                <w:color w:val="auto"/>
                <w:sz w:val="21"/>
                <w:highlight w:val="none"/>
              </w:rPr>
              <w:t>单价（元）</w:t>
            </w:r>
          </w:p>
        </w:tc>
        <w:tc>
          <w:tcPr>
            <w:tcW w:w="1275" w:type="dxa"/>
            <w:noWrap w:val="0"/>
            <w:vAlign w:val="center"/>
          </w:tcPr>
          <w:p>
            <w:pPr>
              <w:snapToGrid w:val="0"/>
              <w:spacing w:line="440" w:lineRule="exact"/>
              <w:jc w:val="center"/>
              <w:rPr>
                <w:rFonts w:hAnsi="宋体"/>
                <w:color w:val="auto"/>
                <w:sz w:val="21"/>
                <w:highlight w:val="none"/>
              </w:rPr>
            </w:pPr>
            <w:r>
              <w:rPr>
                <w:rFonts w:hint="eastAsia" w:hAnsi="宋体"/>
                <w:color w:val="auto"/>
                <w:sz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6" w:type="dxa"/>
            <w:noWrap w:val="0"/>
            <w:vAlign w:val="center"/>
          </w:tcPr>
          <w:p>
            <w:pPr>
              <w:snapToGrid w:val="0"/>
              <w:spacing w:line="440" w:lineRule="exact"/>
              <w:jc w:val="center"/>
              <w:rPr>
                <w:rFonts w:hAnsi="宋体"/>
                <w:color w:val="auto"/>
                <w:sz w:val="21"/>
                <w:highlight w:val="none"/>
              </w:rPr>
            </w:pPr>
            <w:r>
              <w:rPr>
                <w:rFonts w:hint="eastAsia" w:hAnsi="宋体"/>
                <w:color w:val="auto"/>
                <w:sz w:val="21"/>
                <w:highlight w:val="none"/>
              </w:rPr>
              <w:t>1</w:t>
            </w:r>
          </w:p>
        </w:tc>
        <w:tc>
          <w:tcPr>
            <w:tcW w:w="1207" w:type="dxa"/>
            <w:noWrap w:val="0"/>
            <w:vAlign w:val="center"/>
          </w:tcPr>
          <w:p>
            <w:pPr>
              <w:snapToGrid w:val="0"/>
              <w:spacing w:line="440" w:lineRule="exact"/>
              <w:jc w:val="center"/>
              <w:rPr>
                <w:rFonts w:hAnsi="宋体"/>
                <w:color w:val="auto"/>
                <w:sz w:val="21"/>
                <w:highlight w:val="none"/>
              </w:rPr>
            </w:pPr>
          </w:p>
        </w:tc>
        <w:tc>
          <w:tcPr>
            <w:tcW w:w="1134" w:type="dxa"/>
            <w:noWrap w:val="0"/>
            <w:vAlign w:val="center"/>
          </w:tcPr>
          <w:p>
            <w:pPr>
              <w:snapToGrid w:val="0"/>
              <w:spacing w:line="440" w:lineRule="exact"/>
              <w:jc w:val="center"/>
              <w:rPr>
                <w:rFonts w:hAnsi="宋体"/>
                <w:color w:val="auto"/>
                <w:sz w:val="21"/>
                <w:highlight w:val="none"/>
              </w:rPr>
            </w:pPr>
          </w:p>
        </w:tc>
        <w:tc>
          <w:tcPr>
            <w:tcW w:w="1207" w:type="dxa"/>
            <w:noWrap w:val="0"/>
            <w:vAlign w:val="center"/>
          </w:tcPr>
          <w:p>
            <w:pPr>
              <w:snapToGrid w:val="0"/>
              <w:spacing w:line="440" w:lineRule="exact"/>
              <w:jc w:val="center"/>
              <w:rPr>
                <w:rFonts w:hAnsi="宋体"/>
                <w:color w:val="auto"/>
                <w:sz w:val="21"/>
                <w:highlight w:val="none"/>
              </w:rPr>
            </w:pPr>
          </w:p>
        </w:tc>
        <w:tc>
          <w:tcPr>
            <w:tcW w:w="1134" w:type="dxa"/>
            <w:noWrap w:val="0"/>
            <w:vAlign w:val="center"/>
          </w:tcPr>
          <w:p>
            <w:pPr>
              <w:snapToGrid w:val="0"/>
              <w:spacing w:line="440" w:lineRule="exact"/>
              <w:jc w:val="center"/>
              <w:rPr>
                <w:rFonts w:hAnsi="宋体"/>
                <w:color w:val="auto"/>
                <w:sz w:val="21"/>
                <w:highlight w:val="none"/>
              </w:rPr>
            </w:pPr>
          </w:p>
        </w:tc>
        <w:tc>
          <w:tcPr>
            <w:tcW w:w="760" w:type="dxa"/>
            <w:noWrap w:val="0"/>
            <w:vAlign w:val="center"/>
          </w:tcPr>
          <w:p>
            <w:pPr>
              <w:snapToGrid w:val="0"/>
              <w:spacing w:line="440" w:lineRule="exact"/>
              <w:jc w:val="center"/>
              <w:rPr>
                <w:rFonts w:hAnsi="宋体"/>
                <w:color w:val="auto"/>
                <w:sz w:val="21"/>
                <w:highlight w:val="none"/>
              </w:rPr>
            </w:pPr>
          </w:p>
        </w:tc>
        <w:tc>
          <w:tcPr>
            <w:tcW w:w="892" w:type="dxa"/>
            <w:noWrap w:val="0"/>
            <w:vAlign w:val="center"/>
          </w:tcPr>
          <w:p>
            <w:pPr>
              <w:snapToGrid w:val="0"/>
              <w:spacing w:line="440" w:lineRule="exact"/>
              <w:jc w:val="center"/>
              <w:rPr>
                <w:rFonts w:hAnsi="宋体"/>
                <w:color w:val="auto"/>
                <w:sz w:val="21"/>
                <w:highlight w:val="none"/>
              </w:rPr>
            </w:pPr>
          </w:p>
        </w:tc>
        <w:tc>
          <w:tcPr>
            <w:tcW w:w="1253" w:type="dxa"/>
            <w:noWrap w:val="0"/>
            <w:vAlign w:val="center"/>
          </w:tcPr>
          <w:p>
            <w:pPr>
              <w:snapToGrid w:val="0"/>
              <w:spacing w:line="440" w:lineRule="exact"/>
              <w:jc w:val="center"/>
              <w:rPr>
                <w:rFonts w:hAnsi="宋体"/>
                <w:color w:val="auto"/>
                <w:sz w:val="21"/>
                <w:highlight w:val="none"/>
              </w:rPr>
            </w:pPr>
          </w:p>
        </w:tc>
        <w:tc>
          <w:tcPr>
            <w:tcW w:w="1275" w:type="dxa"/>
            <w:noWrap w:val="0"/>
            <w:vAlign w:val="center"/>
          </w:tcPr>
          <w:p>
            <w:pPr>
              <w:snapToGrid w:val="0"/>
              <w:spacing w:line="440" w:lineRule="exact"/>
              <w:jc w:val="center"/>
              <w:rPr>
                <w:rFonts w:hAnsi="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6" w:type="dxa"/>
            <w:noWrap w:val="0"/>
            <w:vAlign w:val="center"/>
          </w:tcPr>
          <w:p>
            <w:pPr>
              <w:snapToGrid w:val="0"/>
              <w:spacing w:line="440" w:lineRule="exact"/>
              <w:jc w:val="center"/>
              <w:rPr>
                <w:rFonts w:hAnsi="宋体"/>
                <w:color w:val="auto"/>
                <w:sz w:val="21"/>
                <w:highlight w:val="none"/>
              </w:rPr>
            </w:pPr>
            <w:r>
              <w:rPr>
                <w:rFonts w:hint="eastAsia" w:hAnsi="宋体"/>
                <w:color w:val="auto"/>
                <w:sz w:val="21"/>
                <w:highlight w:val="none"/>
              </w:rPr>
              <w:t>2</w:t>
            </w:r>
          </w:p>
        </w:tc>
        <w:tc>
          <w:tcPr>
            <w:tcW w:w="1207" w:type="dxa"/>
            <w:noWrap w:val="0"/>
            <w:vAlign w:val="center"/>
          </w:tcPr>
          <w:p>
            <w:pPr>
              <w:snapToGrid w:val="0"/>
              <w:spacing w:line="440" w:lineRule="exact"/>
              <w:jc w:val="center"/>
              <w:rPr>
                <w:rFonts w:hAnsi="宋体"/>
                <w:color w:val="auto"/>
                <w:sz w:val="21"/>
                <w:highlight w:val="none"/>
              </w:rPr>
            </w:pPr>
          </w:p>
        </w:tc>
        <w:tc>
          <w:tcPr>
            <w:tcW w:w="1134" w:type="dxa"/>
            <w:noWrap w:val="0"/>
            <w:vAlign w:val="center"/>
          </w:tcPr>
          <w:p>
            <w:pPr>
              <w:snapToGrid w:val="0"/>
              <w:spacing w:line="440" w:lineRule="exact"/>
              <w:jc w:val="center"/>
              <w:rPr>
                <w:rFonts w:hAnsi="宋体"/>
                <w:color w:val="auto"/>
                <w:sz w:val="21"/>
                <w:highlight w:val="none"/>
              </w:rPr>
            </w:pPr>
          </w:p>
        </w:tc>
        <w:tc>
          <w:tcPr>
            <w:tcW w:w="1207" w:type="dxa"/>
            <w:noWrap w:val="0"/>
            <w:vAlign w:val="center"/>
          </w:tcPr>
          <w:p>
            <w:pPr>
              <w:snapToGrid w:val="0"/>
              <w:spacing w:line="440" w:lineRule="exact"/>
              <w:jc w:val="center"/>
              <w:rPr>
                <w:rFonts w:hAnsi="宋体"/>
                <w:color w:val="auto"/>
                <w:sz w:val="21"/>
                <w:highlight w:val="none"/>
              </w:rPr>
            </w:pPr>
          </w:p>
        </w:tc>
        <w:tc>
          <w:tcPr>
            <w:tcW w:w="1134" w:type="dxa"/>
            <w:noWrap w:val="0"/>
            <w:vAlign w:val="center"/>
          </w:tcPr>
          <w:p>
            <w:pPr>
              <w:snapToGrid w:val="0"/>
              <w:spacing w:line="440" w:lineRule="exact"/>
              <w:jc w:val="center"/>
              <w:rPr>
                <w:rFonts w:hAnsi="宋体"/>
                <w:color w:val="auto"/>
                <w:sz w:val="21"/>
                <w:highlight w:val="none"/>
              </w:rPr>
            </w:pPr>
          </w:p>
        </w:tc>
        <w:tc>
          <w:tcPr>
            <w:tcW w:w="760" w:type="dxa"/>
            <w:noWrap w:val="0"/>
            <w:vAlign w:val="center"/>
          </w:tcPr>
          <w:p>
            <w:pPr>
              <w:snapToGrid w:val="0"/>
              <w:spacing w:line="440" w:lineRule="exact"/>
              <w:jc w:val="center"/>
              <w:rPr>
                <w:rFonts w:hAnsi="宋体"/>
                <w:color w:val="auto"/>
                <w:sz w:val="21"/>
                <w:highlight w:val="none"/>
              </w:rPr>
            </w:pPr>
          </w:p>
        </w:tc>
        <w:tc>
          <w:tcPr>
            <w:tcW w:w="892" w:type="dxa"/>
            <w:noWrap w:val="0"/>
            <w:vAlign w:val="center"/>
          </w:tcPr>
          <w:p>
            <w:pPr>
              <w:snapToGrid w:val="0"/>
              <w:spacing w:line="440" w:lineRule="exact"/>
              <w:jc w:val="center"/>
              <w:rPr>
                <w:rFonts w:hAnsi="宋体"/>
                <w:color w:val="auto"/>
                <w:sz w:val="21"/>
                <w:highlight w:val="none"/>
              </w:rPr>
            </w:pPr>
          </w:p>
        </w:tc>
        <w:tc>
          <w:tcPr>
            <w:tcW w:w="1253" w:type="dxa"/>
            <w:noWrap w:val="0"/>
            <w:vAlign w:val="center"/>
          </w:tcPr>
          <w:p>
            <w:pPr>
              <w:snapToGrid w:val="0"/>
              <w:spacing w:line="440" w:lineRule="exact"/>
              <w:jc w:val="center"/>
              <w:rPr>
                <w:rFonts w:hAnsi="宋体"/>
                <w:color w:val="auto"/>
                <w:sz w:val="21"/>
                <w:highlight w:val="none"/>
              </w:rPr>
            </w:pPr>
          </w:p>
        </w:tc>
        <w:tc>
          <w:tcPr>
            <w:tcW w:w="1275" w:type="dxa"/>
            <w:noWrap w:val="0"/>
            <w:vAlign w:val="center"/>
          </w:tcPr>
          <w:p>
            <w:pPr>
              <w:snapToGrid w:val="0"/>
              <w:spacing w:line="440" w:lineRule="exact"/>
              <w:jc w:val="center"/>
              <w:rPr>
                <w:rFonts w:hAnsi="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6" w:type="dxa"/>
            <w:noWrap w:val="0"/>
            <w:vAlign w:val="center"/>
          </w:tcPr>
          <w:p>
            <w:pPr>
              <w:snapToGrid w:val="0"/>
              <w:spacing w:line="440" w:lineRule="exact"/>
              <w:jc w:val="center"/>
              <w:rPr>
                <w:rFonts w:hAnsi="宋体"/>
                <w:color w:val="auto"/>
                <w:sz w:val="21"/>
                <w:highlight w:val="none"/>
              </w:rPr>
            </w:pPr>
            <w:r>
              <w:rPr>
                <w:rFonts w:hint="eastAsia" w:hAnsi="宋体"/>
                <w:color w:val="auto"/>
                <w:sz w:val="21"/>
                <w:highlight w:val="none"/>
              </w:rPr>
              <w:t>……</w:t>
            </w:r>
          </w:p>
        </w:tc>
        <w:tc>
          <w:tcPr>
            <w:tcW w:w="1207" w:type="dxa"/>
            <w:noWrap w:val="0"/>
            <w:vAlign w:val="center"/>
          </w:tcPr>
          <w:p>
            <w:pPr>
              <w:snapToGrid w:val="0"/>
              <w:spacing w:line="440" w:lineRule="exact"/>
              <w:jc w:val="center"/>
              <w:rPr>
                <w:rFonts w:hAnsi="宋体"/>
                <w:color w:val="auto"/>
                <w:sz w:val="21"/>
                <w:highlight w:val="none"/>
              </w:rPr>
            </w:pPr>
          </w:p>
        </w:tc>
        <w:tc>
          <w:tcPr>
            <w:tcW w:w="1134" w:type="dxa"/>
            <w:noWrap w:val="0"/>
            <w:vAlign w:val="center"/>
          </w:tcPr>
          <w:p>
            <w:pPr>
              <w:snapToGrid w:val="0"/>
              <w:spacing w:line="440" w:lineRule="exact"/>
              <w:jc w:val="center"/>
              <w:rPr>
                <w:rFonts w:hAnsi="宋体"/>
                <w:color w:val="auto"/>
                <w:sz w:val="21"/>
                <w:highlight w:val="none"/>
              </w:rPr>
            </w:pPr>
          </w:p>
        </w:tc>
        <w:tc>
          <w:tcPr>
            <w:tcW w:w="1207" w:type="dxa"/>
            <w:noWrap w:val="0"/>
            <w:vAlign w:val="center"/>
          </w:tcPr>
          <w:p>
            <w:pPr>
              <w:snapToGrid w:val="0"/>
              <w:spacing w:line="440" w:lineRule="exact"/>
              <w:jc w:val="center"/>
              <w:rPr>
                <w:rFonts w:hAnsi="宋体"/>
                <w:color w:val="auto"/>
                <w:sz w:val="21"/>
                <w:highlight w:val="none"/>
              </w:rPr>
            </w:pPr>
          </w:p>
        </w:tc>
        <w:tc>
          <w:tcPr>
            <w:tcW w:w="1134" w:type="dxa"/>
            <w:noWrap w:val="0"/>
            <w:vAlign w:val="center"/>
          </w:tcPr>
          <w:p>
            <w:pPr>
              <w:snapToGrid w:val="0"/>
              <w:spacing w:line="440" w:lineRule="exact"/>
              <w:jc w:val="center"/>
              <w:rPr>
                <w:rFonts w:hAnsi="宋体"/>
                <w:color w:val="auto"/>
                <w:sz w:val="21"/>
                <w:highlight w:val="none"/>
              </w:rPr>
            </w:pPr>
          </w:p>
        </w:tc>
        <w:tc>
          <w:tcPr>
            <w:tcW w:w="760" w:type="dxa"/>
            <w:noWrap w:val="0"/>
            <w:vAlign w:val="center"/>
          </w:tcPr>
          <w:p>
            <w:pPr>
              <w:snapToGrid w:val="0"/>
              <w:spacing w:line="440" w:lineRule="exact"/>
              <w:jc w:val="center"/>
              <w:rPr>
                <w:rFonts w:hAnsi="宋体"/>
                <w:color w:val="auto"/>
                <w:sz w:val="21"/>
                <w:highlight w:val="none"/>
              </w:rPr>
            </w:pPr>
          </w:p>
        </w:tc>
        <w:tc>
          <w:tcPr>
            <w:tcW w:w="892" w:type="dxa"/>
            <w:noWrap w:val="0"/>
            <w:vAlign w:val="center"/>
          </w:tcPr>
          <w:p>
            <w:pPr>
              <w:snapToGrid w:val="0"/>
              <w:spacing w:line="440" w:lineRule="exact"/>
              <w:jc w:val="center"/>
              <w:rPr>
                <w:rFonts w:hAnsi="宋体"/>
                <w:color w:val="auto"/>
                <w:sz w:val="21"/>
                <w:highlight w:val="none"/>
              </w:rPr>
            </w:pPr>
          </w:p>
        </w:tc>
        <w:tc>
          <w:tcPr>
            <w:tcW w:w="1253" w:type="dxa"/>
            <w:noWrap w:val="0"/>
            <w:vAlign w:val="center"/>
          </w:tcPr>
          <w:p>
            <w:pPr>
              <w:snapToGrid w:val="0"/>
              <w:spacing w:line="440" w:lineRule="exact"/>
              <w:jc w:val="center"/>
              <w:rPr>
                <w:rFonts w:hAnsi="宋体"/>
                <w:color w:val="auto"/>
                <w:sz w:val="21"/>
                <w:highlight w:val="none"/>
              </w:rPr>
            </w:pPr>
          </w:p>
        </w:tc>
        <w:tc>
          <w:tcPr>
            <w:tcW w:w="1275" w:type="dxa"/>
            <w:noWrap w:val="0"/>
            <w:vAlign w:val="center"/>
          </w:tcPr>
          <w:p>
            <w:pPr>
              <w:snapToGrid w:val="0"/>
              <w:spacing w:line="440" w:lineRule="exact"/>
              <w:jc w:val="center"/>
              <w:rPr>
                <w:rFonts w:hAnsi="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6" w:type="dxa"/>
            <w:noWrap w:val="0"/>
            <w:vAlign w:val="center"/>
          </w:tcPr>
          <w:p>
            <w:pPr>
              <w:snapToGrid w:val="0"/>
              <w:spacing w:line="440" w:lineRule="exact"/>
              <w:jc w:val="center"/>
              <w:rPr>
                <w:rFonts w:hAnsi="宋体"/>
                <w:color w:val="auto"/>
                <w:sz w:val="21"/>
                <w:highlight w:val="none"/>
              </w:rPr>
            </w:pPr>
            <w:r>
              <w:rPr>
                <w:rFonts w:hint="eastAsia" w:hAnsi="宋体"/>
                <w:color w:val="auto"/>
                <w:sz w:val="21"/>
                <w:highlight w:val="none"/>
              </w:rPr>
              <w:t>N</w:t>
            </w:r>
          </w:p>
        </w:tc>
        <w:tc>
          <w:tcPr>
            <w:tcW w:w="1207" w:type="dxa"/>
            <w:noWrap w:val="0"/>
            <w:vAlign w:val="center"/>
          </w:tcPr>
          <w:p>
            <w:pPr>
              <w:snapToGrid w:val="0"/>
              <w:spacing w:line="440" w:lineRule="exact"/>
              <w:jc w:val="center"/>
              <w:rPr>
                <w:rFonts w:hAnsi="宋体"/>
                <w:color w:val="auto"/>
                <w:sz w:val="21"/>
                <w:highlight w:val="none"/>
              </w:rPr>
            </w:pPr>
          </w:p>
        </w:tc>
        <w:tc>
          <w:tcPr>
            <w:tcW w:w="1134" w:type="dxa"/>
            <w:noWrap w:val="0"/>
            <w:vAlign w:val="center"/>
          </w:tcPr>
          <w:p>
            <w:pPr>
              <w:snapToGrid w:val="0"/>
              <w:spacing w:line="440" w:lineRule="exact"/>
              <w:jc w:val="center"/>
              <w:rPr>
                <w:rFonts w:hAnsi="宋体"/>
                <w:color w:val="auto"/>
                <w:sz w:val="21"/>
                <w:highlight w:val="none"/>
              </w:rPr>
            </w:pPr>
          </w:p>
        </w:tc>
        <w:tc>
          <w:tcPr>
            <w:tcW w:w="1207" w:type="dxa"/>
            <w:noWrap w:val="0"/>
            <w:vAlign w:val="center"/>
          </w:tcPr>
          <w:p>
            <w:pPr>
              <w:snapToGrid w:val="0"/>
              <w:spacing w:line="440" w:lineRule="exact"/>
              <w:jc w:val="center"/>
              <w:rPr>
                <w:rFonts w:hAnsi="宋体"/>
                <w:color w:val="auto"/>
                <w:sz w:val="21"/>
                <w:highlight w:val="none"/>
              </w:rPr>
            </w:pPr>
          </w:p>
        </w:tc>
        <w:tc>
          <w:tcPr>
            <w:tcW w:w="1134" w:type="dxa"/>
            <w:noWrap w:val="0"/>
            <w:vAlign w:val="center"/>
          </w:tcPr>
          <w:p>
            <w:pPr>
              <w:snapToGrid w:val="0"/>
              <w:spacing w:line="440" w:lineRule="exact"/>
              <w:jc w:val="center"/>
              <w:rPr>
                <w:rFonts w:hAnsi="宋体"/>
                <w:color w:val="auto"/>
                <w:sz w:val="21"/>
                <w:highlight w:val="none"/>
              </w:rPr>
            </w:pPr>
          </w:p>
        </w:tc>
        <w:tc>
          <w:tcPr>
            <w:tcW w:w="760" w:type="dxa"/>
            <w:noWrap w:val="0"/>
            <w:vAlign w:val="center"/>
          </w:tcPr>
          <w:p>
            <w:pPr>
              <w:snapToGrid w:val="0"/>
              <w:spacing w:line="440" w:lineRule="exact"/>
              <w:jc w:val="center"/>
              <w:rPr>
                <w:rFonts w:hAnsi="宋体"/>
                <w:color w:val="auto"/>
                <w:sz w:val="21"/>
                <w:highlight w:val="none"/>
              </w:rPr>
            </w:pPr>
          </w:p>
        </w:tc>
        <w:tc>
          <w:tcPr>
            <w:tcW w:w="892" w:type="dxa"/>
            <w:noWrap w:val="0"/>
            <w:vAlign w:val="center"/>
          </w:tcPr>
          <w:p>
            <w:pPr>
              <w:snapToGrid w:val="0"/>
              <w:spacing w:line="440" w:lineRule="exact"/>
              <w:jc w:val="center"/>
              <w:rPr>
                <w:rFonts w:hAnsi="宋体"/>
                <w:color w:val="auto"/>
                <w:sz w:val="21"/>
                <w:highlight w:val="none"/>
              </w:rPr>
            </w:pPr>
          </w:p>
        </w:tc>
        <w:tc>
          <w:tcPr>
            <w:tcW w:w="1253" w:type="dxa"/>
            <w:noWrap w:val="0"/>
            <w:vAlign w:val="center"/>
          </w:tcPr>
          <w:p>
            <w:pPr>
              <w:snapToGrid w:val="0"/>
              <w:spacing w:line="440" w:lineRule="exact"/>
              <w:jc w:val="center"/>
              <w:rPr>
                <w:rFonts w:hAnsi="宋体"/>
                <w:color w:val="auto"/>
                <w:sz w:val="21"/>
                <w:highlight w:val="none"/>
              </w:rPr>
            </w:pPr>
          </w:p>
        </w:tc>
        <w:tc>
          <w:tcPr>
            <w:tcW w:w="1275" w:type="dxa"/>
            <w:noWrap w:val="0"/>
            <w:vAlign w:val="center"/>
          </w:tcPr>
          <w:p>
            <w:pPr>
              <w:snapToGrid w:val="0"/>
              <w:spacing w:line="440" w:lineRule="exact"/>
              <w:jc w:val="center"/>
              <w:rPr>
                <w:rFonts w:hAnsi="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498" w:type="dxa"/>
            <w:gridSpan w:val="9"/>
            <w:noWrap w:val="0"/>
            <w:vAlign w:val="center"/>
          </w:tcPr>
          <w:p>
            <w:pPr>
              <w:snapToGrid w:val="0"/>
              <w:spacing w:line="440" w:lineRule="exact"/>
              <w:rPr>
                <w:rFonts w:hAnsi="宋体"/>
                <w:color w:val="auto"/>
                <w:sz w:val="21"/>
                <w:highlight w:val="none"/>
              </w:rPr>
            </w:pPr>
            <w:r>
              <w:rPr>
                <w:rFonts w:hint="eastAsia" w:hAnsi="宋体"/>
                <w:color w:val="auto"/>
                <w:sz w:val="21"/>
                <w:highlight w:val="none"/>
              </w:rPr>
              <w:t>人民币合计金额（大写） ：                         （小写）：</w:t>
            </w:r>
          </w:p>
        </w:tc>
      </w:tr>
    </w:tbl>
    <w:p>
      <w:pPr>
        <w:snapToGrid w:val="0"/>
        <w:spacing w:line="440" w:lineRule="exact"/>
        <w:ind w:firstLine="420" w:firstLineChars="200"/>
        <w:rPr>
          <w:rFonts w:hAnsi="宋体"/>
          <w:color w:val="auto"/>
          <w:sz w:val="21"/>
          <w:highlight w:val="none"/>
        </w:rPr>
      </w:pPr>
      <w:r>
        <w:rPr>
          <w:rFonts w:hint="eastAsia" w:hAnsi="宋体"/>
          <w:color w:val="auto"/>
          <w:sz w:val="21"/>
          <w:highlight w:val="none"/>
        </w:rPr>
        <w:t>2.合同合计金额包括货物价款，备件、专用工具、安装、调试、检验、技术培训及技术资料和包装、运输等全部费用。如招</w:t>
      </w:r>
      <w:r>
        <w:rPr>
          <w:rFonts w:hint="eastAsia" w:hAnsi="宋体"/>
          <w:color w:val="auto"/>
          <w:sz w:val="21"/>
          <w:highlight w:val="none"/>
          <w:lang w:eastAsia="zh-CN"/>
        </w:rPr>
        <w:t>响应文件</w:t>
      </w:r>
      <w:r>
        <w:rPr>
          <w:rFonts w:hint="eastAsia" w:hAnsi="宋体"/>
          <w:color w:val="auto"/>
          <w:sz w:val="21"/>
          <w:highlight w:val="none"/>
        </w:rPr>
        <w:t>对其另有规定的，从其规定。</w:t>
      </w:r>
    </w:p>
    <w:p>
      <w:pPr>
        <w:snapToGrid w:val="0"/>
        <w:spacing w:line="440" w:lineRule="exact"/>
        <w:ind w:firstLine="422" w:firstLineChars="200"/>
        <w:rPr>
          <w:rFonts w:hAnsi="宋体"/>
          <w:color w:val="auto"/>
          <w:sz w:val="21"/>
          <w:highlight w:val="none"/>
        </w:rPr>
      </w:pPr>
      <w:r>
        <w:rPr>
          <w:rFonts w:hint="eastAsia" w:hAnsi="宋体"/>
          <w:b/>
          <w:color w:val="auto"/>
          <w:sz w:val="21"/>
          <w:highlight w:val="none"/>
        </w:rPr>
        <w:t>第二条　质量保证</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1.乙方所提供的货物型号、技术规格、技术参数等质量必须与招</w:t>
      </w:r>
      <w:r>
        <w:rPr>
          <w:rFonts w:hint="eastAsia" w:hAnsi="宋体"/>
          <w:color w:val="auto"/>
          <w:sz w:val="21"/>
          <w:highlight w:val="none"/>
          <w:lang w:eastAsia="zh-CN"/>
        </w:rPr>
        <w:t>响应文件</w:t>
      </w:r>
      <w:r>
        <w:rPr>
          <w:rFonts w:hint="eastAsia" w:hAnsi="宋体"/>
          <w:color w:val="auto"/>
          <w:sz w:val="21"/>
          <w:highlight w:val="none"/>
        </w:rPr>
        <w:t>和承诺相一致。乙方提供的节能和环保产品必须是列入政府采购清单的产品。</w:t>
      </w:r>
    </w:p>
    <w:p>
      <w:pPr>
        <w:snapToGrid w:val="0"/>
        <w:spacing w:line="440" w:lineRule="exact"/>
        <w:ind w:firstLine="420" w:firstLineChars="200"/>
        <w:rPr>
          <w:rFonts w:hAnsi="宋体"/>
          <w:color w:val="auto"/>
          <w:sz w:val="21"/>
          <w:highlight w:val="none"/>
          <w:u w:val="single"/>
        </w:rPr>
      </w:pPr>
      <w:r>
        <w:rPr>
          <w:rFonts w:hint="eastAsia" w:hAnsi="宋体"/>
          <w:color w:val="auto"/>
          <w:sz w:val="21"/>
          <w:highlight w:val="none"/>
        </w:rPr>
        <w:t>2.乙方所提供的货物必须是全新、未使用的原装产品，且在正常安装、使用和保养条件下，其使用寿命期内各项指标均达到质量要求。</w:t>
      </w:r>
    </w:p>
    <w:p>
      <w:pPr>
        <w:snapToGrid w:val="0"/>
        <w:spacing w:line="440" w:lineRule="exact"/>
        <w:ind w:firstLine="422" w:firstLineChars="200"/>
        <w:rPr>
          <w:rFonts w:hAnsi="宋体"/>
          <w:color w:val="auto"/>
          <w:sz w:val="21"/>
          <w:highlight w:val="none"/>
        </w:rPr>
      </w:pPr>
      <w:r>
        <w:rPr>
          <w:rFonts w:hint="eastAsia" w:hAnsi="宋体"/>
          <w:b/>
          <w:color w:val="auto"/>
          <w:sz w:val="21"/>
          <w:highlight w:val="none"/>
        </w:rPr>
        <w:t>第三条　权利保证</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1.乙方应保证所提供货物在使用时不会侵犯任何第三方的专利权、商标权、工业设计权或其他权利。</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2.乙方应按</w:t>
      </w:r>
      <w:r>
        <w:rPr>
          <w:rFonts w:hint="eastAsia" w:hAnsi="宋体"/>
          <w:color w:val="auto"/>
          <w:sz w:val="21"/>
          <w:highlight w:val="none"/>
          <w:lang w:eastAsia="zh-CN"/>
        </w:rPr>
        <w:t>采购文件</w:t>
      </w:r>
      <w:r>
        <w:rPr>
          <w:rFonts w:hint="eastAsia" w:hAnsi="宋体"/>
          <w:color w:val="auto"/>
          <w:sz w:val="21"/>
          <w:highlight w:val="none"/>
        </w:rPr>
        <w:t>规定的时间向甲方提供使用货物的有关技术资料。</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4.乙方保证所交付的货物的所有权完全属于乙方且无任何抵押、查封等产权瑕疵。</w:t>
      </w:r>
    </w:p>
    <w:p>
      <w:pPr>
        <w:snapToGrid w:val="0"/>
        <w:spacing w:line="440" w:lineRule="exact"/>
        <w:ind w:firstLine="422" w:firstLineChars="200"/>
        <w:rPr>
          <w:rFonts w:hAnsi="宋体"/>
          <w:b/>
          <w:color w:val="auto"/>
          <w:sz w:val="21"/>
          <w:highlight w:val="none"/>
        </w:rPr>
      </w:pPr>
      <w:r>
        <w:rPr>
          <w:rFonts w:hint="eastAsia" w:hAnsi="宋体"/>
          <w:b/>
          <w:color w:val="auto"/>
          <w:sz w:val="21"/>
          <w:highlight w:val="none"/>
        </w:rPr>
        <w:t>第四条　包装和运输</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1.乙方提供的货物均应按招</w:t>
      </w:r>
      <w:r>
        <w:rPr>
          <w:rFonts w:hint="eastAsia" w:hAnsi="宋体"/>
          <w:color w:val="auto"/>
          <w:sz w:val="21"/>
          <w:highlight w:val="none"/>
          <w:lang w:eastAsia="zh-CN"/>
        </w:rPr>
        <w:t>响应文件</w:t>
      </w:r>
      <w:r>
        <w:rPr>
          <w:rFonts w:hint="eastAsia" w:hAnsi="宋体"/>
          <w:color w:val="auto"/>
          <w:sz w:val="21"/>
          <w:highlight w:val="none"/>
        </w:rPr>
        <w:t>要求的包装材料、包装标准、包装方式进行包装，每一包装单元内应附详细的装箱单和质量合格证。</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2.货物的运输方式：</w:t>
      </w:r>
      <w:r>
        <w:rPr>
          <w:rFonts w:hint="eastAsia" w:hAnsi="宋体"/>
          <w:color w:val="auto"/>
          <w:sz w:val="21"/>
          <w:highlight w:val="none"/>
          <w:u w:val="single"/>
        </w:rPr>
        <w:t>不限</w:t>
      </w:r>
      <w:r>
        <w:rPr>
          <w:rFonts w:hint="eastAsia" w:hAnsi="宋体"/>
          <w:color w:val="auto"/>
          <w:sz w:val="21"/>
          <w:highlight w:val="none"/>
        </w:rPr>
        <w:t>。</w:t>
      </w:r>
    </w:p>
    <w:p>
      <w:pPr>
        <w:snapToGrid w:val="0"/>
        <w:spacing w:line="440" w:lineRule="exact"/>
        <w:ind w:firstLine="420" w:firstLineChars="200"/>
        <w:rPr>
          <w:rFonts w:hAnsi="宋体"/>
          <w:color w:val="auto"/>
          <w:sz w:val="21"/>
          <w:highlight w:val="none"/>
          <w:u w:val="single"/>
        </w:rPr>
      </w:pPr>
      <w:r>
        <w:rPr>
          <w:rFonts w:hint="eastAsia" w:hAnsi="宋体"/>
          <w:color w:val="auto"/>
          <w:sz w:val="21"/>
          <w:highlight w:val="none"/>
        </w:rPr>
        <w:t>3.乙方负责货物运输，货物运输合理损耗及计算方法：</w:t>
      </w:r>
      <w:r>
        <w:rPr>
          <w:rFonts w:hint="eastAsia" w:hAnsi="宋体"/>
          <w:color w:val="auto"/>
          <w:sz w:val="21"/>
          <w:highlight w:val="none"/>
          <w:u w:val="single"/>
        </w:rPr>
        <w:t>本合同货物不接受损耗</w:t>
      </w:r>
      <w:r>
        <w:rPr>
          <w:rFonts w:hint="eastAsia" w:hAnsi="宋体"/>
          <w:color w:val="auto"/>
          <w:sz w:val="21"/>
          <w:highlight w:val="none"/>
        </w:rPr>
        <w:t>。</w:t>
      </w:r>
    </w:p>
    <w:p>
      <w:pPr>
        <w:snapToGrid w:val="0"/>
        <w:spacing w:line="440" w:lineRule="exact"/>
        <w:ind w:firstLine="422" w:firstLineChars="200"/>
        <w:rPr>
          <w:rFonts w:hAnsi="宋体"/>
          <w:color w:val="auto"/>
          <w:sz w:val="21"/>
          <w:highlight w:val="none"/>
        </w:rPr>
      </w:pPr>
      <w:r>
        <w:rPr>
          <w:rFonts w:hint="eastAsia" w:hAnsi="宋体"/>
          <w:b/>
          <w:color w:val="auto"/>
          <w:sz w:val="21"/>
          <w:highlight w:val="none"/>
        </w:rPr>
        <w:t>第五条　交付及地点</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1.交付时间：签订合同之日起</w:t>
      </w:r>
      <w:r>
        <w:rPr>
          <w:rFonts w:hint="eastAsia" w:hAnsi="宋体"/>
          <w:color w:val="auto"/>
          <w:sz w:val="21"/>
          <w:highlight w:val="none"/>
          <w:u w:val="single"/>
          <w:lang w:val="en-US" w:eastAsia="zh-CN"/>
        </w:rPr>
        <w:t xml:space="preserve">        </w:t>
      </w:r>
      <w:r>
        <w:rPr>
          <w:rFonts w:hint="eastAsia" w:hAnsi="宋体"/>
          <w:color w:val="auto"/>
          <w:sz w:val="21"/>
          <w:highlight w:val="none"/>
        </w:rPr>
        <w:t>天内交付使用</w:t>
      </w:r>
      <w:r>
        <w:rPr>
          <w:rFonts w:hint="eastAsia" w:hAnsi="宋体"/>
          <w:color w:val="auto"/>
          <w:sz w:val="21"/>
          <w:highlight w:val="none"/>
          <w:lang w:eastAsia="zh-CN"/>
        </w:rPr>
        <w:t>；</w:t>
      </w:r>
      <w:r>
        <w:rPr>
          <w:rFonts w:hint="eastAsia" w:hAnsi="宋体"/>
          <w:color w:val="auto"/>
          <w:sz w:val="21"/>
          <w:highlight w:val="none"/>
        </w:rPr>
        <w:t>地点：</w:t>
      </w:r>
      <w:r>
        <w:rPr>
          <w:rFonts w:hint="eastAsia" w:hAnsi="宋体"/>
          <w:color w:val="auto"/>
          <w:sz w:val="21"/>
          <w:highlight w:val="none"/>
          <w:u w:val="single"/>
        </w:rPr>
        <w:t>柳州市甲方指定地点</w:t>
      </w:r>
      <w:r>
        <w:rPr>
          <w:rFonts w:hint="eastAsia" w:hAnsi="宋体"/>
          <w:color w:val="auto"/>
          <w:sz w:val="21"/>
          <w:highlight w:val="none"/>
        </w:rPr>
        <w:t>。</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2.乙方提供不符合招</w:t>
      </w:r>
      <w:r>
        <w:rPr>
          <w:rFonts w:hint="eastAsia" w:hAnsi="宋体"/>
          <w:color w:val="auto"/>
          <w:sz w:val="21"/>
          <w:highlight w:val="none"/>
          <w:lang w:eastAsia="zh-CN"/>
        </w:rPr>
        <w:t>响应文件</w:t>
      </w:r>
      <w:r>
        <w:rPr>
          <w:rFonts w:hint="eastAsia" w:hAnsi="宋体"/>
          <w:color w:val="auto"/>
          <w:sz w:val="21"/>
          <w:highlight w:val="none"/>
        </w:rPr>
        <w:t>和本合同规定的货物，甲方有权拒绝接受。</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3.乙方应将所提供货物的装箱清单、用户手册、原厂保修卡、随机资料、工具和备品、备件等交付给甲方，如有缺失应及时补齐，否则视为逾期交货。</w:t>
      </w:r>
    </w:p>
    <w:p>
      <w:pPr>
        <w:snapToGrid w:val="0"/>
        <w:spacing w:line="440" w:lineRule="exact"/>
        <w:ind w:firstLine="422" w:firstLineChars="200"/>
        <w:rPr>
          <w:rFonts w:hAnsi="宋体"/>
          <w:b/>
          <w:color w:val="auto"/>
          <w:sz w:val="21"/>
          <w:highlight w:val="none"/>
        </w:rPr>
      </w:pPr>
      <w:r>
        <w:rPr>
          <w:rFonts w:hint="eastAsia" w:hAnsi="宋体"/>
          <w:b/>
          <w:color w:val="auto"/>
          <w:sz w:val="21"/>
          <w:highlight w:val="none"/>
        </w:rPr>
        <w:t>第六条　安装和培训</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1.甲方应提供必要安装条件（如场地、电源、水源等）。</w:t>
      </w:r>
    </w:p>
    <w:p>
      <w:pPr>
        <w:snapToGrid w:val="0"/>
        <w:spacing w:line="440" w:lineRule="exact"/>
        <w:ind w:firstLine="420" w:firstLineChars="200"/>
        <w:rPr>
          <w:rFonts w:hAnsi="宋体"/>
          <w:color w:val="auto"/>
          <w:sz w:val="21"/>
          <w:highlight w:val="none"/>
          <w:u w:val="single"/>
        </w:rPr>
      </w:pPr>
      <w:r>
        <w:rPr>
          <w:rFonts w:hint="eastAsia" w:hAnsi="宋体"/>
          <w:color w:val="auto"/>
          <w:sz w:val="21"/>
          <w:highlight w:val="none"/>
        </w:rPr>
        <w:t>2.乙方负责甲方有关人员的培训。培训时间、地点：</w:t>
      </w:r>
      <w:r>
        <w:rPr>
          <w:rFonts w:hint="eastAsia" w:hAnsi="宋体"/>
          <w:color w:val="auto"/>
          <w:sz w:val="21"/>
          <w:highlight w:val="none"/>
          <w:u w:val="single"/>
        </w:rPr>
        <w:t>甲方指定</w:t>
      </w:r>
      <w:r>
        <w:rPr>
          <w:rFonts w:hint="eastAsia" w:hAnsi="宋体"/>
          <w:color w:val="auto"/>
          <w:sz w:val="21"/>
          <w:highlight w:val="none"/>
        </w:rPr>
        <w:t>。</w:t>
      </w:r>
    </w:p>
    <w:p>
      <w:pPr>
        <w:snapToGrid w:val="0"/>
        <w:spacing w:line="440" w:lineRule="exact"/>
        <w:ind w:firstLine="422" w:firstLineChars="200"/>
        <w:rPr>
          <w:rFonts w:hAnsi="宋体"/>
          <w:b/>
          <w:color w:val="auto"/>
          <w:sz w:val="21"/>
          <w:highlight w:val="none"/>
        </w:rPr>
      </w:pPr>
      <w:r>
        <w:rPr>
          <w:rFonts w:hint="eastAsia" w:hAnsi="宋体"/>
          <w:b/>
          <w:color w:val="auto"/>
          <w:sz w:val="21"/>
          <w:highlight w:val="none"/>
        </w:rPr>
        <w:t>第七条  售后服务</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1.乙方应按照国家有关法律法规和“三包”规定以及招</w:t>
      </w:r>
      <w:r>
        <w:rPr>
          <w:rFonts w:hint="eastAsia" w:hAnsi="宋体"/>
          <w:color w:val="auto"/>
          <w:sz w:val="21"/>
          <w:highlight w:val="none"/>
          <w:lang w:eastAsia="zh-CN"/>
        </w:rPr>
        <w:t>响应文件</w:t>
      </w:r>
      <w:r>
        <w:rPr>
          <w:rFonts w:hint="eastAsia" w:hAnsi="宋体"/>
          <w:color w:val="auto"/>
          <w:sz w:val="21"/>
          <w:highlight w:val="none"/>
        </w:rPr>
        <w:t>和本合同所附的《服务承诺》，为甲方提供售后服务。</w:t>
      </w:r>
    </w:p>
    <w:p>
      <w:pPr>
        <w:snapToGrid w:val="0"/>
        <w:spacing w:line="440" w:lineRule="exact"/>
        <w:ind w:firstLine="420" w:firstLineChars="200"/>
        <w:rPr>
          <w:rFonts w:hAnsi="宋体"/>
          <w:color w:val="auto"/>
          <w:sz w:val="21"/>
          <w:highlight w:val="none"/>
          <w:u w:val="single"/>
        </w:rPr>
      </w:pPr>
      <w:r>
        <w:rPr>
          <w:rFonts w:hint="eastAsia" w:hAnsi="宋体"/>
          <w:color w:val="auto"/>
          <w:sz w:val="21"/>
          <w:highlight w:val="none"/>
        </w:rPr>
        <w:t>2.货物保修期：</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sz w:val="21"/>
          <w:highlight w:val="none"/>
        </w:rPr>
        <w:t>。</w:t>
      </w:r>
    </w:p>
    <w:p>
      <w:pPr>
        <w:snapToGrid w:val="0"/>
        <w:spacing w:line="440" w:lineRule="exact"/>
        <w:ind w:firstLine="420" w:firstLineChars="200"/>
        <w:rPr>
          <w:rFonts w:hAnsi="宋体"/>
          <w:color w:val="auto"/>
          <w:sz w:val="21"/>
          <w:highlight w:val="none"/>
          <w:u w:val="single"/>
        </w:rPr>
      </w:pPr>
      <w:r>
        <w:rPr>
          <w:rFonts w:hint="eastAsia" w:hAnsi="宋体"/>
          <w:color w:val="auto"/>
          <w:sz w:val="21"/>
          <w:highlight w:val="none"/>
        </w:rPr>
        <w:t>3.乙方提供的服务承诺和售后服务及保修期责任等其他具体约定事项。（见合同附件）</w:t>
      </w:r>
    </w:p>
    <w:p>
      <w:pPr>
        <w:snapToGrid w:val="0"/>
        <w:spacing w:line="440" w:lineRule="exact"/>
        <w:ind w:firstLine="422" w:firstLineChars="200"/>
        <w:rPr>
          <w:rFonts w:hAnsi="宋体"/>
          <w:color w:val="auto"/>
          <w:sz w:val="21"/>
          <w:highlight w:val="none"/>
        </w:rPr>
      </w:pPr>
      <w:r>
        <w:rPr>
          <w:rFonts w:hint="eastAsia" w:hAnsi="宋体"/>
          <w:b/>
          <w:color w:val="auto"/>
          <w:sz w:val="21"/>
          <w:highlight w:val="none"/>
        </w:rPr>
        <w:t>第八条　付款方式</w:t>
      </w:r>
    </w:p>
    <w:p>
      <w:pPr>
        <w:snapToGrid w:val="0"/>
        <w:spacing w:line="440" w:lineRule="exact"/>
        <w:ind w:firstLine="420" w:firstLineChars="200"/>
        <w:rPr>
          <w:rFonts w:hAnsi="宋体"/>
          <w:color w:val="auto"/>
          <w:sz w:val="21"/>
          <w:highlight w:val="none"/>
          <w:u w:val="single"/>
        </w:rPr>
      </w:pPr>
      <w:r>
        <w:rPr>
          <w:rFonts w:hint="eastAsia" w:hAnsi="宋体"/>
          <w:color w:val="auto"/>
          <w:sz w:val="21"/>
          <w:highlight w:val="none"/>
        </w:rPr>
        <w:t>1.资金性质：</w:t>
      </w:r>
      <w:r>
        <w:rPr>
          <w:rFonts w:hint="eastAsia" w:hAnsi="宋体"/>
          <w:color w:val="auto"/>
          <w:sz w:val="21"/>
          <w:highlight w:val="none"/>
          <w:u w:val="single"/>
        </w:rPr>
        <w:t xml:space="preserve">   财政性资金   </w:t>
      </w:r>
      <w:r>
        <w:rPr>
          <w:rFonts w:hint="eastAsia" w:hAnsi="宋体"/>
          <w:color w:val="auto"/>
          <w:sz w:val="21"/>
          <w:highlight w:val="none"/>
        </w:rPr>
        <w:t>。</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2.付款方式：</w:t>
      </w:r>
      <w:r>
        <w:rPr>
          <w:rFonts w:hint="eastAsia" w:hAnsi="宋体"/>
          <w:color w:val="auto"/>
          <w:sz w:val="21"/>
          <w:highlight w:val="none"/>
          <w:u w:val="single"/>
        </w:rPr>
        <w:t xml:space="preserve">                                                                            </w:t>
      </w:r>
      <w:r>
        <w:rPr>
          <w:rFonts w:hint="eastAsia" w:hAnsi="宋体"/>
          <w:color w:val="auto"/>
          <w:sz w:val="21"/>
          <w:highlight w:val="none"/>
        </w:rPr>
        <w:t>。</w:t>
      </w:r>
    </w:p>
    <w:p>
      <w:pPr>
        <w:snapToGrid w:val="0"/>
        <w:spacing w:line="440" w:lineRule="exact"/>
        <w:ind w:firstLine="422" w:firstLineChars="200"/>
        <w:rPr>
          <w:rFonts w:hAnsi="宋体"/>
          <w:b/>
          <w:color w:val="auto"/>
          <w:sz w:val="21"/>
          <w:highlight w:val="none"/>
        </w:rPr>
      </w:pPr>
      <w:r>
        <w:rPr>
          <w:rFonts w:hint="eastAsia" w:hAnsi="宋体"/>
          <w:b/>
          <w:color w:val="auto"/>
          <w:sz w:val="21"/>
          <w:highlight w:val="none"/>
        </w:rPr>
        <w:t>第九条　履约保证金</w:t>
      </w:r>
    </w:p>
    <w:p>
      <w:pPr>
        <w:snapToGrid w:val="0"/>
        <w:spacing w:line="440" w:lineRule="exact"/>
        <w:ind w:firstLine="422" w:firstLineChars="200"/>
        <w:rPr>
          <w:rFonts w:hint="default" w:hAnsi="宋体" w:eastAsia="宋体"/>
          <w:b/>
          <w:color w:val="auto"/>
          <w:sz w:val="21"/>
          <w:highlight w:val="none"/>
          <w:lang w:val="en-US" w:eastAsia="zh-CN"/>
        </w:rPr>
      </w:pPr>
      <w:r>
        <w:rPr>
          <w:rFonts w:hint="eastAsia" w:hAnsi="宋体"/>
          <w:b/>
          <w:color w:val="auto"/>
          <w:sz w:val="21"/>
          <w:highlight w:val="none"/>
          <w:lang w:val="en-US" w:eastAsia="zh-CN"/>
        </w:rPr>
        <w:t>无。</w:t>
      </w:r>
    </w:p>
    <w:p>
      <w:pPr>
        <w:snapToGrid w:val="0"/>
        <w:spacing w:line="440" w:lineRule="exact"/>
        <w:ind w:firstLine="422" w:firstLineChars="200"/>
        <w:rPr>
          <w:rFonts w:hAnsi="宋体"/>
          <w:b/>
          <w:color w:val="auto"/>
          <w:sz w:val="21"/>
          <w:highlight w:val="none"/>
        </w:rPr>
      </w:pPr>
      <w:r>
        <w:rPr>
          <w:rFonts w:hint="eastAsia" w:hAnsi="宋体"/>
          <w:b/>
          <w:color w:val="auto"/>
          <w:sz w:val="21"/>
          <w:highlight w:val="none"/>
        </w:rPr>
        <w:t>第十条　税费</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本合同执行中相关的一切税费均由乙方负担。</w:t>
      </w:r>
    </w:p>
    <w:p>
      <w:pPr>
        <w:snapToGrid w:val="0"/>
        <w:spacing w:line="440" w:lineRule="exact"/>
        <w:ind w:firstLine="422" w:firstLineChars="200"/>
        <w:rPr>
          <w:rFonts w:hAnsi="宋体"/>
          <w:b/>
          <w:color w:val="auto"/>
          <w:sz w:val="21"/>
          <w:highlight w:val="none"/>
        </w:rPr>
      </w:pPr>
      <w:r>
        <w:rPr>
          <w:rFonts w:hint="eastAsia" w:hAnsi="宋体"/>
          <w:b/>
          <w:color w:val="auto"/>
          <w:sz w:val="21"/>
          <w:highlight w:val="none"/>
        </w:rPr>
        <w:t>第十一条  质量保证及售后服务</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1.乙方应按</w:t>
      </w:r>
      <w:r>
        <w:rPr>
          <w:rFonts w:hint="eastAsia" w:hAnsi="宋体"/>
          <w:color w:val="auto"/>
          <w:sz w:val="21"/>
          <w:highlight w:val="none"/>
          <w:lang w:eastAsia="zh-CN"/>
        </w:rPr>
        <w:t>采购文件</w:t>
      </w:r>
      <w:r>
        <w:rPr>
          <w:rFonts w:hint="eastAsia" w:hAnsi="宋体"/>
          <w:color w:val="auto"/>
          <w:sz w:val="21"/>
          <w:highlight w:val="none"/>
        </w:rPr>
        <w:t>规定的货物性能、技术要求、质量标准向甲方提供未经使用的全新产品。不符合要求的，根据实际情况，经双方协商，可按以下办法处理：</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⑴更换：由乙方承担所发生的全部费用。</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⑵贬值处理：由甲乙双方合议定价。</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⑶退货处理：乙方应退还甲方支付的合同款，同时应承担该货物的直接费用（运输、保险、检验、货款利息及银行手续费等）。</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2.在质保期内，乙方应对货物出现的质量及安全问题负责处理解决并承担一切费用。</w:t>
      </w:r>
    </w:p>
    <w:p>
      <w:pPr>
        <w:snapToGrid w:val="0"/>
        <w:spacing w:line="440" w:lineRule="exact"/>
        <w:ind w:firstLine="420" w:firstLineChars="200"/>
        <w:rPr>
          <w:rFonts w:hint="eastAsia" w:hAnsi="宋体"/>
          <w:color w:val="auto"/>
          <w:sz w:val="21"/>
          <w:highlight w:val="none"/>
        </w:rPr>
      </w:pPr>
      <w:r>
        <w:rPr>
          <w:rFonts w:hint="eastAsia" w:hAnsi="宋体"/>
          <w:color w:val="auto"/>
          <w:sz w:val="21"/>
          <w:highlight w:val="none"/>
        </w:rPr>
        <w:t>3.因人为因素出现的设备故障不在保修范围内。超过保修期的机器设备，终生维修，维修时只收部件成本费。</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4.</w:t>
      </w:r>
      <w:r>
        <w:rPr>
          <w:rFonts w:hint="eastAsia" w:hAnsi="宋体" w:cs="宋体"/>
          <w:color w:val="auto"/>
          <w:sz w:val="21"/>
          <w:highlight w:val="none"/>
        </w:rPr>
        <w:t>若设备或零件需返厂修理，则设备或零件自取走至修复并交回给甲方的时间不能超过72时，如果不能在规定时间内维修完成，乙方应该提供代用设备或零件。</w:t>
      </w:r>
    </w:p>
    <w:p>
      <w:pPr>
        <w:snapToGrid w:val="0"/>
        <w:spacing w:line="440" w:lineRule="exact"/>
        <w:ind w:firstLine="422" w:firstLineChars="200"/>
        <w:rPr>
          <w:rFonts w:hAnsi="宋体"/>
          <w:color w:val="auto"/>
          <w:sz w:val="21"/>
          <w:highlight w:val="none"/>
        </w:rPr>
      </w:pPr>
      <w:r>
        <w:rPr>
          <w:rFonts w:hint="eastAsia" w:hAnsi="宋体"/>
          <w:b/>
          <w:color w:val="auto"/>
          <w:sz w:val="21"/>
          <w:highlight w:val="none"/>
        </w:rPr>
        <w:t>第十二条  验收（本条款适用于甲方自行验收，委托第三方验收的另行规定）</w:t>
      </w:r>
    </w:p>
    <w:p>
      <w:pPr>
        <w:snapToGrid w:val="0"/>
        <w:spacing w:line="460" w:lineRule="exact"/>
        <w:ind w:right="-16" w:firstLine="420" w:firstLineChars="200"/>
        <w:rPr>
          <w:rFonts w:hint="eastAsia" w:hAnsi="宋体" w:cs="仿宋"/>
          <w:color w:val="auto"/>
          <w:sz w:val="21"/>
          <w:highlight w:val="none"/>
        </w:rPr>
      </w:pPr>
      <w:r>
        <w:rPr>
          <w:rFonts w:hint="eastAsia" w:hAnsi="宋体" w:cs="仿宋"/>
          <w:color w:val="auto"/>
          <w:sz w:val="21"/>
          <w:highlight w:val="none"/>
        </w:rPr>
        <w:t>1.交付验收标准依次序对照适用标准为：①符合中华人民共和国国家安全质量标准、环保标准或行业标准；②符合</w:t>
      </w:r>
      <w:r>
        <w:rPr>
          <w:rFonts w:hint="eastAsia" w:hAnsi="宋体" w:cs="仿宋"/>
          <w:color w:val="auto"/>
          <w:sz w:val="21"/>
          <w:highlight w:val="none"/>
          <w:lang w:eastAsia="zh-CN"/>
        </w:rPr>
        <w:t>采购文件</w:t>
      </w:r>
      <w:r>
        <w:rPr>
          <w:rFonts w:hint="eastAsia" w:hAnsi="宋体" w:cs="仿宋"/>
          <w:color w:val="auto"/>
          <w:sz w:val="21"/>
          <w:highlight w:val="none"/>
        </w:rPr>
        <w:t>和</w:t>
      </w:r>
      <w:r>
        <w:rPr>
          <w:rFonts w:hint="eastAsia" w:hAnsi="宋体" w:cs="仿宋"/>
          <w:color w:val="auto"/>
          <w:sz w:val="21"/>
          <w:highlight w:val="none"/>
          <w:lang w:eastAsia="zh-CN"/>
        </w:rPr>
        <w:t>响应文件</w:t>
      </w:r>
      <w:r>
        <w:rPr>
          <w:rFonts w:hint="eastAsia" w:hAnsi="宋体" w:cs="仿宋"/>
          <w:color w:val="auto"/>
          <w:sz w:val="21"/>
          <w:highlight w:val="none"/>
        </w:rPr>
        <w:t>承诺中甲方认可的合理最佳配置、参数及各项要求；③货物符合国家官方合格标准。</w:t>
      </w:r>
    </w:p>
    <w:p>
      <w:pPr>
        <w:snapToGrid w:val="0"/>
        <w:spacing w:line="460" w:lineRule="exact"/>
        <w:ind w:right="-16" w:firstLine="420" w:firstLineChars="200"/>
        <w:rPr>
          <w:rFonts w:hint="eastAsia" w:hAnsi="宋体" w:cs="仿宋"/>
          <w:color w:val="auto"/>
          <w:sz w:val="21"/>
          <w:highlight w:val="none"/>
        </w:rPr>
      </w:pPr>
      <w:r>
        <w:rPr>
          <w:rFonts w:hint="eastAsia" w:hAnsi="宋体" w:cs="仿宋"/>
          <w:color w:val="auto"/>
          <w:sz w:val="21"/>
          <w:highlight w:val="none"/>
        </w:rPr>
        <w:t>2.乙方须确保货物为原制造商制造的全新产品，无污染，无侵权行为、表面无划损、无任何缺陷隐患，在中国境内可依常规安全合法使用。</w:t>
      </w:r>
    </w:p>
    <w:p>
      <w:pPr>
        <w:snapToGrid w:val="0"/>
        <w:spacing w:line="460" w:lineRule="exact"/>
        <w:ind w:right="-16" w:firstLine="420" w:firstLineChars="200"/>
        <w:rPr>
          <w:rFonts w:hint="eastAsia" w:hAnsi="宋体" w:cs="仿宋"/>
          <w:color w:val="auto"/>
          <w:sz w:val="21"/>
          <w:highlight w:val="none"/>
        </w:rPr>
      </w:pPr>
      <w:r>
        <w:rPr>
          <w:rFonts w:hint="eastAsia" w:hAnsi="宋体" w:cs="仿宋"/>
          <w:color w:val="auto"/>
          <w:sz w:val="21"/>
          <w:highlight w:val="none"/>
        </w:rPr>
        <w:t>3.供货时乙方应将关键货物的用户手册、保修手册、有关单证资料及配备件等交付给甲方，使用操作及安全须知等重要资料应附有中文说明。</w:t>
      </w:r>
    </w:p>
    <w:p>
      <w:pPr>
        <w:snapToGrid w:val="0"/>
        <w:spacing w:line="460" w:lineRule="exact"/>
        <w:ind w:right="-16" w:firstLine="420" w:firstLineChars="200"/>
        <w:rPr>
          <w:rFonts w:hint="eastAsia" w:hAnsi="宋体" w:cs="仿宋"/>
          <w:color w:val="auto"/>
          <w:sz w:val="21"/>
          <w:highlight w:val="none"/>
        </w:rPr>
      </w:pPr>
      <w:r>
        <w:rPr>
          <w:rFonts w:hint="eastAsia" w:hAnsi="宋体" w:cs="仿宋"/>
          <w:color w:val="auto"/>
          <w:sz w:val="21"/>
          <w:highlight w:val="none"/>
        </w:rPr>
        <w:t>4.甲方按国家有关规定、规范进行验收，必要时邀请相关的专业人员或机构参与验收。因货物质量问题发生争议时，由本地质量技术监督部门鉴定。鉴定费由乙方承担。</w:t>
      </w:r>
    </w:p>
    <w:p>
      <w:pPr>
        <w:snapToGrid w:val="0"/>
        <w:spacing w:line="460" w:lineRule="exact"/>
        <w:ind w:right="-16" w:firstLine="420" w:firstLineChars="200"/>
        <w:rPr>
          <w:rFonts w:hint="eastAsia" w:hAnsi="宋体" w:cs="仿宋"/>
          <w:color w:val="auto"/>
          <w:sz w:val="21"/>
          <w:highlight w:val="none"/>
        </w:rPr>
      </w:pPr>
      <w:r>
        <w:rPr>
          <w:rFonts w:hint="eastAsia" w:hAnsi="宋体" w:cs="仿宋"/>
          <w:color w:val="auto"/>
          <w:sz w:val="21"/>
          <w:highlight w:val="none"/>
        </w:rPr>
        <w:t>5.乙方必须依照</w:t>
      </w:r>
      <w:r>
        <w:rPr>
          <w:rFonts w:hint="eastAsia" w:hAnsi="宋体" w:cs="仿宋"/>
          <w:color w:val="auto"/>
          <w:sz w:val="21"/>
          <w:highlight w:val="none"/>
          <w:lang w:eastAsia="zh-CN"/>
        </w:rPr>
        <w:t>采购文件</w:t>
      </w:r>
      <w:r>
        <w:rPr>
          <w:rFonts w:hint="eastAsia" w:hAnsi="宋体" w:cs="仿宋"/>
          <w:color w:val="auto"/>
          <w:sz w:val="21"/>
          <w:highlight w:val="none"/>
        </w:rPr>
        <w:t>的要求和</w:t>
      </w:r>
      <w:r>
        <w:rPr>
          <w:rFonts w:hint="eastAsia" w:hAnsi="宋体" w:cs="仿宋"/>
          <w:color w:val="auto"/>
          <w:sz w:val="21"/>
          <w:highlight w:val="none"/>
          <w:lang w:eastAsia="zh-CN"/>
        </w:rPr>
        <w:t>响应文件</w:t>
      </w:r>
      <w:r>
        <w:rPr>
          <w:rFonts w:hint="eastAsia" w:hAnsi="宋体" w:cs="仿宋"/>
          <w:color w:val="auto"/>
          <w:sz w:val="21"/>
          <w:highlight w:val="none"/>
        </w:rPr>
        <w:t>的承诺，将设备、系统安装并调试至正常运行的最佳状态。如设备不匹配或运行不稳定，甲方有权要求退换货，退换货达2次，设备仍无法正常运行的，甲方经政府采购监督管理部门同意有权解除合同。</w:t>
      </w:r>
    </w:p>
    <w:p>
      <w:pPr>
        <w:snapToGrid w:val="0"/>
        <w:spacing w:line="460" w:lineRule="exact"/>
        <w:ind w:right="-16" w:firstLine="420" w:firstLineChars="200"/>
        <w:rPr>
          <w:rFonts w:hint="eastAsia" w:hAnsi="宋体" w:cs="仿宋"/>
          <w:color w:val="auto"/>
          <w:sz w:val="21"/>
          <w:highlight w:val="none"/>
        </w:rPr>
      </w:pPr>
      <w:r>
        <w:rPr>
          <w:rFonts w:hint="eastAsia" w:hAnsi="宋体" w:cs="仿宋"/>
          <w:color w:val="auto"/>
          <w:sz w:val="21"/>
          <w:highlight w:val="none"/>
        </w:rPr>
        <w:t>6.甲方对乙方提交的货物依据采购（或投标）文件及签订的合同上的技术规格要求和国家有关质量标准进行现场初步验收，外观、说明书符合</w:t>
      </w:r>
      <w:r>
        <w:rPr>
          <w:rFonts w:hint="eastAsia" w:hAnsi="宋体" w:cs="仿宋"/>
          <w:color w:val="auto"/>
          <w:sz w:val="21"/>
          <w:highlight w:val="none"/>
          <w:lang w:eastAsia="zh-CN"/>
        </w:rPr>
        <w:t>采购文件</w:t>
      </w:r>
      <w:r>
        <w:rPr>
          <w:rFonts w:hint="eastAsia" w:hAnsi="宋体" w:cs="仿宋"/>
          <w:color w:val="auto"/>
          <w:sz w:val="21"/>
          <w:highlight w:val="none"/>
        </w:rPr>
        <w:t>技术要求的，给予签收，初步验收不合格的不予签收。</w:t>
      </w:r>
    </w:p>
    <w:p>
      <w:pPr>
        <w:snapToGrid w:val="0"/>
        <w:spacing w:line="460" w:lineRule="exact"/>
        <w:ind w:right="-16" w:firstLine="420" w:firstLineChars="200"/>
        <w:rPr>
          <w:rFonts w:hint="eastAsia" w:hAnsi="宋体" w:cs="仿宋"/>
          <w:color w:val="auto"/>
          <w:sz w:val="21"/>
          <w:highlight w:val="none"/>
        </w:rPr>
      </w:pPr>
      <w:r>
        <w:rPr>
          <w:rFonts w:hint="eastAsia" w:hAnsi="宋体" w:cs="仿宋"/>
          <w:color w:val="auto"/>
          <w:sz w:val="21"/>
          <w:highlight w:val="none"/>
        </w:rPr>
        <w:t>7.甲方对乙方提供的货物验收前，乙方需负责安装完毕、培训甲方的使用操作人员并协助甲方一起调试，直到符合招</w:t>
      </w:r>
      <w:r>
        <w:rPr>
          <w:rFonts w:hint="eastAsia" w:hAnsi="宋体" w:cs="仿宋"/>
          <w:color w:val="auto"/>
          <w:sz w:val="21"/>
          <w:highlight w:val="none"/>
          <w:lang w:eastAsia="zh-CN"/>
        </w:rPr>
        <w:t>响应文件</w:t>
      </w:r>
      <w:r>
        <w:rPr>
          <w:rFonts w:hint="eastAsia" w:hAnsi="宋体" w:cs="仿宋"/>
          <w:color w:val="auto"/>
          <w:sz w:val="21"/>
          <w:highlight w:val="none"/>
        </w:rPr>
        <w:t>及签订的合同规定的技术要求，甲方才做最终验收。在验收过程中发现乙方有违约问题，可暂缓资金结算，待违约问题解决后，方可办理资金结算事宜。</w:t>
      </w:r>
    </w:p>
    <w:p>
      <w:pPr>
        <w:snapToGrid w:val="0"/>
        <w:spacing w:line="460" w:lineRule="exact"/>
        <w:ind w:right="-16" w:firstLine="420" w:firstLineChars="200"/>
        <w:rPr>
          <w:rFonts w:hint="eastAsia" w:hAnsi="宋体" w:cs="仿宋"/>
          <w:color w:val="auto"/>
          <w:sz w:val="21"/>
          <w:highlight w:val="none"/>
        </w:rPr>
      </w:pPr>
      <w:r>
        <w:rPr>
          <w:rFonts w:hint="eastAsia" w:hAnsi="宋体" w:cs="仿宋"/>
          <w:color w:val="auto"/>
          <w:sz w:val="21"/>
          <w:highlight w:val="none"/>
        </w:rPr>
        <w:t>8.对技术复杂的货物，甲方可聘请国家认可的专业检测机构参与初步验收及最终验收并由其出具质量检测报告，检测费用由乙方垫付和承担。</w:t>
      </w:r>
    </w:p>
    <w:p>
      <w:pPr>
        <w:snapToGrid w:val="0"/>
        <w:spacing w:line="460" w:lineRule="exact"/>
        <w:ind w:right="-16" w:firstLine="420" w:firstLineChars="200"/>
        <w:rPr>
          <w:rFonts w:hint="eastAsia" w:hAnsi="宋体" w:cs="仿宋"/>
          <w:color w:val="auto"/>
          <w:sz w:val="21"/>
          <w:highlight w:val="none"/>
        </w:rPr>
      </w:pPr>
      <w:r>
        <w:rPr>
          <w:rFonts w:hint="eastAsia" w:hAnsi="宋体" w:cs="仿宋"/>
          <w:color w:val="auto"/>
          <w:sz w:val="21"/>
          <w:highlight w:val="none"/>
        </w:rPr>
        <w:t>9.验收时乙方代表必须在现场，验收完毕后作出验收结果报告；验收费用由乙方承担。</w:t>
      </w:r>
    </w:p>
    <w:p>
      <w:pPr>
        <w:snapToGrid w:val="0"/>
        <w:spacing w:line="460" w:lineRule="exact"/>
        <w:ind w:right="-16" w:firstLine="420" w:firstLineChars="200"/>
        <w:rPr>
          <w:rFonts w:hint="eastAsia" w:hAnsi="宋体" w:cs="仿宋"/>
          <w:color w:val="auto"/>
          <w:sz w:val="21"/>
          <w:highlight w:val="none"/>
        </w:rPr>
      </w:pPr>
      <w:r>
        <w:rPr>
          <w:rFonts w:hint="eastAsia" w:hAnsi="宋体" w:cs="仿宋"/>
          <w:color w:val="auto"/>
          <w:sz w:val="21"/>
          <w:highlight w:val="none"/>
        </w:rPr>
        <w:t>10.乙方对验收结果有异议的，须在验收后5个工作日内以书面形式向甲方提出，甲方自收到乙方书面异议后5个工作日内及时予以复核并书面回复最终验收结果。</w:t>
      </w:r>
    </w:p>
    <w:p>
      <w:pPr>
        <w:snapToGrid w:val="0"/>
        <w:spacing w:line="460" w:lineRule="exact"/>
        <w:ind w:right="-16" w:firstLine="420" w:firstLineChars="200"/>
        <w:rPr>
          <w:rFonts w:hint="eastAsia" w:hAnsi="宋体" w:cs="仿宋"/>
          <w:color w:val="auto"/>
          <w:sz w:val="21"/>
          <w:highlight w:val="none"/>
        </w:rPr>
      </w:pPr>
      <w:r>
        <w:rPr>
          <w:rFonts w:hint="eastAsia" w:hAnsi="宋体" w:cs="仿宋"/>
          <w:color w:val="auto"/>
          <w:sz w:val="21"/>
          <w:highlight w:val="none"/>
        </w:rPr>
        <w:t>11.如乙方有下列情况之一的，甲方有权拒绝验收和支付款项，并依照处罚条款作出相应处罚：</w:t>
      </w:r>
    </w:p>
    <w:p>
      <w:pPr>
        <w:snapToGrid w:val="0"/>
        <w:spacing w:line="460" w:lineRule="exact"/>
        <w:ind w:right="-16" w:firstLine="420" w:firstLineChars="200"/>
        <w:rPr>
          <w:rFonts w:hint="eastAsia" w:hAnsi="宋体" w:cs="仿宋"/>
          <w:color w:val="auto"/>
          <w:sz w:val="21"/>
          <w:highlight w:val="none"/>
        </w:rPr>
      </w:pPr>
      <w:r>
        <w:rPr>
          <w:rFonts w:hint="eastAsia" w:hAnsi="宋体" w:cs="仿宋"/>
          <w:color w:val="auto"/>
          <w:sz w:val="21"/>
          <w:highlight w:val="none"/>
        </w:rPr>
        <w:t>（1）提供的货物规格、技术标准、材料未达到其</w:t>
      </w:r>
      <w:r>
        <w:rPr>
          <w:rFonts w:hint="eastAsia" w:hAnsi="宋体" w:cs="仿宋"/>
          <w:color w:val="auto"/>
          <w:sz w:val="21"/>
          <w:highlight w:val="none"/>
          <w:lang w:eastAsia="zh-CN"/>
        </w:rPr>
        <w:t>响应文件</w:t>
      </w:r>
      <w:r>
        <w:rPr>
          <w:rFonts w:hint="eastAsia" w:hAnsi="宋体" w:cs="仿宋"/>
          <w:color w:val="auto"/>
          <w:sz w:val="21"/>
          <w:highlight w:val="none"/>
        </w:rPr>
        <w:t>所承诺的，导致无法通过验收交付使用的；</w:t>
      </w:r>
    </w:p>
    <w:p>
      <w:pPr>
        <w:snapToGrid w:val="0"/>
        <w:spacing w:line="460" w:lineRule="exact"/>
        <w:ind w:right="-16" w:firstLine="420" w:firstLineChars="200"/>
        <w:rPr>
          <w:rFonts w:hint="eastAsia" w:hAnsi="宋体" w:cs="仿宋"/>
          <w:color w:val="auto"/>
          <w:sz w:val="21"/>
          <w:highlight w:val="none"/>
        </w:rPr>
      </w:pPr>
      <w:r>
        <w:rPr>
          <w:rFonts w:hint="eastAsia" w:hAnsi="宋体" w:cs="仿宋"/>
          <w:color w:val="auto"/>
          <w:sz w:val="21"/>
          <w:highlight w:val="none"/>
        </w:rPr>
        <w:t>（2）提供的货物经查证无法得到生产厂家正规售后服务的；</w:t>
      </w:r>
    </w:p>
    <w:p>
      <w:pPr>
        <w:snapToGrid w:val="0"/>
        <w:spacing w:line="460" w:lineRule="exact"/>
        <w:ind w:right="-16" w:firstLine="420" w:firstLineChars="200"/>
        <w:rPr>
          <w:rFonts w:hint="eastAsia" w:hAnsi="宋体" w:cs="仿宋"/>
          <w:color w:val="auto"/>
          <w:sz w:val="21"/>
          <w:highlight w:val="none"/>
        </w:rPr>
      </w:pPr>
      <w:r>
        <w:rPr>
          <w:rFonts w:hint="eastAsia" w:hAnsi="宋体" w:cs="仿宋"/>
          <w:color w:val="auto"/>
          <w:sz w:val="21"/>
          <w:highlight w:val="none"/>
        </w:rPr>
        <w:t>（3）提供的货物未经正规合法经销渠道的；</w:t>
      </w:r>
    </w:p>
    <w:p>
      <w:pPr>
        <w:snapToGrid w:val="0"/>
        <w:spacing w:line="460" w:lineRule="exact"/>
        <w:ind w:right="-16" w:firstLine="420" w:firstLineChars="200"/>
        <w:rPr>
          <w:rFonts w:hint="eastAsia" w:hAnsi="宋体" w:cs="仿宋"/>
          <w:color w:val="auto"/>
          <w:sz w:val="21"/>
          <w:highlight w:val="none"/>
        </w:rPr>
      </w:pPr>
      <w:r>
        <w:rPr>
          <w:rFonts w:hint="eastAsia" w:hAnsi="宋体" w:cs="仿宋"/>
          <w:color w:val="auto"/>
          <w:sz w:val="21"/>
          <w:highlight w:val="none"/>
        </w:rPr>
        <w:t>（4）提供的货物侵犯了第三方合法权益而引发了纠纷或诉讼，导致无法按期交付使用的；</w:t>
      </w:r>
    </w:p>
    <w:p>
      <w:pPr>
        <w:snapToGrid w:val="0"/>
        <w:spacing w:line="460" w:lineRule="exact"/>
        <w:ind w:right="-16" w:firstLine="420" w:firstLineChars="200"/>
        <w:rPr>
          <w:rFonts w:hint="eastAsia" w:hAnsi="宋体" w:cs="仿宋"/>
          <w:color w:val="auto"/>
          <w:sz w:val="21"/>
          <w:highlight w:val="none"/>
        </w:rPr>
      </w:pPr>
      <w:r>
        <w:rPr>
          <w:rFonts w:hint="eastAsia" w:hAnsi="宋体" w:cs="仿宋"/>
          <w:color w:val="auto"/>
          <w:sz w:val="21"/>
          <w:highlight w:val="none"/>
        </w:rPr>
        <w:t>（5）所交的货物品种、型号、规格、质量等不符合</w:t>
      </w:r>
      <w:r>
        <w:rPr>
          <w:rFonts w:hint="eastAsia" w:hAnsi="宋体" w:cs="仿宋"/>
          <w:color w:val="auto"/>
          <w:sz w:val="21"/>
          <w:highlight w:val="none"/>
          <w:lang w:eastAsia="zh-CN"/>
        </w:rPr>
        <w:t>响应文件</w:t>
      </w:r>
      <w:r>
        <w:rPr>
          <w:rFonts w:hint="eastAsia" w:hAnsi="宋体" w:cs="仿宋"/>
          <w:color w:val="auto"/>
          <w:sz w:val="21"/>
          <w:highlight w:val="none"/>
        </w:rPr>
        <w:t>提供的技术数据经实际测试发现不真实的。</w:t>
      </w:r>
    </w:p>
    <w:p>
      <w:pPr>
        <w:snapToGrid w:val="0"/>
        <w:spacing w:line="460" w:lineRule="exact"/>
        <w:ind w:right="-16" w:firstLine="420" w:firstLineChars="200"/>
        <w:rPr>
          <w:rFonts w:hAnsi="宋体" w:cs="仿宋"/>
          <w:color w:val="auto"/>
          <w:sz w:val="21"/>
          <w:highlight w:val="none"/>
        </w:rPr>
      </w:pPr>
      <w:r>
        <w:rPr>
          <w:rFonts w:hint="eastAsia" w:hAnsi="宋体" w:cs="仿宋"/>
          <w:color w:val="auto"/>
          <w:sz w:val="21"/>
          <w:highlight w:val="none"/>
        </w:rPr>
        <w:t>（6）发现所提供的产品有弄虚作假的行为的。</w:t>
      </w:r>
    </w:p>
    <w:p>
      <w:pPr>
        <w:snapToGrid w:val="0"/>
        <w:spacing w:line="460" w:lineRule="exact"/>
        <w:ind w:right="-16" w:firstLine="420" w:firstLineChars="200"/>
        <w:rPr>
          <w:rFonts w:hAnsi="宋体" w:cs="仿宋"/>
          <w:color w:val="auto"/>
          <w:sz w:val="21"/>
          <w:highlight w:val="none"/>
        </w:rPr>
      </w:pPr>
      <w:r>
        <w:rPr>
          <w:rFonts w:hint="eastAsia" w:hAnsi="宋体" w:cs="仿宋"/>
          <w:color w:val="auto"/>
          <w:sz w:val="21"/>
          <w:highlight w:val="none"/>
        </w:rPr>
        <w:t>12.甲方有权委托第三方进行履约验收，履约验收费用由乙方支付。</w:t>
      </w:r>
    </w:p>
    <w:p>
      <w:pPr>
        <w:snapToGrid w:val="0"/>
        <w:spacing w:line="460" w:lineRule="exact"/>
        <w:ind w:right="-16" w:firstLine="420" w:firstLineChars="200"/>
        <w:rPr>
          <w:rFonts w:hAnsi="宋体" w:cs="仿宋"/>
          <w:color w:val="auto"/>
          <w:sz w:val="21"/>
          <w:highlight w:val="none"/>
        </w:rPr>
      </w:pPr>
      <w:r>
        <w:rPr>
          <w:rFonts w:hAnsi="宋体" w:cs="仿宋"/>
          <w:color w:val="auto"/>
          <w:sz w:val="21"/>
          <w:highlight w:val="none"/>
        </w:rPr>
        <w:t>13</w:t>
      </w:r>
      <w:r>
        <w:rPr>
          <w:rFonts w:hint="eastAsia" w:hAnsi="宋体" w:cs="仿宋"/>
          <w:color w:val="auto"/>
          <w:sz w:val="21"/>
          <w:highlight w:val="none"/>
        </w:rPr>
        <w:t>.甲方应当在安装、调试完成且收到乙方验收申请后5个工作日内组织验收，并提出验收意见。验收合格后由甲乙双方签署货物验收单并加盖双方单位公章，甲乙双方各执一份。</w:t>
      </w:r>
    </w:p>
    <w:p>
      <w:pPr>
        <w:snapToGrid w:val="0"/>
        <w:spacing w:line="440" w:lineRule="exact"/>
        <w:ind w:firstLine="422" w:firstLineChars="200"/>
        <w:rPr>
          <w:rFonts w:hAnsi="宋体"/>
          <w:b/>
          <w:color w:val="auto"/>
          <w:sz w:val="21"/>
          <w:highlight w:val="none"/>
        </w:rPr>
      </w:pPr>
      <w:r>
        <w:rPr>
          <w:rFonts w:hint="eastAsia" w:hAnsi="宋体"/>
          <w:b/>
          <w:color w:val="auto"/>
          <w:sz w:val="21"/>
          <w:highlight w:val="none"/>
        </w:rPr>
        <w:t>第十三条  货物包装、发运及运输</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1.乙方应在货物发运前对其进行满足运输距离、防潮、防震、防锈和防破损装卸等要求包装，以保证货物安全运达甲方指定地点。</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2.使用说明书（货物属于进口产品的，供货时应同时附上中文使用说明书）、质量检验证明书、随配附件和工具以及清单一并附于货物内。</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3.乙方在货物发运手续办理完毕后二十四小时内或货到甲方四十八小时前通知甲方，以准备接货。</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4.货物在交付甲方前发生的风险均由乙方负责。</w:t>
      </w:r>
    </w:p>
    <w:p>
      <w:pPr>
        <w:snapToGrid w:val="0"/>
        <w:spacing w:line="440" w:lineRule="exact"/>
        <w:ind w:firstLine="420" w:firstLineChars="200"/>
        <w:rPr>
          <w:rFonts w:hAnsi="宋体"/>
          <w:b/>
          <w:color w:val="auto"/>
          <w:sz w:val="21"/>
          <w:highlight w:val="none"/>
        </w:rPr>
      </w:pPr>
      <w:r>
        <w:rPr>
          <w:rFonts w:hint="eastAsia" w:hAnsi="宋体"/>
          <w:color w:val="auto"/>
          <w:sz w:val="21"/>
          <w:highlight w:val="none"/>
        </w:rPr>
        <w:t>5.货物在规定的交付期限内由乙方送达甲方指定的地点视为交付，乙方同时需</w:t>
      </w:r>
      <w:r>
        <w:rPr>
          <w:rFonts w:hint="eastAsia" w:hAnsi="宋体"/>
          <w:color w:val="auto"/>
          <w:spacing w:val="-8"/>
          <w:sz w:val="21"/>
          <w:highlight w:val="none"/>
        </w:rPr>
        <w:t>通知甲方货物已送达。</w:t>
      </w:r>
    </w:p>
    <w:p>
      <w:pPr>
        <w:snapToGrid w:val="0"/>
        <w:spacing w:line="440" w:lineRule="exact"/>
        <w:ind w:firstLine="422" w:firstLineChars="200"/>
        <w:rPr>
          <w:rFonts w:hAnsi="宋体"/>
          <w:b/>
          <w:color w:val="auto"/>
          <w:sz w:val="21"/>
          <w:highlight w:val="none"/>
        </w:rPr>
      </w:pPr>
      <w:r>
        <w:rPr>
          <w:rFonts w:hint="eastAsia" w:hAnsi="宋体"/>
          <w:b/>
          <w:color w:val="auto"/>
          <w:sz w:val="21"/>
          <w:highlight w:val="none"/>
        </w:rPr>
        <w:t>第十四条  违约责任</w:t>
      </w:r>
    </w:p>
    <w:p>
      <w:pPr>
        <w:snapToGrid w:val="0"/>
        <w:spacing w:line="440" w:lineRule="exact"/>
        <w:ind w:firstLine="420" w:firstLineChars="200"/>
        <w:rPr>
          <w:rFonts w:hint="eastAsia" w:hAnsi="宋体"/>
          <w:color w:val="auto"/>
          <w:sz w:val="21"/>
          <w:highlight w:val="none"/>
        </w:rPr>
      </w:pPr>
      <w:r>
        <w:rPr>
          <w:rFonts w:hAnsi="宋体"/>
          <w:color w:val="auto"/>
          <w:sz w:val="21"/>
          <w:highlight w:val="none"/>
        </w:rPr>
        <w:t>1</w:t>
      </w:r>
      <w:r>
        <w:rPr>
          <w:rFonts w:hint="eastAsia" w:hAnsi="宋体"/>
          <w:color w:val="auto"/>
          <w:sz w:val="21"/>
          <w:highlight w:val="none"/>
        </w:rPr>
        <w:t>.甲方无故延期接收货物、乙方逾期交货的，每天向对方偿付违约货款额</w:t>
      </w:r>
      <w:r>
        <w:rPr>
          <w:rFonts w:hint="eastAsia" w:hAnsi="宋体"/>
          <w:color w:val="auto"/>
          <w:sz w:val="21"/>
          <w:highlight w:val="none"/>
          <w:u w:val="single"/>
        </w:rPr>
        <w:t>3‰</w:t>
      </w:r>
      <w:r>
        <w:rPr>
          <w:rFonts w:hint="eastAsia" w:hAnsi="宋体"/>
          <w:color w:val="auto"/>
          <w:sz w:val="21"/>
          <w:highlight w:val="none"/>
        </w:rPr>
        <w:t>违约金，但违约金累计不得超过合同总金额的</w:t>
      </w:r>
      <w:r>
        <w:rPr>
          <w:rFonts w:hint="eastAsia" w:hAnsi="宋体"/>
          <w:color w:val="auto"/>
          <w:sz w:val="21"/>
          <w:highlight w:val="none"/>
          <w:u w:val="single"/>
        </w:rPr>
        <w:t>5%</w:t>
      </w:r>
      <w:r>
        <w:rPr>
          <w:rFonts w:hint="eastAsia" w:hAnsi="宋体"/>
          <w:color w:val="auto"/>
          <w:sz w:val="21"/>
          <w:highlight w:val="none"/>
        </w:rPr>
        <w:t>，超过</w:t>
      </w:r>
      <w:r>
        <w:rPr>
          <w:rFonts w:hint="eastAsia" w:hAnsi="宋体"/>
          <w:color w:val="auto"/>
          <w:sz w:val="21"/>
          <w:highlight w:val="none"/>
          <w:u w:val="single"/>
        </w:rPr>
        <w:t xml:space="preserve"> 十 </w:t>
      </w:r>
      <w:r>
        <w:rPr>
          <w:rFonts w:hint="eastAsia" w:hAnsi="宋体"/>
          <w:color w:val="auto"/>
          <w:sz w:val="21"/>
          <w:highlight w:val="none"/>
        </w:rPr>
        <w:t>天对方有权解除合同，违约方承担因此给对方造成的经济损失；甲方延期付货款的，每天向乙方偿付延期货款额</w:t>
      </w:r>
      <w:r>
        <w:rPr>
          <w:rFonts w:hint="eastAsia" w:hAnsi="宋体"/>
          <w:color w:val="auto"/>
          <w:sz w:val="21"/>
          <w:highlight w:val="none"/>
          <w:u w:val="single"/>
        </w:rPr>
        <w:t>3‰</w:t>
      </w:r>
      <w:r>
        <w:rPr>
          <w:rFonts w:hint="eastAsia" w:hAnsi="宋体"/>
          <w:color w:val="auto"/>
          <w:sz w:val="21"/>
          <w:highlight w:val="none"/>
        </w:rPr>
        <w:t>滞纳金，但滞纳金累计不得超过合同总金额的</w:t>
      </w:r>
      <w:r>
        <w:rPr>
          <w:rFonts w:hint="eastAsia" w:hAnsi="宋体"/>
          <w:color w:val="auto"/>
          <w:sz w:val="21"/>
          <w:highlight w:val="none"/>
          <w:u w:val="single"/>
        </w:rPr>
        <w:t>5%</w:t>
      </w:r>
      <w:r>
        <w:rPr>
          <w:rFonts w:hint="eastAsia" w:hAnsi="宋体"/>
          <w:color w:val="auto"/>
          <w:sz w:val="21"/>
          <w:highlight w:val="none"/>
        </w:rPr>
        <w:t>。</w:t>
      </w:r>
    </w:p>
    <w:p>
      <w:pPr>
        <w:snapToGrid w:val="0"/>
        <w:spacing w:line="460" w:lineRule="exact"/>
        <w:ind w:right="-16" w:firstLine="420" w:firstLineChars="200"/>
        <w:rPr>
          <w:rFonts w:hint="eastAsia" w:hAnsi="宋体" w:cs="仿宋"/>
          <w:color w:val="auto"/>
          <w:sz w:val="21"/>
          <w:highlight w:val="none"/>
        </w:rPr>
      </w:pPr>
      <w:r>
        <w:rPr>
          <w:rFonts w:hAnsi="宋体" w:cs="仿宋"/>
          <w:color w:val="auto"/>
          <w:sz w:val="21"/>
          <w:highlight w:val="none"/>
        </w:rPr>
        <w:t>2</w:t>
      </w:r>
      <w:r>
        <w:rPr>
          <w:rFonts w:hint="eastAsia" w:hAnsi="宋体" w:cs="仿宋"/>
          <w:color w:val="auto"/>
          <w:sz w:val="21"/>
          <w:highlight w:val="none"/>
        </w:rPr>
        <w:t xml:space="preserve">.乙方所提供的货物规格、技术标准、材料等质量不合格或不符合相关法律法规的，应按要求在 5日内更换完毕，更换不及时的按逾期交货处罚，并承担由此造成的损失；若货物投入使用后，甲方在使用过程中发现货物存在交货时未发现的其他技术标准、材料等质量不合格或不符合相关法律法规问题的（包括乙方应提供而未提供的相关法律法规要求必须具备的资质材料或资质材料到期未及时更新提供的），甲方可要求更换或退货，乙方须支付甲方该批货款额的30%作为赔偿金。存在质量问题的，甲方有权拒绝接收，同时有权要求乙方支付该批货款额5%违约金并赔偿甲方经济损失。                                       </w:t>
      </w:r>
    </w:p>
    <w:p>
      <w:pPr>
        <w:snapToGrid w:val="0"/>
        <w:spacing w:line="460" w:lineRule="exact"/>
        <w:ind w:right="-16" w:firstLine="420" w:firstLineChars="200"/>
        <w:rPr>
          <w:rFonts w:hint="eastAsia" w:hAnsi="宋体" w:cs="仿宋"/>
          <w:color w:val="auto"/>
          <w:sz w:val="21"/>
          <w:highlight w:val="none"/>
        </w:rPr>
      </w:pPr>
      <w:r>
        <w:rPr>
          <w:rFonts w:hAnsi="宋体" w:cs="仿宋"/>
          <w:color w:val="auto"/>
          <w:sz w:val="21"/>
          <w:highlight w:val="none"/>
        </w:rPr>
        <w:t>3</w:t>
      </w:r>
      <w:r>
        <w:rPr>
          <w:rFonts w:hint="eastAsia" w:hAnsi="宋体" w:cs="仿宋"/>
          <w:color w:val="auto"/>
          <w:sz w:val="21"/>
          <w:highlight w:val="none"/>
        </w:rPr>
        <w:t>.乙方提供的货物如侵犯了第三方合法权益而引发的任何纠纷或诉讼，均由乙方负责交涉并承担全部责任。如因提供的货物侵犯了第三方合法权益而引发了纠纷或诉讼，导致无法按期交付使用的，甲方可拒绝验收，同时有权要求乙方支付该批货款额5%违约金并赔偿甲方经济损失。</w:t>
      </w:r>
    </w:p>
    <w:p>
      <w:pPr>
        <w:snapToGrid w:val="0"/>
        <w:spacing w:line="460" w:lineRule="exact"/>
        <w:ind w:right="-16" w:firstLine="420" w:firstLineChars="200"/>
        <w:rPr>
          <w:rFonts w:hint="eastAsia" w:hAnsi="宋体" w:cs="仿宋"/>
          <w:color w:val="auto"/>
          <w:sz w:val="21"/>
          <w:highlight w:val="none"/>
        </w:rPr>
      </w:pPr>
      <w:r>
        <w:rPr>
          <w:rFonts w:hAnsi="宋体" w:cs="仿宋"/>
          <w:color w:val="auto"/>
          <w:sz w:val="21"/>
          <w:highlight w:val="none"/>
        </w:rPr>
        <w:t>4</w:t>
      </w:r>
      <w:r>
        <w:rPr>
          <w:rFonts w:hint="eastAsia" w:hAnsi="宋体" w:cs="仿宋"/>
          <w:color w:val="auto"/>
          <w:sz w:val="21"/>
          <w:highlight w:val="none"/>
        </w:rPr>
        <w:t>.因包装、运输引起的货物损坏，按质量不合格处理。</w:t>
      </w:r>
    </w:p>
    <w:p>
      <w:pPr>
        <w:snapToGrid w:val="0"/>
        <w:spacing w:line="460" w:lineRule="exact"/>
        <w:ind w:right="-16" w:firstLine="420" w:firstLineChars="200"/>
        <w:rPr>
          <w:rFonts w:hint="eastAsia" w:hAnsi="宋体" w:cs="仿宋"/>
          <w:color w:val="auto"/>
          <w:sz w:val="21"/>
          <w:highlight w:val="none"/>
        </w:rPr>
      </w:pPr>
      <w:r>
        <w:rPr>
          <w:rFonts w:hAnsi="宋体" w:cs="仿宋"/>
          <w:color w:val="auto"/>
          <w:sz w:val="21"/>
          <w:highlight w:val="none"/>
        </w:rPr>
        <w:t>5</w:t>
      </w:r>
      <w:r>
        <w:rPr>
          <w:rFonts w:hint="eastAsia" w:hAnsi="宋体" w:cs="仿宋"/>
          <w:color w:val="auto"/>
          <w:sz w:val="21"/>
          <w:highlight w:val="none"/>
        </w:rPr>
        <w:t>.乙方逾期交货的，每天向甲方偿付该逾期交付货物金额的3‰违约金，但违约金累计不得超过该批货款额5%。超过10天甲方有权解除合同，乙方承担因此给甲方造成的经济损失。</w:t>
      </w:r>
    </w:p>
    <w:p>
      <w:pPr>
        <w:snapToGrid w:val="0"/>
        <w:spacing w:line="460" w:lineRule="exact"/>
        <w:ind w:right="-16" w:firstLine="420" w:firstLineChars="200"/>
        <w:rPr>
          <w:rFonts w:hint="eastAsia" w:hAnsi="宋体" w:cs="仿宋"/>
          <w:color w:val="auto"/>
          <w:sz w:val="21"/>
          <w:highlight w:val="none"/>
        </w:rPr>
      </w:pPr>
      <w:r>
        <w:rPr>
          <w:rFonts w:hAnsi="宋体" w:cs="仿宋"/>
          <w:color w:val="auto"/>
          <w:sz w:val="21"/>
          <w:highlight w:val="none"/>
        </w:rPr>
        <w:t>6</w:t>
      </w:r>
      <w:r>
        <w:rPr>
          <w:rFonts w:hint="eastAsia" w:hAnsi="宋体" w:cs="仿宋"/>
          <w:color w:val="auto"/>
          <w:sz w:val="21"/>
          <w:highlight w:val="none"/>
        </w:rPr>
        <w:t>.乙方未按签订的合同和</w:t>
      </w:r>
      <w:r>
        <w:rPr>
          <w:rFonts w:hint="eastAsia" w:hAnsi="宋体" w:cs="仿宋"/>
          <w:color w:val="auto"/>
          <w:sz w:val="21"/>
          <w:highlight w:val="none"/>
          <w:lang w:eastAsia="zh-CN"/>
        </w:rPr>
        <w:t>响应文件</w:t>
      </w:r>
      <w:r>
        <w:rPr>
          <w:rFonts w:hint="eastAsia" w:hAnsi="宋体" w:cs="仿宋"/>
          <w:color w:val="auto"/>
          <w:sz w:val="21"/>
          <w:highlight w:val="none"/>
        </w:rPr>
        <w:t>中规定的服务承诺提供售后服务的，乙方应每次按签订的合同合计金额5%向甲方支付违约金；承诺由生产厂家提供正规售后服务但经查证后无法得到生产厂家正规售后服务的，甲方可拒绝验收。甲方书面通知乙方履行质量保修责任3日后，乙方仍未履行的，甲方有权自行委托他人维修，所有费用由乙方承担。</w:t>
      </w:r>
    </w:p>
    <w:p>
      <w:pPr>
        <w:snapToGrid w:val="0"/>
        <w:spacing w:line="460" w:lineRule="exact"/>
        <w:ind w:right="-16" w:firstLine="420" w:firstLineChars="200"/>
        <w:rPr>
          <w:rFonts w:hint="eastAsia" w:hAnsi="宋体" w:cs="仿宋"/>
          <w:color w:val="auto"/>
          <w:sz w:val="21"/>
          <w:highlight w:val="none"/>
        </w:rPr>
      </w:pPr>
      <w:r>
        <w:rPr>
          <w:rFonts w:hAnsi="宋体" w:cs="仿宋"/>
          <w:color w:val="auto"/>
          <w:sz w:val="21"/>
          <w:highlight w:val="none"/>
        </w:rPr>
        <w:t>7</w:t>
      </w:r>
      <w:r>
        <w:rPr>
          <w:rFonts w:hint="eastAsia" w:hAnsi="宋体" w:cs="仿宋"/>
          <w:color w:val="auto"/>
          <w:sz w:val="21"/>
          <w:highlight w:val="none"/>
        </w:rPr>
        <w:t>.乙方提供的货物在质量保证期内，因设计、工艺或材料的缺陷和其他质量原因造成的问题的，产生的维修或更换费用、给甲方造成的经济损失均由乙方承担。</w:t>
      </w:r>
    </w:p>
    <w:p>
      <w:pPr>
        <w:snapToGrid w:val="0"/>
        <w:spacing w:line="460" w:lineRule="exact"/>
        <w:ind w:right="-16" w:firstLine="420" w:firstLineChars="200"/>
        <w:rPr>
          <w:rFonts w:hint="eastAsia" w:hAnsi="宋体" w:cs="仿宋"/>
          <w:color w:val="auto"/>
          <w:sz w:val="21"/>
          <w:highlight w:val="none"/>
        </w:rPr>
      </w:pPr>
      <w:r>
        <w:rPr>
          <w:rFonts w:hAnsi="宋体" w:cs="仿宋"/>
          <w:color w:val="auto"/>
          <w:sz w:val="21"/>
          <w:highlight w:val="none"/>
        </w:rPr>
        <w:t>8</w:t>
      </w:r>
      <w:r>
        <w:rPr>
          <w:rFonts w:hint="eastAsia" w:hAnsi="宋体" w:cs="仿宋"/>
          <w:color w:val="auto"/>
          <w:sz w:val="21"/>
          <w:highlight w:val="none"/>
        </w:rPr>
        <w:t>.如发现所提供的产品有弄虚作假的行为，甲方有权拒绝接收产品或退货，并要求乙方赔偿损失，此条赔偿总额为该批货款的50%，同时甲方有权单方终止合同。</w:t>
      </w:r>
    </w:p>
    <w:p>
      <w:pPr>
        <w:snapToGrid w:val="0"/>
        <w:spacing w:line="460" w:lineRule="exact"/>
        <w:ind w:right="-16" w:firstLine="420" w:firstLineChars="200"/>
        <w:rPr>
          <w:rFonts w:hint="eastAsia" w:hAnsi="宋体" w:cs="仿宋"/>
          <w:color w:val="auto"/>
          <w:sz w:val="21"/>
          <w:highlight w:val="none"/>
        </w:rPr>
      </w:pPr>
      <w:r>
        <w:rPr>
          <w:rFonts w:hAnsi="宋体" w:cs="仿宋"/>
          <w:color w:val="auto"/>
          <w:sz w:val="21"/>
          <w:highlight w:val="none"/>
        </w:rPr>
        <w:t>9</w:t>
      </w:r>
      <w:r>
        <w:rPr>
          <w:rFonts w:hint="eastAsia" w:hAnsi="宋体" w:cs="仿宋"/>
          <w:color w:val="auto"/>
          <w:sz w:val="21"/>
          <w:highlight w:val="none"/>
        </w:rPr>
        <w:t>.将本项目转让、分包给他人的，一经发现，甲方有权单方终止合同，并有权要求乙方承担由此造成的一切经济损失。</w:t>
      </w:r>
    </w:p>
    <w:p>
      <w:pPr>
        <w:snapToGrid w:val="0"/>
        <w:spacing w:line="440" w:lineRule="exact"/>
        <w:ind w:firstLine="420" w:firstLineChars="200"/>
        <w:rPr>
          <w:rFonts w:hAnsi="宋体"/>
          <w:color w:val="auto"/>
          <w:sz w:val="21"/>
          <w:highlight w:val="none"/>
        </w:rPr>
      </w:pPr>
      <w:r>
        <w:rPr>
          <w:rFonts w:hAnsi="宋体" w:cs="仿宋"/>
          <w:color w:val="auto"/>
          <w:sz w:val="21"/>
          <w:highlight w:val="none"/>
        </w:rPr>
        <w:t>10</w:t>
      </w:r>
      <w:r>
        <w:rPr>
          <w:rFonts w:hint="eastAsia" w:hAnsi="宋体" w:cs="仿宋"/>
          <w:color w:val="auto"/>
          <w:sz w:val="21"/>
          <w:highlight w:val="none"/>
        </w:rPr>
        <w:t>.其他违约行为按违约货款额5%收取违约金并赔偿经济损失。</w:t>
      </w:r>
    </w:p>
    <w:p>
      <w:pPr>
        <w:snapToGrid w:val="0"/>
        <w:spacing w:line="440" w:lineRule="exact"/>
        <w:ind w:firstLine="422" w:firstLineChars="200"/>
        <w:rPr>
          <w:rFonts w:hAnsi="宋体"/>
          <w:b/>
          <w:color w:val="auto"/>
          <w:sz w:val="21"/>
          <w:highlight w:val="none"/>
        </w:rPr>
      </w:pPr>
      <w:r>
        <w:rPr>
          <w:rFonts w:hint="eastAsia" w:hAnsi="宋体"/>
          <w:b/>
          <w:color w:val="auto"/>
          <w:sz w:val="21"/>
          <w:highlight w:val="none"/>
        </w:rPr>
        <w:t>第十五条  不可抗力事件处理</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1.在合同有效期内，任何一方因不可抗力事件导致不能履行合同，则合同履行期可延长，其延长期与不可抗力影响期相同。</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2.不可抗力事件发生后，应立即通知对方，并寄送有关权威机构出具的证明。</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3.不可抗力事件延续一百二十天以上，双方应通过友好协商，确定是否继续履行合同。</w:t>
      </w:r>
    </w:p>
    <w:p>
      <w:pPr>
        <w:snapToGrid w:val="0"/>
        <w:spacing w:line="440" w:lineRule="exact"/>
        <w:ind w:firstLine="422" w:firstLineChars="200"/>
        <w:rPr>
          <w:rFonts w:hAnsi="宋体"/>
          <w:color w:val="auto"/>
          <w:sz w:val="21"/>
          <w:highlight w:val="none"/>
        </w:rPr>
      </w:pPr>
      <w:r>
        <w:rPr>
          <w:rFonts w:hint="eastAsia" w:hAnsi="宋体"/>
          <w:b/>
          <w:color w:val="auto"/>
          <w:sz w:val="21"/>
          <w:highlight w:val="none"/>
        </w:rPr>
        <w:t>第十六条  合同争议解决</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1.因货物质量问题发生争议的，应邀请国家认可的质量检测机构对货物质量进行鉴定。货物符合标准的，鉴定费由甲方承担；货物不符合标准的，鉴定费由乙方承担。</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2.因履行本合同引起的或与本合同有关的争议，甲乙双方应首先通过友好协商解决，如果协商不能解决，可向</w:t>
      </w:r>
      <w:r>
        <w:rPr>
          <w:rFonts w:hint="eastAsia" w:hAnsi="宋体"/>
          <w:color w:val="auto"/>
          <w:spacing w:val="4"/>
          <w:sz w:val="21"/>
          <w:highlight w:val="none"/>
        </w:rPr>
        <w:t>甲方所在地的</w:t>
      </w:r>
      <w:r>
        <w:rPr>
          <w:rFonts w:hint="eastAsia" w:hAnsi="宋体"/>
          <w:color w:val="auto"/>
          <w:sz w:val="21"/>
          <w:highlight w:val="none"/>
        </w:rPr>
        <w:t>人民法院提起诉讼。</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3.诉讼期间，本合同继续履行。</w:t>
      </w:r>
    </w:p>
    <w:p>
      <w:pPr>
        <w:snapToGrid w:val="0"/>
        <w:spacing w:line="440" w:lineRule="exact"/>
        <w:ind w:firstLine="422" w:firstLineChars="200"/>
        <w:rPr>
          <w:rFonts w:hAnsi="宋体"/>
          <w:b/>
          <w:color w:val="auto"/>
          <w:sz w:val="21"/>
          <w:highlight w:val="none"/>
        </w:rPr>
      </w:pPr>
      <w:r>
        <w:rPr>
          <w:rFonts w:hint="eastAsia" w:hAnsi="宋体"/>
          <w:b/>
          <w:color w:val="auto"/>
          <w:sz w:val="21"/>
          <w:highlight w:val="none"/>
        </w:rPr>
        <w:t>第十七条  合同生效及其他</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1.合同经双方法定代表人（负责人或自然人）或授权代表签字盖章（自然人加盖手指指印）后生效。</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2.合同执行中涉及采购资金和采购内容修改或补充的，须经财政部门审批，并签书面补充协议报财政部门备案，方可作为主合同不可分割的一部分。</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3.本合同未尽事宜，遵照《中华人民共和国民法典》有关条文执行。</w:t>
      </w:r>
    </w:p>
    <w:p>
      <w:pPr>
        <w:snapToGrid w:val="0"/>
        <w:spacing w:line="440" w:lineRule="exact"/>
        <w:ind w:firstLine="422" w:firstLineChars="200"/>
        <w:rPr>
          <w:rFonts w:hAnsi="宋体"/>
          <w:b/>
          <w:color w:val="auto"/>
          <w:sz w:val="21"/>
          <w:highlight w:val="none"/>
        </w:rPr>
      </w:pPr>
      <w:r>
        <w:rPr>
          <w:rFonts w:hint="eastAsia" w:hAnsi="宋体"/>
          <w:b/>
          <w:color w:val="auto"/>
          <w:sz w:val="21"/>
          <w:highlight w:val="none"/>
        </w:rPr>
        <w:t>第十八条　合同的变更、终止与转让</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1.除《中华人民共和国政府采购法》第五十条规定的情形外，本合同一经签订，甲乙双方不得擅自变更、中止或终止。</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2.乙方不得擅自转让（无进口资格的供应商委托进口货物除外）其应履行的合同义务。</w:t>
      </w:r>
    </w:p>
    <w:p>
      <w:pPr>
        <w:snapToGrid w:val="0"/>
        <w:spacing w:line="440" w:lineRule="exact"/>
        <w:ind w:firstLine="422" w:firstLineChars="200"/>
        <w:rPr>
          <w:rFonts w:hAnsi="宋体"/>
          <w:b/>
          <w:color w:val="auto"/>
          <w:sz w:val="21"/>
          <w:highlight w:val="none"/>
        </w:rPr>
      </w:pPr>
      <w:r>
        <w:rPr>
          <w:rFonts w:hint="eastAsia" w:hAnsi="宋体"/>
          <w:b/>
          <w:color w:val="auto"/>
          <w:sz w:val="21"/>
          <w:highlight w:val="none"/>
        </w:rPr>
        <w:t>第十九条　签订本合同依据</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1.政府采购</w:t>
      </w:r>
      <w:r>
        <w:rPr>
          <w:rFonts w:hint="eastAsia" w:hAnsi="宋体"/>
          <w:color w:val="auto"/>
          <w:sz w:val="21"/>
          <w:highlight w:val="none"/>
          <w:lang w:eastAsia="zh-CN"/>
        </w:rPr>
        <w:t>采购文件</w:t>
      </w:r>
      <w:r>
        <w:rPr>
          <w:rFonts w:hint="eastAsia" w:hAnsi="宋体"/>
          <w:color w:val="auto"/>
          <w:sz w:val="21"/>
          <w:highlight w:val="none"/>
        </w:rPr>
        <w:t>；</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2.乙方提供的采购投标（或应答）文件；</w:t>
      </w:r>
    </w:p>
    <w:p>
      <w:pPr>
        <w:snapToGrid w:val="0"/>
        <w:spacing w:line="440" w:lineRule="exact"/>
        <w:ind w:firstLine="420" w:firstLineChars="200"/>
        <w:rPr>
          <w:rFonts w:hAnsi="宋体"/>
          <w:color w:val="auto"/>
          <w:sz w:val="21"/>
          <w:highlight w:val="none"/>
        </w:rPr>
      </w:pPr>
      <w:r>
        <w:rPr>
          <w:rFonts w:hint="eastAsia" w:hAnsi="宋体"/>
          <w:color w:val="auto"/>
          <w:sz w:val="21"/>
          <w:highlight w:val="none"/>
        </w:rPr>
        <w:t>3.投标承诺书；</w:t>
      </w:r>
    </w:p>
    <w:p>
      <w:pPr>
        <w:snapToGrid w:val="0"/>
        <w:spacing w:line="440" w:lineRule="exact"/>
        <w:ind w:firstLine="420" w:firstLineChars="200"/>
        <w:rPr>
          <w:rFonts w:hAnsi="宋体"/>
          <w:color w:val="auto"/>
          <w:sz w:val="21"/>
          <w:highlight w:val="none"/>
          <w:u w:val="single"/>
        </w:rPr>
      </w:pPr>
      <w:r>
        <w:rPr>
          <w:rFonts w:hint="eastAsia" w:hAnsi="宋体"/>
          <w:color w:val="auto"/>
          <w:sz w:val="21"/>
          <w:highlight w:val="none"/>
        </w:rPr>
        <w:t>4.中标或成交通知书。</w:t>
      </w:r>
    </w:p>
    <w:p>
      <w:pPr>
        <w:snapToGrid w:val="0"/>
        <w:spacing w:line="440" w:lineRule="exact"/>
        <w:ind w:firstLine="422" w:firstLineChars="200"/>
        <w:rPr>
          <w:rFonts w:hAnsi="宋体"/>
          <w:color w:val="auto"/>
          <w:sz w:val="21"/>
          <w:highlight w:val="none"/>
        </w:rPr>
      </w:pPr>
      <w:r>
        <w:rPr>
          <w:rFonts w:hint="eastAsia" w:hAnsi="宋体"/>
          <w:b/>
          <w:color w:val="auto"/>
          <w:sz w:val="21"/>
          <w:highlight w:val="none"/>
        </w:rPr>
        <w:t>第二十条　</w:t>
      </w:r>
      <w:r>
        <w:rPr>
          <w:rFonts w:hint="eastAsia" w:hAnsi="宋体"/>
          <w:color w:val="auto"/>
          <w:sz w:val="21"/>
          <w:highlight w:val="none"/>
        </w:rPr>
        <w:t>本合同一式</w:t>
      </w:r>
      <w:r>
        <w:rPr>
          <w:rFonts w:hint="eastAsia" w:hAnsi="宋体"/>
          <w:color w:val="auto"/>
          <w:sz w:val="21"/>
          <w:highlight w:val="none"/>
          <w:lang w:val="en-US" w:eastAsia="zh-CN"/>
        </w:rPr>
        <w:t>四</w:t>
      </w:r>
      <w:r>
        <w:rPr>
          <w:rFonts w:hint="eastAsia" w:hAnsi="宋体"/>
          <w:color w:val="auto"/>
          <w:sz w:val="21"/>
          <w:highlight w:val="none"/>
        </w:rPr>
        <w:t>份，具有同等法律效力，甲方二份，乙方一份，代理机构一份（可根据需要另增加）。</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6"/>
        <w:gridCol w:w="4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376" w:type="dxa"/>
            <w:noWrap w:val="0"/>
            <w:vAlign w:val="center"/>
          </w:tcPr>
          <w:p>
            <w:pPr>
              <w:snapToGrid w:val="0"/>
              <w:spacing w:line="440" w:lineRule="exact"/>
              <w:rPr>
                <w:rFonts w:hAnsi="宋体"/>
                <w:color w:val="auto"/>
                <w:sz w:val="21"/>
                <w:highlight w:val="none"/>
              </w:rPr>
            </w:pPr>
            <w:r>
              <w:rPr>
                <w:rFonts w:hint="eastAsia" w:hAnsi="宋体"/>
                <w:color w:val="auto"/>
                <w:sz w:val="21"/>
                <w:highlight w:val="none"/>
              </w:rPr>
              <w:t xml:space="preserve">甲方（章）           </w:t>
            </w:r>
          </w:p>
          <w:p>
            <w:pPr>
              <w:snapToGrid w:val="0"/>
              <w:spacing w:line="440" w:lineRule="exact"/>
              <w:ind w:firstLine="420" w:firstLineChars="200"/>
              <w:rPr>
                <w:rFonts w:hAnsi="宋体"/>
                <w:color w:val="auto"/>
                <w:sz w:val="21"/>
                <w:highlight w:val="none"/>
              </w:rPr>
            </w:pPr>
          </w:p>
          <w:p>
            <w:pPr>
              <w:snapToGrid w:val="0"/>
              <w:spacing w:line="440" w:lineRule="exact"/>
              <w:ind w:firstLine="420" w:firstLineChars="200"/>
              <w:jc w:val="right"/>
              <w:rPr>
                <w:rFonts w:hAnsi="宋体"/>
                <w:color w:val="auto"/>
                <w:sz w:val="21"/>
                <w:highlight w:val="none"/>
              </w:rPr>
            </w:pPr>
            <w:r>
              <w:rPr>
                <w:rFonts w:hint="eastAsia" w:hAnsi="宋体"/>
                <w:color w:val="auto"/>
                <w:sz w:val="21"/>
                <w:highlight w:val="none"/>
              </w:rPr>
              <w:t>年   月   日</w:t>
            </w:r>
          </w:p>
        </w:tc>
        <w:tc>
          <w:tcPr>
            <w:tcW w:w="4476" w:type="dxa"/>
            <w:noWrap w:val="0"/>
            <w:vAlign w:val="center"/>
          </w:tcPr>
          <w:p>
            <w:pPr>
              <w:snapToGrid w:val="0"/>
              <w:spacing w:line="440" w:lineRule="exact"/>
              <w:rPr>
                <w:rFonts w:hAnsi="宋体"/>
                <w:color w:val="auto"/>
                <w:sz w:val="21"/>
                <w:highlight w:val="none"/>
              </w:rPr>
            </w:pPr>
            <w:r>
              <w:rPr>
                <w:rFonts w:hint="eastAsia" w:hAnsi="宋体"/>
                <w:color w:val="auto"/>
                <w:sz w:val="21"/>
                <w:highlight w:val="none"/>
              </w:rPr>
              <w:t xml:space="preserve">乙方（章）              </w:t>
            </w:r>
          </w:p>
          <w:p>
            <w:pPr>
              <w:snapToGrid w:val="0"/>
              <w:spacing w:line="440" w:lineRule="exact"/>
              <w:ind w:firstLine="420" w:firstLineChars="200"/>
              <w:rPr>
                <w:rFonts w:hAnsi="宋体"/>
                <w:color w:val="auto"/>
                <w:sz w:val="21"/>
                <w:highlight w:val="none"/>
              </w:rPr>
            </w:pPr>
          </w:p>
          <w:p>
            <w:pPr>
              <w:snapToGrid w:val="0"/>
              <w:spacing w:line="440" w:lineRule="exact"/>
              <w:ind w:firstLine="420" w:firstLineChars="200"/>
              <w:jc w:val="right"/>
              <w:rPr>
                <w:rFonts w:hAnsi="宋体"/>
                <w:color w:val="auto"/>
                <w:sz w:val="21"/>
                <w:highlight w:val="none"/>
              </w:rPr>
            </w:pPr>
            <w:r>
              <w:rPr>
                <w:rFonts w:hint="eastAsia" w:hAnsi="宋体"/>
                <w:color w:val="auto"/>
                <w:sz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4376" w:type="dxa"/>
            <w:noWrap w:val="0"/>
            <w:vAlign w:val="center"/>
          </w:tcPr>
          <w:p>
            <w:pPr>
              <w:snapToGrid w:val="0"/>
              <w:spacing w:line="440" w:lineRule="exact"/>
              <w:rPr>
                <w:rFonts w:hAnsi="宋体"/>
                <w:color w:val="auto"/>
                <w:sz w:val="21"/>
                <w:highlight w:val="none"/>
              </w:rPr>
            </w:pPr>
            <w:r>
              <w:rPr>
                <w:rFonts w:hint="eastAsia" w:hAnsi="宋体"/>
                <w:color w:val="auto"/>
                <w:sz w:val="21"/>
                <w:highlight w:val="none"/>
              </w:rPr>
              <w:t>单位地址：</w:t>
            </w:r>
          </w:p>
        </w:tc>
        <w:tc>
          <w:tcPr>
            <w:tcW w:w="4476" w:type="dxa"/>
            <w:noWrap w:val="0"/>
            <w:vAlign w:val="center"/>
          </w:tcPr>
          <w:p>
            <w:pPr>
              <w:snapToGrid w:val="0"/>
              <w:spacing w:line="440" w:lineRule="exact"/>
              <w:rPr>
                <w:rFonts w:hAnsi="宋体"/>
                <w:color w:val="auto"/>
                <w:sz w:val="21"/>
                <w:highlight w:val="none"/>
              </w:rPr>
            </w:pPr>
            <w:r>
              <w:rPr>
                <w:rFonts w:hint="eastAsia" w:hAnsi="宋体"/>
                <w:color w:val="auto"/>
                <w:sz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376" w:type="dxa"/>
            <w:noWrap w:val="0"/>
            <w:vAlign w:val="center"/>
          </w:tcPr>
          <w:p>
            <w:pPr>
              <w:snapToGrid w:val="0"/>
              <w:spacing w:line="440" w:lineRule="exact"/>
              <w:rPr>
                <w:rFonts w:hAnsi="宋体"/>
                <w:color w:val="auto"/>
                <w:sz w:val="21"/>
                <w:highlight w:val="none"/>
              </w:rPr>
            </w:pPr>
            <w:r>
              <w:rPr>
                <w:rFonts w:hint="eastAsia" w:hAnsi="宋体"/>
                <w:color w:val="auto"/>
                <w:sz w:val="21"/>
                <w:highlight w:val="none"/>
              </w:rPr>
              <w:t>法定代表人：</w:t>
            </w:r>
          </w:p>
        </w:tc>
        <w:tc>
          <w:tcPr>
            <w:tcW w:w="4476" w:type="dxa"/>
            <w:noWrap w:val="0"/>
            <w:vAlign w:val="center"/>
          </w:tcPr>
          <w:p>
            <w:pPr>
              <w:snapToGrid w:val="0"/>
              <w:spacing w:line="440" w:lineRule="exact"/>
              <w:rPr>
                <w:rFonts w:hAnsi="宋体"/>
                <w:color w:val="auto"/>
                <w:sz w:val="21"/>
                <w:highlight w:val="none"/>
              </w:rPr>
            </w:pPr>
            <w:r>
              <w:rPr>
                <w:rFonts w:hint="eastAsia" w:hAnsi="宋体"/>
                <w:color w:val="auto"/>
                <w:sz w:val="21"/>
                <w:highlight w:val="none"/>
              </w:rPr>
              <w:t>法定代表人（负责人或自然人）：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4376" w:type="dxa"/>
            <w:noWrap w:val="0"/>
            <w:vAlign w:val="center"/>
          </w:tcPr>
          <w:p>
            <w:pPr>
              <w:snapToGrid w:val="0"/>
              <w:spacing w:line="440" w:lineRule="exact"/>
              <w:rPr>
                <w:rFonts w:hAnsi="宋体"/>
                <w:color w:val="auto"/>
                <w:sz w:val="21"/>
                <w:highlight w:val="none"/>
              </w:rPr>
            </w:pPr>
            <w:r>
              <w:rPr>
                <w:rFonts w:hint="eastAsia" w:hAnsi="宋体"/>
                <w:color w:val="auto"/>
                <w:sz w:val="21"/>
                <w:highlight w:val="none"/>
              </w:rPr>
              <w:t>或委托代理人：</w:t>
            </w:r>
          </w:p>
        </w:tc>
        <w:tc>
          <w:tcPr>
            <w:tcW w:w="4476" w:type="dxa"/>
            <w:noWrap w:val="0"/>
            <w:vAlign w:val="center"/>
          </w:tcPr>
          <w:p>
            <w:pPr>
              <w:snapToGrid w:val="0"/>
              <w:spacing w:line="440" w:lineRule="exact"/>
              <w:rPr>
                <w:rFonts w:hAnsi="宋体"/>
                <w:color w:val="auto"/>
                <w:sz w:val="21"/>
                <w:highlight w:val="none"/>
              </w:rPr>
            </w:pPr>
            <w:r>
              <w:rPr>
                <w:rFonts w:hint="eastAsia" w:hAnsi="宋体"/>
                <w:color w:val="auto"/>
                <w:sz w:val="21"/>
                <w:highlight w:val="none"/>
              </w:rPr>
              <w:t>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4376" w:type="dxa"/>
            <w:noWrap w:val="0"/>
            <w:vAlign w:val="center"/>
          </w:tcPr>
          <w:p>
            <w:pPr>
              <w:snapToGrid w:val="0"/>
              <w:spacing w:line="440" w:lineRule="exact"/>
              <w:rPr>
                <w:rFonts w:hAnsi="宋体"/>
                <w:color w:val="auto"/>
                <w:sz w:val="21"/>
                <w:highlight w:val="none"/>
              </w:rPr>
            </w:pPr>
            <w:r>
              <w:rPr>
                <w:rFonts w:hint="eastAsia" w:hAnsi="宋体"/>
                <w:color w:val="auto"/>
                <w:sz w:val="21"/>
                <w:highlight w:val="none"/>
              </w:rPr>
              <w:t>电    话：</w:t>
            </w:r>
          </w:p>
        </w:tc>
        <w:tc>
          <w:tcPr>
            <w:tcW w:w="4476" w:type="dxa"/>
            <w:noWrap w:val="0"/>
            <w:vAlign w:val="center"/>
          </w:tcPr>
          <w:p>
            <w:pPr>
              <w:snapToGrid w:val="0"/>
              <w:spacing w:line="440" w:lineRule="exact"/>
              <w:rPr>
                <w:rFonts w:hAnsi="宋体"/>
                <w:color w:val="auto"/>
                <w:sz w:val="21"/>
                <w:highlight w:val="none"/>
              </w:rPr>
            </w:pPr>
            <w:r>
              <w:rPr>
                <w:rFonts w:hint="eastAsia" w:hAnsi="宋体"/>
                <w:color w:val="auto"/>
                <w:sz w:val="21"/>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376" w:type="dxa"/>
            <w:noWrap w:val="0"/>
            <w:vAlign w:val="center"/>
          </w:tcPr>
          <w:p>
            <w:pPr>
              <w:snapToGrid w:val="0"/>
              <w:spacing w:line="440" w:lineRule="exact"/>
              <w:rPr>
                <w:rFonts w:hAnsi="宋体"/>
                <w:color w:val="auto"/>
                <w:sz w:val="21"/>
                <w:highlight w:val="none"/>
              </w:rPr>
            </w:pPr>
            <w:r>
              <w:rPr>
                <w:rFonts w:hint="eastAsia" w:hAnsi="宋体"/>
                <w:color w:val="auto"/>
                <w:sz w:val="21"/>
                <w:highlight w:val="none"/>
              </w:rPr>
              <w:t>电子邮箱：</w:t>
            </w:r>
          </w:p>
        </w:tc>
        <w:tc>
          <w:tcPr>
            <w:tcW w:w="4476" w:type="dxa"/>
            <w:noWrap w:val="0"/>
            <w:vAlign w:val="center"/>
          </w:tcPr>
          <w:p>
            <w:pPr>
              <w:snapToGrid w:val="0"/>
              <w:spacing w:line="440" w:lineRule="exact"/>
              <w:rPr>
                <w:rFonts w:hAnsi="宋体"/>
                <w:color w:val="auto"/>
                <w:sz w:val="21"/>
                <w:highlight w:val="none"/>
              </w:rPr>
            </w:pPr>
            <w:r>
              <w:rPr>
                <w:rFonts w:hint="eastAsia" w:hAnsi="宋体"/>
                <w:color w:val="auto"/>
                <w:sz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376" w:type="dxa"/>
            <w:noWrap w:val="0"/>
            <w:vAlign w:val="center"/>
          </w:tcPr>
          <w:p>
            <w:pPr>
              <w:snapToGrid w:val="0"/>
              <w:spacing w:line="440" w:lineRule="exact"/>
              <w:rPr>
                <w:rFonts w:hAnsi="宋体"/>
                <w:color w:val="auto"/>
                <w:sz w:val="21"/>
                <w:highlight w:val="none"/>
              </w:rPr>
            </w:pPr>
            <w:r>
              <w:rPr>
                <w:rFonts w:hint="eastAsia" w:hAnsi="宋体"/>
                <w:color w:val="auto"/>
                <w:sz w:val="21"/>
                <w:highlight w:val="none"/>
              </w:rPr>
              <w:t>开户银行：</w:t>
            </w:r>
          </w:p>
        </w:tc>
        <w:tc>
          <w:tcPr>
            <w:tcW w:w="4476" w:type="dxa"/>
            <w:noWrap w:val="0"/>
            <w:vAlign w:val="center"/>
          </w:tcPr>
          <w:p>
            <w:pPr>
              <w:snapToGrid w:val="0"/>
              <w:spacing w:line="440" w:lineRule="exact"/>
              <w:rPr>
                <w:rFonts w:hAnsi="宋体"/>
                <w:color w:val="auto"/>
                <w:sz w:val="21"/>
                <w:highlight w:val="none"/>
              </w:rPr>
            </w:pPr>
            <w:r>
              <w:rPr>
                <w:rFonts w:hint="eastAsia" w:hAnsi="宋体"/>
                <w:color w:val="auto"/>
                <w:sz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4376" w:type="dxa"/>
            <w:noWrap w:val="0"/>
            <w:vAlign w:val="center"/>
          </w:tcPr>
          <w:p>
            <w:pPr>
              <w:snapToGrid w:val="0"/>
              <w:spacing w:line="440" w:lineRule="exact"/>
              <w:rPr>
                <w:rFonts w:hAnsi="宋体"/>
                <w:color w:val="auto"/>
                <w:sz w:val="21"/>
                <w:highlight w:val="none"/>
              </w:rPr>
            </w:pPr>
            <w:r>
              <w:rPr>
                <w:rFonts w:hint="eastAsia" w:hAnsi="宋体"/>
                <w:color w:val="auto"/>
                <w:sz w:val="21"/>
                <w:highlight w:val="none"/>
              </w:rPr>
              <w:t>账    号：</w:t>
            </w:r>
          </w:p>
        </w:tc>
        <w:tc>
          <w:tcPr>
            <w:tcW w:w="4476" w:type="dxa"/>
            <w:noWrap w:val="0"/>
            <w:vAlign w:val="center"/>
          </w:tcPr>
          <w:p>
            <w:pPr>
              <w:snapToGrid w:val="0"/>
              <w:spacing w:line="440" w:lineRule="exact"/>
              <w:rPr>
                <w:rFonts w:hAnsi="宋体"/>
                <w:color w:val="auto"/>
                <w:sz w:val="21"/>
                <w:highlight w:val="none"/>
              </w:rPr>
            </w:pPr>
            <w:r>
              <w:rPr>
                <w:rFonts w:hint="eastAsia" w:hAnsi="宋体"/>
                <w:color w:val="auto"/>
                <w:sz w:val="21"/>
                <w:highlight w:val="none"/>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4376" w:type="dxa"/>
            <w:noWrap w:val="0"/>
            <w:vAlign w:val="center"/>
          </w:tcPr>
          <w:p>
            <w:pPr>
              <w:snapToGrid w:val="0"/>
              <w:spacing w:line="440" w:lineRule="exact"/>
              <w:rPr>
                <w:rFonts w:hAnsi="宋体"/>
                <w:color w:val="auto"/>
                <w:sz w:val="21"/>
                <w:highlight w:val="none"/>
              </w:rPr>
            </w:pPr>
            <w:r>
              <w:rPr>
                <w:rFonts w:hint="eastAsia" w:hAnsi="宋体"/>
                <w:color w:val="auto"/>
                <w:sz w:val="21"/>
                <w:highlight w:val="none"/>
              </w:rPr>
              <w:t>邮政编码：</w:t>
            </w:r>
          </w:p>
        </w:tc>
        <w:tc>
          <w:tcPr>
            <w:tcW w:w="4476" w:type="dxa"/>
            <w:noWrap w:val="0"/>
            <w:vAlign w:val="center"/>
          </w:tcPr>
          <w:p>
            <w:pPr>
              <w:snapToGrid w:val="0"/>
              <w:spacing w:line="440" w:lineRule="exact"/>
              <w:rPr>
                <w:rFonts w:hAnsi="宋体"/>
                <w:color w:val="auto"/>
                <w:sz w:val="21"/>
                <w:highlight w:val="none"/>
              </w:rPr>
            </w:pPr>
            <w:r>
              <w:rPr>
                <w:rFonts w:hint="eastAsia" w:hAnsi="宋体"/>
                <w:color w:val="auto"/>
                <w:sz w:val="21"/>
                <w:highlight w:val="none"/>
              </w:rPr>
              <w:t>邮政编码：</w:t>
            </w:r>
          </w:p>
        </w:tc>
      </w:tr>
    </w:tbl>
    <w:p>
      <w:pPr>
        <w:snapToGrid w:val="0"/>
        <w:spacing w:line="360" w:lineRule="exact"/>
        <w:rPr>
          <w:rFonts w:hint="eastAsia" w:ascii="宋体" w:hAnsi="宋体"/>
          <w:b/>
          <w:color w:val="auto"/>
          <w:sz w:val="28"/>
          <w:szCs w:val="28"/>
          <w:highlight w:val="none"/>
        </w:rPr>
      </w:pPr>
    </w:p>
    <w:p>
      <w:pPr>
        <w:pStyle w:val="136"/>
        <w:adjustRightInd w:val="0"/>
        <w:spacing w:line="360" w:lineRule="exact"/>
        <w:ind w:right="408"/>
        <w:jc w:val="left"/>
        <w:rPr>
          <w:rFonts w:hint="eastAsia" w:ascii="宋体" w:hAnsi="宋体" w:cs="宋体"/>
          <w:b/>
          <w:color w:val="auto"/>
          <w:szCs w:val="21"/>
          <w:highlight w:val="none"/>
        </w:rPr>
      </w:pPr>
    </w:p>
    <w:p>
      <w:pPr>
        <w:pStyle w:val="136"/>
        <w:adjustRightInd w:val="0"/>
        <w:spacing w:line="360" w:lineRule="exact"/>
        <w:ind w:right="408"/>
        <w:jc w:val="left"/>
        <w:rPr>
          <w:rFonts w:hint="eastAsia" w:ascii="宋体" w:hAnsi="宋体" w:cs="宋体"/>
          <w:b/>
          <w:color w:val="auto"/>
          <w:szCs w:val="21"/>
          <w:highlight w:val="none"/>
        </w:rPr>
      </w:pPr>
    </w:p>
    <w:p>
      <w:pPr>
        <w:pStyle w:val="136"/>
        <w:adjustRightInd w:val="0"/>
        <w:spacing w:line="360" w:lineRule="exact"/>
        <w:ind w:right="408"/>
        <w:jc w:val="left"/>
        <w:rPr>
          <w:rFonts w:hint="eastAsia" w:ascii="宋体" w:hAnsi="宋体" w:cs="宋体"/>
          <w:b/>
          <w:color w:val="auto"/>
          <w:szCs w:val="21"/>
          <w:highlight w:val="none"/>
        </w:rPr>
      </w:pPr>
    </w:p>
    <w:p>
      <w:pPr>
        <w:pStyle w:val="136"/>
        <w:adjustRightInd w:val="0"/>
        <w:spacing w:line="360" w:lineRule="exact"/>
        <w:ind w:right="408"/>
        <w:jc w:val="left"/>
        <w:rPr>
          <w:rFonts w:hint="eastAsia" w:ascii="宋体" w:hAnsi="宋体" w:cs="宋体"/>
          <w:b/>
          <w:color w:val="auto"/>
          <w:szCs w:val="21"/>
          <w:highlight w:val="none"/>
        </w:rPr>
      </w:pPr>
    </w:p>
    <w:p>
      <w:pPr>
        <w:pStyle w:val="136"/>
        <w:adjustRightInd w:val="0"/>
        <w:spacing w:line="360" w:lineRule="exact"/>
        <w:ind w:right="408"/>
        <w:jc w:val="left"/>
        <w:rPr>
          <w:rFonts w:hint="eastAsia" w:ascii="宋体" w:hAnsi="宋体" w:cs="宋体"/>
          <w:b/>
          <w:color w:val="auto"/>
          <w:szCs w:val="21"/>
          <w:highlight w:val="none"/>
        </w:rPr>
      </w:pPr>
    </w:p>
    <w:p>
      <w:pPr>
        <w:pStyle w:val="136"/>
        <w:adjustRightInd w:val="0"/>
        <w:spacing w:line="360" w:lineRule="exact"/>
        <w:ind w:right="408"/>
        <w:jc w:val="left"/>
        <w:rPr>
          <w:rFonts w:hint="eastAsia" w:ascii="宋体" w:hAnsi="宋体" w:cs="宋体"/>
          <w:b/>
          <w:color w:val="auto"/>
          <w:szCs w:val="21"/>
          <w:highlight w:val="none"/>
        </w:rPr>
      </w:pPr>
    </w:p>
    <w:bookmarkEnd w:id="35"/>
    <w:bookmarkEnd w:id="36"/>
    <w:bookmarkEnd w:id="37"/>
    <w:bookmarkEnd w:id="38"/>
    <w:bookmarkEnd w:id="39"/>
    <w:bookmarkEnd w:id="40"/>
    <w:bookmarkEnd w:id="41"/>
    <w:bookmarkEnd w:id="42"/>
    <w:bookmarkEnd w:id="43"/>
    <w:bookmarkEnd w:id="44"/>
    <w:bookmarkEnd w:id="51"/>
    <w:p>
      <w:pPr>
        <w:rPr>
          <w:rFonts w:hint="eastAsia" w:ascii="宋体" w:hAnsi="宋体"/>
          <w:color w:val="auto"/>
          <w:highlight w:val="none"/>
        </w:rPr>
      </w:pPr>
      <w:bookmarkStart w:id="52" w:name="_Toc22601"/>
      <w:r>
        <w:rPr>
          <w:rFonts w:hint="eastAsia" w:ascii="宋体" w:hAnsi="宋体"/>
          <w:color w:val="auto"/>
          <w:highlight w:val="none"/>
        </w:rPr>
        <w:br w:type="page"/>
      </w:r>
    </w:p>
    <w:p>
      <w:pPr>
        <w:pStyle w:val="3"/>
        <w:rPr>
          <w:rFonts w:hint="eastAsia" w:ascii="宋体" w:hAnsi="宋体"/>
          <w:color w:val="auto"/>
          <w:highlight w:val="none"/>
        </w:rPr>
      </w:pPr>
      <w:r>
        <w:rPr>
          <w:rFonts w:hint="eastAsia" w:ascii="宋体" w:hAnsi="宋体"/>
          <w:color w:val="auto"/>
          <w:highlight w:val="none"/>
        </w:rPr>
        <w:t>第六章 评审办法</w:t>
      </w:r>
      <w:bookmarkEnd w:id="52"/>
    </w:p>
    <w:p>
      <w:pPr>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一、评审原则</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（一）谈判小组的构成：本采购项目的谈判小组分别由评审专家、采购人代表等三人以上单数组成，其中技术、经济专家人数不少于成员总数的三分之二。</w:t>
      </w:r>
      <w:r>
        <w:rPr>
          <w:rFonts w:hint="eastAsia" w:ascii="宋体" w:hAnsi="宋体" w:cs="宋体"/>
          <w:color w:val="auto"/>
          <w:szCs w:val="21"/>
          <w:highlight w:val="none"/>
        </w:rPr>
        <w:t>采购人不得以评审专家身份参加本部门或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（二）评审依据：</w:t>
      </w:r>
    </w:p>
    <w:p>
      <w:pPr>
        <w:pStyle w:val="20"/>
        <w:spacing w:line="380" w:lineRule="exact"/>
        <w:ind w:firstLine="420"/>
        <w:rPr>
          <w:rFonts w:hint="eastAsia" w:hAnsi="宋体" w:cs="宋体"/>
          <w:color w:val="auto"/>
          <w:kern w:val="2"/>
          <w:sz w:val="21"/>
          <w:szCs w:val="21"/>
          <w:highlight w:val="none"/>
        </w:rPr>
      </w:pPr>
      <w:r>
        <w:rPr>
          <w:rFonts w:hint="eastAsia" w:hAnsi="宋体" w:cs="宋体"/>
          <w:color w:val="auto"/>
          <w:kern w:val="2"/>
          <w:sz w:val="21"/>
          <w:szCs w:val="21"/>
          <w:highlight w:val="none"/>
        </w:rPr>
        <w:t>1、</w:t>
      </w:r>
      <w:r>
        <w:rPr>
          <w:rFonts w:hint="eastAsia" w:hAnsi="宋体"/>
          <w:color w:val="auto"/>
          <w:szCs w:val="21"/>
          <w:highlight w:val="none"/>
        </w:rPr>
        <w:t>以谈判文件、响应文件为评审依据</w:t>
      </w:r>
      <w:r>
        <w:rPr>
          <w:rFonts w:hint="eastAsia" w:hAnsi="宋体" w:cs="宋体"/>
          <w:color w:val="auto"/>
          <w:kern w:val="2"/>
          <w:sz w:val="21"/>
          <w:szCs w:val="21"/>
          <w:highlight w:val="none"/>
        </w:rPr>
        <w:t>。</w:t>
      </w:r>
    </w:p>
    <w:p>
      <w:pPr>
        <w:adjustRightIn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2、评审价为供应商的竞标报价进行政策性扣除后的价格，评审价只是作为评标时使用。最终成交供应商的成交金额等于竞标报价。</w:t>
      </w:r>
    </w:p>
    <w:p>
      <w:pPr>
        <w:pStyle w:val="20"/>
        <w:snapToGrid w:val="0"/>
        <w:spacing w:line="36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highlight w:val="none"/>
        </w:rPr>
        <w:t>按照《政府采购促进中小企业发展管理办法》（财库〔2020〕46号）的规定，供应商在其响应文件中按照格式要求提供《中小企业声明函》，且其竞标产品全部为小型或微型企业产品的，对其最后报价给予10%的扣除。</w:t>
      </w:r>
    </w:p>
    <w:p>
      <w:pPr>
        <w:pStyle w:val="20"/>
        <w:spacing w:line="36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adjustRightIn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20"/>
        <w:snapToGrid w:val="0"/>
        <w:spacing w:line="36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highlight w:val="none"/>
        </w:rPr>
        <w:t>在货物采购项目中，供应商投标全部货物（除</w:t>
      </w:r>
      <w:r>
        <w:rPr>
          <w:rFonts w:hint="eastAsia" w:hAnsi="宋体" w:cs="宋体"/>
          <w:color w:val="auto"/>
          <w:kern w:val="2"/>
          <w:sz w:val="21"/>
          <w:highlight w:val="none"/>
          <w:lang w:eastAsia="zh-CN"/>
        </w:rPr>
        <w:t>采购文件</w:t>
      </w:r>
      <w:r>
        <w:rPr>
          <w:rFonts w:hint="eastAsia" w:hAnsi="宋体" w:cs="宋体"/>
          <w:color w:val="auto"/>
          <w:kern w:val="2"/>
          <w:sz w:val="21"/>
          <w:highlight w:val="none"/>
        </w:rPr>
        <w:t>明确的配件及辅材不做为主要标的物外）由小型或微型企业制造；对符合上述要求的供应商的投标报价给予</w:t>
      </w:r>
      <w:r>
        <w:rPr>
          <w:rFonts w:hint="eastAsia" w:hAnsi="宋体" w:cs="宋体"/>
          <w:color w:val="auto"/>
          <w:kern w:val="2"/>
          <w:sz w:val="21"/>
          <w:highlight w:val="none"/>
          <w:lang w:val="en-US" w:eastAsia="zh-CN"/>
        </w:rPr>
        <w:t>2</w:t>
      </w:r>
      <w:r>
        <w:rPr>
          <w:rFonts w:hint="eastAsia" w:hAnsi="宋体" w:cs="宋体"/>
          <w:color w:val="auto"/>
          <w:kern w:val="2"/>
          <w:sz w:val="21"/>
          <w:highlight w:val="none"/>
        </w:rPr>
        <w:t>0%的扣除，扣除后的价格为评审价，即评审价=投标报价×（1-</w:t>
      </w:r>
      <w:r>
        <w:rPr>
          <w:rFonts w:hint="eastAsia" w:hAnsi="宋体" w:cs="宋体"/>
          <w:color w:val="auto"/>
          <w:kern w:val="2"/>
          <w:sz w:val="21"/>
          <w:highlight w:val="none"/>
          <w:lang w:val="en-US" w:eastAsia="zh-CN"/>
        </w:rPr>
        <w:t>2</w:t>
      </w:r>
      <w:r>
        <w:rPr>
          <w:rFonts w:hint="eastAsia" w:hAnsi="宋体" w:cs="宋体"/>
          <w:color w:val="auto"/>
          <w:kern w:val="2"/>
          <w:sz w:val="21"/>
          <w:highlight w:val="none"/>
        </w:rPr>
        <w:t>0%）。</w:t>
      </w:r>
    </w:p>
    <w:p>
      <w:pPr>
        <w:pStyle w:val="20"/>
        <w:spacing w:line="36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hAnsi="宋体" w:cs="宋体"/>
          <w:color w:val="auto"/>
          <w:kern w:val="2"/>
          <w:sz w:val="21"/>
          <w:szCs w:val="21"/>
          <w:highlight w:val="none"/>
          <w:u w:val="single"/>
        </w:rPr>
        <w:t xml:space="preserve"> 6 </w:t>
      </w:r>
      <w:r>
        <w:rPr>
          <w:rFonts w:hint="eastAsia" w:hAnsi="宋体" w:cs="宋体"/>
          <w:color w:val="auto"/>
          <w:kern w:val="2"/>
          <w:sz w:val="21"/>
          <w:szCs w:val="21"/>
          <w:highlight w:val="none"/>
        </w:rPr>
        <w:t>%（范围为4%-6%）的扣除，用扣除后的价格参加评审，扣除后的价格为评审价，即评审价=投标报价×（1-</w:t>
      </w:r>
      <w:r>
        <w:rPr>
          <w:rFonts w:hint="eastAsia" w:hAnsi="宋体" w:cs="宋体"/>
          <w:color w:val="auto"/>
          <w:kern w:val="2"/>
          <w:sz w:val="21"/>
          <w:szCs w:val="21"/>
          <w:highlight w:val="none"/>
          <w:u w:val="single"/>
        </w:rPr>
        <w:t xml:space="preserve"> 6 </w:t>
      </w:r>
      <w:r>
        <w:rPr>
          <w:rFonts w:hint="eastAsia" w:hAnsi="宋体" w:cs="宋体"/>
          <w:color w:val="auto"/>
          <w:kern w:val="2"/>
          <w:sz w:val="21"/>
          <w:szCs w:val="21"/>
          <w:highlight w:val="none"/>
        </w:rPr>
        <w:t>%）。除上述情况外，评审价=投标报价。</w:t>
      </w:r>
    </w:p>
    <w:p>
      <w:pPr>
        <w:pStyle w:val="20"/>
        <w:spacing w:line="360" w:lineRule="exact"/>
        <w:ind w:firstLine="402" w:firstLineChars="200"/>
        <w:rPr>
          <w:rFonts w:hint="eastAsia" w:hAnsi="宋体" w:cs="宋体"/>
          <w:color w:val="auto"/>
          <w:kern w:val="2"/>
          <w:sz w:val="21"/>
          <w:szCs w:val="21"/>
          <w:highlight w:val="none"/>
        </w:rPr>
      </w:pPr>
      <w:r>
        <w:rPr>
          <w:rFonts w:hint="eastAsia" w:ascii="宋体" w:hAnsi="宋体" w:cs="宋体"/>
          <w:b/>
          <w:bCs/>
          <w:color w:val="auto"/>
          <w:szCs w:val="21"/>
          <w:highlight w:val="none"/>
          <w:shd w:val="clear" w:color="auto" w:fill="FFFFFF"/>
        </w:rPr>
        <w:t>注：</w:t>
      </w:r>
      <w:r>
        <w:rPr>
          <w:rFonts w:hint="eastAsia" w:ascii="宋体" w:hAnsi="宋体" w:cs="宋体"/>
          <w:b/>
          <w:bCs/>
          <w:color w:val="auto"/>
          <w:szCs w:val="21"/>
          <w:highlight w:val="none"/>
          <w:shd w:val="clear" w:color="auto" w:fill="FFFFFF"/>
          <w:lang w:val="en-US" w:eastAsia="zh-CN"/>
        </w:rPr>
        <w:t>如本项目为</w:t>
      </w:r>
      <w:r>
        <w:rPr>
          <w:rFonts w:hint="eastAsia" w:ascii="宋体" w:hAnsi="宋体" w:cs="宋体"/>
          <w:b/>
          <w:bCs/>
          <w:color w:val="auto"/>
          <w:szCs w:val="21"/>
          <w:highlight w:val="none"/>
          <w:shd w:val="clear" w:color="auto" w:fill="FFFFFF"/>
        </w:rPr>
        <w:t>专门面向中小</w:t>
      </w:r>
      <w:r>
        <w:rPr>
          <w:rFonts w:hint="eastAsia" w:ascii="宋体" w:hAnsi="宋体" w:cs="宋体"/>
          <w:b/>
          <w:bCs/>
          <w:color w:val="auto"/>
          <w:szCs w:val="21"/>
          <w:highlight w:val="none"/>
          <w:shd w:val="clear" w:color="auto" w:fill="FFFFFF"/>
          <w:lang w:val="en-US" w:eastAsia="zh-CN"/>
        </w:rPr>
        <w:t>/小微</w:t>
      </w:r>
      <w:r>
        <w:rPr>
          <w:rFonts w:hint="eastAsia" w:ascii="宋体" w:hAnsi="宋体" w:cs="宋体"/>
          <w:b/>
          <w:bCs/>
          <w:color w:val="auto"/>
          <w:szCs w:val="21"/>
          <w:highlight w:val="none"/>
          <w:shd w:val="clear" w:color="auto" w:fill="FFFFFF"/>
        </w:rPr>
        <w:t>企业采购</w:t>
      </w:r>
      <w:r>
        <w:rPr>
          <w:rFonts w:hint="eastAsia" w:ascii="宋体" w:hAnsi="宋体" w:cs="宋体"/>
          <w:b/>
          <w:bCs/>
          <w:color w:val="auto"/>
          <w:szCs w:val="21"/>
          <w:highlight w:val="none"/>
          <w:shd w:val="clear" w:color="auto" w:fill="FFFFFF"/>
          <w:lang w:eastAsia="zh-CN"/>
        </w:rPr>
        <w:t>的</w:t>
      </w:r>
      <w:r>
        <w:rPr>
          <w:rFonts w:hint="eastAsia" w:ascii="宋体" w:hAnsi="宋体" w:cs="宋体"/>
          <w:b/>
          <w:bCs/>
          <w:color w:val="auto"/>
          <w:szCs w:val="21"/>
          <w:highlight w:val="none"/>
          <w:shd w:val="clear" w:color="auto" w:fill="FFFFFF"/>
        </w:rPr>
        <w:t>，不再享受政府采购优惠政策。</w:t>
      </w:r>
    </w:p>
    <w:p>
      <w:pPr>
        <w:spacing w:line="360" w:lineRule="exact"/>
        <w:ind w:firstLine="422" w:firstLineChars="200"/>
        <w:rPr>
          <w:rFonts w:hint="eastAsia" w:ascii="宋体" w:hAnsi="宋体"/>
          <w:color w:val="auto"/>
          <w:szCs w:val="21"/>
          <w:highlight w:val="none"/>
        </w:rPr>
      </w:pPr>
      <w:r>
        <w:rPr>
          <w:rFonts w:hint="eastAsia" w:ascii="宋体" w:hAnsi="宋体" w:cs="宋体"/>
          <w:b/>
          <w:color w:val="auto"/>
          <w:szCs w:val="21"/>
          <w:highlight w:val="none"/>
        </w:rPr>
        <w:t>3、评标委员会认为供应商的报价明显低于其他通过符合性审查供应商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供应商也可直接在响应文件中提供上述资料以避免因无法及时提供说明而导致可能被评标委员会作为无效响应处理。如果供应商不能合理说明或者提供的有关证明材料不完整，不能证明其报价合理性的，评标委员会将其作为无效投标处理。供应商书面说明应当签字确认或者加盖公章，否则无效。</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（三）评审方法：在质量和服务均能满足谈判文件实质性响应要求的前提下，按最后评审价由低到高排列成交候选供应商顺序，并依照次序确定成交候选供应商。</w:t>
      </w:r>
    </w:p>
    <w:p>
      <w:pPr>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二、评审方法</w:t>
      </w:r>
    </w:p>
    <w:p>
      <w:pPr>
        <w:spacing w:line="360" w:lineRule="exact"/>
        <w:ind w:firstLine="420" w:firstLineChars="200"/>
        <w:rPr>
          <w:color w:val="auto"/>
          <w:szCs w:val="21"/>
          <w:highlight w:val="none"/>
        </w:rPr>
      </w:pPr>
      <w:r>
        <w:rPr>
          <w:rFonts w:hint="eastAsia"/>
          <w:color w:val="auto"/>
          <w:szCs w:val="21"/>
          <w:highlight w:val="none"/>
        </w:rPr>
        <w:t>（一）资格审查</w:t>
      </w:r>
    </w:p>
    <w:p>
      <w:pPr>
        <w:spacing w:line="360" w:lineRule="exact"/>
        <w:ind w:firstLine="420" w:firstLineChars="200"/>
        <w:rPr>
          <w:color w:val="auto"/>
          <w:szCs w:val="21"/>
          <w:highlight w:val="none"/>
        </w:rPr>
      </w:pPr>
      <w:r>
        <w:rPr>
          <w:rFonts w:hint="eastAsia" w:hAnsi="宋体"/>
          <w:color w:val="auto"/>
          <w:szCs w:val="21"/>
          <w:highlight w:val="none"/>
        </w:rPr>
        <w:t>谈判小组</w:t>
      </w:r>
      <w:r>
        <w:rPr>
          <w:rFonts w:hint="eastAsia" w:ascii="宋体" w:hAnsi="宋体"/>
          <w:color w:val="auto"/>
          <w:szCs w:val="21"/>
          <w:highlight w:val="none"/>
        </w:rPr>
        <w:t>依法对供应商的资格进行审查。</w:t>
      </w:r>
    </w:p>
    <w:tbl>
      <w:tblPr>
        <w:tblStyle w:val="37"/>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8"/>
        <w:gridCol w:w="3260"/>
        <w:gridCol w:w="4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序号</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检查因素</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1</w:t>
            </w:r>
          </w:p>
        </w:tc>
        <w:tc>
          <w:tcPr>
            <w:tcW w:w="568" w:type="dxa"/>
            <w:vMerge w:val="restart"/>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供应商应符合的基本资格条件</w:t>
            </w:r>
          </w:p>
        </w:tc>
        <w:tc>
          <w:tcPr>
            <w:tcW w:w="3260"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auto"/>
                <w:kern w:val="2"/>
                <w:sz w:val="21"/>
                <w:szCs w:val="21"/>
                <w:highlight w:val="none"/>
              </w:rPr>
            </w:pPr>
            <w:r>
              <w:rPr>
                <w:rFonts w:hint="eastAsia" w:hAnsi="宋体"/>
                <w:color w:val="auto"/>
                <w:kern w:val="2"/>
                <w:sz w:val="21"/>
                <w:szCs w:val="21"/>
                <w:highlight w:val="none"/>
              </w:rPr>
              <w:t>具有独立承担民事责任的能力</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auto"/>
                <w:kern w:val="2"/>
                <w:sz w:val="21"/>
                <w:szCs w:val="21"/>
                <w:highlight w:val="none"/>
              </w:rPr>
            </w:pPr>
            <w:r>
              <w:rPr>
                <w:rFonts w:hint="eastAsia" w:hAnsi="宋体"/>
                <w:color w:val="auto"/>
                <w:kern w:val="2"/>
                <w:sz w:val="21"/>
                <w:szCs w:val="21"/>
                <w:highlight w:val="none"/>
              </w:rPr>
              <w:t>1.供应商提供合法的主体资格证明（如营业执照、事业单位法人证书、执业许可证、个体工商户营业执照、自然人身份证等）复印件、税务登记证、组织机构代码证副本复印件（采用“三证合一”营业执照的，不须提供税务登记证、组织机构代码证）。</w:t>
            </w:r>
          </w:p>
          <w:p>
            <w:pPr>
              <w:pStyle w:val="20"/>
              <w:spacing w:line="360" w:lineRule="exact"/>
              <w:rPr>
                <w:rFonts w:hint="eastAsia" w:hAnsi="宋体"/>
                <w:color w:val="auto"/>
                <w:kern w:val="2"/>
                <w:sz w:val="21"/>
                <w:szCs w:val="21"/>
                <w:highlight w:val="none"/>
              </w:rPr>
            </w:pPr>
            <w:r>
              <w:rPr>
                <w:rFonts w:hint="eastAsia" w:hAnsi="宋体"/>
                <w:color w:val="auto"/>
                <w:kern w:val="2"/>
                <w:sz w:val="21"/>
                <w:szCs w:val="21"/>
                <w:highlight w:val="none"/>
              </w:rPr>
              <w:t>2.如为分支机构投标的，须提供其总公司“营业执照”副本复印件和总公司对供应商参与本项目投标的授权书原件。</w:t>
            </w:r>
          </w:p>
          <w:p>
            <w:pPr>
              <w:pStyle w:val="20"/>
              <w:spacing w:line="360" w:lineRule="exact"/>
              <w:rPr>
                <w:color w:val="auto"/>
                <w:sz w:val="21"/>
                <w:szCs w:val="21"/>
                <w:highlight w:val="none"/>
              </w:rPr>
            </w:pPr>
            <w:r>
              <w:rPr>
                <w:rFonts w:hint="eastAsia" w:hAnsi="宋体"/>
                <w:color w:val="auto"/>
                <w:kern w:val="2"/>
                <w:sz w:val="21"/>
                <w:szCs w:val="21"/>
                <w:highlight w:val="none"/>
              </w:rPr>
              <w:t>3.提供政府采购供应商资格信用承诺函。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Courier New"/>
                <w:color w:val="auto"/>
                <w:szCs w:val="21"/>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Courier New"/>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color w:val="auto"/>
                <w:kern w:val="2"/>
                <w:sz w:val="21"/>
                <w:szCs w:val="21"/>
                <w:highlight w:val="none"/>
              </w:rPr>
            </w:pPr>
            <w:r>
              <w:rPr>
                <w:rFonts w:hint="eastAsia" w:cs="宋体"/>
                <w:color w:val="auto"/>
                <w:sz w:val="21"/>
                <w:szCs w:val="21"/>
                <w:highlight w:val="none"/>
              </w:rPr>
              <w:t>具有良好的商业信誉和健全的财务会计制度、有依法缴纳税收和社会保障金的良好记录</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color w:val="auto"/>
                <w:kern w:val="2"/>
                <w:sz w:val="21"/>
                <w:szCs w:val="21"/>
                <w:highlight w:val="none"/>
              </w:rPr>
            </w:pPr>
            <w:r>
              <w:rPr>
                <w:rFonts w:hint="eastAsia" w:cs="宋体"/>
                <w:color w:val="auto"/>
                <w:sz w:val="21"/>
                <w:szCs w:val="21"/>
                <w:highlight w:val="none"/>
              </w:rPr>
              <w:t>政府采购供应商资格信用承诺函(按格式填写)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Courier New"/>
                <w:color w:val="auto"/>
                <w:szCs w:val="21"/>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Courier New"/>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color w:val="auto"/>
                <w:kern w:val="2"/>
                <w:sz w:val="21"/>
                <w:szCs w:val="21"/>
                <w:highlight w:val="none"/>
              </w:rPr>
            </w:pPr>
            <w:r>
              <w:rPr>
                <w:rFonts w:hint="eastAsia" w:cs="宋体"/>
                <w:color w:val="auto"/>
                <w:sz w:val="21"/>
                <w:szCs w:val="21"/>
                <w:highlight w:val="none"/>
              </w:rPr>
              <w:t>具有履行合同所必需的设备和专业技术能力</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color w:val="auto"/>
                <w:sz w:val="21"/>
                <w:szCs w:val="21"/>
                <w:highlight w:val="none"/>
              </w:rPr>
            </w:pPr>
            <w:r>
              <w:rPr>
                <w:rFonts w:hint="eastAsia" w:cs="宋体"/>
                <w:color w:val="auto"/>
                <w:sz w:val="21"/>
                <w:szCs w:val="21"/>
                <w:highlight w:val="none"/>
              </w:rPr>
              <w:t>提供竞标声明书或相关证明材料。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Courier New"/>
                <w:color w:val="auto"/>
                <w:szCs w:val="21"/>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Courier New"/>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color w:val="auto"/>
                <w:kern w:val="2"/>
                <w:sz w:val="21"/>
                <w:szCs w:val="21"/>
                <w:highlight w:val="none"/>
              </w:rPr>
            </w:pPr>
            <w:r>
              <w:rPr>
                <w:rFonts w:hint="eastAsia" w:cs="宋体"/>
                <w:color w:val="auto"/>
                <w:sz w:val="21"/>
                <w:szCs w:val="21"/>
                <w:highlight w:val="none"/>
              </w:rPr>
              <w:t>参加政府采购活动前三年内，在经营活动中没有重大违法记录</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rPr>
                <w:rFonts w:cs="Courier New"/>
                <w:color w:val="auto"/>
                <w:sz w:val="21"/>
                <w:szCs w:val="21"/>
                <w:highlight w:val="none"/>
              </w:rPr>
            </w:pPr>
            <w:r>
              <w:rPr>
                <w:rFonts w:hint="eastAsia" w:cs="宋体"/>
                <w:color w:val="auto"/>
                <w:sz w:val="21"/>
                <w:szCs w:val="21"/>
                <w:highlight w:val="none"/>
              </w:rPr>
              <w:t>1.提供参加政府采购活动前三年内在经营活动中没有重大违法记录和不良信用记录的书面声明书。</w:t>
            </w:r>
          </w:p>
          <w:p>
            <w:pPr>
              <w:pStyle w:val="20"/>
              <w:rPr>
                <w:rFonts w:hint="eastAsia" w:hAnsi="宋体"/>
                <w:color w:val="auto"/>
                <w:kern w:val="2"/>
                <w:sz w:val="21"/>
                <w:szCs w:val="21"/>
                <w:highlight w:val="none"/>
              </w:rPr>
            </w:pPr>
            <w:r>
              <w:rPr>
                <w:rFonts w:hint="eastAsia" w:cs="宋体"/>
                <w:color w:val="auto"/>
                <w:sz w:val="21"/>
                <w:szCs w:val="21"/>
                <w:highlight w:val="none"/>
              </w:rPr>
              <w:t>2.在资格审查时，将通过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Courier New"/>
                <w:color w:val="auto"/>
                <w:szCs w:val="21"/>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Courier New"/>
                <w:color w:val="auto"/>
                <w:szCs w:val="21"/>
                <w:highlight w:val="none"/>
              </w:rPr>
            </w:pPr>
          </w:p>
        </w:tc>
        <w:tc>
          <w:tcPr>
            <w:tcW w:w="3260" w:type="dxa"/>
            <w:vMerge w:val="restart"/>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auto"/>
                <w:kern w:val="2"/>
                <w:sz w:val="21"/>
                <w:szCs w:val="21"/>
                <w:highlight w:val="none"/>
              </w:rPr>
            </w:pPr>
            <w:r>
              <w:rPr>
                <w:rFonts w:hint="eastAsia" w:cs="宋体"/>
                <w:color w:val="auto"/>
                <w:sz w:val="21"/>
                <w:szCs w:val="21"/>
                <w:highlight w:val="none"/>
              </w:rPr>
              <w:t>法律、行政法规规定的其他条件</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s="Courier New"/>
                <w:color w:val="auto"/>
                <w:kern w:val="2"/>
                <w:sz w:val="21"/>
                <w:szCs w:val="21"/>
                <w:highlight w:val="none"/>
              </w:rPr>
            </w:pPr>
            <w:r>
              <w:rPr>
                <w:rFonts w:hint="eastAsia" w:hAnsi="宋体"/>
                <w:color w:val="auto"/>
                <w:kern w:val="2"/>
                <w:sz w:val="21"/>
                <w:szCs w:val="21"/>
                <w:highlight w:val="none"/>
              </w:rPr>
              <w:t>1.单位负责人为同一人或者存在直接控股、管理关系的不同供应商，不得参加同一合同项下的政府采购活动。</w:t>
            </w:r>
          </w:p>
          <w:p>
            <w:pPr>
              <w:pStyle w:val="20"/>
              <w:spacing w:line="360" w:lineRule="exact"/>
              <w:rPr>
                <w:rFonts w:hint="eastAsia" w:hAnsi="宋体"/>
                <w:color w:val="auto"/>
                <w:kern w:val="2"/>
                <w:sz w:val="21"/>
                <w:szCs w:val="21"/>
                <w:highlight w:val="none"/>
              </w:rPr>
            </w:pPr>
            <w:r>
              <w:rPr>
                <w:rFonts w:hint="eastAsia" w:hAnsi="宋体"/>
                <w:color w:val="auto"/>
                <w:kern w:val="2"/>
                <w:sz w:val="21"/>
                <w:szCs w:val="21"/>
                <w:highlight w:val="none"/>
              </w:rPr>
              <w:t>提供供应商直接控股、管理关系信息表。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Courier New"/>
                <w:color w:val="auto"/>
                <w:szCs w:val="21"/>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Courier New"/>
                <w:color w:val="auto"/>
                <w:szCs w:val="21"/>
                <w:highlight w:val="none"/>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Courier New"/>
                <w:color w:val="auto"/>
                <w:szCs w:val="21"/>
                <w:highlight w:val="none"/>
              </w:rPr>
            </w:pP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s="Courier New"/>
                <w:color w:val="auto"/>
                <w:kern w:val="2"/>
                <w:sz w:val="21"/>
                <w:szCs w:val="21"/>
                <w:highlight w:val="none"/>
              </w:rPr>
            </w:pPr>
            <w:r>
              <w:rPr>
                <w:rFonts w:hint="eastAsia" w:hAnsi="宋体"/>
                <w:color w:val="auto"/>
                <w:kern w:val="2"/>
                <w:sz w:val="21"/>
                <w:szCs w:val="21"/>
                <w:highlight w:val="none"/>
              </w:rPr>
              <w:t>2.为本项目提供过整体设计、规范编制或者项目管理、监理、检测等服务的供应商，不得再参加本项目上述服务以外的其他采购活动。</w:t>
            </w:r>
          </w:p>
          <w:p>
            <w:pPr>
              <w:pStyle w:val="20"/>
              <w:spacing w:line="36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提供谈判声明书。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2</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auto"/>
                <w:kern w:val="2"/>
                <w:sz w:val="21"/>
                <w:szCs w:val="21"/>
                <w:highlight w:val="none"/>
              </w:rPr>
            </w:pPr>
            <w:r>
              <w:rPr>
                <w:rFonts w:hint="eastAsia" w:hAnsi="宋体"/>
                <w:color w:val="auto"/>
                <w:kern w:val="2"/>
                <w:sz w:val="21"/>
                <w:szCs w:val="21"/>
                <w:highlight w:val="none"/>
              </w:rPr>
              <w:t>落实政府采购政策需满足的资格要求</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auto"/>
                <w:kern w:val="2"/>
                <w:sz w:val="21"/>
                <w:szCs w:val="21"/>
                <w:highlight w:val="none"/>
              </w:rPr>
            </w:pPr>
            <w:r>
              <w:rPr>
                <w:rFonts w:hint="eastAsia" w:hAnsi="宋体"/>
                <w:color w:val="auto"/>
                <w:kern w:val="2"/>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3</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auto"/>
                <w:kern w:val="2"/>
                <w:sz w:val="21"/>
                <w:szCs w:val="21"/>
                <w:highlight w:val="none"/>
              </w:rPr>
            </w:pPr>
            <w:r>
              <w:rPr>
                <w:rFonts w:hint="eastAsia" w:hAnsi="宋体"/>
                <w:color w:val="auto"/>
                <w:kern w:val="2"/>
                <w:sz w:val="21"/>
                <w:szCs w:val="21"/>
                <w:highlight w:val="none"/>
              </w:rPr>
              <w:t>特定资格条件</w:t>
            </w:r>
          </w:p>
        </w:tc>
        <w:tc>
          <w:tcPr>
            <w:tcW w:w="4985"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rPr>
                <w:rFonts w:hint="eastAsia" w:hAnsi="宋体"/>
                <w:color w:val="auto"/>
                <w:kern w:val="2"/>
                <w:sz w:val="21"/>
                <w:szCs w:val="21"/>
                <w:highlight w:val="none"/>
              </w:rPr>
            </w:pPr>
            <w:r>
              <w:rPr>
                <w:rFonts w:hint="eastAsia" w:hAnsi="宋体"/>
                <w:color w:val="auto"/>
                <w:kern w:val="2"/>
                <w:sz w:val="21"/>
                <w:szCs w:val="21"/>
                <w:highlight w:val="none"/>
              </w:rPr>
              <w:t>无</w:t>
            </w:r>
          </w:p>
        </w:tc>
      </w:tr>
    </w:tbl>
    <w:p>
      <w:pPr>
        <w:pStyle w:val="20"/>
        <w:spacing w:line="360" w:lineRule="exact"/>
        <w:rPr>
          <w:rFonts w:hint="eastAsia" w:hAnsi="宋体"/>
          <w:color w:val="auto"/>
          <w:sz w:val="21"/>
          <w:szCs w:val="21"/>
          <w:highlight w:val="none"/>
        </w:rPr>
      </w:pPr>
      <w:r>
        <w:rPr>
          <w:rFonts w:hint="eastAsia" w:hAnsi="宋体"/>
          <w:color w:val="auto"/>
          <w:sz w:val="21"/>
          <w:szCs w:val="21"/>
          <w:highlight w:val="none"/>
        </w:rPr>
        <w:t>（二）符合性审查</w:t>
      </w:r>
    </w:p>
    <w:p>
      <w:pPr>
        <w:pStyle w:val="20"/>
        <w:spacing w:line="360" w:lineRule="exact"/>
        <w:rPr>
          <w:rFonts w:hint="eastAsia" w:hAnsi="宋体"/>
          <w:color w:val="auto"/>
          <w:sz w:val="21"/>
          <w:szCs w:val="21"/>
          <w:highlight w:val="none"/>
        </w:rPr>
      </w:pPr>
      <w:r>
        <w:rPr>
          <w:rFonts w:hint="eastAsia" w:hAnsi="宋体"/>
          <w:color w:val="auto"/>
          <w:sz w:val="21"/>
          <w:szCs w:val="21"/>
          <w:highlight w:val="none"/>
        </w:rPr>
        <w:t>谈判小组根据竞争性谈判文件要求各供应商响应文件的有效性、完整性、响应性等进行审查，以确定是否对竞争性谈判文件的实质性要求作出响应。</w:t>
      </w:r>
    </w:p>
    <w:tbl>
      <w:tblPr>
        <w:tblStyle w:val="37"/>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303"/>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序号</w:t>
            </w:r>
          </w:p>
        </w:tc>
        <w:tc>
          <w:tcPr>
            <w:tcW w:w="2303"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评审因素</w:t>
            </w:r>
          </w:p>
        </w:tc>
        <w:tc>
          <w:tcPr>
            <w:tcW w:w="6666"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1</w:t>
            </w:r>
          </w:p>
        </w:tc>
        <w:tc>
          <w:tcPr>
            <w:tcW w:w="2303"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商务和技术文件审查</w:t>
            </w:r>
          </w:p>
        </w:tc>
        <w:tc>
          <w:tcPr>
            <w:tcW w:w="666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未按照竞争性谈判文件的规定足额交纳竞标保证金的</w:t>
            </w:r>
            <w:r>
              <w:rPr>
                <w:rFonts w:hint="eastAsia" w:ascii="宋体" w:hAnsi="宋体" w:cs="宋体"/>
                <w:bCs/>
                <w:color w:val="auto"/>
                <w:szCs w:val="21"/>
                <w:highlight w:val="none"/>
              </w:rPr>
              <w:t>；</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2.响应文件未按谈判文件要求签署、盖章的；</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3.投标代表人未能出具身份证明或与法定代表人授权委托人身份不符的；</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4.响应文件的实质性内容未使用中文表述、意思表述不明确、前后矛盾或者使用计量单位不符合谈判文件要求的（经评标委员会认定并允许其当场更正的笔误除外）</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5.响应文件有效期、服务期或交货期、质保期等商务条款不能满足</w:t>
            </w:r>
            <w:r>
              <w:rPr>
                <w:rFonts w:hint="eastAsia" w:ascii="宋体" w:hAnsi="宋体" w:cs="宋体"/>
                <w:bCs/>
                <w:color w:val="auto"/>
                <w:szCs w:val="21"/>
                <w:highlight w:val="none"/>
                <w:lang w:eastAsia="zh-CN"/>
              </w:rPr>
              <w:t>采购文件</w:t>
            </w:r>
            <w:r>
              <w:rPr>
                <w:rFonts w:hint="eastAsia" w:ascii="宋体" w:hAnsi="宋体" w:cs="宋体"/>
                <w:bCs/>
                <w:color w:val="auto"/>
                <w:szCs w:val="21"/>
                <w:highlight w:val="none"/>
              </w:rPr>
              <w:t>要求的；</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6.未实质性响应谈判文件要求或者响应文件有采购人不能接受的附加条件的。</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7.未提供谈判文件中“13.响应文件的组成13.2商务和技术文件”要求必须提供的资料的；</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8.未提供或未如实提供投标货物的技术参数，或者响应文件标明的响应或偏离与事实不符或虚假投标的；</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9.明显不符合</w:t>
            </w:r>
            <w:r>
              <w:rPr>
                <w:rFonts w:hint="eastAsia" w:ascii="宋体" w:hAnsi="宋体" w:cs="宋体"/>
                <w:bCs/>
                <w:color w:val="auto"/>
                <w:szCs w:val="21"/>
                <w:highlight w:val="none"/>
                <w:lang w:eastAsia="zh-CN"/>
              </w:rPr>
              <w:t>采购文件</w:t>
            </w:r>
            <w:r>
              <w:rPr>
                <w:rFonts w:hint="eastAsia" w:ascii="宋体" w:hAnsi="宋体" w:cs="宋体"/>
                <w:bCs/>
                <w:color w:val="auto"/>
                <w:szCs w:val="21"/>
                <w:highlight w:val="none"/>
              </w:rPr>
              <w:t>要求的规格型号、质量标准和采购需求的，或者与</w:t>
            </w:r>
            <w:r>
              <w:rPr>
                <w:rFonts w:hint="eastAsia" w:ascii="宋体" w:hAnsi="宋体" w:cs="宋体"/>
                <w:bCs/>
                <w:color w:val="auto"/>
                <w:szCs w:val="21"/>
                <w:highlight w:val="none"/>
                <w:lang w:eastAsia="zh-CN"/>
              </w:rPr>
              <w:t>采购文件</w:t>
            </w:r>
            <w:r>
              <w:rPr>
                <w:rFonts w:hint="eastAsia" w:ascii="宋体" w:hAnsi="宋体" w:cs="宋体"/>
                <w:bCs/>
                <w:color w:val="auto"/>
                <w:szCs w:val="21"/>
                <w:highlight w:val="none"/>
              </w:rPr>
              <w:t>中标“▲”的技术指标、主要功能项目发生实质性偏离的；</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10.允许偏离的技术、性能指标或者辅助功能项目发生负偏离达 1 项（含1项）以上的；</w:t>
            </w:r>
          </w:p>
          <w:p>
            <w:pPr>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12.技术方案不明确，存在一个或一个以上备选（替代）竞标方案的。</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13.属于供应商须知正文7.特别说明第6点情形的；</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14.法律、法规和竞争性谈判文件规定的其他无效情形。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2</w:t>
            </w:r>
          </w:p>
        </w:tc>
        <w:tc>
          <w:tcPr>
            <w:tcW w:w="2303"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hint="eastAsia" w:hAnsi="宋体"/>
                <w:color w:val="auto"/>
                <w:kern w:val="2"/>
                <w:sz w:val="21"/>
                <w:szCs w:val="21"/>
                <w:highlight w:val="none"/>
              </w:rPr>
            </w:pPr>
            <w:r>
              <w:rPr>
                <w:rFonts w:hint="eastAsia" w:hAnsi="宋体"/>
                <w:color w:val="auto"/>
                <w:kern w:val="2"/>
                <w:sz w:val="21"/>
                <w:szCs w:val="21"/>
                <w:highlight w:val="none"/>
              </w:rPr>
              <w:t>报价文件审查</w:t>
            </w:r>
          </w:p>
        </w:tc>
        <w:tc>
          <w:tcPr>
            <w:tcW w:w="666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1.未提供谈判文件中“13.响应文件的组成13.3报价文件”要求必须提供的资料的；</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2.报价超过</w:t>
            </w:r>
            <w:r>
              <w:rPr>
                <w:rFonts w:hint="eastAsia" w:ascii="宋体" w:hAnsi="宋体" w:cs="宋体"/>
                <w:bCs/>
                <w:color w:val="auto"/>
                <w:szCs w:val="21"/>
                <w:highlight w:val="none"/>
                <w:lang w:eastAsia="zh-CN"/>
              </w:rPr>
              <w:t>采购文件</w:t>
            </w:r>
            <w:r>
              <w:rPr>
                <w:rFonts w:hint="eastAsia" w:ascii="宋体" w:hAnsi="宋体" w:cs="宋体"/>
                <w:bCs/>
                <w:color w:val="auto"/>
                <w:szCs w:val="21"/>
                <w:highlight w:val="none"/>
              </w:rPr>
              <w:t>中规定的预算金额或者最高限价的；</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3.未采用人民币报价或者未按照</w:t>
            </w:r>
            <w:r>
              <w:rPr>
                <w:rFonts w:hint="eastAsia" w:ascii="宋体" w:hAnsi="宋体" w:cs="宋体"/>
                <w:bCs/>
                <w:color w:val="auto"/>
                <w:szCs w:val="21"/>
                <w:highlight w:val="none"/>
                <w:lang w:eastAsia="zh-CN"/>
              </w:rPr>
              <w:t>采购文件</w:t>
            </w:r>
            <w:r>
              <w:rPr>
                <w:rFonts w:hint="eastAsia" w:ascii="宋体" w:hAnsi="宋体" w:cs="宋体"/>
                <w:bCs/>
                <w:color w:val="auto"/>
                <w:szCs w:val="21"/>
                <w:highlight w:val="none"/>
              </w:rPr>
              <w:t>标明的币种报价的；</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4.竞标报价具有选择性，或者云平台中开标记录表的报价与响应文件承诺的优惠（折扣）价格不一致的；</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5.法律、法规和</w:t>
            </w:r>
            <w:r>
              <w:rPr>
                <w:rFonts w:hint="eastAsia" w:ascii="宋体" w:hAnsi="宋体" w:cs="宋体"/>
                <w:bCs/>
                <w:color w:val="auto"/>
                <w:szCs w:val="21"/>
                <w:highlight w:val="none"/>
                <w:lang w:eastAsia="zh-CN"/>
              </w:rPr>
              <w:t>采购文件</w:t>
            </w:r>
            <w:r>
              <w:rPr>
                <w:rFonts w:hint="eastAsia" w:ascii="宋体" w:hAnsi="宋体" w:cs="宋体"/>
                <w:bCs/>
                <w:color w:val="auto"/>
                <w:szCs w:val="21"/>
                <w:highlight w:val="none"/>
              </w:rPr>
              <w:t>规定的其他无效情形。</w:t>
            </w:r>
          </w:p>
          <w:p>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6.出现恶意竞争低于成本价的情形。</w:t>
            </w:r>
          </w:p>
          <w:p>
            <w:pPr>
              <w:widowControl/>
              <w:spacing w:line="360" w:lineRule="exact"/>
              <w:jc w:val="left"/>
              <w:rPr>
                <w:rFonts w:hint="eastAsia" w:ascii="宋体" w:hAnsi="宋体" w:cs="宋体"/>
                <w:color w:val="auto"/>
                <w:szCs w:val="21"/>
                <w:highlight w:val="none"/>
              </w:rPr>
            </w:pPr>
            <w:r>
              <w:rPr>
                <w:rFonts w:hint="eastAsia" w:ascii="宋体" w:hAnsi="宋体" w:cs="宋体"/>
                <w:bCs/>
                <w:color w:val="auto"/>
                <w:szCs w:val="21"/>
                <w:highlight w:val="none"/>
              </w:rPr>
              <w:t>7.修正后的报价，供应商不确认的。</w:t>
            </w:r>
          </w:p>
        </w:tc>
      </w:tr>
    </w:tbl>
    <w:p>
      <w:pPr>
        <w:spacing w:line="360" w:lineRule="exact"/>
        <w:ind w:firstLine="420" w:firstLineChars="200"/>
        <w:rPr>
          <w:rFonts w:hint="eastAsia" w:ascii="宋体" w:hAnsi="宋体"/>
          <w:color w:val="auto"/>
          <w:szCs w:val="21"/>
          <w:highlight w:val="none"/>
        </w:rPr>
      </w:pPr>
      <w:r>
        <w:rPr>
          <w:rFonts w:hint="eastAsia" w:hAnsi="宋体"/>
          <w:color w:val="auto"/>
          <w:szCs w:val="21"/>
          <w:highlight w:val="none"/>
        </w:rPr>
        <w:t>（三）</w:t>
      </w:r>
      <w:r>
        <w:rPr>
          <w:rFonts w:hint="eastAsia" w:ascii="宋体" w:hAnsi="宋体"/>
          <w:color w:val="auto"/>
          <w:szCs w:val="21"/>
          <w:highlight w:val="none"/>
        </w:rPr>
        <w:t>最后报价政府采购政策性扣除</w:t>
      </w:r>
    </w:p>
    <w:p>
      <w:pPr>
        <w:spacing w:line="360" w:lineRule="exact"/>
        <w:ind w:firstLine="420" w:firstLineChars="200"/>
        <w:rPr>
          <w:rFonts w:hint="eastAsia" w:ascii="宋体" w:hAnsi="宋体"/>
          <w:color w:val="auto"/>
          <w:szCs w:val="21"/>
          <w:highlight w:val="none"/>
        </w:rPr>
      </w:pPr>
      <w:r>
        <w:rPr>
          <w:rFonts w:hint="eastAsia" w:hAnsi="宋体" w:cs="宋体"/>
          <w:color w:val="auto"/>
          <w:szCs w:val="21"/>
          <w:highlight w:val="none"/>
        </w:rPr>
        <w:t>根据上述评审依据对供应商的最后报价给予价格扣除，扣除后的价格为评审价。</w:t>
      </w:r>
    </w:p>
    <w:p>
      <w:pPr>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三、成交候选供应商推荐原则</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在质量和服务均能满足采购文件实质性响应要求的前提下，按照最后评审价由低到高的顺序提出3名以上成交候选人（</w:t>
      </w:r>
      <w:r>
        <w:rPr>
          <w:rFonts w:hint="eastAsia" w:ascii="宋体" w:hAnsi="宋体"/>
          <w:color w:val="auto"/>
          <w:highlight w:val="none"/>
        </w:rPr>
        <w:t>最后评审报价相同时，</w:t>
      </w:r>
      <w:r>
        <w:rPr>
          <w:rFonts w:hint="eastAsia" w:ascii="宋体" w:hAnsi="宋体" w:cs="宋体"/>
          <w:color w:val="auto"/>
          <w:szCs w:val="21"/>
          <w:highlight w:val="none"/>
        </w:rPr>
        <w:t>依次按节能环保产品累计金额高的优先、</w:t>
      </w:r>
      <w:r>
        <w:rPr>
          <w:rFonts w:hint="eastAsia" w:ascii="宋体" w:hAnsi="宋体" w:cs="宋体"/>
          <w:color w:val="auto"/>
          <w:highlight w:val="none"/>
        </w:rPr>
        <w:t>环境标志产品累计金额高的优先、</w:t>
      </w:r>
      <w:r>
        <w:rPr>
          <w:rFonts w:hint="eastAsia" w:ascii="宋体" w:hAnsi="宋体"/>
          <w:color w:val="auto"/>
          <w:highlight w:val="none"/>
        </w:rPr>
        <w:t>关键技术指标高优先、质量保证期长优先、</w:t>
      </w:r>
      <w:r>
        <w:rPr>
          <w:rFonts w:hint="eastAsia" w:ascii="宋体" w:hAnsi="宋体"/>
          <w:bCs/>
          <w:color w:val="auto"/>
          <w:highlight w:val="none"/>
        </w:rPr>
        <w:t>交货期</w:t>
      </w:r>
      <w:r>
        <w:rPr>
          <w:rFonts w:hint="eastAsia" w:ascii="宋体" w:hAnsi="宋体"/>
          <w:color w:val="auto"/>
          <w:highlight w:val="none"/>
        </w:rPr>
        <w:t>短优先、故障处理时间短优先的顺序排列</w:t>
      </w:r>
      <w:r>
        <w:rPr>
          <w:rFonts w:hint="eastAsia" w:ascii="宋体" w:hAnsi="宋体"/>
          <w:color w:val="auto"/>
          <w:szCs w:val="21"/>
          <w:highlight w:val="none"/>
        </w:rPr>
        <w:t>），并依照次序确定成交候选人。采购人应当确定谈判小组推荐排名第一的成交候选人为成交供应商。排名第一的成交候选人放弃成交、因不可抗力提出不能履行合同，或者采购文件规定应当提交履约保证金而在规定的期限内未能提交的，采购人可以确定排名第二的成交候选人为成交供应商。排名第二的成交候选人因前款规定的同样原因不能签订合同的，采购人可以确定排名第三的成交候选人为成交供应商，其余以此类推，</w:t>
      </w:r>
      <w:r>
        <w:rPr>
          <w:rFonts w:hint="eastAsia" w:ascii="宋体" w:hAnsi="宋体"/>
          <w:color w:val="auto"/>
          <w:highlight w:val="none"/>
          <w:shd w:val="clear" w:color="auto" w:fill="FFFFFF"/>
        </w:rPr>
        <w:t>也可以重新采购。</w:t>
      </w:r>
    </w:p>
    <w:sectPr>
      <w:pgSz w:w="11906" w:h="16838"/>
      <w:pgMar w:top="1134" w:right="1134" w:bottom="1134" w:left="1134"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DC1AD28-28EE-4FCD-AEE0-07F43B5FA0A0}"/>
  </w:font>
  <w:font w:name="黑体">
    <w:panose1 w:val="02010609060101010101"/>
    <w:charset w:val="86"/>
    <w:family w:val="auto"/>
    <w:pitch w:val="default"/>
    <w:sig w:usb0="800002BF" w:usb1="38CF7CFA" w:usb2="00000016" w:usb3="00000000" w:csb0="00040001" w:csb1="00000000"/>
    <w:embedRegular r:id="rId2" w:fontKey="{A9512DD7-04F0-4289-9CBF-AC4F6B845432}"/>
  </w:font>
  <w:font w:name="Courier New">
    <w:panose1 w:val="02070309020205020404"/>
    <w:charset w:val="01"/>
    <w:family w:val="modern"/>
    <w:pitch w:val="default"/>
    <w:sig w:usb0="E0002EFF" w:usb1="C0007843" w:usb2="00000009" w:usb3="00000000" w:csb0="400001FF" w:csb1="FFFF0000"/>
    <w:embedRegular r:id="rId3" w:fontKey="{9C4E43BB-D560-4E9A-A780-A9FBB1BA553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455845D2-52D1-45EE-8412-EEBE109522C1}"/>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5" w:fontKey="{657102E2-3C8C-4662-8232-C57694085DFF}"/>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embedRegular r:id="rId6" w:fontKey="{BCD510CF-3A43-46E2-96DE-9463081BF07F}"/>
  </w:font>
  <w:font w:name="Adobe 黑体 Std R">
    <w:altName w:val="宋体"/>
    <w:panose1 w:val="00000000000000000000"/>
    <w:charset w:val="86"/>
    <w:family w:val="auto"/>
    <w:pitch w:val="default"/>
    <w:sig w:usb0="00000000" w:usb1="00000000" w:usb2="00000016" w:usb3="00000000" w:csb0="00060007" w:csb1="00000000"/>
    <w:embedRegular r:id="rId7" w:fontKey="{6C883806-51DF-4CE0-B196-1BEBBB120E6F}"/>
  </w:font>
  <w:font w:name="仿宋">
    <w:panose1 w:val="02010609060101010101"/>
    <w:charset w:val="86"/>
    <w:family w:val="modern"/>
    <w:pitch w:val="default"/>
    <w:sig w:usb0="800002BF" w:usb1="38CF7CFA" w:usb2="00000016" w:usb3="00000000" w:csb0="00040001" w:csb1="00000000"/>
    <w:embedRegular r:id="rId8" w:fontKey="{2909391F-0CA1-4068-B763-DDFC80D04FC6}"/>
  </w:font>
  <w:font w:name="Adobe 宋体 Std L">
    <w:altName w:val="宋体"/>
    <w:panose1 w:val="00000000000000000000"/>
    <w:charset w:val="86"/>
    <w:family w:val="auto"/>
    <w:pitch w:val="default"/>
    <w:sig w:usb0="00000000" w:usb1="00000000" w:usb2="00000010" w:usb3="00000000" w:csb0="00040000" w:csb1="00000000"/>
    <w:embedRegular r:id="rId9" w:fontKey="{4564AC4B-E026-4E33-B61C-8F65B9EA2F00}"/>
  </w:font>
  <w:font w:name="MS Mincho">
    <w:altName w:val="MS UI Gothic"/>
    <w:panose1 w:val="02020609040205080304"/>
    <w:charset w:val="80"/>
    <w:family w:val="modern"/>
    <w:pitch w:val="default"/>
    <w:sig w:usb0="00000000" w:usb1="00000000" w:usb2="08000012" w:usb3="00000000" w:csb0="0002009F" w:csb1="00000000"/>
    <w:embedRegular r:id="rId10" w:fontKey="{2A20654D-AEA1-4DE1-A78A-312B72F16C83}"/>
  </w:font>
  <w:font w:name="Arial Unicode MS">
    <w:altName w:val="宋体"/>
    <w:panose1 w:val="020B0604020202020204"/>
    <w:charset w:val="86"/>
    <w:family w:val="swiss"/>
    <w:pitch w:val="default"/>
    <w:sig w:usb0="00000000" w:usb1="00000000" w:usb2="0000003F" w:usb3="00000000" w:csb0="603F01FF" w:csb1="FFFF0000"/>
    <w:embedRegular r:id="rId11" w:fontKey="{110EACA4-E9DB-49CF-A357-5AC7CA16C058}"/>
  </w:font>
  <w:font w:name="微软雅黑">
    <w:panose1 w:val="020B0503020204020204"/>
    <w:charset w:val="86"/>
    <w:family w:val="swiss"/>
    <w:pitch w:val="default"/>
    <w:sig w:usb0="80000287" w:usb1="2ACF3C50" w:usb2="00000016" w:usb3="00000000" w:csb0="0004001F" w:csb1="00000000"/>
    <w:embedRegular r:id="rId12" w:fontKey="{0A66A0F9-198C-4A5F-9495-C84FF2F1518D}"/>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3</w: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7"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EVFKGPTAQAApQMAAA4AAAAAAAAAAQAgAAAAHwEA&#10;AGRycy9lMm9Eb2MueG1sUEsFBgAAAAAGAAYAWQEAAGQ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MzU2YTk2MTFmMTE5MDhlYTYzMmY4ODc0OTZmMzIifQ=="/>
    <w:docVar w:name="KSO_WPS_MARK_KEY" w:val="3024b2f5-adbc-48bb-96c0-c1c61727ca46"/>
  </w:docVars>
  <w:rsids>
    <w:rsidRoot w:val="00172A27"/>
    <w:rsid w:val="00001C0C"/>
    <w:rsid w:val="00022670"/>
    <w:rsid w:val="0003723A"/>
    <w:rsid w:val="000512E4"/>
    <w:rsid w:val="000579D9"/>
    <w:rsid w:val="00063879"/>
    <w:rsid w:val="000741DF"/>
    <w:rsid w:val="0008502C"/>
    <w:rsid w:val="000900B2"/>
    <w:rsid w:val="000A6B6E"/>
    <w:rsid w:val="000A7867"/>
    <w:rsid w:val="000C1BB1"/>
    <w:rsid w:val="000C7BC5"/>
    <w:rsid w:val="000D478D"/>
    <w:rsid w:val="000F0B9A"/>
    <w:rsid w:val="00113126"/>
    <w:rsid w:val="0012327F"/>
    <w:rsid w:val="00126D8E"/>
    <w:rsid w:val="00144DC0"/>
    <w:rsid w:val="00156FB3"/>
    <w:rsid w:val="00160B97"/>
    <w:rsid w:val="00160F33"/>
    <w:rsid w:val="00165BA6"/>
    <w:rsid w:val="00166F27"/>
    <w:rsid w:val="00172A27"/>
    <w:rsid w:val="00177305"/>
    <w:rsid w:val="00192A8D"/>
    <w:rsid w:val="00193D21"/>
    <w:rsid w:val="001947B1"/>
    <w:rsid w:val="00195780"/>
    <w:rsid w:val="001B2C5D"/>
    <w:rsid w:val="001B43A9"/>
    <w:rsid w:val="001C6839"/>
    <w:rsid w:val="001C7C93"/>
    <w:rsid w:val="001D04F0"/>
    <w:rsid w:val="001D562D"/>
    <w:rsid w:val="001E7D79"/>
    <w:rsid w:val="001F0EA1"/>
    <w:rsid w:val="001F2F28"/>
    <w:rsid w:val="00210E1A"/>
    <w:rsid w:val="002156C1"/>
    <w:rsid w:val="002235C2"/>
    <w:rsid w:val="00236732"/>
    <w:rsid w:val="00270805"/>
    <w:rsid w:val="00283B01"/>
    <w:rsid w:val="00284786"/>
    <w:rsid w:val="002911B3"/>
    <w:rsid w:val="0029128D"/>
    <w:rsid w:val="00296208"/>
    <w:rsid w:val="002A078A"/>
    <w:rsid w:val="002A58C8"/>
    <w:rsid w:val="002B06BB"/>
    <w:rsid w:val="002B5F22"/>
    <w:rsid w:val="002C255D"/>
    <w:rsid w:val="002C6529"/>
    <w:rsid w:val="002C7E7D"/>
    <w:rsid w:val="002E2198"/>
    <w:rsid w:val="002E23B9"/>
    <w:rsid w:val="002E29E9"/>
    <w:rsid w:val="002E6188"/>
    <w:rsid w:val="002F4880"/>
    <w:rsid w:val="002F5B70"/>
    <w:rsid w:val="003002EA"/>
    <w:rsid w:val="00307A4F"/>
    <w:rsid w:val="00327617"/>
    <w:rsid w:val="00330A01"/>
    <w:rsid w:val="00334998"/>
    <w:rsid w:val="00336EEC"/>
    <w:rsid w:val="00340E75"/>
    <w:rsid w:val="00362A48"/>
    <w:rsid w:val="00375B6D"/>
    <w:rsid w:val="00377EFF"/>
    <w:rsid w:val="00380190"/>
    <w:rsid w:val="003A2BC3"/>
    <w:rsid w:val="003A37F2"/>
    <w:rsid w:val="003B18F8"/>
    <w:rsid w:val="003C712A"/>
    <w:rsid w:val="003D71E0"/>
    <w:rsid w:val="003E71C7"/>
    <w:rsid w:val="003F1C83"/>
    <w:rsid w:val="00406C00"/>
    <w:rsid w:val="00414E67"/>
    <w:rsid w:val="004222E9"/>
    <w:rsid w:val="004236D1"/>
    <w:rsid w:val="00432E43"/>
    <w:rsid w:val="00442028"/>
    <w:rsid w:val="00446764"/>
    <w:rsid w:val="00454E17"/>
    <w:rsid w:val="00457E40"/>
    <w:rsid w:val="00461D08"/>
    <w:rsid w:val="00472C27"/>
    <w:rsid w:val="00477342"/>
    <w:rsid w:val="00493323"/>
    <w:rsid w:val="00494386"/>
    <w:rsid w:val="004A0D7C"/>
    <w:rsid w:val="004B3B7E"/>
    <w:rsid w:val="004C6EEC"/>
    <w:rsid w:val="004E5336"/>
    <w:rsid w:val="004F189C"/>
    <w:rsid w:val="005018AC"/>
    <w:rsid w:val="005105C9"/>
    <w:rsid w:val="00517943"/>
    <w:rsid w:val="00520816"/>
    <w:rsid w:val="00530320"/>
    <w:rsid w:val="0053623D"/>
    <w:rsid w:val="005473FC"/>
    <w:rsid w:val="005562A6"/>
    <w:rsid w:val="0056345E"/>
    <w:rsid w:val="005643F6"/>
    <w:rsid w:val="00566174"/>
    <w:rsid w:val="00572A98"/>
    <w:rsid w:val="00597966"/>
    <w:rsid w:val="00597BA6"/>
    <w:rsid w:val="005A1200"/>
    <w:rsid w:val="005A5B08"/>
    <w:rsid w:val="005A75F8"/>
    <w:rsid w:val="005B0DE9"/>
    <w:rsid w:val="005B2E9B"/>
    <w:rsid w:val="005C10AE"/>
    <w:rsid w:val="005C5733"/>
    <w:rsid w:val="005E6A05"/>
    <w:rsid w:val="005F2CA3"/>
    <w:rsid w:val="005F56E9"/>
    <w:rsid w:val="005F7846"/>
    <w:rsid w:val="006003AB"/>
    <w:rsid w:val="006034C8"/>
    <w:rsid w:val="00605A47"/>
    <w:rsid w:val="0061087F"/>
    <w:rsid w:val="00615763"/>
    <w:rsid w:val="0062680C"/>
    <w:rsid w:val="00630A98"/>
    <w:rsid w:val="00635D9F"/>
    <w:rsid w:val="006428BD"/>
    <w:rsid w:val="006603D9"/>
    <w:rsid w:val="0067194D"/>
    <w:rsid w:val="006742B9"/>
    <w:rsid w:val="006744F1"/>
    <w:rsid w:val="00677CE1"/>
    <w:rsid w:val="00682163"/>
    <w:rsid w:val="00683774"/>
    <w:rsid w:val="006A277C"/>
    <w:rsid w:val="006B5B08"/>
    <w:rsid w:val="006C28F1"/>
    <w:rsid w:val="006C300A"/>
    <w:rsid w:val="006C71B4"/>
    <w:rsid w:val="006D3F4B"/>
    <w:rsid w:val="006D40C0"/>
    <w:rsid w:val="006D7D67"/>
    <w:rsid w:val="006E3F62"/>
    <w:rsid w:val="006F3406"/>
    <w:rsid w:val="006F491C"/>
    <w:rsid w:val="006F5EB8"/>
    <w:rsid w:val="006F77C0"/>
    <w:rsid w:val="007264C9"/>
    <w:rsid w:val="00726A1D"/>
    <w:rsid w:val="007272E3"/>
    <w:rsid w:val="00731013"/>
    <w:rsid w:val="007432DC"/>
    <w:rsid w:val="00755CD8"/>
    <w:rsid w:val="007576E0"/>
    <w:rsid w:val="00757FBD"/>
    <w:rsid w:val="00763650"/>
    <w:rsid w:val="007670B5"/>
    <w:rsid w:val="0077135E"/>
    <w:rsid w:val="0077336D"/>
    <w:rsid w:val="0077621B"/>
    <w:rsid w:val="00785449"/>
    <w:rsid w:val="00790913"/>
    <w:rsid w:val="007928E5"/>
    <w:rsid w:val="00797F2C"/>
    <w:rsid w:val="007A2FDF"/>
    <w:rsid w:val="007B229A"/>
    <w:rsid w:val="007C36A6"/>
    <w:rsid w:val="007E3289"/>
    <w:rsid w:val="007E6E69"/>
    <w:rsid w:val="007F3DE5"/>
    <w:rsid w:val="007F42B8"/>
    <w:rsid w:val="007F4D48"/>
    <w:rsid w:val="008101C0"/>
    <w:rsid w:val="00815AA1"/>
    <w:rsid w:val="00816209"/>
    <w:rsid w:val="00817F98"/>
    <w:rsid w:val="00820504"/>
    <w:rsid w:val="008231EA"/>
    <w:rsid w:val="008301B0"/>
    <w:rsid w:val="0083507D"/>
    <w:rsid w:val="008376B9"/>
    <w:rsid w:val="008537F2"/>
    <w:rsid w:val="00856ABE"/>
    <w:rsid w:val="00862FD0"/>
    <w:rsid w:val="00874355"/>
    <w:rsid w:val="00876E5D"/>
    <w:rsid w:val="00887C9B"/>
    <w:rsid w:val="008A6763"/>
    <w:rsid w:val="008C2FB0"/>
    <w:rsid w:val="008D0C70"/>
    <w:rsid w:val="008F0F4B"/>
    <w:rsid w:val="009017EC"/>
    <w:rsid w:val="00906BBB"/>
    <w:rsid w:val="00913CF6"/>
    <w:rsid w:val="00934FA9"/>
    <w:rsid w:val="00940297"/>
    <w:rsid w:val="00955881"/>
    <w:rsid w:val="009771DC"/>
    <w:rsid w:val="009778FC"/>
    <w:rsid w:val="00977D24"/>
    <w:rsid w:val="00977F5F"/>
    <w:rsid w:val="00987B92"/>
    <w:rsid w:val="00995889"/>
    <w:rsid w:val="0099644D"/>
    <w:rsid w:val="009A0D52"/>
    <w:rsid w:val="009B099B"/>
    <w:rsid w:val="00A03703"/>
    <w:rsid w:val="00A10763"/>
    <w:rsid w:val="00A16749"/>
    <w:rsid w:val="00A1794C"/>
    <w:rsid w:val="00A23A05"/>
    <w:rsid w:val="00A27EBA"/>
    <w:rsid w:val="00A41C89"/>
    <w:rsid w:val="00A541AD"/>
    <w:rsid w:val="00A625CC"/>
    <w:rsid w:val="00A66F5C"/>
    <w:rsid w:val="00A70A0D"/>
    <w:rsid w:val="00A70C5B"/>
    <w:rsid w:val="00A712FE"/>
    <w:rsid w:val="00A74E21"/>
    <w:rsid w:val="00A75BAB"/>
    <w:rsid w:val="00A76AB7"/>
    <w:rsid w:val="00A81489"/>
    <w:rsid w:val="00A834D0"/>
    <w:rsid w:val="00A85609"/>
    <w:rsid w:val="00AB40E4"/>
    <w:rsid w:val="00AB55B0"/>
    <w:rsid w:val="00AB5AA9"/>
    <w:rsid w:val="00AC34AB"/>
    <w:rsid w:val="00AC58B3"/>
    <w:rsid w:val="00AD6E5E"/>
    <w:rsid w:val="00AF74BD"/>
    <w:rsid w:val="00B04BC2"/>
    <w:rsid w:val="00B12293"/>
    <w:rsid w:val="00B15CA9"/>
    <w:rsid w:val="00B22C81"/>
    <w:rsid w:val="00B311CF"/>
    <w:rsid w:val="00B35486"/>
    <w:rsid w:val="00B53D0E"/>
    <w:rsid w:val="00B665D8"/>
    <w:rsid w:val="00B73B5C"/>
    <w:rsid w:val="00B874D5"/>
    <w:rsid w:val="00B92DBF"/>
    <w:rsid w:val="00B95A97"/>
    <w:rsid w:val="00BA5BB5"/>
    <w:rsid w:val="00BC5114"/>
    <w:rsid w:val="00BC549C"/>
    <w:rsid w:val="00BD3AD1"/>
    <w:rsid w:val="00BD717D"/>
    <w:rsid w:val="00BE06A8"/>
    <w:rsid w:val="00BF3D4B"/>
    <w:rsid w:val="00BF5F04"/>
    <w:rsid w:val="00C0268A"/>
    <w:rsid w:val="00C0438A"/>
    <w:rsid w:val="00C05D51"/>
    <w:rsid w:val="00C127F1"/>
    <w:rsid w:val="00C23820"/>
    <w:rsid w:val="00C24C44"/>
    <w:rsid w:val="00C2631C"/>
    <w:rsid w:val="00C530BA"/>
    <w:rsid w:val="00C65495"/>
    <w:rsid w:val="00C93837"/>
    <w:rsid w:val="00C96D14"/>
    <w:rsid w:val="00CB0307"/>
    <w:rsid w:val="00CC6C06"/>
    <w:rsid w:val="00CD276A"/>
    <w:rsid w:val="00CD3A63"/>
    <w:rsid w:val="00CF0F30"/>
    <w:rsid w:val="00CF65DA"/>
    <w:rsid w:val="00D07CC5"/>
    <w:rsid w:val="00D11898"/>
    <w:rsid w:val="00D13247"/>
    <w:rsid w:val="00D16B34"/>
    <w:rsid w:val="00D25071"/>
    <w:rsid w:val="00D27B60"/>
    <w:rsid w:val="00D478FC"/>
    <w:rsid w:val="00D60994"/>
    <w:rsid w:val="00D61FC6"/>
    <w:rsid w:val="00D66E62"/>
    <w:rsid w:val="00D71CCC"/>
    <w:rsid w:val="00D809EE"/>
    <w:rsid w:val="00D8539F"/>
    <w:rsid w:val="00DA0582"/>
    <w:rsid w:val="00DA32F1"/>
    <w:rsid w:val="00DB23C2"/>
    <w:rsid w:val="00DB6FB3"/>
    <w:rsid w:val="00DF4501"/>
    <w:rsid w:val="00E11B96"/>
    <w:rsid w:val="00E203F8"/>
    <w:rsid w:val="00E3530B"/>
    <w:rsid w:val="00E62857"/>
    <w:rsid w:val="00E66EAC"/>
    <w:rsid w:val="00E72C31"/>
    <w:rsid w:val="00E7552F"/>
    <w:rsid w:val="00E75BF2"/>
    <w:rsid w:val="00E85EEA"/>
    <w:rsid w:val="00E87933"/>
    <w:rsid w:val="00E92733"/>
    <w:rsid w:val="00E94725"/>
    <w:rsid w:val="00EC5CF3"/>
    <w:rsid w:val="00EC6C06"/>
    <w:rsid w:val="00EC7FC7"/>
    <w:rsid w:val="00ED08E5"/>
    <w:rsid w:val="00EE04E7"/>
    <w:rsid w:val="00EE3006"/>
    <w:rsid w:val="00EF3BC8"/>
    <w:rsid w:val="00F1477F"/>
    <w:rsid w:val="00F149E1"/>
    <w:rsid w:val="00F14B41"/>
    <w:rsid w:val="00F25B7F"/>
    <w:rsid w:val="00F35134"/>
    <w:rsid w:val="00F371B5"/>
    <w:rsid w:val="00F4054C"/>
    <w:rsid w:val="00F407FA"/>
    <w:rsid w:val="00F51925"/>
    <w:rsid w:val="00F533D4"/>
    <w:rsid w:val="00F66603"/>
    <w:rsid w:val="00F73F80"/>
    <w:rsid w:val="00F86A39"/>
    <w:rsid w:val="00F87998"/>
    <w:rsid w:val="00F92855"/>
    <w:rsid w:val="00F93296"/>
    <w:rsid w:val="00FA2A7C"/>
    <w:rsid w:val="00FA3168"/>
    <w:rsid w:val="00FB39C9"/>
    <w:rsid w:val="00FC2E4E"/>
    <w:rsid w:val="00FD2274"/>
    <w:rsid w:val="00FE19DD"/>
    <w:rsid w:val="01BC4E02"/>
    <w:rsid w:val="01FA400A"/>
    <w:rsid w:val="02803235"/>
    <w:rsid w:val="03C93855"/>
    <w:rsid w:val="03E21648"/>
    <w:rsid w:val="04C6277F"/>
    <w:rsid w:val="051B3FC5"/>
    <w:rsid w:val="054A57DE"/>
    <w:rsid w:val="06130E19"/>
    <w:rsid w:val="0895522E"/>
    <w:rsid w:val="094E71DE"/>
    <w:rsid w:val="09A02008"/>
    <w:rsid w:val="0A4C04BA"/>
    <w:rsid w:val="0A887EA1"/>
    <w:rsid w:val="0AAB138C"/>
    <w:rsid w:val="0AD63160"/>
    <w:rsid w:val="0BD87893"/>
    <w:rsid w:val="0C1650E1"/>
    <w:rsid w:val="0C8956D0"/>
    <w:rsid w:val="0CE20369"/>
    <w:rsid w:val="0D037E32"/>
    <w:rsid w:val="0D963A2A"/>
    <w:rsid w:val="0DCB6EE9"/>
    <w:rsid w:val="0DDD6D83"/>
    <w:rsid w:val="0E4B7C02"/>
    <w:rsid w:val="0E88472F"/>
    <w:rsid w:val="0F285631"/>
    <w:rsid w:val="0F2B26EE"/>
    <w:rsid w:val="100C0A22"/>
    <w:rsid w:val="10182972"/>
    <w:rsid w:val="10307B2A"/>
    <w:rsid w:val="10D206F5"/>
    <w:rsid w:val="1149155F"/>
    <w:rsid w:val="11F37062"/>
    <w:rsid w:val="129844CF"/>
    <w:rsid w:val="12CD7662"/>
    <w:rsid w:val="12DE12AD"/>
    <w:rsid w:val="13AF4D1D"/>
    <w:rsid w:val="13B16A7A"/>
    <w:rsid w:val="14292D22"/>
    <w:rsid w:val="14975402"/>
    <w:rsid w:val="155D0173"/>
    <w:rsid w:val="155D0ED5"/>
    <w:rsid w:val="15897831"/>
    <w:rsid w:val="15BD1974"/>
    <w:rsid w:val="163A7FE7"/>
    <w:rsid w:val="17D80CCE"/>
    <w:rsid w:val="17E94D8E"/>
    <w:rsid w:val="188A30D0"/>
    <w:rsid w:val="18BA3025"/>
    <w:rsid w:val="18D71B4A"/>
    <w:rsid w:val="19656357"/>
    <w:rsid w:val="1990554E"/>
    <w:rsid w:val="19A215AC"/>
    <w:rsid w:val="1A0D324C"/>
    <w:rsid w:val="1A741A14"/>
    <w:rsid w:val="1A896D39"/>
    <w:rsid w:val="1ABD106A"/>
    <w:rsid w:val="1BD25A4D"/>
    <w:rsid w:val="1C856F63"/>
    <w:rsid w:val="1CD9665B"/>
    <w:rsid w:val="1D04380A"/>
    <w:rsid w:val="1D540E0F"/>
    <w:rsid w:val="1DF40687"/>
    <w:rsid w:val="1E964508"/>
    <w:rsid w:val="1F5A3791"/>
    <w:rsid w:val="1F6F377A"/>
    <w:rsid w:val="1F795C9E"/>
    <w:rsid w:val="1F801D00"/>
    <w:rsid w:val="206C46C2"/>
    <w:rsid w:val="20790B8D"/>
    <w:rsid w:val="208C406B"/>
    <w:rsid w:val="20DA4450"/>
    <w:rsid w:val="20F92EC0"/>
    <w:rsid w:val="21627B1D"/>
    <w:rsid w:val="21D56297"/>
    <w:rsid w:val="22192C67"/>
    <w:rsid w:val="22902419"/>
    <w:rsid w:val="23D5432C"/>
    <w:rsid w:val="24A36DFA"/>
    <w:rsid w:val="24A835B0"/>
    <w:rsid w:val="24D34063"/>
    <w:rsid w:val="25290DD3"/>
    <w:rsid w:val="26306192"/>
    <w:rsid w:val="263A0DBE"/>
    <w:rsid w:val="26F16CF3"/>
    <w:rsid w:val="2716614F"/>
    <w:rsid w:val="27A83C81"/>
    <w:rsid w:val="27B364AA"/>
    <w:rsid w:val="27EC1E48"/>
    <w:rsid w:val="283F26BC"/>
    <w:rsid w:val="28B1280D"/>
    <w:rsid w:val="292C33BF"/>
    <w:rsid w:val="295403E9"/>
    <w:rsid w:val="29E11C7D"/>
    <w:rsid w:val="2A377AEF"/>
    <w:rsid w:val="2A3C3080"/>
    <w:rsid w:val="2ADB491E"/>
    <w:rsid w:val="2ADC41F2"/>
    <w:rsid w:val="2B2362C5"/>
    <w:rsid w:val="2B343AE4"/>
    <w:rsid w:val="2B481698"/>
    <w:rsid w:val="2B6947C0"/>
    <w:rsid w:val="2B764BA2"/>
    <w:rsid w:val="2BE85CB0"/>
    <w:rsid w:val="2BFA1E04"/>
    <w:rsid w:val="2CBC367D"/>
    <w:rsid w:val="2D4F0A9A"/>
    <w:rsid w:val="2D603E90"/>
    <w:rsid w:val="2E1F6DCE"/>
    <w:rsid w:val="2E8B59D5"/>
    <w:rsid w:val="2F7B1237"/>
    <w:rsid w:val="306747DB"/>
    <w:rsid w:val="30B96E22"/>
    <w:rsid w:val="31476781"/>
    <w:rsid w:val="314C7616"/>
    <w:rsid w:val="31BC4AAE"/>
    <w:rsid w:val="323B2146"/>
    <w:rsid w:val="325D1ABD"/>
    <w:rsid w:val="32992218"/>
    <w:rsid w:val="32A970B0"/>
    <w:rsid w:val="333A23FE"/>
    <w:rsid w:val="344258C0"/>
    <w:rsid w:val="34CC740B"/>
    <w:rsid w:val="35325511"/>
    <w:rsid w:val="369D0D46"/>
    <w:rsid w:val="37115BB5"/>
    <w:rsid w:val="37250C2A"/>
    <w:rsid w:val="374E0226"/>
    <w:rsid w:val="37A7012D"/>
    <w:rsid w:val="38D36DBE"/>
    <w:rsid w:val="393521E9"/>
    <w:rsid w:val="3A116E69"/>
    <w:rsid w:val="3A1741DD"/>
    <w:rsid w:val="3AB546FE"/>
    <w:rsid w:val="3BB33AD1"/>
    <w:rsid w:val="3BC30191"/>
    <w:rsid w:val="3CB925E5"/>
    <w:rsid w:val="3CDF21A9"/>
    <w:rsid w:val="3D1760A7"/>
    <w:rsid w:val="3DC71657"/>
    <w:rsid w:val="3E6B3DB3"/>
    <w:rsid w:val="3E8105A3"/>
    <w:rsid w:val="3EAF2DBD"/>
    <w:rsid w:val="3EF959A7"/>
    <w:rsid w:val="41DF489C"/>
    <w:rsid w:val="42263C07"/>
    <w:rsid w:val="4229548A"/>
    <w:rsid w:val="42864D18"/>
    <w:rsid w:val="42B0108D"/>
    <w:rsid w:val="430E0E56"/>
    <w:rsid w:val="43EE526A"/>
    <w:rsid w:val="4404067A"/>
    <w:rsid w:val="45CE5264"/>
    <w:rsid w:val="45E4748A"/>
    <w:rsid w:val="465D0485"/>
    <w:rsid w:val="46AE5C4C"/>
    <w:rsid w:val="46FB29AD"/>
    <w:rsid w:val="4753416B"/>
    <w:rsid w:val="47CE6521"/>
    <w:rsid w:val="48076156"/>
    <w:rsid w:val="4823219D"/>
    <w:rsid w:val="49117305"/>
    <w:rsid w:val="499852D0"/>
    <w:rsid w:val="4A527C06"/>
    <w:rsid w:val="4A9B77CE"/>
    <w:rsid w:val="4AE253FD"/>
    <w:rsid w:val="4B216F3F"/>
    <w:rsid w:val="4B671D01"/>
    <w:rsid w:val="4B7342A7"/>
    <w:rsid w:val="4BA42428"/>
    <w:rsid w:val="4BC00705"/>
    <w:rsid w:val="4C5F6FBD"/>
    <w:rsid w:val="4C8A7D6B"/>
    <w:rsid w:val="4D743F23"/>
    <w:rsid w:val="4DAA2314"/>
    <w:rsid w:val="4E8C5DAC"/>
    <w:rsid w:val="4ECB6B45"/>
    <w:rsid w:val="4F0B72EA"/>
    <w:rsid w:val="4F5240C6"/>
    <w:rsid w:val="4FB0717E"/>
    <w:rsid w:val="50504BB7"/>
    <w:rsid w:val="513424C7"/>
    <w:rsid w:val="51823496"/>
    <w:rsid w:val="51912641"/>
    <w:rsid w:val="51D9423F"/>
    <w:rsid w:val="51E90E1F"/>
    <w:rsid w:val="5266163F"/>
    <w:rsid w:val="52B52187"/>
    <w:rsid w:val="52E67B99"/>
    <w:rsid w:val="52F1442F"/>
    <w:rsid w:val="5302488E"/>
    <w:rsid w:val="531E5B66"/>
    <w:rsid w:val="53AB0A82"/>
    <w:rsid w:val="53CD194D"/>
    <w:rsid w:val="53D747AB"/>
    <w:rsid w:val="545729B8"/>
    <w:rsid w:val="54B27BEE"/>
    <w:rsid w:val="54B36A85"/>
    <w:rsid w:val="562724C3"/>
    <w:rsid w:val="564F0AC4"/>
    <w:rsid w:val="56E9604A"/>
    <w:rsid w:val="572B4EFC"/>
    <w:rsid w:val="57E32D22"/>
    <w:rsid w:val="59030A64"/>
    <w:rsid w:val="59B77A55"/>
    <w:rsid w:val="5A0272FA"/>
    <w:rsid w:val="5A47702B"/>
    <w:rsid w:val="5AB81CD6"/>
    <w:rsid w:val="5BCA630A"/>
    <w:rsid w:val="5C6D5701"/>
    <w:rsid w:val="5C78171D"/>
    <w:rsid w:val="5D7C2B5D"/>
    <w:rsid w:val="5E5E170D"/>
    <w:rsid w:val="5E780936"/>
    <w:rsid w:val="5E9443E0"/>
    <w:rsid w:val="5F2A3060"/>
    <w:rsid w:val="609035D2"/>
    <w:rsid w:val="60C969EB"/>
    <w:rsid w:val="616466CE"/>
    <w:rsid w:val="61682B46"/>
    <w:rsid w:val="619E084C"/>
    <w:rsid w:val="6252656D"/>
    <w:rsid w:val="64041AE8"/>
    <w:rsid w:val="646B7DB9"/>
    <w:rsid w:val="64D50816"/>
    <w:rsid w:val="664E0674"/>
    <w:rsid w:val="66CC6958"/>
    <w:rsid w:val="68693416"/>
    <w:rsid w:val="68893CF7"/>
    <w:rsid w:val="693370F8"/>
    <w:rsid w:val="69801C11"/>
    <w:rsid w:val="699A724E"/>
    <w:rsid w:val="6AB2229E"/>
    <w:rsid w:val="6AD62431"/>
    <w:rsid w:val="6B5E41D4"/>
    <w:rsid w:val="6B8314CF"/>
    <w:rsid w:val="6C0062C3"/>
    <w:rsid w:val="6C066099"/>
    <w:rsid w:val="6C9E6F7E"/>
    <w:rsid w:val="6CD31019"/>
    <w:rsid w:val="6DEA1D4F"/>
    <w:rsid w:val="6E00504A"/>
    <w:rsid w:val="6E61036E"/>
    <w:rsid w:val="6EA63EC8"/>
    <w:rsid w:val="6EF16CAA"/>
    <w:rsid w:val="6F0C3500"/>
    <w:rsid w:val="6F1352D6"/>
    <w:rsid w:val="6F280ED6"/>
    <w:rsid w:val="6F6F075E"/>
    <w:rsid w:val="6FB42615"/>
    <w:rsid w:val="70123F1D"/>
    <w:rsid w:val="701B360B"/>
    <w:rsid w:val="70C1740A"/>
    <w:rsid w:val="71554DCC"/>
    <w:rsid w:val="715F4A1C"/>
    <w:rsid w:val="71922761"/>
    <w:rsid w:val="72F571CC"/>
    <w:rsid w:val="73591F0C"/>
    <w:rsid w:val="7372081D"/>
    <w:rsid w:val="73AE6E29"/>
    <w:rsid w:val="73BE0F24"/>
    <w:rsid w:val="73EA30DE"/>
    <w:rsid w:val="74450693"/>
    <w:rsid w:val="74595033"/>
    <w:rsid w:val="749B20E4"/>
    <w:rsid w:val="74A13A9D"/>
    <w:rsid w:val="759E3B4B"/>
    <w:rsid w:val="75ED4AD2"/>
    <w:rsid w:val="76BE5591"/>
    <w:rsid w:val="76E75CCC"/>
    <w:rsid w:val="76E804FA"/>
    <w:rsid w:val="76EE5236"/>
    <w:rsid w:val="777D1F3B"/>
    <w:rsid w:val="779B7D16"/>
    <w:rsid w:val="783764D9"/>
    <w:rsid w:val="784A620C"/>
    <w:rsid w:val="787F42CC"/>
    <w:rsid w:val="78D2353D"/>
    <w:rsid w:val="792A3948"/>
    <w:rsid w:val="79634226"/>
    <w:rsid w:val="79D264B9"/>
    <w:rsid w:val="7A146AD1"/>
    <w:rsid w:val="7B314B5C"/>
    <w:rsid w:val="7B7A2964"/>
    <w:rsid w:val="7C0148BF"/>
    <w:rsid w:val="7C3C40BE"/>
    <w:rsid w:val="7C5B554D"/>
    <w:rsid w:val="7CA37C99"/>
    <w:rsid w:val="7D1D6F2F"/>
    <w:rsid w:val="7D47051B"/>
    <w:rsid w:val="7E7B5F69"/>
    <w:rsid w:val="7ED3091C"/>
    <w:rsid w:val="7FA21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99" w:semiHidden="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jc w:val="center"/>
      <w:outlineLvl w:val="0"/>
    </w:pPr>
    <w:rPr>
      <w:b/>
      <w:bCs/>
      <w:sz w:val="32"/>
    </w:rPr>
  </w:style>
  <w:style w:type="paragraph" w:styleId="4">
    <w:name w:val="heading 2"/>
    <w:basedOn w:val="1"/>
    <w:next w:val="1"/>
    <w:link w:val="84"/>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link w:val="53"/>
    <w:qFormat/>
    <w:uiPriority w:val="0"/>
    <w:pPr>
      <w:keepNext/>
      <w:keepLines/>
      <w:spacing w:before="280" w:after="290" w:line="376" w:lineRule="auto"/>
      <w:outlineLvl w:val="3"/>
    </w:pPr>
    <w:rPr>
      <w:rFonts w:ascii="宋体" w:hAnsi="Arial" w:eastAsia="黑体"/>
      <w:b/>
      <w:kern w:val="0"/>
      <w:sz w:val="24"/>
      <w:szCs w:val="20"/>
    </w:rPr>
  </w:style>
  <w:style w:type="paragraph" w:styleId="7">
    <w:name w:val="heading 5"/>
    <w:basedOn w:val="1"/>
    <w:next w:val="8"/>
    <w:link w:val="81"/>
    <w:qFormat/>
    <w:uiPriority w:val="0"/>
    <w:pPr>
      <w:keepNext/>
      <w:keepLines/>
      <w:spacing w:before="280" w:after="290" w:line="376" w:lineRule="auto"/>
      <w:outlineLvl w:val="4"/>
    </w:pPr>
    <w:rPr>
      <w:b/>
      <w:kern w:val="0"/>
      <w:sz w:val="28"/>
      <w:szCs w:val="20"/>
    </w:rPr>
  </w:style>
  <w:style w:type="paragraph" w:styleId="9">
    <w:name w:val="heading 6"/>
    <w:basedOn w:val="1"/>
    <w:next w:val="1"/>
    <w:link w:val="51"/>
    <w:qFormat/>
    <w:uiPriority w:val="0"/>
    <w:pPr>
      <w:keepNext/>
      <w:keepLines/>
      <w:spacing w:before="240" w:after="64" w:line="320" w:lineRule="auto"/>
      <w:outlineLvl w:val="5"/>
    </w:pPr>
    <w:rPr>
      <w:rFonts w:ascii="Arial" w:hAnsi="Arial" w:eastAsia="黑体"/>
      <w:b/>
      <w:kern w:val="0"/>
      <w:sz w:val="24"/>
      <w:szCs w:val="20"/>
    </w:rPr>
  </w:style>
  <w:style w:type="paragraph" w:styleId="10">
    <w:name w:val="heading 7"/>
    <w:basedOn w:val="1"/>
    <w:next w:val="8"/>
    <w:link w:val="67"/>
    <w:qFormat/>
    <w:uiPriority w:val="0"/>
    <w:pPr>
      <w:keepNext/>
      <w:keepLines/>
      <w:spacing w:before="240" w:after="64" w:line="320" w:lineRule="auto"/>
      <w:outlineLvl w:val="6"/>
    </w:pPr>
    <w:rPr>
      <w:b/>
      <w:kern w:val="0"/>
      <w:sz w:val="24"/>
      <w:szCs w:val="20"/>
    </w:rPr>
  </w:style>
  <w:style w:type="paragraph" w:styleId="11">
    <w:name w:val="heading 8"/>
    <w:basedOn w:val="1"/>
    <w:next w:val="8"/>
    <w:link w:val="58"/>
    <w:qFormat/>
    <w:uiPriority w:val="0"/>
    <w:pPr>
      <w:keepNext/>
      <w:keepLines/>
      <w:spacing w:before="240" w:after="64" w:line="320" w:lineRule="auto"/>
      <w:outlineLvl w:val="7"/>
    </w:pPr>
    <w:rPr>
      <w:rFonts w:ascii="Arial" w:hAnsi="Arial" w:eastAsia="黑体"/>
      <w:kern w:val="0"/>
      <w:sz w:val="24"/>
      <w:szCs w:val="20"/>
    </w:rPr>
  </w:style>
  <w:style w:type="paragraph" w:styleId="12">
    <w:name w:val="heading 9"/>
    <w:basedOn w:val="1"/>
    <w:next w:val="8"/>
    <w:link w:val="85"/>
    <w:qFormat/>
    <w:uiPriority w:val="0"/>
    <w:pPr>
      <w:keepNext/>
      <w:keepLines/>
      <w:spacing w:before="240" w:after="64" w:line="320" w:lineRule="auto"/>
      <w:outlineLvl w:val="8"/>
    </w:pPr>
    <w:rPr>
      <w:rFonts w:ascii="Arial" w:hAnsi="Arial" w:eastAsia="黑体"/>
      <w:kern w:val="0"/>
      <w:sz w:val="20"/>
      <w:szCs w:val="20"/>
    </w:rPr>
  </w:style>
  <w:style w:type="character" w:default="1" w:styleId="39">
    <w:name w:val="Default Paragraph Font"/>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1"/>
    <w:qFormat/>
    <w:uiPriority w:val="0"/>
    <w:pPr>
      <w:autoSpaceDE w:val="0"/>
      <w:autoSpaceDN w:val="0"/>
      <w:adjustRightInd w:val="0"/>
      <w:spacing w:after="120"/>
      <w:jc w:val="left"/>
    </w:pPr>
    <w:rPr>
      <w:rFonts w:ascii="宋体"/>
      <w:kern w:val="0"/>
      <w:sz w:val="34"/>
      <w:szCs w:val="20"/>
    </w:rPr>
  </w:style>
  <w:style w:type="paragraph" w:styleId="8">
    <w:name w:val="Normal Indent"/>
    <w:basedOn w:val="1"/>
    <w:link w:val="86"/>
    <w:qFormat/>
    <w:uiPriority w:val="0"/>
    <w:pPr>
      <w:ind w:firstLine="420"/>
    </w:pPr>
    <w:rPr>
      <w:kern w:val="0"/>
      <w:sz w:val="20"/>
      <w:szCs w:val="20"/>
    </w:rPr>
  </w:style>
  <w:style w:type="paragraph" w:styleId="13">
    <w:name w:val="caption"/>
    <w:basedOn w:val="1"/>
    <w:next w:val="1"/>
    <w:semiHidden/>
    <w:unhideWhenUsed/>
    <w:qFormat/>
    <w:uiPriority w:val="0"/>
    <w:pPr>
      <w:spacing w:before="152" w:after="160"/>
    </w:pPr>
    <w:rPr>
      <w:rFonts w:ascii="Arial" w:hAnsi="Arial" w:eastAsia="黑体" w:cs="Arial"/>
      <w:sz w:val="20"/>
      <w:szCs w:val="20"/>
    </w:rPr>
  </w:style>
  <w:style w:type="paragraph" w:styleId="14">
    <w:name w:val="Document Map"/>
    <w:basedOn w:val="1"/>
    <w:link w:val="78"/>
    <w:semiHidden/>
    <w:qFormat/>
    <w:uiPriority w:val="0"/>
    <w:pPr>
      <w:shd w:val="clear" w:color="auto" w:fill="000080"/>
    </w:pPr>
    <w:rPr>
      <w:kern w:val="0"/>
      <w:sz w:val="20"/>
    </w:rPr>
  </w:style>
  <w:style w:type="paragraph" w:styleId="15">
    <w:name w:val="annotation text"/>
    <w:basedOn w:val="1"/>
    <w:link w:val="57"/>
    <w:unhideWhenUsed/>
    <w:qFormat/>
    <w:uiPriority w:val="0"/>
    <w:pPr>
      <w:jc w:val="left"/>
    </w:pPr>
  </w:style>
  <w:style w:type="paragraph" w:styleId="16">
    <w:name w:val="Body Text 3"/>
    <w:basedOn w:val="1"/>
    <w:link w:val="119"/>
    <w:unhideWhenUsed/>
    <w:qFormat/>
    <w:uiPriority w:val="0"/>
    <w:pPr>
      <w:spacing w:after="120"/>
    </w:pPr>
    <w:rPr>
      <w:sz w:val="16"/>
      <w:szCs w:val="16"/>
    </w:rPr>
  </w:style>
  <w:style w:type="paragraph" w:styleId="17">
    <w:name w:val="Body Text Indent"/>
    <w:basedOn w:val="1"/>
    <w:link w:val="76"/>
    <w:qFormat/>
    <w:uiPriority w:val="0"/>
    <w:pPr>
      <w:spacing w:line="200" w:lineRule="exact"/>
      <w:ind w:firstLine="301"/>
    </w:pPr>
    <w:rPr>
      <w:rFonts w:ascii="宋体" w:hAnsi="Courier New"/>
      <w:spacing w:val="-4"/>
      <w:kern w:val="0"/>
      <w:sz w:val="18"/>
      <w:szCs w:val="20"/>
    </w:rPr>
  </w:style>
  <w:style w:type="paragraph" w:styleId="18">
    <w:name w:val="index 4"/>
    <w:basedOn w:val="1"/>
    <w:next w:val="1"/>
    <w:unhideWhenUsed/>
    <w:qFormat/>
    <w:uiPriority w:val="99"/>
    <w:pPr>
      <w:ind w:left="600" w:leftChars="600"/>
    </w:pPr>
    <w:rPr>
      <w:rFonts w:ascii="Verdana" w:hAnsi="Verdana"/>
      <w:szCs w:val="20"/>
    </w:rPr>
  </w:style>
  <w:style w:type="paragraph" w:styleId="19">
    <w:name w:val="toc 3"/>
    <w:basedOn w:val="1"/>
    <w:next w:val="1"/>
    <w:unhideWhenUsed/>
    <w:qFormat/>
    <w:uiPriority w:val="39"/>
    <w:pPr>
      <w:widowControl/>
      <w:spacing w:after="100" w:line="276" w:lineRule="auto"/>
      <w:ind w:left="440"/>
      <w:jc w:val="left"/>
    </w:pPr>
    <w:rPr>
      <w:rFonts w:ascii="Calibri" w:hAnsi="Calibri" w:cs="黑体"/>
      <w:kern w:val="0"/>
      <w:sz w:val="22"/>
      <w:szCs w:val="22"/>
    </w:rPr>
  </w:style>
  <w:style w:type="paragraph" w:styleId="20">
    <w:name w:val="Plain Text"/>
    <w:basedOn w:val="1"/>
    <w:link w:val="66"/>
    <w:qFormat/>
    <w:uiPriority w:val="0"/>
    <w:rPr>
      <w:rFonts w:ascii="宋体" w:hAnsi="Courier New"/>
      <w:kern w:val="0"/>
      <w:sz w:val="20"/>
      <w:szCs w:val="20"/>
    </w:rPr>
  </w:style>
  <w:style w:type="paragraph" w:styleId="21">
    <w:name w:val="toc 8"/>
    <w:basedOn w:val="1"/>
    <w:next w:val="1"/>
    <w:semiHidden/>
    <w:qFormat/>
    <w:uiPriority w:val="0"/>
    <w:pPr>
      <w:tabs>
        <w:tab w:val="left" w:pos="358"/>
      </w:tabs>
      <w:ind w:left="2940" w:leftChars="1400"/>
    </w:pPr>
  </w:style>
  <w:style w:type="paragraph" w:styleId="22">
    <w:name w:val="Date"/>
    <w:basedOn w:val="1"/>
    <w:next w:val="1"/>
    <w:link w:val="64"/>
    <w:qFormat/>
    <w:uiPriority w:val="0"/>
    <w:pPr>
      <w:ind w:left="100" w:leftChars="2500"/>
    </w:pPr>
    <w:rPr>
      <w:spacing w:val="30"/>
      <w:kern w:val="0"/>
      <w:sz w:val="28"/>
    </w:rPr>
  </w:style>
  <w:style w:type="paragraph" w:styleId="23">
    <w:name w:val="Body Text Indent 2"/>
    <w:basedOn w:val="1"/>
    <w:link w:val="63"/>
    <w:qFormat/>
    <w:uiPriority w:val="0"/>
    <w:pPr>
      <w:spacing w:line="400" w:lineRule="exact"/>
      <w:ind w:firstLine="480"/>
    </w:pPr>
    <w:rPr>
      <w:kern w:val="0"/>
      <w:sz w:val="20"/>
    </w:rPr>
  </w:style>
  <w:style w:type="paragraph" w:styleId="24">
    <w:name w:val="Balloon Text"/>
    <w:basedOn w:val="1"/>
    <w:link w:val="69"/>
    <w:semiHidden/>
    <w:qFormat/>
    <w:uiPriority w:val="0"/>
    <w:rPr>
      <w:kern w:val="0"/>
      <w:sz w:val="18"/>
      <w:szCs w:val="18"/>
    </w:rPr>
  </w:style>
  <w:style w:type="paragraph" w:styleId="25">
    <w:name w:val="footer"/>
    <w:basedOn w:val="1"/>
    <w:link w:val="70"/>
    <w:qFormat/>
    <w:uiPriority w:val="99"/>
    <w:pPr>
      <w:tabs>
        <w:tab w:val="center" w:pos="4153"/>
        <w:tab w:val="right" w:pos="8306"/>
      </w:tabs>
      <w:snapToGrid w:val="0"/>
      <w:jc w:val="left"/>
    </w:pPr>
    <w:rPr>
      <w:rFonts w:ascii="宋体" w:hAnsi="Courier New"/>
      <w:kern w:val="0"/>
      <w:sz w:val="18"/>
      <w:szCs w:val="20"/>
    </w:rPr>
  </w:style>
  <w:style w:type="paragraph" w:styleId="26">
    <w:name w:val="envelope return"/>
    <w:basedOn w:val="1"/>
    <w:qFormat/>
    <w:uiPriority w:val="0"/>
    <w:pPr>
      <w:snapToGrid w:val="0"/>
    </w:pPr>
    <w:rPr>
      <w:rFonts w:ascii="Arial" w:hAnsi="Arial"/>
    </w:rPr>
  </w:style>
  <w:style w:type="paragraph" w:styleId="27">
    <w:name w:val="header"/>
    <w:basedOn w:val="1"/>
    <w:link w:val="60"/>
    <w:qFormat/>
    <w:uiPriority w:val="0"/>
    <w:pPr>
      <w:pBdr>
        <w:bottom w:val="single" w:color="auto" w:sz="6" w:space="1"/>
      </w:pBdr>
      <w:tabs>
        <w:tab w:val="center" w:pos="4153"/>
        <w:tab w:val="right" w:pos="8306"/>
      </w:tabs>
      <w:snapToGrid w:val="0"/>
      <w:jc w:val="center"/>
    </w:pPr>
    <w:rPr>
      <w:rFonts w:ascii="宋体" w:hAnsi="Courier New"/>
      <w:kern w:val="0"/>
      <w:sz w:val="18"/>
      <w:szCs w:val="20"/>
    </w:rPr>
  </w:style>
  <w:style w:type="paragraph" w:styleId="28">
    <w:name w:val="toc 1"/>
    <w:basedOn w:val="1"/>
    <w:next w:val="1"/>
    <w:unhideWhenUsed/>
    <w:qFormat/>
    <w:uiPriority w:val="39"/>
    <w:pPr>
      <w:widowControl/>
      <w:spacing w:after="100" w:line="276" w:lineRule="auto"/>
      <w:jc w:val="left"/>
    </w:pPr>
    <w:rPr>
      <w:rFonts w:ascii="Calibri" w:hAnsi="Calibri" w:cs="黑体"/>
      <w:kern w:val="0"/>
      <w:sz w:val="22"/>
      <w:szCs w:val="22"/>
    </w:rPr>
  </w:style>
  <w:style w:type="paragraph" w:styleId="29">
    <w:name w:val="List"/>
    <w:basedOn w:val="1"/>
    <w:semiHidden/>
    <w:unhideWhenUsed/>
    <w:qFormat/>
    <w:uiPriority w:val="0"/>
    <w:pPr>
      <w:ind w:left="200" w:hanging="200" w:hangingChars="200"/>
    </w:pPr>
    <w:rPr>
      <w:sz w:val="28"/>
    </w:rPr>
  </w:style>
  <w:style w:type="paragraph" w:styleId="30">
    <w:name w:val="Body Text Indent 3"/>
    <w:basedOn w:val="1"/>
    <w:link w:val="82"/>
    <w:qFormat/>
    <w:uiPriority w:val="0"/>
    <w:pPr>
      <w:spacing w:line="360" w:lineRule="auto"/>
      <w:ind w:firstLine="359" w:firstLineChars="171"/>
    </w:pPr>
    <w:rPr>
      <w:kern w:val="0"/>
      <w:sz w:val="20"/>
    </w:rPr>
  </w:style>
  <w:style w:type="paragraph" w:styleId="31">
    <w:name w:val="toc 2"/>
    <w:basedOn w:val="1"/>
    <w:next w:val="1"/>
    <w:unhideWhenUsed/>
    <w:qFormat/>
    <w:uiPriority w:val="39"/>
    <w:pPr>
      <w:widowControl/>
      <w:spacing w:after="100" w:line="276" w:lineRule="auto"/>
      <w:ind w:left="220"/>
      <w:jc w:val="left"/>
    </w:pPr>
    <w:rPr>
      <w:rFonts w:ascii="Calibri" w:hAnsi="Calibri" w:cs="黑体"/>
      <w:kern w:val="0"/>
      <w:sz w:val="22"/>
      <w:szCs w:val="22"/>
    </w:rPr>
  </w:style>
  <w:style w:type="paragraph" w:styleId="3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3">
    <w:name w:val="Normal (Web)"/>
    <w:basedOn w:val="1"/>
    <w:qFormat/>
    <w:uiPriority w:val="0"/>
    <w:pPr>
      <w:spacing w:beforeAutospacing="1" w:afterAutospacing="1"/>
      <w:jc w:val="left"/>
    </w:pPr>
    <w:rPr>
      <w:kern w:val="0"/>
      <w:sz w:val="24"/>
    </w:rPr>
  </w:style>
  <w:style w:type="paragraph" w:styleId="34">
    <w:name w:val="index 1"/>
    <w:basedOn w:val="1"/>
    <w:next w:val="1"/>
    <w:semiHidden/>
    <w:qFormat/>
    <w:uiPriority w:val="0"/>
    <w:pPr>
      <w:spacing w:line="360" w:lineRule="exact"/>
      <w:ind w:firstLine="432" w:firstLineChars="240"/>
    </w:pPr>
    <w:rPr>
      <w:rFonts w:ascii="宋体" w:hAnsi="宋体"/>
      <w:bCs/>
      <w:sz w:val="18"/>
      <w:szCs w:val="18"/>
    </w:rPr>
  </w:style>
  <w:style w:type="paragraph" w:styleId="35">
    <w:name w:val="annotation subject"/>
    <w:basedOn w:val="15"/>
    <w:next w:val="15"/>
    <w:link w:val="116"/>
    <w:semiHidden/>
    <w:unhideWhenUsed/>
    <w:qFormat/>
    <w:uiPriority w:val="0"/>
    <w:rPr>
      <w:b/>
      <w:bCs/>
    </w:rPr>
  </w:style>
  <w:style w:type="paragraph" w:styleId="36">
    <w:name w:val="Body Text First Indent 2"/>
    <w:basedOn w:val="17"/>
    <w:link w:val="125"/>
    <w:qFormat/>
    <w:uiPriority w:val="0"/>
    <w:pPr>
      <w:spacing w:after="120" w:line="240" w:lineRule="auto"/>
      <w:ind w:left="420" w:leftChars="200" w:firstLine="420" w:firstLineChars="200"/>
    </w:pPr>
    <w:rPr>
      <w:rFonts w:ascii="Times New Roman" w:hAnsi="Times New Roman"/>
      <w:spacing w:val="0"/>
      <w:kern w:val="2"/>
      <w:sz w:val="21"/>
      <w:szCs w:val="24"/>
    </w:rPr>
  </w:style>
  <w:style w:type="table" w:styleId="38">
    <w:name w:val="Table Grid"/>
    <w:basedOn w:val="37"/>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Emphasis"/>
    <w:qFormat/>
    <w:uiPriority w:val="0"/>
    <w:rPr>
      <w:color w:val="CC0000"/>
    </w:rPr>
  </w:style>
  <w:style w:type="character" w:styleId="44">
    <w:name w:val="Hyperlink"/>
    <w:qFormat/>
    <w:uiPriority w:val="99"/>
    <w:rPr>
      <w:color w:val="0000FF"/>
      <w:u w:val="single"/>
    </w:rPr>
  </w:style>
  <w:style w:type="character" w:styleId="45">
    <w:name w:val="annotation reference"/>
    <w:basedOn w:val="39"/>
    <w:qFormat/>
    <w:uiPriority w:val="0"/>
    <w:rPr>
      <w:sz w:val="21"/>
    </w:rPr>
  </w:style>
  <w:style w:type="character" w:styleId="46">
    <w:name w:val="HTML Sample"/>
    <w:unhideWhenUsed/>
    <w:qFormat/>
    <w:uiPriority w:val="99"/>
    <w:rPr>
      <w:rFonts w:ascii="Courier New" w:hAnsi="Courier New"/>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模板普通正文"/>
    <w:basedOn w:val="17"/>
    <w:qFormat/>
    <w:uiPriority w:val="0"/>
    <w:pPr>
      <w:spacing w:beforeLines="50" w:after="10"/>
      <w:ind w:firstLine="490" w:firstLineChars="175"/>
      <w:jc w:val="left"/>
    </w:pPr>
  </w:style>
  <w:style w:type="paragraph" w:customStyle="1" w:styleId="49">
    <w:name w:val="NormalIndent"/>
    <w:basedOn w:val="1"/>
    <w:qFormat/>
    <w:uiPriority w:val="0"/>
    <w:pPr>
      <w:ind w:firstLine="420"/>
    </w:pPr>
    <w:rPr>
      <w:szCs w:val="21"/>
    </w:rPr>
  </w:style>
  <w:style w:type="character" w:customStyle="1" w:styleId="50">
    <w:name w:val="style31"/>
    <w:qFormat/>
    <w:uiPriority w:val="0"/>
    <w:rPr>
      <w:sz w:val="18"/>
      <w:szCs w:val="18"/>
    </w:rPr>
  </w:style>
  <w:style w:type="character" w:customStyle="1" w:styleId="51">
    <w:name w:val="标题 6 字符"/>
    <w:link w:val="9"/>
    <w:qFormat/>
    <w:uiPriority w:val="0"/>
    <w:rPr>
      <w:rFonts w:ascii="Arial" w:hAnsi="Arial" w:eastAsia="黑体"/>
      <w:b/>
      <w:sz w:val="24"/>
    </w:rPr>
  </w:style>
  <w:style w:type="character" w:customStyle="1" w:styleId="52">
    <w:name w:val="apple-style-span"/>
    <w:basedOn w:val="39"/>
    <w:qFormat/>
    <w:uiPriority w:val="0"/>
  </w:style>
  <w:style w:type="character" w:customStyle="1" w:styleId="53">
    <w:name w:val="标题 4 字符"/>
    <w:link w:val="6"/>
    <w:qFormat/>
    <w:uiPriority w:val="0"/>
    <w:rPr>
      <w:rFonts w:ascii="宋体" w:hAnsi="Arial" w:eastAsia="黑体"/>
      <w:b/>
      <w:sz w:val="24"/>
    </w:rPr>
  </w:style>
  <w:style w:type="character" w:customStyle="1" w:styleId="54">
    <w:name w:val="Char Char2"/>
    <w:semiHidden/>
    <w:qFormat/>
    <w:uiPriority w:val="0"/>
    <w:rPr>
      <w:rFonts w:ascii="宋体" w:hAnsi="Courier New" w:eastAsia="宋体"/>
      <w:spacing w:val="-4"/>
      <w:kern w:val="2"/>
      <w:sz w:val="18"/>
      <w:lang w:val="en-US" w:eastAsia="zh-CN" w:bidi="ar-SA"/>
    </w:rPr>
  </w:style>
  <w:style w:type="character" w:customStyle="1" w:styleId="55">
    <w:name w:val="font11"/>
    <w:qFormat/>
    <w:uiPriority w:val="0"/>
    <w:rPr>
      <w:rFonts w:hint="default" w:ascii="Tahoma" w:hAnsi="Tahoma" w:cs="Tahoma"/>
      <w:color w:val="000000"/>
      <w:sz w:val="22"/>
      <w:szCs w:val="22"/>
      <w:u w:val="none"/>
    </w:rPr>
  </w:style>
  <w:style w:type="character" w:customStyle="1" w:styleId="56">
    <w:name w:val="普通文字 Char Char1"/>
    <w:semiHidden/>
    <w:qFormat/>
    <w:uiPriority w:val="0"/>
    <w:rPr>
      <w:rFonts w:ascii="宋体" w:hAnsi="Courier New" w:eastAsia="宋体"/>
      <w:kern w:val="2"/>
      <w:sz w:val="21"/>
      <w:lang w:val="en-US" w:eastAsia="zh-CN" w:bidi="ar-SA"/>
    </w:rPr>
  </w:style>
  <w:style w:type="character" w:customStyle="1" w:styleId="57">
    <w:name w:val="批注文字 字符"/>
    <w:link w:val="15"/>
    <w:qFormat/>
    <w:uiPriority w:val="0"/>
    <w:rPr>
      <w:rFonts w:eastAsia="宋体"/>
      <w:kern w:val="2"/>
      <w:sz w:val="21"/>
      <w:szCs w:val="24"/>
      <w:lang w:val="en-US" w:eastAsia="zh-CN" w:bidi="ar-SA"/>
    </w:rPr>
  </w:style>
  <w:style w:type="character" w:customStyle="1" w:styleId="58">
    <w:name w:val="标题 8 字符"/>
    <w:link w:val="11"/>
    <w:qFormat/>
    <w:uiPriority w:val="0"/>
    <w:rPr>
      <w:rFonts w:ascii="Arial" w:hAnsi="Arial" w:eastAsia="黑体"/>
      <w:sz w:val="24"/>
    </w:rPr>
  </w:style>
  <w:style w:type="character" w:customStyle="1" w:styleId="59">
    <w:name w:val="font31"/>
    <w:qFormat/>
    <w:uiPriority w:val="0"/>
    <w:rPr>
      <w:rFonts w:hint="eastAsia" w:ascii="宋体" w:hAnsi="宋体" w:eastAsia="宋体"/>
      <w:color w:val="000000"/>
      <w:sz w:val="22"/>
      <w:szCs w:val="22"/>
      <w:u w:val="none"/>
    </w:rPr>
  </w:style>
  <w:style w:type="character" w:customStyle="1" w:styleId="60">
    <w:name w:val="页眉 字符"/>
    <w:link w:val="27"/>
    <w:qFormat/>
    <w:uiPriority w:val="0"/>
    <w:rPr>
      <w:rFonts w:ascii="宋体" w:hAnsi="Courier New" w:eastAsia="宋体" w:cs="Times New Roman"/>
      <w:sz w:val="18"/>
      <w:szCs w:val="20"/>
    </w:rPr>
  </w:style>
  <w:style w:type="character" w:customStyle="1" w:styleId="61">
    <w:name w:val="纯文本 Char"/>
    <w:qFormat/>
    <w:uiPriority w:val="0"/>
    <w:rPr>
      <w:rFonts w:ascii="宋体" w:hAnsi="Courier New" w:eastAsia="宋体" w:cs="Courier New"/>
      <w:szCs w:val="21"/>
    </w:rPr>
  </w:style>
  <w:style w:type="character" w:customStyle="1" w:styleId="62">
    <w:name w:val="style54"/>
    <w:basedOn w:val="39"/>
    <w:qFormat/>
    <w:uiPriority w:val="0"/>
  </w:style>
  <w:style w:type="character" w:customStyle="1" w:styleId="63">
    <w:name w:val="正文文本缩进 2 字符"/>
    <w:link w:val="23"/>
    <w:qFormat/>
    <w:uiPriority w:val="0"/>
    <w:rPr>
      <w:rFonts w:ascii="Times New Roman" w:hAnsi="Times New Roman" w:eastAsia="宋体" w:cs="Times New Roman"/>
      <w:szCs w:val="24"/>
    </w:rPr>
  </w:style>
  <w:style w:type="character" w:customStyle="1" w:styleId="64">
    <w:name w:val="日期 字符"/>
    <w:link w:val="22"/>
    <w:qFormat/>
    <w:uiPriority w:val="0"/>
    <w:rPr>
      <w:rFonts w:ascii="Times New Roman" w:hAnsi="Times New Roman" w:eastAsia="宋体" w:cs="Times New Roman"/>
      <w:spacing w:val="30"/>
      <w:sz w:val="28"/>
      <w:szCs w:val="24"/>
    </w:rPr>
  </w:style>
  <w:style w:type="character" w:customStyle="1" w:styleId="65">
    <w:name w:val="font01"/>
    <w:qFormat/>
    <w:uiPriority w:val="0"/>
    <w:rPr>
      <w:rFonts w:hint="eastAsia" w:ascii="宋体" w:hAnsi="宋体" w:eastAsia="宋体"/>
      <w:color w:val="000000"/>
      <w:sz w:val="22"/>
      <w:szCs w:val="22"/>
      <w:u w:val="none"/>
    </w:rPr>
  </w:style>
  <w:style w:type="character" w:customStyle="1" w:styleId="66">
    <w:name w:val="纯文本 字符"/>
    <w:link w:val="20"/>
    <w:qFormat/>
    <w:uiPriority w:val="0"/>
    <w:rPr>
      <w:rFonts w:ascii="宋体" w:hAnsi="Courier New" w:eastAsia="宋体" w:cs="Times New Roman"/>
      <w:szCs w:val="20"/>
    </w:rPr>
  </w:style>
  <w:style w:type="character" w:customStyle="1" w:styleId="67">
    <w:name w:val="标题 7 字符"/>
    <w:link w:val="10"/>
    <w:qFormat/>
    <w:uiPriority w:val="0"/>
    <w:rPr>
      <w:b/>
      <w:sz w:val="24"/>
    </w:rPr>
  </w:style>
  <w:style w:type="character" w:customStyle="1" w:styleId="68">
    <w:name w:val="1051"/>
    <w:qFormat/>
    <w:uiPriority w:val="0"/>
    <w:rPr>
      <w:sz w:val="21"/>
      <w:szCs w:val="21"/>
    </w:rPr>
  </w:style>
  <w:style w:type="character" w:customStyle="1" w:styleId="69">
    <w:name w:val="批注框文本 字符"/>
    <w:link w:val="24"/>
    <w:semiHidden/>
    <w:qFormat/>
    <w:uiPriority w:val="0"/>
    <w:rPr>
      <w:rFonts w:ascii="Times New Roman" w:hAnsi="Times New Roman" w:eastAsia="宋体" w:cs="Times New Roman"/>
      <w:sz w:val="18"/>
      <w:szCs w:val="18"/>
    </w:rPr>
  </w:style>
  <w:style w:type="character" w:customStyle="1" w:styleId="70">
    <w:name w:val="页脚 字符"/>
    <w:link w:val="25"/>
    <w:qFormat/>
    <w:uiPriority w:val="99"/>
    <w:rPr>
      <w:rFonts w:ascii="宋体" w:hAnsi="Courier New" w:eastAsia="宋体" w:cs="Times New Roman"/>
      <w:sz w:val="18"/>
      <w:szCs w:val="20"/>
    </w:rPr>
  </w:style>
  <w:style w:type="character" w:customStyle="1" w:styleId="71">
    <w:name w:val="正文文本 字符"/>
    <w:link w:val="2"/>
    <w:qFormat/>
    <w:uiPriority w:val="0"/>
    <w:rPr>
      <w:rFonts w:ascii="宋体" w:hAnsi="Times New Roman" w:eastAsia="宋体" w:cs="Times New Roman"/>
      <w:kern w:val="0"/>
      <w:sz w:val="34"/>
      <w:szCs w:val="20"/>
    </w:rPr>
  </w:style>
  <w:style w:type="character" w:customStyle="1" w:styleId="72">
    <w:name w:val="标准文本 Char"/>
    <w:link w:val="73"/>
    <w:qFormat/>
    <w:uiPriority w:val="0"/>
    <w:rPr>
      <w:rFonts w:cs="宋体"/>
      <w:kern w:val="2"/>
      <w:sz w:val="24"/>
    </w:rPr>
  </w:style>
  <w:style w:type="paragraph" w:customStyle="1" w:styleId="73">
    <w:name w:val="标准文本"/>
    <w:basedOn w:val="1"/>
    <w:link w:val="72"/>
    <w:qFormat/>
    <w:uiPriority w:val="0"/>
    <w:pPr>
      <w:spacing w:line="360" w:lineRule="auto"/>
      <w:ind w:firstLine="480" w:firstLineChars="200"/>
    </w:pPr>
    <w:rPr>
      <w:sz w:val="24"/>
      <w:szCs w:val="20"/>
    </w:rPr>
  </w:style>
  <w:style w:type="character" w:customStyle="1" w:styleId="74">
    <w:name w:val="font41"/>
    <w:qFormat/>
    <w:uiPriority w:val="0"/>
    <w:rPr>
      <w:rFonts w:hint="eastAsia" w:ascii="宋体" w:hAnsi="宋体" w:eastAsia="宋体"/>
      <w:b/>
      <w:bCs/>
      <w:color w:val="000000"/>
      <w:sz w:val="22"/>
      <w:szCs w:val="22"/>
      <w:u w:val="none"/>
    </w:rPr>
  </w:style>
  <w:style w:type="character" w:customStyle="1" w:styleId="75">
    <w:name w:val="unnamed21"/>
    <w:basedOn w:val="39"/>
    <w:qFormat/>
    <w:uiPriority w:val="0"/>
  </w:style>
  <w:style w:type="character" w:customStyle="1" w:styleId="76">
    <w:name w:val="正文文本缩进 字符"/>
    <w:link w:val="17"/>
    <w:qFormat/>
    <w:uiPriority w:val="0"/>
    <w:rPr>
      <w:rFonts w:ascii="宋体" w:hAnsi="Courier New" w:eastAsia="宋体" w:cs="Times New Roman"/>
      <w:spacing w:val="-4"/>
      <w:sz w:val="18"/>
      <w:szCs w:val="20"/>
    </w:rPr>
  </w:style>
  <w:style w:type="character" w:customStyle="1" w:styleId="77">
    <w:name w:val="style51"/>
    <w:basedOn w:val="39"/>
    <w:qFormat/>
    <w:uiPriority w:val="0"/>
  </w:style>
  <w:style w:type="character" w:customStyle="1" w:styleId="78">
    <w:name w:val="文档结构图 字符"/>
    <w:link w:val="14"/>
    <w:semiHidden/>
    <w:qFormat/>
    <w:uiPriority w:val="0"/>
    <w:rPr>
      <w:rFonts w:ascii="Times New Roman" w:hAnsi="Times New Roman" w:eastAsia="宋体" w:cs="Times New Roman"/>
      <w:szCs w:val="24"/>
      <w:shd w:val="clear" w:color="auto" w:fill="000080"/>
    </w:rPr>
  </w:style>
  <w:style w:type="character" w:customStyle="1" w:styleId="79">
    <w:name w:val="纯文本 Char Char Char"/>
    <w:qFormat/>
    <w:uiPriority w:val="0"/>
    <w:rPr>
      <w:rFonts w:ascii="宋体" w:hAnsi="Courier New" w:eastAsia="宋体" w:cs="Courier New"/>
      <w:kern w:val="2"/>
      <w:sz w:val="21"/>
      <w:szCs w:val="21"/>
      <w:lang w:val="en-US" w:eastAsia="zh-CN" w:bidi="ar-SA"/>
    </w:rPr>
  </w:style>
  <w:style w:type="character" w:customStyle="1" w:styleId="80">
    <w:name w:val="标题 1 字符"/>
    <w:link w:val="3"/>
    <w:qFormat/>
    <w:uiPriority w:val="0"/>
    <w:rPr>
      <w:b/>
      <w:bCs/>
      <w:kern w:val="2"/>
      <w:sz w:val="32"/>
      <w:szCs w:val="24"/>
    </w:rPr>
  </w:style>
  <w:style w:type="character" w:customStyle="1" w:styleId="81">
    <w:name w:val="标题 5 字符"/>
    <w:link w:val="7"/>
    <w:qFormat/>
    <w:uiPriority w:val="0"/>
    <w:rPr>
      <w:b/>
      <w:sz w:val="28"/>
    </w:rPr>
  </w:style>
  <w:style w:type="character" w:customStyle="1" w:styleId="82">
    <w:name w:val="正文文本缩进 3 字符"/>
    <w:link w:val="30"/>
    <w:qFormat/>
    <w:uiPriority w:val="0"/>
    <w:rPr>
      <w:rFonts w:ascii="Times New Roman" w:hAnsi="Times New Roman" w:eastAsia="宋体" w:cs="Times New Roman"/>
      <w:szCs w:val="24"/>
    </w:rPr>
  </w:style>
  <w:style w:type="character" w:customStyle="1" w:styleId="83">
    <w:name w:val="HTML 预设格式 字符"/>
    <w:link w:val="32"/>
    <w:qFormat/>
    <w:uiPriority w:val="0"/>
    <w:rPr>
      <w:rFonts w:ascii="黑体" w:hAnsi="Courier New" w:eastAsia="黑体" w:cs="Courier New"/>
      <w:kern w:val="0"/>
      <w:sz w:val="20"/>
      <w:szCs w:val="20"/>
    </w:rPr>
  </w:style>
  <w:style w:type="character" w:customStyle="1" w:styleId="84">
    <w:name w:val="标题 2 字符"/>
    <w:link w:val="4"/>
    <w:qFormat/>
    <w:uiPriority w:val="0"/>
    <w:rPr>
      <w:rFonts w:ascii="Arial" w:hAnsi="Arial" w:eastAsia="黑体" w:cs="Times New Roman"/>
      <w:b/>
      <w:bCs/>
      <w:sz w:val="32"/>
      <w:szCs w:val="32"/>
    </w:rPr>
  </w:style>
  <w:style w:type="character" w:customStyle="1" w:styleId="85">
    <w:name w:val="标题 9 字符"/>
    <w:link w:val="12"/>
    <w:qFormat/>
    <w:uiPriority w:val="0"/>
    <w:rPr>
      <w:rFonts w:ascii="Arial" w:hAnsi="Arial" w:eastAsia="黑体"/>
    </w:rPr>
  </w:style>
  <w:style w:type="character" w:customStyle="1" w:styleId="86">
    <w:name w:val="正文缩进 字符"/>
    <w:link w:val="8"/>
    <w:qFormat/>
    <w:locked/>
    <w:uiPriority w:val="0"/>
    <w:rPr>
      <w:rFonts w:ascii="Times New Roman" w:hAnsi="Times New Roman" w:eastAsia="宋体" w:cs="Times New Roman"/>
      <w:szCs w:val="20"/>
    </w:rPr>
  </w:style>
  <w:style w:type="paragraph" w:customStyle="1" w:styleId="8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8">
    <w:name w:val="Table Paragraph"/>
    <w:basedOn w:val="1"/>
    <w:qFormat/>
    <w:uiPriority w:val="1"/>
    <w:pPr>
      <w:ind w:left="100" w:right="-10"/>
      <w:jc w:val="left"/>
    </w:pPr>
    <w:rPr>
      <w:rFonts w:ascii="宋体" w:hAnsi="宋体" w:cs="宋体"/>
      <w:kern w:val="0"/>
      <w:sz w:val="22"/>
      <w:szCs w:val="22"/>
      <w:lang w:eastAsia="en-US"/>
    </w:rPr>
  </w:style>
  <w:style w:type="paragraph" w:customStyle="1" w:styleId="8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styleId="90">
    <w:name w:val="List Paragraph"/>
    <w:basedOn w:val="1"/>
    <w:qFormat/>
    <w:uiPriority w:val="99"/>
    <w:pPr>
      <w:ind w:firstLine="420" w:firstLineChars="200"/>
    </w:pPr>
    <w:rPr>
      <w:rFonts w:ascii="Calibri" w:hAnsi="Calibri"/>
      <w:szCs w:val="22"/>
    </w:rPr>
  </w:style>
  <w:style w:type="paragraph" w:customStyle="1" w:styleId="91">
    <w:name w:val="Char"/>
    <w:basedOn w:val="14"/>
    <w:qFormat/>
    <w:uiPriority w:val="0"/>
    <w:rPr>
      <w:rFonts w:ascii="Tahoma" w:hAnsi="Tahoma"/>
      <w:sz w:val="24"/>
    </w:rPr>
  </w:style>
  <w:style w:type="paragraph" w:customStyle="1" w:styleId="9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93">
    <w:name w:val="p15"/>
    <w:basedOn w:val="1"/>
    <w:qFormat/>
    <w:uiPriority w:val="0"/>
    <w:pPr>
      <w:widowControl/>
    </w:pPr>
    <w:rPr>
      <w:rFonts w:ascii="宋体" w:hAnsi="宋体" w:cs="宋体"/>
      <w:kern w:val="0"/>
      <w:szCs w:val="21"/>
    </w:rPr>
  </w:style>
  <w:style w:type="paragraph" w:customStyle="1" w:styleId="94">
    <w:name w:val="样式3"/>
    <w:basedOn w:val="2"/>
    <w:qFormat/>
    <w:uiPriority w:val="0"/>
    <w:pPr>
      <w:adjustRightInd/>
      <w:spacing w:line="360" w:lineRule="auto"/>
      <w:jc w:val="both"/>
    </w:pPr>
    <w:rPr>
      <w:kern w:val="2"/>
      <w:sz w:val="21"/>
      <w:szCs w:val="24"/>
    </w:rPr>
  </w:style>
  <w:style w:type="paragraph" w:customStyle="1" w:styleId="95">
    <w:name w:val="Char Char Char Char Char Char Char"/>
    <w:basedOn w:val="1"/>
    <w:qFormat/>
    <w:uiPriority w:val="0"/>
  </w:style>
  <w:style w:type="paragraph" w:customStyle="1" w:styleId="96">
    <w:name w:val="Char Char Char Char"/>
    <w:basedOn w:val="14"/>
    <w:qFormat/>
    <w:uiPriority w:val="0"/>
    <w:rPr>
      <w:rFonts w:ascii="Tahoma" w:hAnsi="Tahoma"/>
      <w:sz w:val="24"/>
    </w:rPr>
  </w:style>
  <w:style w:type="paragraph" w:customStyle="1" w:styleId="97">
    <w:name w:val="样式1"/>
    <w:basedOn w:val="1"/>
    <w:qFormat/>
    <w:uiPriority w:val="0"/>
  </w:style>
  <w:style w:type="paragraph" w:customStyle="1" w:styleId="98">
    <w:name w:val="列出段落1"/>
    <w:basedOn w:val="1"/>
    <w:qFormat/>
    <w:uiPriority w:val="34"/>
    <w:pPr>
      <w:ind w:firstLine="420" w:firstLineChars="200"/>
    </w:pPr>
  </w:style>
  <w:style w:type="paragraph" w:customStyle="1" w:styleId="99">
    <w:name w:val="TOC 标题1"/>
    <w:basedOn w:val="3"/>
    <w:next w:val="1"/>
    <w:unhideWhenUsed/>
    <w:qFormat/>
    <w:uiPriority w:val="39"/>
    <w:pPr>
      <w:keepLines/>
      <w:widowControl/>
      <w:spacing w:before="480" w:line="276" w:lineRule="auto"/>
      <w:jc w:val="left"/>
      <w:outlineLvl w:val="9"/>
    </w:pPr>
    <w:rPr>
      <w:rFonts w:ascii="Cambria" w:hAnsi="Cambria" w:cs="黑体"/>
      <w:color w:val="365F90"/>
      <w:kern w:val="0"/>
      <w:sz w:val="28"/>
      <w:szCs w:val="28"/>
    </w:rPr>
  </w:style>
  <w:style w:type="paragraph" w:customStyle="1" w:styleId="10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02">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03">
    <w:name w:val="默认段落字体 Para Char Char Char Char Char Char Char Char Char1 Char Char Char Char"/>
    <w:basedOn w:val="1"/>
    <w:qFormat/>
    <w:uiPriority w:val="0"/>
    <w:rPr>
      <w:rFonts w:ascii="Tahoma" w:hAnsi="Tahoma"/>
      <w:sz w:val="24"/>
      <w:szCs w:val="20"/>
    </w:rPr>
  </w:style>
  <w:style w:type="paragraph" w:customStyle="1" w:styleId="104">
    <w:name w:val="Char1"/>
    <w:basedOn w:val="14"/>
    <w:qFormat/>
    <w:uiPriority w:val="0"/>
    <w:pPr>
      <w:widowControl/>
      <w:ind w:firstLine="454"/>
      <w:jc w:val="left"/>
    </w:pPr>
    <w:rPr>
      <w:rFonts w:ascii="Tahoma" w:hAnsi="Tahoma" w:cs="宋体"/>
      <w:sz w:val="24"/>
      <w:szCs w:val="20"/>
    </w:rPr>
  </w:style>
  <w:style w:type="paragraph" w:customStyle="1" w:styleId="105">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6">
    <w:name w:val="p0"/>
    <w:basedOn w:val="1"/>
    <w:qFormat/>
    <w:uiPriority w:val="0"/>
    <w:pPr>
      <w:widowControl/>
    </w:pPr>
    <w:rPr>
      <w:kern w:val="0"/>
      <w:szCs w:val="21"/>
    </w:rPr>
  </w:style>
  <w:style w:type="paragraph" w:customStyle="1" w:styleId="107">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08">
    <w:name w:val="默认段落字体 Para Char1"/>
    <w:next w:val="1"/>
    <w:qFormat/>
    <w:uiPriority w:val="0"/>
    <w:pPr>
      <w:keepNext/>
      <w:keepLines/>
      <w:tabs>
        <w:tab w:val="left" w:pos="360"/>
      </w:tabs>
      <w:snapToGrid w:val="0"/>
      <w:spacing w:before="240" w:after="240"/>
      <w:outlineLvl w:val="7"/>
    </w:pPr>
    <w:rPr>
      <w:rFonts w:ascii="Arial" w:hAnsi="Arial" w:eastAsia="宋体" w:cs="Arial"/>
      <w:lang w:val="en-US" w:eastAsia="zh-CN" w:bidi="ar-SA"/>
    </w:rPr>
  </w:style>
  <w:style w:type="paragraph" w:customStyle="1" w:styleId="109">
    <w:name w:val="F2"/>
    <w:basedOn w:val="1"/>
    <w:qFormat/>
    <w:uiPriority w:val="0"/>
    <w:pPr>
      <w:autoSpaceDE w:val="0"/>
      <w:autoSpaceDN w:val="0"/>
      <w:adjustRightInd w:val="0"/>
      <w:ind w:firstLine="601"/>
      <w:textAlignment w:val="baseline"/>
    </w:pPr>
    <w:rPr>
      <w:kern w:val="0"/>
      <w:sz w:val="24"/>
      <w:szCs w:val="20"/>
    </w:rPr>
  </w:style>
  <w:style w:type="paragraph" w:customStyle="1" w:styleId="110">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11">
    <w:name w:val="zxz5"/>
    <w:next w:val="1"/>
    <w:qFormat/>
    <w:uiPriority w:val="0"/>
    <w:pPr>
      <w:tabs>
        <w:tab w:val="left" w:pos="0"/>
      </w:tabs>
      <w:jc w:val="center"/>
    </w:pPr>
    <w:rPr>
      <w:rFonts w:ascii="宋体" w:hAnsi="宋体" w:eastAsia="Times New Roman" w:cs="宋体"/>
      <w:bCs/>
      <w:kern w:val="2"/>
      <w:sz w:val="18"/>
      <w:szCs w:val="18"/>
      <w:lang w:val="en-US" w:eastAsia="zh-CN" w:bidi="ar-SA"/>
    </w:rPr>
  </w:style>
  <w:style w:type="paragraph" w:customStyle="1" w:styleId="11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13">
    <w:name w:val="列出段落2"/>
    <w:basedOn w:val="1"/>
    <w:unhideWhenUsed/>
    <w:qFormat/>
    <w:uiPriority w:val="34"/>
    <w:pPr>
      <w:ind w:firstLine="420" w:firstLineChars="200"/>
    </w:pPr>
    <w:rPr>
      <w:szCs w:val="20"/>
    </w:rPr>
  </w:style>
  <w:style w:type="paragraph" w:customStyle="1" w:styleId="114">
    <w:name w:val="_Style 5"/>
    <w:basedOn w:val="1"/>
    <w:qFormat/>
    <w:uiPriority w:val="34"/>
    <w:pPr>
      <w:spacing w:line="360" w:lineRule="auto"/>
      <w:ind w:firstLine="420" w:firstLineChars="200"/>
    </w:pPr>
    <w:rPr>
      <w:rFonts w:ascii="Calibri" w:hAnsi="Calibri"/>
      <w:szCs w:val="22"/>
    </w:rPr>
  </w:style>
  <w:style w:type="paragraph" w:customStyle="1" w:styleId="115">
    <w:name w:val="_Style 1"/>
    <w:basedOn w:val="1"/>
    <w:qFormat/>
    <w:uiPriority w:val="34"/>
    <w:pPr>
      <w:spacing w:line="360" w:lineRule="auto"/>
      <w:ind w:firstLine="420" w:firstLineChars="200"/>
    </w:pPr>
    <w:rPr>
      <w:rFonts w:ascii="Calibri" w:hAnsi="Calibri"/>
      <w:szCs w:val="22"/>
    </w:rPr>
  </w:style>
  <w:style w:type="character" w:customStyle="1" w:styleId="116">
    <w:name w:val="批注主题 字符"/>
    <w:basedOn w:val="57"/>
    <w:link w:val="35"/>
    <w:semiHidden/>
    <w:qFormat/>
    <w:uiPriority w:val="0"/>
    <w:rPr>
      <w:rFonts w:eastAsia="宋体"/>
      <w:b/>
      <w:bCs/>
      <w:kern w:val="2"/>
      <w:sz w:val="21"/>
      <w:szCs w:val="24"/>
      <w:lang w:val="en-US" w:eastAsia="zh-CN" w:bidi="ar-SA"/>
    </w:rPr>
  </w:style>
  <w:style w:type="paragraph" w:customStyle="1" w:styleId="117">
    <w:name w:val="正文段"/>
    <w:basedOn w:val="1"/>
    <w:qFormat/>
    <w:uiPriority w:val="0"/>
    <w:pPr>
      <w:widowControl/>
      <w:snapToGrid w:val="0"/>
      <w:spacing w:afterLines="50"/>
      <w:ind w:firstLine="200" w:firstLineChars="200"/>
    </w:pPr>
    <w:rPr>
      <w:kern w:val="0"/>
      <w:sz w:val="24"/>
      <w:szCs w:val="20"/>
    </w:rPr>
  </w:style>
  <w:style w:type="character" w:customStyle="1" w:styleId="118">
    <w:name w:val="批注文字 Char1"/>
    <w:basedOn w:val="39"/>
    <w:semiHidden/>
    <w:qFormat/>
    <w:locked/>
    <w:uiPriority w:val="0"/>
    <w:rPr>
      <w:kern w:val="2"/>
      <w:sz w:val="21"/>
      <w:szCs w:val="24"/>
    </w:rPr>
  </w:style>
  <w:style w:type="character" w:customStyle="1" w:styleId="119">
    <w:name w:val="正文文本 3 字符"/>
    <w:basedOn w:val="39"/>
    <w:link w:val="16"/>
    <w:semiHidden/>
    <w:qFormat/>
    <w:uiPriority w:val="0"/>
    <w:rPr>
      <w:kern w:val="2"/>
      <w:sz w:val="16"/>
      <w:szCs w:val="16"/>
    </w:rPr>
  </w:style>
  <w:style w:type="paragraph" w:customStyle="1" w:styleId="120">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1">
    <w:name w:val="项目符号A Char"/>
    <w:link w:val="122"/>
    <w:qFormat/>
    <w:uiPriority w:val="0"/>
    <w:rPr>
      <w:rFonts w:ascii="仿宋_GB2312" w:hAnsi="Arial" w:eastAsia="仿宋_GB2312"/>
      <w:spacing w:val="-4"/>
      <w:kern w:val="2"/>
      <w:sz w:val="24"/>
      <w:szCs w:val="24"/>
    </w:rPr>
  </w:style>
  <w:style w:type="paragraph" w:customStyle="1" w:styleId="122">
    <w:name w:val="项目符号A"/>
    <w:basedOn w:val="1"/>
    <w:link w:val="121"/>
    <w:qFormat/>
    <w:uiPriority w:val="0"/>
    <w:pPr>
      <w:tabs>
        <w:tab w:val="left" w:pos="1021"/>
      </w:tabs>
      <w:spacing w:line="400" w:lineRule="exact"/>
      <w:ind w:firstLine="465"/>
    </w:pPr>
    <w:rPr>
      <w:rFonts w:ascii="仿宋_GB2312" w:hAnsi="Arial" w:eastAsia="仿宋_GB2312"/>
      <w:spacing w:val="-4"/>
      <w:sz w:val="24"/>
    </w:rPr>
  </w:style>
  <w:style w:type="character" w:customStyle="1" w:styleId="123">
    <w:name w:val="article11"/>
    <w:qFormat/>
    <w:uiPriority w:val="0"/>
    <w:rPr>
      <w:color w:val="000000"/>
      <w:sz w:val="23"/>
      <w:szCs w:val="23"/>
    </w:rPr>
  </w:style>
  <w:style w:type="character" w:customStyle="1" w:styleId="124">
    <w:name w:val="case31"/>
    <w:qFormat/>
    <w:uiPriority w:val="0"/>
    <w:rPr>
      <w:rFonts w:hint="default"/>
      <w:sz w:val="21"/>
      <w:szCs w:val="21"/>
    </w:rPr>
  </w:style>
  <w:style w:type="character" w:customStyle="1" w:styleId="125">
    <w:name w:val="正文文本首行缩进 2 字符"/>
    <w:basedOn w:val="76"/>
    <w:link w:val="36"/>
    <w:qFormat/>
    <w:uiPriority w:val="0"/>
    <w:rPr>
      <w:rFonts w:ascii="宋体" w:hAnsi="Courier New" w:eastAsia="宋体" w:cs="Times New Roman"/>
      <w:spacing w:val="-4"/>
      <w:kern w:val="2"/>
      <w:sz w:val="21"/>
      <w:szCs w:val="24"/>
    </w:rPr>
  </w:style>
  <w:style w:type="character" w:customStyle="1" w:styleId="126">
    <w:name w:val="Char Char20"/>
    <w:qFormat/>
    <w:locked/>
    <w:uiPriority w:val="0"/>
    <w:rPr>
      <w:rFonts w:eastAsia="宋体"/>
      <w:b/>
      <w:bCs/>
      <w:kern w:val="44"/>
      <w:sz w:val="44"/>
      <w:szCs w:val="44"/>
      <w:lang w:bidi="ar-SA"/>
    </w:rPr>
  </w:style>
  <w:style w:type="paragraph" w:customStyle="1" w:styleId="127">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9">
    <w:name w:val="标题 1_0"/>
    <w:basedOn w:val="130"/>
    <w:next w:val="130"/>
    <w:qFormat/>
    <w:uiPriority w:val="99"/>
    <w:pPr>
      <w:keepNext/>
      <w:keepLines/>
      <w:spacing w:line="360" w:lineRule="auto"/>
      <w:outlineLvl w:val="0"/>
    </w:pPr>
    <w:rPr>
      <w:rFonts w:ascii="Times New Roman" w:hAnsi="Times New Roman" w:eastAsia="黑体"/>
      <w:b/>
      <w:bCs/>
      <w:kern w:val="44"/>
      <w:sz w:val="44"/>
      <w:szCs w:val="44"/>
      <w:lang w:val="zh-CN"/>
    </w:rPr>
  </w:style>
  <w:style w:type="paragraph" w:customStyle="1" w:styleId="13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正文_3_0"/>
    <w:basedOn w:val="132"/>
    <w:qFormat/>
    <w:uiPriority w:val="0"/>
    <w:rPr>
      <w:rFonts w:ascii="Calibri" w:hAnsi="Calibri"/>
    </w:rPr>
  </w:style>
  <w:style w:type="paragraph" w:customStyle="1" w:styleId="132">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3">
    <w:name w:val="标题 1_1"/>
    <w:basedOn w:val="134"/>
    <w:next w:val="131"/>
    <w:qFormat/>
    <w:uiPriority w:val="99"/>
    <w:pPr>
      <w:keepNext/>
      <w:keepLines/>
      <w:spacing w:before="340" w:after="330" w:line="578" w:lineRule="auto"/>
      <w:outlineLvl w:val="0"/>
    </w:pPr>
    <w:rPr>
      <w:rFonts w:eastAsia="黑体"/>
      <w:b/>
      <w:bCs/>
      <w:kern w:val="44"/>
      <w:sz w:val="32"/>
      <w:szCs w:val="44"/>
    </w:rPr>
  </w:style>
  <w:style w:type="paragraph" w:customStyle="1" w:styleId="134">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5">
    <w:name w:val="普通(网站)_0"/>
    <w:basedOn w:val="136"/>
    <w:qFormat/>
    <w:uiPriority w:val="0"/>
    <w:pPr>
      <w:widowControl/>
      <w:spacing w:before="100" w:beforeAutospacing="1" w:after="100" w:afterAutospacing="1"/>
      <w:jc w:val="left"/>
    </w:pPr>
    <w:rPr>
      <w:rFonts w:ascii="宋体" w:hAnsi="宋体" w:cs="宋体"/>
      <w:kern w:val="0"/>
      <w:sz w:val="24"/>
      <w:szCs w:val="24"/>
    </w:rPr>
  </w:style>
  <w:style w:type="paragraph" w:customStyle="1" w:styleId="13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纯文本_0"/>
    <w:basedOn w:val="136"/>
    <w:next w:val="138"/>
    <w:qFormat/>
    <w:uiPriority w:val="0"/>
    <w:rPr>
      <w:rFonts w:ascii="宋体" w:hAnsi="Courier New"/>
      <w:szCs w:val="20"/>
    </w:rPr>
  </w:style>
  <w:style w:type="paragraph" w:customStyle="1" w:styleId="138">
    <w:name w:val="标题 4_2"/>
    <w:basedOn w:val="136"/>
    <w:next w:val="136"/>
    <w:qFormat/>
    <w:uiPriority w:val="99"/>
    <w:pPr>
      <w:keepNext/>
      <w:keepLines/>
      <w:spacing w:before="280" w:after="290" w:line="376" w:lineRule="auto"/>
      <w:outlineLvl w:val="3"/>
    </w:pPr>
    <w:rPr>
      <w:rFonts w:ascii="Arial" w:hAnsi="Arial" w:eastAsia="黑体"/>
      <w:b/>
      <w:bCs/>
      <w:sz w:val="28"/>
      <w:szCs w:val="28"/>
    </w:rPr>
  </w:style>
  <w:style w:type="paragraph" w:customStyle="1" w:styleId="139">
    <w:name w:val="列出段落_0"/>
    <w:basedOn w:val="136"/>
    <w:qFormat/>
    <w:uiPriority w:val="34"/>
    <w:pPr>
      <w:ind w:firstLine="420" w:firstLineChars="200"/>
    </w:pPr>
  </w:style>
  <w:style w:type="paragraph" w:customStyle="1" w:styleId="140">
    <w:name w:val="Table Text"/>
    <w:basedOn w:val="1"/>
    <w:semiHidden/>
    <w:qFormat/>
    <w:uiPriority w:val="0"/>
    <w:rPr>
      <w:rFonts w:ascii="宋体" w:hAnsi="宋体" w:cs="宋体"/>
      <w:sz w:val="27"/>
      <w:szCs w:val="27"/>
      <w:lang w:eastAsia="en-US"/>
    </w:rPr>
  </w:style>
  <w:style w:type="table" w:customStyle="1" w:styleId="141">
    <w:name w:val="Table Normal"/>
    <w:semiHidden/>
    <w:unhideWhenUsed/>
    <w:qFormat/>
    <w:uiPriority w:val="0"/>
    <w:tblPr>
      <w:tblCellMar>
        <w:top w:w="0" w:type="dxa"/>
        <w:left w:w="0" w:type="dxa"/>
        <w:bottom w:w="0" w:type="dxa"/>
        <w:right w:w="0" w:type="dxa"/>
      </w:tblCellMar>
    </w:tblPr>
  </w:style>
  <w:style w:type="paragraph" w:customStyle="1" w:styleId="14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3">
    <w:name w:val="缩进"/>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89</Pages>
  <Words>55485</Words>
  <Characters>63903</Characters>
  <Lines>2443</Lines>
  <Paragraphs>2387</Paragraphs>
  <TotalTime>14</TotalTime>
  <ScaleCrop>false</ScaleCrop>
  <LinksUpToDate>false</LinksUpToDate>
  <CharactersWithSpaces>68492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2024-07-01T13:49:00Z</dcterms:created>
  <dc:creator>liwenjie</dc:creator>
  <cp:lastModifiedBy>林°</cp:lastModifiedBy>
  <cp:lastPrinted>2025-09-08T08:28:29Z</cp:lastPrinted>
  <dcterms:modified xsi:type="dcterms:W3CDTF">2025-09-08T08:41:34Z</dcterms:modified>
  <dc:title>–</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5DD80F37D0AA477F9AA010E7B3CE0B0D_13</vt:lpwstr>
  </property>
  <property fmtid="{D5CDD505-2E9C-101B-9397-08002B2CF9AE}" pid="4" name="KSOTemplateDocerSaveRecord">
    <vt:lpwstr>eyJoZGlkIjoiYTg1Y2MwZGRhZmQwZjIxMGZiMjk1NjRlZDFmOTJkYmEiLCJ1c2VySWQiOiIxMTY4MjE0NTgzIn0=</vt:lpwstr>
  </property>
</Properties>
</file>