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华文新魏" w:eastAsia="华文新魏"/>
          <w:color w:val="000000" w:themeColor="text1"/>
          <w:spacing w:val="90"/>
          <w:sz w:val="56"/>
          <w:szCs w:val="56"/>
          <w:highlight w:val="none"/>
          <w14:textFill>
            <w14:solidFill>
              <w14:schemeClr w14:val="tx1"/>
            </w14:solidFill>
          </w14:textFill>
        </w:rPr>
      </w:pPr>
    </w:p>
    <w:p>
      <w:pPr>
        <w:spacing w:line="600" w:lineRule="exact"/>
        <w:jc w:val="center"/>
        <w:rPr>
          <w:rFonts w:ascii="华文新魏" w:eastAsia="华文新魏"/>
          <w:color w:val="000000" w:themeColor="text1"/>
          <w:spacing w:val="90"/>
          <w:sz w:val="56"/>
          <w:szCs w:val="56"/>
          <w:highlight w:val="none"/>
          <w14:textFill>
            <w14:solidFill>
              <w14:schemeClr w14:val="tx1"/>
            </w14:solidFill>
          </w14:textFill>
        </w:rPr>
      </w:pPr>
    </w:p>
    <w:p>
      <w:pPr>
        <w:spacing w:line="600" w:lineRule="exact"/>
        <w:jc w:val="center"/>
        <w:rPr>
          <w:rFonts w:hint="eastAsia" w:ascii="宋体" w:hAnsi="宋体"/>
          <w:b/>
          <w:color w:val="000000" w:themeColor="text1"/>
          <w:sz w:val="72"/>
          <w:szCs w:val="72"/>
          <w:highlight w:val="none"/>
          <w14:textFill>
            <w14:solidFill>
              <w14:schemeClr w14:val="tx1"/>
            </w14:solidFill>
          </w14:textFill>
        </w:rPr>
      </w:pPr>
      <w:r>
        <w:rPr>
          <w:rFonts w:hint="eastAsia" w:ascii="华文新魏" w:eastAsia="华文新魏"/>
          <w:color w:val="000000" w:themeColor="text1"/>
          <w:spacing w:val="90"/>
          <w:sz w:val="56"/>
          <w:szCs w:val="56"/>
          <w:highlight w:val="none"/>
          <w14:textFill>
            <w14:solidFill>
              <w14:schemeClr w14:val="tx1"/>
            </w14:solidFill>
          </w14:textFill>
        </w:rPr>
        <w:t>广西银泰工程管理有限公司</w:t>
      </w:r>
    </w:p>
    <w:p>
      <w:pPr>
        <w:spacing w:line="600" w:lineRule="exact"/>
        <w:jc w:val="center"/>
        <w:rPr>
          <w:rFonts w:hint="eastAsia" w:ascii="宋体" w:hAnsi="宋体"/>
          <w:b/>
          <w:color w:val="000000" w:themeColor="text1"/>
          <w:sz w:val="72"/>
          <w:szCs w:val="72"/>
          <w:highlight w:val="none"/>
          <w14:textFill>
            <w14:solidFill>
              <w14:schemeClr w14:val="tx1"/>
            </w14:solidFill>
          </w14:textFill>
        </w:rPr>
      </w:pPr>
    </w:p>
    <w:p>
      <w:pPr>
        <w:spacing w:before="312" w:beforeLines="100" w:after="156" w:afterLines="50" w:line="600" w:lineRule="exact"/>
        <w:jc w:val="center"/>
        <w:rPr>
          <w:rFonts w:hint="eastAsia" w:ascii="宋体" w:hAnsi="宋体"/>
          <w:b/>
          <w:color w:val="000000" w:themeColor="text1"/>
          <w:sz w:val="72"/>
          <w:szCs w:val="72"/>
          <w:highlight w:val="none"/>
          <w14:textFill>
            <w14:solidFill>
              <w14:schemeClr w14:val="tx1"/>
            </w14:solidFill>
          </w14:textFill>
        </w:rPr>
      </w:pPr>
    </w:p>
    <w:p>
      <w:pPr>
        <w:spacing w:before="312" w:beforeLines="100" w:after="156" w:afterLines="50" w:line="600" w:lineRule="exact"/>
        <w:jc w:val="center"/>
        <w:rPr>
          <w:rFonts w:hint="eastAsia" w:ascii="宋体" w:hAnsi="宋体"/>
          <w:b/>
          <w:color w:val="000000" w:themeColor="text1"/>
          <w:sz w:val="72"/>
          <w:szCs w:val="72"/>
          <w:highlight w:val="none"/>
          <w14:textFill>
            <w14:solidFill>
              <w14:schemeClr w14:val="tx1"/>
            </w14:solidFill>
          </w14:textFill>
        </w:rPr>
      </w:pPr>
    </w:p>
    <w:p>
      <w:pPr>
        <w:spacing w:before="312" w:beforeLines="100" w:after="156" w:afterLines="50" w:line="600" w:lineRule="exact"/>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竞争性谈判文件</w:t>
      </w:r>
    </w:p>
    <w:p>
      <w:pPr>
        <w:spacing w:before="312" w:beforeLines="100" w:after="156" w:afterLines="50" w:line="600" w:lineRule="exact"/>
        <w:ind w:firstLine="1446"/>
        <w:jc w:val="left"/>
        <w:rPr>
          <w:rFonts w:hint="eastAsia" w:ascii="宋体" w:hAnsi="宋体"/>
          <w:b/>
          <w:color w:val="000000" w:themeColor="text1"/>
          <w:sz w:val="72"/>
          <w:szCs w:val="72"/>
          <w:highlight w:val="none"/>
          <w14:textFill>
            <w14:solidFill>
              <w14:schemeClr w14:val="tx1"/>
            </w14:solidFill>
          </w14:textFill>
        </w:rPr>
      </w:pPr>
    </w:p>
    <w:p>
      <w:pPr>
        <w:spacing w:before="312" w:beforeLines="100" w:after="156" w:afterLines="50" w:line="600" w:lineRule="exact"/>
        <w:ind w:firstLine="1446"/>
        <w:jc w:val="left"/>
        <w:rPr>
          <w:rFonts w:hint="eastAsia" w:ascii="宋体" w:hAnsi="宋体"/>
          <w:b/>
          <w:color w:val="000000" w:themeColor="text1"/>
          <w:sz w:val="72"/>
          <w:szCs w:val="72"/>
          <w:highlight w:val="none"/>
          <w14:textFill>
            <w14:solidFill>
              <w14:schemeClr w14:val="tx1"/>
            </w14:solidFill>
          </w14:textFill>
        </w:rPr>
      </w:pPr>
    </w:p>
    <w:p>
      <w:pPr>
        <w:spacing w:before="312" w:beforeLines="100" w:after="156" w:afterLines="50" w:line="600" w:lineRule="exact"/>
        <w:ind w:firstLine="1446"/>
        <w:jc w:val="left"/>
        <w:rPr>
          <w:rFonts w:hint="eastAsia" w:ascii="宋体" w:hAnsi="宋体"/>
          <w:b/>
          <w:color w:val="000000" w:themeColor="text1"/>
          <w:sz w:val="72"/>
          <w:szCs w:val="72"/>
          <w:highlight w:val="none"/>
          <w14:textFill>
            <w14:solidFill>
              <w14:schemeClr w14:val="tx1"/>
            </w14:solidFill>
          </w14:textFill>
        </w:rPr>
      </w:pPr>
    </w:p>
    <w:p>
      <w:pPr>
        <w:tabs>
          <w:tab w:val="left" w:pos="7230"/>
        </w:tabs>
        <w:ind w:firstLine="1606" w:firstLineChars="500"/>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项目名称：</w:t>
      </w:r>
      <w:r>
        <w:rPr>
          <w:rFonts w:hint="eastAsia" w:ascii="宋体" w:hAnsi="宋体"/>
          <w:b/>
          <w:color w:val="000000" w:themeColor="text1"/>
          <w:sz w:val="32"/>
          <w:szCs w:val="32"/>
          <w:highlight w:val="none"/>
          <w:lang w:eastAsia="zh-CN"/>
          <w14:textFill>
            <w14:solidFill>
              <w14:schemeClr w14:val="tx1"/>
            </w14:solidFill>
          </w14:textFill>
        </w:rPr>
        <w:t>2025生化学院科研仪器设备采购（重）</w:t>
      </w:r>
    </w:p>
    <w:p>
      <w:pPr>
        <w:tabs>
          <w:tab w:val="left" w:pos="7230"/>
        </w:tabs>
        <w:spacing w:line="400" w:lineRule="exact"/>
        <w:ind w:firstLine="1606" w:firstLineChars="500"/>
        <w:rPr>
          <w:rFonts w:hint="eastAsia" w:ascii="宋体" w:hAnsi="宋体" w:eastAsia="宋体"/>
          <w:b/>
          <w:color w:val="000000" w:themeColor="text1"/>
          <w:spacing w:val="100"/>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项目编号：</w:t>
      </w:r>
      <w:r>
        <w:rPr>
          <w:rFonts w:hint="eastAsia" w:ascii="宋体" w:hAnsi="宋体"/>
          <w:b/>
          <w:color w:val="000000" w:themeColor="text1"/>
          <w:sz w:val="32"/>
          <w:szCs w:val="32"/>
          <w:highlight w:val="none"/>
          <w:lang w:eastAsia="zh-CN"/>
          <w14:textFill>
            <w14:solidFill>
              <w14:schemeClr w14:val="tx1"/>
            </w14:solidFill>
          </w14:textFill>
        </w:rPr>
        <w:t>GXZC2025-J1-002430-YTGC</w:t>
      </w:r>
    </w:p>
    <w:p>
      <w:pPr>
        <w:spacing w:line="400" w:lineRule="exact"/>
        <w:ind w:firstLine="1699" w:firstLineChars="326"/>
        <w:rPr>
          <w:rFonts w:hint="eastAsia" w:ascii="宋体" w:hAnsi="宋体"/>
          <w:b/>
          <w:color w:val="000000" w:themeColor="text1"/>
          <w:spacing w:val="100"/>
          <w:sz w:val="32"/>
          <w:szCs w:val="32"/>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spacing w:line="400" w:lineRule="exact"/>
        <w:ind w:firstLine="1559" w:firstLineChars="409"/>
        <w:rPr>
          <w:rFonts w:hint="eastAsia" w:ascii="宋体" w:hAnsi="宋体"/>
          <w:b/>
          <w:color w:val="000000" w:themeColor="text1"/>
          <w:spacing w:val="30"/>
          <w:sz w:val="32"/>
          <w:szCs w:val="32"/>
          <w:highlight w:val="none"/>
          <w14:textFill>
            <w14:solidFill>
              <w14:schemeClr w14:val="tx1"/>
            </w14:solidFill>
          </w14:textFill>
        </w:rPr>
      </w:pPr>
      <w:r>
        <w:rPr>
          <w:rFonts w:hint="eastAsia" w:ascii="宋体" w:hAnsi="宋体"/>
          <w:b/>
          <w:color w:val="000000" w:themeColor="text1"/>
          <w:spacing w:val="30"/>
          <w:sz w:val="32"/>
          <w:szCs w:val="32"/>
          <w:highlight w:val="none"/>
          <w14:textFill>
            <w14:solidFill>
              <w14:schemeClr w14:val="tx1"/>
            </w14:solidFill>
          </w14:textFill>
        </w:rPr>
        <w:t>采购人：</w:t>
      </w:r>
      <w:r>
        <w:rPr>
          <w:rFonts w:hint="eastAsia" w:ascii="宋体" w:hAnsi="宋体"/>
          <w:b/>
          <w:color w:val="000000" w:themeColor="text1"/>
          <w:spacing w:val="30"/>
          <w:kern w:val="0"/>
          <w:sz w:val="32"/>
          <w:szCs w:val="32"/>
          <w:highlight w:val="none"/>
          <w14:textFill>
            <w14:solidFill>
              <w14:schemeClr w14:val="tx1"/>
            </w14:solidFill>
          </w14:textFill>
        </w:rPr>
        <w:t>广西科技大学</w:t>
      </w:r>
    </w:p>
    <w:p>
      <w:pPr>
        <w:spacing w:line="400" w:lineRule="exact"/>
        <w:ind w:firstLine="1314" w:firstLineChars="409"/>
        <w:jc w:val="left"/>
        <w:rPr>
          <w:rFonts w:hint="eastAsia" w:ascii="宋体" w:hAnsi="宋体"/>
          <w:b/>
          <w:color w:val="000000" w:themeColor="text1"/>
          <w:sz w:val="32"/>
          <w:szCs w:val="32"/>
          <w:highlight w:val="none"/>
          <w14:textFill>
            <w14:solidFill>
              <w14:schemeClr w14:val="tx1"/>
            </w14:solidFill>
          </w14:textFill>
        </w:rPr>
      </w:pPr>
    </w:p>
    <w:p>
      <w:pPr>
        <w:spacing w:line="400" w:lineRule="exact"/>
        <w:ind w:firstLine="1558" w:firstLineChars="485"/>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采购代理机构：广西银泰工程管理有限公司</w:t>
      </w:r>
    </w:p>
    <w:p>
      <w:pPr>
        <w:spacing w:line="400" w:lineRule="exact"/>
        <w:ind w:firstLine="643"/>
        <w:jc w:val="center"/>
        <w:rPr>
          <w:rFonts w:hint="eastAsia" w:ascii="宋体" w:hAnsi="宋体"/>
          <w:b/>
          <w:color w:val="000000" w:themeColor="text1"/>
          <w:sz w:val="32"/>
          <w:szCs w:val="32"/>
          <w:highlight w:val="none"/>
          <w14:textFill>
            <w14:solidFill>
              <w14:schemeClr w14:val="tx1"/>
            </w14:solidFill>
          </w14:textFill>
        </w:rPr>
      </w:pPr>
    </w:p>
    <w:p>
      <w:pPr>
        <w:spacing w:line="400" w:lineRule="exact"/>
        <w:ind w:firstLine="643"/>
        <w:jc w:val="center"/>
        <w:rPr>
          <w:rFonts w:hint="eastAsia" w:ascii="宋体" w:hAnsi="宋体"/>
          <w:b/>
          <w:color w:val="000000" w:themeColor="text1"/>
          <w:sz w:val="32"/>
          <w:szCs w:val="32"/>
          <w:highlight w:val="none"/>
          <w14:textFill>
            <w14:solidFill>
              <w14:schemeClr w14:val="tx1"/>
            </w14:solidFill>
          </w14:textFill>
        </w:rPr>
      </w:pPr>
    </w:p>
    <w:p>
      <w:pPr>
        <w:spacing w:line="400" w:lineRule="exact"/>
        <w:ind w:firstLine="643"/>
        <w:jc w:val="center"/>
        <w:rPr>
          <w:rFonts w:hint="eastAsia" w:ascii="宋体" w:hAnsi="宋体"/>
          <w:b/>
          <w:color w:val="000000" w:themeColor="text1"/>
          <w:sz w:val="32"/>
          <w:szCs w:val="32"/>
          <w:highlight w:val="none"/>
          <w14:textFill>
            <w14:solidFill>
              <w14:schemeClr w14:val="tx1"/>
            </w14:solidFill>
          </w14:textFill>
        </w:rPr>
      </w:pPr>
    </w:p>
    <w:p>
      <w:pPr>
        <w:spacing w:line="40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hAnsi="宋体"/>
          <w:b/>
          <w:bCs/>
          <w:color w:val="000000" w:themeColor="text1"/>
          <w:w w:val="95"/>
          <w:sz w:val="32"/>
          <w:szCs w:val="32"/>
          <w:highlight w:val="none"/>
          <w14:textFill>
            <w14:solidFill>
              <w14:schemeClr w14:val="tx1"/>
            </w14:solidFill>
          </w14:textFill>
        </w:rPr>
        <w:t>二〇二五年</w:t>
      </w:r>
      <w:r>
        <w:rPr>
          <w:rFonts w:hint="eastAsia" w:hAnsi="宋体"/>
          <w:b/>
          <w:bCs/>
          <w:color w:val="000000" w:themeColor="text1"/>
          <w:w w:val="95"/>
          <w:sz w:val="32"/>
          <w:szCs w:val="32"/>
          <w:highlight w:val="none"/>
          <w:lang w:val="en-US" w:eastAsia="zh-CN"/>
          <w14:textFill>
            <w14:solidFill>
              <w14:schemeClr w14:val="tx1"/>
            </w14:solidFill>
          </w14:textFill>
        </w:rPr>
        <w:t>八</w:t>
      </w:r>
      <w:r>
        <w:rPr>
          <w:rFonts w:hint="eastAsia" w:hAnsi="宋体"/>
          <w:b/>
          <w:bCs/>
          <w:color w:val="000000" w:themeColor="text1"/>
          <w:w w:val="95"/>
          <w:sz w:val="32"/>
          <w:szCs w:val="32"/>
          <w:highlight w:val="none"/>
          <w14:textFill>
            <w14:solidFill>
              <w14:schemeClr w14:val="tx1"/>
            </w14:solidFill>
          </w14:textFill>
        </w:rPr>
        <w:t>月</w:t>
      </w:r>
    </w:p>
    <w:p>
      <w:pPr>
        <w:pStyle w:val="20"/>
        <w:snapToGrid w:val="0"/>
        <w:spacing w:line="360" w:lineRule="auto"/>
        <w:jc w:val="center"/>
        <w:rPr>
          <w:rFonts w:hint="eastAsia" w:hAnsi="宋体" w:cs="Adobe 黑体 Std R"/>
          <w:color w:val="000000" w:themeColor="text1"/>
          <w:sz w:val="44"/>
          <w:szCs w:val="24"/>
          <w:highlight w:val="none"/>
          <w14:textFill>
            <w14:solidFill>
              <w14:schemeClr w14:val="tx1"/>
            </w14:solidFill>
          </w14:textFill>
        </w:rPr>
      </w:pPr>
      <w:r>
        <w:rPr>
          <w:rFonts w:hAnsi="宋体" w:cs="Adobe 黑体 Std R"/>
          <w:color w:val="000000" w:themeColor="text1"/>
          <w:sz w:val="44"/>
          <w:szCs w:val="24"/>
          <w:highlight w:val="none"/>
          <w14:textFill>
            <w14:solidFill>
              <w14:schemeClr w14:val="tx1"/>
            </w14:solidFill>
          </w14:textFill>
        </w:rPr>
        <w:br w:type="page"/>
      </w:r>
      <w:r>
        <w:rPr>
          <w:rFonts w:hint="eastAsia" w:hAnsi="宋体" w:cs="Adobe 黑体 Std R"/>
          <w:b/>
          <w:bCs/>
          <w:color w:val="000000" w:themeColor="text1"/>
          <w:sz w:val="40"/>
          <w:szCs w:val="22"/>
          <w:highlight w:val="none"/>
          <w14:textFill>
            <w14:solidFill>
              <w14:schemeClr w14:val="tx1"/>
            </w14:solidFill>
          </w14:textFill>
        </w:rPr>
        <w:t>目  录</w:t>
      </w:r>
    </w:p>
    <w:p>
      <w:pPr>
        <w:pStyle w:val="28"/>
        <w:tabs>
          <w:tab w:val="right" w:leader="dot" w:pos="9638"/>
        </w:tabs>
        <w:rPr>
          <w:color w:val="000000" w:themeColor="text1"/>
          <w:highlight w:val="none"/>
          <w14:textFill>
            <w14:solidFill>
              <w14:schemeClr w14:val="tx1"/>
            </w14:solidFill>
          </w14:textFill>
        </w:rPr>
      </w:pPr>
      <w:r>
        <w:rPr>
          <w:rFonts w:ascii="宋体" w:hAnsi="宋体"/>
          <w:b/>
          <w:color w:val="000000" w:themeColor="text1"/>
          <w:sz w:val="36"/>
          <w:szCs w:val="36"/>
          <w:highlight w:val="none"/>
          <w14:textFill>
            <w14:solidFill>
              <w14:schemeClr w14:val="tx1"/>
            </w14:solidFill>
          </w14:textFill>
        </w:rPr>
        <w:fldChar w:fldCharType="begin"/>
      </w:r>
      <w:r>
        <w:rPr>
          <w:rFonts w:ascii="宋体" w:hAnsi="宋体"/>
          <w:b/>
          <w:color w:val="000000" w:themeColor="text1"/>
          <w:sz w:val="36"/>
          <w:szCs w:val="36"/>
          <w:highlight w:val="none"/>
          <w14:textFill>
            <w14:solidFill>
              <w14:schemeClr w14:val="tx1"/>
            </w14:solidFill>
          </w14:textFill>
        </w:rPr>
        <w:instrText xml:space="preserve"> TOC \o "1-3" \h \z \u </w:instrText>
      </w:r>
      <w:r>
        <w:rPr>
          <w:rFonts w:ascii="宋体" w:hAnsi="宋体"/>
          <w:b/>
          <w:color w:val="000000" w:themeColor="text1"/>
          <w:sz w:val="36"/>
          <w:szCs w:val="36"/>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"_Toc25731"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 xml:space="preserve">第一章 </w:t>
      </w:r>
      <w:r>
        <w:rPr>
          <w:rFonts w:hint="eastAsia" w:ascii="宋体" w:hAnsi="宋体"/>
          <w:color w:val="000000" w:themeColor="text1"/>
          <w:szCs w:val="32"/>
          <w:highlight w:val="none"/>
          <w14:textFill>
            <w14:solidFill>
              <w14:schemeClr w14:val="tx1"/>
            </w14:solidFill>
          </w14:textFill>
        </w:rPr>
        <w:t>竞争性谈判公告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8"/>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"_Toc6030"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Cs w:val="32"/>
          <w:highlight w:val="none"/>
          <w14:textFill>
            <w14:solidFill>
              <w14:schemeClr w14:val="tx1"/>
            </w14:solidFill>
          </w14:textFill>
        </w:rPr>
        <w:t>第二章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8"/>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"_Toc29464"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第三章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8"/>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"_Toc17576"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第四章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_Toc17576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8"/>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"_Toc336"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第五章 合同条款（主要条款）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8"/>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"_Toc22601"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第六章 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Cs w:val="36"/>
          <w:highlight w:val="none"/>
          <w14:textFill>
            <w14:solidFill>
              <w14:schemeClr w14:val="tx1"/>
            </w14:solidFill>
          </w14:textFill>
        </w:rPr>
        <w:fldChar w:fldCharType="end"/>
      </w:r>
    </w:p>
    <w:p>
      <w:pPr>
        <w:pStyle w:val="20"/>
        <w:snapToGrid w:val="0"/>
        <w:spacing w:line="360" w:lineRule="auto"/>
        <w:jc w:val="center"/>
        <w:rPr>
          <w:rFonts w:hint="eastAsia" w:hAnsi="宋体" w:cs="Adobe 黑体 Std R"/>
          <w:color w:val="000000" w:themeColor="text1"/>
          <w:sz w:val="44"/>
          <w:szCs w:val="24"/>
          <w:highlight w:val="none"/>
          <w14:textFill>
            <w14:solidFill>
              <w14:schemeClr w14:val="tx1"/>
            </w14:solidFill>
          </w14:textFill>
        </w:rPr>
      </w:pPr>
    </w:p>
    <w:p>
      <w:pPr>
        <w:ind w:left="-2"/>
        <w:jc w:val="left"/>
        <w:rPr>
          <w:rFonts w:hint="eastAsia" w:ascii="宋体" w:hAnsi="宋体" w:cs="Adobe 黑体 Std R"/>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jc w:val="center"/>
        <w:rPr>
          <w:rFonts w:hint="eastAsia" w:ascii="宋体" w:hAnsi="宋体"/>
          <w:b/>
          <w:color w:val="000000" w:themeColor="text1"/>
          <w:sz w:val="32"/>
          <w:highlight w:val="none"/>
          <w14:textFill>
            <w14:solidFill>
              <w14:schemeClr w14:val="tx1"/>
            </w14:solidFill>
          </w14:textFill>
        </w:rPr>
      </w:pPr>
    </w:p>
    <w:p>
      <w:pPr>
        <w:pStyle w:val="2"/>
        <w:spacing w:line="360" w:lineRule="exact"/>
        <w:rPr>
          <w:rFonts w:hint="eastAsia" w:ascii="宋体" w:hAnsi="宋体"/>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even"/>
          <w:pgSz w:w="11906" w:h="16838"/>
          <w:pgMar w:top="1134" w:right="1134" w:bottom="1134" w:left="1134" w:header="720" w:footer="720" w:gutter="0"/>
          <w:cols w:space="0" w:num="1"/>
          <w:docGrid w:type="lines" w:linePitch="312" w:charSpace="0"/>
        </w:sectPr>
      </w:pPr>
    </w:p>
    <w:p>
      <w:pPr>
        <w:pStyle w:val="2"/>
        <w:spacing w:line="360" w:lineRule="exact"/>
        <w:rPr>
          <w:rFonts w:hint="eastAsia" w:ascii="宋体" w:hAnsi="宋体"/>
          <w:color w:val="000000" w:themeColor="text1"/>
          <w:sz w:val="24"/>
          <w:highlight w:val="none"/>
          <w14:textFill>
            <w14:solidFill>
              <w14:schemeClr w14:val="tx1"/>
            </w14:solidFill>
          </w14:textFill>
        </w:rPr>
      </w:pPr>
      <w:bookmarkStart w:id="0" w:name="_Toc25731"/>
      <w:r>
        <w:rPr>
          <w:rFonts w:hint="eastAsia" w:ascii="宋体" w:hAnsi="宋体"/>
          <w:color w:val="000000" w:themeColor="text1"/>
          <w:highlight w:val="none"/>
          <w14:textFill>
            <w14:solidFill>
              <w14:schemeClr w14:val="tx1"/>
            </w14:solidFill>
          </w14:textFill>
        </w:rPr>
        <w:t xml:space="preserve">第一章 </w:t>
      </w:r>
      <w:r>
        <w:rPr>
          <w:rFonts w:hint="eastAsia" w:ascii="宋体" w:hAnsi="宋体"/>
          <w:color w:val="000000" w:themeColor="text1"/>
          <w:szCs w:val="32"/>
          <w:highlight w:val="none"/>
          <w14:textFill>
            <w14:solidFill>
              <w14:schemeClr w14:val="tx1"/>
            </w14:solidFill>
          </w14:textFill>
        </w:rPr>
        <w:t>竞争性谈判公告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33"/>
              <w:widowControl/>
              <w:spacing w:beforeAutospacing="0" w:afterAutospacing="0" w:line="36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项目概况</w:t>
            </w:r>
          </w:p>
          <w:p>
            <w:pPr>
              <w:pStyle w:val="33"/>
              <w:widowControl/>
              <w:spacing w:beforeAutospacing="0" w:afterAutospacing="0" w:line="36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2025生化学院科研仪器设备采购（重）</w:t>
            </w:r>
            <w:r>
              <w:rPr>
                <w:rFonts w:hint="eastAsia" w:ascii="宋体" w:hAnsi="宋体" w:cs="宋体"/>
                <w:color w:val="000000" w:themeColor="text1"/>
                <w:sz w:val="21"/>
                <w:szCs w:val="21"/>
                <w:highlight w:val="none"/>
                <w14:textFill>
                  <w14:solidFill>
                    <w14:schemeClr w14:val="tx1"/>
                  </w14:solidFill>
                </w14:textFill>
              </w:rPr>
              <w:t>项目的潜在供应商应在广西政府采购云平台（https：//www.gcy.zfcg.gxzf.gov.cn/）获取采购文件，并于</w:t>
            </w:r>
            <w:r>
              <w:rPr>
                <w:rFonts w:hint="eastAsia" w:ascii="宋体" w:hAnsi="宋体" w:cs="宋体"/>
                <w:color w:val="000000" w:themeColor="text1"/>
                <w:sz w:val="21"/>
                <w:szCs w:val="21"/>
                <w:highlight w:val="none"/>
                <w14:textFill>
                  <w14:solidFill>
                    <w14:schemeClr w14:val="tx1"/>
                  </w14:solidFill>
                </w14:textFill>
              </w:rPr>
              <w:t>2025年</w:t>
            </w:r>
            <w:r>
              <w:rPr>
                <w:rFonts w:hint="eastAsia" w:ascii="宋体" w:hAnsi="宋体" w:cs="宋体"/>
                <w:color w:val="000000" w:themeColor="text1"/>
                <w:sz w:val="21"/>
                <w:szCs w:val="21"/>
                <w:highlight w:val="none"/>
                <w:lang w:val="en-US" w:eastAsia="zh-CN"/>
                <w14:textFill>
                  <w14:solidFill>
                    <w14:schemeClr w14:val="tx1"/>
                  </w14:solidFill>
                </w14:textFill>
              </w:rPr>
              <w:t>08</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eastAsia="zh-CN"/>
                <w14:textFill>
                  <w14:solidFill>
                    <w14:schemeClr w14:val="tx1"/>
                  </w14:solidFill>
                </w14:textFill>
              </w:rPr>
              <w:t>15：00</w:t>
            </w:r>
            <w:r>
              <w:rPr>
                <w:rFonts w:hint="eastAsia" w:ascii="宋体" w:hAnsi="宋体" w:cs="宋体"/>
                <w:color w:val="000000" w:themeColor="text1"/>
                <w:sz w:val="21"/>
                <w:szCs w:val="21"/>
                <w:highlight w:val="none"/>
                <w14:textFill>
                  <w14:solidFill>
                    <w14:schemeClr w14:val="tx1"/>
                  </w14:solidFill>
                </w14:textFill>
              </w:rPr>
              <w:t>（北京时间）前提交响应文件。</w:t>
            </w:r>
          </w:p>
        </w:tc>
      </w:tr>
    </w:tbl>
    <w:p>
      <w:pPr>
        <w:pStyle w:val="33"/>
        <w:widowControl/>
        <w:spacing w:beforeAutospacing="0" w:afterAutospacing="0"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Style w:val="40"/>
          <w:rFonts w:hint="eastAsia" w:ascii="宋体" w:hAnsi="宋体" w:cs="宋体"/>
          <w:color w:val="000000" w:themeColor="text1"/>
          <w:sz w:val="21"/>
          <w:szCs w:val="21"/>
          <w:highlight w:val="none"/>
          <w14:textFill>
            <w14:solidFill>
              <w14:schemeClr w14:val="tx1"/>
            </w14:solidFill>
          </w14:textFill>
        </w:rPr>
        <w:t>一、项目基本情况</w:t>
      </w:r>
      <w:r>
        <w:rPr>
          <w:rFonts w:hint="eastAsia" w:ascii="宋体" w:hAnsi="宋体" w:cs="宋体"/>
          <w:color w:val="000000" w:themeColor="text1"/>
          <w:sz w:val="21"/>
          <w:szCs w:val="21"/>
          <w:highlight w:val="none"/>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GXZC2025-J1-002430-YTGC</w:t>
      </w:r>
      <w:r>
        <w:rPr>
          <w:rFonts w:hint="eastAsia" w:ascii="宋体" w:hAnsi="宋体" w:cs="宋体"/>
          <w:color w:val="000000" w:themeColor="text1"/>
          <w:sz w:val="21"/>
          <w:szCs w:val="21"/>
          <w:highlight w:val="none"/>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2025生化学院科研仪器设备采购（重）</w:t>
      </w:r>
      <w:r>
        <w:rPr>
          <w:rFonts w:hint="eastAsia" w:ascii="宋体" w:hAnsi="宋体" w:cs="宋体"/>
          <w:color w:val="000000" w:themeColor="text1"/>
          <w:sz w:val="21"/>
          <w:szCs w:val="21"/>
          <w:highlight w:val="none"/>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采购方式：竞争性谈判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预算总金额（元）：</w:t>
      </w:r>
      <w:r>
        <w:rPr>
          <w:rFonts w:hint="eastAsia" w:ascii="宋体" w:hAnsi="宋体" w:cs="宋体"/>
          <w:color w:val="000000" w:themeColor="text1"/>
          <w:sz w:val="21"/>
          <w:szCs w:val="21"/>
          <w:highlight w:val="none"/>
          <w14:textFill>
            <w14:solidFill>
              <w14:schemeClr w14:val="tx1"/>
            </w14:solidFill>
          </w14:textFill>
        </w:rPr>
        <w:t>400000</w:t>
      </w:r>
      <w:r>
        <w:rPr>
          <w:rFonts w:hint="eastAsia" w:ascii="宋体" w:hAnsi="宋体" w:cs="宋体"/>
          <w:color w:val="000000" w:themeColor="text1"/>
          <w:sz w:val="21"/>
          <w:szCs w:val="21"/>
          <w:highlight w:val="none"/>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采购需求：</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标项名称：2025年化工一流学科（材料方向）科研仪器设备采购</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r>
        <w:rPr>
          <w:rFonts w:hint="eastAsia" w:ascii="宋体" w:hAnsi="宋体" w:cs="宋体"/>
          <w:color w:val="000000" w:themeColor="text1"/>
          <w:sz w:val="21"/>
          <w:szCs w:val="21"/>
          <w:highlight w:val="none"/>
          <w:lang w:val="en-US" w:eastAsia="zh-CN"/>
          <w14:textFill>
            <w14:solidFill>
              <w14:schemeClr w14:val="tx1"/>
            </w14:solidFill>
          </w14:textFill>
        </w:rPr>
        <w:t>1项</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预算金额（元）：400000</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简要规格描述或项目基本概况介绍、用途：具体内容见竞争性谈判文件第三章《采购需求》。</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最高限价（如有）：400000</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合同履约期限：自签订合同之日起7个工作日内到货，并全部安装调试合格完毕。</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本项目（否）接受联合体投标</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备注：本项目为线上电子竞标，有意向参与本项目的供应商应当做好参与全流程电子招投标（竞标）交易的充分准备。</w:t>
      </w:r>
    </w:p>
    <w:p>
      <w:pPr>
        <w:pStyle w:val="33"/>
        <w:widowControl/>
        <w:spacing w:beforeAutospacing="0" w:afterAutospacing="0" w:line="360" w:lineRule="auto"/>
        <w:ind w:firstLine="422" w:firstLineChars="200"/>
        <w:rPr>
          <w:rFonts w:hint="eastAsia" w:ascii="宋体" w:hAnsi="宋体" w:cs="宋体"/>
          <w:color w:val="000000" w:themeColor="text1"/>
          <w:sz w:val="21"/>
          <w:szCs w:val="21"/>
          <w:highlight w:val="none"/>
          <w14:textFill>
            <w14:solidFill>
              <w14:schemeClr w14:val="tx1"/>
            </w14:solidFill>
          </w14:textFill>
        </w:rPr>
      </w:pPr>
      <w:r>
        <w:rPr>
          <w:rStyle w:val="40"/>
          <w:rFonts w:hint="eastAsia" w:ascii="宋体" w:hAnsi="宋体" w:cs="宋体"/>
          <w:color w:val="000000" w:themeColor="text1"/>
          <w:sz w:val="21"/>
          <w:szCs w:val="21"/>
          <w:highlight w:val="none"/>
          <w14:textFill>
            <w14:solidFill>
              <w14:schemeClr w14:val="tx1"/>
            </w14:solidFill>
          </w14:textFill>
        </w:rPr>
        <w:t>二、申请人的资格要求：</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1.满足《中华人民共和国政府采购法》第二十二条规定；</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2.落实政府采购政策需满足的资格要求：无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3.本项目的特定资格要求：无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highlight w:val="none"/>
          <w14:textFill>
            <w14:solidFill>
              <w14:schemeClr w14:val="tx1"/>
            </w14:solidFill>
          </w14:textFill>
        </w:rPr>
      </w:pPr>
      <w:r>
        <w:rPr>
          <w:rStyle w:val="40"/>
          <w:rFonts w:hint="eastAsia" w:ascii="宋体" w:hAnsi="宋体" w:cs="宋体"/>
          <w:color w:val="000000" w:themeColor="text1"/>
          <w:sz w:val="21"/>
          <w:szCs w:val="21"/>
          <w:highlight w:val="none"/>
          <w14:textFill>
            <w14:solidFill>
              <w14:schemeClr w14:val="tx1"/>
            </w14:solidFill>
          </w14:textFill>
        </w:rPr>
        <w:t>三、获取采购文件</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14:textFill>
            <w14:solidFill>
              <w14:schemeClr w14:val="tx1"/>
            </w14:solidFill>
          </w14:textFill>
        </w:rPr>
        <w:t>2025年</w:t>
      </w:r>
      <w:r>
        <w:rPr>
          <w:rFonts w:hint="eastAsia" w:ascii="宋体" w:hAnsi="宋体" w:cs="宋体"/>
          <w:color w:val="000000" w:themeColor="text1"/>
          <w:sz w:val="21"/>
          <w:szCs w:val="21"/>
          <w:highlight w:val="none"/>
          <w:lang w:val="en-US" w:eastAsia="zh-CN"/>
          <w14:textFill>
            <w14:solidFill>
              <w14:schemeClr w14:val="tx1"/>
            </w14:solidFill>
          </w14:textFill>
        </w:rPr>
        <w:t>08</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19</w:t>
      </w:r>
      <w:r>
        <w:rPr>
          <w:rFonts w:hint="eastAsia" w:ascii="宋体" w:hAnsi="宋体" w:cs="宋体"/>
          <w:color w:val="000000" w:themeColor="text1"/>
          <w:sz w:val="21"/>
          <w:szCs w:val="21"/>
          <w:highlight w:val="none"/>
          <w14:textFill>
            <w14:solidFill>
              <w14:schemeClr w14:val="tx1"/>
            </w14:solidFill>
          </w14:textFill>
        </w:rPr>
        <w:t>日2025年</w:t>
      </w:r>
      <w:r>
        <w:rPr>
          <w:rFonts w:hint="eastAsia" w:ascii="宋体" w:hAnsi="宋体" w:cs="宋体"/>
          <w:color w:val="000000" w:themeColor="text1"/>
          <w:sz w:val="21"/>
          <w:szCs w:val="21"/>
          <w:highlight w:val="none"/>
          <w:lang w:val="en-US" w:eastAsia="zh-CN"/>
          <w14:textFill>
            <w14:solidFill>
              <w14:schemeClr w14:val="tx1"/>
            </w14:solidFill>
          </w14:textFill>
        </w:rPr>
        <w:t>08</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22</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14:textFill>
            <w14:solidFill>
              <w14:schemeClr w14:val="tx1"/>
            </w14:solidFill>
          </w14:textFill>
        </w:rPr>
        <w:t>，每天上午00：00至11：59，下午12：00至23：59（北京时间，法定节假日除外）</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地点（网址）：广西政府采购云平台（https：//www.gcy.zfcg.gxzf.gov.cn/）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方式：本项目为全流程电子化项目，不发放纸质文件，供应商可自行在“广西政府采购云平台”（https：//www.gcy.zfcg.gxzf.gov.cn/）下载竞争性谈判文件，实名申请获取竞争性谈判文件，如在操作过程中遇到问题或者需要技术支持，请致电广西政府采购云平台客服热线：95763。供应商登陆“广西政府采购云平台”平台，应进行“申请获取竞争性谈判文件”操作，否则，有可能导致无法在线编制响应文件并参与竞标，其不利后果由供应商自行承担。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售价（元）：0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highlight w:val="none"/>
          <w14:textFill>
            <w14:solidFill>
              <w14:schemeClr w14:val="tx1"/>
            </w14:solidFill>
          </w14:textFill>
        </w:rPr>
      </w:pPr>
      <w:r>
        <w:rPr>
          <w:rStyle w:val="40"/>
          <w:rFonts w:hint="eastAsia" w:ascii="宋体" w:hAnsi="宋体" w:cs="宋体"/>
          <w:color w:val="000000" w:themeColor="text1"/>
          <w:sz w:val="21"/>
          <w:szCs w:val="21"/>
          <w:highlight w:val="none"/>
          <w14:textFill>
            <w14:solidFill>
              <w14:schemeClr w14:val="tx1"/>
            </w14:solidFill>
          </w14:textFill>
        </w:rPr>
        <w:t>四、响应文件提交</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截止时间：2025年</w:t>
      </w:r>
      <w:r>
        <w:rPr>
          <w:rFonts w:hint="eastAsia" w:ascii="宋体" w:hAnsi="宋体" w:cs="宋体"/>
          <w:color w:val="000000" w:themeColor="text1"/>
          <w:sz w:val="21"/>
          <w:szCs w:val="21"/>
          <w:highlight w:val="none"/>
          <w:lang w:val="en-US" w:eastAsia="zh-CN"/>
          <w14:textFill>
            <w14:solidFill>
              <w14:schemeClr w14:val="tx1"/>
            </w14:solidFill>
          </w14:textFill>
        </w:rPr>
        <w:t>08</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eastAsia="zh-CN"/>
          <w14:textFill>
            <w14:solidFill>
              <w14:schemeClr w14:val="tx1"/>
            </w14:solidFill>
          </w14:textFill>
        </w:rPr>
        <w:t>15：00</w:t>
      </w:r>
      <w:r>
        <w:rPr>
          <w:rFonts w:hint="eastAsia" w:ascii="宋体" w:hAnsi="宋体" w:cs="宋体"/>
          <w:color w:val="000000" w:themeColor="text1"/>
          <w:sz w:val="21"/>
          <w:szCs w:val="21"/>
          <w:highlight w:val="none"/>
          <w14:textFill>
            <w14:solidFill>
              <w14:schemeClr w14:val="tx1"/>
            </w14:solidFill>
          </w14:textFill>
        </w:rPr>
        <w:t>（北京时间）</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地点（网址）：请登录广西政府采购云平台投标客户端投标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highlight w:val="none"/>
          <w14:textFill>
            <w14:solidFill>
              <w14:schemeClr w14:val="tx1"/>
            </w14:solidFill>
          </w14:textFill>
        </w:rPr>
      </w:pPr>
      <w:r>
        <w:rPr>
          <w:rStyle w:val="40"/>
          <w:rFonts w:hint="eastAsia" w:ascii="宋体" w:hAnsi="宋体" w:cs="宋体"/>
          <w:color w:val="000000" w:themeColor="text1"/>
          <w:sz w:val="21"/>
          <w:szCs w:val="21"/>
          <w:highlight w:val="none"/>
          <w14:textFill>
            <w14:solidFill>
              <w14:schemeClr w14:val="tx1"/>
            </w14:solidFill>
          </w14:textFill>
        </w:rPr>
        <w:t>五、响应文件开启</w:t>
      </w:r>
      <w:r>
        <w:rPr>
          <w:rFonts w:hint="eastAsia" w:ascii="宋体" w:hAnsi="宋体" w:cs="宋体"/>
          <w:color w:val="000000" w:themeColor="text1"/>
          <w:sz w:val="21"/>
          <w:szCs w:val="21"/>
          <w:highlight w:val="none"/>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开启时间：2025年</w:t>
      </w:r>
      <w:r>
        <w:rPr>
          <w:rFonts w:hint="eastAsia" w:ascii="宋体" w:hAnsi="宋体" w:cs="宋体"/>
          <w:color w:val="000000" w:themeColor="text1"/>
          <w:sz w:val="21"/>
          <w:szCs w:val="21"/>
          <w:highlight w:val="none"/>
          <w:lang w:val="en-US" w:eastAsia="zh-CN"/>
          <w14:textFill>
            <w14:solidFill>
              <w14:schemeClr w14:val="tx1"/>
            </w14:solidFill>
          </w14:textFill>
        </w:rPr>
        <w:t>08</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eastAsia="zh-CN"/>
          <w14:textFill>
            <w14:solidFill>
              <w14:schemeClr w14:val="tx1"/>
            </w14:solidFill>
          </w14:textFill>
        </w:rPr>
        <w:t>15：00</w:t>
      </w:r>
      <w:r>
        <w:rPr>
          <w:rFonts w:hint="eastAsia" w:ascii="宋体" w:hAnsi="宋体" w:cs="宋体"/>
          <w:color w:val="000000" w:themeColor="text1"/>
          <w:sz w:val="21"/>
          <w:szCs w:val="21"/>
          <w:highlight w:val="none"/>
          <w14:textFill>
            <w14:solidFill>
              <w14:schemeClr w14:val="tx1"/>
            </w14:solidFill>
          </w14:textFill>
        </w:rPr>
        <w:t>（北京时间）</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地点：广西政府采购云平台（https：//www.gcy.zfcg.gxzf.gov.cn/） </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highlight w:val="none"/>
          <w14:textFill>
            <w14:solidFill>
              <w14:schemeClr w14:val="tx1"/>
            </w14:solidFill>
          </w14:textFill>
        </w:rPr>
      </w:pPr>
      <w:r>
        <w:rPr>
          <w:rStyle w:val="40"/>
          <w:rFonts w:hint="eastAsia" w:ascii="宋体" w:hAnsi="宋体" w:cs="宋体"/>
          <w:color w:val="000000" w:themeColor="text1"/>
          <w:sz w:val="21"/>
          <w:szCs w:val="21"/>
          <w:highlight w:val="none"/>
          <w14:textFill>
            <w14:solidFill>
              <w14:schemeClr w14:val="tx1"/>
            </w14:solidFill>
          </w14:textFill>
        </w:rPr>
        <w:t>六、公告期限</w:t>
      </w:r>
      <w:r>
        <w:rPr>
          <w:rFonts w:hint="eastAsia" w:ascii="宋体" w:hAnsi="宋体" w:cs="宋体"/>
          <w:color w:val="000000" w:themeColor="text1"/>
          <w:sz w:val="21"/>
          <w:szCs w:val="21"/>
          <w:highlight w:val="none"/>
          <w14:textFill>
            <w14:solidFill>
              <w14:schemeClr w14:val="tx1"/>
            </w14:solidFill>
          </w14:textFill>
        </w:rPr>
        <w:t>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自本公告发布之日起3个工作日。</w:t>
      </w:r>
    </w:p>
    <w:p>
      <w:pPr>
        <w:pStyle w:val="33"/>
        <w:widowControl/>
        <w:spacing w:beforeAutospacing="0" w:afterAutospacing="0" w:line="360" w:lineRule="auto"/>
        <w:ind w:firstLine="422" w:firstLineChars="200"/>
        <w:jc w:val="both"/>
        <w:rPr>
          <w:rFonts w:hint="eastAsia" w:ascii="宋体" w:hAnsi="宋体" w:cs="宋体"/>
          <w:color w:val="000000" w:themeColor="text1"/>
          <w:sz w:val="21"/>
          <w:szCs w:val="21"/>
          <w:highlight w:val="none"/>
          <w14:textFill>
            <w14:solidFill>
              <w14:schemeClr w14:val="tx1"/>
            </w14:solidFill>
          </w14:textFill>
        </w:rPr>
      </w:pPr>
      <w:r>
        <w:rPr>
          <w:rStyle w:val="40"/>
          <w:rFonts w:hint="eastAsia" w:ascii="宋体" w:hAnsi="宋体" w:cs="宋体"/>
          <w:color w:val="000000" w:themeColor="text1"/>
          <w:sz w:val="21"/>
          <w:szCs w:val="21"/>
          <w:highlight w:val="none"/>
          <w14:textFill>
            <w14:solidFill>
              <w14:schemeClr w14:val="tx1"/>
            </w14:solidFill>
          </w14:textFill>
        </w:rPr>
        <w:t>七、其他补充事宜</w:t>
      </w:r>
      <w:r>
        <w:rPr>
          <w:rFonts w:hint="eastAsia" w:ascii="宋体" w:hAnsi="宋体" w:cs="宋体"/>
          <w:color w:val="000000" w:themeColor="text1"/>
          <w:sz w:val="21"/>
          <w:szCs w:val="21"/>
          <w:highlight w:val="none"/>
          <w14:textFill>
            <w14:solidFill>
              <w14:schemeClr w14:val="tx1"/>
            </w14:solidFill>
          </w14:textFill>
        </w:rPr>
        <w:t> </w:t>
      </w:r>
    </w:p>
    <w:p>
      <w:pPr>
        <w:spacing w:line="360" w:lineRule="auto"/>
        <w:ind w:firstLine="420"/>
        <w:jc w:val="left"/>
        <w:rPr>
          <w:rFonts w:hint="eastAsia" w:hAnsi="宋体"/>
          <w:color w:val="000000" w:themeColor="text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（1）竞标保证金：</w:t>
      </w:r>
      <w:r>
        <w:rPr>
          <w:rFonts w:hint="eastAsia" w:hAnsi="宋体"/>
          <w:color w:val="000000" w:themeColor="text1"/>
          <w:highlight w:val="none"/>
          <w14:textFill>
            <w14:solidFill>
              <w14:schemeClr w14:val="tx1"/>
            </w14:solidFill>
          </w14:textFill>
        </w:rPr>
        <w:t>人民币肆仟元整（¥4000.00）；</w:t>
      </w:r>
    </w:p>
    <w:p>
      <w:pPr>
        <w:spacing w:line="360" w:lineRule="auto"/>
        <w:ind w:firstLine="420"/>
        <w:jc w:val="left"/>
        <w:rPr>
          <w:rFonts w:hint="eastAsia" w:ascii="宋体" w:hAnsi="宋体" w:cs="仿宋"/>
          <w:bCs/>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保证金的交纳方式：银行转账、支票、汇票、本票或者金融机构、担保机构出具的保险、保函（含电子保函，下同）等，禁止采用现钞方式。采用银行转账方式的，在响应文件提交截止时间前交至采购代理机构指定账户并且到账【开户银行：上海浦东发展银行股份有限公司柳州分行营业部，开户名称：广西银泰工程管理有限公司柳州分公司，银行账号：5501 0078 8011 0000 2683】</w:t>
      </w:r>
      <w:r>
        <w:rPr>
          <w:rFonts w:hint="eastAsia" w:ascii="宋体" w:hAnsi="宋体" w:cs="仿宋"/>
          <w:bCs/>
          <w:color w:val="000000" w:themeColor="text1"/>
          <w:szCs w:val="21"/>
          <w:highlight w:val="none"/>
          <w14:textFill>
            <w14:solidFill>
              <w14:schemeClr w14:val="tx1"/>
            </w14:solidFill>
          </w14:textFill>
        </w:rPr>
        <w:t>。</w:t>
      </w:r>
    </w:p>
    <w:p>
      <w:pPr>
        <w:spacing w:line="360" w:lineRule="auto"/>
        <w:ind w:firstLine="420"/>
        <w:jc w:val="left"/>
        <w:rPr>
          <w:rFonts w:hint="eastAsia"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2）本项目为全流程电子化采购项目，通过广西政府采购云平台（https：//www.zcygov.cn）实行在线电子竞标，供应商应先安装“广西政府采购云电子交易客户端”（请自行前往广西政府采购云平台进行下载），并按照本项目竞争性竞标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bookmarkStart w:id="39" w:name="_GoBack"/>
      <w:bookmarkEnd w:id="39"/>
    </w:p>
    <w:p>
      <w:pPr>
        <w:spacing w:line="360" w:lineRule="auto"/>
        <w:ind w:firstLine="420"/>
        <w:jc w:val="left"/>
        <w:rPr>
          <w:rFonts w:hint="eastAsia"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3）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pPr>
        <w:spacing w:line="360" w:lineRule="auto"/>
        <w:ind w:firstLine="420"/>
        <w:jc w:val="left"/>
        <w:rPr>
          <w:rFonts w:hint="eastAsia"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（4）CA证书在线解密：首次响应文件开启时，需携带制作响应文件时用来加密的有效数字证书（CA认证）登录广西政府采购云平台电子开标大厅现场按规定时间对加密的响应文件进行解密，否则后果自负。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jc w:val="left"/>
        <w:rPr>
          <w:rFonts w:hint="eastAsia"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注：1）为确保网上操作合法、有效和安全，请供应商确保在电子竞标过程中能够对相关数据电文进行加密和使用电子公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jc w:val="left"/>
        <w:rPr>
          <w:rFonts w:hint="eastAsia"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（5）供应商需要在具备有摄像头及语音功能且互联网网络状况良好的电脑登录广西政府采购云平台远程开标大厅参与本次竞标，否则后果自负。</w:t>
      </w:r>
    </w:p>
    <w:p>
      <w:pPr>
        <w:spacing w:line="360" w:lineRule="auto"/>
        <w:ind w:firstLine="420"/>
        <w:jc w:val="left"/>
        <w:rPr>
          <w:rFonts w:hint="eastAsia"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2.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pPr>
        <w:spacing w:line="360" w:lineRule="auto"/>
        <w:ind w:firstLine="420"/>
        <w:rPr>
          <w:rFonts w:hint="eastAsia"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3.网上查询地址：www.ccgp.gov.cn（中国政府采购网）、zfcg.gxzf.gov.cn（广西壮族自治区政府采购网）。</w:t>
      </w:r>
    </w:p>
    <w:p>
      <w:pPr>
        <w:spacing w:line="360" w:lineRule="auto"/>
        <w:ind w:firstLine="420"/>
        <w:rPr>
          <w:rFonts w:hint="eastAsia"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4.</w:t>
      </w:r>
      <w:r>
        <w:rPr>
          <w:rFonts w:hint="eastAsia" w:ascii="宋体" w:hAnsi="宋体" w:cs="仿宋"/>
          <w:color w:val="000000" w:themeColor="text1"/>
          <w:kern w:val="0"/>
          <w:szCs w:val="21"/>
          <w:highlight w:val="none"/>
          <w14:textFill>
            <w14:solidFill>
              <w14:schemeClr w14:val="tx1"/>
            </w14:solidFill>
          </w14:textFill>
        </w:rPr>
        <w:t>本项目需要落实的政府采购政策：（1）政府采购促进中小企业发展；（2）政府采购支持采用本国产品的政策；（3）本项目为服务项目，采购内容不涉及政府强制采购节能产品；（4）政府采购促进残疾人就业政策；（5）政府采购支持监狱企业发展。</w:t>
      </w:r>
    </w:p>
    <w:p>
      <w:pPr>
        <w:pStyle w:val="33"/>
        <w:widowControl/>
        <w:spacing w:beforeAutospacing="0" w:afterAutospacing="0" w:line="360" w:lineRule="auto"/>
        <w:ind w:firstLine="422" w:firstLineChars="200"/>
        <w:rPr>
          <w:rFonts w:hint="eastAsia" w:ascii="宋体" w:hAnsi="宋体" w:cs="宋体"/>
          <w:color w:val="000000" w:themeColor="text1"/>
          <w:sz w:val="21"/>
          <w:szCs w:val="21"/>
          <w:highlight w:val="none"/>
          <w14:textFill>
            <w14:solidFill>
              <w14:schemeClr w14:val="tx1"/>
            </w14:solidFill>
          </w14:textFill>
        </w:rPr>
      </w:pPr>
      <w:r>
        <w:rPr>
          <w:rStyle w:val="40"/>
          <w:rFonts w:hint="eastAsia" w:ascii="宋体" w:hAnsi="宋体" w:cs="宋体"/>
          <w:color w:val="000000" w:themeColor="text1"/>
          <w:sz w:val="21"/>
          <w:szCs w:val="21"/>
          <w:highlight w:val="none"/>
          <w14:textFill>
            <w14:solidFill>
              <w14:schemeClr w14:val="tx1"/>
            </w14:solidFill>
          </w14:textFill>
        </w:rPr>
        <w:t>八、凡对本次招标提出询问，请按以下方式联系</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1.采购人信息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名称：广西科技大学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地址：柳州市城中区文昌路2号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项目联系人：邹玉玲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项目联系方式：0772-2685509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2.采购代理机构信息</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名称：广西银泰工程管理有限公司</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地址：广西柳州市东环大道168号翡翠龙庭12栋3-17</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项目联系人：刘国亮</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刘洁</w:t>
      </w:r>
      <w:r>
        <w:rPr>
          <w:rFonts w:hint="eastAsia" w:ascii="宋体" w:hAnsi="宋体" w:cs="宋体"/>
          <w:color w:val="000000" w:themeColor="text1"/>
          <w:sz w:val="21"/>
          <w:szCs w:val="21"/>
          <w:highlight w:val="none"/>
          <w14:textFill>
            <w14:solidFill>
              <w14:schemeClr w14:val="tx1"/>
            </w14:solidFill>
          </w14:textFill>
        </w:rPr>
        <w:t xml:space="preserve"> </w:t>
      </w:r>
    </w:p>
    <w:p>
      <w:pPr>
        <w:pStyle w:val="33"/>
        <w:widowControl/>
        <w:spacing w:beforeAutospacing="0" w:afterAutospacing="0"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项目联系方式：0772-2813184</w:t>
      </w:r>
    </w:p>
    <w:p>
      <w:pPr>
        <w:pStyle w:val="33"/>
        <w:widowControl/>
        <w:spacing w:beforeAutospacing="0" w:afterAutospacing="0" w:line="360" w:lineRule="auto"/>
        <w:ind w:firstLine="63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p>
      <w:pPr>
        <w:spacing w:line="360" w:lineRule="exact"/>
        <w:jc w:val="center"/>
        <w:outlineLvl w:val="0"/>
        <w:rPr>
          <w:rFonts w:hint="eastAsia" w:ascii="宋体" w:hAnsi="宋体"/>
          <w:b/>
          <w:bCs/>
          <w:color w:val="000000" w:themeColor="text1"/>
          <w:sz w:val="32"/>
          <w:szCs w:val="32"/>
          <w:highlight w:val="none"/>
          <w14:textFill>
            <w14:solidFill>
              <w14:schemeClr w14:val="tx1"/>
            </w14:solidFill>
          </w14:textFill>
        </w:rPr>
        <w:sectPr>
          <w:footerReference r:id="rId7" w:type="default"/>
          <w:pgSz w:w="11906" w:h="16838"/>
          <w:pgMar w:top="1134" w:right="1134" w:bottom="1134" w:left="1134" w:header="720" w:footer="720" w:gutter="0"/>
          <w:pgNumType w:start="1"/>
          <w:cols w:space="0" w:num="1"/>
          <w:docGrid w:type="lines" w:linePitch="312" w:charSpace="0"/>
        </w:sectPr>
      </w:pPr>
    </w:p>
    <w:p>
      <w:pPr>
        <w:spacing w:line="360" w:lineRule="exact"/>
        <w:jc w:val="center"/>
        <w:outlineLvl w:val="0"/>
        <w:rPr>
          <w:rFonts w:hint="eastAsia" w:ascii="宋体" w:hAnsi="宋体"/>
          <w:b/>
          <w:bCs/>
          <w:color w:val="000000" w:themeColor="text1"/>
          <w:sz w:val="32"/>
          <w:szCs w:val="32"/>
          <w:highlight w:val="none"/>
          <w14:textFill>
            <w14:solidFill>
              <w14:schemeClr w14:val="tx1"/>
            </w14:solidFill>
          </w14:textFill>
        </w:rPr>
      </w:pPr>
      <w:bookmarkStart w:id="1" w:name="_Toc6030"/>
      <w:r>
        <w:rPr>
          <w:rFonts w:hint="eastAsia" w:ascii="宋体" w:hAnsi="宋体"/>
          <w:b/>
          <w:bCs/>
          <w:color w:val="000000" w:themeColor="text1"/>
          <w:sz w:val="32"/>
          <w:szCs w:val="32"/>
          <w:highlight w:val="none"/>
          <w14:textFill>
            <w14:solidFill>
              <w14:schemeClr w14:val="tx1"/>
            </w14:solidFill>
          </w14:textFill>
        </w:rPr>
        <w:t>第二章 供应商须知</w:t>
      </w:r>
      <w:bookmarkEnd w:id="1"/>
    </w:p>
    <w:tbl>
      <w:tblPr>
        <w:tblStyle w:val="37"/>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25"/>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8038"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8038" w:type="dxa"/>
            <w:vAlign w:val="center"/>
          </w:tcPr>
          <w:p>
            <w:pPr>
              <w:pStyle w:val="20"/>
              <w:spacing w:line="360" w:lineRule="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2"/>
                <w:highlight w:val="none"/>
                <w14:textFill>
                  <w14:solidFill>
                    <w14:schemeClr w14:val="tx1"/>
                  </w14:solidFill>
                </w14:textFill>
              </w:rPr>
              <w:t>供应商资格要求：详见谈判公告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8038" w:type="dxa"/>
            <w:vAlign w:val="center"/>
          </w:tcPr>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竞标保证金金额：应按第一章“竞争性谈判公告”规定交纳，</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竞标保证金应在竞标有效期内保持有效。</w:t>
            </w:r>
          </w:p>
          <w:p>
            <w:pPr>
              <w:snapToGrid w:val="0"/>
              <w:spacing w:line="360" w:lineRule="auto"/>
              <w:rPr>
                <w:rFonts w:hint="eastAsia" w:hAnsi="宋体" w:cs="Arial"/>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竞标保证金交纳方式：</w:t>
            </w:r>
            <w:r>
              <w:rPr>
                <w:rFonts w:hint="eastAsia" w:hAnsi="宋体" w:cs="Arial"/>
                <w:color w:val="000000" w:themeColor="text1"/>
                <w:highlight w:val="none"/>
                <w14:textFill>
                  <w14:solidFill>
                    <w14:schemeClr w14:val="tx1"/>
                  </w14:solidFill>
                </w14:textFill>
              </w:rPr>
              <w:t>银行转账、支票、汇票、本票或者金融机构、担保机构出具的保函</w:t>
            </w:r>
            <w:r>
              <w:rPr>
                <w:rFonts w:hint="eastAsia" w:ascii="宋体" w:hAnsi="宋体"/>
                <w:color w:val="000000" w:themeColor="text1"/>
                <w:szCs w:val="21"/>
                <w:highlight w:val="none"/>
                <w14:textFill>
                  <w14:solidFill>
                    <w14:schemeClr w14:val="tx1"/>
                  </w14:solidFill>
                </w14:textFill>
              </w:rPr>
              <w:t>（含电子保函，下同）</w:t>
            </w:r>
            <w:r>
              <w:rPr>
                <w:rFonts w:hint="eastAsia" w:hAnsi="宋体" w:cs="Arial"/>
                <w:color w:val="000000" w:themeColor="text1"/>
                <w:highlight w:val="none"/>
                <w14:textFill>
                  <w14:solidFill>
                    <w14:schemeClr w14:val="tx1"/>
                  </w14:solidFill>
                </w14:textFill>
              </w:rPr>
              <w:t>、保险，禁止采用现钞交纳方式。</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竞标保证金交纳截止时间：首次响应文件提交截止时间前。</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相关要求：</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竞标保证金采用银行转账交纳方式的，在响应文件提交截止时间前交至采购代理机构指定账户并且到账，供应商应将银行转账底单的复印件作为竞标保证金交纳证明，放置于报价商务技术文件中，</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2.竞标保证金采用支票、汇票、本票或者金融机构、担保机构出具的保函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交纳方式的，供应商应将支票、汇票、本票或者金融机构、担保机构出具的保函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的复印件作为竞标保证金交纳证明，放置于</w:t>
            </w:r>
            <w:r>
              <w:rPr>
                <w:rFonts w:hint="eastAsia" w:ascii="宋体" w:hAnsi="宋体" w:cs="宋体"/>
                <w:color w:val="000000" w:themeColor="text1"/>
                <w:szCs w:val="21"/>
                <w:highlight w:val="none"/>
                <w14:textFill>
                  <w14:solidFill>
                    <w14:schemeClr w14:val="tx1"/>
                  </w14:solidFill>
                </w14:textFill>
              </w:rPr>
              <w:t>报价商务技术文件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。供应商必须于递交响应文件时将支票、汇票、本票或者金融机构、担保机构出具的保函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原件提交给采购人或者采购代理机构</w:t>
            </w:r>
            <w:r>
              <w:rPr>
                <w:rFonts w:hint="eastAsia" w:ascii="宋体" w:hAnsi="宋体"/>
                <w:color w:val="000000" w:themeColor="text1"/>
                <w:highlight w:val="none"/>
                <w14:textFill>
                  <w14:solidFill>
                    <w14:schemeClr w14:val="tx1"/>
                  </w14:solidFill>
                </w14:textFill>
              </w:rPr>
              <w:t>[提交地点：</w:t>
            </w:r>
            <w:r>
              <w:rPr>
                <w:rFonts w:hint="eastAsia" w:ascii="宋体" w:hAnsi="宋体"/>
                <w:color w:val="000000" w:themeColor="text1"/>
                <w:szCs w:val="21"/>
                <w:highlight w:val="none"/>
                <w14:textFill>
                  <w14:solidFill>
                    <w14:schemeClr w14:val="tx1"/>
                  </w14:solidFill>
                </w14:textFill>
              </w:rPr>
              <w:t>柳州市龙湖路13号柳州市民服务中心北楼4楼）对应开标室，</w:t>
            </w:r>
            <w:r>
              <w:rPr>
                <w:rFonts w:hint="eastAsia" w:hAnsi="宋体"/>
                <w:color w:val="000000" w:themeColor="text1"/>
                <w:highlight w:val="none"/>
                <w14:textFill>
                  <w14:solidFill>
                    <w14:schemeClr w14:val="tx1"/>
                  </w14:solidFill>
                </w14:textFill>
              </w:rPr>
              <w:t>采用电子保函方式交纳竞标保证金的，不需提交</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，由采购人或者采购代理机构向供应商出具回执，并妥善保管。</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3.供应商为联合体的，可以由联合体中的一方或者多方共同交纳竞标保证金，其交纳的保证金对联合体各方均具有约束力。</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1.竞标保证金在响应文件提交截止时间后提交的，或者不按规定交纳方式交纳的，或者未足额交纳的（包含保函、保险额度不足的），视为无效竞标保证金。</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2.供应商采用现钞方式或者从个人账户（自然人竞标除外）转出的竞标保证金，视为无效竞标保证金。</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3.支票、汇票或者本票出现无效或者背书情形的，视为无效竞标保证金。</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4.保函、保险有效期低于竞标有效期的，视为无效竞标保证金。</w:t>
            </w:r>
          </w:p>
          <w:p>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5.采用金融机构、担保机构出具保函、保险的，必须为无条</w:t>
            </w:r>
            <w:r>
              <w:rPr>
                <w:rFonts w:hint="eastAsia" w:ascii="宋体" w:hAnsi="宋体" w:cs="宋体"/>
                <w:b/>
                <w:color w:val="000000" w:themeColor="text1"/>
                <w:szCs w:val="21"/>
                <w:highlight w:val="none"/>
                <w14:textFill>
                  <w14:solidFill>
                    <w14:schemeClr w14:val="tx1"/>
                  </w14:solidFill>
                </w14:textFill>
              </w:rPr>
              <w:t>件保函</w:t>
            </w:r>
            <w:r>
              <w:rPr>
                <w:rFonts w:hint="eastAsia" w:ascii="宋体" w:hAnsi="宋体"/>
                <w:b/>
                <w:color w:val="000000" w:themeColor="text1"/>
                <w:szCs w:val="21"/>
                <w:highlight w:val="none"/>
                <w14:textFill>
                  <w14:solidFill>
                    <w14:schemeClr w14:val="tx1"/>
                  </w14:solidFill>
                </w14:textFill>
              </w:rPr>
              <w:t>、保险</w:t>
            </w:r>
            <w:r>
              <w:rPr>
                <w:rFonts w:hint="eastAsia" w:ascii="宋体" w:hAnsi="宋体" w:cs="宋体"/>
                <w:b/>
                <w:color w:val="000000" w:themeColor="text1"/>
                <w:szCs w:val="21"/>
                <w:highlight w:val="none"/>
                <w14:textFill>
                  <w14:solidFill>
                    <w14:schemeClr w14:val="tx1"/>
                  </w14:solidFill>
                </w14:textFill>
              </w:rPr>
              <w:t>，否则视为无效竞标保证金。</w:t>
            </w:r>
          </w:p>
          <w:p>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采用竞标保证保险的，保单确定的受益人（本项目采购人）的权益应与采用银行保函形式同等，否则视为无效竞标保证金。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8038" w:type="dxa"/>
            <w:vAlign w:val="center"/>
          </w:tcPr>
          <w:p>
            <w:pPr>
              <w:spacing w:line="360" w:lineRule="auto"/>
              <w:rPr>
                <w:rFonts w:ascii="宋体" w:hAnsi="Calibri" w:cs="宋体"/>
                <w:color w:val="000000" w:themeColor="text1"/>
                <w:kern w:val="0"/>
                <w:szCs w:val="21"/>
                <w:highlight w:val="none"/>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联合体竞标：</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接受联合体竞标。</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8038" w:type="dxa"/>
            <w:vAlign w:val="center"/>
          </w:tcPr>
          <w:p>
            <w:pPr>
              <w:spacing w:line="360" w:lineRule="auto"/>
              <w:rPr>
                <w:rFonts w:ascii="宋体" w:hAnsi="Calibri" w:cs="宋体"/>
                <w:color w:val="000000" w:themeColor="text1"/>
                <w:kern w:val="0"/>
                <w:szCs w:val="21"/>
                <w:highlight w:val="none"/>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是否允许分包：</w:t>
            </w:r>
          </w:p>
          <w:p>
            <w:pPr>
              <w:spacing w:line="360" w:lineRule="auto"/>
              <w:rPr>
                <w:rFonts w:ascii="宋体" w:hAnsi="Calibri" w:cs="宋体"/>
                <w:color w:val="000000" w:themeColor="text1"/>
                <w:kern w:val="0"/>
                <w:szCs w:val="21"/>
                <w:highlight w:val="none"/>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☑不允许分包</w:t>
            </w:r>
          </w:p>
          <w:p>
            <w:pPr>
              <w:spacing w:line="360" w:lineRule="auto"/>
              <w:rPr>
                <w:rFonts w:ascii="宋体" w:hAnsi="Calibri" w:cs="宋体"/>
                <w:color w:val="000000" w:themeColor="text1"/>
                <w:kern w:val="0"/>
                <w:szCs w:val="21"/>
                <w:highlight w:val="none"/>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□允许分包</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分包内容：</w:t>
            </w:r>
            <w:r>
              <w:rPr>
                <w:rFonts w:hint="eastAsia" w:ascii="宋体" w:hAnsi="Calibri" w:cs="宋体"/>
                <w:color w:val="000000" w:themeColor="text1"/>
                <w:kern w:val="0"/>
                <w:szCs w:val="21"/>
                <w:highlight w:val="none"/>
                <w:u w:val="single"/>
                <w14:textFill>
                  <w14:solidFill>
                    <w14:schemeClr w14:val="tx1"/>
                  </w14:solidFill>
                </w14:textFill>
              </w:rPr>
              <w:t xml:space="preserve">                       </w:t>
            </w:r>
            <w:r>
              <w:rPr>
                <w:rFonts w:hint="eastAsia" w:ascii="宋体" w:hAnsi="Calibri"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8038" w:type="dxa"/>
            <w:vAlign w:val="center"/>
          </w:tcPr>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响应文件有效期：提交首次响应文件截止之日起120天内。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w:t>
            </w:r>
          </w:p>
        </w:tc>
        <w:tc>
          <w:tcPr>
            <w:tcW w:w="8038" w:type="dxa"/>
            <w:vAlign w:val="center"/>
          </w:tcPr>
          <w:p>
            <w:pPr>
              <w:pStyle w:val="20"/>
              <w:spacing w:line="360" w:lineRule="auto"/>
              <w:rPr>
                <w:rFonts w:hint="eastAsia" w:hAnsi="宋体"/>
                <w:b/>
                <w:color w:val="000000" w:themeColor="text1"/>
                <w:sz w:val="21"/>
                <w:szCs w:val="21"/>
                <w:highlight w:val="none"/>
                <w14:textFill>
                  <w14:solidFill>
                    <w14:schemeClr w14:val="tx1"/>
                  </w14:solidFill>
                </w14:textFill>
              </w:rPr>
            </w:pPr>
            <w:r>
              <w:rPr>
                <w:rFonts w:hint="eastAsia" w:hAnsi="宋体" w:cs="Adobe 宋体 Std L"/>
                <w:b/>
                <w:bCs/>
                <w:color w:val="000000" w:themeColor="text1"/>
                <w:szCs w:val="21"/>
                <w:highlight w:val="none"/>
                <w14:textFill>
                  <w14:solidFill>
                    <w14:schemeClr w14:val="tx1"/>
                  </w14:solidFill>
                </w14:textFill>
              </w:rPr>
              <w:t>资格证明文件</w:t>
            </w:r>
            <w:r>
              <w:rPr>
                <w:rFonts w:hint="eastAsia" w:hAnsi="宋体" w:cs="宋体"/>
                <w:b/>
                <w:color w:val="000000" w:themeColor="text1"/>
                <w:szCs w:val="21"/>
                <w:highlight w:val="none"/>
                <w14:textFill>
                  <w14:solidFill>
                    <w14:schemeClr w14:val="tx1"/>
                  </w14:solidFill>
                </w14:textFill>
              </w:rPr>
              <w:t>【下列第1至5项必须提供</w:t>
            </w:r>
            <w:r>
              <w:rPr>
                <w:rFonts w:hint="eastAsia" w:hAnsi="宋体" w:cs="Courier New"/>
                <w:b/>
                <w:color w:val="000000" w:themeColor="text1"/>
                <w:highlight w:val="none"/>
                <w14:textFill>
                  <w14:solidFill>
                    <w14:schemeClr w14:val="tx1"/>
                  </w14:solidFill>
                </w14:textFill>
              </w:rPr>
              <w:t>（注明不须提供的情形除外）</w:t>
            </w:r>
            <w:r>
              <w:rPr>
                <w:rFonts w:hint="eastAsia" w:hAnsi="宋体" w:cs="宋体"/>
                <w:b/>
                <w:color w:val="000000" w:themeColor="text1"/>
                <w:szCs w:val="21"/>
                <w:highlight w:val="none"/>
                <w14:textFill>
                  <w14:solidFill>
                    <w14:schemeClr w14:val="tx1"/>
                  </w14:solidFill>
                </w14:textFill>
              </w:rPr>
              <w:t>，否则响应文件按竞标无效处理，其他如有请提供】</w:t>
            </w:r>
            <w:r>
              <w:rPr>
                <w:rFonts w:hint="eastAsia" w:hAnsi="宋体" w:cs="宋体"/>
                <w:color w:val="000000" w:themeColor="text1"/>
                <w:szCs w:val="21"/>
                <w:highlight w:val="none"/>
                <w14:textFill>
                  <w14:solidFill>
                    <w14:schemeClr w14:val="tx1"/>
                  </w14:solidFill>
                </w14:textFill>
              </w:rPr>
              <w:t>：</w:t>
            </w:r>
          </w:p>
          <w:p>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（1）谈判声明书(按第四章要求格式填写)；</w:t>
            </w:r>
          </w:p>
          <w:p>
            <w:pPr>
              <w:spacing w:line="360" w:lineRule="auto"/>
              <w:jc w:val="left"/>
              <w:rPr>
                <w:rFonts w:hint="eastAsia"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w:t>
            </w:r>
            <w:r>
              <w:rPr>
                <w:rFonts w:hint="eastAsia" w:hAnsi="宋体"/>
                <w:color w:val="000000" w:themeColor="text1"/>
                <w:szCs w:val="21"/>
                <w:highlight w:val="none"/>
                <w14:textFill>
                  <w14:solidFill>
                    <w14:schemeClr w14:val="tx1"/>
                  </w14:solidFill>
                </w14:textFill>
              </w:rPr>
              <w:t>合法的主体资格证明（如营业执照、事业单位法人证书、执业许可证、个体工商户营业执照、自然人身份证等）复印件</w:t>
            </w:r>
            <w:r>
              <w:rPr>
                <w:rFonts w:hint="eastAsia" w:ascii="宋体" w:hAnsi="宋体"/>
                <w:bCs/>
                <w:color w:val="000000" w:themeColor="text1"/>
                <w:szCs w:val="21"/>
                <w:highlight w:val="none"/>
                <w14:textFill>
                  <w14:solidFill>
                    <w14:schemeClr w14:val="tx1"/>
                  </w14:solidFill>
                </w14:textFill>
              </w:rPr>
              <w:t>；</w:t>
            </w:r>
          </w:p>
          <w:p>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政府采购供应商资格信用承诺函(按第四章要求格式填写)；</w:t>
            </w:r>
          </w:p>
          <w:p>
            <w:pPr>
              <w:spacing w:line="360" w:lineRule="auto"/>
              <w:jc w:val="lef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（4）参加政府采购活动前三年内在经营活动中没有重大违法记录和不良信用记录的书面声明书（格式自拟）； </w:t>
            </w:r>
          </w:p>
          <w:p>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（5）供应商直接控股、管理关系信息表(按第四章要求格式填写)；</w:t>
            </w:r>
          </w:p>
          <w:p>
            <w:pPr>
              <w:spacing w:line="360" w:lineRule="auto"/>
              <w:jc w:val="left"/>
              <w:rPr>
                <w:rFonts w:hint="eastAsia"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（6）联合体协议书（联合体投标时必须提供，否则投标无效）；</w:t>
            </w:r>
          </w:p>
          <w:p>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snapToGrid w:val="0"/>
              <w:spacing w:line="360" w:lineRule="auto"/>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1.以上文件均须法定代表人或被授权人在规定签章处签字（或者电子签名或者加盖电子印章）并加盖单位电子公章，否则作竞标无效处理。</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2.以上文件属于复印件的，必须加盖供应商电子公章，否则作竞标无效处理。</w:t>
            </w:r>
          </w:p>
          <w:p>
            <w:pPr>
              <w:snapToGrid w:val="0"/>
              <w:spacing w:line="360" w:lineRule="auto"/>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3.分支机构竞标说明：</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供应商如为分支机构竞标的须提供其总公司主体资格证明（如营业执照、事业单位法人证书、执业许可证等）、竞标授权书及相关资质证书。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w:t>
            </w:r>
          </w:p>
        </w:tc>
        <w:tc>
          <w:tcPr>
            <w:tcW w:w="8038" w:type="dxa"/>
            <w:vAlign w:val="center"/>
          </w:tcPr>
          <w:p>
            <w:pPr>
              <w:spacing w:line="360" w:lineRule="auto"/>
              <w:rPr>
                <w:rFonts w:hint="eastAsia" w:ascii="宋体" w:hAnsi="宋体" w:cs="Adobe 宋体 Std L"/>
                <w:b/>
                <w:bCs/>
                <w:color w:val="000000" w:themeColor="text1"/>
                <w:szCs w:val="21"/>
                <w:highlight w:val="none"/>
                <w14:textFill>
                  <w14:solidFill>
                    <w14:schemeClr w14:val="tx1"/>
                  </w14:solidFill>
                </w14:textFill>
              </w:rPr>
            </w:pPr>
            <w:r>
              <w:rPr>
                <w:rFonts w:hint="eastAsia" w:ascii="宋体" w:hAnsi="宋体" w:cs="Adobe 宋体 Std L"/>
                <w:b/>
                <w:bCs/>
                <w:color w:val="000000" w:themeColor="text1"/>
                <w:szCs w:val="21"/>
                <w:highlight w:val="none"/>
                <w14:textFill>
                  <w14:solidFill>
                    <w14:schemeClr w14:val="tx1"/>
                  </w14:solidFill>
                </w14:textFill>
              </w:rPr>
              <w:t>商务和技术文件</w:t>
            </w:r>
            <w:r>
              <w:rPr>
                <w:rFonts w:hint="eastAsia" w:ascii="宋体" w:hAnsi="宋体" w:cs="宋体"/>
                <w:b/>
                <w:color w:val="000000" w:themeColor="text1"/>
                <w:szCs w:val="21"/>
                <w:highlight w:val="none"/>
                <w14:textFill>
                  <w14:solidFill>
                    <w14:schemeClr w14:val="tx1"/>
                  </w14:solidFill>
                </w14:textFill>
              </w:rPr>
              <w:t>【下列第1至8项必须提供，否则响应文件按竞标无效处理</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其他如有请提供】：</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（1）法定代表人身份证明书(按第四章要求格式填写)； </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（2）法定代表人授权委托书及被授权委托人身份证复印件(委托代理时，按第四章要求格式填写)；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（3）竞标保证金缴纳证明材料复印件（按第四章要求格式填写）；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（4）商务响应表(按第四章要求格式填写)；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（5）技术响应表(按第四章要求格式填写，附“第三章采购需求”中要求提供的相关材料)；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（6）设备配置清单；(按第四章要求格式填写)； </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（7）项目实施方案；(按第四章要求格式填写)；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（8）售后服务方案及承诺书(按第四章要求格式填写)；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（9）选配件、专用耗材、售后服务优惠表(按第四章要求格式填写)；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（10）供应商同类项目业绩一览表(按第四章要求格式填写)；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（11）供应商对本项目的合理化建议和改进措施（格式自拟）；</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（12）供应商认为需要提供的其他证明材料。（供应商根据“第三章 采购需求”及“第六章 评标方法及评标标准”提供有关证明材料）。</w:t>
            </w:r>
          </w:p>
          <w:p>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snapToGrid w:val="0"/>
              <w:spacing w:line="360" w:lineRule="auto"/>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1.以上文件均须法定代表人或被授权人在规定签章处签字（或者电子签名或者加盖电子印章）并加盖单位电子公章，否则作竞标无效处理。</w:t>
            </w:r>
          </w:p>
          <w:p>
            <w:pPr>
              <w:snapToGrid w:val="0"/>
              <w:spacing w:line="360" w:lineRule="auto"/>
              <w:ind w:firstLine="413"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w:t>
            </w:r>
          </w:p>
        </w:tc>
        <w:tc>
          <w:tcPr>
            <w:tcW w:w="8038" w:type="dxa"/>
            <w:vAlign w:val="center"/>
          </w:tcPr>
          <w:p>
            <w:pPr>
              <w:spacing w:line="360" w:lineRule="auto"/>
              <w:rPr>
                <w:rFonts w:hint="eastAsia" w:ascii="宋体" w:hAnsi="宋体" w:cs="Adobe 宋体 Std L"/>
                <w:b/>
                <w:bCs/>
                <w:color w:val="000000" w:themeColor="text1"/>
                <w:szCs w:val="21"/>
                <w:highlight w:val="none"/>
                <w14:textFill>
                  <w14:solidFill>
                    <w14:schemeClr w14:val="tx1"/>
                  </w14:solidFill>
                </w14:textFill>
              </w:rPr>
            </w:pPr>
            <w:r>
              <w:rPr>
                <w:rFonts w:hint="eastAsia" w:ascii="宋体" w:hAnsi="宋体" w:cs="Adobe 宋体 Std L"/>
                <w:b/>
                <w:bCs/>
                <w:color w:val="000000" w:themeColor="text1"/>
                <w:szCs w:val="21"/>
                <w:highlight w:val="none"/>
                <w14:textFill>
                  <w14:solidFill>
                    <w14:schemeClr w14:val="tx1"/>
                  </w14:solidFill>
                </w14:textFill>
              </w:rPr>
              <w:t>报价文件</w:t>
            </w:r>
            <w:r>
              <w:rPr>
                <w:rFonts w:hint="eastAsia" w:ascii="宋体" w:hAnsi="宋体" w:cs="宋体"/>
                <w:b/>
                <w:color w:val="000000" w:themeColor="text1"/>
                <w:szCs w:val="21"/>
                <w:highlight w:val="none"/>
                <w14:textFill>
                  <w14:solidFill>
                    <w14:schemeClr w14:val="tx1"/>
                  </w14:solidFill>
                </w14:textFill>
              </w:rPr>
              <w:t>【下列第1至2项必须提供，否则响应文件按竞标无效处理</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其他如有请提供】：</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（1）竞标函（按第四章要求格式填写）；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（2）报价表 (按第四章要求格式填写) ； </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（3）中小企业声明函（供应商如为中小微型企业的请按第四章要求的格式提供，否则不予享受优惠政策）；</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（4）监狱企业由省级以上监狱管理局、戒毒管理局（含新疆生产建设兵团）出具的属于监狱企业的证明文件；</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（5）残疾人福利性单位声明函（供应商如为残疾人福利性单位的请按第四章要求的格式提供，否则不予享受优惠政策）；</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（6）供应商针对报价需要说明的其他文件和说明（如有，格式自拟）</w:t>
            </w:r>
          </w:p>
          <w:p>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snapToGrid w:val="0"/>
              <w:spacing w:line="360" w:lineRule="auto"/>
              <w:ind w:firstLine="413" w:firstLineChars="196"/>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1.以上文件均须法定代表人或被授权人在规定签章处签字（或者电子签名或者加盖电子印章）并加盖单位电子公章，否则作竞标无效处理。</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34.6</w:t>
            </w:r>
          </w:p>
        </w:tc>
        <w:tc>
          <w:tcPr>
            <w:tcW w:w="8038" w:type="dxa"/>
            <w:vAlign w:val="center"/>
          </w:tcPr>
          <w:p>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MS Mincho" w:hAnsi="MS Mincho" w:cs="MS Mincho"/>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无履约保证金</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☑有履约保证金</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1．履约保证金金额：合同价款的5%，若成交供应商是中小企业，则履约保证金按合同价款的2%收取。</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2．履约保证金提交时间及方式：合同签订前 5日内，成交供应商必须以银行转账、支票、汇票、本票或者金融机构、担保机构出具的保险、保函（含电子保函）等非现金方式向采购人提交履约保证金。</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3．履约保证金退付条件及时间：自项目验收合格之日起至质保期满无质量问题，采购人收到退付履约保证金申请后15个工作日内退还(无息)。</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4．下列情况因履约保证金不能退还或另行处理，所产生的后果由成交供应商负责：</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（3）其他因成交供应商原因导致履约保证金无法按时退回的情形。</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履约保证金账户：</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全称：广西科技大学</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账号：20-112801040000305</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开户银行：中国农业银行柳州市祥兴支行</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转帐时注明：项目名称+项目编号</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1、成交供应商必须在签订合同前，按照规定提交方式，足额缴纳履约保证金。</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2、成交供应商未按规定缴纳履约保证金的，暂缓签订合同，责任由成交供应商承担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37.1</w:t>
            </w:r>
          </w:p>
        </w:tc>
        <w:tc>
          <w:tcPr>
            <w:tcW w:w="8038" w:type="dxa"/>
            <w:vAlign w:val="center"/>
          </w:tcPr>
          <w:p>
            <w:pPr>
              <w:spacing w:line="360" w:lineRule="auto"/>
              <w:rPr>
                <w:rFonts w:hint="eastAsia" w:hAnsi="宋体" w:cs="Arial"/>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理服务收费标准：1.本项目竞标应以人民币报价；2.不论竞标结果如何，供应商均应自行承担所有与竞标有关的全部费用；3.本项目的代理服务费按本须知第40.2款规定的（货物类）标准采用差额定率累进计费方式下浮10%计算（取整到元），由成交供应商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w:t>
            </w:r>
          </w:p>
        </w:tc>
        <w:tc>
          <w:tcPr>
            <w:tcW w:w="8038" w:type="dxa"/>
            <w:vAlign w:val="center"/>
          </w:tcPr>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8038" w:type="dxa"/>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pStyle w:val="20"/>
              <w:snapToGrid w:val="0"/>
              <w:spacing w:line="360" w:lineRule="auto"/>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质疑联系部门及联系方式：广西银泰工程管理有限公司项目部，</w:t>
            </w:r>
          </w:p>
          <w:p>
            <w:pPr>
              <w:pStyle w:val="20"/>
              <w:snapToGrid w:val="0"/>
              <w:spacing w:line="360" w:lineRule="auto"/>
              <w:rPr>
                <w:rFonts w:hint="eastAsia"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联系电话：0772-2813184，通讯地址：广西柳州市东环大道168号翡翠龙庭12栋3-17。</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业务时间：8时30分到12时00分，14时30分到</w:t>
            </w:r>
            <w:r>
              <w:rPr>
                <w:rFonts w:hAnsi="宋体" w:cs="宋体"/>
                <w:color w:val="000000" w:themeColor="text1"/>
                <w:highlight w:val="none"/>
                <w14:textFill>
                  <w14:solidFill>
                    <w14:schemeClr w14:val="tx1"/>
                  </w14:solidFill>
                </w14:textFill>
              </w:rPr>
              <w:t>18</w:t>
            </w:r>
            <w:r>
              <w:rPr>
                <w:rFonts w:hint="eastAsia" w:hAnsi="宋体" w:cs="宋体"/>
                <w:color w:val="000000" w:themeColor="text1"/>
                <w:highlight w:val="none"/>
                <w14:textFill>
                  <w14:solidFill>
                    <w14:schemeClr w14:val="tx1"/>
                  </w14:solidFill>
                </w14:textFill>
              </w:rPr>
              <w:t>时00分，</w:t>
            </w:r>
            <w:r>
              <w:rPr>
                <w:rFonts w:hint="eastAsia" w:hAnsi="宋体"/>
                <w:color w:val="000000" w:themeColor="text1"/>
                <w:highlight w:val="none"/>
                <w14:textFill>
                  <w14:solidFill>
                    <w14:schemeClr w14:val="tx1"/>
                  </w14:solidFill>
                </w14:textFill>
              </w:rPr>
              <w:t>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925" w:type="dxa"/>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8038" w:type="dxa"/>
            <w:vAlign w:val="center"/>
          </w:tcPr>
          <w:p>
            <w:pPr>
              <w:autoSpaceDE w:val="0"/>
              <w:autoSpaceDN w:val="0"/>
              <w:adjustRightIn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解释：</w:t>
            </w:r>
            <w:r>
              <w:rPr>
                <w:rFonts w:hAnsi="宋体"/>
                <w:color w:val="000000" w:themeColor="text1"/>
                <w:highlight w:val="none"/>
                <w14:textFill>
                  <w14:solidFill>
                    <w14:schemeClr w14:val="tx1"/>
                  </w14:solidFill>
                </w14:textFill>
              </w:rPr>
              <w:t>构成本</w:t>
            </w:r>
            <w:r>
              <w:rPr>
                <w:rFonts w:hint="eastAsia" w:hAnsi="宋体"/>
                <w:color w:val="000000" w:themeColor="text1"/>
                <w:highlight w:val="none"/>
                <w14:textFill>
                  <w14:solidFill>
                    <w14:schemeClr w14:val="tx1"/>
                  </w14:solidFill>
                </w14:textFill>
              </w:rPr>
              <w:t>竞争性谈判文件</w:t>
            </w:r>
            <w:r>
              <w:rPr>
                <w:rFonts w:hAnsi="宋体"/>
                <w:color w:val="000000" w:themeColor="text1"/>
                <w:highlight w:val="none"/>
                <w14:textFill>
                  <w14:solidFill>
                    <w14:schemeClr w14:val="tx1"/>
                  </w14:solidFill>
                </w14:textFill>
              </w:rPr>
              <w:t>的各个组成文件应互为解释，互为说明；除</w:t>
            </w:r>
            <w:r>
              <w:rPr>
                <w:rFonts w:hint="eastAsia" w:hAnsi="宋体"/>
                <w:color w:val="000000" w:themeColor="text1"/>
                <w:highlight w:val="none"/>
                <w14:textFill>
                  <w14:solidFill>
                    <w14:schemeClr w14:val="tx1"/>
                  </w14:solidFill>
                </w14:textFill>
              </w:rPr>
              <w:t>竞争性谈判文件</w:t>
            </w:r>
            <w:r>
              <w:rPr>
                <w:rFonts w:hAnsi="宋体"/>
                <w:color w:val="000000" w:themeColor="text1"/>
                <w:highlight w:val="none"/>
                <w14:textFill>
                  <w14:solidFill>
                    <w14:schemeClr w14:val="tx1"/>
                  </w14:solidFill>
                </w14:textFill>
              </w:rPr>
              <w:t>中有特别规定外，仅适用于</w:t>
            </w:r>
            <w:r>
              <w:rPr>
                <w:rFonts w:hint="eastAsia" w:hAnsi="宋体"/>
                <w:color w:val="000000" w:themeColor="text1"/>
                <w:highlight w:val="none"/>
                <w14:textFill>
                  <w14:solidFill>
                    <w14:schemeClr w14:val="tx1"/>
                  </w14:solidFill>
                </w14:textFill>
              </w:rPr>
              <w:t>竞标</w:t>
            </w:r>
            <w:r>
              <w:rPr>
                <w:rFonts w:hAnsi="宋体"/>
                <w:color w:val="000000" w:themeColor="text1"/>
                <w:highlight w:val="none"/>
                <w14:textFill>
                  <w14:solidFill>
                    <w14:schemeClr w14:val="tx1"/>
                  </w14:solidFill>
                </w14:textFill>
              </w:rPr>
              <w:t>阶段的规定，按</w:t>
            </w:r>
            <w:r>
              <w:rPr>
                <w:rFonts w:hint="eastAsia" w:hAnsi="宋体"/>
                <w:color w:val="000000" w:themeColor="text1"/>
                <w:highlight w:val="none"/>
                <w14:textFill>
                  <w14:solidFill>
                    <w14:schemeClr w14:val="tx1"/>
                  </w14:solidFill>
                </w14:textFill>
              </w:rPr>
              <w:t>更正公告（澄清公告）</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竞争性谈判</w:t>
            </w:r>
            <w:r>
              <w:rPr>
                <w:rFonts w:hAnsi="宋体"/>
                <w:color w:val="000000" w:themeColor="text1"/>
                <w:highlight w:val="none"/>
                <w14:textFill>
                  <w14:solidFill>
                    <w14:schemeClr w14:val="tx1"/>
                  </w14:solidFill>
                </w14:textFill>
              </w:rPr>
              <w:t>公告、</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须知</w:t>
            </w:r>
            <w:r>
              <w:rPr>
                <w:rFonts w:hint="eastAsia" w:hAnsi="宋体"/>
                <w:color w:val="000000" w:themeColor="text1"/>
                <w:highlight w:val="none"/>
                <w14:textFill>
                  <w14:solidFill>
                    <w14:schemeClr w14:val="tx1"/>
                  </w14:solidFill>
                </w14:textFill>
              </w:rPr>
              <w:t>、采购需求</w:t>
            </w:r>
            <w:r>
              <w:rPr>
                <w:rFonts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评审程序、评审方法和评审标准</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响应</w:t>
            </w:r>
            <w:r>
              <w:rPr>
                <w:rFonts w:hAnsi="宋体"/>
                <w:color w:val="000000" w:themeColor="text1"/>
                <w:highlight w:val="none"/>
                <w14:textFill>
                  <w14:solidFill>
                    <w14:schemeClr w14:val="tx1"/>
                  </w14:solidFill>
                </w14:textFill>
              </w:rPr>
              <w:t>文件格式</w:t>
            </w:r>
            <w:r>
              <w:rPr>
                <w:rFonts w:hint="eastAsia" w:hAnsi="宋体"/>
                <w:color w:val="000000" w:themeColor="text1"/>
                <w:highlight w:val="none"/>
                <w14:textFill>
                  <w14:solidFill>
                    <w14:schemeClr w14:val="tx1"/>
                  </w14:solidFill>
                </w14:textFill>
              </w:rPr>
              <w:t>、合同文本</w:t>
            </w:r>
            <w:r>
              <w:rPr>
                <w:rFonts w:hAnsi="宋体"/>
                <w:color w:val="000000" w:themeColor="text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highlight w:val="none"/>
                <w14:textFill>
                  <w14:solidFill>
                    <w14:schemeClr w14:val="tx1"/>
                  </w14:solidFill>
                </w14:textFill>
              </w:rPr>
              <w:t>更正公告（澄清公告）</w:t>
            </w:r>
            <w:r>
              <w:rPr>
                <w:rFonts w:hAnsi="宋体"/>
                <w:color w:val="000000" w:themeColor="text1"/>
                <w:highlight w:val="none"/>
                <w14:textFill>
                  <w14:solidFill>
                    <w14:schemeClr w14:val="tx1"/>
                  </w14:solidFill>
                </w14:textFill>
              </w:rPr>
              <w:t>与同步更新的</w:t>
            </w:r>
            <w:r>
              <w:rPr>
                <w:rFonts w:hint="eastAsia" w:hAnsi="宋体"/>
                <w:color w:val="000000" w:themeColor="text1"/>
                <w:highlight w:val="none"/>
                <w14:textFill>
                  <w14:solidFill>
                    <w14:schemeClr w14:val="tx1"/>
                  </w14:solidFill>
                </w14:textFill>
              </w:rPr>
              <w:t>竞争性谈判文件</w:t>
            </w:r>
            <w:r>
              <w:rPr>
                <w:rFonts w:hAnsi="宋体"/>
                <w:color w:val="000000" w:themeColor="text1"/>
                <w:highlight w:val="none"/>
                <w14:textFill>
                  <w14:solidFill>
                    <w14:schemeClr w14:val="tx1"/>
                  </w14:solidFill>
                </w14:textFill>
              </w:rPr>
              <w:t>不一致时以</w:t>
            </w:r>
            <w:r>
              <w:rPr>
                <w:rFonts w:hint="eastAsia" w:hAnsi="宋体"/>
                <w:color w:val="000000" w:themeColor="text1"/>
                <w:highlight w:val="none"/>
                <w14:textFill>
                  <w14:solidFill>
                    <w14:schemeClr w14:val="tx1"/>
                  </w14:solidFill>
                </w14:textFill>
              </w:rPr>
              <w:t>更正公告（澄清公告）</w:t>
            </w:r>
            <w:r>
              <w:rPr>
                <w:rFonts w:hAnsi="宋体"/>
                <w:color w:val="000000" w:themeColor="text1"/>
                <w:highlight w:val="none"/>
                <w14:textFill>
                  <w14:solidFill>
                    <w14:schemeClr w14:val="tx1"/>
                  </w14:solidFill>
                </w14:textFill>
              </w:rPr>
              <w:t>为准。按本款前述规定仍不能形成结论的，由</w:t>
            </w:r>
            <w:r>
              <w:rPr>
                <w:rFonts w:hint="eastAsia" w:hAnsi="宋体"/>
                <w:color w:val="000000" w:themeColor="text1"/>
                <w:highlight w:val="none"/>
                <w14:textFill>
                  <w14:solidFill>
                    <w14:schemeClr w14:val="tx1"/>
                  </w14:solidFill>
                </w14:textFill>
              </w:rPr>
              <w:t>采购</w:t>
            </w:r>
            <w:r>
              <w:rPr>
                <w:rFonts w:hAnsi="宋体"/>
                <w:color w:val="000000" w:themeColor="text1"/>
                <w:highlight w:val="none"/>
                <w14:textFill>
                  <w14:solidFill>
                    <w14:schemeClr w14:val="tx1"/>
                  </w14:solidFill>
                </w14:textFill>
              </w:rPr>
              <w:t>人</w:t>
            </w:r>
            <w:r>
              <w:rPr>
                <w:rFonts w:hint="eastAsia" w:hAnsi="宋体"/>
                <w:color w:val="000000" w:themeColor="text1"/>
                <w:highlight w:val="none"/>
                <w14:textFill>
                  <w14:solidFill>
                    <w14:schemeClr w14:val="tx1"/>
                  </w14:solidFill>
                </w14:textFill>
              </w:rPr>
              <w:t>或者采购代理机构</w:t>
            </w:r>
            <w:r>
              <w:rPr>
                <w:rFonts w:hAnsi="宋体"/>
                <w:color w:val="000000" w:themeColor="text1"/>
                <w:highlight w:val="none"/>
                <w14:textFill>
                  <w14:solidFill>
                    <w14:schemeClr w14:val="tx1"/>
                  </w14:solidFill>
                </w14:textFill>
              </w:rPr>
              <w:t>负责解释。</w:t>
            </w:r>
          </w:p>
        </w:tc>
      </w:tr>
    </w:tbl>
    <w:p>
      <w:pPr>
        <w:spacing w:line="360" w:lineRule="auto"/>
        <w:rPr>
          <w:rFonts w:hint="eastAsia" w:ascii="宋体" w:hAnsi="宋体"/>
          <w:b/>
          <w:color w:val="000000" w:themeColor="text1"/>
          <w:szCs w:val="21"/>
          <w:highlight w:val="none"/>
          <w14:textFill>
            <w14:solidFill>
              <w14:schemeClr w14:val="tx1"/>
            </w14:solidFill>
          </w14:textFill>
        </w:rPr>
      </w:pPr>
    </w:p>
    <w:p>
      <w:pPr>
        <w:pStyle w:val="20"/>
        <w:spacing w:line="360" w:lineRule="auto"/>
        <w:jc w:val="center"/>
        <w:rPr>
          <w:rFonts w:hint="eastAsia" w:hAnsi="宋体"/>
          <w:b/>
          <w:color w:val="000000" w:themeColor="text1"/>
          <w:sz w:val="21"/>
          <w:szCs w:val="21"/>
          <w:highlight w:val="none"/>
          <w14:textFill>
            <w14:solidFill>
              <w14:schemeClr w14:val="tx1"/>
            </w14:solidFill>
          </w14:textFill>
        </w:rPr>
      </w:pPr>
      <w:r>
        <w:rPr>
          <w:rFonts w:hAnsi="宋体"/>
          <w:b/>
          <w:color w:val="000000" w:themeColor="text1"/>
          <w:sz w:val="32"/>
          <w:highlight w:val="none"/>
          <w14:textFill>
            <w14:solidFill>
              <w14:schemeClr w14:val="tx1"/>
            </w14:solidFill>
          </w14:textFill>
        </w:rPr>
        <w:br w:type="page"/>
      </w:r>
      <w:r>
        <w:rPr>
          <w:rFonts w:hint="eastAsia" w:hAnsi="宋体"/>
          <w:b/>
          <w:color w:val="000000" w:themeColor="text1"/>
          <w:sz w:val="30"/>
          <w:szCs w:val="30"/>
          <w:highlight w:val="none"/>
          <w14:textFill>
            <w14:solidFill>
              <w14:schemeClr w14:val="tx1"/>
            </w14:solidFill>
          </w14:textFill>
        </w:rPr>
        <w:t>供应商须知正文</w:t>
      </w:r>
    </w:p>
    <w:p>
      <w:pPr>
        <w:pStyle w:val="20"/>
        <w:spacing w:line="360" w:lineRule="auto"/>
        <w:ind w:firstLine="422" w:firstLineChars="200"/>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一、总　则</w:t>
      </w:r>
    </w:p>
    <w:p>
      <w:pPr>
        <w:spacing w:line="360"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 适用范围</w:t>
      </w:r>
      <w:r>
        <w:rPr>
          <w:rFonts w:hint="eastAsia" w:ascii="宋体" w:hAnsi="宋体" w:cs="宋体"/>
          <w:bCs/>
          <w:color w:val="000000" w:themeColor="text1"/>
          <w:szCs w:val="21"/>
          <w:highlight w:val="none"/>
          <w14:textFill>
            <w14:solidFill>
              <w14:schemeClr w14:val="tx1"/>
            </w14:solidFill>
          </w14:textFill>
        </w:rPr>
        <w:t>：本竞争性谈判文件（以下简称谈判文件）适用于本项目的所有采购程序和环节（法律、法规另有规定的，从其规定）。</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 定义</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2.1“采购人”：</w:t>
      </w:r>
      <w:r>
        <w:rPr>
          <w:rFonts w:hint="eastAsia" w:ascii="宋体" w:hAnsi="宋体" w:cs="宋体"/>
          <w:color w:val="000000" w:themeColor="text1"/>
          <w:szCs w:val="21"/>
          <w:highlight w:val="none"/>
          <w14:textFill>
            <w14:solidFill>
              <w14:schemeClr w14:val="tx1"/>
            </w14:solidFill>
          </w14:textFill>
        </w:rPr>
        <w:t>详见竞争性谈判公告</w:t>
      </w:r>
      <w:r>
        <w:rPr>
          <w:rFonts w:hint="eastAsia" w:ascii="宋体" w:hAnsi="宋体" w:cs="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2.2“采购代理机构”是指：广西银泰工程管理有限公司。</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2.3“供应商”是指响应本谈判文件要求，参加谈判的法人、其他组织或者自然人。如果该供应商在本次谈判中成交，即为“成交供应商”。</w:t>
      </w:r>
      <w:r>
        <w:rPr>
          <w:rFonts w:hint="eastAsia" w:ascii="宋体" w:hAnsi="宋体" w:cs="宋体"/>
          <w:color w:val="000000" w:themeColor="text1"/>
          <w:szCs w:val="21"/>
          <w:highlight w:val="none"/>
          <w14:textFill>
            <w14:solidFill>
              <w14:schemeClr w14:val="tx1"/>
            </w14:solidFill>
          </w14:textFill>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2.4“货物”是指各种形态和种类的物品，包括原材料、燃料、设备、产品等。</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2.5“服务”是指除货物和工程以外的其他政府采购对象。</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2.6“书面形式”包括是指合同书、信件和数据电文（包括电报、电传、传真、电子数据交换和电子邮件）等可以有形地表现所载内容的形式。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2.7“响应文件”是指：供应商根据本谈判文件要求，编制包含报价、技术和服务等所有内容的文件。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2.8“▲”系指实质性要求条款。</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公章”是指供应商通过指定电子化政府采购平台办理数字证书（CA认证证书）获得的以法定主体行为名称制作的电子印章。本谈判文件中要求供应商对其电子响应文件的相关内容加盖公章的，均指采用CA证书签章。</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2.11本谈判文件所称的“以上”“以下”“以内”“届满”，包括本数；所称的“不满”“超过”“以外”，不包括本数；如谈判文件另有特殊规定的从其规定。 </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 供应商资格</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3.1供应商资格：详见供应商须知前附表。</w:t>
      </w:r>
    </w:p>
    <w:p>
      <w:pPr>
        <w:spacing w:line="360" w:lineRule="auto"/>
        <w:ind w:firstLine="420"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w:t>
      </w:r>
      <w:r>
        <w:rPr>
          <w:rFonts w:hint="eastAsia" w:ascii="宋体" w:hAnsi="宋体" w:cs="宋体"/>
          <w:b/>
          <w:bCs/>
          <w:color w:val="000000" w:themeColor="text1"/>
          <w:szCs w:val="21"/>
          <w:highlight w:val="none"/>
          <w14:textFill>
            <w14:solidFill>
              <w14:schemeClr w14:val="tx1"/>
            </w14:solidFill>
          </w14:textFill>
        </w:rPr>
        <w:t>谈判费用</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4.1供应商应自行承担所有与编写和提交响应文件有关的费用，不论谈判结果如何，采购人和采购代理机构在任何情况下无义务和责任承担此类费用。</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 联合体竞标</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5.2联合体要求（联合体竞标时应满足下列要求）：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（1）两个以上供应商可以组成一个竞标联合体，以一个供应商的身份共同参加投标，联合体供应商的名称应统一按“XXX公司与XXX公司的联合体”的规则填写。</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（2）以联合体形式参加投标的，联合体各方均应当符合“具有独立承担民事责任的能力”的条件。 本项目有特殊要求规定供应商特定条件的，联合体各方中至少应当有一方符合谈判文件规定的特定条件。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联合体竞标的，须提供《联合体投标协议书》（格式后附），协议书必须明确主体方（或者牵头方）并明确约定联合体各方承担的工作和相应的责任（各方承担责任与义务的分工必须符合采购需求，否则，联合体投标无效），并将联合投标协议放入响应文件。联合体各方必须共同与采购人签订采购合同，就采购合同约定的事项对采购人承担连带责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（4）以联合体形式参加政府采购活动的，联合体各方不得再单独参加或者与其他供应商另外组成联合体参加同一合同项下的政府采购活动，否则与之相关的响应文件作废。</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（5）联合体中有同类资质的供应商按照联合体分工承担相同工作的，应当按照资质等级较低的供应商确定资质等级。</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（6）联合体投标业绩、履约能力按照联合体各方其中较高的一方认定并计算（谈判文件另有规定的除外）。</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（7）联合体各方均应按照谈判文件的规定提交资格证明文件。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6. 分包与转包 </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本项目是否允许分包详见“供应商须知前附表”，本项目不允许违法分包。供应商根据谈判文件的规定和采购项目的实际情况，拟在中标后将中标项目的非主体、非关键性工作分包的，应当在响应文件中载明分包承担主体，分包承担主体应当具备相应资质条件且不得再次分包。</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6.3本项目不允许转包。</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 特别说明</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（1）提供相同品牌产品且通过资格审查、符合性审查的不同供应商参加单一产品的同一合同项下的政府采购活动的。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（2）非单一产品采购项目中，多家供应商提供的核心产品品牌相同的，视为提供相同品牌产品。核心产品的名称应当在谈判文件中载明。</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7.2供应商投标所使用的资格、信誉、荣誉、业绩与企业认证必须为本供应商所拥有。</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7.5在政府采购活动中，采购人员及相关人员与供应商有下列利害关系之一的，应当回避：</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7.6有下列情形之一的视为供应商相互串通投标，其投标无效：</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（2）不同供应商委托同一单位或者个人办理投标事宜；</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（3）不同供应商的响应文件载明的项目管理成员或者联系人员为同一人；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（4）不同供应商的响应文件异常一致或投标报价呈规律性差异；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7.7供应商有下列情形之一的，属于恶意串通行为：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（1）供应商直接或者间接从采购人或者采购代理机构处获得其他供应商的相关信息并修改其响应文件或者响应文件：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（2）供应商按照采购人或者采购代理机构的授意撤换、修改响应文件或者响应文件；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（6）供应商之间商定部分供应商放弃参加政府采购活动或者放弃中标；</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（7）供应商与采购人或者采购代理机构之间、供应商相互之间，为谋求特定供应商中标或者排斥其他供应商的其他串通行为。</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7.8关联供应商不得参加同一合同项下政府采购活动，否则响应文件将被视为无效：</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（1）单位负责人为同一人或者存在直接控股、管理关系的不同的供应商，不得参加同一合同项下的政府采购活动；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（2）生产厂商授权给供应商后自己不得参加同一合同项下的政府采购活动；生产厂商对同一品牌同一型号的货物，仅能委托一个代理商参加投标。</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8.质疑和投诉</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供应商认为竞争性谈判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质疑、投诉应当采用书面形式，质疑书、投诉书均应明确阐述竞争性谈判文件、招标过程或中标结果中使自己合法权益受到损害的实质性内容，提供相关事实、依据和证据及其来源或线索，便于有关单位调查、答复和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8.3质疑和投诉书面要求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质疑人或投诉人提供的书面材料（如材料中有外文资料须同时附上中文译本）至少包括以下内容：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（1）质疑人或投诉人的姓名或者名称、地址、邮编、联系人及联系电话；</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（2）质疑项目的名称、编号；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（3）具体、明确的质疑事项和与质疑事项相关的请求；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（4）事实依据；</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（5）必要的法律依据；</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（6）质疑人或投诉人的签章及质疑或投诉时间；</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（7）质疑或投诉的书面材料须提供法定代表人签名和加盖单位公章的原件。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（8）质疑人须一次性提出针对同一采购程序环节的质疑。</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未持有有效授权委托书的代理人提交的质疑函或不在法定质疑期内提交的质疑函，将不予受理。</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8.4接受质疑函的联系方式等详见谈判公告中采购人、采购代理机构的联系方式。</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二、谈判文件</w:t>
      </w:r>
    </w:p>
    <w:p>
      <w:pPr>
        <w:spacing w:line="360" w:lineRule="auto"/>
        <w:ind w:left="420" w:left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9.竞争性谈判文件的组成</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（1）谈判公告；</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（2）供应商须知；</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（3）采购需求；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（4）评审办法和定标标准；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（5）响应文件格式；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（6）合同主要条款；</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（7）其他资料。</w:t>
      </w:r>
    </w:p>
    <w:p>
      <w:pPr>
        <w:spacing w:line="360" w:lineRule="auto"/>
        <w:ind w:left="420" w:left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 供应商的风险</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10.1供应商没有按照谈判文件要求提供全部资料，或者供应商没有对谈判文件在各方面作出实质性响应是供应商的风险，并可能导致其投标被拒绝。</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11.谈判文件的澄清或修改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11.1供应商应认真</w:t>
      </w:r>
      <w:r>
        <w:rPr>
          <w:rFonts w:hint="eastAsia" w:ascii="宋体" w:hAnsi="宋体" w:cs="宋体"/>
          <w:bCs/>
          <w:color w:val="000000" w:themeColor="text1"/>
          <w:szCs w:val="21"/>
          <w:highlight w:val="none"/>
          <w14:textFill>
            <w14:solidFill>
              <w14:schemeClr w14:val="tx1"/>
            </w14:solidFill>
          </w14:textFill>
        </w:rPr>
        <w:t>阅读本谈判文件，发现</w:t>
      </w:r>
      <w:r>
        <w:rPr>
          <w:rFonts w:hint="eastAsia" w:ascii="宋体" w:hAnsi="宋体" w:cs="宋体"/>
          <w:color w:val="000000" w:themeColor="text1"/>
          <w:szCs w:val="21"/>
          <w:highlight w:val="none"/>
          <w14:textFill>
            <w14:solidFill>
              <w14:schemeClr w14:val="tx1"/>
            </w14:solidFill>
          </w14:textFill>
        </w:rPr>
        <w:t>谈判文件表述不清晰、存在歧视性、排他性或者其他违法内容的，应以书面形式要求招标采购单位作出书面解释、澄清，否则，由此产生的后果由供应商负责。</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11.2任何要求澄清谈判文件的供应商，均应在首次响应文件递交截止日期前的正常工作时间以书面形式通知采购人或采购代理机构，采购人或采购代理机构将以书面形式予以答复。</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采购人或采购代理机构对已发出的谈判文件进行必要澄清或者修改的，澄清和修改对供应商编制响应文件造成实质影响的，在谈判文件要求提交竞争性谈判响应文件截止时间三个工作日前（不足三个工作日顺延），并将以书面形式通知（在“供应商须知前附表”规定的发布媒体上发布更正公告）所有谈判文件收受人。该澄清或者修改的内容为性谈判文件的组成部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11.4采购人可视具体情况，延长响应文件递交截止时间和开标时间，并在“供应商须知前附表”规定的发布媒体上发布变更公告。</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12.现场考察或答疑会</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12.1采购人可以视采购项目的具体情况，按须知前附表的规定组织供应商进行现场考察或召开谈判前答疑会，但不得单独或分别组织只有一个供应商参加的现场考察和答疑会。</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12.2供应商考察现场或参加答疑会发生的费用自理。</w:t>
      </w:r>
    </w:p>
    <w:p>
      <w:pPr>
        <w:spacing w:line="360" w:lineRule="auto"/>
        <w:ind w:firstLine="420"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12.3供应商自行负责在考察现场或参加答疑会中所发生的人员伤亡和财产损失。</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三、响应文件的编制</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13. </w:t>
      </w:r>
      <w:r>
        <w:rPr>
          <w:rFonts w:hint="eastAsia" w:ascii="宋体" w:hAnsi="宋体" w:cs="宋体"/>
          <w:b/>
          <w:color w:val="000000" w:themeColor="text1"/>
          <w:szCs w:val="21"/>
          <w:highlight w:val="none"/>
          <w14:textFill>
            <w14:solidFill>
              <w14:schemeClr w14:val="tx1"/>
            </w14:solidFill>
          </w14:textFill>
        </w:rPr>
        <w:t>响应文件的组成</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响应文件由资格证明文件、商务和技术文件、报价文件组成。</w:t>
      </w:r>
    </w:p>
    <w:p>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13.1资格证明文件：详见须知前附表</w:t>
      </w:r>
    </w:p>
    <w:p>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13.2商务技术文件：详见须知前附表</w:t>
      </w:r>
    </w:p>
    <w:p>
      <w:pPr>
        <w:spacing w:line="360" w:lineRule="auto"/>
        <w:ind w:left="840" w:leftChars="200" w:hanging="420" w:hanging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13.3报价文件：详见须知前附表</w:t>
      </w:r>
    </w:p>
    <w:p>
      <w:pPr>
        <w:pStyle w:val="20"/>
        <w:spacing w:line="360" w:lineRule="auto"/>
        <w:ind w:firstLine="422" w:firstLineChars="200"/>
        <w:rPr>
          <w:rFonts w:hint="eastAsia"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14. 响应文件的语言及计量</w:t>
      </w:r>
    </w:p>
    <w:p>
      <w:pPr>
        <w:pStyle w:val="20"/>
        <w:spacing w:line="360" w:lineRule="auto"/>
        <w:ind w:firstLine="420" w:firstLineChars="200"/>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14.1响应文件以及竞标方与招标方就有关竞标事宜的所有来往函电，均应以中文汉语书写。除签名、盖章、专用名称等特殊情形外，以中文汉语以外的文字表述的响应文件视同未提供。</w:t>
      </w:r>
    </w:p>
    <w:p>
      <w:pPr>
        <w:pStyle w:val="20"/>
        <w:spacing w:line="360" w:lineRule="auto"/>
        <w:ind w:firstLine="420" w:firstLineChars="200"/>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14.2竞标计量单位，谈判文件已有明确规定的，使用谈判文件规定的计量单位；谈判文件没有规定的，应采用中华人民共和国法定计量单位（货币单位：人民币元），否则视同未响应。</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15、响应文件报价要求</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15.1本项目最高限价详见须知前附表。响应文件报价须小于等于最高限价，否则响应无效。</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15.2对于本谈判文件中未列明，而供应商认为必需的费用也需列入总报价。在合同实施时，采购人将不予支付成交供应商没有列入的项目费用，并认为此项目的费用已包括在总报价中。</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成交供应商负责本项目所需服务的全部工作，包括货款、标准附件、备品备件、专用工具、包装、运输、装卸、保险、税金、货到就位以及安装、安装所需辅材、调试、检验、验收等所需的一切使本项目完成验收的费用及供货商对采购人承诺培训、售前、售后质量保证等相关费用等在内的一切可能发生的费用。对于本谈判采购文件中未列明，而供应商认为必需的费用也需列入报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15.4供应商应就第三章《采购需求》中的全部服务内容作完整唯一报价。</w:t>
      </w:r>
    </w:p>
    <w:p>
      <w:pPr>
        <w:spacing w:line="360" w:lineRule="auto"/>
        <w:ind w:left="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15.5响应文件只允许有一个报价，有选择的或有条件的报价将不予接受（谈判文件另有规定的除外）。</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15.6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供应商原因引起的报价失误，并在谈判时被接受，其后果由供应商自负。</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16、响应文件有效期</w:t>
      </w:r>
    </w:p>
    <w:p>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16.1响应文件有效期：详见供应商须知前附表。有效期不足的响应文件将被拒绝。</w:t>
      </w:r>
    </w:p>
    <w:p>
      <w:pPr>
        <w:pStyle w:val="20"/>
        <w:spacing w:line="360" w:lineRule="auto"/>
        <w:ind w:firstLine="420" w:firstLineChars="200"/>
        <w:jc w:val="left"/>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16.2在特殊情况下，采购人可与供应商协商延长响应文件的有效期，这种要求和答复均以书面形式进行。</w:t>
      </w:r>
    </w:p>
    <w:p>
      <w:pPr>
        <w:pStyle w:val="20"/>
        <w:spacing w:line="360" w:lineRule="auto"/>
        <w:ind w:firstLine="420" w:firstLineChars="200"/>
        <w:jc w:val="left"/>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 xml:space="preserve">16.3供应商可拒绝接受延长有效期要求而不会导致竞标保证金被没收。同意延长有效期的供应商需要相应延长竞标保证金的有效期，但不能修改响应文件其它内容。 </w:t>
      </w:r>
    </w:p>
    <w:p>
      <w:pPr>
        <w:pStyle w:val="20"/>
        <w:spacing w:line="360" w:lineRule="auto"/>
        <w:ind w:firstLine="420" w:firstLineChars="200"/>
        <w:jc w:val="left"/>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16.4供应商的响应文件自开标之日起至合同履行完毕止均应保持有效。</w:t>
      </w:r>
    </w:p>
    <w:p>
      <w:pPr>
        <w:pStyle w:val="20"/>
        <w:spacing w:line="360" w:lineRule="auto"/>
        <w:ind w:firstLine="422" w:firstLineChars="200"/>
        <w:jc w:val="left"/>
        <w:rPr>
          <w:rFonts w:hint="eastAsia" w:hAnsi="宋体" w:cs="宋体"/>
          <w:color w:val="000000" w:themeColor="text1"/>
          <w:kern w:val="2"/>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17、竞标保证金</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17.1供应商须按“供应商须知前附表”的规定提交竞标保证金。</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17.2竞标保证金的退还。</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bookmarkStart w:id="2" w:name="_Hlk66782243"/>
      <w:r>
        <w:rPr>
          <w:rFonts w:hint="eastAsia" w:ascii="宋体" w:hAnsi="宋体" w:cs="宋体"/>
          <w:color w:val="000000" w:themeColor="text1"/>
          <w:szCs w:val="21"/>
          <w:highlight w:val="none"/>
          <w14:textFill>
            <w14:solidFill>
              <w14:schemeClr w14:val="tx1"/>
            </w14:solidFill>
          </w14:textFill>
        </w:rPr>
        <w:t>未成交供应商的竞标保证金自成交通知书发出之日起5个工作日内退还；成交供应商的竞标保证金自签订合同之日起5个工作日内退还。</w:t>
      </w:r>
      <w:bookmarkEnd w:id="2"/>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（1）采用银行转账支付方式的，均以转账方式退回到供应商银行账户。</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（2）采用支票、汇票或本票方式的，以转账方式退回到供应商银行账户或由供应商代表持相关授权证明材料至采购人或采购代理机构办理支票、汇票或本票原件退还手续。 </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（3）采用金融机构、担保机构出具的保函、保险方式的，由供应商代表持相关授权证明材料至采购人或采购代理机构办理保函、保险原件退还手续。</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17.3竞标保证金不计息。</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17.4供应商有下列情形之一的，竞标保证金将不予退还： </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（4）除因不可抗力或者竞标文件认可的情形以外，成交供应商不与采购人签订合同的；</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pPr>
        <w:spacing w:line="360" w:lineRule="auto"/>
        <w:ind w:firstLine="422"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w:t>
      </w:r>
      <w:bookmarkStart w:id="3" w:name="_Toc254970683"/>
      <w:bookmarkStart w:id="4" w:name="_Toc254970542"/>
      <w:r>
        <w:rPr>
          <w:rFonts w:hint="eastAsia" w:ascii="宋体" w:hAnsi="宋体" w:cs="宋体"/>
          <w:b/>
          <w:color w:val="000000" w:themeColor="text1"/>
          <w:szCs w:val="21"/>
          <w:highlight w:val="none"/>
          <w14:textFill>
            <w14:solidFill>
              <w14:schemeClr w14:val="tx1"/>
            </w14:solidFill>
          </w14:textFill>
        </w:rPr>
        <w:t>响应文件的</w:t>
      </w:r>
      <w:bookmarkEnd w:id="3"/>
      <w:bookmarkEnd w:id="4"/>
      <w:r>
        <w:rPr>
          <w:rFonts w:hint="eastAsia" w:ascii="宋体" w:hAnsi="宋体" w:cs="宋体"/>
          <w:b/>
          <w:color w:val="000000" w:themeColor="text1"/>
          <w:szCs w:val="21"/>
          <w:highlight w:val="none"/>
          <w14:textFill>
            <w14:solidFill>
              <w14:schemeClr w14:val="tx1"/>
            </w14:solidFill>
          </w14:textFill>
        </w:rPr>
        <w:t>编制</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18.1供应商应按本性谈判文件规定的格式和顺序编制、装订响应文件并标注页码，响应文件内容不完整、编排混乱导致响应文件被误读、漏读或者查找不到相关内容的，所引起的后果由供应商负责。</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18.2响应文件应按资格证明、报价分别编制，商务技术文件合并编制，本谈判只接受电子版响应文件。</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 响应文件电子版要求：按照本谈判文件“第四章 响应文件格式”编写（第四章未附格式的，由供应商自行拟定），并在规定加盖公章处加盖电子公章，否则响应文件按无效响应处理。</w:t>
      </w:r>
      <w:r>
        <w:rPr>
          <w:rFonts w:hint="eastAsia" w:ascii="宋体" w:hAnsi="宋体" w:cs="宋体"/>
          <w:color w:val="000000" w:themeColor="text1"/>
          <w:kern w:val="0"/>
          <w:szCs w:val="21"/>
          <w:highlight w:val="none"/>
          <w14:textFill>
            <w14:solidFill>
              <w14:schemeClr w14:val="tx1"/>
            </w14:solidFill>
          </w14:textFill>
        </w:rPr>
        <w:t>骑缝盖</w:t>
      </w:r>
      <w:r>
        <w:rPr>
          <w:rFonts w:hint="eastAsia" w:ascii="宋体" w:hAnsi="宋体" w:cs="宋体"/>
          <w:color w:val="000000" w:themeColor="text1"/>
          <w:szCs w:val="21"/>
          <w:highlight w:val="none"/>
          <w14:textFill>
            <w14:solidFill>
              <w14:schemeClr w14:val="tx1"/>
            </w14:solidFill>
          </w14:textFill>
        </w:rPr>
        <w:t>公章不视为在规定位置盖章。</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18.4响应文件中标注的供应商名称应与营业执照（事业单位法人证书、执业许可证、自然人身份证）及电子公章一致，否则其响应文件按无效响应处理。</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w:t>
      </w:r>
      <w:r>
        <w:rPr>
          <w:rFonts w:hint="eastAsia" w:ascii="宋体" w:hAnsi="宋体" w:cs="宋体"/>
          <w:color w:val="000000" w:themeColor="text1"/>
          <w:kern w:val="0"/>
          <w:szCs w:val="21"/>
          <w:highlight w:val="none"/>
          <w14:textFill>
            <w14:solidFill>
              <w14:schemeClr w14:val="tx1"/>
            </w14:solidFill>
          </w14:textFill>
        </w:rPr>
        <w:t>响应文件应避免涂改、行间插字或者删除，否则其响应文件按无效响应处理。</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18.6供应商进行电子交易应安装客户端软件—“广西政府采购云平台客户端”，并按照谈判文件和电子交易平台的要求编制并加密响应文件。供应商未按规定加密的响应文件，电子交易平台将拒收并提示。</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18.7使用“广西政府采购云平台客户端”需要提前申领CA数字证书，申领流程见该项目采购公告附件。</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18.8为确保网上操作合法、有效和安全，供应商应当在响应文件提交截止时间前完成在“政府采购云平台”的身份认证，确保在电子交易过程中能够对相关数据电文进行加密和使用电子签名。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19.响应文件的递交</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供应商必须在“供应商须知前附表”规定的响应文件接收时间和地点提交电子版响应文件。电子响应文件应在制作完成后，在提交截止时间前通过有效数字证书（CA认证锁）进行电子公章、加密，然后通过网络将加密的电子响应文件递交至“广西政府采购云平台”。</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19.2未在规定时间内提交或者未按照谈判文件要求密封或者标记的电子响应文件，“广西政府采购云平台”将拒收。</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19.3电子版响应文件提交方式见“谈判公告”中“四、提交响应文件截止时间、开标时间和地点”。</w:t>
      </w:r>
    </w:p>
    <w:p>
      <w:pPr>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20.响应文件的补充、修改、撤回与退回</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平台将拒收。</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 “广西政府采购云平台”平台收到响应文件，将妥善保存并即时向供应商发出确认回执通知。在提交响应文件截止时间前，除供应商补充、修改或者撤回响应文件外，任何单位和个人不得解密或提取响应文件。</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20.3在提交响应文件截止时间止提交电子版响应文件的供应商不足3家时，电子版响应文件由代理机构在“广西政府采购云平台”平台操作退回，除此之外采购人和采购代理机构对已提交的响应文件概不退回。</w:t>
      </w:r>
    </w:p>
    <w:p>
      <w:pPr>
        <w:spacing w:line="360" w:lineRule="auto"/>
        <w:ind w:firstLine="422"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四、评审及谈判</w:t>
      </w:r>
    </w:p>
    <w:p>
      <w:pPr>
        <w:pStyle w:val="20"/>
        <w:spacing w:line="360" w:lineRule="auto"/>
        <w:ind w:firstLine="422" w:firstLineChars="200"/>
        <w:rPr>
          <w:rFonts w:hint="eastAsia" w:hAnsi="宋体" w:cs="宋体"/>
          <w:b/>
          <w:bCs/>
          <w:color w:val="000000" w:themeColor="text1"/>
          <w:kern w:val="2"/>
          <w:sz w:val="21"/>
          <w:szCs w:val="21"/>
          <w:highlight w:val="none"/>
          <w14:textFill>
            <w14:solidFill>
              <w14:schemeClr w14:val="tx1"/>
            </w14:solidFill>
          </w14:textFill>
        </w:rPr>
      </w:pPr>
      <w:r>
        <w:rPr>
          <w:rFonts w:hint="eastAsia" w:hAnsi="宋体" w:cs="宋体"/>
          <w:b/>
          <w:bCs/>
          <w:color w:val="000000" w:themeColor="text1"/>
          <w:kern w:val="2"/>
          <w:sz w:val="21"/>
          <w:szCs w:val="21"/>
          <w:highlight w:val="none"/>
          <w14:textFill>
            <w14:solidFill>
              <w14:schemeClr w14:val="tx1"/>
            </w14:solidFill>
          </w14:textFill>
        </w:rPr>
        <w:t>21.谈判小组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21.1竞争性谈判小组由采购人代表和评审专家共三人以上的单数组成。其中评审专家人数不少于谈判小组成员总数的2/3。</w:t>
      </w:r>
      <w:r>
        <w:rPr>
          <w:rFonts w:hint="eastAsia" w:ascii="宋体" w:hAnsi="宋体" w:cs="宋体"/>
          <w:color w:val="000000" w:themeColor="text1"/>
          <w:szCs w:val="21"/>
          <w:highlight w:val="none"/>
          <w14:textFill>
            <w14:solidFill>
              <w14:schemeClr w14:val="tx1"/>
            </w14:solidFill>
          </w14:textFill>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22.首次响应文件的开启</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22.1首次响应文件由谈判小组或者采购代理机构在“供应商须知前附表”规定的时间开启。</w:t>
      </w:r>
    </w:p>
    <w:p>
      <w:pPr>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 响应文件解密</w:t>
      </w:r>
    </w:p>
    <w:p>
      <w:pPr>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谈判文件的规定登录到“广西政府采购云平台”平台电子开标大厅签到并在发起解密指令之时起30分钟内完成对电子响应文件在线解密。发起解密指令之时起5分钟内供应商还未进行解密的，代理机构通知供应商，</w:t>
      </w:r>
      <w:r>
        <w:rPr>
          <w:rFonts w:hint="eastAsia" w:ascii="宋体" w:hAnsi="宋体" w:cs="宋体"/>
          <w:bCs/>
          <w:color w:val="000000" w:themeColor="text1"/>
          <w:szCs w:val="21"/>
          <w:highlight w:val="none"/>
          <w14:textFill>
            <w14:solidFill>
              <w14:schemeClr w14:val="tx1"/>
            </w14:solidFill>
          </w14:textFill>
        </w:rPr>
        <w:t>通知后，</w:t>
      </w:r>
      <w:r>
        <w:rPr>
          <w:rFonts w:hint="eastAsia" w:ascii="宋体" w:hAnsi="宋体" w:cs="宋体"/>
          <w:color w:val="000000" w:themeColor="text1"/>
          <w:szCs w:val="21"/>
          <w:highlight w:val="none"/>
          <w14:textFill>
            <w14:solidFill>
              <w14:schemeClr w14:val="tx1"/>
            </w14:solidFill>
          </w14:textFill>
        </w:rPr>
        <w:t>响应</w:t>
      </w:r>
      <w:r>
        <w:rPr>
          <w:rFonts w:hint="eastAsia" w:ascii="宋体" w:hAnsi="宋体" w:cs="宋体"/>
          <w:bCs/>
          <w:color w:val="000000" w:themeColor="text1"/>
          <w:szCs w:val="21"/>
          <w:highlight w:val="none"/>
          <w14:textFill>
            <w14:solidFill>
              <w14:schemeClr w14:val="tx1"/>
            </w14:solidFill>
          </w14:textFill>
        </w:rPr>
        <w:t>文件仍未按时解密，或者</w:t>
      </w: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bCs/>
          <w:color w:val="000000" w:themeColor="text1"/>
          <w:szCs w:val="21"/>
          <w:highlight w:val="none"/>
          <w14:textFill>
            <w14:solidFill>
              <w14:schemeClr w14:val="tx1"/>
            </w14:solidFill>
          </w14:textFill>
        </w:rPr>
        <w:t>没预留联系方式或预留联系方式无效，</w:t>
      </w:r>
      <w:r>
        <w:rPr>
          <w:rFonts w:hint="eastAsia" w:ascii="宋体" w:hAnsi="宋体" w:cs="宋体"/>
          <w:color w:val="000000" w:themeColor="text1"/>
          <w:szCs w:val="21"/>
          <w:highlight w:val="none"/>
          <w14:textFill>
            <w14:solidFill>
              <w14:schemeClr w14:val="tx1"/>
            </w14:solidFill>
          </w14:textFill>
        </w:rPr>
        <w:t>非代理机构原因导致代理机构无法联系到供应商进行解密的</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视为响应文件无效</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（解密异常情况处理：详见本章30.电子交易活动的中止。）</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23.2如供应商成功解密响应文件，但未在“广西政府采购云平台”电子开标大厅参加谈判的，视同认可谈判过程和结果，由此产生的后果由供应商自行负责。参与谈判的供应商不足3家的，不得谈判。</w:t>
      </w:r>
    </w:p>
    <w:p>
      <w:pPr>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24.评审程序</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24.1谈判小组按照“第六章 评审方法和评审标准”规定的方法、评审因素、标准和程序对响应文件进行评审。</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w:t>
      </w:r>
      <w:r>
        <w:rPr>
          <w:rFonts w:hint="eastAsia" w:ascii="宋体" w:hAnsi="宋体" w:cs="宋体"/>
          <w:bCs/>
          <w:color w:val="000000" w:themeColor="text1"/>
          <w:szCs w:val="21"/>
          <w:highlight w:val="none"/>
          <w14:textFill>
            <w14:solidFill>
              <w14:schemeClr w14:val="tx1"/>
            </w14:solidFill>
          </w14:textFill>
        </w:rPr>
        <w:t>资格审查</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响应文件开启后，谈判小组依法对供应商的资格文件进行审查</w:t>
      </w:r>
      <w:r>
        <w:rPr>
          <w:rFonts w:hint="eastAsia" w:ascii="宋体" w:hAnsi="宋体" w:cs="宋体"/>
          <w:color w:val="000000" w:themeColor="text1"/>
          <w:spacing w:val="-2"/>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在资格审查时，如发现下列情形之一的，响应文件将被视为无效：</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（1）不具备谈判文件中规定的资格要求的；（注：其中信用查询由谈判小组于资格审查时</w:t>
      </w:r>
      <w:r>
        <w:rPr>
          <w:rFonts w:hint="eastAsia" w:ascii="宋体" w:hAnsi="宋体" w:cs="宋体"/>
          <w:color w:val="000000" w:themeColor="text1"/>
          <w:szCs w:val="21"/>
          <w:highlight w:val="none"/>
          <w14:textFill>
            <w14:solidFill>
              <w14:schemeClr w14:val="tx1"/>
            </w14:solidFill>
          </w14:textFill>
        </w:rPr>
        <w:t>在“信用中国”网站和“中国政府采购网”</w:t>
      </w:r>
      <w:r>
        <w:rPr>
          <w:rFonts w:hint="eastAsia" w:ascii="宋体" w:hAnsi="宋体" w:cs="宋体"/>
          <w:bCs/>
          <w:color w:val="000000" w:themeColor="text1"/>
          <w:szCs w:val="21"/>
          <w:highlight w:val="none"/>
          <w14:textFill>
            <w14:solidFill>
              <w14:schemeClr w14:val="tx1"/>
            </w14:solidFill>
          </w14:textFill>
        </w:rPr>
        <w:t>对供应商进行信用查询，联合体成员存在不良信用记录的视同联合体存在不良信用记录。）</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（2）未提供谈判文件中“13.响应文件的组成13.1资格证明文件”要求必须提供的资料的；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（3）法律、法规和谈判文件规定的其他无效情形。</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通过资格审查的合格供应商不足3家的，不得进入符合性审查环节，采购人或者采购代理机构应当重新开展采购活动。</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24.3符合性审查</w:t>
      </w:r>
    </w:p>
    <w:p>
      <w:pPr>
        <w:widowControl/>
        <w:spacing w:line="360" w:lineRule="auto"/>
        <w:ind w:firstLine="420"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谈判小组依法对供应商的符合性进行审查</w:t>
      </w:r>
      <w:r>
        <w:rPr>
          <w:rFonts w:hint="eastAsia" w:ascii="宋体" w:hAnsi="宋体" w:cs="宋体"/>
          <w:color w:val="000000" w:themeColor="text1"/>
          <w:spacing w:val="-2"/>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在符合性审查时，如发现下列情形之一的，响应文件将被视为无效：</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未按照竞争性谈判文件的规定足额交纳竞标保证金的</w:t>
      </w:r>
      <w:r>
        <w:rPr>
          <w:rFonts w:hint="eastAsia" w:ascii="宋体" w:hAnsi="宋体" w:cs="宋体"/>
          <w:bCs/>
          <w:color w:val="000000" w:themeColor="text1"/>
          <w:szCs w:val="21"/>
          <w:highlight w:val="none"/>
          <w14:textFill>
            <w14:solidFill>
              <w14:schemeClr w14:val="tx1"/>
            </w14:solidFill>
          </w14:textFill>
        </w:rPr>
        <w:t>；</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（2）响应文件未按谈判文件要求签署、盖章的；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（3）投标代表人未能出具身份证明或与法定代表人授权委托人身份不符的；</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（4）响应文件的实质性内容未使用中文表述、意思表述不明确、前后矛盾或者使用计量单位不符合谈判文件要求的（经评标委员会认定并允许其当场更正的笔误除外）</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（5）响应文件有效期、服务期或交货期、质保期等商务条款不能满足招标文件要求的；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（6）未实质性响应谈判文件要求或者响应文件有采购人不能接受的附加条件的。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（7）未提供谈判文件中“13.响应文件的组成13.2商务和技术文件”要求必须提供的资料的；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（8）未提供或未如实提供投标货物的技术参数，或者响应文件标明的响应或偏离与事实不符或虚假投标的；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（9）明显不符合招标文件要求的规格型号、质量标准和采购需求的，或者与招标文件中标“▲”的技术指标、主要功能项目发生实质性偏离的；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（10）允许偏离的技术、性能指标或者辅助功能项目发生负偏离达 1 项（含1项）以上的；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（11）技术方案不明确，存在一个或一个以上备选（替代）竞标方案的。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（12）未提供谈判文件中“13.响应文件的组成13.3报价文件”要求必须提供的资料的；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（13）报价超过招标文件中规定的预算金额或者最高限价的；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（14）未采用人民币报价或者未按照招标文件标明的币种报价的；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（15）竞标报价具有选择性，或者云平台中开标记录表的报价与响应文件承诺的优惠（折扣）价格不一致的；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（16）法律、法规和招标文件规定的其他无效情形。</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（17）出现恶意竞争低于成本价的情形</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（18）修正后的报价，供应商不确认的。</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widowControl/>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通过符合性审查的合格供应商不足3家的，不得进入谈判环节，应当重新开展采购活动。</w:t>
      </w:r>
    </w:p>
    <w:p>
      <w:pPr>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25.谈判程序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000000" w:themeColor="text1"/>
          <w:szCs w:val="21"/>
          <w:highlight w:val="none"/>
          <w14:textFill>
            <w14:solidFill>
              <w14:schemeClr w14:val="tx1"/>
            </w14:solidFill>
          </w14:textFill>
        </w:rPr>
        <w:t>其响应文件按无效响应处理。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25.5谈判中，谈判的任何一方不得透露与谈判有关的其他供应商的技术资料、价格和其他信息。</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25.6谈判小组应对谈判过程和重要谈判内容进行记录，作为评标报告一部分，谈判小组在记录上签字确认。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25.7谈判过程中重新提交的响应文件，供应商可以在开启前补充、修改。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25.8对谈判过程提交的响应文件进行有效性、完整性和响应程度审查，通过审查的合格供应商不足3家的，采购人或者采购代理机构应当重新开展采购活动。</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26.最后报价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26.1谈判文件能够详细列明采购标的的技术、服务要求的，谈判结束后，由谈判小组要求所有继续参加谈判的供应商在规定时间内密封提交最后报价，提交最后报价的供应商不得少于3家，否则必须重新采购。</w:t>
      </w:r>
      <w:r>
        <w:rPr>
          <w:rFonts w:hint="eastAsia" w:ascii="宋体" w:hAnsi="宋体" w:cs="宋体"/>
          <w:color w:val="000000" w:themeColor="text1"/>
          <w:kern w:val="0"/>
          <w:szCs w:val="21"/>
          <w:highlight w:val="none"/>
          <w14:textFill>
            <w14:solidFill>
              <w14:schemeClr w14:val="tx1"/>
            </w14:solidFill>
          </w14:textFill>
        </w:rPr>
        <w:t>继续参加谈判的供应商</w:t>
      </w:r>
      <w:r>
        <w:rPr>
          <w:rFonts w:hint="eastAsia" w:ascii="宋体" w:hAnsi="宋体" w:cs="宋体"/>
          <w:color w:val="000000" w:themeColor="text1"/>
          <w:szCs w:val="21"/>
          <w:highlight w:val="none"/>
          <w14:textFill>
            <w14:solidFill>
              <w14:schemeClr w14:val="tx1"/>
            </w14:solidFill>
          </w14:textFill>
        </w:rPr>
        <w:t>作最后报价</w:t>
      </w:r>
      <w:r>
        <w:rPr>
          <w:rFonts w:hint="eastAsia" w:ascii="宋体" w:hAnsi="宋体" w:cs="宋体"/>
          <w:b/>
          <w:color w:val="000000" w:themeColor="text1"/>
          <w:szCs w:val="21"/>
          <w:highlight w:val="none"/>
          <w14:textFill>
            <w14:solidFill>
              <w14:schemeClr w14:val="tx1"/>
            </w14:solidFill>
          </w14:textFill>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000000" w:themeColor="text1"/>
          <w:kern w:val="0"/>
          <w:szCs w:val="21"/>
          <w:highlight w:val="none"/>
          <w14:textFill>
            <w14:solidFill>
              <w14:schemeClr w14:val="tx1"/>
            </w14:solidFill>
          </w14:textFill>
        </w:rPr>
        <w:t>后递交</w:t>
      </w:r>
      <w:r>
        <w:rPr>
          <w:rFonts w:hint="eastAsia" w:ascii="宋体" w:hAnsi="宋体" w:cs="宋体"/>
          <w:b/>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26.3 最后报价是供应商响应文件的有效组成部分。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26.4已经提交响应文件的供应商，在提交最后报价之前，可以根据谈判情况退出谈判，退出谈判的供应商的响应文件按无效响应处理。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26.5供应商未在规定时间内提交最后报价的，视同</w:t>
      </w:r>
      <w:r>
        <w:rPr>
          <w:rFonts w:hint="eastAsia" w:ascii="宋体" w:hAnsi="宋体" w:cs="宋体"/>
          <w:b/>
          <w:color w:val="000000" w:themeColor="text1"/>
          <w:kern w:val="0"/>
          <w:szCs w:val="21"/>
          <w:highlight w:val="none"/>
          <w14:textFill>
            <w14:solidFill>
              <w14:schemeClr w14:val="tx1"/>
            </w14:solidFill>
          </w14:textFill>
        </w:rPr>
        <w:t>放弃报价权利退出谈判</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26.6谈判小组收齐项目或某一分标最后报价后统一开启，谈判小组对最后报价进行有效性、完整性和响应程度的审查。</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26.7最终响应文件的报价出现前后不一致的，按照本章第29.1条的规定修正。</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26.8修正后的最终报价出现下列情形的，按无效响应处理：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26.9经供应商确认修正后的最后报价作为评审及签订合同的依据。</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26.10供应商出现最后报价按无效响应处理或者响应文件按无效处理时，谈判小组应当告知有关供应商。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26.11最后报价结束后，谈判小组不得再与供应商进行任何形式的商谈。</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 最后报价政府采购政策性扣除</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评审价为供应商的最后报价进行政策性扣除后的价格，评审价只是作为评审时使用。最终成交供应商的成交金额等于最后报价（如有修正，以确认修正后的最后报价为准）。如价格未进行政策性扣除，则评审价=最后报价。</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27.2谈判小组从质量和服务均能满足竞争性谈判文件实质性响应要求的供应商中，按照最后评审价由低到高的顺序提出3名以上成交候选人；</w:t>
      </w:r>
      <w:r>
        <w:rPr>
          <w:rFonts w:hint="eastAsia" w:ascii="宋体" w:hAnsi="宋体" w:cs="宋体"/>
          <w:color w:val="000000" w:themeColor="text1"/>
          <w:highlight w:val="none"/>
          <w14:textFill>
            <w14:solidFill>
              <w14:schemeClr w14:val="tx1"/>
            </w14:solidFill>
          </w14:textFill>
        </w:rPr>
        <w:t>最后评审报价相同时，依次最后竞标报价低优先、</w:t>
      </w:r>
      <w:r>
        <w:rPr>
          <w:rFonts w:hint="eastAsia" w:ascii="宋体" w:hAnsi="宋体" w:cs="宋体"/>
          <w:color w:val="000000" w:themeColor="text1"/>
          <w:szCs w:val="21"/>
          <w:highlight w:val="none"/>
          <w14:textFill>
            <w14:solidFill>
              <w14:schemeClr w14:val="tx1"/>
            </w14:solidFill>
          </w14:textFill>
        </w:rPr>
        <w:t>依次按节能环保产品累计金额高的优先、</w:t>
      </w:r>
      <w:r>
        <w:rPr>
          <w:rFonts w:hint="eastAsia" w:ascii="宋体" w:hAnsi="宋体" w:cs="宋体"/>
          <w:color w:val="000000" w:themeColor="text1"/>
          <w:highlight w:val="none"/>
          <w14:textFill>
            <w14:solidFill>
              <w14:schemeClr w14:val="tx1"/>
            </w14:solidFill>
          </w14:textFill>
        </w:rPr>
        <w:t>环境标志产品优先、关键技术指标高优先、质量保证期长优先、</w:t>
      </w:r>
      <w:r>
        <w:rPr>
          <w:rFonts w:hint="eastAsia" w:ascii="宋体" w:hAnsi="宋体" w:cs="宋体"/>
          <w:bCs/>
          <w:color w:val="000000" w:themeColor="text1"/>
          <w:highlight w:val="none"/>
          <w14:textFill>
            <w14:solidFill>
              <w14:schemeClr w14:val="tx1"/>
            </w14:solidFill>
          </w14:textFill>
        </w:rPr>
        <w:t>交货期</w:t>
      </w:r>
      <w:r>
        <w:rPr>
          <w:rFonts w:hint="eastAsia" w:ascii="宋体" w:hAnsi="宋体" w:cs="宋体"/>
          <w:color w:val="000000" w:themeColor="text1"/>
          <w:highlight w:val="none"/>
          <w14:textFill>
            <w14:solidFill>
              <w14:schemeClr w14:val="tx1"/>
            </w14:solidFill>
          </w14:textFill>
        </w:rPr>
        <w:t>短优先、故障处理时间短优先的顺序排列</w:t>
      </w:r>
      <w:r>
        <w:rPr>
          <w:rFonts w:hint="eastAsia" w:ascii="宋体" w:hAnsi="宋体" w:cs="宋体"/>
          <w:color w:val="000000" w:themeColor="text1"/>
          <w:szCs w:val="21"/>
          <w:highlight w:val="none"/>
          <w14:textFill>
            <w14:solidFill>
              <w14:schemeClr w14:val="tx1"/>
            </w14:solidFill>
          </w14:textFill>
        </w:rPr>
        <w:t>成交候选人，并编写评审报告。最后报价是供应商竞争性谈判响应文件的有效组成部分。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27.3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28.澄清问题的形式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对于响应文件中含义不明确、同类问题表述不一致或者有明显文字和计算错误的内容，评标委员会应在“广西政府采购云平台”平台发布电子澄清函，要求供应商在规定时间内作出必要的澄清、说明或者补正。供应商在“广西政府采购云平台”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29.错误修正</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29.1竞争性谈判响应文件如果出现计算或表达上的错误，修正错误的原则如下：</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（1）响应文件中开标一览表（报价表）内容与响应文件中相应内容不一致的，以开标一览表（报价表）为准；</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（3）单价金额小数点或者百分比有明显错位的，以开标一览表的总价为准，并修改单价；</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widowControl/>
        <w:tabs>
          <w:tab w:val="left" w:pos="540"/>
        </w:tabs>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29.2经供应商确认修正后的首次及最后报价若超过采购预算金额，供应商的响应文件作无效处理。</w:t>
      </w:r>
    </w:p>
    <w:p>
      <w:pPr>
        <w:widowControl/>
        <w:tabs>
          <w:tab w:val="left" w:pos="540"/>
        </w:tabs>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29.3经供应商确认修正后的最后报价作为评审及签订合同的依据。</w:t>
      </w:r>
    </w:p>
    <w:p>
      <w:pPr>
        <w:widowControl/>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30.电子交易活动的中止</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30.1采购过程中出现以下情形，导致电子交易平台无法正常运行，或者无法保证电子交易的公平、公正和安全时，采购机构可中止电子交易活动：</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（1）电子交易平台发生故障而无法登录访问的；</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（2）电子交易平台应用或数据库出现错误，不能进行正常操作的；</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（3）电子交易平台发现严重安全漏洞，有潜在泄密危险的；</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（4）病毒发作导致不能进行正常操作的；</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（5）其他无法保证电子交易的公平、公正和安全的情况。</w:t>
      </w:r>
    </w:p>
    <w:p>
      <w:pPr>
        <w:widowControl/>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31.评委表决</w:t>
      </w:r>
    </w:p>
    <w:p>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31.1在评标过程中出现法律法规和谈判文件均没有明确规定的情形时，由谈判小组现场协商解决，协商不一致的，由全体评委投票表决，以得票率二分之一以上专家的意见为准。</w:t>
      </w:r>
    </w:p>
    <w:p>
      <w:pPr>
        <w:widowControl/>
        <w:tabs>
          <w:tab w:val="left" w:pos="540"/>
        </w:tabs>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32.评审过程的监控</w:t>
      </w:r>
    </w:p>
    <w:p>
      <w:pPr>
        <w:widowControl/>
        <w:tabs>
          <w:tab w:val="left" w:pos="540"/>
        </w:tabs>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32.1本项目电子评标过程实行网上留痕、全程录音、录像监控，供应商在评审过程中所进行的试图影响评审结果的不公正活动，可能导致其竞争性谈判被拒绝。</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五、成交及合同</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33.确定成交供应商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33.1 </w:t>
      </w:r>
      <w:r>
        <w:rPr>
          <w:rFonts w:hint="eastAsia" w:ascii="宋体" w:hAnsi="宋体" w:cs="宋体"/>
          <w:color w:val="000000" w:themeColor="text1"/>
          <w:kern w:val="0"/>
          <w:szCs w:val="21"/>
          <w:highlight w:val="none"/>
          <w14:textFill>
            <w14:solidFill>
              <w14:schemeClr w14:val="tx1"/>
            </w14:solidFill>
          </w14:textFill>
        </w:rPr>
        <w:t>根据以下原则确定成交供应商：响应文件满足谈判文件全部实质性要求，且评审报价最低的供应商为成交供应商。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33.2采购代理机构将在评标结束后两个工作日内将评标报告送采购人，采购人在五个工作日内按照评标报告中推荐的成交候选人顺序确定成交供应商。采购人也可以事先授权谈判小组直接确定成交供应商。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33.3成交供应商确定后二个工作日内，采购代理机构或采购人</w:t>
      </w:r>
      <w:r>
        <w:rPr>
          <w:rFonts w:hint="eastAsia" w:ascii="宋体" w:hAnsi="宋体" w:cs="宋体"/>
          <w:color w:val="000000" w:themeColor="text1"/>
          <w:kern w:val="0"/>
          <w:szCs w:val="21"/>
          <w:highlight w:val="none"/>
          <w14:textFill>
            <w14:solidFill>
              <w14:schemeClr w14:val="tx1"/>
            </w14:solidFill>
          </w14:textFill>
        </w:rPr>
        <w:t>应当对成交供应商信用进行核实</w:t>
      </w:r>
      <w:r>
        <w:rPr>
          <w:rFonts w:hint="eastAsia" w:ascii="宋体" w:hAnsi="宋体" w:cs="宋体"/>
          <w:color w:val="000000" w:themeColor="text1"/>
          <w:szCs w:val="21"/>
          <w:highlight w:val="none"/>
          <w14:textFill>
            <w14:solidFill>
              <w14:schemeClr w14:val="tx1"/>
            </w14:solidFill>
          </w14:textFill>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ascii="宋体" w:hAnsi="宋体" w:cs="宋体"/>
          <w:color w:val="000000" w:themeColor="text1"/>
          <w:spacing w:val="-3"/>
          <w:szCs w:val="21"/>
          <w:highlight w:val="none"/>
          <w14:textFill>
            <w14:solidFill>
              <w14:schemeClr w14:val="tx1"/>
            </w14:solidFill>
          </w14:textFill>
        </w:rPr>
        <w:t>并确定排名第二的中标候选人为中标人。排名第二的中标候选人因前款规定的同样原因被取消中标资格的，采购人可以确定排名第三的中标候选人为中标人，以此类推，采购人也可以取消采购。以上信息查询记录</w:t>
      </w:r>
      <w:r>
        <w:rPr>
          <w:rFonts w:hint="eastAsia" w:ascii="宋体" w:hAnsi="宋体" w:cs="宋体"/>
          <w:color w:val="000000" w:themeColor="text1"/>
          <w:szCs w:val="21"/>
          <w:highlight w:val="none"/>
          <w14:textFill>
            <w14:solidFill>
              <w14:schemeClr w14:val="tx1"/>
            </w14:solidFill>
          </w14:textFill>
        </w:rPr>
        <w:t>及相关证据与谈判文件一并保存。</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33.4在发布成交公告的同时，采购代理机构向成交供应商</w:t>
      </w:r>
      <w:r>
        <w:rPr>
          <w:rFonts w:hint="eastAsia" w:ascii="宋体" w:hAnsi="宋体" w:cs="宋体"/>
          <w:color w:val="000000" w:themeColor="text1"/>
          <w:kern w:val="0"/>
          <w:szCs w:val="21"/>
          <w:highlight w:val="none"/>
          <w14:textFill>
            <w14:solidFill>
              <w14:schemeClr w14:val="tx1"/>
            </w14:solidFill>
          </w14:textFill>
        </w:rPr>
        <w:t>通过“广西政府采购云平台”平台发出电子</w:t>
      </w:r>
      <w:r>
        <w:rPr>
          <w:rFonts w:hint="eastAsia" w:ascii="宋体" w:hAnsi="宋体" w:cs="宋体"/>
          <w:color w:val="000000" w:themeColor="text1"/>
          <w:szCs w:val="21"/>
          <w:highlight w:val="none"/>
          <w14:textFill>
            <w14:solidFill>
              <w14:schemeClr w14:val="tx1"/>
            </w14:solidFill>
          </w14:textFill>
        </w:rPr>
        <w:t>成交通知书。</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33.5供应商认为竞争性谈判文件、招标过程和成交结果使自己的权益受到损害的，可以在知道或者应知其权益受到损害之日起七个工作日内，以书面形式向招标采购单位提出质疑，并及时索要书面回执。</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33.6采购代理机构应当按照有关规定就采购人委托授权范围内的事项在收到供应商的书面质疑后七个工作日内做出答复，但答复的内容不得涉及商业秘密。</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34.签订合同</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成交供应商应在成交通知书发出之日起二十五日内（采购文件另有约定的除外），按谈判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cs="宋体"/>
          <w:color w:val="000000" w:themeColor="text1"/>
          <w:kern w:val="0"/>
          <w:szCs w:val="21"/>
          <w:highlight w:val="none"/>
          <w14:textFill>
            <w14:solidFill>
              <w14:schemeClr w14:val="tx1"/>
            </w14:solidFill>
          </w14:textFill>
        </w:rPr>
        <w:t>电子采购合同需要供应商通过有效CA证书进行电子签名与签章。</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34.3如成交供应商不按成交通知书的规定签订合同，则按成交供应商违约处理，采购代理机构将没收成交供应商投标的全部竞标保证金并上缴同级财政国库。</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成交供应商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34.5政府采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pPr>
        <w:pStyle w:val="20"/>
        <w:spacing w:line="360" w:lineRule="auto"/>
        <w:ind w:firstLine="310" w:firstLineChars="147"/>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34.6履约保证金</w:t>
      </w:r>
    </w:p>
    <w:p>
      <w:pPr>
        <w:spacing w:line="360" w:lineRule="auto"/>
        <w:ind w:firstLine="283" w:firstLineChars="135"/>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34.6.1履约保证金金额：详见供应商须知前附</w:t>
      </w:r>
      <w:r>
        <w:rPr>
          <w:rFonts w:hint="eastAsia" w:ascii="宋体" w:hAnsi="宋体" w:cs="宋体"/>
          <w:color w:val="000000" w:themeColor="text1"/>
          <w:szCs w:val="21"/>
          <w:highlight w:val="none"/>
          <w14:textFill>
            <w14:solidFill>
              <w14:schemeClr w14:val="tx1"/>
            </w14:solidFill>
          </w14:textFill>
        </w:rPr>
        <w:t>表</w:t>
      </w:r>
      <w:r>
        <w:rPr>
          <w:rFonts w:hint="eastAsia" w:ascii="宋体" w:hAnsi="宋体" w:cs="宋体"/>
          <w:color w:val="000000" w:themeColor="text1"/>
          <w:kern w:val="0"/>
          <w:szCs w:val="21"/>
          <w:highlight w:val="none"/>
          <w14:textFill>
            <w14:solidFill>
              <w14:schemeClr w14:val="tx1"/>
            </w14:solidFill>
          </w14:textFill>
        </w:rPr>
        <w:t>。</w:t>
      </w:r>
    </w:p>
    <w:p>
      <w:pPr>
        <w:spacing w:line="360" w:lineRule="auto"/>
        <w:ind w:firstLine="283" w:firstLineChars="135"/>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34.6.2履约保证金递交时间：详见供应商须知前附</w:t>
      </w:r>
      <w:r>
        <w:rPr>
          <w:rFonts w:hint="eastAsia" w:ascii="宋体" w:hAnsi="宋体" w:cs="宋体"/>
          <w:color w:val="000000" w:themeColor="text1"/>
          <w:szCs w:val="21"/>
          <w:highlight w:val="none"/>
          <w14:textFill>
            <w14:solidFill>
              <w14:schemeClr w14:val="tx1"/>
            </w14:solidFill>
          </w14:textFill>
        </w:rPr>
        <w:t>表，未在规定时间内足额缴纳履约保证金的，不予签订合同</w:t>
      </w:r>
      <w:r>
        <w:rPr>
          <w:rFonts w:hint="eastAsia" w:ascii="宋体" w:hAnsi="宋体" w:cs="宋体"/>
          <w:color w:val="000000" w:themeColor="text1"/>
          <w:kern w:val="0"/>
          <w:szCs w:val="21"/>
          <w:highlight w:val="none"/>
          <w14:textFill>
            <w14:solidFill>
              <w14:schemeClr w14:val="tx1"/>
            </w14:solidFill>
          </w14:textFill>
        </w:rPr>
        <w:t>。</w:t>
      </w:r>
    </w:p>
    <w:p>
      <w:pPr>
        <w:pStyle w:val="20"/>
        <w:spacing w:line="360" w:lineRule="auto"/>
        <w:ind w:firstLine="283" w:firstLineChars="135"/>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34.6.3在履约保证金退还日期前，若中标供应商的开户名称、开户银行、帐号有变动的，请以书面形式通知保证金收取单位，否则由此产生的后果由中标供应商自负。</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六、验收</w:t>
      </w:r>
    </w:p>
    <w:p>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35.验收</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35.2采购人可以邀请参加本项目的其他供应商或者第三方机构参与验收。参与验收的供应商或者第三方机构的意见作为验收书的参考资料一并存档。</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35.5项目验收完毕，成交供应商将壹份《广西壮族自治区政府采购项目合同验收书》（格式详见附件）送采购代理机构存档。</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七、其他事项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36. 需要补充的其他内容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36.1本谈判文件解释规则详见“供应商须知前附表”。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37.2其他事项详见“供应商须知前附表”。</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37. 成交服务费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成交服务费：代理服务费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下浮10%向成交供应商收取。成交供应商在领取成交通知书时，一次性向采购代理机构支付。</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37.2成交服务费收费标准：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641350</wp:posOffset>
                      </wp:positionH>
                      <wp:positionV relativeFrom="paragraph">
                        <wp:posOffset>12065</wp:posOffset>
                      </wp:positionV>
                      <wp:extent cx="831850" cy="1131570"/>
                      <wp:effectExtent l="3810" t="2540" r="21590" b="8890"/>
                      <wp:wrapNone/>
                      <wp:docPr id="3" name="直线 20"/>
                      <wp:cNvGraphicFramePr/>
                      <a:graphic xmlns:a="http://schemas.openxmlformats.org/drawingml/2006/main">
                        <a:graphicData uri="http://schemas.microsoft.com/office/word/2010/wordprocessingShape">
                          <wps:wsp>
                            <wps:cNvCnPr/>
                            <wps:spPr>
                              <a:xfrm flipH="1" flipV="1">
                                <a:off x="0" y="0"/>
                                <a:ext cx="831850" cy="11315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50.5pt;margin-top:0.95pt;height:89.1pt;width:65.5pt;z-index:251661312;mso-width-relative:page;mso-height-relative:page;" filled="f" stroked="t" coordsize="21600,21600" o:gfxdata="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uCX0tEAAAAJAQAADwAAAAAAAAABACAAAAAiAAAAZHJzL2Rvd25yZXYueG1sUEsBAhQAFAAA&#10;AAgAh07iQIX8OZv2AQAA9wMAAA4AAAAAAAAAAQAgAAAAIAEAAGRycy9lMm9Eb2MueG1sUEsFBgAA&#10;AAAGAAYAWQEAAIgFAAAAAA==&#10;">
                      <v:fill on="f" focussize="0,0"/>
                      <v:stroke color="#000000" joinstyle="round"/>
                      <v:imagedata o:title=""/>
                      <o:lock v:ext="edit" aspectratio="f"/>
                    </v:line>
                  </w:pict>
                </mc:Fallback>
              </mc:AlternateContent>
            </w:r>
            <w:r>
              <w:rPr>
                <w:rFonts w:hint="eastAsia" w:ascii="宋体" w:hAnsi="宋体" w:cs="宋体"/>
                <w:b/>
                <w:color w:val="000000" w:themeColor="text1"/>
                <w:szCs w:val="21"/>
                <w:highlight w:val="none"/>
                <w14:textFill>
                  <w14:solidFill>
                    <w14:schemeClr w14:val="tx1"/>
                  </w14:solidFill>
                </w14:textFill>
              </w:rPr>
              <w:t>费率</w:t>
            </w:r>
            <w:r>
              <w:rPr>
                <w:rFonts w:hint="eastAsia" w:ascii="宋体" w:hAnsi="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CpcURx4QEAAN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color w:val="000000" w:themeColor="text1"/>
                <w:szCs w:val="21"/>
                <w:highlight w:val="none"/>
                <w14:textFill>
                  <w14:solidFill>
                    <w14:schemeClr w14:val="tx1"/>
                  </w14:solidFill>
                </w14:textFill>
              </w:rPr>
              <w:t xml:space="preserve">    服务类型</w:t>
            </w:r>
          </w:p>
          <w:p>
            <w:pPr>
              <w:spacing w:line="360" w:lineRule="auto"/>
              <w:ind w:firstLine="422" w:firstLineChars="200"/>
              <w:jc w:val="center"/>
              <w:rPr>
                <w:rFonts w:hint="eastAsia" w:ascii="宋体" w:hAnsi="宋体" w:cs="宋体"/>
                <w:b/>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-159385</wp:posOffset>
                      </wp:positionV>
                      <wp:extent cx="1508760" cy="723265"/>
                      <wp:effectExtent l="1905" t="4445" r="13335" b="15240"/>
                      <wp:wrapNone/>
                      <wp:docPr id="2" name="直线 19"/>
                      <wp:cNvGraphicFramePr/>
                      <a:graphic xmlns:a="http://schemas.openxmlformats.org/drawingml/2006/main">
                        <a:graphicData uri="http://schemas.microsoft.com/office/word/2010/wordprocessingShape">
                          <wps:wsp>
                            <wps:cNvCnPr/>
                            <wps:spPr>
                              <a:xfrm flipH="1" flipV="1">
                                <a:off x="0" y="0"/>
                                <a:ext cx="1508760" cy="7232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2.85pt;margin-top:-12.55pt;height:56.95pt;width:118.8pt;z-index:251660288;mso-width-relative:page;mso-height-relative:page;" filled="f" stroked="t" coordsize="21600,21600" o:gfxdata="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7I93VAAAACQEAAA8AAAAAAAAAAQAgAAAAIgAAAGRycy9kb3ducmV2LnhtbFBLAQIU&#10;ABQAAAAIAIdO4kDo/BH+9gEAAPcDAAAOAAAAAAAAAAEAIAAAACQBAABkcnMvZTJvRG9jLnhtbFBL&#10;BQYAAAAABgAGAFkBAACMBQAAAAA=&#10;">
                      <v:fill on="f" focussize="0,0"/>
                      <v:stroke color="#000000" joinstyle="round"/>
                      <v:imagedata o:title=""/>
                      <o:lock v:ext="edit" aspectratio="f"/>
                    </v:line>
                  </w:pict>
                </mc:Fallback>
              </mc:AlternateContent>
            </w:r>
          </w:p>
          <w:p>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成交金额（万元）</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服务招标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100以下</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100-500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0.8%</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500-1000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0.8%</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0.45%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1000-5000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0.25%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5000-10000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0.25%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10000-100000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0.05%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1000000以上</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0.01%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0.01%</w:t>
            </w:r>
          </w:p>
        </w:tc>
      </w:tr>
    </w:tbl>
    <w:p>
      <w:pPr>
        <w:pStyle w:val="20"/>
        <w:spacing w:line="360" w:lineRule="auto"/>
        <w:ind w:firstLine="420" w:firstLineChars="200"/>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注：招标代理服务费收费按差额定率累进法计算。</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38.供应商信用查询相关规定</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38.1信用查询渠道：“信用中国”网站（www.creditchina.gov.cn）、中国政府采购网（www.ccgp.gov.cn）；</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38.2信用查询截止时点：资格审查时。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38.3信用信息查询记录：“列入失信被执行人”、“ 重大税收违法案件当事人名单”、“政府采购严重违法失信行为记录名单”。</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38.4信用信息的使用规则：如供应商被列入“列入失信被执行人”、 “ 重大税收违法案件当事人名单”、“政府采购严重违法失信行为记录名单”等名单内的，将按照信用信息使用规则处理。</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39.关于中小企业的相关规定</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39.1根据《政府采购促进中小企业发展管理办法》（财库[2020]46号），本谈判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39.3在货物采购项目中，供应商提供的货物既有中小企业制造货物，也有大型企业制造货物的，不享受中小企业扶持政策。</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39.4以联合体形式参加政府采购活动，联合体各方均为中小企业的，联合体视同中小企业。其中，联合体各方均为小微企业的，联合体视同小微企业。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39.5享受中小企业扶持政策获得政府采购合同的，小微企业不得将合同分包给大中型企业，中型企业不得将合同分包给大型企业。</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39.6供应商（货物项目时为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39.7供应商（货物项目时为竞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widowControl/>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hint="eastAsia" w:ascii="宋体" w:hAnsi="宋体" w:cs="宋体"/>
          <w:color w:val="000000" w:themeColor="text1"/>
          <w:kern w:val="0"/>
          <w:szCs w:val="21"/>
          <w:highlight w:val="none"/>
          <w14:textFill>
            <w14:solidFill>
              <w14:schemeClr w14:val="tx1"/>
            </w14:solidFill>
          </w14:textFill>
        </w:rPr>
        <w:t xml:space="preserve"> </w:t>
      </w:r>
    </w:p>
    <w:p>
      <w:pPr>
        <w:spacing w:line="360" w:lineRule="auto"/>
        <w:ind w:firstLine="420" w:firstLineChars="200"/>
        <w:rPr>
          <w:rFonts w:hint="eastAsia" w:ascii="宋体" w:hAnsi="宋体" w:cs="Adobe 宋体 Std L"/>
          <w:color w:val="000000" w:themeColor="text1"/>
          <w:szCs w:val="21"/>
          <w:highlight w:val="none"/>
          <w14:textFill>
            <w14:solidFill>
              <w14:schemeClr w14:val="tx1"/>
            </w14:solidFill>
          </w14:textFill>
        </w:rPr>
      </w:pPr>
    </w:p>
    <w:p>
      <w:pPr>
        <w:tabs>
          <w:tab w:val="left" w:pos="2835"/>
        </w:tabs>
        <w:spacing w:line="360" w:lineRule="auto"/>
        <w:rPr>
          <w:rFonts w:hint="eastAsia" w:ascii="宋体" w:hAnsi="宋体"/>
          <w:color w:val="000000" w:themeColor="text1"/>
          <w:szCs w:val="21"/>
          <w:highlight w:val="none"/>
          <w14:textFill>
            <w14:solidFill>
              <w14:schemeClr w14:val="tx1"/>
            </w14:solidFill>
          </w14:textFill>
        </w:rPr>
      </w:pPr>
    </w:p>
    <w:p>
      <w:pPr>
        <w:pStyle w:val="2"/>
        <w:rPr>
          <w:rFonts w:hint="eastAsia" w:ascii="宋体" w:hAnsi="宋体"/>
          <w:color w:val="000000" w:themeColor="text1"/>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r>
        <w:rPr>
          <w:rFonts w:ascii="宋体" w:hAnsi="宋体"/>
          <w:color w:val="000000" w:themeColor="text1"/>
          <w:highlight w:val="none"/>
          <w14:textFill>
            <w14:solidFill>
              <w14:schemeClr w14:val="tx1"/>
            </w14:solidFill>
          </w14:textFill>
        </w:rPr>
        <w:br w:type="page"/>
      </w:r>
    </w:p>
    <w:p>
      <w:pPr>
        <w:tabs>
          <w:tab w:val="left" w:pos="2835"/>
        </w:tabs>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附件1</w:t>
      </w:r>
    </w:p>
    <w:p>
      <w:pPr>
        <w:pStyle w:val="20"/>
        <w:snapToGrid w:val="0"/>
        <w:spacing w:line="360" w:lineRule="auto"/>
        <w:jc w:val="center"/>
        <w:rPr>
          <w:rFonts w:hint="eastAsia" w:hAnsi="宋体" w:cs="宋体"/>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广西壮族自治区政府采购项目合同验收书</w:t>
      </w:r>
      <w:r>
        <w:rPr>
          <w:rFonts w:hint="eastAsia" w:hAnsi="宋体" w:cs="宋体"/>
          <w:color w:val="000000" w:themeColor="text1"/>
          <w:sz w:val="36"/>
          <w:szCs w:val="36"/>
          <w:highlight w:val="none"/>
          <w14:textFill>
            <w14:solidFill>
              <w14:schemeClr w14:val="tx1"/>
            </w14:solidFill>
          </w14:textFill>
        </w:rPr>
        <w:t>（格式）</w:t>
      </w:r>
    </w:p>
    <w:p>
      <w:pPr>
        <w:widowControl/>
        <w:shd w:val="clear" w:color="auto" w:fill="FFFFFF"/>
        <w:snapToGrid w:val="0"/>
        <w:spacing w:line="360" w:lineRule="auto"/>
        <w:ind w:firstLine="424" w:firstLineChars="202"/>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根据政府采购项目（</w:t>
      </w:r>
      <w:r>
        <w:rPr>
          <w:rFonts w:hint="eastAsia" w:ascii="宋体" w:hAnsi="宋体" w:cs="宋体"/>
          <w:color w:val="000000" w:themeColor="text1"/>
          <w:kern w:val="0"/>
          <w:szCs w:val="21"/>
          <w:highlight w:val="none"/>
          <w:u w:val="single"/>
          <w14:textFill>
            <w14:solidFill>
              <w14:schemeClr w14:val="tx1"/>
            </w14:solidFill>
          </w14:textFill>
        </w:rPr>
        <w:t>采购合同编号：</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）的约定，我单位对（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项目名称 </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政府采购项目中标（或成交）供应商（</w:t>
      </w:r>
      <w:r>
        <w:rPr>
          <w:rFonts w:hint="eastAsia" w:ascii="宋体" w:hAnsi="宋体" w:cs="宋体"/>
          <w:color w:val="000000" w:themeColor="text1"/>
          <w:kern w:val="0"/>
          <w:szCs w:val="21"/>
          <w:highlight w:val="none"/>
          <w:u w:val="single"/>
          <w14:textFill>
            <w14:solidFill>
              <w14:schemeClr w14:val="tx1"/>
            </w14:solidFill>
          </w14:textFill>
        </w:rPr>
        <w:t xml:space="preserve"> 公司名称 </w:t>
      </w:r>
      <w:r>
        <w:rPr>
          <w:rFonts w:hint="eastAsia" w:ascii="宋体" w:hAnsi="宋体" w:cs="宋体"/>
          <w:color w:val="000000" w:themeColor="text1"/>
          <w:kern w:val="0"/>
          <w:szCs w:val="21"/>
          <w:highlight w:val="none"/>
          <w14:textFill>
            <w14:solidFill>
              <w14:schemeClr w14:val="tx1"/>
            </w14:solidFill>
          </w14:textFill>
        </w:rPr>
        <w:t>） 提供的货物（或工程、服务）进行了验收，验收情况如下：</w:t>
      </w:r>
    </w:p>
    <w:tbl>
      <w:tblPr>
        <w:tblStyle w:val="37"/>
        <w:tblW w:w="9639" w:type="dxa"/>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验收方式：</w:t>
            </w:r>
          </w:p>
        </w:tc>
        <w:tc>
          <w:tcPr>
            <w:tcW w:w="5927"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1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w:t>
            </w:r>
          </w:p>
        </w:tc>
        <w:tc>
          <w:tcPr>
            <w:tcW w:w="331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630"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金额</w:t>
            </w: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w:t>
            </w: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合计大写金额：    仟   佰   拾   万   仟   佰   拾   元</w:t>
            </w:r>
          </w:p>
        </w:tc>
      </w:tr>
      <w:tr>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实际供货日期</w:t>
            </w: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合同交货验收日期</w:t>
            </w: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验收小组意见</w:t>
            </w: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监督人员或其他相关人员签字：</w:t>
            </w:r>
          </w:p>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中标或者成交供应商负责人签字或盖章：</w:t>
            </w:r>
          </w:p>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c>
          <w:tcPr>
            <w:tcW w:w="4900"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采购人或受托机构的意见（盖章）：</w:t>
            </w:r>
          </w:p>
          <w:p>
            <w:pPr>
              <w:widowControl/>
              <w:spacing w:before="100" w:beforeAutospacing="1" w:after="100" w:afterAutospacing="1"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r>
    </w:tbl>
    <w:p>
      <w:pPr>
        <w:ind w:firstLine="422"/>
        <w:jc w:val="left"/>
        <w:rPr>
          <w:rFonts w:hint="eastAsia" w:hAnsi="宋体"/>
          <w:b/>
          <w:color w:val="000000" w:themeColor="text1"/>
          <w:highlight w:val="none"/>
          <w14:textFill>
            <w14:solidFill>
              <w14:schemeClr w14:val="tx1"/>
            </w14:solidFill>
          </w14:textFill>
        </w:rPr>
      </w:pPr>
    </w:p>
    <w:p>
      <w:pPr>
        <w:tabs>
          <w:tab w:val="left" w:pos="2835"/>
        </w:tabs>
        <w:rPr>
          <w:rFonts w:hint="eastAsia" w:ascii="宋体" w:hAnsi="宋体" w:cs="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r>
        <w:rPr>
          <w:rFonts w:hint="eastAsia" w:ascii="宋体" w:hAnsi="宋体" w:cs="宋体"/>
          <w:b/>
          <w:color w:val="000000" w:themeColor="text1"/>
          <w:highlight w:val="none"/>
          <w14:textFill>
            <w14:solidFill>
              <w14:schemeClr w14:val="tx1"/>
            </w14:solidFill>
          </w14:textFill>
        </w:rPr>
        <w:t>附件2：</w:t>
      </w:r>
    </w:p>
    <w:p>
      <w:pPr>
        <w:pStyle w:val="20"/>
        <w:snapToGrid w:val="0"/>
        <w:spacing w:line="360" w:lineRule="auto"/>
        <w:jc w:val="center"/>
        <w:rPr>
          <w:rFonts w:hint="eastAsia"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政府采购项目履约保证金退付意见书</w:t>
      </w:r>
      <w:r>
        <w:rPr>
          <w:rFonts w:hint="eastAsia" w:hAnsi="宋体" w:cs="宋体"/>
          <w:color w:val="000000" w:themeColor="text1"/>
          <w:sz w:val="36"/>
          <w:szCs w:val="36"/>
          <w:highlight w:val="none"/>
          <w14:textFill>
            <w14:solidFill>
              <w14:schemeClr w14:val="tx1"/>
            </w14:solidFill>
          </w14:textFill>
        </w:rPr>
        <w:t>（参考）</w:t>
      </w:r>
    </w:p>
    <w:tbl>
      <w:tblPr>
        <w:tblStyle w:val="3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申</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w:t>
            </w:r>
          </w:p>
        </w:tc>
        <w:tc>
          <w:tcPr>
            <w:tcW w:w="8456" w:type="dxa"/>
            <w:vAlign w:val="center"/>
          </w:tcPr>
          <w:p>
            <w:pPr>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ind w:left="1" w:leftChars="-51" w:hanging="108" w:hangingChars="45"/>
              <w:rPr>
                <w:color w:val="000000" w:themeColor="text1"/>
                <w:sz w:val="24"/>
                <w:highlight w:val="none"/>
                <w14:textFill>
                  <w14:solidFill>
                    <w14:schemeClr w14:val="tx1"/>
                  </w14:solidFill>
                </w14:textFill>
              </w:rPr>
            </w:pPr>
          </w:p>
        </w:tc>
        <w:tc>
          <w:tcPr>
            <w:tcW w:w="8456" w:type="dxa"/>
            <w:vAlign w:val="center"/>
          </w:tcPr>
          <w:p>
            <w:pPr>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ind w:left="1" w:leftChars="-51" w:hanging="108" w:hangingChars="45"/>
              <w:rPr>
                <w:color w:val="000000" w:themeColor="text1"/>
                <w:sz w:val="24"/>
                <w:highlight w:val="none"/>
                <w14:textFill>
                  <w14:solidFill>
                    <w14:schemeClr w14:val="tx1"/>
                  </w14:solidFill>
                </w14:textFill>
              </w:rPr>
            </w:pPr>
          </w:p>
        </w:tc>
        <w:tc>
          <w:tcPr>
            <w:tcW w:w="8456" w:type="dxa"/>
          </w:tcPr>
          <w:p>
            <w:pPr>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该项目已于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日验收并交付使用。根据合同规定，该项目的履约保证金期限于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日已满，请将履约保证金</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（小写）退付到达以下帐户。</w:t>
            </w:r>
          </w:p>
          <w:p>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w:t>
            </w:r>
          </w:p>
          <w:p>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帐   号：</w:t>
            </w:r>
          </w:p>
          <w:p>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p>
            <w:pPr>
              <w:spacing w:line="400" w:lineRule="exact"/>
              <w:ind w:firstLine="480"/>
              <w:rPr>
                <w:color w:val="000000" w:themeColor="text1"/>
                <w:sz w:val="24"/>
                <w:highlight w:val="none"/>
                <w14:textFill>
                  <w14:solidFill>
                    <w14:schemeClr w14:val="tx1"/>
                  </w14:solidFill>
                </w14:textFill>
              </w:rPr>
            </w:pPr>
          </w:p>
          <w:p>
            <w:pPr>
              <w:spacing w:line="520" w:lineRule="exact"/>
              <w:ind w:firstLine="48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供应商签章：</w:t>
            </w:r>
          </w:p>
          <w:p>
            <w:pPr>
              <w:spacing w:line="520" w:lineRule="exact"/>
              <w:ind w:firstLine="48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购</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pPr>
              <w:ind w:left="1" w:leftChars="-51" w:hanging="108" w:hangingChars="4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456" w:type="dxa"/>
          </w:tcPr>
          <w:p>
            <w:pPr>
              <w:ind w:firstLine="480"/>
              <w:rPr>
                <w:color w:val="000000" w:themeColor="text1"/>
                <w:sz w:val="24"/>
                <w:highlight w:val="none"/>
                <w14:textFill>
                  <w14:solidFill>
                    <w14:schemeClr w14:val="tx1"/>
                  </w14:solidFill>
                </w14:textFill>
              </w:rPr>
            </w:pPr>
          </w:p>
          <w:p>
            <w:pPr>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退付意见：（是否同意退付履约保证金及退付金额）</w:t>
            </w:r>
          </w:p>
          <w:p>
            <w:pPr>
              <w:ind w:firstLine="480"/>
              <w:rPr>
                <w:color w:val="000000" w:themeColor="text1"/>
                <w:sz w:val="24"/>
                <w:highlight w:val="none"/>
                <w14:textFill>
                  <w14:solidFill>
                    <w14:schemeClr w14:val="tx1"/>
                  </w14:solidFill>
                </w14:textFill>
              </w:rPr>
            </w:pPr>
          </w:p>
          <w:p>
            <w:pPr>
              <w:ind w:firstLine="480"/>
              <w:rPr>
                <w:color w:val="000000" w:themeColor="text1"/>
                <w:sz w:val="24"/>
                <w:highlight w:val="none"/>
                <w14:textFill>
                  <w14:solidFill>
                    <w14:schemeClr w14:val="tx1"/>
                  </w14:solidFill>
                </w14:textFill>
              </w:rPr>
            </w:pPr>
          </w:p>
          <w:p>
            <w:pPr>
              <w:ind w:firstLine="480"/>
              <w:rPr>
                <w:color w:val="000000" w:themeColor="text1"/>
                <w:sz w:val="24"/>
                <w:highlight w:val="none"/>
                <w14:textFill>
                  <w14:solidFill>
                    <w14:schemeClr w14:val="tx1"/>
                  </w14:solidFill>
                </w14:textFill>
              </w:rPr>
            </w:pPr>
          </w:p>
          <w:p>
            <w:pPr>
              <w:ind w:firstLine="480"/>
              <w:rPr>
                <w:color w:val="000000" w:themeColor="text1"/>
                <w:sz w:val="24"/>
                <w:highlight w:val="none"/>
                <w14:textFill>
                  <w14:solidFill>
                    <w14:schemeClr w14:val="tx1"/>
                  </w14:solidFill>
                </w14:textFill>
              </w:rPr>
            </w:pPr>
          </w:p>
          <w:p>
            <w:pPr>
              <w:spacing w:line="52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                         采购人签章</w:t>
            </w:r>
          </w:p>
          <w:p>
            <w:pPr>
              <w:spacing w:line="520" w:lineRule="exact"/>
              <w:ind w:firstLine="48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p>
            <w:pPr>
              <w:spacing w:line="520" w:lineRule="exact"/>
              <w:ind w:firstLine="480"/>
              <w:jc w:val="center"/>
              <w:rPr>
                <w:color w:val="000000" w:themeColor="text1"/>
                <w:sz w:val="24"/>
                <w:highlight w:val="none"/>
                <w14:textFill>
                  <w14:solidFill>
                    <w14:schemeClr w14:val="tx1"/>
                  </w14:solidFill>
                </w14:textFill>
              </w:rPr>
            </w:pPr>
          </w:p>
        </w:tc>
      </w:tr>
    </w:tbl>
    <w:p>
      <w:pPr>
        <w:ind w:firstLine="181" w:firstLineChars="100"/>
        <w:rPr>
          <w:rFonts w:hint="eastAsia" w:ascii="黑体" w:hAnsi="黑体" w:eastAsia="黑体"/>
          <w:color w:val="000000" w:themeColor="text1"/>
          <w:szCs w:val="21"/>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注：供应商凭经采购人审批的退付意见书到履约保证金收取单位财务部门办理履约保证金退付事宜。</w:t>
      </w:r>
    </w:p>
    <w:p>
      <w:pPr>
        <w:pStyle w:val="2"/>
        <w:rPr>
          <w:rFonts w:hint="eastAsia" w:ascii="宋体" w:hAnsi="宋体"/>
          <w:color w:val="000000" w:themeColor="text1"/>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pStyle w:val="2"/>
        <w:rPr>
          <w:rFonts w:hint="eastAsia" w:ascii="宋体" w:hAnsi="宋体"/>
          <w:color w:val="000000" w:themeColor="text1"/>
          <w:highlight w:val="none"/>
          <w14:textFill>
            <w14:solidFill>
              <w14:schemeClr w14:val="tx1"/>
            </w14:solidFill>
          </w14:textFill>
        </w:rPr>
      </w:pPr>
      <w:bookmarkStart w:id="5" w:name="_Toc29464"/>
      <w:r>
        <w:rPr>
          <w:rFonts w:hint="eastAsia" w:ascii="宋体" w:hAnsi="宋体"/>
          <w:color w:val="000000" w:themeColor="text1"/>
          <w:highlight w:val="none"/>
          <w14:textFill>
            <w14:solidFill>
              <w14:schemeClr w14:val="tx1"/>
            </w14:solidFill>
          </w14:textFill>
        </w:rPr>
        <w:t>第三章 采购需求</w:t>
      </w:r>
      <w:bookmarkEnd w:id="5"/>
      <w:bookmarkStart w:id="6" w:name="_Toc49329249"/>
      <w:bookmarkStart w:id="7" w:name="_Toc37670349"/>
      <w:bookmarkStart w:id="8" w:name="_Toc78604590"/>
      <w:bookmarkStart w:id="9" w:name="_Toc83636396"/>
    </w:p>
    <w:bookmarkEnd w:id="6"/>
    <w:bookmarkEnd w:id="7"/>
    <w:bookmarkEnd w:id="8"/>
    <w:bookmarkEnd w:id="9"/>
    <w:p>
      <w:pPr>
        <w:spacing w:line="360" w:lineRule="exact"/>
        <w:ind w:firstLine="422" w:firstLineChars="200"/>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说明：</w:t>
      </w:r>
    </w:p>
    <w:p>
      <w:pPr>
        <w:spacing w:line="360" w:lineRule="exact"/>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一、本一览表中的品牌、型号技术参数及其性能（配置）仅起参考作用，供应商可选用其他产品替代，但这些替代的产品要实质上相当于或优于参考品牌型号及其技术参数性能（配置）要求。</w:t>
      </w:r>
    </w:p>
    <w:p>
      <w:pPr>
        <w:spacing w:line="360" w:lineRule="exact"/>
        <w:ind w:firstLine="420" w:firstLineChars="200"/>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二、本一览表中参考品牌、型号及技术参数性能（配置）不明确或有误的，或供应商选用其他产品替代的，须说明品牌型号和详细的技术参数性能（配置）同时填写投标明细表和技术响应表。</w:t>
      </w:r>
    </w:p>
    <w:p>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10" w:name="_Toc519523657"/>
      <w:bookmarkStart w:id="11" w:name="_Toc511133381"/>
      <w:r>
        <w:rPr>
          <w:rFonts w:hint="eastAsia" w:ascii="宋体" w:hAnsi="宋体" w:cs="宋体"/>
          <w:color w:val="000000" w:themeColor="text1"/>
          <w:szCs w:val="21"/>
          <w:highlight w:val="none"/>
          <w14:textFill>
            <w14:solidFill>
              <w14:schemeClr w14:val="tx1"/>
            </w14:solidFill>
          </w14:textFill>
        </w:rPr>
        <w:t>三、供应商必须自行为其竞标产品侵权其他供应商或专利人的专利成果承担相应法律责任；同时，具有产品专利的供应商应在其响应文件中提供与其自有产品专利相关的有效证明材料，否则，不能就其产品的专利在本项目投标过程中被侵权问题提出异议。</w:t>
      </w:r>
      <w:bookmarkEnd w:id="10"/>
      <w:bookmarkEnd w:id="11"/>
    </w:p>
    <w:p>
      <w:pPr>
        <w:widowControl/>
        <w:spacing w:line="360" w:lineRule="exact"/>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四、根据《财政部发展改革委生态环境部市场监管总局关于调整优化节能产品、环境标志产品政府采购执行机制的通知》（财库〔2019〕9号）和《关于印发节能产品政府采购品目清单的通知》（财库〔2019〕19号）的规定，采购需求中的货物属于节能产品政府采购品目清单内标注“★”的（详见本章后附的节能产品政府采购品目清单，专业定制除外），供应商的投标货物必须使用政府强制采购的节能产品，供应商必须在响应文件（商务及技术文件）中提供所竞标产品的节能产品认证证书复印件（或扫描件）（加盖供应商电子公章），否则按无效投标处理。如本项目包含的货物属于品目清单内非标注“★”的产品时，应优先采购，具体详见“第四章 评标方法及评标标准”。</w:t>
      </w:r>
      <w:r>
        <w:rPr>
          <w:rFonts w:hint="eastAsia" w:ascii="宋体" w:hAnsi="宋体" w:cs="宋体"/>
          <w:bCs/>
          <w:color w:val="000000" w:themeColor="text1"/>
          <w:kern w:val="0"/>
          <w:szCs w:val="21"/>
          <w:highlight w:val="none"/>
          <w14:textFill>
            <w14:solidFill>
              <w14:schemeClr w14:val="tx1"/>
            </w14:solidFill>
          </w14:textFill>
        </w:rPr>
        <w:t xml:space="preserve"> </w:t>
      </w:r>
    </w:p>
    <w:p>
      <w:pPr>
        <w:widowControl/>
        <w:spacing w:line="36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▲五、本一览表中的技术参数及其性能（配置）为必须满足的项目，供应商必须提供相当于或优于这些技术参数性能（配置）要求。</w:t>
      </w:r>
    </w:p>
    <w:p>
      <w:pPr>
        <w:widowControl/>
        <w:spacing w:line="360" w:lineRule="exact"/>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六、根据财政部令87号规定，提供相同品牌产品且通过资格审查、符合性审查的不同供应商参加同一合同项下投标的，按一家供应商计算，评审后得分最高的同品牌供应商获得中标人推荐资格；评审得分相同时，以总报价最低的同品牌供应商获得中标人推荐资格；当总报价相同时，则以技术标最优的同品牌供应商获得中标人推荐资格；均相同时，由评标委员会集体决定。</w:t>
      </w:r>
    </w:p>
    <w:p>
      <w:pPr>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七、本项目标的所属行业：</w:t>
      </w:r>
      <w:r>
        <w:rPr>
          <w:rFonts w:hint="eastAsia" w:ascii="宋体" w:hAnsi="宋体" w:cs="宋体"/>
          <w:b/>
          <w:color w:val="000000" w:themeColor="text1"/>
          <w:szCs w:val="21"/>
          <w:highlight w:val="none"/>
          <w:u w:val="single"/>
          <w14:textFill>
            <w14:solidFill>
              <w14:schemeClr w14:val="tx1"/>
            </w14:solidFill>
          </w14:textFill>
        </w:rPr>
        <w:t xml:space="preserve">  工业  </w:t>
      </w:r>
      <w:r>
        <w:rPr>
          <w:rFonts w:hint="eastAsia" w:ascii="宋体" w:hAnsi="宋体" w:cs="宋体"/>
          <w:b/>
          <w:color w:val="000000" w:themeColor="text1"/>
          <w:szCs w:val="21"/>
          <w:highlight w:val="none"/>
          <w14:textFill>
            <w14:solidFill>
              <w14:schemeClr w14:val="tx1"/>
            </w14:solidFill>
          </w14:textFill>
        </w:rPr>
        <w:t>，划分依据：《关于印发中小企业划型标准规定的通知》（工信部联企业[2011]300号）。</w:t>
      </w:r>
    </w:p>
    <w:p>
      <w:pPr>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八、技术需求评审中允许负偏离的条款数为</w:t>
      </w:r>
      <w:r>
        <w:rPr>
          <w:rFonts w:hint="eastAsia" w:ascii="宋体" w:hAnsi="宋体" w:cs="宋体"/>
          <w:b/>
          <w:color w:val="000000" w:themeColor="text1"/>
          <w:szCs w:val="21"/>
          <w:highlight w:val="none"/>
          <w:lang w:val="en-US" w:eastAsia="zh-CN"/>
          <w14:textFill>
            <w14:solidFill>
              <w14:schemeClr w14:val="tx1"/>
            </w14:solidFill>
          </w14:textFill>
        </w:rPr>
        <w:t>0</w:t>
      </w:r>
      <w:r>
        <w:rPr>
          <w:rFonts w:hint="eastAsia" w:ascii="宋体" w:hAnsi="宋体" w:cs="宋体"/>
          <w:b/>
          <w:color w:val="000000" w:themeColor="text1"/>
          <w:szCs w:val="21"/>
          <w:highlight w:val="none"/>
          <w14:textFill>
            <w14:solidFill>
              <w14:schemeClr w14:val="tx1"/>
            </w14:solidFill>
          </w14:textFill>
        </w:rPr>
        <w:t>项；商务条款评审中允许负偏离的条款数为0项。</w:t>
      </w:r>
    </w:p>
    <w:p>
      <w:pPr>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p>
    <w:p>
      <w:pPr>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1183"/>
        <w:gridCol w:w="750"/>
        <w:gridCol w:w="786"/>
        <w:gridCol w:w="5564"/>
        <w:gridCol w:w="8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183"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设备名称</w:t>
            </w:r>
          </w:p>
        </w:tc>
        <w:tc>
          <w:tcPr>
            <w:tcW w:w="750"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786"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5564"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技术参数及其性能（配置）</w:t>
            </w:r>
          </w:p>
        </w:tc>
        <w:tc>
          <w:tcPr>
            <w:tcW w:w="817"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183"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人体感应数据采集系统</w:t>
            </w:r>
          </w:p>
        </w:tc>
        <w:tc>
          <w:tcPr>
            <w:tcW w:w="750" w:type="dxa"/>
            <w:vAlign w:val="center"/>
          </w:tcPr>
          <w:p>
            <w:pPr>
              <w:pStyle w:val="140"/>
              <w:spacing w:line="360" w:lineRule="exact"/>
              <w:jc w:val="center"/>
              <w:rPr>
                <w:rFonts w:hint="eastAsia"/>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1</w:t>
            </w:r>
          </w:p>
        </w:tc>
        <w:tc>
          <w:tcPr>
            <w:tcW w:w="786"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套</w:t>
            </w:r>
          </w:p>
        </w:tc>
        <w:tc>
          <w:tcPr>
            <w:tcW w:w="5564" w:type="dxa"/>
          </w:tcPr>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1.分体式恒温恒湿拉形变监测模块：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温度范围：-20℃ ～ +100℃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温度波动度：±0.5℃；温度均匀度：±2℃ </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升降温速率：降温：0.7-1.2℃/min  非线性空载  升温：3-5℃/min  非线性空载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湿度范围：20%―98%R.H（AT+25℃～+85℃）</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湿度波动度：≤±1%；湿度均匀度:±2%R.H(75%R.H以上)，±3-5%R.H(75%R.H 以下)；以上指标均在环境温度≤25℃，常压，空载、无负荷条件下、距箱体内壁1/6空间内测试测得；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其它配置:观视窗（23*26cm），测试孔（∮50*1只）</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安全装置:无熔丝过载保护，压缩机过热、过流、超压、加热干烧，箱内超温警报系统</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最大负荷：2000N，精度等级：0.5级，有效测力范围：0.4%-100%（0.5级）</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测力精度：显示值±0.5%以内</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试验机分辨率：最大负荷1/200000，内外不分档，且全程分辨率不变</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负荷传感器：基本配置：拉、压传感器（最大负荷）一只 ，扩展配置：可加配多个传感器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有效试验宽度：160mm，测试立柱距传感器中心距：60mm，有效拉伸空间：400mm，试验速度范围：0.1～500mm/min</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位移测量精度：示值的±0.5％以内/示值的±0.2％以内，试台安全装置：电子限位保护</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试台升降装置：快/慢两种速度自动控制，可点动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试台返回功能：手动或自动两种选择、试验结束后自动或手动以最高速度返回试验初始位置</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超载保护：超过最大负荷10％，机器自动保护</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夹具配置：定制拉伸夹具一套，定制推力夹具一套（带移动滑台）</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工作室尺寸：600×600×1500mm（宽×深×高），主机尺寸：450*550*1350mm(长*宽*高)</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动力系统：</w:t>
            </w:r>
            <w:r>
              <w:rPr>
                <w:rFonts w:ascii="宋体" w:hAnsi="宋体" w:cs="宋体"/>
                <w:color w:val="000000" w:themeColor="text1"/>
                <w:highlight w:val="none"/>
                <w14:textFill>
                  <w14:solidFill>
                    <w14:schemeClr w14:val="tx1"/>
                  </w14:solidFill>
                </w14:textFill>
              </w:rPr>
              <w:t>伺服电机+驱动+高精度滚珠丝杆</w:t>
            </w:r>
            <w:r>
              <w:rPr>
                <w:rFonts w:hint="eastAsia" w:ascii="宋体" w:hAnsi="宋体" w:cs="宋体"/>
                <w:color w:val="000000" w:themeColor="text1"/>
                <w:highlight w:val="none"/>
                <w14:textFill>
                  <w14:solidFill>
                    <w14:schemeClr w14:val="tx1"/>
                  </w14:solidFill>
                </w14:textFill>
              </w:rPr>
              <w:t>+驱动+高精度滚珠丝杆</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软件：显示实时测试程序，包括力、时间、伸长率等；曲线内容可设置，X和Y轴内容可选、可设置力、时间、变形等；可增加多曲线显示；可输出Word，Excel，PDF文件测试结果；可增加测试结果想要显示的内容，如：平均力、最大力、最小力、剥离强度。</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2.数据采集模块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仿生机械手掌</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材质:亚克力板+金属连接件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舵机 : ZP15D防堵转高精度数字金属舵机(手掌是9克数字舵机)</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控制器:开源Arduino控制器电池: 2S 2200mah锂电池</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软件部位:上位机:Zide图形化软件，小程序:微信小程序</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控制方式 : 支持手机控制/同步控制/红外/传感器等控制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程机器人具有手指感应，同时手套具备姿态感应，可以控制小车前后左右机体，还搭载MP3红外、声音、传感器、灰度、循环、RGB彩灯等模块可实现语音播报、红外自动演示、声控石头剪子布、测距弯曲、智能循环等众多智能玩法</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视觉机械臂</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材质：铝合金（黑色），夹爪张口:0-55mm。舵机类型:SP15S*2+SP15D*3+SP20D*1/SP30D*1，夹取重量:初级版≤500g/视觉版≤800g，机械臂: 5自由度+夹持器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电源适配器:初级版7.5V3A/视觉版7.5V/5A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初级功能:手机/手柄/电脑/串口通信控制、源码二次开发</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视觉功能:初级功能+颜色/数字/标签码（识别/分拣/码垛）+人脸识别追踪芯片类型:STM32 / Arduino</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控制方式:手机/手柄/电脑</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拓展功能:机械手套/同步示教/语音识别，处理器:STM32H7</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主频：480MHZ，RAM:1MB(内置)+32MB(外置)，Flash:2MB(内置)+32MB(外置)，像素:500万</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电压：3.7-5V和5-8.4V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扭矩：15kg.cm/20kg.cm/30kg.cm，精度：0.3°，接口类型：5264-3P</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控制方式：TTL串口字符串指令。</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优势：1-结构采用全金属支架，承载能力强，寿命长；2-舵机采用串口总线舵机，控制简单，支持角度回读。可实时反馈机械臂姿态，串行接线，接线简单且外观美观</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3.温湿度、电流电压监测模块：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通道：16通道，4通道温度监测、4通道湿度监测、4通道电流监测、4通道电压监测；通道可扩展至200通道；可拓展压力、液位、流量、位移等同时监测；</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供电方式：AC220V/DC12-24V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输入信号：热电偶：K，T，J，B，N，R，E，S，WRE5-26，WRE3-25；热电阻：PT100,PT1000;电流：4-20mA,0-20mA;电压：0-5V，0-10V，±20mV，±100mV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记录模式：1-19999S自主设定</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记录容量：4G</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报警模式：高低限报警，每通道4个</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馈电输出：1路24VDC配电；</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通讯：标准以太网，RS485，RS232；标准ModBus RTUModBus ，TCP通讯协议</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支持手机、PC操作；</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配软件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4.单光谱人体测温模块：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测温与成像功能一体；分辨率：160*120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探测器类型：焦平面阵列 FPA，非制冷微热量，热灵敏度（NETD）：＜ 60mk</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像元间距：17μm，响应波段：7.5μm-14μm，对焦方式：免调焦，测温范围：-20℃ -350℃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测温量程：-20℃ -150℃；0℃ -350℃，测温精度：±2℃或 ±2%，取大值，视场角 (FOV)：25°* 19°</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空间分辨率 (IFOV)：2.73mrad，最小成像距离：1m，镜头焦距:7.5mm，镜头F数:F1.0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全局测温修正：发射率 (0.01-1.0)、反射温度、大气温度、相对湿度、目标距离、外部光学透过率</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区域测温修正：区域发射率 (0.01-1.0)，调色板：铁红、黑白、彩虹等 10 种调色板，可反转调色板</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全辐射流：支持 30Hz 的全辐射流</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测温区域：支持 5 个测温点，10 个测温线，10 个测温区域，支持 Modbus 输出</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图像处理：非均匀性校正，智能增益控制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图像镜像：左右，上下，中心</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视频流压缩标准：热像：H.264；可见光：H.265+</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视频流：主码流 像素：320*240，频率：30Hz,带宽：1Mb;子码流  像素：192*144，频率：30Hz,带宽：100kb</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电脑软件实时显示温度曲线；以太网类型：10M/100M/1000M 自适应</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网络协议：IPv4，UDP，TCP，RTSP，RTCP，RTP</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接入标准：ONVI，电源接口：接线端子，网络接口：RJ45，带状态指示灯</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报警功能：接线端子 1路继电器输出：负载能力：24V，1.5A ； 1路光耦输出：输出能力：3.3-24V,最大输出电流35mA； 1路光耦输入：输入能力：3.3-24V,输入电流5mA-15mA;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串口：接线端子 1路RS-485，供电方式：DC 12/24V ,PoE，材质：铝合金</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典型功耗：3W，防护等级：IP66</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安装方式：三脚架安装：2 个 1/4-UNC-20 标准三脚架安装孔，支持底部安装配软件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5.数据处理与传输模块：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内置锂电池，满电情况下，可连续工作4-6小时（连接充电器实现不间断工作）。每秒可输出50个测试数据；</w:t>
            </w:r>
          </w:p>
          <w:p>
            <w:pPr>
              <w:spacing w:line="40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电阻档为六位半，测量范围为0-200MΩ，分辨率可达到0.001%。电容档测量范围为0-20pF,可侦测1fF的电容变化；支持多通道测试；支持二次开发，支持手机、平板、电脑操作。配软件及手机</w:t>
            </w:r>
          </w:p>
        </w:tc>
        <w:tc>
          <w:tcPr>
            <w:tcW w:w="817" w:type="dxa"/>
            <w:vAlign w:val="center"/>
          </w:tcPr>
          <w:p>
            <w:pPr>
              <w:widowControl/>
              <w:spacing w:line="360" w:lineRule="exact"/>
              <w:jc w:val="left"/>
              <w:textAlignment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183"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压电测试系统</w:t>
            </w:r>
          </w:p>
        </w:tc>
        <w:tc>
          <w:tcPr>
            <w:tcW w:w="750" w:type="dxa"/>
            <w:vAlign w:val="center"/>
          </w:tcPr>
          <w:p>
            <w:pPr>
              <w:pStyle w:val="140"/>
              <w:spacing w:line="360" w:lineRule="exact"/>
              <w:jc w:val="center"/>
              <w:rPr>
                <w:rFonts w:hint="eastAsia"/>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1</w:t>
            </w:r>
          </w:p>
        </w:tc>
        <w:tc>
          <w:tcPr>
            <w:tcW w:w="786"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套</w:t>
            </w:r>
          </w:p>
        </w:tc>
        <w:tc>
          <w:tcPr>
            <w:tcW w:w="5564" w:type="dxa"/>
          </w:tcPr>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1.压电测试模块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d33最大测量范围:6000pC/N，d33测量分辨率：1pC/N和0 .1 pC/N</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d33 测量不确定度：通常情况±2%至±3%（根据不同测量范围和被测样品形状），交变力频率：110 赫兹</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交变力输出幅度：0.2-0.3 牛顿（分辨率 0.01 牛顿）</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静压力可调范围：0-10 牛顿（分辨率 0.01 牛顿）</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测量输出结果：d33 压电常数、静压力和交变力幅度直接显示输出</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放电保护方式：放电提示加自动放电保护双重保险</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电源电压：AC220V/20W</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2.溅射镀膜模块：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玻璃处理室：∮100 毫米，高度 130 毫米</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试样台尺寸：∮40 毫米可同时放多个样品杯，金靶尺寸：∮57 毫米</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真空系统：直联旋片真空泵2升/秒，真空检测：皮氏计</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真空保护：20Pa（配有微量充气阀调节工作真空），工作室工作媒介气体：空气或氩气，配有氩气专用进气口和微量充气调节</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配铜靶材：纯度：99.99%；尺寸：φ58*0.12mm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配氩气：  纯度：99.995% </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3.程控交直流供电模块：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测试模式：AC/DC/IR/OSC，AC电压范围：0.05-10.0kV，AC电压波形：50/60Hz±0.1% 正弦波</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AC输出功率：200VA(10.0kV/ 20mA)，DC电压范围：0.05-12.0kV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DC输出功率：120VA（12.0kV/10mA），负载变动率：±（1%设定值+10V）（额定功率）</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电压分辨率：2V，电压精度:±（1%设定值 + 0.1%满刻度）</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AC电流范围:0.001mA-20mA，AC电流分辨:0.001mA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AC电流精度:0.100mA-2.999mA ±（1%读值 + 0.5%满刻度）；3.00mA-20.00 mA  ±（1.5%读值 + 0.5%满刻度）</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DC电流范围:0.0001mA-10mA，DC电流分辨率 0.1μA，DC电流精度 ±（1%读值 + 0.5%满刻度）</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最大短路电流：40mA (仅交流测试)</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快速放电功能:测试结束后自动放电（DCW）</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绝缘电阻输出电压：DC：0.05-5.0kV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绝缘电阻电压分辨率：2V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绝缘电阻电压精度：±（1%设定值+ 0.5%满刻度）</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电阻测试范围：0.1MΩ–50.0GΩ</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电阻测试精度：电压≥0.5kV  1MΩ-1GΩ±(3%读数+0.1%满刻度) ,1GΩ–10GΩ±(7%读数+2%满刻度),10GΩ–50GΩ±(10%读数+1%满刻度);电压＜500V  0.1MΩ–1GΩ±(5%读数+2%满刻度)</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电弧侦测程序设定：AC 1.0mA-20.0mA  DC 1.0mA-10.0mA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采样标准电容范围：0.001 - 40nF</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开路判断范围：10% - 100%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短路判断范围：100% - 500%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测试时间：0.3 - 999s，0表示持续测试</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上升时间：0.1 - 999s，0表示关闭</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下降时间：0.1 - 999s，0表示关闭</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等待时间：0.1 - 999s，0表示关闭（仅直流耐压）</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触电保护：0.5mA ± 0.25mA 可选择：打开或关闭</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启动保护 Interlock：引脚接低，才允许高压输出</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面板操作保护：键锁、密码</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报警指示：合格：短音，绿灯；不合格：长音，红灯</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内部存储器：可存储100个文件，每个文件可编辑50个步骤</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标配接口：RS232、USB DEVICE、USB HOST、LAN、HANDLER</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介电极化模块：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AC输出电压：0-15KV  AC输出电流：0-2/20mA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DC输出电压：0-15KV  DC输出电流：0-2/20mA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测试精度:±（5%+3个字）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测试时间:0.0s～999s 0.0=连续测试</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变压器容量:300VA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电源要求:AC220V±10%  50Hz/60Hz</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工作环境:温度：（0-40）℃  湿度≤75%RH</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外形样式:台式</w:t>
            </w:r>
          </w:p>
          <w:p>
            <w:pPr>
              <w:spacing w:line="40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配件：高压测试线、接地线、电源线</w:t>
            </w:r>
          </w:p>
        </w:tc>
        <w:tc>
          <w:tcPr>
            <w:tcW w:w="817" w:type="dxa"/>
            <w:vAlign w:val="center"/>
          </w:tcPr>
          <w:p>
            <w:pPr>
              <w:widowControl/>
              <w:spacing w:line="360" w:lineRule="exact"/>
              <w:jc w:val="left"/>
              <w:textAlignment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83"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精密数字电桥</w:t>
            </w:r>
          </w:p>
        </w:tc>
        <w:tc>
          <w:tcPr>
            <w:tcW w:w="750" w:type="dxa"/>
            <w:vAlign w:val="center"/>
          </w:tcPr>
          <w:p>
            <w:pPr>
              <w:pStyle w:val="140"/>
              <w:spacing w:line="360" w:lineRule="exact"/>
              <w:jc w:val="center"/>
              <w:rPr>
                <w:rFonts w:hint="eastAsia"/>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1</w:t>
            </w:r>
          </w:p>
        </w:tc>
        <w:tc>
          <w:tcPr>
            <w:tcW w:w="786"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台</w:t>
            </w:r>
          </w:p>
        </w:tc>
        <w:tc>
          <w:tcPr>
            <w:tcW w:w="5564" w:type="dxa"/>
          </w:tcPr>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1.材料固化装置：</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通道：4通道</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功率设置：0%--99.9%之间进行任意设置</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照射模式：手动：触控、脚踏、0-10V；自动：定时时间制控；阶梯：循环阶梯式照射</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控制模式：触控、脚踏、0-10V、PLC 控制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充氮设置：提前充氮时间可调</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冷却方式：机箱风扇制冷</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选配电压：100-240VAC.50/60HZ</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LED 类型：紫外 LED</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散热方式：强制风冷</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波长范围：365/385/395/405nm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发光尺寸：200*200mm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距离范围：20-200mm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光能量: 1000mw/cm2</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电功率：2000W</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照射区域：200*200mm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触摸屏显示，简单易操控</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故障包括装置：超温报警，灯珠故障，保证设备运行安全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工作环境：5±40℃/20-85%；储存环境：10±60℃/ 20-85%</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2.高低温介电测试装置</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温度范围：−190~600℃，控温精度：±0.3℃，测试环境：真空</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样品尺寸：直径≤20mm，厚度≤2mm；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升降温速率：0~10℃/min，频率范围：20Hz~1MHz，测量精度：0.05%</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配专用软件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*3精密数字电桥：</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测试频率：5Hz-8MHz  分辨率：1mHz</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基本精度：0.05% </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AC信号源 电压：5mVrms-2Vrms；电流：50μArms -20mArms</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DC偏置   电压：0V-±10V，分辨率：100μV；  电流：0mA-±100mA，分辨率：1μA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AC测量参数：Cp/Cs、Lp/Ls、Rp/Rs、|Z|、|Y|、R、X、G、B、θ、D、Q、Vac、Iac</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DC测量参数：Rdc、Vdc、Idc</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AC电压：5Hz-1MHz：5mV-2Vrms；1MHz-8.5MHz：5mV-1Vrms ；分辨率：100μV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测试端配置：四端对；电缆长度：0、1米；输出阻抗：100Ω</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典型测量时间（速度）：Fast：5.6ms Medium：120ms Slow：230ms</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最高准确度：1kHz：0.05%，1MHz：0.05%，2MHz：0.1%，5MHz：0.5%，8MHz：1.0%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测量显示范围：a：1×10-18；E：1×1018</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Cs、Cp：±1.00000aF-999.999EF</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Ls、Lp：±1.000000aH-999.999EH</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D：±0.00001-9.99999</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Q: ±0.01-99999.9</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R、Rs、Rp、X、Z、Rdc:±1.00000aΩ- 999.999EΩ</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G,B,Y:±1.00000aS - 99.9999ES</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Vdc:±1.000000aV - 999.9999EV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Idc:±1.00000aA - 999.999EA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Θr:±1.00000rad - 3.14159rad</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Θd:±0.0001deg - 180.000deg</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Δ%:±0.0001% - 999.999%</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多功能参数列表扫描:10点，扫描参数：测量参数、测试频率、AC电压、AC电流、DCBIAS电压、DCBIAS电流</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图形分析:选配上位机软件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夹具：选配电介质测试夹具和四端对测试夹具</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开机预热时间：1小时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输入电压：100-120VAC/198-242VAC可选择，47-63Hz</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搭配配置电介质测试夹具和四端对测试夹具。</w:t>
            </w:r>
          </w:p>
          <w:p>
            <w:pPr>
              <w:spacing w:line="40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配专用软件</w:t>
            </w:r>
          </w:p>
        </w:tc>
        <w:tc>
          <w:tcPr>
            <w:tcW w:w="817" w:type="dxa"/>
            <w:vAlign w:val="center"/>
          </w:tcPr>
          <w:p>
            <w:pPr>
              <w:widowControl/>
              <w:spacing w:line="360" w:lineRule="exact"/>
              <w:jc w:val="left"/>
              <w:textAlignment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183"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材料储能测试系统</w:t>
            </w:r>
          </w:p>
        </w:tc>
        <w:tc>
          <w:tcPr>
            <w:tcW w:w="750" w:type="dxa"/>
            <w:vAlign w:val="center"/>
          </w:tcPr>
          <w:p>
            <w:pPr>
              <w:pStyle w:val="140"/>
              <w:spacing w:line="360" w:lineRule="exact"/>
              <w:jc w:val="center"/>
              <w:rPr>
                <w:rFonts w:hint="eastAsia"/>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eastAsia="zh-CN"/>
                <w14:textFill>
                  <w14:solidFill>
                    <w14:schemeClr w14:val="tx1"/>
                  </w14:solidFill>
                </w14:textFill>
              </w:rPr>
              <w:t>1</w:t>
            </w:r>
          </w:p>
        </w:tc>
        <w:tc>
          <w:tcPr>
            <w:tcW w:w="786" w:type="dxa"/>
            <w:vAlign w:val="center"/>
          </w:tcPr>
          <w:p>
            <w:pPr>
              <w:pStyle w:val="49"/>
              <w:spacing w:line="360" w:lineRule="exact"/>
              <w:ind w:firstLine="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套</w:t>
            </w:r>
          </w:p>
        </w:tc>
        <w:tc>
          <w:tcPr>
            <w:tcW w:w="5564" w:type="dxa"/>
          </w:tcPr>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1.皮心湿法纺丝装置</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纺丝参数：气压式控制挤出，纺丝过程全程控温(室温至99℃)，挤出速度0.1-8m/min。卷绕速度0-20m/min，设备尺寸高度40cm，宽度38cm，长度150cm，适配电源220V/50Hz，总功率5Kw。</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气控模块：5L微型压缩空气气源，最大气压0.1Mpa，具备自动补压功能。配备机械气压控制器:，压力在0-0.1Mpa范围内精准调控。</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挤出模块：手动纺丝升降机架，升降高度25cm，配备层动料桶2个，体积100ml。316L不锈钢耐腐蚀材质，具备在线脱泡功能。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纺丝模块：可实现单丝纺丝和复丝纺丝功能。配备过滤网、垫片、毛细孔若干。配备316L不锈钢材质复丝组件，带过滤网，O型橡胶圈。工业化纺丝标准喷丝板，金属钽材质，孔径0.1mm，孔数20孔，星型分布。配置皮心纺丝模头：SZ0.2/0.3, 316L不锈钢材质。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后纺模块：外置水循环加热控温，数控显示屏，室温至99℃控温，精度0.1℃。</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卷绕模块：JRJ570卷绕机带摆动功能，不锈钢材质。配备收集管，卷绕辊具备正反转切换功能，无级调速，卷绕速度0-25m/min。具备摆丝连续卷绕功能，卷绕速度、摆丝速度单独可调、可控。</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025m/min;。具备摆丝连续卷绕功能，卷绕速度、摆丝速度单独可调、可控</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2.信号发生器：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双通道都可输出频率≥30MHz的正弦波及方波输出</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最大采样率≥150MSa/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垂直分辨率≥14bit</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方波特性：1uHz~30MHz,上升/下降时间4.2ns, 过冲小于3%（100K，1Vpp），抖动小于300ps + 周期的0.05PPM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脉冲波特性:占空比分辨率0.001%，最小脉宽32.6ns，上升/下降时间最小16.8ns，且沿和占空比可大范围可调，并受当前频率影响，过冲小于3%（100K，1Vpp），抖动小于300ps + 周期的0.05PPM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任意波波形长度:16Kpts</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总谐波失真＜0.075%（0dBm输出）</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输出小电压特性:最小输出电压为2mVpp(50Ω端接)</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标配调制功能包括AM、DSB-AM、FM、PWM,以及输出线性/对数扫描和脉冲串波形等</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输出高频高压特性(1MΩ端接）:在10MHz以内可达到20Vpp</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反灌保护设计:支持前端BNC口输入反灌保护设计</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谐波发生功能，最高可以输出16次谐波</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双通道间具有通道复制、耦合及合并功能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显示屏≥4.3英寸彩色显示屏</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接获取示波器中存储的波形并重现，可与原厂数字示波器无缝互连</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标配接口：LAN、USB Host、USB Device接口</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支持基于BS架构和LAN 连接的实验室智能管理系统</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3.高清示波器：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模拟带宽350MHz；4路模拟通道+EXT通道；</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实时采样率最高4 GSa/s</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物理硬件ADC垂直分辨率12-bit，等效增强分辨率可达16-bit</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屏幕不小于10英寸且支持电容触摸功能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存储深度不低于400Mpts</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垂直档位500uV/div ~ 10V/div；直流增益精度可达1.2%；</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波形捕获率不小于800,000帧/秒；</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不小于78,000段分段存储，以非常小的死区时间分段捕获符合条件的事件；并可记录不小于78,000帧历史波形。</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支持边沿、斜率、脉宽、窗口、欠幅、超时、码型、视频、前提边沿等触发类型及区域触发</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标配IIC, SPI, CAN, LIN, UART/ RS232触发及解码； 可选配CANFD、IIS、FlexRay、MIL-STD-1553B、SEN、T触发及解码功能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大于3M点的FFT数据分析并支持自动标志峰值功能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支持波形搜索与导航功能并配备实体按键</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支持16路逻辑分析功能（选配）</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支持带隔离功能的25MHz DDS 任意波形发生器（选配）</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标配波特图功能，实现电源环路响应测试</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支持电源功率分析（选配）</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支持最小、最大、标准方差、直方图和趋势图等统计；支持门限测试，实现屏幕内自由测量。以及4路独立波形运算和嵌套运算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基于硬件实现的模板测试功能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丰富的SCPI远程控制指令</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内嵌Web Server，无需安装特殊的驱动和上位机软件，通过浏览器即可对仪器进行远程控制、观察波形，获取测量结果</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提供丰富的外围接口：USB 3.0 /2.0,USB Device, LAN, Pass/Fail, Trigger Out等并支持外接鼠标键盘</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探头：500MHz无源探头, 每通道1套；</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高压探头：</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最大量测电压：DC: 0~10KV DC；AC: ≤ 7KV rms, 20KVp-p</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信号/噪声：DC≥60dB(1KHz), ≥50dB(1MHz)</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带宽：DC~40MHz（-3dB）</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衰减比 ：1:1000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上升时间：≤8.8ns</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输入阻抗：100MΩ±5%</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输入电容：3.0PF±0.5PF</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补偿电容：5PF~50PF</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缆线长度：2.0meter（±0.2M）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温度系数：≤200PPM/℃</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准确度：DC ±3%（DC to 10KV） AC  ±3%（DC to 10KV） -3dB: 0~40MHz</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符合安规:CE</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操作环境温度 :0~50℃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储存环境温度 :-20~+70℃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重量/体积:250g/Ф75×340 mm 长</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电流探头：支持开机自动归零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量程：400mA ~ 4A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分辨率：0.1mA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频带宽度：DC～1MHz（±3dB）</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钳口大小：5 毫米（最大）</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供电：9V 层迭电池 6F22 型</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操作温度：0℃到40℃相对湿度低70%；存储温湿度：-10℃到60℃相对湿度低于70%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直流电流：</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范围：DCA 400mA      DCA 4A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准确度：±1.5%rdg±5d</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灵敏度： 1mV/1mA       1mV/10mA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交流电流：</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范围：ACA 400mA       ACA 4A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准确度：±2.0%rdg±5d</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灵敏度： 1mV/1mA       1mV/10mA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4.数字万用表：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15种测量功能，包括电容、温度和模数转换</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扩展测量范围，包括10 pA ~ 10 A及 1 mW ~ 100 MW</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多触点容性大触摸屏及图形显示器</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大容量内存，1 MS/s A/D位数16bit捕获电压或电流瞬态事件;USB主控端口,存储读数、仪器配置和屏幕图</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标配USB-TMC和 LXI/ 以太网通信接口及永久使用的PC软件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测量功能：</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DC电压：100nV-1010V    分辨率：100 nV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AC电压：100nV-750VRMS  分辨率：100 nV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DC电流：10pA-10.1A      分辨率：10pA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AC电流：100pA-10.1A     分辨率：100pA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电阻（2）:10μΩ-120MΩ  分辨率：1μΩ</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电阻（4）：1μΩ-120MΩ   分辨率：μΩ</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电容：0.1pF-120μF         分辨率：0.1 pF</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周期：3.3μS-333ms         分辨率：0.0001%</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频率：3Hz-300kHz           分辨率：0.0001%</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二极管：10μV-12V          分辨率：0.1 pF</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模数转换电压：10μV-1010V  分辨率：10mV</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模数转换电流：10nA-10.1A   分辨率：10 nA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热电偶：-200℃-1820℃      分辨率：0.001℃</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热电阻器:-80℃-150℃        分辨率：0.01℃</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2-4线RTD:-200℃-850℃     分辨率：0.01℃</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电源：100 V、120 V、220 V 和 240 V (±10%)</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电源频率：50 Hz 至 60 Hz 和 400 Hz，在通电时自动感应</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功耗：最大功耗：50VA；典型功耗：30VA</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保险丝：250 V，1.25 A 慢熔保险丝</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预热：半小时</w:t>
            </w:r>
          </w:p>
          <w:p>
            <w:pPr>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接口：RJ-45、2.0 SBTMCUSB、USB 2.0、BNC</w:t>
            </w:r>
          </w:p>
          <w:p>
            <w:pPr>
              <w:spacing w:line="40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配软件及软件永久许可</w:t>
            </w:r>
          </w:p>
        </w:tc>
        <w:tc>
          <w:tcPr>
            <w:tcW w:w="817" w:type="dxa"/>
            <w:vAlign w:val="center"/>
          </w:tcPr>
          <w:p>
            <w:pPr>
              <w:widowControl/>
              <w:spacing w:line="360" w:lineRule="exact"/>
              <w:jc w:val="left"/>
              <w:textAlignment w:val="center"/>
              <w:rPr>
                <w:rFonts w:hint="eastAsia" w:ascii="宋体" w:hAnsi="宋体" w:cs="宋体"/>
                <w:color w:val="000000" w:themeColor="text1"/>
                <w:szCs w:val="21"/>
                <w:highlight w:val="none"/>
                <w14:textFill>
                  <w14:solidFill>
                    <w14:schemeClr w14:val="tx1"/>
                  </w14:solidFill>
                </w14:textFill>
              </w:rPr>
            </w:pPr>
          </w:p>
        </w:tc>
      </w:tr>
    </w:tbl>
    <w:tbl>
      <w:tblPr>
        <w:tblStyle w:val="37"/>
        <w:tblpPr w:leftFromText="180" w:rightFromText="180" w:vertAnchor="text" w:horzAnchor="margin" w:tblpXSpec="center" w:tblpY="1"/>
        <w:tblW w:w="9676" w:type="dxa"/>
        <w:jc w:val="center"/>
        <w:tblLayout w:type="fixed"/>
        <w:tblCellMar>
          <w:top w:w="0" w:type="dxa"/>
          <w:left w:w="108" w:type="dxa"/>
          <w:bottom w:w="0" w:type="dxa"/>
          <w:right w:w="108" w:type="dxa"/>
        </w:tblCellMar>
      </w:tblPr>
      <w:tblGrid>
        <w:gridCol w:w="1700"/>
        <w:gridCol w:w="7976"/>
      </w:tblGrid>
      <w:tr>
        <w:tblPrEx>
          <w:tblCellMar>
            <w:top w:w="0" w:type="dxa"/>
            <w:left w:w="108" w:type="dxa"/>
            <w:bottom w:w="0" w:type="dxa"/>
            <w:right w:w="108" w:type="dxa"/>
          </w:tblCellMar>
        </w:tblPrEx>
        <w:trPr>
          <w:trHeight w:val="551" w:hRule="atLeast"/>
          <w:jc w:val="center"/>
        </w:trPr>
        <w:tc>
          <w:tcPr>
            <w:tcW w:w="96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二、商务要求表</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tc>
        <w:tc>
          <w:tcPr>
            <w:tcW w:w="7976" w:type="dxa"/>
            <w:tcBorders>
              <w:top w:val="single" w:color="auto" w:sz="4" w:space="0"/>
              <w:left w:val="nil"/>
              <w:bottom w:val="single" w:color="auto" w:sz="4" w:space="0"/>
              <w:right w:val="single" w:color="000000" w:sz="4" w:space="0"/>
            </w:tcBorders>
            <w:vAlign w:val="center"/>
          </w:tcPr>
          <w:p>
            <w:pPr>
              <w:numPr>
                <w:ilvl w:val="0"/>
                <w:numId w:val="1"/>
              </w:numPr>
              <w:snapToGrid w:val="0"/>
              <w:spacing w:line="400" w:lineRule="exact"/>
              <w:ind w:firstLine="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所提供的全部货物（含硬件、软件及服务）必须完全满足采购文件所述要求（除允许偏离项），如成交供应商在响应文件中有承诺正偏离的应按其正偏离内容执行。若产品在运输过程中损坏或擦伤须无偿调换相同产品。</w:t>
            </w:r>
          </w:p>
          <w:p>
            <w:pPr>
              <w:numPr>
                <w:ilvl w:val="0"/>
                <w:numId w:val="1"/>
              </w:numPr>
              <w:snapToGrid w:val="0"/>
              <w:spacing w:line="400" w:lineRule="exact"/>
              <w:ind w:firstLine="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于在送达采购人指定地点时已完成组装的定制货物，由于其组装状态，难以对货物的重要组件进行核实，供应商应在上述货物生产组装前十个工作日书面告知采购人，采购人可根据项目实际情况，到生产厂家进行预验收，以便确认所供货物是否按合同约定采用相应的组件及参数是否达到合同约定，费用含在竞标报价中。</w:t>
            </w:r>
          </w:p>
          <w:p>
            <w:pPr>
              <w:numPr>
                <w:ilvl w:val="0"/>
                <w:numId w:val="1"/>
              </w:numPr>
              <w:snapToGrid w:val="0"/>
              <w:spacing w:line="400" w:lineRule="exact"/>
              <w:ind w:firstLine="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w:t>
            </w:r>
          </w:p>
          <w:p>
            <w:pPr>
              <w:numPr>
                <w:ilvl w:val="0"/>
                <w:numId w:val="1"/>
              </w:numPr>
              <w:spacing w:line="400" w:lineRule="exact"/>
              <w:ind w:firstLine="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成交供应商售后服务中维护使用的备品备件及易损件须为原厂全新配件，未经采购人同意不得使用非原厂配件。且进行维护的人员须为成交供应商认可的有资质专业技术人员。</w:t>
            </w:r>
          </w:p>
          <w:p>
            <w:pPr>
              <w:numPr>
                <w:ilvl w:val="0"/>
                <w:numId w:val="1"/>
              </w:numPr>
              <w:spacing w:line="400" w:lineRule="exact"/>
              <w:ind w:firstLine="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所含软件（如有）必须为符合采购人适用范围的正版软件（非试用版），且在本项目合同约定的质保期过后，供应商需确保该软件其功能仍与交付验收时一致不受限制（如合同另有约定的按合同约定），质保期过后如需对软件进行升级或售后服务双方再行协商。</w:t>
            </w:r>
          </w:p>
          <w:p>
            <w:pPr>
              <w:numPr>
                <w:ilvl w:val="0"/>
                <w:numId w:val="1"/>
              </w:numPr>
              <w:spacing w:line="400" w:lineRule="exact"/>
              <w:ind w:firstLine="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供应商所提供的项目实施方案及服务承诺内容在合同实施阶段必须严格执行。供应商应认真对待承诺内容，确保其真实性和可操作性，否则将承担相应的法律责任和违约后果</w:t>
            </w:r>
            <w:r>
              <w:rPr>
                <w:rFonts w:hint="eastAsia" w:ascii="宋体" w:hAnsi="宋体" w:cs="宋体"/>
                <w:color w:val="000000" w:themeColor="text1"/>
                <w:spacing w:val="8"/>
                <w:szCs w:val="21"/>
                <w:highlight w:val="none"/>
                <w14:textFill>
                  <w14:solidFill>
                    <w14:schemeClr w14:val="tx1"/>
                  </w14:solidFill>
                </w14:textFill>
              </w:rPr>
              <w:t>。</w:t>
            </w:r>
          </w:p>
          <w:p>
            <w:pPr>
              <w:numPr>
                <w:ilvl w:val="0"/>
                <w:numId w:val="1"/>
              </w:numPr>
              <w:spacing w:line="400" w:lineRule="exact"/>
              <w:ind w:firstLine="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交供应商须确保为本项目提供的货物及其相关技术资料所涉及的知识产权合法合规，拥有完整、无瑕疵的知识产权权利。因货物知识产权问题导致采购人被责令停止使用、被追偿或遭受损失的，由此产生的全部经济赔偿与法律责任均由成交供应商承担，采购人有权要求成交供应商赔偿全部损失。</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未尽事宜按招标文件及国家现行有关规范、标准执行。</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交货要求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1.交货时间：签订合同之日起7个工作日内到货，并全部安装调试合格完毕。</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2.交货地点：广西柳州市采购人指定地点。</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承担设备运输、安装调试、验收检测和提供设备操作说明书、图纸等其他类似的义务。供应商委派技术人员进行现场安装、调试，并提供货物安装调试的一切技术支持。安装调试的具体时间由采购人提前3天通知供应商。</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质保要求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按国家有关产品“三包”规定执行“三包”，免费质保期不少于</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年，保修期内上门维修免收维修费和元器件费，并提供终身维修服务。</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售后要求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免费送货上门，免费安装、免费调试，免费提供现场技术培训，保证使用人员正常操作设备的各种功能；其余按投标人承诺进行。</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提供售后服务联系电话及联系人，免费质保期内，接到报障电话在承诺时间内派工程技术人员上门维修解决问题。如果需要更换配件的，要求更换的配件应跟被更换的品牌、类型相一致或者是同类同档次的替代品，后者需征得</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方管理人员同意。</w:t>
            </w:r>
          </w:p>
        </w:tc>
      </w:tr>
      <w:tr>
        <w:tblPrEx>
          <w:tblCellMar>
            <w:top w:w="0" w:type="dxa"/>
            <w:left w:w="108" w:type="dxa"/>
            <w:bottom w:w="0" w:type="dxa"/>
            <w:right w:w="108" w:type="dxa"/>
          </w:tblCellMar>
        </w:tblPrEx>
        <w:trPr>
          <w:trHeight w:val="74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设备安装及培训</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1.免费提供全套、完整的技术资料，包括详细的仪器中英文说明书、操作手册和仪器维护等有关资料；</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供应商技术工程师携其他原厂工程师对采购方相关工作人员提供安装调试后的上门培训，设置问答互动环节并进行现场考核，直至所有采购方相关工作人员熟悉掌握设备的原理和使用方法，能对系统相关软硬件进行日常管理及维护，能够独立使用设备，独立完成实验。</w:t>
            </w:r>
          </w:p>
        </w:tc>
      </w:tr>
      <w:tr>
        <w:tblPrEx>
          <w:tblCellMar>
            <w:top w:w="0" w:type="dxa"/>
            <w:left w:w="108" w:type="dxa"/>
            <w:bottom w:w="0" w:type="dxa"/>
            <w:right w:w="108" w:type="dxa"/>
          </w:tblCellMar>
        </w:tblPrEx>
        <w:trPr>
          <w:trHeight w:val="80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1.设备需全新、完好、无破损，按照技术要求的各项指标进行验收。因验收所产生费用由成交供应商承担。</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2.验收方法及方案：</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设备开机试运行，测试设备的技术性能指标，确认各项功能正常运行，同时检查随机文件应齐整。</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付款方式</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仪器安装调试验收合格之日后，成交人提供正规增值税专用发票给采购人，采购人在15个工作日内一次性付清款项。 </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保密要求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ascii="仿宋_GB2312"/>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成交供应商</w:t>
            </w:r>
            <w:r>
              <w:rPr>
                <w:rFonts w:hint="eastAsia" w:ascii="仿宋_GB2312"/>
                <w:color w:val="000000" w:themeColor="text1"/>
                <w:highlight w:val="none"/>
                <w14:textFill>
                  <w14:solidFill>
                    <w14:schemeClr w14:val="tx1"/>
                  </w14:solidFill>
                </w14:textFill>
              </w:rPr>
              <w:t>须遵守有关保密规定，并根据采购人的要求签署相应的保密协议，包括在合同期结束后承诺保密义务，并承担相应的涉密责任。</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竞标产品的部件由供应商按厂家最佳配置提供，供应商应提供竞标产品部件的名称、品牌、型号规格、生产厂家等详细清单并加盖公章。</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履约保证金</w:t>
            </w:r>
          </w:p>
        </w:tc>
        <w:tc>
          <w:tcPr>
            <w:tcW w:w="7976" w:type="dxa"/>
            <w:tcBorders>
              <w:top w:val="single" w:color="auto" w:sz="4" w:space="0"/>
              <w:left w:val="nil"/>
              <w:bottom w:val="single" w:color="auto" w:sz="4" w:space="0"/>
              <w:right w:val="single" w:color="000000" w:sz="4" w:space="0"/>
            </w:tcBorders>
            <w:vAlign w:val="center"/>
          </w:tcPr>
          <w:p>
            <w:pPr>
              <w:numPr>
                <w:ilvl w:val="0"/>
                <w:numId w:val="2"/>
              </w:numPr>
              <w:spacing w:line="400" w:lineRule="exact"/>
              <w:ind w:firstLine="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w:t>
            </w:r>
            <w:r>
              <w:rPr>
                <w:rFonts w:hint="eastAsia" w:ascii="宋体" w:hAnsi="宋体" w:cs="宋体"/>
                <w:bCs/>
                <w:color w:val="000000" w:themeColor="text1"/>
                <w:szCs w:val="21"/>
                <w:highlight w:val="none"/>
                <w14:textFill>
                  <w14:solidFill>
                    <w14:schemeClr w14:val="tx1"/>
                  </w14:solidFill>
                </w14:textFill>
              </w:rPr>
              <w:t>合同价款的5%，若成交供应商是中小企业，则履约保证金按合同价款的2%收取。</w:t>
            </w:r>
          </w:p>
          <w:p>
            <w:pPr>
              <w:numPr>
                <w:ilvl w:val="0"/>
                <w:numId w:val="2"/>
              </w:numPr>
              <w:spacing w:line="400" w:lineRule="exact"/>
              <w:ind w:firstLine="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履约保证金提交时间及方式：合同签订前 5日内，成交供应商必须以银行转账、支票、汇票、本票或者金融机构、担保机构出具的保险、保函（含电子保函）等非现金方式向采购人提交履约保证金。</w:t>
            </w:r>
          </w:p>
          <w:p>
            <w:pPr>
              <w:numPr>
                <w:ilvl w:val="0"/>
                <w:numId w:val="2"/>
              </w:numPr>
              <w:tabs>
                <w:tab w:val="left" w:pos="180"/>
                <w:tab w:val="left" w:pos="1620"/>
              </w:tabs>
              <w:spacing w:line="400" w:lineRule="exact"/>
              <w:ind w:firstLine="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履约保证金退付条件及时间：自项目验收合格之日起至质保期满无质量问题，采购人收到退付履约保证金申请后15个工作日内退还(无息)。</w:t>
            </w:r>
          </w:p>
          <w:p>
            <w:pPr>
              <w:numPr>
                <w:ilvl w:val="0"/>
                <w:numId w:val="2"/>
              </w:numPr>
              <w:tabs>
                <w:tab w:val="left" w:pos="180"/>
                <w:tab w:val="left" w:pos="1620"/>
              </w:tabs>
              <w:spacing w:line="400" w:lineRule="exact"/>
              <w:ind w:firstLine="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下列情况因履约保证金不能退还或另行处理，所产生的后果由成交供应商负责：</w:t>
            </w:r>
          </w:p>
          <w:p>
            <w:pPr>
              <w:tabs>
                <w:tab w:val="left" w:pos="180"/>
                <w:tab w:val="left" w:pos="1620"/>
              </w:tabs>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tabs>
                <w:tab w:val="left" w:pos="180"/>
                <w:tab w:val="left" w:pos="1620"/>
              </w:tabs>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tabs>
                <w:tab w:val="left" w:pos="180"/>
                <w:tab w:val="left" w:pos="1620"/>
              </w:tabs>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（3）其他因成交供应商原因导致履约保证金无法按时退回的情形。</w:t>
            </w:r>
          </w:p>
          <w:p>
            <w:pPr>
              <w:tabs>
                <w:tab w:val="left" w:pos="180"/>
                <w:tab w:val="left" w:pos="1620"/>
              </w:tabs>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履约保证金账户：</w:t>
            </w:r>
          </w:p>
          <w:p>
            <w:pPr>
              <w:tabs>
                <w:tab w:val="left" w:pos="180"/>
                <w:tab w:val="left" w:pos="1620"/>
              </w:tabs>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全称：广西科技大学</w:t>
            </w:r>
          </w:p>
          <w:p>
            <w:pPr>
              <w:tabs>
                <w:tab w:val="left" w:pos="180"/>
                <w:tab w:val="left" w:pos="1620"/>
              </w:tabs>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账号：20-112801040000305</w:t>
            </w:r>
          </w:p>
          <w:p>
            <w:pPr>
              <w:tabs>
                <w:tab w:val="left" w:pos="180"/>
                <w:tab w:val="left" w:pos="1620"/>
              </w:tabs>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开户银行：中国农业银行柳州市祥兴支行</w:t>
            </w:r>
          </w:p>
          <w:p>
            <w:pPr>
              <w:autoSpaceDE w:val="0"/>
              <w:autoSpaceDN w:val="0"/>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转帐时注明：项目名称+项目编号</w:t>
            </w:r>
          </w:p>
          <w:p>
            <w:pPr>
              <w:autoSpaceDE w:val="0"/>
              <w:autoSpaceDN w:val="0"/>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备注：</w:t>
            </w:r>
          </w:p>
          <w:p>
            <w:pPr>
              <w:autoSpaceDE w:val="0"/>
              <w:autoSpaceDN w:val="0"/>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1、成交供应商必须在签订合同前，按照规定提交方式，足额缴纳履约保证金。</w:t>
            </w:r>
          </w:p>
          <w:p>
            <w:pPr>
              <w:spacing w:line="360" w:lineRule="exact"/>
              <w:rPr>
                <w:rFonts w:ascii="仿宋_GB2312"/>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2、成交供应商未按规定缴纳履约保证金的，暂缓签订合同，责任由成交供应商承担。</w:t>
            </w:r>
          </w:p>
        </w:tc>
      </w:tr>
    </w:tbl>
    <w:p>
      <w:pPr>
        <w:rPr>
          <w:rFonts w:hint="eastAsia" w:ascii="宋体" w:hAnsi="宋体" w:cs="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p>
    <w:p>
      <w:pPr>
        <w:pStyle w:val="16"/>
        <w:rPr>
          <w:rFonts w:hint="eastAsia" w:ascii="微软雅黑" w:hAnsi="微软雅黑" w:eastAsia="微软雅黑" w:cs="微软雅黑"/>
          <w:color w:val="000000" w:themeColor="text1"/>
          <w:sz w:val="28"/>
          <w:szCs w:val="28"/>
          <w:highlight w:val="none"/>
          <w14:textFill>
            <w14:solidFill>
              <w14:schemeClr w14:val="tx1"/>
            </w14:solidFill>
          </w14:textFill>
        </w:rPr>
      </w:pPr>
    </w:p>
    <w:p>
      <w:pPr>
        <w:pStyle w:val="16"/>
        <w:rPr>
          <w:rFonts w:hint="eastAsia" w:ascii="微软雅黑" w:hAnsi="微软雅黑" w:eastAsia="微软雅黑" w:cs="微软雅黑"/>
          <w:color w:val="000000" w:themeColor="text1"/>
          <w:sz w:val="28"/>
          <w:szCs w:val="28"/>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pStyle w:val="16"/>
        <w:rPr>
          <w:rFonts w:hint="eastAsia" w:ascii="Arial Unicode MS" w:hAnsi="Arial Unicode MS" w:eastAsia="Arial Unicode MS" w:cs="Arial Unicode MS"/>
          <w:color w:val="000000" w:themeColor="text1"/>
          <w:sz w:val="28"/>
          <w:szCs w:val="28"/>
          <w:highlight w:val="none"/>
          <w14:textFill>
            <w14:solidFill>
              <w14:schemeClr w14:val="tx1"/>
            </w14:solidFill>
          </w14:textFill>
        </w:rPr>
      </w:pPr>
      <w:r>
        <w:rPr>
          <w:rFonts w:hint="eastAsia" w:ascii="微软雅黑" w:hAnsi="微软雅黑" w:eastAsia="微软雅黑" w:cs="微软雅黑"/>
          <w:color w:val="000000" w:themeColor="text1"/>
          <w:sz w:val="28"/>
          <w:szCs w:val="28"/>
          <w:highlight w:val="none"/>
          <w14:textFill>
            <w14:solidFill>
              <w14:schemeClr w14:val="tx1"/>
            </w14:solidFill>
          </w14:textFill>
        </w:rPr>
        <w:t>附件</w:t>
      </w:r>
      <w:r>
        <w:rPr>
          <w:rFonts w:hint="eastAsia" w:ascii="Arial Unicode MS" w:hAnsi="Arial Unicode MS" w:eastAsia="Arial Unicode MS" w:cs="Arial Unicode MS"/>
          <w:color w:val="000000" w:themeColor="text1"/>
          <w:sz w:val="28"/>
          <w:szCs w:val="28"/>
          <w:highlight w:val="none"/>
          <w14:textFill>
            <w14:solidFill>
              <w14:schemeClr w14:val="tx1"/>
            </w14:solidFill>
          </w14:textFill>
        </w:rPr>
        <w:t>1</w:t>
      </w:r>
      <w:r>
        <w:rPr>
          <w:rFonts w:hint="eastAsia" w:ascii="微软雅黑" w:hAnsi="微软雅黑" w:eastAsia="微软雅黑" w:cs="微软雅黑"/>
          <w:color w:val="000000" w:themeColor="text1"/>
          <w:sz w:val="28"/>
          <w:szCs w:val="28"/>
          <w:highlight w:val="none"/>
          <w14:textFill>
            <w14:solidFill>
              <w14:schemeClr w14:val="tx1"/>
            </w14:solidFill>
          </w14:textFill>
        </w:rPr>
        <w:t>：</w:t>
      </w:r>
    </w:p>
    <w:p>
      <w:pPr>
        <w:spacing w:line="528" w:lineRule="exact"/>
        <w:ind w:left="1871"/>
        <w:rPr>
          <w:rFonts w:hint="eastAsia"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节能产品政府采购品目清单</w:t>
      </w:r>
    </w:p>
    <w:tbl>
      <w:tblPr>
        <w:tblStyle w:val="37"/>
        <w:tblW w:w="9220" w:type="dxa"/>
        <w:jc w:val="center"/>
        <w:tblLayout w:type="autofit"/>
        <w:tblCellMar>
          <w:top w:w="0" w:type="dxa"/>
          <w:left w:w="108" w:type="dxa"/>
          <w:bottom w:w="0" w:type="dxa"/>
          <w:right w:w="108" w:type="dxa"/>
        </w:tblCellMar>
      </w:tblPr>
      <w:tblGrid>
        <w:gridCol w:w="660"/>
        <w:gridCol w:w="1116"/>
        <w:gridCol w:w="1516"/>
        <w:gridCol w:w="1620"/>
        <w:gridCol w:w="4540"/>
      </w:tblGrid>
      <w:tr>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nil"/>
              <w:right w:val="single" w:color="000000" w:sz="8" w:space="0"/>
            </w:tcBorders>
            <w:noWrap/>
          </w:tcPr>
          <w:p>
            <w:pPr>
              <w:widowControl/>
              <w:jc w:val="cente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名称</w:t>
            </w:r>
          </w:p>
        </w:tc>
        <w:tc>
          <w:tcPr>
            <w:tcW w:w="4540" w:type="dxa"/>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依据的标准</w:t>
            </w:r>
          </w:p>
        </w:tc>
      </w:tr>
      <w:tr>
        <w:tblPrEx>
          <w:tblCellMar>
            <w:top w:w="0" w:type="dxa"/>
            <w:left w:w="108" w:type="dxa"/>
            <w:bottom w:w="0" w:type="dxa"/>
            <w:right w:w="108" w:type="dxa"/>
          </w:tblCellMar>
        </w:tblPrEx>
        <w:trPr>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A020101计算机设备</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★A02010104台式计算机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★A02010105便携式计算机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73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★A02010107平板式微型计算机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A02010601打印设备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A0201060101喷墨打印机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《复印机、打印机和传真机能效限定值及能效等级》（GB21521）</w:t>
            </w:r>
          </w:p>
        </w:tc>
      </w:tr>
      <w:tr>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★A0201060102激光打印机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★A0201060104针式打印机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A02010604显示设备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★A0201060401液晶显示器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《计算机显示器能效限定值及能效等级》（GB21520）</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A02010609图形图像输入设备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A0201060901扫描仪</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A020202投影仪</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《投影机能效限定值及能效等级》（GB32028）</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4</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A020204多功能一体机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A020519泵</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A02051901离心泵</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《清水离心泵能效限定值及节能评价值》（GB19762）</w:t>
            </w:r>
          </w:p>
        </w:tc>
      </w:tr>
      <w:tr>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★A02052301制冷压缩机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水源热泵机组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《水（地）源热泵机组能效限定值及能效等级》（GB30721）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溴化锂吸收式冷水机组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《溴化锂吸收式冷水机组能效限定值及能效等级》（GB29540）</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★A02052305空调机组</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多联式空调（热泵）机组(制冷量&gt;14000W)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单元式空气调节机(制冷量&gt;14000W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★A02052309专用制冷、空调设备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机房空调</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《单元式空气调节机能效限定值及能效等级》（GB19576）</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A02052399其他制冷空调设备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冷却塔</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《机械通风冷却塔第1部分：中小型开式冷却塔》（GB/T7190.1）；《机械通风冷却塔第2部分：大型开式冷却塔》（GB/T7190.2）</w:t>
            </w:r>
          </w:p>
        </w:tc>
      </w:tr>
      <w:tr>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A020601电机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《中小型三相异步电动机能效限定值及能效等级》（GB18613）</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A020602变压器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配电变压器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《三相配电变压器能效限定值及能效等级》（GB20052）</w:t>
            </w:r>
          </w:p>
        </w:tc>
      </w:tr>
      <w:tr>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9</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★A020609镇流器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管型荧光灯镇流器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《管形荧光灯镇流器能效限定值及能效等级》（GB17896）</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A020618生活用电器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A0206180101电冰箱</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《家用电冰箱耗电量限定值及能效等级》（GB 12021.2）</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★A0206180203空调机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房间空气调节器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多联式空调（热泵）机组（制冷量≤ 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单元式空气调节机(制冷量≤14000W)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A0206180301洗衣机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《电动洗衣机能效水效限定值及等级》（GB12021.4）</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A02061808热水器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《储水式电热水器能效限定值及能效等级》（GB21519）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燃气热水器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热泵热水器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《热泵热水机（器）能效限定值及能效等级》（GB29541）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太阳能热水系统</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《家用太阳能热水系统能效限定值及能效等级》（GB26969）</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11</w:t>
            </w:r>
          </w:p>
        </w:tc>
        <w:tc>
          <w:tcPr>
            <w:tcW w:w="108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A020619照明设备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★普通照明用双端荧光灯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《普通照明用双端荧光灯能效限定值及能效等级》（GB19043）</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LED道路/隧道照明产品</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《道路和隧道照明用LED灯具能效限定值及能效等级》（GB37478）</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LED筒灯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《室内照明用LED产品能效限定值及能效等级》（GB30255）</w:t>
            </w:r>
          </w:p>
        </w:tc>
      </w:tr>
      <w:tr>
        <w:trPr>
          <w:trHeight w:val="7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普通照明用非定向自镇流LED灯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《室内照明用LED产品能效限定值及能效等级》（GB30255）</w:t>
            </w:r>
          </w:p>
        </w:tc>
      </w:tr>
      <w:tr>
        <w:tblPrEx>
          <w:tblCellMar>
            <w:top w:w="0" w:type="dxa"/>
            <w:left w:w="108" w:type="dxa"/>
            <w:bottom w:w="0" w:type="dxa"/>
            <w:right w:w="108" w:type="dxa"/>
          </w:tblCellMar>
        </w:tblPrEx>
        <w:trPr>
          <w:trHeight w:val="73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12</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★A020910电视设备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A02091001普通电视设备（电视机）</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《平板电视能效限定值及能效等级》（GB24850）</w:t>
            </w:r>
          </w:p>
        </w:tc>
      </w:tr>
      <w:tr>
        <w:tblPrEx>
          <w:tblCellMar>
            <w:top w:w="0" w:type="dxa"/>
            <w:left w:w="108" w:type="dxa"/>
            <w:bottom w:w="0" w:type="dxa"/>
            <w:right w:w="108" w:type="dxa"/>
          </w:tblCellMar>
        </w:tblPrEx>
        <w:trPr>
          <w:trHeight w:val="97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13</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★A020911视频设备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A02091107视频监控设备</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监视器</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14</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A031210饮食炊事机械</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商用燃气灶具</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《商用燃气灶具能效限定值及能效等级》（GB30531）</w:t>
            </w:r>
          </w:p>
        </w:tc>
      </w:tr>
      <w:tr>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15</w:t>
            </w:r>
          </w:p>
        </w:tc>
        <w:tc>
          <w:tcPr>
            <w:tcW w:w="1080" w:type="dxa"/>
            <w:vMerge w:val="restart"/>
            <w:tcBorders>
              <w:top w:val="nil"/>
              <w:left w:val="single" w:color="auto" w:sz="8" w:space="0"/>
              <w:bottom w:val="single" w:color="000000"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★A060805便器</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坐便器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《坐便器水效限定值及水效等级》（GB25502）</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蹲便器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《蹲便器用水效率限定值及用水效率等级》（GB30717）</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小便器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《小便器用水效率限定值及用水效率等级》（GB28377）</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16</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★A060806水嘴</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《水嘴用水效率限定值及用水效率等级》（GB 25501）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A060807便器冲洗阀</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《便器冲洗阀用水效率限定值及用水效率等级》（GB28379）</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A060810淋浴器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《淋浴器用水效率限定值及用水效率等级》（GB28378）</w:t>
            </w:r>
          </w:p>
        </w:tc>
      </w:tr>
    </w:tbl>
    <w:p>
      <w:pPr>
        <w:widowControl/>
        <w:rPr>
          <w:rFonts w:hint="eastAsia" w:ascii="宋体" w:hAnsi="宋体" w:cs="宋体"/>
          <w:color w:val="000000" w:themeColor="text1"/>
          <w:sz w:val="20"/>
          <w:szCs w:val="20"/>
          <w:highlight w:val="none"/>
          <w14:textFill>
            <w14:solidFill>
              <w14:schemeClr w14:val="tx1"/>
            </w14:solidFill>
          </w14:textFill>
        </w:rPr>
      </w:pPr>
    </w:p>
    <w:p>
      <w:pPr>
        <w:pStyle w:val="16"/>
        <w:spacing w:after="0" w:line="360" w:lineRule="exact"/>
        <w:rPr>
          <w:rFonts w:hint="eastAsia" w:hAnsi="宋体"/>
          <w:color w:val="000000" w:themeColor="text1"/>
          <w:sz w:val="21"/>
          <w:szCs w:val="21"/>
          <w:highlight w:val="none"/>
          <w14:textFill>
            <w14:solidFill>
              <w14:schemeClr w14:val="tx1"/>
            </w14:solidFill>
          </w14:textFill>
        </w:rPr>
      </w:pPr>
      <w:r>
        <w:rPr>
          <w:rFonts w:hint="eastAsia"/>
          <w:color w:val="000000" w:themeColor="text1"/>
          <w:spacing w:val="-3"/>
          <w:sz w:val="21"/>
          <w:szCs w:val="21"/>
          <w:highlight w:val="none"/>
          <w14:textFill>
            <w14:solidFill>
              <w14:schemeClr w14:val="tx1"/>
            </w14:solidFill>
          </w14:textFill>
        </w:rPr>
        <w:t>注：</w:t>
      </w:r>
      <w:r>
        <w:rPr>
          <w:color w:val="000000" w:themeColor="text1"/>
          <w:spacing w:val="-3"/>
          <w:sz w:val="21"/>
          <w:szCs w:val="21"/>
          <w:highlight w:val="none"/>
          <w14:textFill>
            <w14:solidFill>
              <w14:schemeClr w14:val="tx1"/>
            </w14:solidFill>
          </w14:textFill>
        </w:rPr>
        <w:t>1.</w:t>
      </w:r>
      <w:r>
        <w:rPr>
          <w:rFonts w:hint="eastAsia"/>
          <w:color w:val="000000" w:themeColor="text1"/>
          <w:spacing w:val="-3"/>
          <w:sz w:val="21"/>
          <w:szCs w:val="21"/>
          <w:highlight w:val="none"/>
          <w14:textFill>
            <w14:solidFill>
              <w14:schemeClr w14:val="tx1"/>
            </w14:solidFill>
          </w14:textFill>
        </w:rPr>
        <w:t>节能产品认证应依据相关国家标准的最新版本，依据国家标准中二级能效（水效）</w:t>
      </w:r>
      <w:r>
        <w:rPr>
          <w:rFonts w:hint="eastAsia"/>
          <w:color w:val="000000" w:themeColor="text1"/>
          <w:sz w:val="21"/>
          <w:szCs w:val="21"/>
          <w:highlight w:val="none"/>
          <w14:textFill>
            <w14:solidFill>
              <w14:schemeClr w14:val="tx1"/>
            </w14:solidFill>
          </w14:textFill>
        </w:rPr>
        <w:t>指标。</w:t>
      </w:r>
    </w:p>
    <w:p>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以</w:t>
      </w:r>
      <w:r>
        <w:rPr>
          <w:b/>
          <w:bCs/>
          <w:color w:val="000000" w:themeColor="text1"/>
          <w:szCs w:val="21"/>
          <w:highlight w:val="none"/>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标注的为政府强制采购产品。</w:t>
      </w:r>
      <w:r>
        <w:rPr>
          <w:rFonts w:hAnsi="宋体"/>
          <w:color w:val="000000" w:themeColor="text1"/>
          <w:highlight w:val="none"/>
          <w14:textFill>
            <w14:solidFill>
              <w14:schemeClr w14:val="tx1"/>
            </w14:solidFill>
          </w14:textFill>
        </w:rPr>
        <w:br w:type="page"/>
      </w:r>
    </w:p>
    <w:p>
      <w:pPr>
        <w:pStyle w:val="16"/>
        <w:spacing w:line="360" w:lineRule="auto"/>
        <w:rPr>
          <w:rFonts w:hint="eastAsia" w:ascii="Arial Unicode MS" w:hAnsi="Arial Unicode MS" w:eastAsia="Arial Unicode MS" w:cs="Arial Unicode MS"/>
          <w:color w:val="000000" w:themeColor="text1"/>
          <w:sz w:val="28"/>
          <w:szCs w:val="28"/>
          <w:highlight w:val="none"/>
          <w14:textFill>
            <w14:solidFill>
              <w14:schemeClr w14:val="tx1"/>
            </w14:solidFill>
          </w14:textFill>
        </w:rPr>
      </w:pPr>
      <w:r>
        <w:rPr>
          <w:rFonts w:hint="eastAsia" w:ascii="微软雅黑" w:hAnsi="微软雅黑" w:eastAsia="微软雅黑" w:cs="微软雅黑"/>
          <w:color w:val="000000" w:themeColor="text1"/>
          <w:sz w:val="28"/>
          <w:szCs w:val="28"/>
          <w:highlight w:val="none"/>
          <w14:textFill>
            <w14:solidFill>
              <w14:schemeClr w14:val="tx1"/>
            </w14:solidFill>
          </w14:textFill>
        </w:rPr>
        <w:t>附件</w:t>
      </w:r>
      <w:r>
        <w:rPr>
          <w:rFonts w:hint="eastAsia" w:ascii="Arial Unicode MS" w:hAnsi="Arial Unicode MS" w:eastAsia="Arial Unicode MS" w:cs="Arial Unicode MS"/>
          <w:color w:val="000000" w:themeColor="text1"/>
          <w:sz w:val="28"/>
          <w:szCs w:val="28"/>
          <w:highlight w:val="none"/>
          <w14:textFill>
            <w14:solidFill>
              <w14:schemeClr w14:val="tx1"/>
            </w14:solidFill>
          </w14:textFill>
        </w:rPr>
        <w:t>2</w:t>
      </w:r>
      <w:r>
        <w:rPr>
          <w:rFonts w:hint="eastAsia" w:ascii="微软雅黑" w:hAnsi="微软雅黑" w:eastAsia="微软雅黑" w:cs="微软雅黑"/>
          <w:color w:val="000000" w:themeColor="text1"/>
          <w:sz w:val="28"/>
          <w:szCs w:val="28"/>
          <w:highlight w:val="none"/>
          <w14:textFill>
            <w14:solidFill>
              <w14:schemeClr w14:val="tx1"/>
            </w14:solidFill>
          </w14:textFill>
        </w:rPr>
        <w:t>：</w:t>
      </w:r>
    </w:p>
    <w:p>
      <w:pPr>
        <w:spacing w:line="528" w:lineRule="exact"/>
        <w:jc w:val="center"/>
        <w:rPr>
          <w:rFonts w:hint="eastAsia"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中小微企业划型标准</w:t>
      </w:r>
    </w:p>
    <w:tbl>
      <w:tblPr>
        <w:tblStyle w:val="37"/>
        <w:tblW w:w="9511" w:type="dxa"/>
        <w:jc w:val="center"/>
        <w:tblLayout w:type="fixed"/>
        <w:tblCellMar>
          <w:top w:w="0" w:type="dxa"/>
          <w:left w:w="108" w:type="dxa"/>
          <w:bottom w:w="0" w:type="dxa"/>
          <w:right w:w="108" w:type="dxa"/>
        </w:tblCellMar>
      </w:tblPr>
      <w:tblGrid>
        <w:gridCol w:w="1700"/>
        <w:gridCol w:w="1383"/>
        <w:gridCol w:w="865"/>
        <w:gridCol w:w="2097"/>
        <w:gridCol w:w="2105"/>
        <w:gridCol w:w="1361"/>
      </w:tblGrid>
      <w:tr>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行业名称</w:t>
            </w:r>
          </w:p>
        </w:tc>
        <w:tc>
          <w:tcPr>
            <w:tcW w:w="1383"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指标名称</w:t>
            </w:r>
          </w:p>
        </w:tc>
        <w:tc>
          <w:tcPr>
            <w:tcW w:w="86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计量单位</w:t>
            </w:r>
          </w:p>
        </w:tc>
        <w:tc>
          <w:tcPr>
            <w:tcW w:w="2097"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中型</w:t>
            </w:r>
          </w:p>
        </w:tc>
        <w:tc>
          <w:tcPr>
            <w:tcW w:w="210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小型</w:t>
            </w:r>
          </w:p>
        </w:tc>
        <w:tc>
          <w:tcPr>
            <w:tcW w:w="1361"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微型</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农、林、牧、渔</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建筑业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6000≤Y＜80000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300≤Y＜6000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5000≤Z＜80000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300≤Z＜5000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Z＜300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批发业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5≤X＜20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X＜5</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零售业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10≤X＜50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交通运输业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200≤Y＜3000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Y＜200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仓储业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邮政业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住宿业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餐饮业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信息传输业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100≤X＜2000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1000≤Y＜100000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软件和信息技术服务业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房地产开发经营</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1000≤Y＜200000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5000≤Z＜10000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Y＜2000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物业管理</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1000≤Y＜5000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Y＜500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租赁和商务服务业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8000≤Z＜120000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100≤Z＜8000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其他未列明行业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X＜10</w:t>
            </w:r>
          </w:p>
        </w:tc>
      </w:tr>
    </w:tbl>
    <w:p>
      <w:pPr>
        <w:spacing w:line="360" w:lineRule="auto"/>
        <w:ind w:firstLine="525" w:firstLineChars="250"/>
        <w:rPr>
          <w:rFonts w:hint="eastAsia"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pStyle w:val="2"/>
        <w:rPr>
          <w:rFonts w:hint="eastAsia" w:ascii="宋体" w:hAnsi="宋体"/>
          <w:color w:val="000000" w:themeColor="text1"/>
          <w:highlight w:val="none"/>
          <w14:textFill>
            <w14:solidFill>
              <w14:schemeClr w14:val="tx1"/>
            </w14:solidFill>
          </w14:textFill>
        </w:rPr>
      </w:pPr>
      <w:bookmarkStart w:id="12" w:name="_Toc17576"/>
      <w:r>
        <w:rPr>
          <w:rFonts w:hint="eastAsia" w:ascii="宋体" w:hAnsi="宋体"/>
          <w:color w:val="000000" w:themeColor="text1"/>
          <w:highlight w:val="none"/>
          <w14:textFill>
            <w14:solidFill>
              <w14:schemeClr w14:val="tx1"/>
            </w14:solidFill>
          </w14:textFill>
        </w:rPr>
        <w:t>第四章 响应文件格式</w:t>
      </w:r>
      <w:bookmarkEnd w:id="12"/>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bookmarkStart w:id="13" w:name="_Toc455646389"/>
      <w:r>
        <w:rPr>
          <w:rFonts w:hint="eastAsia" w:ascii="宋体" w:hAnsi="宋体" w:cs="宋体"/>
          <w:b/>
          <w:bCs/>
          <w:color w:val="000000" w:themeColor="text1"/>
          <w:szCs w:val="21"/>
          <w:highlight w:val="none"/>
          <w14:textFill>
            <w14:solidFill>
              <w14:schemeClr w14:val="tx1"/>
            </w14:solidFill>
          </w14:textFill>
        </w:rPr>
        <w:t>一、响应文件袋外层包装封面格式</w:t>
      </w: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1.所有文件（资格证明文件、商务和技术文件、报价文件）的外装封面格式：</w:t>
      </w:r>
    </w:p>
    <w:p>
      <w:pPr>
        <w:snapToGrid w:val="0"/>
        <w:spacing w:before="156" w:beforeLines="50" w:after="50"/>
        <w:jc w:val="center"/>
        <w:rPr>
          <w:rFonts w:hint="eastAsia" w:ascii="宋体" w:hAnsi="宋体" w:cs="宋体"/>
          <w:bCs/>
          <w:color w:val="000000" w:themeColor="text1"/>
          <w:szCs w:val="21"/>
          <w:highlight w:val="none"/>
          <w14:textFill>
            <w14:solidFill>
              <w14:schemeClr w14:val="tx1"/>
            </w14:solidFill>
          </w14:textFill>
        </w:rPr>
      </w:pPr>
    </w:p>
    <w:p>
      <w:pPr>
        <w:snapToGrid w:val="0"/>
        <w:spacing w:before="156" w:beforeLines="50" w:after="50"/>
        <w:jc w:val="center"/>
        <w:rPr>
          <w:rFonts w:hint="eastAsia" w:ascii="宋体" w:hAnsi="宋体" w:cs="宋体"/>
          <w:bCs/>
          <w:color w:val="000000" w:themeColor="text1"/>
          <w:szCs w:val="21"/>
          <w:highlight w:val="none"/>
          <w14:textFill>
            <w14:solidFill>
              <w14:schemeClr w14:val="tx1"/>
            </w14:solidFill>
          </w14:textFill>
        </w:rPr>
      </w:pPr>
    </w:p>
    <w:p>
      <w:pPr>
        <w:snapToGrid w:val="0"/>
        <w:spacing w:before="156" w:beforeLines="50" w:after="50"/>
        <w:jc w:val="center"/>
        <w:rPr>
          <w:rFonts w:hint="eastAsia" w:ascii="宋体" w:hAnsi="宋体" w:cs="宋体"/>
          <w:bCs/>
          <w:color w:val="000000" w:themeColor="text1"/>
          <w:szCs w:val="21"/>
          <w:highlight w:val="none"/>
          <w14:textFill>
            <w14:solidFill>
              <w14:schemeClr w14:val="tx1"/>
            </w14:solidFill>
          </w14:textFill>
        </w:rPr>
      </w:pPr>
    </w:p>
    <w:p>
      <w:pPr>
        <w:snapToGrid w:val="0"/>
        <w:spacing w:before="156" w:beforeLines="50" w:after="50"/>
        <w:jc w:val="center"/>
        <w:rPr>
          <w:rFonts w:hint="eastAsia" w:ascii="宋体" w:hAnsi="宋体" w:cs="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52"/>
          <w:szCs w:val="52"/>
          <w:highlight w:val="none"/>
          <w14:textFill>
            <w14:solidFill>
              <w14:schemeClr w14:val="tx1"/>
            </w14:solidFill>
          </w14:textFill>
        </w:rPr>
        <w:t>响  应 文 件 袋</w:t>
      </w:r>
    </w:p>
    <w:p>
      <w:pPr>
        <w:snapToGrid w:val="0"/>
        <w:spacing w:before="156" w:beforeLines="50" w:after="50"/>
        <w:jc w:val="center"/>
        <w:rPr>
          <w:rFonts w:hint="eastAsia" w:ascii="宋体" w:hAnsi="宋体" w:cs="宋体"/>
          <w:bCs/>
          <w:color w:val="000000" w:themeColor="text1"/>
          <w:sz w:val="52"/>
          <w:szCs w:val="52"/>
          <w:highlight w:val="none"/>
          <w14:textFill>
            <w14:solidFill>
              <w14:schemeClr w14:val="tx1"/>
            </w14:solidFill>
          </w14:textFill>
        </w:rPr>
      </w:pPr>
    </w:p>
    <w:p>
      <w:pPr>
        <w:snapToGrid w:val="0"/>
        <w:spacing w:before="156" w:beforeLines="50" w:after="50"/>
        <w:jc w:val="center"/>
        <w:rPr>
          <w:rFonts w:hint="eastAsia" w:ascii="宋体" w:hAnsi="宋体" w:cs="宋体"/>
          <w:bCs/>
          <w:color w:val="000000" w:themeColor="text1"/>
          <w:sz w:val="52"/>
          <w:szCs w:val="52"/>
          <w:highlight w:val="none"/>
          <w14:textFill>
            <w14:solidFill>
              <w14:schemeClr w14:val="tx1"/>
            </w14:solidFill>
          </w14:textFill>
        </w:rPr>
      </w:pPr>
    </w:p>
    <w:p>
      <w:pPr>
        <w:snapToGrid w:val="0"/>
        <w:spacing w:before="156" w:beforeLines="50" w:after="50"/>
        <w:rPr>
          <w:rFonts w:hint="eastAsia" w:ascii="宋体" w:hAnsi="宋体" w:cs="宋体"/>
          <w:bCs/>
          <w:color w:val="000000" w:themeColor="text1"/>
          <w:szCs w:val="21"/>
          <w:highlight w:val="none"/>
          <w14:textFill>
            <w14:solidFill>
              <w14:schemeClr w14:val="tx1"/>
            </w14:solidFill>
          </w14:textFill>
        </w:rPr>
      </w:pP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pacing w:before="156" w:beforeLines="50" w:after="156" w:afterLines="50" w:line="480" w:lineRule="auto"/>
        <w:ind w:firstLine="848" w:firstLineChars="303"/>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采购项目编号：</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分标号（如有）：</w:t>
      </w:r>
      <w:r>
        <w:rPr>
          <w:rFonts w:hint="eastAsia" w:ascii="宋体" w:hAnsi="宋体" w:cs="宋体"/>
          <w:color w:val="000000" w:themeColor="text1"/>
          <w:sz w:val="28"/>
          <w:szCs w:val="28"/>
          <w:highlight w:val="none"/>
          <w:u w:val="single"/>
          <w14:textFill>
            <w14:solidFill>
              <w14:schemeClr w14:val="tx1"/>
            </w14:solidFill>
          </w14:textFill>
        </w:rPr>
        <w:t xml:space="preserve">  （如有则填写，无分标时填写“无”或者留空） </w:t>
      </w:r>
      <w:r>
        <w:rPr>
          <w:rFonts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000000" w:themeColor="text1"/>
          <w:sz w:val="28"/>
          <w:szCs w:val="28"/>
          <w:highlight w:val="none"/>
          <w14:textFill>
            <w14:solidFill>
              <w14:schemeClr w14:val="tx1"/>
            </w14:solidFill>
          </w14:textFill>
        </w:rPr>
      </w:pPr>
    </w:p>
    <w:p>
      <w:pPr>
        <w:tabs>
          <w:tab w:val="left" w:pos="2625"/>
        </w:tabs>
        <w:spacing w:line="360" w:lineRule="auto"/>
        <w:ind w:firstLine="560"/>
        <w:jc w:val="center"/>
        <w:rPr>
          <w:rFonts w:hint="eastAsia" w:ascii="宋体" w:hAnsi="宋体" w:cs="宋体"/>
          <w:color w:val="000000" w:themeColor="text1"/>
          <w:sz w:val="28"/>
          <w:szCs w:val="28"/>
          <w:highlight w:val="none"/>
          <w14:textFill>
            <w14:solidFill>
              <w14:schemeClr w14:val="tx1"/>
            </w14:solidFill>
          </w14:textFill>
        </w:rPr>
      </w:pPr>
    </w:p>
    <w:p>
      <w:pPr>
        <w:spacing w:line="360" w:lineRule="auto"/>
        <w:ind w:firstLine="560"/>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（供应商名称）</w:t>
      </w:r>
    </w:p>
    <w:p>
      <w:pPr>
        <w:wordWrap w:val="0"/>
        <w:spacing w:line="360" w:lineRule="auto"/>
        <w:ind w:right="42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     月    日</w:t>
      </w:r>
    </w:p>
    <w:p>
      <w:pPr>
        <w:snapToGrid w:val="0"/>
        <w:spacing w:before="156" w:beforeLines="50" w:after="50"/>
        <w:outlineLvl w:val="1"/>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bookmarkEnd w:id="13"/>
      <w:bookmarkStart w:id="14" w:name="_Toc20994"/>
      <w:bookmarkStart w:id="15" w:name="_Toc16140"/>
      <w:bookmarkStart w:id="16" w:name="_Toc1763"/>
      <w:bookmarkStart w:id="17" w:name="_Toc7387"/>
      <w:r>
        <w:rPr>
          <w:rFonts w:hint="eastAsia" w:ascii="宋体" w:hAnsi="宋体" w:cs="宋体"/>
          <w:b/>
          <w:bCs/>
          <w:color w:val="000000" w:themeColor="text1"/>
          <w:szCs w:val="21"/>
          <w:highlight w:val="none"/>
          <w14:textFill>
            <w14:solidFill>
              <w14:schemeClr w14:val="tx1"/>
            </w14:solidFill>
          </w14:textFill>
        </w:rPr>
        <w:t>二、响应文件格式</w:t>
      </w:r>
      <w:bookmarkEnd w:id="14"/>
      <w:bookmarkEnd w:id="15"/>
      <w:bookmarkEnd w:id="16"/>
      <w:bookmarkEnd w:id="17"/>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1、资格证明文件格式：</w:t>
      </w:r>
    </w:p>
    <w:p>
      <w:pPr>
        <w:snapToGrid w:val="0"/>
        <w:spacing w:before="156" w:beforeLines="50" w:after="50" w:line="330" w:lineRule="exact"/>
        <w:jc w:val="center"/>
        <w:rPr>
          <w:rFonts w:hint="eastAsia" w:ascii="宋体" w:hAnsi="宋体" w:cs="宋体"/>
          <w:b/>
          <w:color w:val="000000" w:themeColor="text1"/>
          <w:szCs w:val="21"/>
          <w:highlight w:val="none"/>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Cs w:val="21"/>
          <w:highlight w:val="none"/>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目录</w:t>
      </w:r>
    </w:p>
    <w:p>
      <w:pPr>
        <w:tabs>
          <w:tab w:val="left" w:pos="2625"/>
        </w:tabs>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(供应商需根据响应文件自行编制目录及页码)</w:t>
      </w:r>
    </w:p>
    <w:p>
      <w:pPr>
        <w:widowControl/>
        <w:spacing w:line="360" w:lineRule="exact"/>
        <w:rPr>
          <w:rFonts w:hint="eastAsia" w:ascii="宋体" w:hAnsi="宋体"/>
          <w:b/>
          <w:bCs/>
          <w:color w:val="000000" w:themeColor="text1"/>
          <w:sz w:val="24"/>
          <w:highlight w:val="none"/>
          <w14:textFill>
            <w14:solidFill>
              <w14:schemeClr w14:val="tx1"/>
            </w14:solidFill>
          </w14:textFill>
        </w:rPr>
      </w:pPr>
    </w:p>
    <w:p>
      <w:pPr>
        <w:tabs>
          <w:tab w:val="left" w:pos="2625"/>
        </w:tabs>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一、谈判声明书格式</w:t>
      </w:r>
    </w:p>
    <w:p>
      <w:pPr>
        <w:spacing w:line="320" w:lineRule="exac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谈判声明书</w:t>
      </w:r>
    </w:p>
    <w:p>
      <w:pPr>
        <w:pStyle w:val="20"/>
        <w:spacing w:line="360" w:lineRule="exact"/>
        <w:rPr>
          <w:rFonts w:hint="eastAsia" w:hAnsi="宋体" w:cs="宋体"/>
          <w:color w:val="000000" w:themeColor="text1"/>
          <w:sz w:val="21"/>
          <w:szCs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致：</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（采购人单位名称）：</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 xml:space="preserve">   （项目名称）  </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（1）将按谈判文件的约定履行合同责任和义务；</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（2）已详细审查全部谈判文件，包括澄清或者更正公告（如有）；</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（3）同意提供按照贵方可能要求的与谈判有关的一切数据或者资料；</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（4）响应谈判文件规定的响应文件有效期。</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□我方本次响应文件内容中未涉及商业秘密；</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□我方本次响应文件涉及商业秘密的内容有： </w:t>
      </w:r>
    </w:p>
    <w:p>
      <w:pPr>
        <w:snapToGrid w:val="0"/>
        <w:spacing w:before="50" w:after="50"/>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7.以上事项如有虚假或者隐瞒，我方愿意承担一切后果，并不再寻求任何旨在减轻或者免除法律责任的辩解。</w:t>
      </w: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ind w:firstLine="363" w:firstLineChars="202"/>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说明：</w:t>
      </w:r>
    </w:p>
    <w:p>
      <w:pPr>
        <w:ind w:firstLine="363" w:firstLineChars="202"/>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w:t>
      </w:r>
      <w:r>
        <w:rPr>
          <w:rFonts w:hint="eastAsia"/>
          <w:color w:val="000000" w:themeColor="text1"/>
          <w:sz w:val="18"/>
          <w:szCs w:val="18"/>
          <w:highlight w:val="none"/>
          <w14:textFill>
            <w14:solidFill>
              <w14:schemeClr w14:val="tx1"/>
            </w14:solidFill>
          </w14:textFill>
        </w:rPr>
        <w:t>供应商可以自行通过</w:t>
      </w:r>
      <w:r>
        <w:rPr>
          <w:color w:val="000000" w:themeColor="text1"/>
          <w:sz w:val="18"/>
          <w:szCs w:val="18"/>
          <w:highlight w:val="none"/>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“信用中国”（</w:t>
      </w:r>
      <w:r>
        <w:rPr>
          <w:color w:val="000000" w:themeColor="text1"/>
          <w:sz w:val="18"/>
          <w:szCs w:val="18"/>
          <w:highlight w:val="none"/>
          <w14:textFill>
            <w14:solidFill>
              <w14:schemeClr w14:val="tx1"/>
            </w14:solidFill>
          </w14:textFill>
        </w:rPr>
        <w:t>www.creditchina.gov.cn</w:t>
      </w:r>
      <w:r>
        <w:rPr>
          <w:rFonts w:hint="eastAsia"/>
          <w:color w:val="000000" w:themeColor="text1"/>
          <w:sz w:val="18"/>
          <w:szCs w:val="18"/>
          <w:highlight w:val="none"/>
          <w14:textFill>
            <w14:solidFill>
              <w14:schemeClr w14:val="tx1"/>
            </w14:solidFill>
          </w14:textFill>
        </w:rPr>
        <w:t>）和“中国政府采购网”网站（</w:t>
      </w:r>
      <w:r>
        <w:rPr>
          <w:color w:val="000000" w:themeColor="text1"/>
          <w:sz w:val="18"/>
          <w:szCs w:val="18"/>
          <w:highlight w:val="none"/>
          <w14:textFill>
            <w14:solidFill>
              <w14:schemeClr w14:val="tx1"/>
            </w14:solidFill>
          </w14:textFill>
        </w:rPr>
        <w:t>www.ccgp.gov.cn</w:t>
      </w:r>
      <w:r>
        <w:rPr>
          <w:rFonts w:hint="eastAsia"/>
          <w:color w:val="000000" w:themeColor="text1"/>
          <w:sz w:val="18"/>
          <w:szCs w:val="18"/>
          <w:highlight w:val="none"/>
          <w14:textFill>
            <w14:solidFill>
              <w14:schemeClr w14:val="tx1"/>
            </w14:solidFill>
          </w14:textFill>
        </w:rPr>
        <w:t>）查询供应商相关主体的信用记录。查询时间为本项目投标截止时间前</w:t>
      </w:r>
      <w:r>
        <w:rPr>
          <w:color w:val="000000" w:themeColor="text1"/>
          <w:sz w:val="18"/>
          <w:szCs w:val="18"/>
          <w:highlight w:val="none"/>
          <w14:textFill>
            <w14:solidFill>
              <w14:schemeClr w14:val="tx1"/>
            </w14:solidFill>
          </w14:textFill>
        </w:rPr>
        <w:t>10</w:t>
      </w:r>
      <w:r>
        <w:rPr>
          <w:rFonts w:hint="eastAsia"/>
          <w:color w:val="000000" w:themeColor="text1"/>
          <w:sz w:val="18"/>
          <w:szCs w:val="18"/>
          <w:highlight w:val="none"/>
          <w14:textFill>
            <w14:solidFill>
              <w14:schemeClr w14:val="tx1"/>
            </w14:solidFill>
          </w14:textFill>
        </w:rPr>
        <w:t>日至投标截止时间中任意一天。在资格审查阶段经谈判小组查询，对列入失信被执行人、重大税收违法案件当事人名单、政府采购严重违法失信行为记录名单的供应商，将被拒绝参与本项目政府采购活动。</w:t>
      </w:r>
    </w:p>
    <w:p>
      <w:pPr>
        <w:ind w:firstLine="363" w:firstLineChars="202"/>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w:t>
      </w:r>
      <w:r>
        <w:rPr>
          <w:rFonts w:hint="eastAsia"/>
          <w:color w:val="000000" w:themeColor="text1"/>
          <w:sz w:val="18"/>
          <w:szCs w:val="18"/>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363" w:firstLineChars="202"/>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w:t>
      </w:r>
      <w:r>
        <w:rPr>
          <w:rFonts w:hint="eastAsia"/>
          <w:color w:val="000000" w:themeColor="text1"/>
          <w:sz w:val="18"/>
          <w:szCs w:val="18"/>
          <w:highlight w:val="none"/>
          <w14:textFill>
            <w14:solidFill>
              <w14:schemeClr w14:val="tx1"/>
            </w14:solidFill>
          </w14:textFill>
        </w:rPr>
        <w:t>如为联合体投标，盖章处须加盖联合体各方公章，否则投标无效。</w:t>
      </w:r>
    </w:p>
    <w:p>
      <w:pPr>
        <w:ind w:firstLine="363" w:firstLineChars="202"/>
        <w:rPr>
          <w:color w:val="000000" w:themeColor="text1"/>
          <w:sz w:val="18"/>
          <w:szCs w:val="18"/>
          <w:highlight w:val="none"/>
          <w14:textFill>
            <w14:solidFill>
              <w14:schemeClr w14:val="tx1"/>
            </w14:solidFill>
          </w14:textFill>
        </w:rPr>
      </w:pPr>
    </w:p>
    <w:p>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二、政府采购供应商资格信用承诺函格式</w:t>
      </w:r>
    </w:p>
    <w:p>
      <w:pPr>
        <w:autoSpaceDE w:val="0"/>
        <w:autoSpaceDN w:val="0"/>
        <w:adjustRightInd w:val="0"/>
        <w:spacing w:line="400" w:lineRule="exact"/>
        <w:jc w:val="left"/>
        <w:rPr>
          <w:rFonts w:hint="eastAsia" w:ascii="宋体" w:hAnsi="宋体" w:cs="宋体"/>
          <w:b/>
          <w:bCs/>
          <w:color w:val="000000" w:themeColor="text1"/>
          <w:szCs w:val="21"/>
          <w:highlight w:val="none"/>
          <w14:textFill>
            <w14:solidFill>
              <w14:schemeClr w14:val="tx1"/>
            </w14:solidFill>
          </w14:textFill>
        </w:rPr>
      </w:pPr>
    </w:p>
    <w:p>
      <w:pPr>
        <w:autoSpaceDE w:val="0"/>
        <w:autoSpaceDN w:val="0"/>
        <w:adjustRightInd w:val="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政府采购供应商资格信用承诺函</w:t>
      </w:r>
    </w:p>
    <w:p>
      <w:pPr>
        <w:pStyle w:val="30"/>
        <w:rPr>
          <w:rFonts w:hint="eastAsia" w:ascii="宋体" w:hAnsi="宋体" w:cs="宋体"/>
          <w:color w:val="000000" w:themeColor="text1"/>
          <w:sz w:val="21"/>
          <w:szCs w:val="21"/>
          <w:highlight w:val="none"/>
          <w14:textFill>
            <w14:solidFill>
              <w14:schemeClr w14:val="tx1"/>
            </w14:solidFill>
          </w14:textFill>
        </w:rPr>
      </w:pP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致：</w:t>
      </w:r>
      <w:r>
        <w:rPr>
          <w:rFonts w:hint="eastAsia" w:ascii="宋体" w:hAnsi="宋体"/>
          <w:color w:val="000000" w:themeColor="text1"/>
          <w:spacing w:val="6"/>
          <w:szCs w:val="21"/>
          <w:highlight w:val="none"/>
          <w:u w:val="single"/>
          <w14:textFill>
            <w14:solidFill>
              <w14:schemeClr w14:val="tx1"/>
            </w14:solidFill>
          </w14:textFill>
        </w:rPr>
        <w:t>（采购人名称）、（代理机构名称）</w:t>
      </w:r>
      <w:r>
        <w:rPr>
          <w:rFonts w:hint="eastAsia" w:ascii="宋体" w:hAnsi="宋体"/>
          <w:color w:val="000000" w:themeColor="text1"/>
          <w:spacing w:val="6"/>
          <w:szCs w:val="21"/>
          <w:highlight w:val="none"/>
          <w14:textFill>
            <w14:solidFill>
              <w14:schemeClr w14:val="tx1"/>
            </w14:solidFill>
          </w14:textFill>
        </w:rPr>
        <w:t>：</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我方自愿参加</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项目（项目编号：</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）的政府采购活动，并郑重承诺我方符合《中华人民共和国政府采购法》第二十二条规定的条件：</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（一）具有独立承担民事责任的能力； </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（二）具有良好的商业信誉和健全的财务会计制度； </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（三）具有履行合同所必需的设备和专业技术能力； </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（四）有依法缴纳税收和社会保障资金的良好记录； </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（五）参加政府采购活动前三年内，在经营活动中没有重大违法记录； </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（六）法律、行政法规规定的其他条件。 </w:t>
      </w:r>
    </w:p>
    <w:p>
      <w:pPr>
        <w:autoSpaceDE w:val="0"/>
        <w:autoSpaceDN w:val="0"/>
        <w:adjustRightInd w:val="0"/>
        <w:spacing w:line="360" w:lineRule="auto"/>
        <w:ind w:firstLine="444"/>
        <w:rPr>
          <w:rFonts w:hint="eastAsia"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spacing w:line="360" w:lineRule="auto"/>
        <w:ind w:firstLine="446"/>
        <w:rPr>
          <w:rFonts w:hint="eastAsia" w:ascii="宋体" w:hAnsi="宋体"/>
          <w:color w:val="000000" w:themeColor="text1"/>
          <w:spacing w:val="6"/>
          <w:szCs w:val="21"/>
          <w:highlight w:val="none"/>
          <w14:textFill>
            <w14:solidFill>
              <w14:schemeClr w14:val="tx1"/>
            </w14:solidFill>
          </w14:textFill>
        </w:rPr>
      </w:pPr>
      <w:r>
        <w:rPr>
          <w:rFonts w:hint="eastAsia" w:ascii="宋体" w:hAnsi="宋体"/>
          <w:b/>
          <w:bCs/>
          <w:color w:val="000000" w:themeColor="text1"/>
          <w:spacing w:val="6"/>
          <w:szCs w:val="21"/>
          <w:highlight w:val="none"/>
          <w14:textFill>
            <w14:solidFill>
              <w14:schemeClr w14:val="tx1"/>
            </w14:solidFill>
          </w14:textFill>
        </w:rPr>
        <w:t>特此声明！</w:t>
      </w:r>
      <w:r>
        <w:rPr>
          <w:rFonts w:hint="eastAsia" w:ascii="宋体" w:hAnsi="宋体"/>
          <w:color w:val="000000" w:themeColor="text1"/>
          <w:spacing w:val="6"/>
          <w:szCs w:val="21"/>
          <w:highlight w:val="none"/>
          <w14:textFill>
            <w14:solidFill>
              <w14:schemeClr w14:val="tx1"/>
            </w14:solidFill>
          </w14:textFill>
        </w:rPr>
        <w:t xml:space="preserve"> </w:t>
      </w:r>
    </w:p>
    <w:p>
      <w:pPr>
        <w:pStyle w:val="36"/>
        <w:spacing w:line="360" w:lineRule="auto"/>
        <w:ind w:firstLine="444"/>
        <w:rPr>
          <w:rFonts w:hint="eastAsia" w:ascii="宋体" w:hAnsi="宋体"/>
          <w:color w:val="000000" w:themeColor="text1"/>
          <w:spacing w:val="6"/>
          <w:szCs w:val="21"/>
          <w:highlight w:val="none"/>
          <w14:textFill>
            <w14:solidFill>
              <w14:schemeClr w14:val="tx1"/>
            </w14:solidFill>
          </w14:textFill>
        </w:rPr>
      </w:pPr>
    </w:p>
    <w:p>
      <w:pPr>
        <w:spacing w:line="360" w:lineRule="auto"/>
        <w:ind w:firstLine="420"/>
        <w:rPr>
          <w:rFonts w:hint="eastAsia" w:ascii="宋体" w:hAnsi="宋体"/>
          <w:color w:val="000000" w:themeColor="text1"/>
          <w:szCs w:val="21"/>
          <w:highlight w:val="none"/>
          <w14:textFill>
            <w14:solidFill>
              <w14:schemeClr w14:val="tx1"/>
            </w14:solidFill>
          </w14:textFill>
        </w:rPr>
      </w:pPr>
    </w:p>
    <w:p>
      <w:pPr>
        <w:pStyle w:val="20"/>
        <w:tabs>
          <w:tab w:val="left" w:pos="5529"/>
        </w:tabs>
        <w:wordWrap w:val="0"/>
        <w:ind w:firstLine="2509" w:firstLineChars="1195"/>
        <w:rPr>
          <w:rFonts w:hint="eastAsia"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供应商名称（</w:t>
      </w:r>
      <w:r>
        <w:rPr>
          <w:rFonts w:hint="eastAsia" w:hAnsi="宋体"/>
          <w:color w:val="000000" w:themeColor="text1"/>
          <w:sz w:val="21"/>
          <w:highlight w:val="none"/>
          <w14:textFill>
            <w14:solidFill>
              <w14:schemeClr w14:val="tx1"/>
            </w14:solidFill>
          </w14:textFill>
        </w:rPr>
        <w:t>电子公章</w:t>
      </w:r>
      <w:r>
        <w:rPr>
          <w:rFonts w:hint="eastAsia" w:hAnsi="宋体"/>
          <w:color w:val="000000" w:themeColor="text1"/>
          <w:kern w:val="2"/>
          <w:sz w:val="21"/>
          <w:highlight w:val="non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0"/>
        <w:tabs>
          <w:tab w:val="left" w:pos="5529"/>
        </w:tabs>
        <w:wordWrap w:val="0"/>
        <w:ind w:firstLine="3968" w:firstLineChars="189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520" w:firstLineChars="1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法定代表人或委托代理人(签字或者电子签名或者加盖电子印章)：</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int="eastAsia" w:hAnsi="宋体"/>
          <w:color w:val="000000" w:themeColor="text1"/>
          <w:highlight w:val="none"/>
          <w14:textFill>
            <w14:solidFill>
              <w14:schemeClr w14:val="tx1"/>
            </w14:solidFill>
          </w14:textFill>
        </w:rPr>
      </w:pPr>
    </w:p>
    <w:p>
      <w:pPr>
        <w:pStyle w:val="20"/>
        <w:wordWrap w:val="0"/>
        <w:ind w:firstLine="420"/>
        <w:jc w:val="right"/>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napToGrid w:val="0"/>
        <w:spacing w:before="156" w:beforeLines="50" w:after="50" w:line="400" w:lineRule="exact"/>
        <w:rPr>
          <w:rFonts w:hint="eastAsia" w:ascii="宋体" w:hAnsi="宋体" w:cs="宋体"/>
          <w:b/>
          <w:color w:val="000000" w:themeColor="text1"/>
          <w:highlight w:val="none"/>
          <w14:textFill>
            <w14:solidFill>
              <w14:schemeClr w14:val="tx1"/>
            </w14:solidFill>
          </w14:textFill>
        </w:rPr>
      </w:pPr>
    </w:p>
    <w:p>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三、供应商直接控股、管理关系信息表格式</w:t>
      </w:r>
    </w:p>
    <w:p>
      <w:pPr>
        <w:snapToGrid w:val="0"/>
        <w:spacing w:before="156" w:beforeLines="50" w:after="50" w:line="360" w:lineRule="auto"/>
        <w:ind w:firstLine="643"/>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r>
        <w:rPr>
          <w:rFonts w:hint="eastAsia" w:hAnsi="宋体" w:cs="宋体"/>
          <w:b/>
          <w:color w:val="000000" w:themeColor="text1"/>
          <w:sz w:val="32"/>
          <w:highlight w:val="none"/>
          <w14:textFill>
            <w14:solidFill>
              <w14:schemeClr w14:val="tx1"/>
            </w14:solidFill>
          </w14:textFill>
        </w:rPr>
        <w:t>（格式）</w:t>
      </w:r>
    </w:p>
    <w:tbl>
      <w:tblPr>
        <w:tblStyle w:val="37"/>
        <w:tblW w:w="9840" w:type="dxa"/>
        <w:jc w:val="center"/>
        <w:shd w:val="clear" w:color="auto" w:fill="FBFBFB"/>
        <w:tblLayout w:type="fixed"/>
        <w:tblCellMar>
          <w:top w:w="0" w:type="dxa"/>
          <w:left w:w="0" w:type="dxa"/>
          <w:bottom w:w="0" w:type="dxa"/>
          <w:right w:w="0" w:type="dxa"/>
        </w:tblCellMar>
      </w:tblPr>
      <w:tblGrid>
        <w:gridCol w:w="880"/>
        <w:gridCol w:w="2656"/>
        <w:gridCol w:w="1455"/>
        <w:gridCol w:w="3857"/>
        <w:gridCol w:w="992"/>
      </w:tblGrid>
      <w:tr>
        <w:tblPrEx>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bl>
    <w:p>
      <w:pPr>
        <w:snapToGrid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pPr>
        <w:snapToGrid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3.供应商不存在直接控股股东的，则填“无”。</w:t>
      </w:r>
    </w:p>
    <w:p>
      <w:pPr>
        <w:snapToGrid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420"/>
        <w:jc w:val="left"/>
        <w:rPr>
          <w:rFonts w:hint="eastAsia" w:ascii="宋体" w:hAnsi="宋体" w:cs="宋体"/>
          <w:color w:val="000000" w:themeColor="text1"/>
          <w:szCs w:val="21"/>
          <w:highlight w:val="none"/>
          <w14:textFill>
            <w14:solidFill>
              <w14:schemeClr w14:val="tx1"/>
            </w14:solidFill>
          </w14:textFill>
        </w:rPr>
      </w:pPr>
    </w:p>
    <w:p>
      <w:pPr>
        <w:pStyle w:val="20"/>
        <w:tabs>
          <w:tab w:val="left" w:pos="5529"/>
        </w:tabs>
        <w:wordWrap w:val="0"/>
        <w:ind w:firstLine="2299" w:firstLineChars="1095"/>
        <w:rPr>
          <w:rFonts w:hint="eastAsia"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供应商名称（</w:t>
      </w:r>
      <w:r>
        <w:rPr>
          <w:rFonts w:hint="eastAsia" w:hAnsi="宋体"/>
          <w:color w:val="000000" w:themeColor="text1"/>
          <w:sz w:val="21"/>
          <w:highlight w:val="none"/>
          <w14:textFill>
            <w14:solidFill>
              <w14:schemeClr w14:val="tx1"/>
            </w14:solidFill>
          </w14:textFill>
        </w:rPr>
        <w:t>电子公章</w:t>
      </w:r>
      <w:r>
        <w:rPr>
          <w:rFonts w:hint="eastAsia" w:hAnsi="宋体"/>
          <w:color w:val="000000" w:themeColor="text1"/>
          <w:kern w:val="2"/>
          <w:sz w:val="21"/>
          <w:highlight w:val="non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0"/>
        <w:tabs>
          <w:tab w:val="left" w:pos="5529"/>
        </w:tabs>
        <w:wordWrap w:val="0"/>
        <w:ind w:firstLine="3968" w:firstLineChars="189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310" w:firstLineChars="11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法定代表人或委托代理人(签字或者电子签名或者加盖电子印章)：</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int="eastAsia" w:hAnsi="宋体"/>
          <w:color w:val="000000" w:themeColor="text1"/>
          <w:highlight w:val="none"/>
          <w14:textFill>
            <w14:solidFill>
              <w14:schemeClr w14:val="tx1"/>
            </w14:solidFill>
          </w14:textFill>
        </w:rPr>
      </w:pPr>
    </w:p>
    <w:p>
      <w:pPr>
        <w:snapToGrid w:val="0"/>
        <w:jc w:val="right"/>
        <w:rPr>
          <w:rFonts w:hint="eastAsia"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napToGrid w:val="0"/>
        <w:jc w:val="right"/>
        <w:rPr>
          <w:rFonts w:hint="eastAsia" w:hAnsi="宋体"/>
          <w:color w:val="000000" w:themeColor="text1"/>
          <w:highlight w:val="none"/>
          <w14:textFill>
            <w14:solidFill>
              <w14:schemeClr w14:val="tx1"/>
            </w14:solidFill>
          </w14:textFill>
        </w:rPr>
      </w:pPr>
    </w:p>
    <w:p>
      <w:pPr>
        <w:snapToGrid w:val="0"/>
        <w:jc w:val="left"/>
        <w:rPr>
          <w:rFonts w:hint="eastAsia" w:ascii="宋体" w:hAnsi="宋体" w:cs="宋体"/>
          <w:b/>
          <w:color w:val="000000" w:themeColor="text1"/>
          <w:szCs w:val="2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pPr>
        <w:pStyle w:val="20"/>
        <w:ind w:firstLine="400"/>
        <w:jc w:val="right"/>
        <w:rPr>
          <w:rFonts w:hint="eastAsia" w:hAnsi="宋体" w:cs="宋体"/>
          <w:color w:val="000000" w:themeColor="text1"/>
          <w:highlight w:val="none"/>
          <w14:textFill>
            <w14:solidFill>
              <w14:schemeClr w14:val="tx1"/>
            </w14:solidFill>
          </w14:textFill>
        </w:rPr>
      </w:pPr>
    </w:p>
    <w:p>
      <w:pPr>
        <w:spacing w:before="100" w:beforeAutospacing="1" w:after="156" w:afterLines="5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供应商直接管理关系信息表</w:t>
      </w:r>
      <w:r>
        <w:rPr>
          <w:rFonts w:hint="eastAsia" w:hAnsi="宋体" w:cs="宋体"/>
          <w:b/>
          <w:color w:val="000000" w:themeColor="text1"/>
          <w:sz w:val="32"/>
          <w:highlight w:val="none"/>
          <w14:textFill>
            <w14:solidFill>
              <w14:schemeClr w14:val="tx1"/>
            </w14:solidFill>
          </w14:textFill>
        </w:rPr>
        <w:t>（格式）</w:t>
      </w:r>
    </w:p>
    <w:tbl>
      <w:tblPr>
        <w:tblStyle w:val="3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000000" w:themeColor="text1"/>
                <w:kern w:val="0"/>
                <w:szCs w:val="21"/>
                <w:highlight w:val="none"/>
                <w14:textFill>
                  <w14:solidFill>
                    <w14:schemeClr w14:val="tx1"/>
                  </w14:solidFill>
                </w14:textFill>
              </w:rPr>
            </w:pPr>
          </w:p>
        </w:tc>
      </w:tr>
    </w:tbl>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6"/>
          <w:szCs w:val="21"/>
          <w:highlight w:val="none"/>
          <w14:textFill>
            <w14:solidFill>
              <w14:schemeClr w14:val="tx1"/>
            </w14:solidFill>
          </w14:textFill>
        </w:rPr>
        <w:t>本表所指的管理关系仅限于直接管理关系，不包括间接的管理关系。</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3.供应商不存在直接管理关系的，则填“无”。</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p>
    <w:p>
      <w:pPr>
        <w:snapToGrid w:val="0"/>
        <w:ind w:firstLine="560"/>
        <w:jc w:val="left"/>
        <w:rPr>
          <w:color w:val="000000" w:themeColor="text1"/>
          <w:sz w:val="28"/>
          <w:szCs w:val="28"/>
          <w:highlight w:val="none"/>
          <w14:textFill>
            <w14:solidFill>
              <w14:schemeClr w14:val="tx1"/>
            </w14:solidFill>
          </w14:textFill>
        </w:rPr>
      </w:pPr>
    </w:p>
    <w:p>
      <w:pPr>
        <w:snapToGrid w:val="0"/>
        <w:ind w:firstLine="560"/>
        <w:jc w:val="left"/>
        <w:rPr>
          <w:color w:val="000000" w:themeColor="text1"/>
          <w:sz w:val="28"/>
          <w:szCs w:val="28"/>
          <w:highlight w:val="none"/>
          <w14:textFill>
            <w14:solidFill>
              <w14:schemeClr w14:val="tx1"/>
            </w14:solidFill>
          </w14:textFill>
        </w:rPr>
      </w:pPr>
    </w:p>
    <w:p>
      <w:pPr>
        <w:pStyle w:val="20"/>
        <w:tabs>
          <w:tab w:val="left" w:pos="5529"/>
        </w:tabs>
        <w:wordWrap w:val="0"/>
        <w:ind w:firstLine="2299" w:firstLineChars="1095"/>
        <w:rPr>
          <w:rFonts w:hint="eastAsia"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供应商名称（</w:t>
      </w:r>
      <w:r>
        <w:rPr>
          <w:rFonts w:hint="eastAsia" w:hAnsi="宋体"/>
          <w:color w:val="000000" w:themeColor="text1"/>
          <w:sz w:val="21"/>
          <w:highlight w:val="none"/>
          <w14:textFill>
            <w14:solidFill>
              <w14:schemeClr w14:val="tx1"/>
            </w14:solidFill>
          </w14:textFill>
        </w:rPr>
        <w:t>电子公章</w:t>
      </w:r>
      <w:r>
        <w:rPr>
          <w:rFonts w:hint="eastAsia" w:hAnsi="宋体"/>
          <w:color w:val="000000" w:themeColor="text1"/>
          <w:kern w:val="2"/>
          <w:sz w:val="21"/>
          <w:highlight w:val="non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pPr>
        <w:pStyle w:val="20"/>
        <w:tabs>
          <w:tab w:val="left" w:pos="5529"/>
        </w:tabs>
        <w:wordWrap w:val="0"/>
        <w:ind w:firstLine="3968" w:firstLineChars="189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pPr>
        <w:tabs>
          <w:tab w:val="left" w:pos="4111"/>
        </w:tabs>
        <w:wordWrap w:val="0"/>
        <w:snapToGrid w:val="0"/>
        <w:spacing w:before="50"/>
        <w:ind w:firstLine="2310" w:firstLineChars="11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法定代表人或委托代理人(签字或者电子签名或者加盖电子印章)：</w:t>
      </w:r>
      <w:r>
        <w:rPr>
          <w:rFonts w:hint="eastAsia" w:hAnsi="宋体"/>
          <w:color w:val="000000" w:themeColor="text1"/>
          <w:highlight w:val="none"/>
          <w:u w:val="single"/>
          <w14:textFill>
            <w14:solidFill>
              <w14:schemeClr w14:val="tx1"/>
            </w14:solidFill>
          </w14:textFill>
        </w:rPr>
        <w:t xml:space="preserve">           </w:t>
      </w:r>
    </w:p>
    <w:p>
      <w:pPr>
        <w:tabs>
          <w:tab w:val="left" w:pos="4111"/>
        </w:tabs>
        <w:wordWrap w:val="0"/>
        <w:snapToGrid w:val="0"/>
        <w:spacing w:before="50"/>
        <w:ind w:firstLine="3968" w:firstLineChars="1890"/>
        <w:rPr>
          <w:rFonts w:hint="eastAsia" w:hAnsi="宋体"/>
          <w:color w:val="000000" w:themeColor="text1"/>
          <w:highlight w:val="none"/>
          <w14:textFill>
            <w14:solidFill>
              <w14:schemeClr w14:val="tx1"/>
            </w14:solidFill>
          </w14:textFill>
        </w:rPr>
      </w:pPr>
    </w:p>
    <w:p>
      <w:pPr>
        <w:pStyle w:val="20"/>
        <w:wordWrap w:val="0"/>
        <w:ind w:firstLine="420"/>
        <w:jc w:val="right"/>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pPr>
        <w:snapToGrid w:val="0"/>
        <w:spacing w:before="50" w:after="50"/>
        <w:ind w:left="-6" w:leftChars="-3" w:right="-817" w:rightChars="-389" w:firstLine="6720" w:firstLineChars="3200"/>
        <w:rPr>
          <w:rFonts w:hint="eastAsia" w:ascii="宋体" w:hAnsi="宋体" w:cs="宋体"/>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2、商务和技术文件格式：</w:t>
      </w:r>
    </w:p>
    <w:p>
      <w:pPr>
        <w:snapToGrid w:val="0"/>
        <w:spacing w:before="156" w:beforeLines="50" w:after="50" w:line="330" w:lineRule="exact"/>
        <w:jc w:val="center"/>
        <w:rPr>
          <w:rFonts w:hint="eastAsia" w:ascii="宋体" w:hAnsi="宋体" w:cs="宋体"/>
          <w:b/>
          <w:color w:val="000000" w:themeColor="text1"/>
          <w:szCs w:val="21"/>
          <w:highlight w:val="none"/>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Cs w:val="21"/>
          <w:highlight w:val="none"/>
          <w14:textFill>
            <w14:solidFill>
              <w14:schemeClr w14:val="tx1"/>
            </w14:solidFill>
          </w14:textFill>
        </w:rPr>
      </w:pPr>
    </w:p>
    <w:p>
      <w:pPr>
        <w:snapToGrid w:val="0"/>
        <w:spacing w:before="156" w:beforeLines="50" w:after="50" w:line="330" w:lineRule="exact"/>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目录</w:t>
      </w:r>
    </w:p>
    <w:p>
      <w:pPr>
        <w:snapToGrid w:val="0"/>
        <w:spacing w:before="156" w:beforeLines="50" w:after="50" w:line="330" w:lineRule="exact"/>
        <w:jc w:val="center"/>
        <w:rPr>
          <w:rFonts w:hint="eastAsia" w:ascii="宋体" w:hAnsi="宋体" w:cs="宋体"/>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(供应商需根据响应文件自行编制目录及页码)</w:t>
      </w: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pStyle w:val="36"/>
        <w:rPr>
          <w:rFonts w:hint="eastAsia" w:ascii="宋体" w:hAnsi="宋体"/>
          <w:color w:val="000000" w:themeColor="text1"/>
          <w:szCs w:val="21"/>
          <w:highlight w:val="none"/>
          <w14:textFill>
            <w14:solidFill>
              <w14:schemeClr w14:val="tx1"/>
            </w14:solidFill>
          </w14:textFill>
        </w:rPr>
      </w:pPr>
    </w:p>
    <w:p>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一、法定代表人身份证明书格式</w:t>
      </w:r>
    </w:p>
    <w:p>
      <w:pPr>
        <w:pStyle w:val="20"/>
        <w:ind w:left="-10" w:firstLine="10" w:firstLineChars="3"/>
        <w:jc w:val="center"/>
        <w:rPr>
          <w:rFonts w:hint="eastAsia"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法定代表人身份证明书（格式）</w:t>
      </w:r>
    </w:p>
    <w:p>
      <w:pPr>
        <w:pStyle w:val="20"/>
        <w:spacing w:line="480" w:lineRule="auto"/>
        <w:ind w:firstLine="698" w:firstLineChars="349"/>
        <w:rPr>
          <w:rFonts w:hint="eastAsia" w:hAnsi="宋体" w:cs="宋体"/>
          <w:color w:val="000000" w:themeColor="text1"/>
          <w:highlight w:val="none"/>
          <w14:textFill>
            <w14:solidFill>
              <w14:schemeClr w14:val="tx1"/>
            </w14:solidFill>
          </w14:textFill>
        </w:rPr>
      </w:pPr>
    </w:p>
    <w:p>
      <w:pPr>
        <w:pStyle w:val="20"/>
        <w:spacing w:line="480" w:lineRule="auto"/>
        <w:ind w:firstLine="720" w:firstLineChars="300"/>
        <w:rPr>
          <w:rFonts w:hint="eastAsia"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 应 商：</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地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址：</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姓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名：</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性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别：</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年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龄：</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职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务：</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p>
    <w:p>
      <w:pPr>
        <w:pStyle w:val="20"/>
        <w:spacing w:line="480" w:lineRule="auto"/>
        <w:ind w:firstLine="720" w:firstLineChars="3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系</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（供应商单位名称） </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的法定代表人。</w:t>
      </w:r>
    </w:p>
    <w:p>
      <w:pPr>
        <w:pStyle w:val="20"/>
        <w:spacing w:line="480" w:lineRule="auto"/>
        <w:ind w:firstLine="720" w:firstLineChars="3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特此证明。</w:t>
      </w:r>
    </w:p>
    <w:p>
      <w:pPr>
        <w:pStyle w:val="20"/>
        <w:spacing w:line="480" w:lineRule="auto"/>
        <w:ind w:firstLine="720" w:firstLineChars="300"/>
        <w:rPr>
          <w:rFonts w:hint="eastAsia" w:hAnsi="宋体"/>
          <w:color w:val="000000" w:themeColor="text1"/>
          <w:sz w:val="24"/>
          <w:szCs w:val="24"/>
          <w:highlight w:val="none"/>
          <w14:textFill>
            <w14:solidFill>
              <w14:schemeClr w14:val="tx1"/>
            </w14:solidFill>
          </w14:textFill>
        </w:rPr>
      </w:pPr>
    </w:p>
    <w:p>
      <w:pPr>
        <w:pStyle w:val="20"/>
        <w:spacing w:line="480" w:lineRule="auto"/>
        <w:ind w:firstLine="843" w:firstLineChars="300"/>
        <w:rPr>
          <w:rFonts w:hint="eastAsia" w:hAnsi="宋体"/>
          <w:color w:val="000000" w:themeColor="text1"/>
          <w:sz w:val="24"/>
          <w:szCs w:val="24"/>
          <w:highlight w:val="none"/>
          <w14:textFill>
            <w14:solidFill>
              <w14:schemeClr w14:val="tx1"/>
            </w14:solidFill>
          </w14:textFill>
        </w:rPr>
      </w:pPr>
      <w:r>
        <w:rPr>
          <w:b/>
          <w:color w:val="000000" w:themeColor="text1"/>
          <w:sz w:val="28"/>
          <w:szCs w:val="28"/>
          <w:highlight w:val="none"/>
          <w14:textFill>
            <w14:solidFill>
              <w14:schemeClr w14:val="tx1"/>
            </w14:solidFill>
          </w14:textFill>
        </w:rPr>
        <w:t>附件：法定代表人有效身份证正反面复印件</w:t>
      </w:r>
    </w:p>
    <w:p>
      <w:pPr>
        <w:pStyle w:val="20"/>
        <w:tabs>
          <w:tab w:val="left" w:pos="5529"/>
        </w:tabs>
        <w:wordWrap w:val="0"/>
        <w:ind w:firstLine="3968" w:firstLineChars="1890"/>
        <w:rPr>
          <w:rFonts w:hint="eastAsia" w:hAnsi="宋体"/>
          <w:color w:val="000000" w:themeColor="text1"/>
          <w:kern w:val="2"/>
          <w:sz w:val="21"/>
          <w:highlight w:val="none"/>
          <w14:textFill>
            <w14:solidFill>
              <w14:schemeClr w14:val="tx1"/>
            </w14:solidFill>
          </w14:textFill>
        </w:rPr>
      </w:pPr>
    </w:p>
    <w:p>
      <w:pPr>
        <w:pStyle w:val="20"/>
        <w:tabs>
          <w:tab w:val="left" w:pos="5529"/>
        </w:tabs>
        <w:wordWrap w:val="0"/>
        <w:ind w:firstLine="4389" w:firstLineChars="2090"/>
        <w:rPr>
          <w:rFonts w:hint="eastAsia" w:hAnsi="宋体"/>
          <w:color w:val="000000" w:themeColor="text1"/>
          <w:kern w:val="2"/>
          <w:sz w:val="21"/>
          <w:highlight w:val="none"/>
          <w14:textFill>
            <w14:solidFill>
              <w14:schemeClr w14:val="tx1"/>
            </w14:solidFill>
          </w14:textFill>
        </w:rPr>
      </w:pPr>
    </w:p>
    <w:p>
      <w:pPr>
        <w:pStyle w:val="20"/>
        <w:tabs>
          <w:tab w:val="left" w:pos="5529"/>
        </w:tabs>
        <w:wordWrap w:val="0"/>
        <w:ind w:firstLine="4389" w:firstLineChars="2090"/>
        <w:rPr>
          <w:rFonts w:hint="eastAsia" w:hAnsi="宋体"/>
          <w:color w:val="000000" w:themeColor="text1"/>
          <w:kern w:val="2"/>
          <w:sz w:val="21"/>
          <w:highlight w:val="none"/>
          <w14:textFill>
            <w14:solidFill>
              <w14:schemeClr w14:val="tx1"/>
            </w14:solidFill>
          </w14:textFill>
        </w:rPr>
      </w:pPr>
    </w:p>
    <w:p>
      <w:pPr>
        <w:pStyle w:val="20"/>
        <w:tabs>
          <w:tab w:val="left" w:pos="5529"/>
        </w:tabs>
        <w:wordWrap w:val="0"/>
        <w:ind w:firstLine="4389" w:firstLineChars="2090"/>
        <w:rPr>
          <w:rFonts w:hint="eastAsia" w:hAnsi="宋体"/>
          <w:color w:val="000000" w:themeColor="text1"/>
          <w:kern w:val="2"/>
          <w:sz w:val="21"/>
          <w:highlight w:val="none"/>
          <w14:textFill>
            <w14:solidFill>
              <w14:schemeClr w14:val="tx1"/>
            </w14:solidFill>
          </w14:textFill>
        </w:rPr>
      </w:pPr>
    </w:p>
    <w:p>
      <w:pPr>
        <w:pStyle w:val="20"/>
        <w:tabs>
          <w:tab w:val="left" w:pos="5529"/>
        </w:tabs>
        <w:wordWrap w:val="0"/>
        <w:ind w:firstLine="4560" w:firstLineChars="1900"/>
        <w:rPr>
          <w:rFonts w:hint="eastAsia" w:hAnsi="宋体"/>
          <w:color w:val="000000" w:themeColor="text1"/>
          <w:kern w:val="2"/>
          <w:sz w:val="24"/>
          <w:szCs w:val="24"/>
          <w:highlight w:val="none"/>
          <w:u w:val="single"/>
          <w14:textFill>
            <w14:solidFill>
              <w14:schemeClr w14:val="tx1"/>
            </w14:solidFill>
          </w14:textFill>
        </w:rPr>
      </w:pPr>
      <w:r>
        <w:rPr>
          <w:rFonts w:hint="eastAsia" w:hAnsi="宋体"/>
          <w:color w:val="000000" w:themeColor="text1"/>
          <w:kern w:val="2"/>
          <w:sz w:val="24"/>
          <w:szCs w:val="24"/>
          <w:highlight w:val="none"/>
          <w14:textFill>
            <w14:solidFill>
              <w14:schemeClr w14:val="tx1"/>
            </w14:solidFill>
          </w14:textFill>
        </w:rPr>
        <w:t xml:space="preserve">供应商名称（电子公章）： </w:t>
      </w:r>
      <w:r>
        <w:rPr>
          <w:rFonts w:hint="eastAsia" w:hAnsi="宋体"/>
          <w:color w:val="000000" w:themeColor="text1"/>
          <w:sz w:val="24"/>
          <w:szCs w:val="24"/>
          <w:highlight w:val="none"/>
          <w:u w:val="single"/>
          <w14:textFill>
            <w14:solidFill>
              <w14:schemeClr w14:val="tx1"/>
            </w14:solidFill>
          </w14:textFill>
        </w:rPr>
        <w:t xml:space="preserve">                </w:t>
      </w:r>
    </w:p>
    <w:p>
      <w:pPr>
        <w:pStyle w:val="20"/>
        <w:tabs>
          <w:tab w:val="left" w:pos="5529"/>
        </w:tabs>
        <w:wordWrap w:val="0"/>
        <w:ind w:firstLine="4536" w:firstLineChars="1890"/>
        <w:rPr>
          <w:rFonts w:hint="eastAsia" w:hAnsi="宋体"/>
          <w:color w:val="000000" w:themeColor="text1"/>
          <w:kern w:val="2"/>
          <w:sz w:val="24"/>
          <w:szCs w:val="24"/>
          <w:highlight w:val="none"/>
          <w14:textFill>
            <w14:solidFill>
              <w14:schemeClr w14:val="tx1"/>
            </w14:solidFill>
          </w14:textFill>
        </w:rPr>
      </w:pPr>
      <w:r>
        <w:rPr>
          <w:rFonts w:hint="eastAsia" w:hAnsi="宋体"/>
          <w:color w:val="000000" w:themeColor="text1"/>
          <w:kern w:val="2"/>
          <w:sz w:val="24"/>
          <w:szCs w:val="24"/>
          <w:highlight w:val="none"/>
          <w14:textFill>
            <w14:solidFill>
              <w14:schemeClr w14:val="tx1"/>
            </w14:solidFill>
          </w14:textFill>
        </w:rPr>
        <w:t xml:space="preserve">                                 </w:t>
      </w:r>
    </w:p>
    <w:p>
      <w:pPr>
        <w:pStyle w:val="20"/>
        <w:tabs>
          <w:tab w:val="left" w:pos="5529"/>
        </w:tabs>
        <w:ind w:right="120" w:firstLine="4536" w:firstLineChars="189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pPr>
        <w:pStyle w:val="20"/>
        <w:tabs>
          <w:tab w:val="left" w:pos="5529"/>
        </w:tabs>
        <w:ind w:right="120" w:firstLine="4536" w:firstLineChars="1890"/>
        <w:jc w:val="right"/>
        <w:rPr>
          <w:color w:val="000000" w:themeColor="text1"/>
          <w:sz w:val="24"/>
          <w:szCs w:val="24"/>
          <w:highlight w:val="none"/>
          <w14:textFill>
            <w14:solidFill>
              <w14:schemeClr w14:val="tx1"/>
            </w14:solidFill>
          </w14:textFill>
        </w:rPr>
      </w:pPr>
    </w:p>
    <w:p>
      <w:pPr>
        <w:pStyle w:val="20"/>
        <w:tabs>
          <w:tab w:val="left" w:pos="5529"/>
        </w:tabs>
        <w:ind w:right="120" w:firstLine="4536" w:firstLineChars="1890"/>
        <w:jc w:val="right"/>
        <w:rPr>
          <w:color w:val="000000" w:themeColor="text1"/>
          <w:sz w:val="24"/>
          <w:szCs w:val="24"/>
          <w:highlight w:val="none"/>
          <w14:textFill>
            <w14:solidFill>
              <w14:schemeClr w14:val="tx1"/>
            </w14:solidFill>
          </w14:textFill>
        </w:rPr>
      </w:pPr>
    </w:p>
    <w:p>
      <w:pPr>
        <w:pStyle w:val="20"/>
        <w:tabs>
          <w:tab w:val="left" w:pos="5529"/>
        </w:tabs>
        <w:ind w:right="120" w:firstLine="480"/>
        <w:rPr>
          <w:color w:val="000000" w:themeColor="text1"/>
          <w:sz w:val="24"/>
          <w:szCs w:val="24"/>
          <w:highlight w:val="none"/>
          <w14:textFill>
            <w14:solidFill>
              <w14:schemeClr w14:val="tx1"/>
            </w14:solidFill>
          </w14:textFill>
        </w:rPr>
      </w:pPr>
    </w:p>
    <w:p>
      <w:pPr>
        <w:pStyle w:val="20"/>
        <w:tabs>
          <w:tab w:val="left" w:pos="5529"/>
        </w:tabs>
        <w:ind w:right="120" w:firstLine="48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注：自然人竞标的无需提供</w:t>
      </w:r>
    </w:p>
    <w:p>
      <w:pPr>
        <w:jc w:val="center"/>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pStyle w:val="20"/>
        <w:spacing w:line="240" w:lineRule="exact"/>
        <w:rPr>
          <w:rFonts w:hint="eastAsia" w:hAnsi="宋体" w:cs="宋体"/>
          <w:color w:val="000000" w:themeColor="text1"/>
          <w:sz w:val="44"/>
          <w:highlight w:val="none"/>
          <w14:textFill>
            <w14:solidFill>
              <w14:schemeClr w14:val="tx1"/>
            </w14:solidFill>
          </w14:textFill>
        </w:rPr>
      </w:pPr>
    </w:p>
    <w:p>
      <w:pPr>
        <w:pStyle w:val="20"/>
        <w:spacing w:line="240" w:lineRule="atLeast"/>
        <w:ind w:firstLine="5500" w:firstLineChars="2750"/>
        <w:rPr>
          <w:rFonts w:hint="eastAsia" w:hAnsi="宋体" w:cs="宋体"/>
          <w:color w:val="000000" w:themeColor="text1"/>
          <w:highlight w:val="none"/>
          <w14:textFill>
            <w14:solidFill>
              <w14:schemeClr w14:val="tx1"/>
            </w14:solidFill>
          </w14:textFill>
        </w:rPr>
      </w:pPr>
    </w:p>
    <w:p>
      <w:pPr>
        <w:pStyle w:val="20"/>
        <w:spacing w:line="240" w:lineRule="atLeast"/>
        <w:ind w:firstLine="5500" w:firstLineChars="2750"/>
        <w:rPr>
          <w:rFonts w:hint="eastAsia" w:hAnsi="宋体" w:cs="宋体"/>
          <w:color w:val="000000" w:themeColor="text1"/>
          <w:highlight w:val="none"/>
          <w14:textFill>
            <w14:solidFill>
              <w14:schemeClr w14:val="tx1"/>
            </w14:solidFill>
          </w14:textFill>
        </w:rPr>
      </w:pPr>
    </w:p>
    <w:p>
      <w:pPr>
        <w:pStyle w:val="20"/>
        <w:spacing w:line="240" w:lineRule="atLeast"/>
        <w:ind w:firstLine="5500" w:firstLineChars="2750"/>
        <w:rPr>
          <w:rFonts w:hint="eastAsia" w:hAnsi="宋体" w:cs="宋体"/>
          <w:color w:val="000000" w:themeColor="text1"/>
          <w:highlight w:val="none"/>
          <w14:textFill>
            <w14:solidFill>
              <w14:schemeClr w14:val="tx1"/>
            </w14:solidFill>
          </w14:textFill>
        </w:rPr>
      </w:pPr>
    </w:p>
    <w:p>
      <w:pPr>
        <w:pStyle w:val="20"/>
        <w:spacing w:line="240" w:lineRule="atLeast"/>
        <w:ind w:firstLine="5500" w:firstLineChars="2750"/>
        <w:rPr>
          <w:rFonts w:hint="eastAsia" w:hAnsi="宋体" w:cs="宋体"/>
          <w:color w:val="000000" w:themeColor="text1"/>
          <w:highlight w:val="none"/>
          <w14:textFill>
            <w14:solidFill>
              <w14:schemeClr w14:val="tx1"/>
            </w14:solidFill>
          </w14:textFill>
        </w:rPr>
      </w:pPr>
    </w:p>
    <w:p>
      <w:pPr>
        <w:pStyle w:val="20"/>
        <w:spacing w:line="240" w:lineRule="atLeast"/>
        <w:ind w:firstLine="5500" w:firstLineChars="2750"/>
        <w:rPr>
          <w:rFonts w:hint="eastAsia" w:hAnsi="宋体" w:cs="宋体"/>
          <w:color w:val="000000" w:themeColor="text1"/>
          <w:highlight w:val="none"/>
          <w14:textFill>
            <w14:solidFill>
              <w14:schemeClr w14:val="tx1"/>
            </w14:solidFill>
          </w14:textFill>
        </w:rPr>
      </w:pPr>
    </w:p>
    <w:p>
      <w:pPr>
        <w:spacing w:line="300" w:lineRule="auto"/>
        <w:rPr>
          <w:rFonts w:hint="eastAsia" w:ascii="宋体" w:hAnsi="宋体" w:cs="宋体"/>
          <w:b/>
          <w:color w:val="000000" w:themeColor="text1"/>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pacing w:line="30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二、法定代表人授权委托书格式</w:t>
      </w:r>
    </w:p>
    <w:p>
      <w:pPr>
        <w:pStyle w:val="20"/>
        <w:jc w:val="center"/>
        <w:rPr>
          <w:rFonts w:hint="eastAsia"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法定代表人授权委托书</w:t>
      </w:r>
    </w:p>
    <w:p>
      <w:pPr>
        <w:snapToGrid w:val="0"/>
        <w:spacing w:line="48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（采购人、代理机构名称）：</w:t>
      </w:r>
    </w:p>
    <w:p>
      <w:pPr>
        <w:snapToGrid w:val="0"/>
        <w:spacing w:line="480" w:lineRule="auto"/>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我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（供应商名称）的法定代表人，现授权委托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项目的谈判活动，并代表我方全权办理针对上述项目的递交文件、谈判、澄清、签约等具体事务和签署相关文件。</w:t>
      </w:r>
    </w:p>
    <w:p>
      <w:pPr>
        <w:snapToGrid w:val="0"/>
        <w:spacing w:line="48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我方对被授权人的签字或者电子签名或者加盖电子印章事项负全部责任。</w:t>
      </w:r>
    </w:p>
    <w:p>
      <w:pPr>
        <w:snapToGrid w:val="0"/>
        <w:spacing w:line="48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highlight w:val="none"/>
          <w14:textFill>
            <w14:solidFill>
              <w14:schemeClr w14:val="tx1"/>
            </w14:solidFill>
          </w14:textFill>
        </w:rPr>
        <w:t>被授权人在授权书有效期内签署的所有文件不因授权的撤销而失效。</w:t>
      </w:r>
    </w:p>
    <w:p>
      <w:pPr>
        <w:snapToGrid w:val="0"/>
        <w:spacing w:line="48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被授权人无转委托权，特此委托。</w:t>
      </w:r>
    </w:p>
    <w:p>
      <w:pPr>
        <w:snapToGrid w:val="0"/>
        <w:spacing w:line="360" w:lineRule="auto"/>
        <w:ind w:firstLine="480"/>
        <w:rPr>
          <w:rFonts w:hint="eastAsia" w:ascii="宋体" w:hAnsi="宋体" w:cs="宋体"/>
          <w:color w:val="000000" w:themeColor="text1"/>
          <w:sz w:val="24"/>
          <w:highlight w:val="none"/>
          <w14:textFill>
            <w14:solidFill>
              <w14:schemeClr w14:val="tx1"/>
            </w14:solidFill>
          </w14:textFill>
        </w:rPr>
      </w:pPr>
    </w:p>
    <w:p>
      <w:pPr>
        <w:pStyle w:val="47"/>
        <w:spacing w:line="480" w:lineRule="auto"/>
        <w:ind w:firstLine="562"/>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附件：委托代理人有效身份证正反面复印件</w:t>
      </w:r>
    </w:p>
    <w:p>
      <w:pPr>
        <w:pStyle w:val="20"/>
        <w:spacing w:line="480" w:lineRule="auto"/>
        <w:ind w:firstLine="482"/>
        <w:rPr>
          <w:rFonts w:hint="eastAsia" w:hAnsi="宋体"/>
          <w:b/>
          <w:color w:val="000000" w:themeColor="text1"/>
          <w:sz w:val="24"/>
          <w:szCs w:val="24"/>
          <w:highlight w:val="none"/>
          <w14:textFill>
            <w14:solidFill>
              <w14:schemeClr w14:val="tx1"/>
            </w14:solidFill>
          </w14:textFill>
        </w:rPr>
      </w:pPr>
    </w:p>
    <w:p>
      <w:pPr>
        <w:pStyle w:val="20"/>
        <w:spacing w:line="48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14:textFill>
            <w14:solidFill>
              <w14:schemeClr w14:val="tx1"/>
            </w14:solidFill>
          </w14:textFill>
        </w:rPr>
        <w:t>签字或者电子签名或者加盖电子印章</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p>
    <w:p>
      <w:pPr>
        <w:pStyle w:val="20"/>
        <w:spacing w:line="48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委托代理人（</w:t>
      </w:r>
      <w:r>
        <w:rPr>
          <w:rFonts w:hint="eastAsia"/>
          <w:color w:val="000000" w:themeColor="text1"/>
          <w:sz w:val="24"/>
          <w:szCs w:val="24"/>
          <w:highlight w:val="none"/>
          <w14:textFill>
            <w14:solidFill>
              <w14:schemeClr w14:val="tx1"/>
            </w14:solidFill>
          </w14:textFill>
        </w:rPr>
        <w:t>签字或者电子签名或者加盖电子印章</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p>
    <w:p>
      <w:pPr>
        <w:pStyle w:val="20"/>
        <w:spacing w:line="48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委托代理人身份证号码：</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pPr>
        <w:pStyle w:val="20"/>
        <w:spacing w:line="480" w:lineRule="auto"/>
        <w:ind w:firstLine="480"/>
        <w:rPr>
          <w:color w:val="000000" w:themeColor="text1"/>
          <w:sz w:val="24"/>
          <w:szCs w:val="24"/>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pStyle w:val="20"/>
        <w:spacing w:line="240" w:lineRule="exact"/>
        <w:rPr>
          <w:rFonts w:hint="eastAsia" w:hAnsi="宋体" w:cs="宋体"/>
          <w:color w:val="000000" w:themeColor="text1"/>
          <w:sz w:val="44"/>
          <w:highlight w:val="none"/>
          <w14:textFill>
            <w14:solidFill>
              <w14:schemeClr w14:val="tx1"/>
            </w14:solidFill>
          </w14:textFill>
        </w:rPr>
      </w:pPr>
    </w:p>
    <w:p>
      <w:pPr>
        <w:pStyle w:val="20"/>
        <w:spacing w:line="240" w:lineRule="exact"/>
        <w:rPr>
          <w:rFonts w:hint="eastAsia" w:hAnsi="宋体" w:cs="宋体"/>
          <w:color w:val="000000" w:themeColor="text1"/>
          <w:sz w:val="44"/>
          <w:highlight w:val="none"/>
          <w14:textFill>
            <w14:solidFill>
              <w14:schemeClr w14:val="tx1"/>
            </w14:solidFill>
          </w14:textFill>
        </w:rPr>
      </w:pPr>
    </w:p>
    <w:p>
      <w:pPr>
        <w:pStyle w:val="20"/>
        <w:spacing w:line="240" w:lineRule="exact"/>
        <w:rPr>
          <w:rFonts w:hint="eastAsia" w:hAnsi="宋体" w:cs="宋体"/>
          <w:color w:val="000000" w:themeColor="text1"/>
          <w:sz w:val="44"/>
          <w:highlight w:val="none"/>
          <w14:textFill>
            <w14:solidFill>
              <w14:schemeClr w14:val="tx1"/>
            </w14:solidFill>
          </w14:textFill>
        </w:rPr>
      </w:pPr>
    </w:p>
    <w:p>
      <w:pPr>
        <w:pStyle w:val="20"/>
        <w:spacing w:line="240" w:lineRule="exact"/>
        <w:rPr>
          <w:rFonts w:hint="eastAsia" w:hAnsi="宋体" w:cs="宋体"/>
          <w:color w:val="000000" w:themeColor="text1"/>
          <w:sz w:val="44"/>
          <w:highlight w:val="none"/>
          <w14:textFill>
            <w14:solidFill>
              <w14:schemeClr w14:val="tx1"/>
            </w14:solidFill>
          </w14:textFill>
        </w:rPr>
      </w:pPr>
    </w:p>
    <w:p>
      <w:pPr>
        <w:jc w:val="center"/>
        <w:rPr>
          <w:rFonts w:hint="eastAsia" w:ascii="宋体" w:hAnsi="宋体" w:cs="宋体"/>
          <w:color w:val="000000" w:themeColor="text1"/>
          <w:highlight w:val="none"/>
          <w14:textFill>
            <w14:solidFill>
              <w14:schemeClr w14:val="tx1"/>
            </w14:solidFill>
          </w14:textFill>
        </w:rPr>
      </w:pPr>
    </w:p>
    <w:p>
      <w:pPr>
        <w:spacing w:line="320" w:lineRule="exact"/>
        <w:rPr>
          <w:rFonts w:hint="eastAsia" w:ascii="宋体" w:hAnsi="宋体" w:cs="宋体"/>
          <w:b/>
          <w:color w:val="000000" w:themeColor="text1"/>
          <w:szCs w:val="2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三、保证金证明格式（如有）</w:t>
      </w:r>
    </w:p>
    <w:p>
      <w:pPr>
        <w:spacing w:line="360" w:lineRule="exact"/>
        <w:rPr>
          <w:rFonts w:hint="eastAsia" w:ascii="宋体" w:hAnsi="宋体" w:cs="宋体"/>
          <w:color w:val="000000" w:themeColor="text1"/>
          <w:szCs w:val="21"/>
          <w:highlight w:val="none"/>
          <w14:textFill>
            <w14:solidFill>
              <w14:schemeClr w14:val="tx1"/>
            </w14:solidFill>
          </w14:textFill>
        </w:rPr>
      </w:pPr>
    </w:p>
    <w:p>
      <w:pPr>
        <w:pStyle w:val="20"/>
        <w:spacing w:line="440" w:lineRule="exact"/>
        <w:ind w:firstLine="420"/>
        <w:jc w:val="center"/>
        <w:rPr>
          <w:rFonts w:hint="eastAsia" w:hAnsi="宋体" w:cs="宋体"/>
          <w:b/>
          <w:color w:val="000000" w:themeColor="text1"/>
          <w:kern w:val="2"/>
          <w:sz w:val="21"/>
          <w:szCs w:val="21"/>
          <w:highlight w:val="none"/>
          <w14:textFill>
            <w14:solidFill>
              <w14:schemeClr w14:val="tx1"/>
            </w14:solidFill>
          </w14:textFill>
        </w:rPr>
      </w:pPr>
      <w:r>
        <w:rPr>
          <w:rFonts w:hint="eastAsia" w:hAnsi="宋体" w:cs="宋体"/>
          <w:b/>
          <w:color w:val="000000" w:themeColor="text1"/>
          <w:kern w:val="2"/>
          <w:sz w:val="21"/>
          <w:highlight w:val="none"/>
          <w14:textFill>
            <w14:solidFill>
              <w14:schemeClr w14:val="tx1"/>
            </w14:solidFill>
          </w14:textFill>
        </w:rPr>
        <w:t>竞标保证金缴纳证明材料复印件</w:t>
      </w:r>
    </w:p>
    <w:p>
      <w:pPr>
        <w:pStyle w:val="20"/>
        <w:spacing w:line="360" w:lineRule="exact"/>
        <w:rPr>
          <w:rFonts w:hint="eastAsia"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0"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336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wEnZ3WAAAABwEAAA8AAAAAAAAAAQAgAAAAIgAAAGRycy9kb3ducmV2Lnht&#10;bFBLAQIUABQAAAAIAIdO4kBTUWI6+wEAAD0EAAAOAAAAAAAAAAEAIAAAACUBAABkcnMvZTJvRG9j&#10;LnhtbFBLBQYAAAAABgAGAFkBAACSBQ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0"/>
        <w:spacing w:line="360" w:lineRule="exact"/>
        <w:rPr>
          <w:rFonts w:hint="eastAsia" w:hAnsi="宋体"/>
          <w:color w:val="000000" w:themeColor="text1"/>
          <w:highlight w:val="none"/>
          <w14:textFill>
            <w14:solidFill>
              <w14:schemeClr w14:val="tx1"/>
            </w14:solidFill>
          </w14:textFill>
        </w:rPr>
      </w:pPr>
    </w:p>
    <w:p>
      <w:pPr>
        <w:pStyle w:val="20"/>
        <w:spacing w:line="360" w:lineRule="exact"/>
        <w:rPr>
          <w:rFonts w:hint="eastAsia" w:hAnsi="宋体"/>
          <w:color w:val="000000" w:themeColor="text1"/>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ind w:firstLine="4600" w:firstLineChars="2300"/>
        <w:rPr>
          <w:rFonts w:hint="eastAsia" w:hAnsi="宋体"/>
          <w:color w:val="000000" w:themeColor="text1"/>
          <w:highlight w:val="none"/>
          <w14:textFill>
            <w14:solidFill>
              <w14:schemeClr w14:val="tx1"/>
            </w14:solidFill>
          </w14:textFill>
        </w:rPr>
      </w:pPr>
    </w:p>
    <w:p>
      <w:pPr>
        <w:pStyle w:val="20"/>
        <w:spacing w:line="360" w:lineRule="exact"/>
        <w:ind w:firstLine="4600" w:firstLineChars="2300"/>
        <w:rPr>
          <w:rFonts w:hint="eastAsia" w:hAnsi="宋体"/>
          <w:color w:val="000000" w:themeColor="text1"/>
          <w:highlight w:val="none"/>
          <w14:textFill>
            <w14:solidFill>
              <w14:schemeClr w14:val="tx1"/>
            </w14:solidFill>
          </w14:textFill>
        </w:rPr>
      </w:pPr>
    </w:p>
    <w:p>
      <w:pPr>
        <w:pStyle w:val="20"/>
        <w:spacing w:line="360" w:lineRule="exact"/>
        <w:ind w:firstLine="4600" w:firstLineChars="2300"/>
        <w:rPr>
          <w:rFonts w:hint="eastAsia" w:hAnsi="宋体"/>
          <w:color w:val="000000" w:themeColor="text1"/>
          <w:highlight w:val="none"/>
          <w14:textFill>
            <w14:solidFill>
              <w14:schemeClr w14:val="tx1"/>
            </w14:solidFill>
          </w14:textFill>
        </w:rPr>
      </w:pPr>
    </w:p>
    <w:p>
      <w:pPr>
        <w:pStyle w:val="20"/>
        <w:spacing w:line="360" w:lineRule="exact"/>
        <w:ind w:firstLine="4600" w:firstLineChars="2300"/>
        <w:rPr>
          <w:rFonts w:hint="eastAsia" w:hAnsi="宋体"/>
          <w:color w:val="000000" w:themeColor="text1"/>
          <w:highlight w:val="none"/>
          <w14:textFill>
            <w14:solidFill>
              <w14:schemeClr w14:val="tx1"/>
            </w14:solidFill>
          </w14:textFill>
        </w:rPr>
      </w:pPr>
    </w:p>
    <w:p>
      <w:pPr>
        <w:pStyle w:val="20"/>
        <w:spacing w:line="360" w:lineRule="exact"/>
        <w:ind w:firstLine="4600" w:firstLineChars="2300"/>
        <w:rPr>
          <w:rFonts w:hint="eastAsia" w:hAnsi="宋体"/>
          <w:color w:val="000000" w:themeColor="text1"/>
          <w:highlight w:val="none"/>
          <w14:textFill>
            <w14:solidFill>
              <w14:schemeClr w14:val="tx1"/>
            </w14:solidFill>
          </w14:textFill>
        </w:rPr>
      </w:pPr>
    </w:p>
    <w:p>
      <w:pPr>
        <w:pStyle w:val="20"/>
        <w:spacing w:line="360" w:lineRule="exact"/>
        <w:ind w:firstLine="4600" w:firstLineChars="2300"/>
        <w:rPr>
          <w:rFonts w:hint="eastAsia" w:hAnsi="宋体"/>
          <w:color w:val="000000" w:themeColor="text1"/>
          <w:highlight w:val="none"/>
          <w14:textFill>
            <w14:solidFill>
              <w14:schemeClr w14:val="tx1"/>
            </w14:solidFill>
          </w14:textFill>
        </w:rPr>
      </w:pPr>
    </w:p>
    <w:p>
      <w:pPr>
        <w:pStyle w:val="20"/>
        <w:spacing w:line="360" w:lineRule="exact"/>
        <w:ind w:firstLine="4600" w:firstLineChars="2300"/>
        <w:rPr>
          <w:rFonts w:hint="eastAsia" w:hAnsi="宋体"/>
          <w:color w:val="000000" w:themeColor="text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pStyle w:val="20"/>
        <w:spacing w:line="240" w:lineRule="exact"/>
        <w:rPr>
          <w:rFonts w:hint="eastAsia" w:hAnsi="宋体" w:cs="宋体"/>
          <w:color w:val="000000" w:themeColor="text1"/>
          <w:szCs w:val="21"/>
          <w:highlight w:val="none"/>
          <w:u w:val="single"/>
          <w14:textFill>
            <w14:solidFill>
              <w14:schemeClr w14:val="tx1"/>
            </w14:solidFill>
          </w14:textFill>
        </w:rPr>
      </w:pPr>
    </w:p>
    <w:p>
      <w:pPr>
        <w:pStyle w:val="20"/>
        <w:spacing w:line="240" w:lineRule="exact"/>
        <w:rPr>
          <w:rFonts w:hint="eastAsia" w:hAnsi="宋体" w:cs="宋体"/>
          <w:color w:val="000000" w:themeColor="text1"/>
          <w:highlight w:val="none"/>
          <w:u w:val="single"/>
          <w14:textFill>
            <w14:solidFill>
              <w14:schemeClr w14:val="tx1"/>
            </w14:solidFill>
          </w14:textFill>
        </w:rPr>
      </w:pPr>
    </w:p>
    <w:p>
      <w:pPr>
        <w:pStyle w:val="20"/>
        <w:spacing w:line="240" w:lineRule="exact"/>
        <w:rPr>
          <w:rFonts w:hint="eastAsia" w:hAnsi="宋体" w:cs="宋体"/>
          <w:color w:val="000000" w:themeColor="text1"/>
          <w:highlight w:val="none"/>
          <w:u w:val="single"/>
          <w14:textFill>
            <w14:solidFill>
              <w14:schemeClr w14:val="tx1"/>
            </w14:solidFill>
          </w14:textFill>
        </w:rPr>
      </w:pPr>
    </w:p>
    <w:p>
      <w:pPr>
        <w:pStyle w:val="20"/>
        <w:spacing w:line="240" w:lineRule="exact"/>
        <w:rPr>
          <w:rFonts w:hint="eastAsia" w:hAnsi="宋体" w:cs="宋体"/>
          <w:color w:val="000000" w:themeColor="text1"/>
          <w:highlight w:val="none"/>
          <w:u w:val="single"/>
          <w14:textFill>
            <w14:solidFill>
              <w14:schemeClr w14:val="tx1"/>
            </w14:solidFill>
          </w14:textFill>
        </w:rPr>
      </w:pPr>
    </w:p>
    <w:p>
      <w:pPr>
        <w:pStyle w:val="20"/>
        <w:spacing w:line="240" w:lineRule="exact"/>
        <w:rPr>
          <w:rFonts w:hint="eastAsia" w:hAnsi="宋体" w:cs="宋体"/>
          <w:color w:val="000000" w:themeColor="text1"/>
          <w:highlight w:val="none"/>
          <w:u w:val="single"/>
          <w14:textFill>
            <w14:solidFill>
              <w14:schemeClr w14:val="tx1"/>
            </w14:solidFill>
          </w14:textFill>
        </w:rPr>
      </w:pPr>
    </w:p>
    <w:p>
      <w:pPr>
        <w:pStyle w:val="20"/>
        <w:spacing w:line="240" w:lineRule="exact"/>
        <w:rPr>
          <w:rFonts w:hint="eastAsia" w:hAnsi="宋体" w:cs="宋体"/>
          <w:color w:val="000000" w:themeColor="text1"/>
          <w:highlight w:val="none"/>
          <w:u w:val="single"/>
          <w14:textFill>
            <w14:solidFill>
              <w14:schemeClr w14:val="tx1"/>
            </w14:solidFill>
          </w14:textFill>
        </w:rPr>
      </w:pPr>
    </w:p>
    <w:p>
      <w:pPr>
        <w:pStyle w:val="20"/>
        <w:spacing w:line="240" w:lineRule="exact"/>
        <w:rPr>
          <w:rFonts w:hint="eastAsia" w:hAnsi="宋体" w:cs="宋体"/>
          <w:color w:val="000000" w:themeColor="text1"/>
          <w:sz w:val="44"/>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pStyle w:val="49"/>
        <w:rPr>
          <w:rFonts w:hint="eastAsia" w:ascii="宋体" w:hAnsi="宋体"/>
          <w:color w:val="000000" w:themeColor="text1"/>
          <w:highlight w:val="none"/>
          <w14:textFill>
            <w14:solidFill>
              <w14:schemeClr w14:val="tx1"/>
            </w14:solidFill>
          </w14:textFill>
        </w:rPr>
      </w:pPr>
    </w:p>
    <w:p>
      <w:pPr>
        <w:pStyle w:val="49"/>
        <w:rPr>
          <w:rFonts w:hint="eastAsia" w:ascii="宋体" w:hAnsi="宋体"/>
          <w:color w:val="000000" w:themeColor="text1"/>
          <w:highlight w:val="none"/>
          <w14:textFill>
            <w14:solidFill>
              <w14:schemeClr w14:val="tx1"/>
            </w14:solidFill>
          </w14:textFill>
        </w:rPr>
      </w:pPr>
    </w:p>
    <w:p>
      <w:pPr>
        <w:pStyle w:val="49"/>
        <w:rPr>
          <w:rFonts w:hint="eastAsia" w:ascii="宋体" w:hAnsi="宋体"/>
          <w:color w:val="000000" w:themeColor="text1"/>
          <w:highlight w:val="none"/>
          <w14:textFill>
            <w14:solidFill>
              <w14:schemeClr w14:val="tx1"/>
            </w14:solidFill>
          </w14:textFill>
        </w:rPr>
      </w:pPr>
    </w:p>
    <w:p>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四、商务响应表格式</w:t>
      </w:r>
    </w:p>
    <w:p>
      <w:pPr>
        <w:spacing w:line="360" w:lineRule="exact"/>
        <w:jc w:val="center"/>
        <w:rPr>
          <w:rFonts w:hint="eastAsia" w:ascii="宋体" w:hAnsi="宋体" w:cs="宋体"/>
          <w:b/>
          <w:bCs/>
          <w:color w:val="000000" w:themeColor="text1"/>
          <w:kern w:val="0"/>
          <w:sz w:val="30"/>
          <w:highlight w:val="none"/>
          <w14:textFill>
            <w14:solidFill>
              <w14:schemeClr w14:val="tx1"/>
            </w14:solidFill>
          </w14:textFill>
        </w:rPr>
      </w:pPr>
    </w:p>
    <w:p>
      <w:pPr>
        <w:spacing w:line="360" w:lineRule="exact"/>
        <w:jc w:val="center"/>
        <w:rPr>
          <w:rFonts w:hint="eastAsia" w:ascii="宋体" w:hAnsi="宋体" w:cs="宋体"/>
          <w:b/>
          <w:bCs/>
          <w:color w:val="000000" w:themeColor="text1"/>
          <w:kern w:val="0"/>
          <w:sz w:val="30"/>
          <w:highlight w:val="none"/>
          <w14:textFill>
            <w14:solidFill>
              <w14:schemeClr w14:val="tx1"/>
            </w14:solidFill>
          </w14:textFill>
        </w:rPr>
      </w:pPr>
      <w:r>
        <w:rPr>
          <w:rFonts w:hint="eastAsia" w:ascii="宋体" w:hAnsi="宋体" w:cs="宋体"/>
          <w:b/>
          <w:bCs/>
          <w:color w:val="000000" w:themeColor="text1"/>
          <w:kern w:val="0"/>
          <w:sz w:val="30"/>
          <w:highlight w:val="none"/>
          <w14:textFill>
            <w14:solidFill>
              <w14:schemeClr w14:val="tx1"/>
            </w14:solidFill>
          </w14:textFill>
        </w:rPr>
        <w:t>商务响应表</w:t>
      </w:r>
    </w:p>
    <w:p>
      <w:pPr>
        <w:pStyle w:val="47"/>
        <w:rPr>
          <w:color w:val="000000" w:themeColor="text1"/>
          <w:highlight w:val="none"/>
          <w14:textFill>
            <w14:solidFill>
              <w14:schemeClr w14:val="tx1"/>
            </w14:solidFill>
          </w14:textFill>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谈判文件的商务条款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交货要求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质保要求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售后要求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设备安装及培训</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保密要求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履约保证金</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000000" w:themeColor="text1"/>
                <w:kern w:val="2"/>
                <w:sz w:val="21"/>
                <w:szCs w:val="21"/>
                <w:highlight w:val="none"/>
                <w14:textFill>
                  <w14:solidFill>
                    <w14:schemeClr w14:val="tx1"/>
                  </w14:solidFill>
                </w14:textFill>
              </w:rPr>
            </w:pPr>
          </w:p>
        </w:tc>
      </w:tr>
    </w:tbl>
    <w:p>
      <w:pPr>
        <w:spacing w:line="360" w:lineRule="exact"/>
        <w:ind w:firstLine="6090" w:firstLineChars="2900"/>
        <w:rPr>
          <w:rFonts w:hint="eastAsia" w:ascii="宋体" w:hAnsi="宋体"/>
          <w:color w:val="000000" w:themeColor="text1"/>
          <w:szCs w:val="21"/>
          <w:highlight w:val="none"/>
          <w14:textFill>
            <w14:solidFill>
              <w14:schemeClr w14:val="tx1"/>
            </w14:solidFill>
          </w14:textFill>
        </w:rPr>
      </w:pPr>
    </w:p>
    <w:p>
      <w:pPr>
        <w:spacing w:line="360" w:lineRule="exact"/>
        <w:ind w:firstLine="6090" w:firstLineChars="2900"/>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五、技术响应表格式</w:t>
      </w:r>
    </w:p>
    <w:p>
      <w:pPr>
        <w:jc w:val="center"/>
        <w:rPr>
          <w:rFonts w:hint="eastAsia" w:ascii="宋体" w:hAnsi="宋体" w:cs="宋体"/>
          <w:b/>
          <w:bCs/>
          <w:color w:val="000000" w:themeColor="text1"/>
          <w:kern w:val="0"/>
          <w:sz w:val="30"/>
          <w:highlight w:val="none"/>
          <w14:textFill>
            <w14:solidFill>
              <w14:schemeClr w14:val="tx1"/>
            </w14:solidFill>
          </w14:textFill>
        </w:rPr>
      </w:pPr>
      <w:r>
        <w:rPr>
          <w:rFonts w:hint="eastAsia" w:ascii="宋体" w:hAnsi="宋体" w:cs="宋体"/>
          <w:b/>
          <w:bCs/>
          <w:color w:val="000000" w:themeColor="text1"/>
          <w:kern w:val="0"/>
          <w:sz w:val="30"/>
          <w:highlight w:val="none"/>
          <w14:textFill>
            <w14:solidFill>
              <w14:schemeClr w14:val="tx1"/>
            </w14:solidFill>
          </w14:textFill>
        </w:rPr>
        <w:t>技术响应表</w:t>
      </w:r>
    </w:p>
    <w:tbl>
      <w:tblPr>
        <w:tblStyle w:val="37"/>
        <w:tblW w:w="8963"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363"/>
        <w:gridCol w:w="1680"/>
        <w:gridCol w:w="2118"/>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6" w:type="dxa"/>
            <w:vAlign w:val="center"/>
          </w:tcPr>
          <w:p>
            <w:pPr>
              <w:pStyle w:val="88"/>
              <w:ind w:left="174" w:right="181"/>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项号</w:t>
            </w:r>
          </w:p>
        </w:tc>
        <w:tc>
          <w:tcPr>
            <w:tcW w:w="1363" w:type="dxa"/>
            <w:vAlign w:val="center"/>
          </w:tcPr>
          <w:p>
            <w:pPr>
              <w:pStyle w:val="88"/>
              <w:ind w:left="174" w:right="181"/>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货物名称</w:t>
            </w:r>
          </w:p>
        </w:tc>
        <w:tc>
          <w:tcPr>
            <w:tcW w:w="1680" w:type="dxa"/>
            <w:tcBorders>
              <w:right w:val="single" w:color="auto" w:sz="4" w:space="0"/>
            </w:tcBorders>
            <w:vAlign w:val="center"/>
          </w:tcPr>
          <w:p>
            <w:pPr>
              <w:pStyle w:val="88"/>
              <w:ind w:left="174" w:right="181"/>
              <w:jc w:val="center"/>
              <w:rPr>
                <w:rFonts w:hint="eastAsia"/>
                <w:color w:val="000000" w:themeColor="text1"/>
                <w:sz w:val="2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竞争性谈判文件的要求</w:t>
            </w:r>
          </w:p>
        </w:tc>
        <w:tc>
          <w:tcPr>
            <w:tcW w:w="2118" w:type="dxa"/>
            <w:tcBorders>
              <w:left w:val="single" w:color="auto" w:sz="4" w:space="0"/>
            </w:tcBorders>
            <w:vAlign w:val="center"/>
          </w:tcPr>
          <w:p>
            <w:pPr>
              <w:pStyle w:val="88"/>
              <w:ind w:left="174" w:right="181"/>
              <w:jc w:val="center"/>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响应</w:t>
            </w:r>
            <w:r>
              <w:rPr>
                <w:rFonts w:hint="eastAsia"/>
                <w:color w:val="000000" w:themeColor="text1"/>
                <w:sz w:val="21"/>
                <w:highlight w:val="none"/>
                <w14:textFill>
                  <w14:solidFill>
                    <w14:schemeClr w14:val="tx1"/>
                  </w14:solidFill>
                </w14:textFill>
              </w:rPr>
              <w:t>文件响应</w:t>
            </w:r>
          </w:p>
        </w:tc>
        <w:tc>
          <w:tcPr>
            <w:tcW w:w="2976" w:type="dxa"/>
            <w:vAlign w:val="center"/>
          </w:tcPr>
          <w:p>
            <w:pPr>
              <w:pStyle w:val="88"/>
              <w:ind w:left="174" w:right="181"/>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w:t>
            </w:r>
          </w:p>
        </w:tc>
        <w:tc>
          <w:tcPr>
            <w:tcW w:w="1363" w:type="dxa"/>
          </w:tcPr>
          <w:p>
            <w:pPr>
              <w:rPr>
                <w:color w:val="000000" w:themeColor="text1"/>
                <w:highlight w:val="none"/>
                <w14:textFill>
                  <w14:solidFill>
                    <w14:schemeClr w14:val="tx1"/>
                  </w14:solidFill>
                </w14:textFill>
              </w:rPr>
            </w:pPr>
          </w:p>
        </w:tc>
        <w:tc>
          <w:tcPr>
            <w:tcW w:w="1680" w:type="dxa"/>
            <w:tcBorders>
              <w:right w:val="single" w:color="auto" w:sz="4" w:space="0"/>
            </w:tcBorders>
          </w:tcPr>
          <w:p>
            <w:pPr>
              <w:rPr>
                <w:color w:val="000000" w:themeColor="text1"/>
                <w:highlight w:val="none"/>
                <w14:textFill>
                  <w14:solidFill>
                    <w14:schemeClr w14:val="tx1"/>
                  </w14:solidFill>
                </w14:textFill>
              </w:rPr>
            </w:pPr>
          </w:p>
        </w:tc>
        <w:tc>
          <w:tcPr>
            <w:tcW w:w="2118" w:type="dxa"/>
            <w:tcBorders>
              <w:left w:val="single" w:color="auto" w:sz="4" w:space="0"/>
            </w:tcBorders>
          </w:tcPr>
          <w:p>
            <w:pPr>
              <w:rPr>
                <w:color w:val="000000" w:themeColor="text1"/>
                <w:highlight w:val="none"/>
                <w14:textFill>
                  <w14:solidFill>
                    <w14:schemeClr w14:val="tx1"/>
                  </w14:solidFill>
                </w14:textFill>
              </w:rPr>
            </w:pPr>
          </w:p>
        </w:tc>
        <w:tc>
          <w:tcPr>
            <w:tcW w:w="2976"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6" w:type="dxa"/>
          </w:tcPr>
          <w:p>
            <w:pPr>
              <w:pStyle w:val="88"/>
              <w:spacing w:before="167"/>
              <w:ind w:left="0" w:right="7"/>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w:t>
            </w:r>
          </w:p>
        </w:tc>
        <w:tc>
          <w:tcPr>
            <w:tcW w:w="1363" w:type="dxa"/>
          </w:tcPr>
          <w:p>
            <w:pPr>
              <w:rPr>
                <w:color w:val="000000" w:themeColor="text1"/>
                <w:highlight w:val="none"/>
                <w14:textFill>
                  <w14:solidFill>
                    <w14:schemeClr w14:val="tx1"/>
                  </w14:solidFill>
                </w14:textFill>
              </w:rPr>
            </w:pPr>
          </w:p>
        </w:tc>
        <w:tc>
          <w:tcPr>
            <w:tcW w:w="1680" w:type="dxa"/>
            <w:tcBorders>
              <w:right w:val="single" w:color="auto" w:sz="4" w:space="0"/>
            </w:tcBorders>
          </w:tcPr>
          <w:p>
            <w:pPr>
              <w:rPr>
                <w:color w:val="000000" w:themeColor="text1"/>
                <w:highlight w:val="none"/>
                <w14:textFill>
                  <w14:solidFill>
                    <w14:schemeClr w14:val="tx1"/>
                  </w14:solidFill>
                </w14:textFill>
              </w:rPr>
            </w:pPr>
          </w:p>
        </w:tc>
        <w:tc>
          <w:tcPr>
            <w:tcW w:w="2118" w:type="dxa"/>
            <w:tcBorders>
              <w:left w:val="single" w:color="auto" w:sz="4" w:space="0"/>
            </w:tcBorders>
          </w:tcPr>
          <w:p>
            <w:pPr>
              <w:rPr>
                <w:color w:val="000000" w:themeColor="text1"/>
                <w:highlight w:val="none"/>
                <w14:textFill>
                  <w14:solidFill>
                    <w14:schemeClr w14:val="tx1"/>
                  </w14:solidFill>
                </w14:textFill>
              </w:rPr>
            </w:pPr>
          </w:p>
        </w:tc>
        <w:tc>
          <w:tcPr>
            <w:tcW w:w="2976"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26" w:type="dxa"/>
          </w:tcPr>
          <w:p>
            <w:pPr>
              <w:pStyle w:val="88"/>
              <w:spacing w:before="177"/>
              <w:ind w:left="0" w:right="7"/>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p>
        </w:tc>
        <w:tc>
          <w:tcPr>
            <w:tcW w:w="1363" w:type="dxa"/>
          </w:tcPr>
          <w:p>
            <w:pPr>
              <w:rPr>
                <w:color w:val="000000" w:themeColor="text1"/>
                <w:highlight w:val="none"/>
                <w14:textFill>
                  <w14:solidFill>
                    <w14:schemeClr w14:val="tx1"/>
                  </w14:solidFill>
                </w14:textFill>
              </w:rPr>
            </w:pPr>
          </w:p>
        </w:tc>
        <w:tc>
          <w:tcPr>
            <w:tcW w:w="1680" w:type="dxa"/>
            <w:tcBorders>
              <w:right w:val="single" w:color="auto" w:sz="4" w:space="0"/>
            </w:tcBorders>
          </w:tcPr>
          <w:p>
            <w:pPr>
              <w:rPr>
                <w:color w:val="000000" w:themeColor="text1"/>
                <w:highlight w:val="none"/>
                <w14:textFill>
                  <w14:solidFill>
                    <w14:schemeClr w14:val="tx1"/>
                  </w14:solidFill>
                </w14:textFill>
              </w:rPr>
            </w:pPr>
          </w:p>
        </w:tc>
        <w:tc>
          <w:tcPr>
            <w:tcW w:w="2118" w:type="dxa"/>
            <w:tcBorders>
              <w:left w:val="single" w:color="auto" w:sz="4" w:space="0"/>
            </w:tcBorders>
          </w:tcPr>
          <w:p>
            <w:pPr>
              <w:rPr>
                <w:color w:val="000000" w:themeColor="text1"/>
                <w:highlight w:val="none"/>
                <w14:textFill>
                  <w14:solidFill>
                    <w14:schemeClr w14:val="tx1"/>
                  </w14:solidFill>
                </w14:textFill>
              </w:rPr>
            </w:pPr>
          </w:p>
        </w:tc>
        <w:tc>
          <w:tcPr>
            <w:tcW w:w="2976"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N</w:t>
            </w:r>
          </w:p>
        </w:tc>
        <w:tc>
          <w:tcPr>
            <w:tcW w:w="1363" w:type="dxa"/>
          </w:tcPr>
          <w:p>
            <w:pPr>
              <w:rPr>
                <w:color w:val="000000" w:themeColor="text1"/>
                <w:highlight w:val="none"/>
                <w14:textFill>
                  <w14:solidFill>
                    <w14:schemeClr w14:val="tx1"/>
                  </w14:solidFill>
                </w14:textFill>
              </w:rPr>
            </w:pPr>
          </w:p>
        </w:tc>
        <w:tc>
          <w:tcPr>
            <w:tcW w:w="1680" w:type="dxa"/>
            <w:tcBorders>
              <w:right w:val="single" w:color="auto" w:sz="4" w:space="0"/>
            </w:tcBorders>
          </w:tcPr>
          <w:p>
            <w:pPr>
              <w:rPr>
                <w:color w:val="000000" w:themeColor="text1"/>
                <w:highlight w:val="none"/>
                <w14:textFill>
                  <w14:solidFill>
                    <w14:schemeClr w14:val="tx1"/>
                  </w14:solidFill>
                </w14:textFill>
              </w:rPr>
            </w:pPr>
          </w:p>
        </w:tc>
        <w:tc>
          <w:tcPr>
            <w:tcW w:w="2118" w:type="dxa"/>
            <w:tcBorders>
              <w:left w:val="single" w:color="auto" w:sz="4" w:space="0"/>
            </w:tcBorders>
          </w:tcPr>
          <w:p>
            <w:pPr>
              <w:rPr>
                <w:color w:val="000000" w:themeColor="text1"/>
                <w:highlight w:val="none"/>
                <w14:textFill>
                  <w14:solidFill>
                    <w14:schemeClr w14:val="tx1"/>
                  </w14:solidFill>
                </w14:textFill>
              </w:rPr>
            </w:pPr>
          </w:p>
        </w:tc>
        <w:tc>
          <w:tcPr>
            <w:tcW w:w="2976" w:type="dxa"/>
          </w:tcPr>
          <w:p>
            <w:pPr>
              <w:rPr>
                <w:color w:val="000000" w:themeColor="text1"/>
                <w:highlight w:val="none"/>
                <w14:textFill>
                  <w14:solidFill>
                    <w14:schemeClr w14:val="tx1"/>
                  </w14:solidFill>
                </w14:textFill>
              </w:rPr>
            </w:pPr>
          </w:p>
        </w:tc>
      </w:tr>
    </w:tbl>
    <w:p>
      <w:pPr>
        <w:pStyle w:val="15"/>
        <w:spacing w:line="36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注：1、供应商应根据投标设备的性能指标、对照招标文件要求在“偏离情况”栏注明“正偏离”、“负偏离”或“无偏离”。</w:t>
      </w:r>
    </w:p>
    <w:p>
      <w:pPr>
        <w:pStyle w:val="15"/>
        <w:spacing w:line="36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2、供应商</w:t>
      </w:r>
      <w:r>
        <w:rPr>
          <w:rFonts w:ascii="宋体" w:hAnsi="宋体"/>
          <w:color w:val="000000" w:themeColor="text1"/>
          <w:sz w:val="21"/>
          <w:szCs w:val="21"/>
          <w:highlight w:val="none"/>
          <w14:textFill>
            <w14:solidFill>
              <w14:schemeClr w14:val="tx1"/>
            </w14:solidFill>
          </w14:textFill>
        </w:rPr>
        <w:t>应将投标货物的性能指标中与</w:t>
      </w:r>
      <w:r>
        <w:rPr>
          <w:rFonts w:hint="eastAsia" w:ascii="宋体" w:hAnsi="宋体" w:cs="宋体"/>
          <w:color w:val="000000" w:themeColor="text1"/>
          <w:sz w:val="21"/>
          <w:highlight w:val="none"/>
          <w14:textFill>
            <w14:solidFill>
              <w14:schemeClr w14:val="tx1"/>
            </w14:solidFill>
          </w14:textFill>
        </w:rPr>
        <w:t>竞争性谈判文件</w:t>
      </w:r>
      <w:r>
        <w:rPr>
          <w:rFonts w:ascii="宋体" w:hAnsi="宋体"/>
          <w:color w:val="000000" w:themeColor="text1"/>
          <w:sz w:val="21"/>
          <w:szCs w:val="21"/>
          <w:highlight w:val="none"/>
          <w14:textFill>
            <w14:solidFill>
              <w14:schemeClr w14:val="tx1"/>
            </w14:solidFill>
          </w14:textFill>
        </w:rPr>
        <w:t>要求的性能指标有偏离的地方用明显标识，以便于评委评审，否则如给评审造成困难，其可能导致评委作出不利于</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的评价，是</w:t>
      </w:r>
      <w:r>
        <w:rPr>
          <w:rFonts w:hint="eastAsia" w:ascii="宋体" w:hAnsi="宋体"/>
          <w:color w:val="000000" w:themeColor="text1"/>
          <w:sz w:val="21"/>
          <w:szCs w:val="21"/>
          <w:highlight w:val="none"/>
          <w14:textFill>
            <w14:solidFill>
              <w14:schemeClr w14:val="tx1"/>
            </w14:solidFill>
          </w14:textFill>
        </w:rPr>
        <w:t>供应商</w:t>
      </w:r>
      <w:r>
        <w:rPr>
          <w:rFonts w:ascii="宋体" w:hAnsi="宋体"/>
          <w:color w:val="000000" w:themeColor="text1"/>
          <w:sz w:val="21"/>
          <w:szCs w:val="21"/>
          <w:highlight w:val="none"/>
          <w14:textFill>
            <w14:solidFill>
              <w14:schemeClr w14:val="tx1"/>
            </w14:solidFill>
          </w14:textFill>
        </w:rPr>
        <w:t>的责任。</w:t>
      </w:r>
    </w:p>
    <w:p>
      <w:pPr>
        <w:spacing w:line="480" w:lineRule="auto"/>
        <w:ind w:firstLine="3990" w:firstLineChars="1900"/>
        <w:rPr>
          <w:color w:val="000000" w:themeColor="text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pacing w:line="500" w:lineRule="exact"/>
        <w:jc w:val="center"/>
        <w:rPr>
          <w:rFonts w:hint="eastAsia" w:ascii="宋体" w:hAnsi="宋体" w:cs="仿宋_GB2312"/>
          <w:b/>
          <w:color w:val="000000" w:themeColor="text1"/>
          <w:sz w:val="32"/>
          <w:szCs w:val="32"/>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六、设备配置清单格式</w:t>
      </w:r>
    </w:p>
    <w:p>
      <w:pPr>
        <w:spacing w:line="36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设备配置清单</w:t>
      </w:r>
    </w:p>
    <w:p>
      <w:pPr>
        <w:pStyle w:val="47"/>
        <w:rPr>
          <w:color w:val="000000" w:themeColor="text1"/>
          <w:highlight w:val="none"/>
          <w14:textFill>
            <w14:solidFill>
              <w14:schemeClr w14:val="tx1"/>
            </w14:solidFill>
          </w14:textFill>
        </w:rPr>
      </w:pPr>
    </w:p>
    <w:tbl>
      <w:tblPr>
        <w:tblStyle w:val="37"/>
        <w:tblW w:w="9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81"/>
        <w:gridCol w:w="839"/>
        <w:gridCol w:w="1281"/>
        <w:gridCol w:w="1419"/>
        <w:gridCol w:w="2004"/>
        <w:gridCol w:w="1080"/>
        <w:gridCol w:w="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单位及数量</w:t>
            </w: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生产厂家</w:t>
            </w: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宋体" w:hAnsi="宋体"/>
                <w:color w:val="000000" w:themeColor="text1"/>
                <w:szCs w:val="21"/>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000000" w:themeColor="text1"/>
                <w:szCs w:val="21"/>
                <w:highlight w:val="none"/>
                <w14:textFill>
                  <w14:solidFill>
                    <w14:schemeClr w14:val="tx1"/>
                  </w14:solidFill>
                </w14:textFill>
              </w:rPr>
            </w:pPr>
          </w:p>
        </w:tc>
      </w:tr>
    </w:tbl>
    <w:p>
      <w:pPr>
        <w:spacing w:line="360" w:lineRule="exact"/>
        <w:ind w:firstLine="6090" w:firstLineChars="2900"/>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napToGrid w:val="0"/>
        <w:spacing w:before="50" w:line="340" w:lineRule="exact"/>
        <w:jc w:val="left"/>
        <w:rPr>
          <w:rFonts w:hint="eastAsia" w:ascii="宋体" w:hAnsi="宋体" w:cs="宋体"/>
          <w:b/>
          <w:color w:val="000000" w:themeColor="text1"/>
          <w:szCs w:val="21"/>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50" w:line="340" w:lineRule="exact"/>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七、项目实施方案格式：</w:t>
      </w:r>
    </w:p>
    <w:p>
      <w:pPr>
        <w:pStyle w:val="20"/>
        <w:spacing w:line="400" w:lineRule="exact"/>
        <w:jc w:val="center"/>
        <w:rPr>
          <w:rFonts w:hint="eastAsia" w:hAnsi="宋体"/>
          <w:b/>
          <w:bCs/>
          <w:color w:val="000000" w:themeColor="text1"/>
          <w:kern w:val="2"/>
          <w:sz w:val="30"/>
          <w:szCs w:val="30"/>
          <w:highlight w:val="none"/>
          <w14:textFill>
            <w14:solidFill>
              <w14:schemeClr w14:val="tx1"/>
            </w14:solidFill>
          </w14:textFill>
        </w:rPr>
      </w:pPr>
    </w:p>
    <w:p>
      <w:pPr>
        <w:pStyle w:val="20"/>
        <w:spacing w:line="400" w:lineRule="exact"/>
        <w:jc w:val="center"/>
        <w:rPr>
          <w:rFonts w:hint="eastAsia" w:hAnsi="宋体"/>
          <w:b/>
          <w:bCs/>
          <w:color w:val="000000" w:themeColor="text1"/>
          <w:kern w:val="2"/>
          <w:sz w:val="30"/>
          <w:szCs w:val="30"/>
          <w:highlight w:val="none"/>
          <w14:textFill>
            <w14:solidFill>
              <w14:schemeClr w14:val="tx1"/>
            </w14:solidFill>
          </w14:textFill>
        </w:rPr>
      </w:pPr>
    </w:p>
    <w:p>
      <w:pPr>
        <w:pStyle w:val="20"/>
        <w:spacing w:line="400" w:lineRule="exact"/>
        <w:jc w:val="center"/>
        <w:rPr>
          <w:rFonts w:hint="eastAsia" w:hAnsi="宋体"/>
          <w:b/>
          <w:bCs/>
          <w:color w:val="000000" w:themeColor="text1"/>
          <w:kern w:val="2"/>
          <w:sz w:val="30"/>
          <w:szCs w:val="30"/>
          <w:highlight w:val="none"/>
          <w14:textFill>
            <w14:solidFill>
              <w14:schemeClr w14:val="tx1"/>
            </w14:solidFill>
          </w14:textFill>
        </w:rPr>
      </w:pPr>
    </w:p>
    <w:p>
      <w:pPr>
        <w:pStyle w:val="20"/>
        <w:spacing w:line="400" w:lineRule="exact"/>
        <w:jc w:val="center"/>
        <w:rPr>
          <w:rFonts w:hint="eastAsia" w:hAnsi="宋体"/>
          <w:b/>
          <w:bCs/>
          <w:color w:val="000000" w:themeColor="text1"/>
          <w:kern w:val="2"/>
          <w:sz w:val="30"/>
          <w:szCs w:val="30"/>
          <w:highlight w:val="none"/>
          <w14:textFill>
            <w14:solidFill>
              <w14:schemeClr w14:val="tx1"/>
            </w14:solidFill>
          </w14:textFill>
        </w:rPr>
      </w:pPr>
      <w:r>
        <w:rPr>
          <w:rFonts w:hint="eastAsia" w:hAnsi="宋体"/>
          <w:b/>
          <w:bCs/>
          <w:color w:val="000000" w:themeColor="text1"/>
          <w:kern w:val="2"/>
          <w:sz w:val="30"/>
          <w:szCs w:val="30"/>
          <w:highlight w:val="none"/>
          <w14:textFill>
            <w14:solidFill>
              <w14:schemeClr w14:val="tx1"/>
            </w14:solidFill>
          </w14:textFill>
        </w:rPr>
        <w:t>项目实施方案</w:t>
      </w:r>
    </w:p>
    <w:p>
      <w:pPr>
        <w:pStyle w:val="20"/>
        <w:ind w:firstLine="480" w:firstLineChars="200"/>
        <w:rPr>
          <w:rFonts w:hint="eastAsia" w:hAnsi="宋体" w:cs="仿宋_GB2312"/>
          <w:color w:val="000000" w:themeColor="text1"/>
          <w:sz w:val="24"/>
          <w:szCs w:val="24"/>
          <w:highlight w:val="none"/>
          <w14:textFill>
            <w14:solidFill>
              <w14:schemeClr w14:val="tx1"/>
            </w14:solidFill>
          </w14:textFill>
        </w:rPr>
      </w:pPr>
    </w:p>
    <w:p>
      <w:pPr>
        <w:pStyle w:val="20"/>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仿宋_GB2312"/>
          <w:color w:val="000000" w:themeColor="text1"/>
          <w:sz w:val="21"/>
          <w:szCs w:val="21"/>
          <w:highlight w:val="none"/>
          <w14:textFill>
            <w14:solidFill>
              <w14:schemeClr w14:val="tx1"/>
            </w14:solidFill>
          </w14:textFill>
        </w:rPr>
        <w:t>由供应商按第三章《采购需求》所投采购需求自行填写，所作的项目实施方案作为构成合同不可分割的部分，必须真实、诚信。</w:t>
      </w: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pStyle w:val="20"/>
        <w:rPr>
          <w:rFonts w:hint="eastAsia" w:hAnsi="宋体" w:cs="宋体"/>
          <w:color w:val="000000" w:themeColor="text1"/>
          <w:sz w:val="24"/>
          <w:szCs w:val="24"/>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pStyle w:val="20"/>
        <w:jc w:val="left"/>
        <w:rPr>
          <w:rFonts w:hint="eastAsia" w:hAnsi="宋体" w:cs="宋体"/>
          <w:b/>
          <w:color w:val="000000" w:themeColor="text1"/>
          <w:sz w:val="24"/>
          <w:szCs w:val="24"/>
          <w:highlight w:val="none"/>
          <w14:textFill>
            <w14:solidFill>
              <w14:schemeClr w14:val="tx1"/>
            </w14:solidFill>
          </w14:textFill>
        </w:rPr>
      </w:pPr>
    </w:p>
    <w:p>
      <w:pPr>
        <w:pStyle w:val="20"/>
        <w:jc w:val="left"/>
        <w:rPr>
          <w:rFonts w:hint="eastAsia" w:hAnsi="宋体" w:cs="宋体"/>
          <w:b/>
          <w:color w:val="000000" w:themeColor="text1"/>
          <w:highlight w:val="none"/>
          <w14:textFill>
            <w14:solidFill>
              <w14:schemeClr w14:val="tx1"/>
            </w14:solidFill>
          </w14:textFill>
        </w:rPr>
      </w:pPr>
    </w:p>
    <w:p>
      <w:pPr>
        <w:spacing w:line="320" w:lineRule="exact"/>
        <w:rPr>
          <w:rFonts w:hint="eastAsia" w:ascii="宋体" w:hAnsi="宋体" w:cs="宋体"/>
          <w:b/>
          <w:color w:val="000000" w:themeColor="text1"/>
          <w:szCs w:val="21"/>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pacing w:line="320" w:lineRule="exact"/>
        <w:rPr>
          <w:rFonts w:hint="eastAsia" w:ascii="宋体" w:hAnsi="宋体" w:cs="宋体"/>
          <w:b/>
          <w:color w:val="000000" w:themeColor="text1"/>
          <w:sz w:val="24"/>
          <w:highlight w:val="none"/>
          <w14:textFill>
            <w14:solidFill>
              <w14:schemeClr w14:val="tx1"/>
            </w14:solidFill>
          </w14:textFill>
        </w:rPr>
      </w:pPr>
    </w:p>
    <w:p>
      <w:pPr>
        <w:snapToGrid w:val="0"/>
        <w:spacing w:before="50" w:after="50" w:line="360" w:lineRule="exact"/>
        <w:rPr>
          <w:rFonts w:hint="eastAsia" w:hAnsi="宋体" w:cs="宋体"/>
          <w:b/>
          <w:color w:val="000000" w:themeColor="text1"/>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50" w:after="50" w:line="360" w:lineRule="exact"/>
        <w:rPr>
          <w:rFonts w:hint="eastAsia" w:hAnsi="宋体" w:cs="宋体"/>
          <w:b/>
          <w:color w:val="000000" w:themeColor="text1"/>
          <w:sz w:val="24"/>
          <w:szCs w:val="32"/>
          <w:highlight w:val="none"/>
          <w14:textFill>
            <w14:solidFill>
              <w14:schemeClr w14:val="tx1"/>
            </w14:solidFill>
          </w14:textFill>
        </w:rPr>
      </w:pPr>
      <w:r>
        <w:rPr>
          <w:rFonts w:hint="eastAsia" w:hAnsi="宋体" w:cs="宋体"/>
          <w:b/>
          <w:color w:val="000000" w:themeColor="text1"/>
          <w:sz w:val="24"/>
          <w:szCs w:val="32"/>
          <w:highlight w:val="none"/>
          <w14:textFill>
            <w14:solidFill>
              <w14:schemeClr w14:val="tx1"/>
            </w14:solidFill>
          </w14:textFill>
        </w:rPr>
        <w:t>八、售后服务方案及承诺书格式：</w:t>
      </w:r>
    </w:p>
    <w:p>
      <w:pPr>
        <w:snapToGrid w:val="0"/>
        <w:spacing w:before="50" w:after="50" w:line="360" w:lineRule="exact"/>
        <w:jc w:val="center"/>
        <w:rPr>
          <w:rFonts w:hint="eastAsia" w:ascii="宋体" w:hAnsi="宋体"/>
          <w:color w:val="000000" w:themeColor="text1"/>
          <w:sz w:val="30"/>
          <w:szCs w:val="30"/>
          <w:highlight w:val="none"/>
          <w14:textFill>
            <w14:solidFill>
              <w14:schemeClr w14:val="tx1"/>
            </w14:solidFill>
          </w14:textFill>
        </w:rPr>
      </w:pPr>
    </w:p>
    <w:p>
      <w:pPr>
        <w:snapToGrid w:val="0"/>
        <w:spacing w:before="50" w:after="50" w:line="360" w:lineRule="exact"/>
        <w:jc w:val="center"/>
        <w:rPr>
          <w:rFonts w:hint="eastAsia" w:ascii="宋体" w:hAnsi="宋体"/>
          <w:b/>
          <w:bCs/>
          <w:color w:val="000000" w:themeColor="text1"/>
          <w:sz w:val="30"/>
          <w:szCs w:val="30"/>
          <w:highlight w:val="none"/>
          <w14:textFill>
            <w14:solidFill>
              <w14:schemeClr w14:val="tx1"/>
            </w14:solidFill>
          </w14:textFill>
        </w:rPr>
      </w:pPr>
    </w:p>
    <w:p>
      <w:pPr>
        <w:snapToGrid w:val="0"/>
        <w:spacing w:before="50" w:after="50" w:line="360" w:lineRule="exact"/>
        <w:jc w:val="center"/>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售后服务方案及承诺书</w:t>
      </w:r>
    </w:p>
    <w:p>
      <w:pPr>
        <w:pStyle w:val="20"/>
        <w:spacing w:line="440" w:lineRule="exact"/>
        <w:rPr>
          <w:rFonts w:hint="eastAsia" w:hAnsi="宋体" w:cs="宋体"/>
          <w:color w:val="000000" w:themeColor="text1"/>
          <w:sz w:val="21"/>
          <w:highlight w:val="none"/>
          <w14:textFill>
            <w14:solidFill>
              <w14:schemeClr w14:val="tx1"/>
            </w14:solidFill>
          </w14:textFill>
        </w:rPr>
      </w:pPr>
    </w:p>
    <w:p>
      <w:pPr>
        <w:pStyle w:val="20"/>
        <w:spacing w:line="440" w:lineRule="exact"/>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第1条 </w:t>
      </w:r>
      <w:r>
        <w:rPr>
          <w:rFonts w:hint="eastAsia" w:hAnsi="宋体" w:cs="宋体"/>
          <w:b/>
          <w:color w:val="000000" w:themeColor="text1"/>
          <w:sz w:val="21"/>
          <w:highlight w:val="none"/>
          <w14:textFill>
            <w14:solidFill>
              <w14:schemeClr w14:val="tx1"/>
            </w14:solidFill>
          </w14:textFill>
        </w:rPr>
        <w:t>对合同条款、付款方式全部予以响应。</w:t>
      </w:r>
    </w:p>
    <w:p>
      <w:pPr>
        <w:pStyle w:val="20"/>
        <w:jc w:val="left"/>
        <w:rPr>
          <w:rFonts w:hint="eastAsia" w:hAnsi="宋体" w:cs="宋体"/>
          <w:color w:val="000000" w:themeColor="text1"/>
          <w:sz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第2条</w:t>
      </w:r>
      <w:r>
        <w:rPr>
          <w:rFonts w:hint="eastAsia" w:hAnsi="宋体"/>
          <w:b/>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2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第3条  </w:t>
      </w:r>
    </w:p>
    <w:p>
      <w:pPr>
        <w:pStyle w:val="20"/>
        <w:ind w:firstLine="480" w:firstLineChars="200"/>
        <w:jc w:val="left"/>
        <w:rPr>
          <w:rFonts w:hint="eastAsia" w:hAnsi="宋体"/>
          <w:color w:val="000000" w:themeColor="text1"/>
          <w:sz w:val="24"/>
          <w:szCs w:val="24"/>
          <w:highlight w:val="none"/>
          <w14:textFill>
            <w14:solidFill>
              <w14:schemeClr w14:val="tx1"/>
            </w14:solidFill>
          </w14:textFill>
        </w:rPr>
      </w:pPr>
    </w:p>
    <w:p>
      <w:pPr>
        <w:pStyle w:val="20"/>
        <w:ind w:firstLine="480" w:firstLineChars="200"/>
        <w:rPr>
          <w:rFonts w:hint="eastAsia" w:hAnsi="宋体" w:cs="宋体"/>
          <w:color w:val="000000" w:themeColor="text1"/>
          <w:sz w:val="24"/>
          <w:szCs w:val="24"/>
          <w:highlight w:val="none"/>
          <w14:textFill>
            <w14:solidFill>
              <w14:schemeClr w14:val="tx1"/>
            </w14:solidFill>
          </w14:textFill>
        </w:rPr>
      </w:pPr>
    </w:p>
    <w:p>
      <w:pPr>
        <w:pStyle w:val="20"/>
        <w:ind w:firstLine="480" w:firstLineChars="200"/>
        <w:rPr>
          <w:rFonts w:hint="eastAsia" w:hAnsi="宋体" w:cs="宋体"/>
          <w:color w:val="000000" w:themeColor="text1"/>
          <w:sz w:val="24"/>
          <w:szCs w:val="24"/>
          <w:highlight w:val="none"/>
          <w14:textFill>
            <w14:solidFill>
              <w14:schemeClr w14:val="tx1"/>
            </w14:solidFill>
          </w14:textFill>
        </w:rPr>
      </w:pPr>
    </w:p>
    <w:p>
      <w:pPr>
        <w:pStyle w:val="20"/>
        <w:ind w:firstLine="480" w:firstLineChars="200"/>
        <w:rPr>
          <w:rFonts w:hint="eastAsia" w:hAnsi="宋体" w:cs="宋体"/>
          <w:color w:val="000000" w:themeColor="text1"/>
          <w:sz w:val="24"/>
          <w:szCs w:val="24"/>
          <w:highlight w:val="none"/>
          <w14:textFill>
            <w14:solidFill>
              <w14:schemeClr w14:val="tx1"/>
            </w14:solidFill>
          </w14:textFill>
        </w:rPr>
      </w:pPr>
    </w:p>
    <w:p>
      <w:pPr>
        <w:pStyle w:val="20"/>
        <w:ind w:firstLine="480" w:firstLineChars="200"/>
        <w:rPr>
          <w:rFonts w:hint="eastAsia" w:hAnsi="宋体" w:cs="宋体"/>
          <w:color w:val="000000" w:themeColor="text1"/>
          <w:sz w:val="24"/>
          <w:szCs w:val="24"/>
          <w:highlight w:val="none"/>
          <w14:textFill>
            <w14:solidFill>
              <w14:schemeClr w14:val="tx1"/>
            </w14:solidFill>
          </w14:textFill>
        </w:rPr>
      </w:pPr>
    </w:p>
    <w:p>
      <w:pPr>
        <w:pStyle w:val="20"/>
        <w:ind w:firstLine="480" w:firstLineChars="200"/>
        <w:rPr>
          <w:rFonts w:hint="eastAsia" w:hAnsi="宋体" w:cs="宋体"/>
          <w:color w:val="000000" w:themeColor="text1"/>
          <w:sz w:val="24"/>
          <w:szCs w:val="24"/>
          <w:highlight w:val="none"/>
          <w14:textFill>
            <w14:solidFill>
              <w14:schemeClr w14:val="tx1"/>
            </w14:solidFill>
          </w14:textFill>
        </w:rPr>
      </w:pPr>
    </w:p>
    <w:p>
      <w:pPr>
        <w:pStyle w:val="20"/>
        <w:ind w:firstLine="480" w:firstLineChars="200"/>
        <w:rPr>
          <w:rFonts w:hint="eastAsia" w:hAnsi="宋体" w:cs="宋体"/>
          <w:color w:val="000000" w:themeColor="text1"/>
          <w:sz w:val="24"/>
          <w:szCs w:val="24"/>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napToGrid w:val="0"/>
        <w:spacing w:before="50"/>
        <w:jc w:val="right"/>
        <w:rPr>
          <w:rFonts w:hint="eastAsia" w:ascii="宋体" w:hAnsi="宋体" w:cs="宋体"/>
          <w:color w:val="000000" w:themeColor="text1"/>
          <w:szCs w:val="21"/>
          <w:highlight w:val="none"/>
          <w:u w:val="singl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snapToGrid w:val="0"/>
        <w:spacing w:before="50" w:after="50" w:line="360" w:lineRule="exact"/>
        <w:rPr>
          <w:rFonts w:hint="eastAsia" w:hAnsi="宋体" w:cs="宋体"/>
          <w:b/>
          <w:color w:val="000000" w:themeColor="text1"/>
          <w:sz w:val="24"/>
          <w:szCs w:val="32"/>
          <w:highlight w:val="none"/>
          <w14:textFill>
            <w14:solidFill>
              <w14:schemeClr w14:val="tx1"/>
            </w14:solidFill>
          </w14:textFill>
        </w:rPr>
      </w:pPr>
      <w:r>
        <w:rPr>
          <w:rFonts w:hint="eastAsia" w:hAnsi="宋体" w:cs="宋体"/>
          <w:b/>
          <w:color w:val="000000" w:themeColor="text1"/>
          <w:sz w:val="24"/>
          <w:szCs w:val="32"/>
          <w:highlight w:val="none"/>
          <w14:textFill>
            <w14:solidFill>
              <w14:schemeClr w14:val="tx1"/>
            </w14:solidFill>
          </w14:textFill>
        </w:rPr>
        <w:t>九、选配件、专用耗材、售后服务优惠表格式：</w:t>
      </w:r>
    </w:p>
    <w:p>
      <w:pPr>
        <w:tabs>
          <w:tab w:val="left" w:pos="315"/>
        </w:tabs>
        <w:snapToGrid w:val="0"/>
        <w:spacing w:before="50" w:after="50" w:line="360" w:lineRule="exact"/>
        <w:rPr>
          <w:rFonts w:hint="eastAsia" w:ascii="宋体" w:hAnsi="宋体"/>
          <w:color w:val="000000" w:themeColor="text1"/>
          <w:sz w:val="24"/>
          <w:highlight w:val="none"/>
          <w14:textFill>
            <w14:solidFill>
              <w14:schemeClr w14:val="tx1"/>
            </w14:solidFill>
          </w14:textFill>
        </w:rPr>
      </w:pPr>
    </w:p>
    <w:p>
      <w:pPr>
        <w:tabs>
          <w:tab w:val="left" w:pos="315"/>
        </w:tabs>
        <w:snapToGrid w:val="0"/>
        <w:spacing w:before="50" w:after="50" w:line="360" w:lineRule="exact"/>
        <w:jc w:val="center"/>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选配件、专用耗材、售后服务优惠表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1" w:hRule="exac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ind w:firstLine="200" w:firstLineChars="1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6"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p>
        </w:tc>
      </w:tr>
    </w:tbl>
    <w:p>
      <w:pPr>
        <w:snapToGrid w:val="0"/>
        <w:spacing w:before="50" w:after="50" w:line="360" w:lineRule="exact"/>
        <w:ind w:firstLine="210" w:firstLineChars="100"/>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napToGrid w:val="0"/>
        <w:spacing w:before="50" w:line="340" w:lineRule="exact"/>
        <w:jc w:val="left"/>
        <w:rPr>
          <w:rFonts w:hint="eastAsia" w:ascii="宋体" w:hAnsi="宋体" w:cs="宋体"/>
          <w:b/>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spacing w:line="320" w:lineRule="exact"/>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28"/>
        <w:rPr>
          <w:rFonts w:hint="eastAsia" w:ascii="宋体" w:hAnsi="宋体"/>
          <w:color w:val="000000" w:themeColor="text1"/>
          <w:szCs w:val="21"/>
          <w:highlight w:val="none"/>
          <w14:textFill>
            <w14:solidFill>
              <w14:schemeClr w14:val="tx1"/>
            </w14:solidFill>
          </w14:textFill>
        </w:rPr>
      </w:pPr>
    </w:p>
    <w:p>
      <w:pPr>
        <w:snapToGrid w:val="0"/>
        <w:spacing w:before="50" w:line="360" w:lineRule="exact"/>
        <w:jc w:val="left"/>
        <w:rPr>
          <w:rFonts w:hint="eastAsia" w:ascii="宋体" w:hAnsi="宋体"/>
          <w:b/>
          <w:color w:val="000000" w:themeColor="text1"/>
          <w:sz w:val="24"/>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napToGrid w:val="0"/>
        <w:spacing w:before="50" w:line="360" w:lineRule="exact"/>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 供应商同类项目业绩证明一览表（格式）</w:t>
      </w:r>
    </w:p>
    <w:p>
      <w:pPr>
        <w:pStyle w:val="29"/>
        <w:snapToGrid w:val="0"/>
        <w:spacing w:line="360" w:lineRule="exact"/>
        <w:ind w:left="643" w:hanging="643"/>
        <w:jc w:val="center"/>
        <w:rPr>
          <w:rFonts w:hint="eastAsia" w:ascii="宋体" w:hAnsi="宋体"/>
          <w:b/>
          <w:bCs/>
          <w:color w:val="000000" w:themeColor="text1"/>
          <w:sz w:val="32"/>
          <w:szCs w:val="32"/>
          <w:highlight w:val="none"/>
          <w14:textFill>
            <w14:solidFill>
              <w14:schemeClr w14:val="tx1"/>
            </w14:solidFill>
          </w14:textFill>
        </w:rPr>
      </w:pPr>
    </w:p>
    <w:p>
      <w:pPr>
        <w:pStyle w:val="29"/>
        <w:snapToGrid w:val="0"/>
        <w:spacing w:line="360" w:lineRule="exact"/>
        <w:ind w:left="643" w:hanging="643"/>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供应商同类项目业绩一览表</w:t>
      </w:r>
    </w:p>
    <w:tbl>
      <w:tblPr>
        <w:tblStyle w:val="37"/>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720"/>
        <w:gridCol w:w="720"/>
        <w:gridCol w:w="720"/>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p>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w:t>
            </w:r>
          </w:p>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w:t>
            </w:r>
          </w:p>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采购单位联系人及</w:t>
            </w:r>
          </w:p>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000000" w:themeColor="text1"/>
                <w:szCs w:val="21"/>
                <w:highlight w:val="none"/>
                <w14:textFill>
                  <w14:solidFill>
                    <w14:schemeClr w14:val="tx1"/>
                  </w14:solidFill>
                </w14:textFill>
              </w:rPr>
            </w:pPr>
          </w:p>
        </w:tc>
      </w:tr>
    </w:tbl>
    <w:p>
      <w:pPr>
        <w:pStyle w:val="29"/>
        <w:snapToGrid w:val="0"/>
        <w:spacing w:line="360" w:lineRule="exact"/>
        <w:ind w:left="420" w:leftChars="200" w:firstLine="0" w:firstLineChars="0"/>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注：供应商同类项目合同复印件、用户验收报告、用户评价意见格式自拟，请提供相关证明材料扫描件并加盖供应商电子公章（如有）</w:t>
      </w:r>
    </w:p>
    <w:p>
      <w:pPr>
        <w:pStyle w:val="12"/>
        <w:snapToGrid w:val="0"/>
        <w:spacing w:line="360" w:lineRule="exact"/>
        <w:rPr>
          <w:rFonts w:hint="eastAsia" w:ascii="宋体" w:hAnsi="宋体" w:eastAsia="宋体"/>
          <w:color w:val="000000" w:themeColor="text1"/>
          <w:sz w:val="2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p>
    <w:p>
      <w:pPr>
        <w:snapToGrid w:val="0"/>
        <w:spacing w:before="156" w:beforeLines="50" w:after="5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3、报价文件格式：</w:t>
      </w:r>
    </w:p>
    <w:p>
      <w:pPr>
        <w:spacing w:line="240" w:lineRule="atLeast"/>
        <w:jc w:val="center"/>
        <w:rPr>
          <w:rFonts w:hint="eastAsia" w:ascii="宋体" w:hAnsi="宋体" w:cs="宋体"/>
          <w:b/>
          <w:color w:val="000000" w:themeColor="text1"/>
          <w:sz w:val="32"/>
          <w:szCs w:val="32"/>
          <w:highlight w:val="none"/>
          <w14:textFill>
            <w14:solidFill>
              <w14:schemeClr w14:val="tx1"/>
            </w14:solidFill>
          </w14:textFill>
        </w:rPr>
      </w:pPr>
    </w:p>
    <w:p>
      <w:pPr>
        <w:spacing w:line="240" w:lineRule="atLeast"/>
        <w:jc w:val="center"/>
        <w:rPr>
          <w:rFonts w:hint="eastAsia" w:ascii="宋体" w:hAnsi="宋体" w:cs="宋体"/>
          <w:b/>
          <w:color w:val="000000" w:themeColor="text1"/>
          <w:sz w:val="32"/>
          <w:szCs w:val="32"/>
          <w:highlight w:val="none"/>
          <w14:textFill>
            <w14:solidFill>
              <w14:schemeClr w14:val="tx1"/>
            </w14:solidFill>
          </w14:textFill>
        </w:rPr>
      </w:pPr>
    </w:p>
    <w:p>
      <w:pPr>
        <w:spacing w:line="320" w:lineRule="exact"/>
        <w:rPr>
          <w:rFonts w:hint="eastAsia" w:ascii="宋体" w:hAnsi="宋体" w:cs="宋体"/>
          <w:b/>
          <w:color w:val="000000" w:themeColor="text1"/>
          <w:szCs w:val="21"/>
          <w:highlight w:val="none"/>
          <w14:textFill>
            <w14:solidFill>
              <w14:schemeClr w14:val="tx1"/>
            </w14:solidFill>
          </w14:textFill>
        </w:rPr>
      </w:pPr>
    </w:p>
    <w:p>
      <w:pPr>
        <w:spacing w:line="320" w:lineRule="exact"/>
        <w:rPr>
          <w:rFonts w:hint="eastAsia" w:ascii="宋体" w:hAnsi="宋体" w:cs="宋体"/>
          <w:b/>
          <w:color w:val="000000" w:themeColor="text1"/>
          <w:szCs w:val="21"/>
          <w:highlight w:val="none"/>
          <w14:textFill>
            <w14:solidFill>
              <w14:schemeClr w14:val="tx1"/>
            </w14:solidFill>
          </w14:textFill>
        </w:rPr>
      </w:pPr>
    </w:p>
    <w:p>
      <w:pPr>
        <w:tabs>
          <w:tab w:val="left" w:pos="1418"/>
        </w:tabs>
        <w:snapToGrid w:val="0"/>
        <w:spacing w:before="50" w:after="50" w:line="320" w:lineRule="exact"/>
        <w:jc w:val="center"/>
        <w:rPr>
          <w:rFonts w:hint="eastAsia"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目   录</w:t>
      </w:r>
    </w:p>
    <w:p>
      <w:pPr>
        <w:tabs>
          <w:tab w:val="left" w:pos="2625"/>
        </w:tabs>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(供应商需根据响应文件自行编制目录及页码)</w:t>
      </w: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pStyle w:val="28"/>
        <w:rPr>
          <w:rFonts w:hint="eastAsia" w:ascii="宋体" w:hAnsi="宋体"/>
          <w:bCs/>
          <w:color w:val="000000" w:themeColor="text1"/>
          <w:szCs w:val="21"/>
          <w:highlight w:val="none"/>
          <w14:textFill>
            <w14:solidFill>
              <w14:schemeClr w14:val="tx1"/>
            </w14:solidFill>
          </w14:textFill>
        </w:rPr>
      </w:pPr>
    </w:p>
    <w:p>
      <w:pPr>
        <w:rPr>
          <w:rFonts w:hint="eastAsia" w:ascii="宋体" w:hAnsi="宋体"/>
          <w:bCs/>
          <w:color w:val="000000" w:themeColor="text1"/>
          <w:szCs w:val="21"/>
          <w:highlight w:val="none"/>
          <w14:textFill>
            <w14:solidFill>
              <w14:schemeClr w14:val="tx1"/>
            </w14:solidFill>
          </w14:textFill>
        </w:rPr>
      </w:pPr>
    </w:p>
    <w:p>
      <w:pPr>
        <w:pStyle w:val="28"/>
        <w:rPr>
          <w:rFonts w:hint="eastAsia" w:ascii="宋体" w:hAnsi="宋体"/>
          <w:bCs/>
          <w:color w:val="000000" w:themeColor="text1"/>
          <w:szCs w:val="21"/>
          <w:highlight w:val="none"/>
          <w14:textFill>
            <w14:solidFill>
              <w14:schemeClr w14:val="tx1"/>
            </w14:solidFill>
          </w14:textFill>
        </w:rPr>
      </w:pPr>
    </w:p>
    <w:p>
      <w:pPr>
        <w:rPr>
          <w:rFonts w:hint="eastAsia" w:ascii="宋体" w:hAnsi="宋体"/>
          <w:bCs/>
          <w:color w:val="000000" w:themeColor="text1"/>
          <w:szCs w:val="21"/>
          <w:highlight w:val="none"/>
          <w14:textFill>
            <w14:solidFill>
              <w14:schemeClr w14:val="tx1"/>
            </w14:solidFill>
          </w14:textFill>
        </w:rPr>
      </w:pPr>
    </w:p>
    <w:p>
      <w:pPr>
        <w:pStyle w:val="28"/>
        <w:rPr>
          <w:rFonts w:hint="eastAsia" w:ascii="宋体" w:hAnsi="宋体"/>
          <w:bCs/>
          <w:color w:val="000000" w:themeColor="text1"/>
          <w:szCs w:val="21"/>
          <w:highlight w:val="none"/>
          <w14:textFill>
            <w14:solidFill>
              <w14:schemeClr w14:val="tx1"/>
            </w14:solidFill>
          </w14:textFill>
        </w:rPr>
      </w:pPr>
    </w:p>
    <w:p>
      <w:pPr>
        <w:rPr>
          <w:rFonts w:hint="eastAsia" w:ascii="宋体" w:hAnsi="宋体"/>
          <w:bCs/>
          <w:color w:val="000000" w:themeColor="text1"/>
          <w:szCs w:val="21"/>
          <w:highlight w:val="none"/>
          <w14:textFill>
            <w14:solidFill>
              <w14:schemeClr w14:val="tx1"/>
            </w14:solidFill>
          </w14:textFill>
        </w:rPr>
      </w:pPr>
    </w:p>
    <w:p>
      <w:pPr>
        <w:pStyle w:val="28"/>
        <w:rPr>
          <w:rFonts w:hint="eastAsia" w:ascii="宋体" w:hAnsi="宋体"/>
          <w:bCs/>
          <w:color w:val="000000" w:themeColor="text1"/>
          <w:szCs w:val="21"/>
          <w:highlight w:val="none"/>
          <w14:textFill>
            <w14:solidFill>
              <w14:schemeClr w14:val="tx1"/>
            </w14:solidFill>
          </w14:textFill>
        </w:rPr>
      </w:pPr>
    </w:p>
    <w:p>
      <w:pPr>
        <w:rPr>
          <w:rFonts w:hint="eastAsia" w:ascii="宋体" w:hAnsi="宋体"/>
          <w:bCs/>
          <w:color w:val="000000" w:themeColor="text1"/>
          <w:szCs w:val="21"/>
          <w:highlight w:val="none"/>
          <w14:textFill>
            <w14:solidFill>
              <w14:schemeClr w14:val="tx1"/>
            </w14:solidFill>
          </w14:textFill>
        </w:rPr>
      </w:pPr>
    </w:p>
    <w:p>
      <w:pPr>
        <w:pStyle w:val="28"/>
        <w:rPr>
          <w:rFonts w:hint="eastAsia" w:ascii="宋体" w:hAnsi="宋体"/>
          <w:bCs/>
          <w:color w:val="000000" w:themeColor="text1"/>
          <w:szCs w:val="21"/>
          <w:highlight w:val="none"/>
          <w14:textFill>
            <w14:solidFill>
              <w14:schemeClr w14:val="tx1"/>
            </w14:solidFill>
          </w14:textFill>
        </w:rPr>
      </w:pPr>
    </w:p>
    <w:p>
      <w:pPr>
        <w:rPr>
          <w:rFonts w:hint="eastAsia" w:ascii="宋体" w:hAnsi="宋体"/>
          <w:bCs/>
          <w:color w:val="000000" w:themeColor="text1"/>
          <w:szCs w:val="21"/>
          <w:highlight w:val="none"/>
          <w14:textFill>
            <w14:solidFill>
              <w14:schemeClr w14:val="tx1"/>
            </w14:solidFill>
          </w14:textFill>
        </w:rPr>
      </w:pPr>
    </w:p>
    <w:p>
      <w:pPr>
        <w:pStyle w:val="28"/>
        <w:rPr>
          <w:color w:val="000000" w:themeColor="text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bCs/>
          <w:color w:val="000000" w:themeColor="text1"/>
          <w:szCs w:val="21"/>
          <w:highlight w:val="none"/>
          <w14:textFill>
            <w14:solidFill>
              <w14:schemeClr w14:val="tx1"/>
            </w14:solidFill>
          </w14:textFill>
        </w:rPr>
      </w:pPr>
    </w:p>
    <w:p>
      <w:pPr>
        <w:spacing w:line="32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一、竞标函格式</w:t>
      </w:r>
    </w:p>
    <w:p>
      <w:pPr>
        <w:snapToGrid w:val="0"/>
        <w:spacing w:before="156" w:beforeLines="50" w:after="50" w:line="36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 标 函</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（采购人名称）：</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根据贵方为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项目的招标公告（项目编号：     ），签字代表</w:t>
      </w:r>
      <w:r>
        <w:rPr>
          <w:rFonts w:hint="eastAsia" w:ascii="宋体" w:hAnsi="宋体"/>
          <w:color w:val="000000" w:themeColor="text1"/>
          <w:szCs w:val="21"/>
          <w:highlight w:val="none"/>
          <w:u w:val="single"/>
          <w14:textFill>
            <w14:solidFill>
              <w14:schemeClr w14:val="tx1"/>
            </w14:solidFill>
          </w14:textFill>
        </w:rPr>
        <w:t xml:space="preserve">     （全名）</w:t>
      </w:r>
      <w:r>
        <w:rPr>
          <w:rFonts w:hint="eastAsia" w:ascii="宋体" w:hAnsi="宋体"/>
          <w:color w:val="000000" w:themeColor="text1"/>
          <w:szCs w:val="21"/>
          <w:highlight w:val="none"/>
          <w14:textFill>
            <w14:solidFill>
              <w14:schemeClr w14:val="tx1"/>
            </w14:solidFill>
          </w14:textFill>
        </w:rPr>
        <w:t>经正式授权并代表供应商</w:t>
      </w:r>
      <w:r>
        <w:rPr>
          <w:rFonts w:hint="eastAsia" w:ascii="宋体" w:hAnsi="宋体"/>
          <w:color w:val="000000" w:themeColor="text1"/>
          <w:szCs w:val="21"/>
          <w:highlight w:val="none"/>
          <w:u w:val="single"/>
          <w14:textFill>
            <w14:solidFill>
              <w14:schemeClr w14:val="tx1"/>
            </w14:solidFill>
          </w14:textFill>
        </w:rPr>
        <w:t xml:space="preserve">                    （供应商名称）</w:t>
      </w:r>
      <w:r>
        <w:rPr>
          <w:rFonts w:hint="eastAsia" w:ascii="宋体" w:hAnsi="宋体"/>
          <w:color w:val="000000" w:themeColor="text1"/>
          <w:szCs w:val="21"/>
          <w:highlight w:val="none"/>
          <w14:textFill>
            <w14:solidFill>
              <w14:schemeClr w14:val="tx1"/>
            </w14:solidFill>
          </w14:textFill>
        </w:rPr>
        <w:t>现正式递交下述文件参加贵方组织的本次政府采购活动：</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一、报价文件电子版一份；</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二、资格文件电子版一份；</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三、商务和技术文件电子版一份；</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据此函，签字代表宣布同意如下：</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1.我方已详细审查全部“竞争性谈判文件”，包括修改文件（如有的话）以及全部参考资料和有关附件，已经了解我方对于谈判文件、采购过程、采购结果有依法进行询问、质疑、投诉的权利及相关渠道和要求。</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2.我方在投标之前已经与贵方进行了充分的沟通，完全理解并接受竞争性谈判文件的各项规定和要求，对竞争性谈判文件的合理性、合法性不再有异议。</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3.本投标有效期自开标日起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个</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日（自然日）。</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4.如中标，本响应文件至本项目合同履行完毕止均保持有效，我方将按“竞争性谈判文件”及政府采购法律、法规的规定履行合同责任和义务。</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5.我方同意按照贵方要求提供与投标有关的一切数据或资料。</w:t>
      </w:r>
    </w:p>
    <w:p>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6.与本投标有关的一切正式往来信函请寄：</w:t>
      </w:r>
    </w:p>
    <w:p>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邮编：</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供应商代表姓名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职务：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w:t>
      </w:r>
      <w:r>
        <w:rPr>
          <w:rFonts w:hint="eastAsia" w:ascii="宋体" w:hAnsi="宋体"/>
          <w:color w:val="000000" w:themeColor="text1"/>
          <w:szCs w:val="21"/>
          <w:highlight w:val="none"/>
          <w:u w:val="singl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银行帐号：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napToGrid w:val="0"/>
        <w:spacing w:line="360" w:lineRule="exact"/>
        <w:rPr>
          <w:rFonts w:hint="eastAsia" w:ascii="宋体" w:hAnsi="宋体"/>
          <w:color w:val="000000" w:themeColor="text1"/>
          <w:szCs w:val="21"/>
          <w:highlight w:val="none"/>
          <w14:textFill>
            <w14:solidFill>
              <w14:schemeClr w14:val="tx1"/>
            </w14:solidFill>
          </w14:textFill>
        </w:rPr>
      </w:pPr>
    </w:p>
    <w:p>
      <w:pPr>
        <w:snapToGrid w:val="0"/>
        <w:spacing w:line="360" w:lineRule="exact"/>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pStyle w:val="20"/>
        <w:spacing w:line="360" w:lineRule="exact"/>
        <w:rPr>
          <w:rFonts w:hint="eastAsia" w:hAnsi="宋体"/>
          <w:color w:val="000000" w:themeColor="text1"/>
          <w:sz w:val="44"/>
          <w:szCs w:val="21"/>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pStyle w:val="20"/>
        <w:spacing w:line="360" w:lineRule="exact"/>
        <w:rPr>
          <w:rFonts w:hint="eastAsia" w:hAnsi="宋体"/>
          <w:color w:val="000000" w:themeColor="text1"/>
          <w:sz w:val="44"/>
          <w:highlight w:val="none"/>
          <w14:textFill>
            <w14:solidFill>
              <w14:schemeClr w14:val="tx1"/>
            </w14:solidFill>
          </w14:textFill>
        </w:rPr>
      </w:pPr>
    </w:p>
    <w:p>
      <w:pPr>
        <w:spacing w:line="320" w:lineRule="exact"/>
        <w:rPr>
          <w:rFonts w:hint="eastAsia" w:ascii="宋体" w:hAnsi="宋体" w:cs="宋体"/>
          <w:b/>
          <w:color w:val="000000" w:themeColor="text1"/>
          <w:szCs w:val="21"/>
          <w:highlight w:val="none"/>
          <w14:textFill>
            <w14:solidFill>
              <w14:schemeClr w14:val="tx1"/>
            </w14:solidFill>
          </w14:textFill>
        </w:rPr>
      </w:pPr>
    </w:p>
    <w:p>
      <w:pPr>
        <w:spacing w:line="32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二、报价表和最后报价明细表格式</w:t>
      </w:r>
    </w:p>
    <w:p>
      <w:pPr>
        <w:spacing w:line="30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  价  表</w:t>
      </w:r>
    </w:p>
    <w:p>
      <w:pPr>
        <w:spacing w:line="30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before="50" w:after="50"/>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before="50" w:after="50"/>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分标号</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项号</w:t>
            </w:r>
          </w:p>
        </w:tc>
        <w:tc>
          <w:tcPr>
            <w:tcW w:w="1603" w:type="dxa"/>
          </w:tcPr>
          <w:p>
            <w:pPr>
              <w:pStyle w:val="88"/>
              <w:spacing w:before="110"/>
              <w:ind w:left="369"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货物名称</w:t>
            </w:r>
          </w:p>
        </w:tc>
        <w:tc>
          <w:tcPr>
            <w:tcW w:w="1639" w:type="dxa"/>
          </w:tcPr>
          <w:p>
            <w:pPr>
              <w:pStyle w:val="88"/>
              <w:spacing w:before="1" w:line="322" w:lineRule="exact"/>
              <w:ind w:right="0"/>
              <w:jc w:val="center"/>
              <w:rPr>
                <w:rFonts w:hint="eastAsia"/>
                <w:b/>
                <w:color w:val="000000" w:themeColor="text1"/>
                <w:sz w:val="21"/>
                <w:highlight w:val="none"/>
                <w:lang w:eastAsia="zh-CN"/>
                <w14:textFill>
                  <w14:solidFill>
                    <w14:schemeClr w14:val="tx1"/>
                  </w14:solidFill>
                </w14:textFill>
              </w:rPr>
            </w:pPr>
            <w:r>
              <w:rPr>
                <w:rFonts w:hint="eastAsia"/>
                <w:b/>
                <w:color w:val="000000" w:themeColor="text1"/>
                <w:sz w:val="21"/>
                <w:highlight w:val="none"/>
                <w:lang w:eastAsia="zh-CN"/>
                <w14:textFill>
                  <w14:solidFill>
                    <w14:schemeClr w14:val="tx1"/>
                  </w14:solidFill>
                </w14:textFill>
              </w:rPr>
              <w:t>厂家、品牌、规格型号</w:t>
            </w:r>
          </w:p>
        </w:tc>
        <w:tc>
          <w:tcPr>
            <w:tcW w:w="1229" w:type="dxa"/>
          </w:tcPr>
          <w:p>
            <w:pPr>
              <w:pStyle w:val="88"/>
              <w:spacing w:before="110"/>
              <w:ind w:left="393"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产地</w:t>
            </w:r>
          </w:p>
        </w:tc>
        <w:tc>
          <w:tcPr>
            <w:tcW w:w="1051" w:type="dxa"/>
          </w:tcPr>
          <w:p>
            <w:pPr>
              <w:pStyle w:val="88"/>
              <w:spacing w:before="110"/>
              <w:ind w:left="196"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数量①</w:t>
            </w:r>
          </w:p>
        </w:tc>
        <w:tc>
          <w:tcPr>
            <w:tcW w:w="878" w:type="dxa"/>
          </w:tcPr>
          <w:p>
            <w:pPr>
              <w:pStyle w:val="88"/>
              <w:spacing w:before="110"/>
              <w:ind w:left="215"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单位</w:t>
            </w:r>
          </w:p>
        </w:tc>
        <w:tc>
          <w:tcPr>
            <w:tcW w:w="1066" w:type="dxa"/>
          </w:tcPr>
          <w:p>
            <w:pPr>
              <w:pStyle w:val="88"/>
              <w:spacing w:before="110"/>
              <w:ind w:left="206"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单价②</w:t>
            </w:r>
          </w:p>
        </w:tc>
        <w:tc>
          <w:tcPr>
            <w:tcW w:w="1404" w:type="dxa"/>
          </w:tcPr>
          <w:p>
            <w:pPr>
              <w:pStyle w:val="88"/>
              <w:spacing w:line="291" w:lineRule="exact"/>
              <w:ind w:left="311"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投标报价</w:t>
            </w:r>
          </w:p>
          <w:p>
            <w:pPr>
              <w:pStyle w:val="88"/>
              <w:spacing w:line="325" w:lineRule="exact"/>
              <w:ind w:left="259"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N</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投标报价（合计金额）大写：</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人</w:t>
            </w:r>
            <w:r>
              <w:rPr>
                <w:color w:val="000000" w:themeColor="text1"/>
                <w:spacing w:val="-72"/>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民</w:t>
            </w:r>
            <w:r>
              <w:rPr>
                <w:color w:val="000000" w:themeColor="text1"/>
                <w:spacing w:val="-67"/>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币</w:t>
            </w:r>
            <w:r>
              <w:rPr>
                <w:color w:val="000000" w:themeColor="text1"/>
                <w:spacing w:val="-67"/>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w:t>
            </w:r>
            <w:r>
              <w:rPr>
                <w:color w:val="000000" w:themeColor="text1"/>
                <w:spacing w:val="-67"/>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w:t>
            </w:r>
          </w:p>
          <w:p>
            <w:pPr>
              <w:pStyle w:val="88"/>
              <w:tabs>
                <w:tab w:val="left" w:pos="2931"/>
                <w:tab w:val="left" w:pos="4727"/>
                <w:tab w:val="left" w:pos="6699"/>
                <w:tab w:val="left" w:pos="8010"/>
                <w:tab w:val="left" w:pos="8140"/>
              </w:tabs>
              <w:spacing w:before="14" w:line="295" w:lineRule="auto"/>
              <w:ind w:left="105" w:right="142"/>
              <w:jc w:val="both"/>
              <w:rPr>
                <w:rFonts w:hint="eastAsia"/>
                <w:color w:val="000000" w:themeColor="text1"/>
                <w:sz w:val="24"/>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属于优先采购节能产品总值为￥</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（具体明细详见附表），占本投标报价的比例为</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 xml:space="preserve">%；属于优先采购环境标志产品总值为￥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（具体明细详见附表）， 占本投标报价的比例为</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jc w:val="center"/>
        </w:trPr>
        <w:tc>
          <w:tcPr>
            <w:tcW w:w="9782" w:type="dxa"/>
            <w:gridSpan w:val="8"/>
            <w:vAlign w:val="center"/>
          </w:tcPr>
          <w:p>
            <w:pPr>
              <w:pStyle w:val="88"/>
              <w:tabs>
                <w:tab w:val="left" w:pos="3355"/>
                <w:tab w:val="left" w:pos="4727"/>
                <w:tab w:val="left" w:pos="7454"/>
                <w:tab w:val="left" w:pos="7905"/>
                <w:tab w:val="left" w:pos="8140"/>
              </w:tabs>
              <w:spacing w:before="14" w:line="295" w:lineRule="auto"/>
              <w:ind w:left="105" w:right="-20"/>
              <w:rPr>
                <w:rFonts w:hint="eastAsia"/>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交货期：合同签订之日起</w:t>
            </w:r>
            <w:r>
              <w:rPr>
                <w:rFonts w:hint="eastAsia"/>
                <w:b/>
                <w:color w:val="000000" w:themeColor="text1"/>
                <w:sz w:val="21"/>
                <w:szCs w:val="21"/>
                <w:highlight w:val="none"/>
                <w:u w:val="single"/>
                <w:lang w:eastAsia="zh-CN"/>
                <w14:textFill>
                  <w14:solidFill>
                    <w14:schemeClr w14:val="tx1"/>
                  </w14:solidFill>
                </w14:textFill>
              </w:rPr>
              <w:t xml:space="preserve">     </w:t>
            </w:r>
            <w:r>
              <w:rPr>
                <w:rFonts w:hint="eastAsia"/>
                <w:b/>
                <w:color w:val="000000" w:themeColor="text1"/>
                <w:sz w:val="21"/>
                <w:szCs w:val="21"/>
                <w:highlight w:val="none"/>
                <w:lang w:eastAsia="zh-CN"/>
                <w14:textFill>
                  <w14:solidFill>
                    <w14:schemeClr w14:val="tx1"/>
                  </w14:solidFill>
                </w14:textFill>
              </w:rPr>
              <w:t>天内交付使用。</w:t>
            </w:r>
          </w:p>
        </w:tc>
      </w:tr>
    </w:tbl>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 1、报价一经涂改，应在涂改处加盖供应商单位公章或者由供应商法定代表人或授权委托人签字，否则其响应文件作响应无效处理。</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报价费用包含“第三章项目采购需求”中提出的所有费用，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表竞标产品中如有财政部现行《节能产品政府采购品目清单》目录内优先采购的产品、现行《环境标志产品政府采购品目清单》目录内优先采购的产品、小微企业生产的产品，请在本表后按类别分别附上此类产品明细表，明细表中列明：项号、货物名称、数量、单价、投标报价、累计金额并附相关证明材料。如因供应商未提供明细表或证明材料而导致评标委员会无法评判或无法计分而给供应商造成的损失由供应商自行负责，如因供应商提供虚假材料以谋取中标的责任亦由供应商自行负责。</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p>
    <w:p>
      <w:pPr>
        <w:spacing w:line="300" w:lineRule="auto"/>
        <w:jc w:val="center"/>
        <w:rPr>
          <w:rFonts w:hint="eastAsia" w:ascii="宋体" w:hAnsi="宋体" w:cs="宋体"/>
          <w:b/>
          <w:color w:val="000000" w:themeColor="text1"/>
          <w:sz w:val="32"/>
          <w:szCs w:val="32"/>
          <w:highlight w:val="none"/>
          <w14:textFill>
            <w14:solidFill>
              <w14:schemeClr w14:val="tx1"/>
            </w14:solidFill>
          </w14:textFill>
        </w:rPr>
      </w:pPr>
    </w:p>
    <w:p>
      <w:pPr>
        <w:spacing w:line="300" w:lineRule="auto"/>
        <w:jc w:val="center"/>
        <w:rPr>
          <w:rFonts w:hint="eastAsia" w:ascii="宋体" w:hAnsi="宋体" w:cs="宋体"/>
          <w:b/>
          <w:color w:val="000000" w:themeColor="text1"/>
          <w:sz w:val="32"/>
          <w:szCs w:val="32"/>
          <w:highlight w:val="none"/>
          <w14:textFill>
            <w14:solidFill>
              <w14:schemeClr w14:val="tx1"/>
            </w14:solidFill>
          </w14:textFill>
        </w:rPr>
      </w:pPr>
    </w:p>
    <w:p>
      <w:pPr>
        <w:pStyle w:val="49"/>
        <w:rPr>
          <w:rFonts w:hint="eastAsia" w:ascii="宋体" w:hAnsi="宋体" w:cs="宋体"/>
          <w:b/>
          <w:color w:val="000000" w:themeColor="text1"/>
          <w:sz w:val="32"/>
          <w:szCs w:val="32"/>
          <w:highlight w:val="none"/>
          <w14:textFill>
            <w14:solidFill>
              <w14:schemeClr w14:val="tx1"/>
            </w14:solidFill>
          </w14:textFill>
        </w:rPr>
      </w:pPr>
    </w:p>
    <w:p>
      <w:pPr>
        <w:spacing w:line="30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最后报价明细表</w:t>
      </w:r>
    </w:p>
    <w:p>
      <w:pPr>
        <w:spacing w:line="30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before="50" w:after="50"/>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分标号</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p>
    <w:p>
      <w:pPr>
        <w:spacing w:line="500" w:lineRule="exact"/>
        <w:ind w:firstLine="8190" w:firstLineChars="39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单位：元</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项号</w:t>
            </w:r>
          </w:p>
        </w:tc>
        <w:tc>
          <w:tcPr>
            <w:tcW w:w="1603" w:type="dxa"/>
          </w:tcPr>
          <w:p>
            <w:pPr>
              <w:pStyle w:val="88"/>
              <w:spacing w:before="110"/>
              <w:ind w:left="369"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货物名称</w:t>
            </w:r>
          </w:p>
        </w:tc>
        <w:tc>
          <w:tcPr>
            <w:tcW w:w="1639" w:type="dxa"/>
          </w:tcPr>
          <w:p>
            <w:pPr>
              <w:pStyle w:val="88"/>
              <w:spacing w:before="1" w:line="322" w:lineRule="exact"/>
              <w:ind w:right="0"/>
              <w:jc w:val="center"/>
              <w:rPr>
                <w:rFonts w:hint="eastAsia"/>
                <w:b/>
                <w:color w:val="000000" w:themeColor="text1"/>
                <w:sz w:val="21"/>
                <w:highlight w:val="none"/>
                <w:lang w:eastAsia="zh-CN"/>
                <w14:textFill>
                  <w14:solidFill>
                    <w14:schemeClr w14:val="tx1"/>
                  </w14:solidFill>
                </w14:textFill>
              </w:rPr>
            </w:pPr>
            <w:r>
              <w:rPr>
                <w:rFonts w:hint="eastAsia"/>
                <w:b/>
                <w:color w:val="000000" w:themeColor="text1"/>
                <w:sz w:val="21"/>
                <w:highlight w:val="none"/>
                <w:lang w:eastAsia="zh-CN"/>
                <w14:textFill>
                  <w14:solidFill>
                    <w14:schemeClr w14:val="tx1"/>
                  </w14:solidFill>
                </w14:textFill>
              </w:rPr>
              <w:t>厂家、品牌、规格型号</w:t>
            </w:r>
          </w:p>
        </w:tc>
        <w:tc>
          <w:tcPr>
            <w:tcW w:w="1229" w:type="dxa"/>
          </w:tcPr>
          <w:p>
            <w:pPr>
              <w:pStyle w:val="88"/>
              <w:spacing w:before="110"/>
              <w:ind w:left="393"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产地</w:t>
            </w:r>
          </w:p>
        </w:tc>
        <w:tc>
          <w:tcPr>
            <w:tcW w:w="1051" w:type="dxa"/>
          </w:tcPr>
          <w:p>
            <w:pPr>
              <w:pStyle w:val="88"/>
              <w:spacing w:before="110"/>
              <w:ind w:left="196"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数量①</w:t>
            </w:r>
          </w:p>
        </w:tc>
        <w:tc>
          <w:tcPr>
            <w:tcW w:w="878" w:type="dxa"/>
          </w:tcPr>
          <w:p>
            <w:pPr>
              <w:pStyle w:val="88"/>
              <w:spacing w:before="110"/>
              <w:ind w:left="215"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单位</w:t>
            </w:r>
          </w:p>
        </w:tc>
        <w:tc>
          <w:tcPr>
            <w:tcW w:w="1066" w:type="dxa"/>
          </w:tcPr>
          <w:p>
            <w:pPr>
              <w:pStyle w:val="88"/>
              <w:spacing w:before="110"/>
              <w:ind w:left="206"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单价②</w:t>
            </w:r>
          </w:p>
        </w:tc>
        <w:tc>
          <w:tcPr>
            <w:tcW w:w="1404" w:type="dxa"/>
          </w:tcPr>
          <w:p>
            <w:pPr>
              <w:pStyle w:val="88"/>
              <w:spacing w:line="291" w:lineRule="exact"/>
              <w:ind w:left="311"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投标报价</w:t>
            </w:r>
          </w:p>
          <w:p>
            <w:pPr>
              <w:pStyle w:val="88"/>
              <w:spacing w:line="325" w:lineRule="exact"/>
              <w:ind w:left="259" w:right="0"/>
              <w:rPr>
                <w:rFonts w:hint="eastAsia"/>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N</w:t>
            </w:r>
          </w:p>
        </w:tc>
        <w:tc>
          <w:tcPr>
            <w:tcW w:w="1603" w:type="dxa"/>
          </w:tcPr>
          <w:p>
            <w:pPr>
              <w:rPr>
                <w:color w:val="000000" w:themeColor="text1"/>
                <w:highlight w:val="none"/>
                <w14:textFill>
                  <w14:solidFill>
                    <w14:schemeClr w14:val="tx1"/>
                  </w14:solidFill>
                </w14:textFill>
              </w:rPr>
            </w:pPr>
          </w:p>
        </w:tc>
        <w:tc>
          <w:tcPr>
            <w:tcW w:w="1639" w:type="dxa"/>
          </w:tcPr>
          <w:p>
            <w:pPr>
              <w:rPr>
                <w:color w:val="000000" w:themeColor="text1"/>
                <w:highlight w:val="none"/>
                <w14:textFill>
                  <w14:solidFill>
                    <w14:schemeClr w14:val="tx1"/>
                  </w14:solidFill>
                </w14:textFill>
              </w:rPr>
            </w:pPr>
          </w:p>
        </w:tc>
        <w:tc>
          <w:tcPr>
            <w:tcW w:w="1229" w:type="dxa"/>
          </w:tcPr>
          <w:p>
            <w:pPr>
              <w:rPr>
                <w:color w:val="000000" w:themeColor="text1"/>
                <w:highlight w:val="none"/>
                <w14:textFill>
                  <w14:solidFill>
                    <w14:schemeClr w14:val="tx1"/>
                  </w14:solidFill>
                </w14:textFill>
              </w:rPr>
            </w:pPr>
          </w:p>
        </w:tc>
        <w:tc>
          <w:tcPr>
            <w:tcW w:w="1051" w:type="dxa"/>
          </w:tcPr>
          <w:p>
            <w:pPr>
              <w:rPr>
                <w:color w:val="000000" w:themeColor="text1"/>
                <w:highlight w:val="none"/>
                <w14:textFill>
                  <w14:solidFill>
                    <w14:schemeClr w14:val="tx1"/>
                  </w14:solidFill>
                </w14:textFill>
              </w:rPr>
            </w:pPr>
          </w:p>
        </w:tc>
        <w:tc>
          <w:tcPr>
            <w:tcW w:w="878" w:type="dxa"/>
          </w:tcPr>
          <w:p>
            <w:pPr>
              <w:rPr>
                <w:color w:val="000000" w:themeColor="text1"/>
                <w:highlight w:val="none"/>
                <w14:textFill>
                  <w14:solidFill>
                    <w14:schemeClr w14:val="tx1"/>
                  </w14:solidFill>
                </w14:textFill>
              </w:rPr>
            </w:pPr>
          </w:p>
        </w:tc>
        <w:tc>
          <w:tcPr>
            <w:tcW w:w="1066" w:type="dxa"/>
          </w:tcPr>
          <w:p>
            <w:pPr>
              <w:rPr>
                <w:color w:val="000000" w:themeColor="text1"/>
                <w:highlight w:val="none"/>
                <w14:textFill>
                  <w14:solidFill>
                    <w14:schemeClr w14:val="tx1"/>
                  </w14:solidFill>
                </w14:textFill>
              </w:rPr>
            </w:pPr>
          </w:p>
        </w:tc>
        <w:tc>
          <w:tcPr>
            <w:tcW w:w="1404"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tcPr>
          <w:p>
            <w:pPr>
              <w:pStyle w:val="88"/>
              <w:tabs>
                <w:tab w:val="left" w:pos="2931"/>
                <w:tab w:val="left" w:pos="4727"/>
                <w:tab w:val="left" w:pos="6699"/>
                <w:tab w:val="left" w:pos="8010"/>
                <w:tab w:val="left" w:pos="8140"/>
              </w:tabs>
              <w:spacing w:before="14" w:line="295" w:lineRule="auto"/>
              <w:ind w:left="105" w:right="142"/>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投标报价（合计金额）大写：</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人</w:t>
            </w:r>
            <w:r>
              <w:rPr>
                <w:color w:val="000000" w:themeColor="text1"/>
                <w:spacing w:val="-72"/>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民</w:t>
            </w:r>
            <w:r>
              <w:rPr>
                <w:color w:val="000000" w:themeColor="text1"/>
                <w:spacing w:val="-67"/>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币</w:t>
            </w:r>
            <w:r>
              <w:rPr>
                <w:color w:val="000000" w:themeColor="text1"/>
                <w:spacing w:val="-67"/>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w:t>
            </w:r>
            <w:r>
              <w:rPr>
                <w:color w:val="000000" w:themeColor="text1"/>
                <w:spacing w:val="-67"/>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 xml:space="preserve"> </w:t>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ascii="Times New Roman" w:hAnsi="Times New Roman" w:eastAsia="Times New Roman"/>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w:t>
            </w:r>
          </w:p>
          <w:p>
            <w:pPr>
              <w:pStyle w:val="88"/>
              <w:tabs>
                <w:tab w:val="left" w:pos="2931"/>
                <w:tab w:val="left" w:pos="4727"/>
                <w:tab w:val="left" w:pos="6699"/>
                <w:tab w:val="left" w:pos="8010"/>
                <w:tab w:val="left" w:pos="8140"/>
              </w:tabs>
              <w:spacing w:before="14" w:line="295" w:lineRule="auto"/>
              <w:ind w:left="105" w:right="142"/>
              <w:rPr>
                <w:rFonts w:hint="eastAsia"/>
                <w:color w:val="000000" w:themeColor="text1"/>
                <w:sz w:val="24"/>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属于优先采购节能产品总值为￥</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（具体明细详见附表），占本投标报价的比例为</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 xml:space="preserve">%；属于优先采购环境标志产品总值为￥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lang w:eastAsia="zh-CN"/>
                <w14:textFill>
                  <w14:solidFill>
                    <w14:schemeClr w14:val="tx1"/>
                  </w14:solidFill>
                </w14:textFill>
              </w:rPr>
              <w:t>（具体明细详见附表）， 占本投标报价的比例为</w:t>
            </w:r>
            <w:r>
              <w:rPr>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交货期：合同签订之日起</w:t>
            </w:r>
            <w:r>
              <w:rPr>
                <w:rFonts w:hint="eastAsia"/>
                <w:b/>
                <w:color w:val="000000" w:themeColor="text1"/>
                <w:sz w:val="21"/>
                <w:szCs w:val="21"/>
                <w:highlight w:val="none"/>
                <w:u w:val="single"/>
                <w:lang w:eastAsia="zh-CN"/>
                <w14:textFill>
                  <w14:solidFill>
                    <w14:schemeClr w14:val="tx1"/>
                  </w14:solidFill>
                </w14:textFill>
              </w:rPr>
              <w:t xml:space="preserve">     </w:t>
            </w:r>
            <w:r>
              <w:rPr>
                <w:rFonts w:hint="eastAsia"/>
                <w:b/>
                <w:color w:val="000000" w:themeColor="text1"/>
                <w:sz w:val="21"/>
                <w:szCs w:val="21"/>
                <w:highlight w:val="none"/>
                <w:lang w:eastAsia="zh-CN"/>
                <w14:textFill>
                  <w14:solidFill>
                    <w14:schemeClr w14:val="tx1"/>
                  </w14:solidFill>
                </w14:textFill>
              </w:rPr>
              <w:t>天内交付使用。</w:t>
            </w:r>
          </w:p>
        </w:tc>
      </w:tr>
    </w:tbl>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注： </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1、竞标</w:t>
      </w:r>
      <w:r>
        <w:rPr>
          <w:rFonts w:hint="eastAsia" w:ascii="宋体" w:hAnsi="宋体" w:cs="宋体"/>
          <w:color w:val="000000" w:themeColor="text1"/>
          <w:kern w:val="0"/>
          <w:szCs w:val="21"/>
          <w:highlight w:val="none"/>
          <w14:textFill>
            <w14:solidFill>
              <w14:schemeClr w14:val="tx1"/>
            </w14:solidFill>
          </w14:textFill>
        </w:rPr>
        <w:t>总报价为现场交付使用价，</w:t>
      </w:r>
      <w:r>
        <w:rPr>
          <w:rFonts w:hint="eastAsia" w:ascii="宋体" w:hAnsi="宋体"/>
          <w:color w:val="000000" w:themeColor="text1"/>
          <w:szCs w:val="21"/>
          <w:highlight w:val="none"/>
          <w14:textFill>
            <w14:solidFill>
              <w14:schemeClr w14:val="tx1"/>
            </w14:solidFill>
          </w14:textFill>
        </w:rPr>
        <w:t>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加谈判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3、所有价格均用人民币表示，单位为元，精确到百分位。</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4、报价一经涂改，应在涂改处加盖单位公章或者由法定代表人或授权委托人签字，否则其报价无效。</w:t>
      </w:r>
    </w:p>
    <w:p>
      <w:pPr>
        <w:spacing w:line="360" w:lineRule="exact"/>
        <w:ind w:firstLine="420" w:firstLineChars="200"/>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、本表为最后报价时作为最后报价格式提供，无须在首次响应文件中体现。</w:t>
      </w:r>
    </w:p>
    <w:p>
      <w:pPr>
        <w:spacing w:line="360" w:lineRule="exact"/>
        <w:ind w:firstLine="6090" w:firstLineChars="2900"/>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pacing w:line="360" w:lineRule="exact"/>
        <w:rPr>
          <w:rFonts w:hint="eastAsia" w:ascii="宋体" w:hAnsi="宋体" w:cs="宋体"/>
          <w:b/>
          <w:color w:val="000000" w:themeColor="text1"/>
          <w:sz w:val="24"/>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spacing w:line="36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三、中小企业声明函格式</w:t>
      </w:r>
    </w:p>
    <w:p>
      <w:pPr>
        <w:spacing w:line="36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中小企业声明函</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1、本声明函主要供参加政府采购活动的中小企业填写，非中小企业无需填写。</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2、小型、微型企业提供中型企业提供的货物的，视同为中型企业。</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zCs w:val="21"/>
          <w:highlight w:val="none"/>
          <w:u w:val="single"/>
          <w14:textFill>
            <w14:solidFill>
              <w14:schemeClr w14:val="tx1"/>
            </w14:solidFill>
          </w14:textFill>
        </w:rPr>
        <w:t xml:space="preserve">    （单位名称）   </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 xml:space="preserve">   （标的名称）  </w:t>
      </w:r>
      <w:r>
        <w:rPr>
          <w:rFonts w:hint="eastAsia"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 xml:space="preserve"> （采购文件中明确的所属行业） </w:t>
      </w:r>
      <w:r>
        <w:rPr>
          <w:rFonts w:hint="eastAsia" w:ascii="宋体" w:hAnsi="宋体"/>
          <w:color w:val="000000" w:themeColor="text1"/>
          <w:szCs w:val="21"/>
          <w:highlight w:val="none"/>
          <w14:textFill>
            <w14:solidFill>
              <w14:schemeClr w14:val="tx1"/>
            </w14:solidFill>
          </w14:textFill>
        </w:rPr>
        <w:t>行业；制造商为</w:t>
      </w:r>
      <w:r>
        <w:rPr>
          <w:rFonts w:hint="eastAsia" w:ascii="宋体" w:hAnsi="宋体"/>
          <w:color w:val="000000" w:themeColor="text1"/>
          <w:szCs w:val="21"/>
          <w:highlight w:val="none"/>
          <w:u w:val="single"/>
          <w14:textFill>
            <w14:solidFill>
              <w14:schemeClr w14:val="tx1"/>
            </w14:solidFill>
          </w14:textFill>
        </w:rPr>
        <w:t xml:space="preserve"> （企业名称） </w:t>
      </w:r>
      <w:r>
        <w:rPr>
          <w:rFonts w:hint="eastAsia" w:ascii="宋体" w:hAnsi="宋体"/>
          <w:color w:val="000000" w:themeColor="text1"/>
          <w:szCs w:val="21"/>
          <w:highlight w:val="none"/>
          <w14:textFill>
            <w14:solidFill>
              <w14:schemeClr w14:val="tx1"/>
            </w14:solidFill>
          </w14:textFill>
        </w:rPr>
        <w:t>，从业人员</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万元，属于</w:t>
      </w:r>
      <w:r>
        <w:rPr>
          <w:rFonts w:hint="eastAsia" w:ascii="宋体" w:hAnsi="宋体"/>
          <w:color w:val="000000" w:themeColor="text1"/>
          <w:szCs w:val="21"/>
          <w:highlight w:val="none"/>
          <w:u w:val="single"/>
          <w14:textFill>
            <w14:solidFill>
              <w14:schemeClr w14:val="tx1"/>
            </w14:solidFill>
          </w14:textFill>
        </w:rPr>
        <w:t>（中型企业、小型企业、微型企业）</w:t>
      </w:r>
      <w:r>
        <w:rPr>
          <w:rFonts w:hint="eastAsia" w:ascii="宋体" w:hAnsi="宋体"/>
          <w:color w:val="000000" w:themeColor="text1"/>
          <w:szCs w:val="21"/>
          <w:highlight w:val="none"/>
          <w14:textFill>
            <w14:solidFill>
              <w14:schemeClr w14:val="tx1"/>
            </w14:solidFill>
          </w14:textFill>
        </w:rPr>
        <w:t>；</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 xml:space="preserve">   （标的名称）  </w:t>
      </w:r>
      <w:r>
        <w:rPr>
          <w:rFonts w:hint="eastAsia"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 xml:space="preserve"> （采购文件中明确的所属行业） </w:t>
      </w:r>
      <w:r>
        <w:rPr>
          <w:rFonts w:hint="eastAsia" w:ascii="宋体" w:hAnsi="宋体"/>
          <w:color w:val="000000" w:themeColor="text1"/>
          <w:szCs w:val="21"/>
          <w:highlight w:val="none"/>
          <w14:textFill>
            <w14:solidFill>
              <w14:schemeClr w14:val="tx1"/>
            </w14:solidFill>
          </w14:textFill>
        </w:rPr>
        <w:t>行业；制造商为</w:t>
      </w:r>
      <w:r>
        <w:rPr>
          <w:rFonts w:hint="eastAsia" w:ascii="宋体" w:hAnsi="宋体"/>
          <w:color w:val="000000" w:themeColor="text1"/>
          <w:szCs w:val="21"/>
          <w:highlight w:val="none"/>
          <w:u w:val="single"/>
          <w14:textFill>
            <w14:solidFill>
              <w14:schemeClr w14:val="tx1"/>
            </w14:solidFill>
          </w14:textFill>
        </w:rPr>
        <w:t xml:space="preserve"> （企业名称） </w:t>
      </w:r>
      <w:r>
        <w:rPr>
          <w:rFonts w:hint="eastAsia" w:ascii="宋体" w:hAnsi="宋体"/>
          <w:color w:val="000000" w:themeColor="text1"/>
          <w:szCs w:val="21"/>
          <w:highlight w:val="none"/>
          <w14:textFill>
            <w14:solidFill>
              <w14:schemeClr w14:val="tx1"/>
            </w14:solidFill>
          </w14:textFill>
        </w:rPr>
        <w:t>，从业人员</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万元，属于</w:t>
      </w:r>
      <w:r>
        <w:rPr>
          <w:rFonts w:hint="eastAsia" w:ascii="宋体" w:hAnsi="宋体"/>
          <w:color w:val="000000" w:themeColor="text1"/>
          <w:szCs w:val="21"/>
          <w:highlight w:val="none"/>
          <w:u w:val="single"/>
          <w14:textFill>
            <w14:solidFill>
              <w14:schemeClr w14:val="tx1"/>
            </w14:solidFill>
          </w14:textFill>
        </w:rPr>
        <w:t>（中型企业、小型企业、微型企业）</w:t>
      </w:r>
      <w:r>
        <w:rPr>
          <w:rFonts w:hint="eastAsia" w:ascii="宋体" w:hAnsi="宋体"/>
          <w:color w:val="000000" w:themeColor="text1"/>
          <w:szCs w:val="21"/>
          <w:highlight w:val="none"/>
          <w14:textFill>
            <w14:solidFill>
              <w14:schemeClr w14:val="tx1"/>
            </w14:solidFill>
          </w14:textFill>
        </w:rPr>
        <w:t>；</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本企业对上述声明内容的真实性负责。如有虚假，将依法承担相应责任。</w:t>
      </w:r>
    </w:p>
    <w:p>
      <w:pPr>
        <w:spacing w:line="360" w:lineRule="exact"/>
        <w:ind w:firstLine="3150" w:firstLineChars="1500"/>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1、从业人员、营业收入、资产总额填报上一年度数据，无上一年度数据的新成立企业可不填报。</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2、请根据自己的真实情况出具《中小企业声明函》。依法享受中小企业优惠政策的，采购人或者采购代理机构在公告中标结果时，同时公告其《中小企业声明函》，接受社会监督。</w:t>
      </w:r>
    </w:p>
    <w:p>
      <w:pPr>
        <w:spacing w:line="360" w:lineRule="exact"/>
        <w:ind w:firstLine="360" w:firstLineChars="200"/>
        <w:jc w:val="left"/>
        <w:rPr>
          <w:rFonts w:hint="eastAsia" w:ascii="宋体" w:hAnsi="宋体"/>
          <w:color w:val="000000" w:themeColor="text1"/>
          <w:sz w:val="18"/>
          <w:szCs w:val="18"/>
          <w:highlight w:val="none"/>
          <w14:textFill>
            <w14:solidFill>
              <w14:schemeClr w14:val="tx1"/>
            </w14:solidFill>
          </w14:textFill>
        </w:rPr>
      </w:pPr>
    </w:p>
    <w:p>
      <w:pPr>
        <w:spacing w:line="360" w:lineRule="exact"/>
        <w:ind w:firstLine="360" w:firstLineChars="200"/>
        <w:jc w:val="left"/>
        <w:rPr>
          <w:rFonts w:hint="eastAsia" w:ascii="宋体" w:hAnsi="宋体"/>
          <w:color w:val="000000" w:themeColor="text1"/>
          <w:sz w:val="18"/>
          <w:szCs w:val="18"/>
          <w:highlight w:val="none"/>
          <w14:textFill>
            <w14:solidFill>
              <w14:schemeClr w14:val="tx1"/>
            </w14:solidFill>
          </w14:textFill>
        </w:rPr>
      </w:pPr>
    </w:p>
    <w:p>
      <w:pPr>
        <w:spacing w:line="360" w:lineRule="exact"/>
        <w:jc w:val="left"/>
        <w:rPr>
          <w:rFonts w:hint="eastAsia" w:ascii="宋体" w:hAnsi="宋体"/>
          <w:color w:val="000000" w:themeColor="text1"/>
          <w:sz w:val="18"/>
          <w:szCs w:val="18"/>
          <w:highlight w:val="none"/>
          <w14:textFill>
            <w14:solidFill>
              <w14:schemeClr w14:val="tx1"/>
            </w14:solidFill>
          </w14:textFill>
        </w:rPr>
      </w:pPr>
    </w:p>
    <w:p>
      <w:pPr>
        <w:spacing w:line="360" w:lineRule="exact"/>
        <w:jc w:val="left"/>
        <w:rPr>
          <w:rFonts w:hint="eastAsia" w:ascii="宋体" w:hAnsi="宋体"/>
          <w:color w:val="000000" w:themeColor="text1"/>
          <w:sz w:val="18"/>
          <w:szCs w:val="18"/>
          <w:highlight w:val="none"/>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highlight w:val="none"/>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highlight w:val="none"/>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highlight w:val="none"/>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highlight w:val="none"/>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highlight w:val="none"/>
          <w14:textFill>
            <w14:solidFill>
              <w14:schemeClr w14:val="tx1"/>
            </w14:solidFill>
          </w14:textFill>
        </w:rPr>
      </w:pPr>
    </w:p>
    <w:p>
      <w:pPr>
        <w:tabs>
          <w:tab w:val="left" w:pos="4860"/>
        </w:tabs>
        <w:spacing w:line="360" w:lineRule="exact"/>
        <w:ind w:right="1560" w:firstLine="420" w:firstLineChars="200"/>
        <w:jc w:val="center"/>
        <w:rPr>
          <w:rFonts w:hint="eastAsia" w:ascii="宋体" w:hAnsi="宋体"/>
          <w:color w:val="000000" w:themeColor="text1"/>
          <w:szCs w:val="21"/>
          <w:highlight w:val="none"/>
          <w14:textFill>
            <w14:solidFill>
              <w14:schemeClr w14:val="tx1"/>
            </w14:solidFill>
          </w14:textFill>
        </w:rPr>
      </w:pPr>
    </w:p>
    <w:p>
      <w:pPr>
        <w:spacing w:line="360" w:lineRule="exact"/>
        <w:rPr>
          <w:rFonts w:hint="eastAsia" w:ascii="宋体" w:hAnsi="宋体" w:cs="宋体"/>
          <w:b/>
          <w:color w:val="000000" w:themeColor="text1"/>
          <w:sz w:val="24"/>
          <w:highlight w:val="none"/>
          <w14:textFill>
            <w14:solidFill>
              <w14:schemeClr w14:val="tx1"/>
            </w14:solidFill>
          </w14:textFill>
        </w:rPr>
      </w:pPr>
      <w:bookmarkStart w:id="18" w:name="OLE_LINK13"/>
      <w:bookmarkStart w:id="19" w:name="OLE_LINK14"/>
      <w:r>
        <w:rPr>
          <w:rFonts w:hint="eastAsia" w:ascii="宋体" w:hAnsi="宋体" w:cs="宋体"/>
          <w:b/>
          <w:color w:val="000000" w:themeColor="text1"/>
          <w:sz w:val="24"/>
          <w:highlight w:val="none"/>
          <w14:textFill>
            <w14:solidFill>
              <w14:schemeClr w14:val="tx1"/>
            </w14:solidFill>
          </w14:textFill>
        </w:rPr>
        <w:t>四、残疾人福利性单位声明函格式</w:t>
      </w:r>
    </w:p>
    <w:p>
      <w:pPr>
        <w:spacing w:line="36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残疾人福利性单位声明函</w:t>
      </w:r>
    </w:p>
    <w:bookmarkEnd w:id="18"/>
    <w:bookmarkEnd w:id="19"/>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本单位对上述声明的真实性负责。如有虚假，将依法承担相应责任。</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480" w:lineRule="auto"/>
        <w:ind w:firstLine="3990" w:firstLineChars="19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供应商名称（</w:t>
      </w:r>
      <w:r>
        <w:rPr>
          <w:rFonts w:hint="eastAsia" w:hAnsi="宋体"/>
          <w:color w:val="000000" w:themeColor="text1"/>
          <w:highlight w:val="none"/>
          <w14:textFill>
            <w14:solidFill>
              <w14:schemeClr w14:val="tx1"/>
            </w14:solidFill>
          </w14:textFill>
        </w:rPr>
        <w:t>电子公章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pPr>
        <w:pStyle w:val="20"/>
        <w:spacing w:line="480" w:lineRule="auto"/>
        <w:ind w:right="200" w:firstLine="480"/>
        <w:jc w:val="right"/>
        <w:rPr>
          <w:rFonts w:hint="eastAsia" w:hAnsi="宋体"/>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    日</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注：请根据自己的真实情况出具《残疾人福利性单位声明函》。依法享受中小企业优惠政策的，采购人或者采购代理机构在公告中标结果时，同时公告其《残疾人福利性单位声明函》，接受社会监督。 </w:t>
      </w:r>
    </w:p>
    <w:p>
      <w:pPr>
        <w:spacing w:line="360" w:lineRule="exact"/>
        <w:jc w:val="center"/>
        <w:rPr>
          <w:rFonts w:hint="eastAsia" w:ascii="宋体" w:hAnsi="宋体"/>
          <w:color w:val="000000" w:themeColor="text1"/>
          <w:sz w:val="32"/>
          <w:szCs w:val="32"/>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spacing w:line="500" w:lineRule="exact"/>
        <w:jc w:val="center"/>
        <w:rPr>
          <w:rFonts w:hint="eastAsia" w:ascii="宋体" w:hAnsi="宋体"/>
          <w:color w:val="000000" w:themeColor="text1"/>
          <w:sz w:val="44"/>
          <w:szCs w:val="20"/>
          <w:highlight w:val="none"/>
          <w14:textFill>
            <w14:solidFill>
              <w14:schemeClr w14:val="tx1"/>
            </w14:solidFill>
          </w14:textFill>
        </w:rPr>
      </w:pPr>
    </w:p>
    <w:p>
      <w:pPr>
        <w:pStyle w:val="2"/>
        <w:rPr>
          <w:rFonts w:hint="eastAsia" w:ascii="宋体" w:hAnsi="宋体"/>
          <w:color w:val="000000" w:themeColor="text1"/>
          <w:highlight w:val="none"/>
          <w14:textFill>
            <w14:solidFill>
              <w14:schemeClr w14:val="tx1"/>
            </w14:solidFill>
          </w14:textFill>
        </w:rPr>
      </w:pPr>
      <w:bookmarkStart w:id="20" w:name="_Toc336"/>
      <w:r>
        <w:rPr>
          <w:rFonts w:hint="eastAsia" w:ascii="宋体" w:hAnsi="宋体"/>
          <w:color w:val="000000" w:themeColor="text1"/>
          <w:highlight w:val="none"/>
          <w14:textFill>
            <w14:solidFill>
              <w14:schemeClr w14:val="tx1"/>
            </w14:solidFill>
          </w14:textFill>
        </w:rPr>
        <w:t>第五章 合同条款（主要条款）</w:t>
      </w:r>
      <w:bookmarkEnd w:id="20"/>
    </w:p>
    <w:p>
      <w:pPr>
        <w:pStyle w:val="129"/>
        <w:jc w:val="center"/>
        <w:rPr>
          <w:rFonts w:hint="eastAsia" w:ascii="宋体" w:hAnsi="宋体" w:eastAsia="宋体" w:cs="宋体"/>
          <w:color w:val="000000" w:themeColor="text1"/>
          <w:highlight w:val="none"/>
          <w14:textFill>
            <w14:solidFill>
              <w14:schemeClr w14:val="tx1"/>
            </w14:solidFill>
          </w14:textFill>
        </w:rPr>
      </w:pPr>
      <w:bookmarkStart w:id="21" w:name="_Toc351203480"/>
      <w:bookmarkStart w:id="22" w:name="_Toc373227552"/>
      <w:bookmarkStart w:id="23" w:name="_Toc724920571"/>
      <w:bookmarkStart w:id="24" w:name="_Toc1756478213"/>
      <w:bookmarkStart w:id="25" w:name="_Toc407135191"/>
      <w:bookmarkStart w:id="26" w:name="_Toc296890982"/>
      <w:bookmarkStart w:id="27" w:name="_Toc389065255"/>
      <w:bookmarkStart w:id="28" w:name="_Toc296503025"/>
      <w:bookmarkStart w:id="29" w:name="_Toc78449777"/>
      <w:bookmarkStart w:id="30" w:name="_Toc373478199"/>
    </w:p>
    <w:p>
      <w:pPr>
        <w:pStyle w:val="130"/>
        <w:adjustRightInd w:val="0"/>
        <w:snapToGrid w:val="0"/>
        <w:spacing w:line="800" w:lineRule="exact"/>
        <w:contextualSpacing/>
        <w:jc w:val="center"/>
        <w:rPr>
          <w:rFonts w:hint="eastAsia" w:ascii="宋体" w:hAnsi="宋体" w:cs="宋体"/>
          <w:b/>
          <w:bCs/>
          <w:color w:val="000000" w:themeColor="text1"/>
          <w:sz w:val="44"/>
          <w:szCs w:val="44"/>
          <w:highlight w:val="none"/>
          <w14:textFill>
            <w14:solidFill>
              <w14:schemeClr w14:val="tx1"/>
            </w14:solidFill>
          </w14:textFill>
        </w:rPr>
      </w:pPr>
      <w:bookmarkStart w:id="31" w:name="_Toc74156273"/>
      <w:bookmarkStart w:id="32" w:name="_Toc74156228"/>
      <w:bookmarkStart w:id="33" w:name="_Toc403396429"/>
    </w:p>
    <w:p>
      <w:pPr>
        <w:pStyle w:val="130"/>
        <w:adjustRightInd w:val="0"/>
        <w:snapToGrid w:val="0"/>
        <w:spacing w:line="800" w:lineRule="exact"/>
        <w:contextualSpacing/>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84"/>
          <w:szCs w:val="84"/>
          <w:highlight w:val="none"/>
          <w14:textFill>
            <w14:solidFill>
              <w14:schemeClr w14:val="tx1"/>
            </w14:solidFill>
          </w14:textFill>
        </w:rPr>
        <w:t>政府采购合同</w:t>
      </w:r>
    </w:p>
    <w:p>
      <w:pPr>
        <w:pStyle w:val="130"/>
        <w:adjustRightInd w:val="0"/>
        <w:snapToGrid w:val="0"/>
        <w:spacing w:line="800" w:lineRule="exact"/>
        <w:contextualSpacing/>
        <w:rPr>
          <w:rFonts w:hint="eastAsia" w:ascii="宋体" w:hAnsi="宋体" w:cs="宋体"/>
          <w:b/>
          <w:color w:val="000000" w:themeColor="text1"/>
          <w:sz w:val="32"/>
          <w:szCs w:val="32"/>
          <w:highlight w:val="none"/>
          <w14:textFill>
            <w14:solidFill>
              <w14:schemeClr w14:val="tx1"/>
            </w14:solidFill>
          </w14:textFill>
        </w:rPr>
      </w:pPr>
    </w:p>
    <w:p>
      <w:pPr>
        <w:spacing w:line="360" w:lineRule="exact"/>
        <w:ind w:left="2202" w:leftChars="284" w:hanging="1606" w:hangingChars="50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项目名称：</w:t>
      </w:r>
      <w:r>
        <w:rPr>
          <w:rFonts w:hint="eastAsia" w:ascii="宋体" w:hAnsi="宋体" w:cs="宋体"/>
          <w:b/>
          <w:color w:val="000000" w:themeColor="text1"/>
          <w:sz w:val="32"/>
          <w:szCs w:val="32"/>
          <w:highlight w:val="none"/>
          <w14:textFill>
            <w14:solidFill>
              <w14:schemeClr w14:val="tx1"/>
            </w14:solidFill>
          </w14:textFill>
        </w:rPr>
        <w:t xml:space="preserve"> </w:t>
      </w:r>
    </w:p>
    <w:p>
      <w:pPr>
        <w:spacing w:line="360" w:lineRule="exact"/>
        <w:ind w:firstLine="643" w:firstLineChars="200"/>
        <w:rPr>
          <w:rFonts w:hint="eastAsia" w:ascii="宋体" w:hAnsi="宋体" w:cs="宋体"/>
          <w:b/>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bCs/>
          <w:color w:val="000000" w:themeColor="text1"/>
          <w:sz w:val="32"/>
          <w:szCs w:val="32"/>
          <w:highlight w:val="none"/>
          <w14:textFill>
            <w14:solidFill>
              <w14:schemeClr w14:val="tx1"/>
            </w14:solidFill>
          </w14:textFill>
        </w:rPr>
        <w:t xml:space="preserve"> </w:t>
      </w: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合同编号： </w:t>
      </w: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合同甲方：</w:t>
      </w: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合同乙方：  </w:t>
      </w: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p>
    <w:p>
      <w:pPr>
        <w:spacing w:line="360" w:lineRule="exact"/>
        <w:ind w:firstLine="643" w:firstLineChars="20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合同签订时间：     年  月  日</w:t>
      </w:r>
    </w:p>
    <w:p>
      <w:pPr>
        <w:pStyle w:val="130"/>
        <w:adjustRightInd w:val="0"/>
        <w:snapToGrid w:val="0"/>
        <w:spacing w:line="800" w:lineRule="exact"/>
        <w:contextualSpacing/>
        <w:rPr>
          <w:rFonts w:hint="eastAsia" w:ascii="宋体" w:hAnsi="宋体" w:cs="宋体"/>
          <w:b/>
          <w:bCs/>
          <w:color w:val="000000" w:themeColor="text1"/>
          <w:sz w:val="32"/>
          <w:szCs w:val="32"/>
          <w:highlight w:val="none"/>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32"/>
          <w:szCs w:val="32"/>
          <w:highlight w:val="none"/>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28"/>
          <w:szCs w:val="28"/>
          <w:highlight w:val="none"/>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28"/>
          <w:szCs w:val="28"/>
          <w:highlight w:val="none"/>
          <w:u w:val="single"/>
          <w14:textFill>
            <w14:solidFill>
              <w14:schemeClr w14:val="tx1"/>
            </w14:solidFill>
          </w14:textFill>
        </w:rPr>
      </w:pPr>
    </w:p>
    <w:p>
      <w:pPr>
        <w:pStyle w:val="130"/>
        <w:adjustRightInd w:val="0"/>
        <w:snapToGrid w:val="0"/>
        <w:spacing w:line="800" w:lineRule="exact"/>
        <w:contextualSpacing/>
        <w:rPr>
          <w:rFonts w:hint="eastAsia" w:ascii="宋体" w:hAnsi="宋体" w:cs="宋体"/>
          <w:b/>
          <w:bCs/>
          <w:color w:val="000000" w:themeColor="text1"/>
          <w:sz w:val="28"/>
          <w:szCs w:val="28"/>
          <w:highlight w:val="none"/>
          <w:u w:val="single"/>
          <w14:textFill>
            <w14:solidFill>
              <w14:schemeClr w14:val="tx1"/>
            </w14:solidFill>
          </w14:textFill>
        </w:rPr>
      </w:pPr>
    </w:p>
    <w:bookmarkEnd w:id="31"/>
    <w:bookmarkEnd w:id="32"/>
    <w:bookmarkEnd w:id="33"/>
    <w:p>
      <w:pPr>
        <w:pStyle w:val="2"/>
        <w:spacing w:line="360" w:lineRule="exact"/>
        <w:rPr>
          <w:rFonts w:hint="eastAsia" w:ascii="宋体" w:hAnsi="宋体" w:cs="宋体"/>
          <w:color w:val="000000" w:themeColor="text1"/>
          <w:sz w:val="28"/>
          <w:szCs w:val="28"/>
          <w:highlight w:val="none"/>
          <w14:textFill>
            <w14:solidFill>
              <w14:schemeClr w14:val="tx1"/>
            </w14:solidFill>
          </w14:textFill>
        </w:rPr>
        <w:sectPr>
          <w:pgSz w:w="11906" w:h="16838"/>
          <w:pgMar w:top="1134" w:right="1134" w:bottom="1134" w:left="1134" w:header="720" w:footer="720" w:gutter="0"/>
          <w:cols w:space="0" w:num="1"/>
          <w:docGrid w:type="lines" w:linePitch="312" w:charSpace="0"/>
        </w:sectPr>
      </w:pPr>
    </w:p>
    <w:p>
      <w:pPr>
        <w:pStyle w:val="2"/>
        <w:spacing w:line="360" w:lineRule="exact"/>
        <w:rPr>
          <w:rFonts w:hint="eastAsia" w:ascii="宋体" w:hAnsi="宋体" w:cs="宋体"/>
          <w:color w:val="000000" w:themeColor="text1"/>
          <w:sz w:val="28"/>
          <w:szCs w:val="28"/>
          <w:highlight w:val="none"/>
          <w14:textFill>
            <w14:solidFill>
              <w14:schemeClr w14:val="tx1"/>
            </w14:solidFill>
          </w14:textFill>
        </w:rPr>
      </w:pPr>
      <w:bookmarkStart w:id="34" w:name="_Toc27904"/>
      <w:bookmarkStart w:id="35" w:name="_Toc10916"/>
      <w:bookmarkStart w:id="36" w:name="_Toc20923"/>
      <w:r>
        <w:rPr>
          <w:rFonts w:hint="eastAsia" w:ascii="宋体" w:hAnsi="宋体" w:cs="宋体"/>
          <w:color w:val="000000" w:themeColor="text1"/>
          <w:sz w:val="28"/>
          <w:szCs w:val="28"/>
          <w:highlight w:val="none"/>
          <w14:textFill>
            <w14:solidFill>
              <w14:schemeClr w14:val="tx1"/>
            </w14:solidFill>
          </w14:textFill>
        </w:rPr>
        <w:t>政府采购合同</w:t>
      </w:r>
      <w:bookmarkEnd w:id="34"/>
      <w:bookmarkEnd w:id="35"/>
      <w:r>
        <w:rPr>
          <w:rFonts w:hint="eastAsia" w:ascii="宋体" w:hAnsi="宋体" w:cs="宋体"/>
          <w:color w:val="000000" w:themeColor="text1"/>
          <w:sz w:val="28"/>
          <w:szCs w:val="28"/>
          <w:highlight w:val="none"/>
          <w14:textFill>
            <w14:solidFill>
              <w14:schemeClr w14:val="tx1"/>
            </w14:solidFill>
          </w14:textFill>
        </w:rPr>
        <w:t>（主要条款）</w:t>
      </w:r>
      <w:bookmarkEnd w:id="36"/>
    </w:p>
    <w:p>
      <w:pPr>
        <w:rPr>
          <w:color w:val="000000" w:themeColor="text1"/>
          <w:highlight w:val="none"/>
          <w14:textFill>
            <w14:solidFill>
              <w14:schemeClr w14:val="tx1"/>
            </w14:solidFill>
          </w14:textFill>
        </w:rPr>
      </w:pPr>
    </w:p>
    <w:p>
      <w:pPr>
        <w:spacing w:line="360" w:lineRule="exact"/>
        <w:rPr>
          <w:rFonts w:hint="eastAsia" w:ascii="宋体" w:hAnsi="宋体"/>
          <w:color w:val="000000" w:themeColor="text1"/>
          <w:szCs w:val="21"/>
          <w:highlight w:val="none"/>
          <w14:textFill>
            <w14:solidFill>
              <w14:schemeClr w14:val="tx1"/>
            </w14:solidFill>
          </w14:textFill>
        </w:rPr>
      </w:pPr>
      <w:bookmarkStart w:id="37" w:name="_Toc99768080"/>
      <w:r>
        <w:rPr>
          <w:rFonts w:hint="eastAsia" w:ascii="宋体" w:hAnsi="宋体"/>
          <w:color w:val="000000" w:themeColor="text1"/>
          <w:szCs w:val="21"/>
          <w:highlight w:val="none"/>
          <w14:textFill>
            <w14:solidFill>
              <w14:schemeClr w14:val="tx1"/>
            </w14:solidFill>
          </w14:textFill>
        </w:rPr>
        <w:t>采购单位（甲方）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采购计划号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供应商（乙方）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项目名称和编号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签订地点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签订时间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根据《中华人民共和国政府采购法》、《中华人民共和国民法典》等法律、法规规定，按照竞争性谈判文件规定条款和成交供应 商竞争性谈判响应文件及其承诺，甲乙双方签订本合同。</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w:t>
      </w:r>
      <w:r>
        <w:rPr>
          <w:rFonts w:hint="eastAsia" w:hAnsi="宋体" w:cs="宋体"/>
          <w:color w:val="000000" w:themeColor="text1"/>
          <w:spacing w:val="-73"/>
          <w:sz w:val="21"/>
          <w:szCs w:val="21"/>
          <w:highlight w:val="none"/>
          <w14:textFill>
            <w14:solidFill>
              <w14:schemeClr w14:val="tx1"/>
            </w14:solidFill>
          </w14:textFill>
        </w:rPr>
        <w:t xml:space="preserve"> </w:t>
      </w:r>
      <w:r>
        <w:rPr>
          <w:rFonts w:hint="eastAsia" w:hAnsi="宋体" w:cs="宋体"/>
          <w:b/>
          <w:bCs/>
          <w:color w:val="000000" w:themeColor="text1"/>
          <w:spacing w:val="14"/>
          <w:sz w:val="21"/>
          <w:szCs w:val="21"/>
          <w:highlight w:val="none"/>
          <w14:textFill>
            <w14:solidFill>
              <w14:schemeClr w14:val="tx1"/>
            </w14:solidFill>
          </w14:textFill>
        </w:rPr>
        <w:t>一</w:t>
      </w:r>
      <w:r>
        <w:rPr>
          <w:rFonts w:hint="eastAsia" w:hAnsi="宋体" w:cs="宋体"/>
          <w:color w:val="000000" w:themeColor="text1"/>
          <w:spacing w:val="-79"/>
          <w:sz w:val="21"/>
          <w:szCs w:val="21"/>
          <w:highlight w:val="none"/>
          <w14:textFill>
            <w14:solidFill>
              <w14:schemeClr w14:val="tx1"/>
            </w14:solidFill>
          </w14:textFill>
        </w:rPr>
        <w:t xml:space="preserve"> </w:t>
      </w:r>
      <w:r>
        <w:rPr>
          <w:rFonts w:hint="eastAsia" w:hAnsi="宋体" w:cs="宋体"/>
          <w:b/>
          <w:bCs/>
          <w:color w:val="000000" w:themeColor="text1"/>
          <w:spacing w:val="14"/>
          <w:sz w:val="21"/>
          <w:szCs w:val="21"/>
          <w:highlight w:val="none"/>
          <w14:textFill>
            <w14:solidFill>
              <w14:schemeClr w14:val="tx1"/>
            </w14:solidFill>
          </w14:textFill>
        </w:rPr>
        <w:t>条</w:t>
      </w:r>
      <w:r>
        <w:rPr>
          <w:rFonts w:hint="eastAsia" w:hAnsi="宋体" w:cs="宋体"/>
          <w:color w:val="000000" w:themeColor="text1"/>
          <w:spacing w:val="23"/>
          <w:sz w:val="21"/>
          <w:szCs w:val="21"/>
          <w:highlight w:val="none"/>
          <w14:textFill>
            <w14:solidFill>
              <w14:schemeClr w14:val="tx1"/>
            </w14:solidFill>
          </w14:textFill>
        </w:rPr>
        <w:t xml:space="preserve"> </w:t>
      </w:r>
      <w:r>
        <w:rPr>
          <w:rFonts w:hint="eastAsia" w:hAnsi="宋体" w:cs="宋体"/>
          <w:b/>
          <w:bCs/>
          <w:color w:val="000000" w:themeColor="text1"/>
          <w:spacing w:val="14"/>
          <w:sz w:val="21"/>
          <w:szCs w:val="21"/>
          <w:highlight w:val="none"/>
          <w14:textFill>
            <w14:solidFill>
              <w14:schemeClr w14:val="tx1"/>
            </w14:solidFill>
          </w14:textFill>
        </w:rPr>
        <w:t>合同标的</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1.供货一览表</w:t>
      </w:r>
    </w:p>
    <w:tbl>
      <w:tblPr>
        <w:tblStyle w:val="141"/>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241"/>
        <w:gridCol w:w="996"/>
        <w:gridCol w:w="989"/>
        <w:gridCol w:w="979"/>
        <w:gridCol w:w="888"/>
        <w:gridCol w:w="968"/>
        <w:gridCol w:w="1104"/>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786"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序号</w:t>
            </w:r>
          </w:p>
        </w:tc>
        <w:tc>
          <w:tcPr>
            <w:tcW w:w="1241"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标的名称</w:t>
            </w:r>
          </w:p>
        </w:tc>
        <w:tc>
          <w:tcPr>
            <w:tcW w:w="996"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商标品牌</w:t>
            </w:r>
          </w:p>
        </w:tc>
        <w:tc>
          <w:tcPr>
            <w:tcW w:w="989"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型号参数</w:t>
            </w:r>
          </w:p>
        </w:tc>
        <w:tc>
          <w:tcPr>
            <w:tcW w:w="979"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生产厂家</w:t>
            </w:r>
          </w:p>
        </w:tc>
        <w:tc>
          <w:tcPr>
            <w:tcW w:w="888"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数量</w:t>
            </w:r>
          </w:p>
        </w:tc>
        <w:tc>
          <w:tcPr>
            <w:tcW w:w="968"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单位</w:t>
            </w:r>
          </w:p>
        </w:tc>
        <w:tc>
          <w:tcPr>
            <w:tcW w:w="1104"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单价 (元)</w:t>
            </w:r>
          </w:p>
        </w:tc>
        <w:tc>
          <w:tcPr>
            <w:tcW w:w="1153" w:type="dxa"/>
            <w:vAlign w:val="center"/>
          </w:tcPr>
          <w:p>
            <w:pPr>
              <w:pStyle w:val="16"/>
              <w:adjustRightInd/>
              <w:spacing w:after="0"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金额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pStyle w:val="140"/>
              <w:spacing w:line="360" w:lineRule="exact"/>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1241"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96"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89"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79"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888"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68"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4"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1153"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pStyle w:val="140"/>
              <w:spacing w:line="360" w:lineRule="exact"/>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1241"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96"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89"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79"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888"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68"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4"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1153"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1241"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96"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89"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79"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888"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968"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4"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c>
          <w:tcPr>
            <w:tcW w:w="1153" w:type="dxa"/>
          </w:tcPr>
          <w:p>
            <w:pPr>
              <w:spacing w:line="360" w:lineRule="exact"/>
              <w:rPr>
                <w:rFonts w:hint="eastAsia" w:ascii="宋体" w:hAns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9104" w:type="dxa"/>
            <w:gridSpan w:val="9"/>
            <w:vAlign w:val="center"/>
          </w:tcPr>
          <w:p>
            <w:pPr>
              <w:pStyle w:val="16"/>
              <w:spacing w:after="0" w:line="360" w:lineRule="exact"/>
              <w:jc w:val="both"/>
              <w:rPr>
                <w:rFonts w:hint="eastAsia" w:hAnsi="宋体" w:cs="宋体"/>
                <w:color w:val="000000" w:themeColor="text1"/>
                <w:sz w:val="21"/>
                <w:szCs w:val="21"/>
                <w:highlight w:val="none"/>
                <w:u w:val="singl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人民币合计金额  (大写)</w:t>
            </w:r>
            <w:r>
              <w:rPr>
                <w:rFonts w:hint="eastAsia" w:hAnsi="宋体"/>
                <w:color w:val="000000" w:themeColor="text1"/>
                <w:kern w:val="2"/>
                <w:sz w:val="21"/>
                <w:szCs w:val="21"/>
                <w:highlight w:val="none"/>
                <w:u w:val="single"/>
                <w14:textFill>
                  <w14:solidFill>
                    <w14:schemeClr w14:val="tx1"/>
                  </w14:solidFill>
                </w14:textFill>
              </w:rPr>
              <w:t xml:space="preserve">               </w:t>
            </w:r>
            <w:r>
              <w:rPr>
                <w:rFonts w:hint="eastAsia" w:hAnsi="宋体"/>
                <w:color w:val="000000" w:themeColor="text1"/>
                <w:kern w:val="2"/>
                <w:sz w:val="21"/>
                <w:szCs w:val="21"/>
                <w:highlight w:val="none"/>
                <w14:textFill>
                  <w14:solidFill>
                    <w14:schemeClr w14:val="tx1"/>
                  </w14:solidFill>
                </w14:textFill>
              </w:rPr>
              <w:t>(小写)</w:t>
            </w:r>
            <w:r>
              <w:rPr>
                <w:rFonts w:hint="eastAsia" w:hAnsi="宋体"/>
                <w:color w:val="000000" w:themeColor="text1"/>
                <w:kern w:val="2"/>
                <w:sz w:val="21"/>
                <w:szCs w:val="21"/>
                <w:highlight w:val="none"/>
                <w:u w:val="single"/>
                <w14:textFill>
                  <w14:solidFill>
                    <w14:schemeClr w14:val="tx1"/>
                  </w14:solidFill>
                </w14:textFill>
              </w:rPr>
              <w:t xml:space="preserve">               </w:t>
            </w:r>
          </w:p>
        </w:tc>
      </w:tr>
    </w:tbl>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合同合计金额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如谈判文件、响应文件对其另有规定的，从其规定。</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第二条 质量保证</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1.乙方所提供的货物型号、技术规格、技术参数等质量必须与谈判文件、响应文件和承诺相一致。乙方提供的节能和环保产品必须是列入政府采购清单的产品。</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2.乙方所提供的货物必须是全新、未经使用的原装产品，且在正常安装、使用和保养条件下，其使用寿命期内各项指标均达到质量要求。</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第三条 权利保证</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1.乙方应保证所提供货物在使用时不会侵犯任何第三方的专利权、商标权、工业设计权或其他权利。</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2.乙方应按谈判文件规定的时间或响应文件承诺的时间向甲方提供使用货物的有关技术资料。</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4.乙方保证所交付的货物的所有权完全属于乙方且无任何抵押、质押、查封等产权瑕疵。</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第四条 包装和运输</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1.乙方提供的货物均应按谈判文件、响应文件要求的包装材料、包装标准、包装方式进行包装，每一包装单元内应附详细的装箱单和质量合格证。</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2.货物的运输方式</w:t>
      </w:r>
      <w:r>
        <w:rPr>
          <w:rFonts w:hint="eastAsia" w:hAnsi="宋体" w:cs="宋体"/>
          <w:color w:val="000000" w:themeColor="text1"/>
          <w:spacing w:val="-14"/>
          <w:sz w:val="21"/>
          <w:szCs w:val="21"/>
          <w:highlight w:val="none"/>
          <w14:textFill>
            <w14:solidFill>
              <w14:schemeClr w14:val="tx1"/>
            </w14:solidFill>
          </w14:textFill>
        </w:rPr>
        <w:t>：</w:t>
      </w:r>
      <w:r>
        <w:rPr>
          <w:rFonts w:hint="eastAsia" w:hAnsi="宋体" w:cs="宋体"/>
          <w:color w:val="000000" w:themeColor="text1"/>
          <w:spacing w:val="3"/>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不限  </w:t>
      </w:r>
      <w:r>
        <w:rPr>
          <w:rFonts w:hint="eastAsia" w:hAnsi="宋体" w:cs="宋体"/>
          <w:color w:val="000000" w:themeColor="text1"/>
          <w:spacing w:val="3"/>
          <w:sz w:val="21"/>
          <w:szCs w:val="21"/>
          <w:highlight w:val="none"/>
          <w:u w:val="single"/>
          <w14:textFill>
            <w14:solidFill>
              <w14:schemeClr w14:val="tx1"/>
            </w14:solidFill>
          </w14:textFill>
        </w:rPr>
        <w:t xml:space="preserve">     </w:t>
      </w:r>
    </w:p>
    <w:p>
      <w:pPr>
        <w:pStyle w:val="16"/>
        <w:spacing w:after="0" w:line="360" w:lineRule="exact"/>
        <w:ind w:firstLine="420" w:firstLineChars="200"/>
        <w:jc w:val="both"/>
        <w:rPr>
          <w:rFonts w:hint="eastAsia" w:hAnsi="宋体" w:cs="宋体"/>
          <w:color w:val="000000" w:themeColor="text1"/>
          <w:spacing w:val="-6"/>
          <w:sz w:val="21"/>
          <w:szCs w:val="21"/>
          <w:highlight w:val="none"/>
          <w:u w:val="singl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3.乙方负责货物运输</w:t>
      </w:r>
      <w:r>
        <w:rPr>
          <w:rFonts w:hint="eastAsia" w:hAnsi="宋体" w:cs="宋体"/>
          <w:color w:val="000000" w:themeColor="text1"/>
          <w:spacing w:val="-13"/>
          <w:sz w:val="21"/>
          <w:szCs w:val="21"/>
          <w:highlight w:val="none"/>
          <w14:textFill>
            <w14:solidFill>
              <w14:schemeClr w14:val="tx1"/>
            </w14:solidFill>
          </w14:textFill>
        </w:rPr>
        <w:t xml:space="preserve"> ，</w:t>
      </w:r>
      <w:r>
        <w:rPr>
          <w:rFonts w:hint="eastAsia" w:hAnsi="宋体" w:cs="宋体"/>
          <w:color w:val="000000" w:themeColor="text1"/>
          <w:spacing w:val="-20"/>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货</w:t>
      </w:r>
      <w:r>
        <w:rPr>
          <w:rFonts w:hint="eastAsia" w:hAnsi="宋体" w:cs="宋体"/>
          <w:color w:val="000000" w:themeColor="text1"/>
          <w:spacing w:val="-26"/>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物</w:t>
      </w:r>
      <w:r>
        <w:rPr>
          <w:rFonts w:hint="eastAsia" w:hAnsi="宋体" w:cs="宋体"/>
          <w:color w:val="000000" w:themeColor="text1"/>
          <w:spacing w:val="-26"/>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运</w:t>
      </w:r>
      <w:r>
        <w:rPr>
          <w:rFonts w:hint="eastAsia" w:hAnsi="宋体" w:cs="宋体"/>
          <w:color w:val="000000" w:themeColor="text1"/>
          <w:spacing w:val="-27"/>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输</w:t>
      </w:r>
      <w:r>
        <w:rPr>
          <w:rFonts w:hint="eastAsia" w:hAnsi="宋体" w:cs="宋体"/>
          <w:color w:val="000000" w:themeColor="text1"/>
          <w:spacing w:val="-25"/>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合</w:t>
      </w:r>
      <w:r>
        <w:rPr>
          <w:rFonts w:hint="eastAsia" w:hAnsi="宋体" w:cs="宋体"/>
          <w:color w:val="000000" w:themeColor="text1"/>
          <w:spacing w:val="-23"/>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理</w:t>
      </w:r>
      <w:r>
        <w:rPr>
          <w:rFonts w:hint="eastAsia" w:hAnsi="宋体" w:cs="宋体"/>
          <w:color w:val="000000" w:themeColor="text1"/>
          <w:spacing w:val="-26"/>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损</w:t>
      </w:r>
      <w:r>
        <w:rPr>
          <w:rFonts w:hint="eastAsia" w:hAnsi="宋体" w:cs="宋体"/>
          <w:color w:val="000000" w:themeColor="text1"/>
          <w:spacing w:val="-25"/>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耗</w:t>
      </w:r>
      <w:r>
        <w:rPr>
          <w:rFonts w:hint="eastAsia" w:hAnsi="宋体" w:cs="宋体"/>
          <w:color w:val="000000" w:themeColor="text1"/>
          <w:spacing w:val="-27"/>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及</w:t>
      </w:r>
      <w:r>
        <w:rPr>
          <w:rFonts w:hint="eastAsia" w:hAnsi="宋体" w:cs="宋体"/>
          <w:color w:val="000000" w:themeColor="text1"/>
          <w:spacing w:val="-26"/>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计</w:t>
      </w:r>
      <w:r>
        <w:rPr>
          <w:rFonts w:hint="eastAsia" w:hAnsi="宋体" w:cs="宋体"/>
          <w:color w:val="000000" w:themeColor="text1"/>
          <w:spacing w:val="-24"/>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算</w:t>
      </w:r>
      <w:r>
        <w:rPr>
          <w:rFonts w:hint="eastAsia" w:hAnsi="宋体" w:cs="宋体"/>
          <w:color w:val="000000" w:themeColor="text1"/>
          <w:spacing w:val="-25"/>
          <w:sz w:val="21"/>
          <w:szCs w:val="21"/>
          <w:highlight w:val="non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方</w:t>
      </w:r>
      <w:r>
        <w:rPr>
          <w:rFonts w:hint="eastAsia" w:hAnsi="宋体" w:cs="宋体"/>
          <w:color w:val="000000" w:themeColor="text1"/>
          <w:spacing w:val="-6"/>
          <w:sz w:val="21"/>
          <w:szCs w:val="21"/>
          <w:highlight w:val="none"/>
          <w14:textFill>
            <w14:solidFill>
              <w14:schemeClr w14:val="tx1"/>
            </w14:solidFill>
          </w14:textFill>
        </w:rPr>
        <w:t>法</w:t>
      </w:r>
      <w:r>
        <w:rPr>
          <w:rFonts w:hint="eastAsia" w:hAnsi="宋体" w:cs="宋体"/>
          <w:color w:val="000000" w:themeColor="text1"/>
          <w:spacing w:val="-59"/>
          <w:sz w:val="21"/>
          <w:szCs w:val="21"/>
          <w:highlight w:val="none"/>
          <w14:textFill>
            <w14:solidFill>
              <w14:schemeClr w14:val="tx1"/>
            </w14:solidFill>
          </w14:textFill>
        </w:rPr>
        <w:t xml:space="preserve"> </w:t>
      </w:r>
      <w:r>
        <w:rPr>
          <w:rFonts w:hint="eastAsia" w:hAnsi="宋体" w:cs="宋体"/>
          <w:color w:val="000000" w:themeColor="text1"/>
          <w:spacing w:val="-6"/>
          <w:sz w:val="21"/>
          <w:szCs w:val="21"/>
          <w:highlight w:val="none"/>
          <w14:textFill>
            <w14:solidFill>
              <w14:schemeClr w14:val="tx1"/>
            </w14:solidFill>
          </w14:textFill>
        </w:rPr>
        <w:t>：</w:t>
      </w:r>
      <w:r>
        <w:rPr>
          <w:rFonts w:hint="eastAsia" w:hAnsi="宋体" w:cs="宋体"/>
          <w:color w:val="000000" w:themeColor="text1"/>
          <w:spacing w:val="-6"/>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本合同货物不接受损耗</w:t>
      </w:r>
      <w:r>
        <w:rPr>
          <w:rFonts w:hint="eastAsia" w:hAnsi="宋体" w:cs="宋体"/>
          <w:color w:val="000000" w:themeColor="text1"/>
          <w:spacing w:val="-6"/>
          <w:sz w:val="21"/>
          <w:szCs w:val="21"/>
          <w:highlight w:val="none"/>
          <w:u w:val="single"/>
          <w14:textFill>
            <w14:solidFill>
              <w14:schemeClr w14:val="tx1"/>
            </w14:solidFill>
          </w14:textFill>
        </w:rPr>
        <w:t xml:space="preserve">            </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第五条  交付和验收</w:t>
      </w:r>
    </w:p>
    <w:p>
      <w:pPr>
        <w:pStyle w:val="33"/>
        <w:widowControl/>
        <w:spacing w:beforeAutospacing="0" w:afterAutospacing="0" w:line="360" w:lineRule="auto"/>
        <w:ind w:firstLine="480" w:firstLineChars="200"/>
        <w:rPr>
          <w:rFonts w:hint="eastAsia"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1.交付使</w:t>
      </w:r>
      <w:r>
        <w:rPr>
          <w:rFonts w:hint="eastAsia" w:hAnsi="宋体" w:cs="宋体"/>
          <w:color w:val="000000" w:themeColor="text1"/>
          <w:szCs w:val="21"/>
          <w:highlight w:val="none"/>
          <w14:textFill>
            <w14:solidFill>
              <w14:schemeClr w14:val="tx1"/>
            </w14:solidFill>
          </w14:textFill>
        </w:rPr>
        <w:t>用时间：</w:t>
      </w:r>
      <w:r>
        <w:rPr>
          <w:rFonts w:hint="eastAsia" w:ascii="宋体" w:hAnsi="宋体" w:cs="宋体"/>
          <w:color w:val="000000" w:themeColor="text1"/>
          <w:sz w:val="21"/>
          <w:szCs w:val="21"/>
          <w:highlight w:val="none"/>
          <w:u w:val="single"/>
          <w14:textFill>
            <w14:solidFill>
              <w14:schemeClr w14:val="tx1"/>
            </w14:solidFill>
          </w14:textFill>
        </w:rPr>
        <w:t>自合同签订后  日内完成交付，并全部安装调试合格完毕。</w:t>
      </w:r>
      <w:r>
        <w:rPr>
          <w:rFonts w:hint="eastAsia" w:hAnsi="宋体" w:cs="宋体"/>
          <w:color w:val="000000" w:themeColor="text1"/>
          <w:szCs w:val="21"/>
          <w:highlight w:val="none"/>
          <w14:textFill>
            <w14:solidFill>
              <w14:schemeClr w14:val="tx1"/>
            </w14:solidFill>
          </w14:textFill>
        </w:rPr>
        <w:t>地点：</w:t>
      </w:r>
      <w:r>
        <w:rPr>
          <w:rFonts w:hint="eastAsia" w:hAnsi="宋体" w:cs="宋体"/>
          <w:color w:val="000000" w:themeColor="text1"/>
          <w:szCs w:val="21"/>
          <w:highlight w:val="none"/>
          <w:u w:val="single"/>
          <w14:textFill>
            <w14:solidFill>
              <w14:schemeClr w14:val="tx1"/>
            </w14:solidFill>
          </w14:textFill>
        </w:rPr>
        <w:t xml:space="preserve">甲方指定地点   </w:t>
      </w:r>
      <w:r>
        <w:rPr>
          <w:rFonts w:hint="eastAsia" w:hAnsi="宋体" w:cs="宋体"/>
          <w:color w:val="000000" w:themeColor="text1"/>
          <w:szCs w:val="21"/>
          <w:highlight w:val="none"/>
          <w14:textFill>
            <w14:solidFill>
              <w14:schemeClr w14:val="tx1"/>
            </w14:solidFill>
          </w14:textFill>
        </w:rPr>
        <w:t>。</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2.乙方提供不符合谈判文件、响应文件和本合同规定的货物，甲方有权拒绝接受。</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3.乙方应将所提供货物的装箱清单、用户手册、原厂保修卡、随</w:t>
      </w:r>
      <w:r>
        <w:rPr>
          <w:rFonts w:hint="eastAsia" w:hAnsi="宋体" w:cs="宋体"/>
          <w:color w:val="000000" w:themeColor="text1"/>
          <w:spacing w:val="5"/>
          <w:sz w:val="21"/>
          <w:szCs w:val="21"/>
          <w:highlight w:val="none"/>
          <w14:textFill>
            <w14:solidFill>
              <w14:schemeClr w14:val="tx1"/>
            </w14:solidFill>
          </w14:textFill>
        </w:rPr>
        <w:t>机资料、工具和备品、备件等交付给甲方，如有缺失应及时补齐，否</w:t>
      </w:r>
      <w:r>
        <w:rPr>
          <w:rFonts w:hint="eastAsia" w:hAnsi="宋体" w:cs="宋体"/>
          <w:color w:val="000000" w:themeColor="text1"/>
          <w:sz w:val="21"/>
          <w:szCs w:val="21"/>
          <w:highlight w:val="none"/>
          <w14:textFill>
            <w14:solidFill>
              <w14:schemeClr w14:val="tx1"/>
            </w14:solidFill>
          </w14:textFill>
        </w:rPr>
        <w:t>则视为逾期交货。</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16"/>
        <w:spacing w:after="0" w:line="360" w:lineRule="exact"/>
        <w:ind w:firstLine="408" w:firstLineChars="200"/>
        <w:jc w:val="both"/>
        <w:rPr>
          <w:rFonts w:hint="eastAsia" w:hAnsi="宋体" w:cs="宋体"/>
          <w:color w:val="000000" w:themeColor="text1"/>
          <w:spacing w:val="-3"/>
          <w:sz w:val="21"/>
          <w:szCs w:val="21"/>
          <w:highlight w:val="none"/>
          <w14:textFill>
            <w14:solidFill>
              <w14:schemeClr w14:val="tx1"/>
            </w14:solidFill>
          </w14:textFill>
        </w:rPr>
      </w:pPr>
      <w:r>
        <w:rPr>
          <w:rFonts w:hint="eastAsia" w:hAnsi="宋体" w:cs="宋体"/>
          <w:color w:val="000000" w:themeColor="text1"/>
          <w:spacing w:val="-3"/>
          <w:sz w:val="21"/>
          <w:szCs w:val="21"/>
          <w:highlight w:val="none"/>
          <w14:textFill>
            <w14:solidFill>
              <w14:schemeClr w14:val="tx1"/>
            </w14:solidFill>
          </w14:textFill>
        </w:rPr>
        <w:t>5.甲方对验收有异议的，在验收后五个工作日内以书面形式向乙方提出，乙方应自收到甲方书面异议后</w:t>
      </w:r>
      <w:r>
        <w:rPr>
          <w:rFonts w:hint="eastAsia" w:hAnsi="宋体" w:cs="宋体"/>
          <w:color w:val="000000" w:themeColor="text1"/>
          <w:spacing w:val="-3"/>
          <w:sz w:val="21"/>
          <w:szCs w:val="21"/>
          <w:highlight w:val="none"/>
          <w:u w:val="single"/>
          <w14:textFill>
            <w14:solidFill>
              <w14:schemeClr w14:val="tx1"/>
            </w14:solidFill>
          </w14:textFill>
        </w:rPr>
        <w:t>30</w:t>
      </w:r>
      <w:r>
        <w:rPr>
          <w:rFonts w:hint="eastAsia" w:hAnsi="宋体" w:cs="宋体"/>
          <w:color w:val="000000" w:themeColor="text1"/>
          <w:spacing w:val="-3"/>
          <w:sz w:val="21"/>
          <w:szCs w:val="21"/>
          <w:highlight w:val="none"/>
          <w14:textFill>
            <w14:solidFill>
              <w14:schemeClr w14:val="tx1"/>
            </w14:solidFill>
          </w14:textFill>
        </w:rPr>
        <w:t>日内及时予以解决。</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第六条  安装和培训</w:t>
      </w:r>
    </w:p>
    <w:p>
      <w:pPr>
        <w:pStyle w:val="16"/>
        <w:spacing w:after="0" w:line="360" w:lineRule="exact"/>
        <w:ind w:firstLine="408" w:firstLineChars="200"/>
        <w:jc w:val="both"/>
        <w:rPr>
          <w:rFonts w:hint="eastAsia" w:hAnsi="宋体" w:cs="宋体"/>
          <w:color w:val="000000" w:themeColor="text1"/>
          <w:spacing w:val="-3"/>
          <w:sz w:val="21"/>
          <w:szCs w:val="21"/>
          <w:highlight w:val="none"/>
          <w14:textFill>
            <w14:solidFill>
              <w14:schemeClr w14:val="tx1"/>
            </w14:solidFill>
          </w14:textFill>
        </w:rPr>
      </w:pPr>
      <w:r>
        <w:rPr>
          <w:rFonts w:hint="eastAsia" w:hAnsi="宋体" w:cs="宋体"/>
          <w:color w:val="000000" w:themeColor="text1"/>
          <w:spacing w:val="-3"/>
          <w:sz w:val="21"/>
          <w:szCs w:val="21"/>
          <w:highlight w:val="none"/>
          <w14:textFill>
            <w14:solidFill>
              <w14:schemeClr w14:val="tx1"/>
            </w14:solidFill>
          </w14:textFill>
        </w:rPr>
        <w:t>1.甲方应提供必要安装条件(如场地、电源、水源等)。</w:t>
      </w:r>
    </w:p>
    <w:p>
      <w:pPr>
        <w:pStyle w:val="16"/>
        <w:spacing w:after="0" w:line="360" w:lineRule="exact"/>
        <w:ind w:firstLine="416"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2.乙方负责甲方有关人员的培训。培训时间、地点：</w:t>
      </w:r>
      <w:r>
        <w:rPr>
          <w:rFonts w:hint="eastAsia" w:hAnsi="宋体" w:cs="宋体"/>
          <w:color w:val="000000" w:themeColor="text1"/>
          <w:spacing w:val="55"/>
          <w:sz w:val="21"/>
          <w:szCs w:val="21"/>
          <w:highlight w:val="none"/>
          <w:u w:val="single"/>
          <w14:textFill>
            <w14:solidFill>
              <w14:schemeClr w14:val="tx1"/>
            </w14:solidFill>
          </w14:textFill>
        </w:rPr>
        <w:t xml:space="preserve"> </w:t>
      </w:r>
      <w:r>
        <w:rPr>
          <w:rFonts w:hint="eastAsia" w:hAnsi="宋体" w:cs="宋体"/>
          <w:color w:val="000000" w:themeColor="text1"/>
          <w:spacing w:val="-3"/>
          <w:sz w:val="21"/>
          <w:szCs w:val="21"/>
          <w:highlight w:val="none"/>
          <w:u w:val="single"/>
          <w14:textFill>
            <w14:solidFill>
              <w14:schemeClr w14:val="tx1"/>
            </w14:solidFill>
          </w14:textFill>
        </w:rPr>
        <w:t xml:space="preserve">  由甲方依据实际情况确定 </w:t>
      </w:r>
      <w:r>
        <w:rPr>
          <w:rFonts w:hint="eastAsia" w:hAnsi="宋体" w:cs="宋体"/>
          <w:color w:val="000000" w:themeColor="text1"/>
          <w:spacing w:val="-1"/>
          <w:sz w:val="21"/>
          <w:szCs w:val="21"/>
          <w:highlight w:val="none"/>
          <w:u w:val="single"/>
          <w14:textFill>
            <w14:solidFill>
              <w14:schemeClr w14:val="tx1"/>
            </w14:solidFill>
          </w14:textFill>
        </w:rPr>
        <w:t xml:space="preserve">    </w:t>
      </w:r>
      <w:r>
        <w:rPr>
          <w:rFonts w:hint="eastAsia" w:hAnsi="宋体" w:cs="宋体"/>
          <w:color w:val="000000" w:themeColor="text1"/>
          <w:spacing w:val="-1"/>
          <w:sz w:val="21"/>
          <w:szCs w:val="21"/>
          <w:highlight w:val="none"/>
          <w14:textFill>
            <w14:solidFill>
              <w14:schemeClr w14:val="tx1"/>
            </w14:solidFill>
          </w14:textFill>
        </w:rPr>
        <w:t>。</w:t>
      </w:r>
    </w:p>
    <w:p>
      <w:pPr>
        <w:pStyle w:val="16"/>
        <w:spacing w:after="0" w:line="360" w:lineRule="exact"/>
        <w:ind w:firstLine="478"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第七条 售后服务、保修期</w:t>
      </w:r>
    </w:p>
    <w:p>
      <w:pPr>
        <w:pStyle w:val="16"/>
        <w:spacing w:after="0" w:line="360" w:lineRule="exact"/>
        <w:ind w:firstLine="38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10"/>
          <w:sz w:val="21"/>
          <w:szCs w:val="21"/>
          <w:highlight w:val="none"/>
          <w14:textFill>
            <w14:solidFill>
              <w14:schemeClr w14:val="tx1"/>
            </w14:solidFill>
          </w14:textFill>
        </w:rPr>
        <w:t>1.乙方应按照国家有关法律法规和“三包”规定以及谈判文件、响</w:t>
      </w:r>
      <w:r>
        <w:rPr>
          <w:rFonts w:hint="eastAsia" w:hAnsi="宋体" w:cs="宋体"/>
          <w:color w:val="000000" w:themeColor="text1"/>
          <w:spacing w:val="7"/>
          <w:sz w:val="21"/>
          <w:szCs w:val="21"/>
          <w:highlight w:val="none"/>
          <w14:textFill>
            <w14:solidFill>
              <w14:schemeClr w14:val="tx1"/>
            </w14:solidFill>
          </w14:textFill>
        </w:rPr>
        <w:t>应文件和本合同所附的《服务承诺》，为甲方提供售后服务。</w:t>
      </w:r>
    </w:p>
    <w:p>
      <w:pPr>
        <w:pStyle w:val="16"/>
        <w:spacing w:after="0" w:line="360" w:lineRule="exact"/>
        <w:ind w:firstLine="380" w:firstLineChars="200"/>
        <w:jc w:val="both"/>
        <w:rPr>
          <w:rFonts w:hint="eastAsia"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pacing w:val="-10"/>
          <w:sz w:val="21"/>
          <w:szCs w:val="21"/>
          <w:highlight w:val="none"/>
          <w14:textFill>
            <w14:solidFill>
              <w14:schemeClr w14:val="tx1"/>
            </w14:solidFill>
          </w14:textFill>
        </w:rPr>
        <w:t>2.货物保修期；</w:t>
      </w:r>
      <w:r>
        <w:rPr>
          <w:rFonts w:hint="eastAsia" w:hAnsi="宋体" w:cs="宋体"/>
          <w:color w:val="000000" w:themeColor="text1"/>
          <w:sz w:val="21"/>
          <w:szCs w:val="21"/>
          <w:highlight w:val="none"/>
          <w:u w:val="single"/>
          <w14:textFill>
            <w14:solidFill>
              <w14:schemeClr w14:val="tx1"/>
            </w14:solidFill>
          </w14:textFill>
        </w:rPr>
        <w:t xml:space="preserve">                   。</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3.乙方提供的服务承诺和售后服务及保修期责任等其它具体约</w:t>
      </w:r>
      <w:r>
        <w:rPr>
          <w:rFonts w:hint="eastAsia" w:hAnsi="宋体" w:cs="宋体"/>
          <w:color w:val="000000" w:themeColor="text1"/>
          <w:spacing w:val="3"/>
          <w:sz w:val="21"/>
          <w:szCs w:val="21"/>
          <w:highlight w:val="none"/>
          <w14:textFill>
            <w14:solidFill>
              <w14:schemeClr w14:val="tx1"/>
            </w14:solidFill>
          </w14:textFill>
        </w:rPr>
        <w:t>定事项。(见合同附件)</w:t>
      </w:r>
    </w:p>
    <w:p>
      <w:pPr>
        <w:pStyle w:val="16"/>
        <w:spacing w:after="0" w:line="360" w:lineRule="exact"/>
        <w:ind w:firstLine="410" w:firstLineChars="200"/>
        <w:jc w:val="both"/>
        <w:rPr>
          <w:rFonts w:hint="eastAsia"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pacing w:val="-3"/>
          <w:sz w:val="21"/>
          <w:szCs w:val="21"/>
          <w:highlight w:val="none"/>
          <w14:textFill>
            <w14:solidFill>
              <w14:schemeClr w14:val="tx1"/>
            </w14:solidFill>
          </w14:textFill>
        </w:rPr>
        <w:t>第八条  付款方式</w:t>
      </w:r>
    </w:p>
    <w:p>
      <w:pPr>
        <w:pStyle w:val="16"/>
        <w:spacing w:after="0" w:line="360" w:lineRule="exact"/>
        <w:ind w:firstLine="336" w:firstLineChars="200"/>
        <w:jc w:val="both"/>
        <w:rPr>
          <w:rFonts w:hint="eastAsia"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pacing w:val="-21"/>
          <w:sz w:val="21"/>
          <w:szCs w:val="21"/>
          <w:highlight w:val="none"/>
          <w14:textFill>
            <w14:solidFill>
              <w14:schemeClr w14:val="tx1"/>
            </w14:solidFill>
          </w14:textFill>
        </w:rPr>
        <w:t>1.资金性质</w:t>
      </w:r>
      <w:r>
        <w:rPr>
          <w:rFonts w:hint="eastAsia" w:hAnsi="宋体" w:cs="宋体"/>
          <w:color w:val="000000" w:themeColor="text1"/>
          <w:spacing w:val="-3"/>
          <w:sz w:val="21"/>
          <w:szCs w:val="21"/>
          <w:highlight w:val="none"/>
          <w14:textFill>
            <w14:solidFill>
              <w14:schemeClr w14:val="tx1"/>
            </w14:solidFill>
          </w14:textFill>
        </w:rPr>
        <w:t>：</w:t>
      </w:r>
      <w:r>
        <w:rPr>
          <w:rFonts w:hint="eastAsia" w:hAnsi="宋体" w:cs="宋体"/>
          <w:color w:val="000000" w:themeColor="text1"/>
          <w:spacing w:val="-3"/>
          <w:sz w:val="21"/>
          <w:szCs w:val="21"/>
          <w:highlight w:val="none"/>
          <w:u w:val="single"/>
          <w14:textFill>
            <w14:solidFill>
              <w14:schemeClr w14:val="tx1"/>
            </w14:solidFill>
          </w14:textFill>
        </w:rPr>
        <w:t xml:space="preserve"> 财政性资金</w:t>
      </w:r>
    </w:p>
    <w:p>
      <w:pPr>
        <w:pStyle w:val="16"/>
        <w:spacing w:after="0" w:line="360" w:lineRule="exact"/>
        <w:ind w:firstLine="360" w:firstLineChars="200"/>
        <w:jc w:val="both"/>
        <w:rPr>
          <w:rFonts w:hint="eastAsia"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pacing w:val="-15"/>
          <w:sz w:val="21"/>
          <w:szCs w:val="21"/>
          <w:highlight w:val="none"/>
          <w14:textFill>
            <w14:solidFill>
              <w14:schemeClr w14:val="tx1"/>
            </w14:solidFill>
          </w14:textFill>
        </w:rPr>
        <w:t>2.付款方式：</w:t>
      </w:r>
      <w:r>
        <w:rPr>
          <w:rFonts w:hint="eastAsia" w:hAnsi="宋体" w:cs="宋体"/>
          <w:color w:val="000000" w:themeColor="text1"/>
          <w:sz w:val="21"/>
          <w:szCs w:val="21"/>
          <w:highlight w:val="none"/>
          <w:u w:val="single"/>
          <w14:textFill>
            <w14:solidFill>
              <w14:schemeClr w14:val="tx1"/>
            </w14:solidFill>
          </w14:textFill>
        </w:rPr>
        <w:t>仪器安装调试合格之日后，成交供应商按采购人要求提供正规发票给采购人，采购人在15个工作日内一次性付清款项。</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第九条  履约保证金</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1.履约保证金金额：合同价款的5%，若成交供应商是中小企业，则履约保证金按合同价款的2%收取。</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2.履约保证金提交时间及方式：合同签订前5日内，成交供应商必须以银行转账、支票、汇票、本票或者金融机构、担保机构出具的保险、保函（含电子保函）等非现金方式向采购人提交履约保证金。</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3.履约保证金退付条件及时间：自项目验收合格之日起至质保期满无质量问题，采购人收到退付履约保证金申请后15个工作日内退还(无息)。</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4.下列情况因履约保证金不能退还或另行处理，所产生的后果由成交供应商负责：</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（3）其他因成交供应商原因导致履约保证金无法按时退回的情形。</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履约保证金账户：</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全称：广西科技大学</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账号：20-112801040000305</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开户银行：中国农业银行柳州市祥兴支行</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转帐时注明：项目名称+项目编号</w:t>
      </w:r>
    </w:p>
    <w:p>
      <w:pPr>
        <w:spacing w:line="440" w:lineRule="exact"/>
        <w:ind w:left="4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5.乙方有下列情况之一的，甲方向乙方出具书面通知，乙方未能及时解决的，甲方可没收其全部履约保证金，并视具体情况按合同第十一条和第十四条处理：</w:t>
      </w:r>
    </w:p>
    <w:p>
      <w:pPr>
        <w:numPr>
          <w:ilvl w:val="0"/>
          <w:numId w:val="3"/>
        </w:numPr>
        <w:spacing w:line="440" w:lineRule="exact"/>
        <w:ind w:left="0"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乙方提供的货物规格、技术标准、材料未达到其响应文件所承诺的，导致无法通过验收交付使用的；</w:t>
      </w:r>
    </w:p>
    <w:p>
      <w:pPr>
        <w:numPr>
          <w:ilvl w:val="0"/>
          <w:numId w:val="3"/>
        </w:numPr>
        <w:spacing w:line="440" w:lineRule="exact"/>
        <w:ind w:left="0"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乙方提供的货物经查证无法得到生产厂家正规售后服务的；</w:t>
      </w:r>
    </w:p>
    <w:p>
      <w:pPr>
        <w:numPr>
          <w:ilvl w:val="0"/>
          <w:numId w:val="3"/>
        </w:numPr>
        <w:spacing w:line="440" w:lineRule="exact"/>
        <w:ind w:left="0"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乙方提供的货物未经正规合法经销渠道的；</w:t>
      </w:r>
    </w:p>
    <w:p>
      <w:pPr>
        <w:numPr>
          <w:ilvl w:val="0"/>
          <w:numId w:val="3"/>
        </w:numPr>
        <w:spacing w:line="440" w:lineRule="exact"/>
        <w:ind w:left="0"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乙方提供的货物侵犯了第三方合法权益而引发了纠纷或诉讼，导致无法按期交付使用的；</w:t>
      </w:r>
    </w:p>
    <w:p>
      <w:pPr>
        <w:numPr>
          <w:ilvl w:val="0"/>
          <w:numId w:val="3"/>
        </w:numPr>
        <w:spacing w:line="440" w:lineRule="exact"/>
        <w:ind w:left="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在货物试运行期间，故障率在10%及以上的。</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第十条 税费本合同执行中相关的一切税费均由乙方负担。</w:t>
      </w:r>
    </w:p>
    <w:p>
      <w:pPr>
        <w:pStyle w:val="16"/>
        <w:spacing w:after="0" w:line="360" w:lineRule="exact"/>
        <w:ind w:firstLine="478" w:firstLineChars="200"/>
        <w:jc w:val="both"/>
        <w:rPr>
          <w:rFonts w:hint="eastAsia" w:hAnsi="宋体" w:cs="宋体"/>
          <w:b/>
          <w:bCs/>
          <w:color w:val="000000" w:themeColor="text1"/>
          <w:spacing w:val="14"/>
          <w:sz w:val="21"/>
          <w:szCs w:val="21"/>
          <w:highlight w:val="none"/>
          <w14:textFill>
            <w14:solidFill>
              <w14:schemeClr w14:val="tx1"/>
            </w14:solidFill>
          </w14:textFill>
        </w:rPr>
      </w:pPr>
      <w:r>
        <w:rPr>
          <w:rFonts w:hint="eastAsia" w:hAnsi="宋体" w:cs="宋体"/>
          <w:b/>
          <w:bCs/>
          <w:color w:val="000000" w:themeColor="text1"/>
          <w:spacing w:val="14"/>
          <w:sz w:val="21"/>
          <w:szCs w:val="21"/>
          <w:highlight w:val="none"/>
          <w14:textFill>
            <w14:solidFill>
              <w14:schemeClr w14:val="tx1"/>
            </w14:solidFill>
          </w14:textFill>
        </w:rPr>
        <w:t>第十一条 质量保证及售后服务</w:t>
      </w:r>
    </w:p>
    <w:p>
      <w:pPr>
        <w:pStyle w:val="16"/>
        <w:spacing w:after="0" w:line="360" w:lineRule="exact"/>
        <w:ind w:firstLine="408"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3"/>
          <w:sz w:val="21"/>
          <w:szCs w:val="21"/>
          <w:highlight w:val="none"/>
          <w14:textFill>
            <w14:solidFill>
              <w14:schemeClr w14:val="tx1"/>
            </w14:solidFill>
          </w14:textFill>
        </w:rPr>
        <w:t>1.</w:t>
      </w:r>
      <w:r>
        <w:rPr>
          <w:rFonts w:hint="eastAsia" w:hAnsi="宋体" w:cs="宋体"/>
          <w:color w:val="000000" w:themeColor="text1"/>
          <w:spacing w:val="-46"/>
          <w:sz w:val="21"/>
          <w:szCs w:val="21"/>
          <w:highlight w:val="none"/>
          <w14:textFill>
            <w14:solidFill>
              <w14:schemeClr w14:val="tx1"/>
            </w14:solidFill>
          </w14:textFill>
        </w:rPr>
        <w:t xml:space="preserve"> </w:t>
      </w:r>
      <w:r>
        <w:rPr>
          <w:rFonts w:hint="eastAsia" w:hAnsi="宋体" w:cs="宋体"/>
          <w:color w:val="000000" w:themeColor="text1"/>
          <w:spacing w:val="-3"/>
          <w:sz w:val="21"/>
          <w:szCs w:val="21"/>
          <w:highlight w:val="none"/>
          <w14:textFill>
            <w14:solidFill>
              <w14:schemeClr w14:val="tx1"/>
            </w14:solidFill>
          </w14:textFill>
        </w:rPr>
        <w:t>乙方应按谈判文件规定及响应文件承诺的货物性能、技术要</w:t>
      </w:r>
      <w:r>
        <w:rPr>
          <w:rFonts w:hint="eastAsia" w:hAnsi="宋体" w:cs="宋体"/>
          <w:color w:val="000000" w:themeColor="text1"/>
          <w:spacing w:val="-5"/>
          <w:sz w:val="21"/>
          <w:szCs w:val="21"/>
          <w:highlight w:val="none"/>
          <w14:textFill>
            <w14:solidFill>
              <w14:schemeClr w14:val="tx1"/>
            </w14:solidFill>
          </w14:textFill>
        </w:rPr>
        <w:t>求、质量标准向甲方提供未经使用的全新产品。乙方提供货物的质量</w:t>
      </w:r>
      <w:r>
        <w:rPr>
          <w:rFonts w:hint="eastAsia" w:hAnsi="宋体" w:cs="宋体"/>
          <w:color w:val="000000" w:themeColor="text1"/>
          <w:spacing w:val="-1"/>
          <w:sz w:val="21"/>
          <w:szCs w:val="21"/>
          <w:highlight w:val="none"/>
          <w14:textFill>
            <w14:solidFill>
              <w14:schemeClr w14:val="tx1"/>
            </w14:solidFill>
          </w14:textFill>
        </w:rPr>
        <w:t>保证期按交货验收合格之日起计(期限见《采购需求》中各分标的要</w:t>
      </w:r>
      <w:r>
        <w:rPr>
          <w:rFonts w:hint="eastAsia" w:hAnsi="宋体" w:cs="宋体"/>
          <w:color w:val="000000" w:themeColor="text1"/>
          <w:sz w:val="21"/>
          <w:szCs w:val="21"/>
          <w:highlight w:val="none"/>
          <w14:textFill>
            <w14:solidFill>
              <w14:schemeClr w14:val="tx1"/>
            </w14:solidFill>
          </w14:textFill>
        </w:rPr>
        <w:t>求)。在保证期内因货物本身的质量问题发生故障，乙方应负责免费</w:t>
      </w:r>
      <w:r>
        <w:rPr>
          <w:rFonts w:hint="eastAsia" w:hAnsi="宋体" w:cs="宋体"/>
          <w:color w:val="000000" w:themeColor="text1"/>
          <w:spacing w:val="-5"/>
          <w:sz w:val="21"/>
          <w:szCs w:val="21"/>
          <w:highlight w:val="none"/>
          <w14:textFill>
            <w14:solidFill>
              <w14:schemeClr w14:val="tx1"/>
            </w14:solidFill>
          </w14:textFill>
        </w:rPr>
        <w:t>修理和更换零部件。对达不到技术要求者，根据实际情况，经双方协</w:t>
      </w:r>
      <w:r>
        <w:rPr>
          <w:rFonts w:hint="eastAsia" w:hAnsi="宋体" w:cs="宋体"/>
          <w:color w:val="000000" w:themeColor="text1"/>
          <w:spacing w:val="-11"/>
          <w:sz w:val="21"/>
          <w:szCs w:val="21"/>
          <w:highlight w:val="none"/>
          <w14:textFill>
            <w14:solidFill>
              <w14:schemeClr w14:val="tx1"/>
            </w14:solidFill>
          </w14:textFill>
        </w:rPr>
        <w:t>商，可按以下办法处理：</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(1)更换：由乙方承担所发生的全部费用。</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(2)贬值处理：由甲乙双方合议定价。</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(3)退货处理：乙方应退还甲方支付的合同款，同时应承担该货物的直接费用(运输、保险、检验、货款利息及银行手续费等)。</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w:t>
      </w:r>
      <w:r>
        <w:rPr>
          <w:rFonts w:hint="eastAsia" w:hAnsi="宋体" w:cs="宋体"/>
          <w:color w:val="000000" w:themeColor="text1"/>
          <w:spacing w:val="-3"/>
          <w:sz w:val="21"/>
          <w:szCs w:val="21"/>
          <w:highlight w:val="none"/>
          <w14:textFill>
            <w14:solidFill>
              <w14:schemeClr w14:val="tx1"/>
            </w14:solidFill>
          </w14:textFill>
        </w:rPr>
        <w:t>.如在</w:t>
      </w:r>
      <w:r>
        <w:rPr>
          <w:rFonts w:hint="eastAsia" w:hAnsi="宋体" w:cs="宋体"/>
          <w:color w:val="000000" w:themeColor="text1"/>
          <w:spacing w:val="13"/>
          <w:sz w:val="21"/>
          <w:szCs w:val="21"/>
          <w:highlight w:val="none"/>
          <w14:textFill>
            <w14:solidFill>
              <w14:schemeClr w14:val="tx1"/>
            </w14:solidFill>
          </w14:textFill>
        </w:rPr>
        <w:t>使用过程中发生质量问题，乙方在接到甲方通知</w:t>
      </w:r>
      <w:r>
        <w:rPr>
          <w:rFonts w:hint="eastAsia" w:hAnsi="宋体" w:cs="宋体"/>
          <w:color w:val="000000" w:themeColor="text1"/>
          <w:spacing w:val="12"/>
          <w:sz w:val="21"/>
          <w:szCs w:val="21"/>
          <w:highlight w:val="none"/>
          <w14:textFill>
            <w14:solidFill>
              <w14:schemeClr w14:val="tx1"/>
            </w14:solidFill>
          </w14:textFill>
        </w:rPr>
        <w:t>后在</w:t>
      </w:r>
      <w:r>
        <w:rPr>
          <w:rFonts w:hint="eastAsia" w:hAnsi="宋体" w:cs="宋体"/>
          <w:color w:val="000000" w:themeColor="text1"/>
          <w:spacing w:val="12"/>
          <w:sz w:val="21"/>
          <w:szCs w:val="21"/>
          <w:highlight w:val="none"/>
          <w:u w:val="single"/>
          <w14:textFill>
            <w14:solidFill>
              <w14:schemeClr w14:val="tx1"/>
            </w14:solidFill>
          </w14:textFill>
        </w:rPr>
        <w:t xml:space="preserve">    </w:t>
      </w:r>
      <w:r>
        <w:rPr>
          <w:rFonts w:hint="eastAsia" w:hAnsi="宋体" w:cs="宋体"/>
          <w:color w:val="000000" w:themeColor="text1"/>
          <w:spacing w:val="-13"/>
          <w:sz w:val="21"/>
          <w:szCs w:val="21"/>
          <w:highlight w:val="none"/>
          <w14:textFill>
            <w14:solidFill>
              <w14:schemeClr w14:val="tx1"/>
            </w14:solidFill>
          </w14:textFill>
        </w:rPr>
        <w:t>到达甲方现场。</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3.在质保期内，乙方应对货物出现的质量及安全问题负责处理解决并承担一切费用。</w:t>
      </w:r>
    </w:p>
    <w:p>
      <w:pPr>
        <w:pStyle w:val="16"/>
        <w:spacing w:after="0" w:line="360" w:lineRule="exact"/>
        <w:ind w:firstLine="384"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9"/>
          <w:sz w:val="21"/>
          <w:szCs w:val="21"/>
          <w:highlight w:val="none"/>
          <w14:textFill>
            <w14:solidFill>
              <w14:schemeClr w14:val="tx1"/>
            </w14:solidFill>
          </w14:textFill>
        </w:rPr>
        <w:t>4.上述的货物免费保修期为</w:t>
      </w:r>
      <w:r>
        <w:rPr>
          <w:rFonts w:hint="eastAsia" w:hAnsi="宋体" w:cs="宋体"/>
          <w:color w:val="000000" w:themeColor="text1"/>
          <w:spacing w:val="-89"/>
          <w:sz w:val="21"/>
          <w:szCs w:val="21"/>
          <w:highlight w:val="none"/>
          <w14:textFill>
            <w14:solidFill>
              <w14:schemeClr w14:val="tx1"/>
            </w14:solidFill>
          </w14:textFill>
        </w:rPr>
        <w:t xml:space="preserve"> </w:t>
      </w:r>
      <w:r>
        <w:rPr>
          <w:rFonts w:hint="eastAsia" w:hAnsi="宋体" w:cs="宋体"/>
          <w:color w:val="000000" w:themeColor="text1"/>
          <w:spacing w:val="-9"/>
          <w:sz w:val="21"/>
          <w:szCs w:val="21"/>
          <w:highlight w:val="none"/>
          <w:u w:val="single"/>
          <w14:textFill>
            <w14:solidFill>
              <w14:schemeClr w14:val="tx1"/>
            </w14:solidFill>
          </w14:textFill>
        </w:rPr>
        <w:t xml:space="preserve">       </w:t>
      </w:r>
      <w:r>
        <w:rPr>
          <w:rFonts w:hint="eastAsia" w:hAnsi="宋体" w:cs="宋体"/>
          <w:color w:val="000000" w:themeColor="text1"/>
          <w:spacing w:val="-9"/>
          <w:sz w:val="21"/>
          <w:szCs w:val="21"/>
          <w:highlight w:val="none"/>
          <w14:textFill>
            <w14:solidFill>
              <w14:schemeClr w14:val="tx1"/>
            </w14:solidFill>
          </w14:textFill>
        </w:rPr>
        <w:t>年，因人为因素出现的故障不在免费保修范围内。超过保修期的机器设备，终生维修，维修时只收部件成本费。</w:t>
      </w:r>
    </w:p>
    <w:p>
      <w:pPr>
        <w:pStyle w:val="16"/>
        <w:spacing w:after="0" w:line="360" w:lineRule="exact"/>
        <w:ind w:firstLine="40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5"/>
          <w:sz w:val="21"/>
          <w:szCs w:val="21"/>
          <w:highlight w:val="none"/>
          <w14:textFill>
            <w14:solidFill>
              <w14:schemeClr w14:val="tx1"/>
            </w14:solidFill>
          </w14:textFill>
        </w:rPr>
        <w:t>第十二条</w:t>
      </w:r>
      <w:r>
        <w:rPr>
          <w:rFonts w:hint="eastAsia" w:hAnsi="宋体" w:cs="宋体"/>
          <w:color w:val="000000" w:themeColor="text1"/>
          <w:spacing w:val="-5"/>
          <w:sz w:val="21"/>
          <w:szCs w:val="21"/>
          <w:highlight w:val="none"/>
          <w14:textFill>
            <w14:solidFill>
              <w14:schemeClr w14:val="tx1"/>
            </w14:solidFill>
          </w14:textFill>
        </w:rPr>
        <w:t xml:space="preserve">  </w:t>
      </w:r>
      <w:r>
        <w:rPr>
          <w:rFonts w:hint="eastAsia" w:hAnsi="宋体" w:cs="宋体"/>
          <w:b/>
          <w:bCs/>
          <w:color w:val="000000" w:themeColor="text1"/>
          <w:spacing w:val="-5"/>
          <w:sz w:val="21"/>
          <w:szCs w:val="21"/>
          <w:highlight w:val="none"/>
          <w14:textFill>
            <w14:solidFill>
              <w14:schemeClr w14:val="tx1"/>
            </w14:solidFill>
          </w14:textFill>
        </w:rPr>
        <w:t>调试和验收</w:t>
      </w:r>
    </w:p>
    <w:p>
      <w:pPr>
        <w:pStyle w:val="16"/>
        <w:numPr>
          <w:ilvl w:val="0"/>
          <w:numId w:val="4"/>
        </w:numPr>
        <w:autoSpaceDE/>
        <w:autoSpaceDN/>
        <w:adjustRightInd/>
        <w:spacing w:after="0" w:line="440" w:lineRule="exact"/>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pPr>
        <w:pStyle w:val="16"/>
        <w:numPr>
          <w:ilvl w:val="0"/>
          <w:numId w:val="4"/>
        </w:numPr>
        <w:autoSpaceDE/>
        <w:autoSpaceDN/>
        <w:adjustRightInd/>
        <w:spacing w:after="0" w:line="440" w:lineRule="exact"/>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乙方须确保货物为原制造商制造（或原厂组装）的全新产品，无侵权行为、表面无划损、无任何缺陷隐患，在中国境内可依常规安全合法使用。</w:t>
      </w:r>
    </w:p>
    <w:p>
      <w:pPr>
        <w:pStyle w:val="16"/>
        <w:numPr>
          <w:ilvl w:val="0"/>
          <w:numId w:val="4"/>
        </w:numPr>
        <w:autoSpaceDE/>
        <w:autoSpaceDN/>
        <w:adjustRightInd/>
        <w:spacing w:after="0" w:line="440" w:lineRule="exact"/>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在产品到货后，乙方现场根据竞谈文件要求及响应文件承诺逐条对应进行核验，核验不合格的，甲方有权终止合同执行并全部退货，同时报相关监督管理部门处理，由此造成甲方经济损失的由乙方负责承担全部赔偿责任。</w:t>
      </w:r>
    </w:p>
    <w:p>
      <w:pPr>
        <w:pStyle w:val="16"/>
        <w:numPr>
          <w:ilvl w:val="0"/>
          <w:numId w:val="4"/>
        </w:numPr>
        <w:autoSpaceDE/>
        <w:autoSpaceDN/>
        <w:adjustRightInd/>
        <w:spacing w:after="0" w:line="440" w:lineRule="exact"/>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供货时乙方应将关键货物的用户手册、保修手册、有关单证资料及配备件等交付给甲方，使用操作及安全须知等重要资料应附有中文说明。</w:t>
      </w:r>
    </w:p>
    <w:p>
      <w:pPr>
        <w:pStyle w:val="16"/>
        <w:numPr>
          <w:ilvl w:val="0"/>
          <w:numId w:val="4"/>
        </w:numPr>
        <w:autoSpaceDE/>
        <w:autoSpaceDN/>
        <w:adjustRightInd/>
        <w:spacing w:after="0" w:line="440" w:lineRule="exact"/>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6"/>
        <w:numPr>
          <w:ilvl w:val="0"/>
          <w:numId w:val="4"/>
        </w:numPr>
        <w:autoSpaceDE/>
        <w:autoSpaceDN/>
        <w:adjustRightInd/>
        <w:spacing w:after="0" w:line="440" w:lineRule="exact"/>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对技术复杂的货物，甲方应请国家认可的专业检测机构参与初步验收及最终验收，并由其出具质量检测报告。</w:t>
      </w:r>
    </w:p>
    <w:p>
      <w:pPr>
        <w:pStyle w:val="16"/>
        <w:numPr>
          <w:ilvl w:val="0"/>
          <w:numId w:val="4"/>
        </w:numPr>
        <w:autoSpaceDE/>
        <w:autoSpaceDN/>
        <w:adjustRightInd/>
        <w:spacing w:after="0" w:line="440" w:lineRule="exact"/>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7"/>
          <w:sz w:val="21"/>
          <w:szCs w:val="21"/>
          <w:highlight w:val="none"/>
          <w14:textFill>
            <w14:solidFill>
              <w14:schemeClr w14:val="tx1"/>
            </w14:solidFill>
          </w14:textFill>
        </w:rPr>
        <w:t>验收时乙方必须在现场，验收完毕后作出验收结果报告；验收</w:t>
      </w:r>
      <w:r>
        <w:rPr>
          <w:rFonts w:hint="eastAsia" w:hAnsi="宋体" w:cs="宋体"/>
          <w:color w:val="000000" w:themeColor="text1"/>
          <w:spacing w:val="-8"/>
          <w:sz w:val="21"/>
          <w:szCs w:val="21"/>
          <w:highlight w:val="none"/>
          <w14:textFill>
            <w14:solidFill>
              <w14:schemeClr w14:val="tx1"/>
            </w14:solidFill>
          </w14:textFill>
        </w:rPr>
        <w:t>费用由乙方负责。</w:t>
      </w:r>
    </w:p>
    <w:p>
      <w:pPr>
        <w:numPr>
          <w:ilvl w:val="0"/>
          <w:numId w:val="4"/>
        </w:numPr>
        <w:spacing w:line="440" w:lineRule="exact"/>
        <w:rPr>
          <w:rFonts w:hint="eastAsia"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7"/>
          <w:szCs w:val="21"/>
          <w:highlight w:val="none"/>
          <w14:textFill>
            <w14:solidFill>
              <w14:schemeClr w14:val="tx1"/>
            </w14:solidFill>
          </w14:textFill>
        </w:rPr>
        <w:t>如果验收时所提供货物达不到采购项目的技术需求，在整改期限</w:t>
      </w:r>
      <w:r>
        <w:rPr>
          <w:rFonts w:hint="eastAsia" w:ascii="宋体" w:hAnsi="宋体" w:cs="宋体"/>
          <w:color w:val="000000" w:themeColor="text1"/>
          <w:spacing w:val="-7"/>
          <w:szCs w:val="21"/>
          <w:highlight w:val="none"/>
          <w:u w:val="single"/>
          <w14:textFill>
            <w14:solidFill>
              <w14:schemeClr w14:val="tx1"/>
            </w14:solidFill>
          </w14:textFill>
        </w:rPr>
        <w:t xml:space="preserve"> 20 </w:t>
      </w:r>
      <w:r>
        <w:rPr>
          <w:rFonts w:hint="eastAsia" w:ascii="宋体" w:hAnsi="宋体" w:cs="宋体"/>
          <w:color w:val="000000" w:themeColor="text1"/>
          <w:spacing w:val="-7"/>
          <w:szCs w:val="21"/>
          <w:highlight w:val="none"/>
          <w14:textFill>
            <w14:solidFill>
              <w14:schemeClr w14:val="tx1"/>
            </w14:solidFill>
          </w14:textFill>
        </w:rPr>
        <w:t>日内乙方仍无法提供满足项目技术要求的货物，甲方可以终止合同，乙方承担相应违约责任。</w:t>
      </w:r>
    </w:p>
    <w:p>
      <w:pPr>
        <w:pStyle w:val="16"/>
        <w:spacing w:after="0" w:line="360" w:lineRule="exact"/>
        <w:ind w:firstLine="406"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4"/>
          <w:sz w:val="21"/>
          <w:szCs w:val="21"/>
          <w:highlight w:val="none"/>
          <w14:textFill>
            <w14:solidFill>
              <w14:schemeClr w14:val="tx1"/>
            </w14:solidFill>
          </w14:textFill>
        </w:rPr>
        <w:t>第十三条</w:t>
      </w:r>
      <w:r>
        <w:rPr>
          <w:rFonts w:hint="eastAsia" w:hAnsi="宋体" w:cs="宋体"/>
          <w:color w:val="000000" w:themeColor="text1"/>
          <w:spacing w:val="-4"/>
          <w:sz w:val="21"/>
          <w:szCs w:val="21"/>
          <w:highlight w:val="none"/>
          <w14:textFill>
            <w14:solidFill>
              <w14:schemeClr w14:val="tx1"/>
            </w14:solidFill>
          </w14:textFill>
        </w:rPr>
        <w:t xml:space="preserve">  </w:t>
      </w:r>
      <w:r>
        <w:rPr>
          <w:rFonts w:hint="eastAsia" w:hAnsi="宋体" w:cs="宋体"/>
          <w:b/>
          <w:bCs/>
          <w:color w:val="000000" w:themeColor="text1"/>
          <w:spacing w:val="-4"/>
          <w:sz w:val="21"/>
          <w:szCs w:val="21"/>
          <w:highlight w:val="none"/>
          <w14:textFill>
            <w14:solidFill>
              <w14:schemeClr w14:val="tx1"/>
            </w14:solidFill>
          </w14:textFill>
        </w:rPr>
        <w:t>货物包装、发运及运输</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 乙方应在货物发运前对其进行满足运输距离、防潮、防震、防锈和防破损装卸等要求包装，以保证货物安全运达甲方指定地点。</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 使用说明书、质量检验证明书、随配附件和工具以及清单一并附于货物内。</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 乙方在货物发运手续办理完毕后二十四小时内或货到甲方四十八小时前通知甲方，以准备接货。</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4. 货物在交付甲方前发生的风险均由乙方负责。</w:t>
      </w:r>
    </w:p>
    <w:p>
      <w:pPr>
        <w:pStyle w:val="16"/>
        <w:spacing w:after="0" w:line="360" w:lineRule="exact"/>
        <w:ind w:firstLine="43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3"/>
          <w:sz w:val="21"/>
          <w:szCs w:val="21"/>
          <w:highlight w:val="none"/>
          <w14:textFill>
            <w14:solidFill>
              <w14:schemeClr w14:val="tx1"/>
            </w14:solidFill>
          </w14:textFill>
        </w:rPr>
        <w:t>5.</w:t>
      </w:r>
      <w:r>
        <w:rPr>
          <w:rFonts w:hint="eastAsia" w:hAnsi="宋体" w:cs="宋体"/>
          <w:color w:val="000000" w:themeColor="text1"/>
          <w:spacing w:val="-63"/>
          <w:sz w:val="21"/>
          <w:szCs w:val="21"/>
          <w:highlight w:val="none"/>
          <w14:textFill>
            <w14:solidFill>
              <w14:schemeClr w14:val="tx1"/>
            </w14:solidFill>
          </w14:textFill>
        </w:rPr>
        <w:t xml:space="preserve"> </w:t>
      </w:r>
      <w:r>
        <w:rPr>
          <w:rFonts w:hint="eastAsia" w:hAnsi="宋体" w:cs="宋体"/>
          <w:color w:val="000000" w:themeColor="text1"/>
          <w:spacing w:val="3"/>
          <w:sz w:val="21"/>
          <w:szCs w:val="21"/>
          <w:highlight w:val="none"/>
          <w14:textFill>
            <w14:solidFill>
              <w14:schemeClr w14:val="tx1"/>
            </w14:solidFill>
          </w14:textFill>
        </w:rPr>
        <w:t>货物在规定的交付期限内由乙方送达甲方指定的地点视为交</w:t>
      </w:r>
      <w:r>
        <w:rPr>
          <w:rFonts w:hint="eastAsia" w:hAnsi="宋体" w:cs="宋体"/>
          <w:color w:val="000000" w:themeColor="text1"/>
          <w:spacing w:val="-3"/>
          <w:sz w:val="21"/>
          <w:szCs w:val="21"/>
          <w:highlight w:val="none"/>
          <w14:textFill>
            <w14:solidFill>
              <w14:schemeClr w14:val="tx1"/>
            </w14:solidFill>
          </w14:textFill>
        </w:rPr>
        <w:t>付，乙方同时需通知甲方货物已送达。</w:t>
      </w:r>
    </w:p>
    <w:p>
      <w:pPr>
        <w:pStyle w:val="16"/>
        <w:spacing w:after="0" w:line="360" w:lineRule="exact"/>
        <w:ind w:firstLine="398"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6"/>
          <w:sz w:val="21"/>
          <w:szCs w:val="21"/>
          <w:highlight w:val="none"/>
          <w14:textFill>
            <w14:solidFill>
              <w14:schemeClr w14:val="tx1"/>
            </w14:solidFill>
          </w14:textFill>
        </w:rPr>
        <w:t>第十四条</w:t>
      </w:r>
      <w:r>
        <w:rPr>
          <w:rFonts w:hint="eastAsia" w:hAnsi="宋体" w:cs="宋体"/>
          <w:color w:val="000000" w:themeColor="text1"/>
          <w:spacing w:val="135"/>
          <w:sz w:val="21"/>
          <w:szCs w:val="21"/>
          <w:highlight w:val="none"/>
          <w14:textFill>
            <w14:solidFill>
              <w14:schemeClr w14:val="tx1"/>
            </w14:solidFill>
          </w14:textFill>
        </w:rPr>
        <w:t xml:space="preserve"> </w:t>
      </w:r>
      <w:r>
        <w:rPr>
          <w:rFonts w:hint="eastAsia" w:hAnsi="宋体" w:cs="宋体"/>
          <w:b/>
          <w:bCs/>
          <w:color w:val="000000" w:themeColor="text1"/>
          <w:spacing w:val="-6"/>
          <w:sz w:val="21"/>
          <w:szCs w:val="21"/>
          <w:highlight w:val="none"/>
          <w14:textFill>
            <w14:solidFill>
              <w14:schemeClr w14:val="tx1"/>
            </w14:solidFill>
          </w14:textFill>
        </w:rPr>
        <w:t>违约责任</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2.乙方提供的货物如侵犯了第三方合法权益而引发的任何纠纷或诉讼，均由乙方负责交涉并承担全部责任。</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3.因包装、运输引起的货物损坏，按质量不合格处罚。</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4.甲方无故延期接收货物、乙方逾期交货的，每天向对方偿付违约货款额</w:t>
      </w:r>
      <w:r>
        <w:rPr>
          <w:rFonts w:hint="eastAsia" w:hAnsi="宋体" w:cs="宋体"/>
          <w:color w:val="000000" w:themeColor="text1"/>
          <w:spacing w:val="-9"/>
          <w:sz w:val="21"/>
          <w:szCs w:val="21"/>
          <w:highlight w:val="none"/>
          <w:u w:val="single"/>
          <w14:textFill>
            <w14:solidFill>
              <w14:schemeClr w14:val="tx1"/>
            </w14:solidFill>
          </w14:textFill>
        </w:rPr>
        <w:t>3</w:t>
      </w:r>
      <w:r>
        <w:rPr>
          <w:rFonts w:ascii="Arial" w:hAnsi="Arial" w:cs="Arial"/>
          <w:color w:val="000000" w:themeColor="text1"/>
          <w:spacing w:val="-9"/>
          <w:sz w:val="21"/>
          <w:szCs w:val="21"/>
          <w:highlight w:val="none"/>
          <w:u w:val="single"/>
          <w14:textFill>
            <w14:solidFill>
              <w14:schemeClr w14:val="tx1"/>
            </w14:solidFill>
          </w14:textFill>
        </w:rPr>
        <w:t>‰</w:t>
      </w:r>
      <w:r>
        <w:rPr>
          <w:rFonts w:hint="eastAsia" w:hAnsi="宋体" w:cs="宋体"/>
          <w:color w:val="000000" w:themeColor="text1"/>
          <w:spacing w:val="-9"/>
          <w:sz w:val="21"/>
          <w:szCs w:val="21"/>
          <w:highlight w:val="none"/>
          <w:u w:val="single"/>
          <w14:textFill>
            <w14:solidFill>
              <w14:schemeClr w14:val="tx1"/>
            </w14:solidFill>
          </w14:textFill>
        </w:rPr>
        <w:t xml:space="preserve"> </w:t>
      </w:r>
      <w:r>
        <w:rPr>
          <w:rFonts w:hint="eastAsia" w:hAnsi="宋体"/>
          <w:color w:val="000000" w:themeColor="text1"/>
          <w:kern w:val="2"/>
          <w:sz w:val="21"/>
          <w:szCs w:val="21"/>
          <w:highlight w:val="none"/>
          <w14:textFill>
            <w14:solidFill>
              <w14:schemeClr w14:val="tx1"/>
            </w14:solidFill>
          </w14:textFill>
        </w:rPr>
        <w:t>违约金，但违约金累计不</w:t>
      </w:r>
      <w:r>
        <w:rPr>
          <w:rFonts w:hint="eastAsia" w:hAnsi="宋体" w:cs="宋体"/>
          <w:color w:val="000000" w:themeColor="text1"/>
          <w:spacing w:val="19"/>
          <w:sz w:val="21"/>
          <w:szCs w:val="21"/>
          <w:highlight w:val="none"/>
          <w14:textFill>
            <w14:solidFill>
              <w14:schemeClr w14:val="tx1"/>
            </w14:solidFill>
          </w14:textFill>
        </w:rPr>
        <w:t>得超过</w:t>
      </w:r>
      <w:r>
        <w:rPr>
          <w:rFonts w:hint="eastAsia" w:hAnsi="宋体" w:cs="宋体"/>
          <w:color w:val="000000" w:themeColor="text1"/>
          <w:spacing w:val="18"/>
          <w:sz w:val="21"/>
          <w:szCs w:val="21"/>
          <w:highlight w:val="none"/>
          <w14:textFill>
            <w14:solidFill>
              <w14:schemeClr w14:val="tx1"/>
            </w14:solidFill>
          </w14:textFill>
        </w:rPr>
        <w:t>违约货款额</w:t>
      </w:r>
      <w:r>
        <w:rPr>
          <w:rFonts w:hint="eastAsia" w:hAnsi="宋体" w:cs="宋体"/>
          <w:color w:val="000000" w:themeColor="text1"/>
          <w:spacing w:val="18"/>
          <w:sz w:val="21"/>
          <w:szCs w:val="21"/>
          <w:highlight w:val="none"/>
          <w:u w:val="single"/>
          <w14:textFill>
            <w14:solidFill>
              <w14:schemeClr w14:val="tx1"/>
            </w14:solidFill>
          </w14:textFill>
        </w:rPr>
        <w:t>5%</w:t>
      </w:r>
      <w:r>
        <w:rPr>
          <w:rFonts w:hint="eastAsia" w:hAnsi="宋体" w:cs="宋体"/>
          <w:color w:val="000000" w:themeColor="text1"/>
          <w:spacing w:val="18"/>
          <w:sz w:val="21"/>
          <w:szCs w:val="21"/>
          <w:highlight w:val="none"/>
          <w14:textFill>
            <w14:solidFill>
              <w14:schemeClr w14:val="tx1"/>
            </w14:solidFill>
          </w14:textFill>
        </w:rPr>
        <w:t>，超</w:t>
      </w:r>
      <w:r>
        <w:rPr>
          <w:rFonts w:hint="eastAsia" w:hAnsi="宋体" w:cs="宋体"/>
          <w:color w:val="000000" w:themeColor="text1"/>
          <w:spacing w:val="2"/>
          <w:sz w:val="21"/>
          <w:szCs w:val="21"/>
          <w:highlight w:val="none"/>
          <w14:textFill>
            <w14:solidFill>
              <w14:schemeClr w14:val="tx1"/>
            </w14:solidFill>
          </w14:textFill>
        </w:rPr>
        <w:t>过</w:t>
      </w:r>
      <w:r>
        <w:rPr>
          <w:rFonts w:hint="eastAsia" w:hAnsi="宋体" w:cs="宋体"/>
          <w:color w:val="000000" w:themeColor="text1"/>
          <w:spacing w:val="2"/>
          <w:sz w:val="21"/>
          <w:szCs w:val="21"/>
          <w:highlight w:val="none"/>
          <w:u w:val="single"/>
          <w14:textFill>
            <w14:solidFill>
              <w14:schemeClr w14:val="tx1"/>
            </w14:solidFill>
          </w14:textFill>
        </w:rPr>
        <w:t>120</w:t>
      </w:r>
      <w:r>
        <w:rPr>
          <w:rFonts w:hint="eastAsia" w:hAnsi="宋体" w:cs="宋体"/>
          <w:color w:val="000000" w:themeColor="text1"/>
          <w:spacing w:val="2"/>
          <w:sz w:val="21"/>
          <w:szCs w:val="21"/>
          <w:highlight w:val="none"/>
          <w14:textFill>
            <w14:solidFill>
              <w14:schemeClr w14:val="tx1"/>
            </w14:solidFill>
          </w14:textFill>
        </w:rPr>
        <w:t>天对方有权解除合同，违约方承担因此给对方造成经济损失</w:t>
      </w:r>
      <w:r>
        <w:rPr>
          <w:rFonts w:hint="eastAsia" w:hAnsi="宋体" w:cs="宋体"/>
          <w:color w:val="000000" w:themeColor="text1"/>
          <w:spacing w:val="-9"/>
          <w:sz w:val="21"/>
          <w:szCs w:val="21"/>
          <w:highlight w:val="none"/>
          <w14:textFill>
            <w14:solidFill>
              <w14:schemeClr w14:val="tx1"/>
            </w14:solidFill>
          </w14:textFill>
        </w:rPr>
        <w:t>甲方延期付货款的，每天向乙方偿付延期货款额</w:t>
      </w:r>
      <w:r>
        <w:rPr>
          <w:rFonts w:hint="eastAsia" w:hAnsi="宋体" w:cs="宋体"/>
          <w:color w:val="000000" w:themeColor="text1"/>
          <w:spacing w:val="-117"/>
          <w:sz w:val="21"/>
          <w:szCs w:val="21"/>
          <w:highlight w:val="none"/>
          <w14:textFill>
            <w14:solidFill>
              <w14:schemeClr w14:val="tx1"/>
            </w14:solidFill>
          </w14:textFill>
        </w:rPr>
        <w:t xml:space="preserve"> </w:t>
      </w:r>
      <w:r>
        <w:rPr>
          <w:rFonts w:hint="eastAsia" w:hAnsi="宋体" w:cs="宋体"/>
          <w:color w:val="000000" w:themeColor="text1"/>
          <w:spacing w:val="-124"/>
          <w:sz w:val="21"/>
          <w:szCs w:val="21"/>
          <w:highlight w:val="none"/>
          <w:u w:val="single"/>
          <w14:textFill>
            <w14:solidFill>
              <w14:schemeClr w14:val="tx1"/>
            </w14:solidFill>
          </w14:textFill>
        </w:rPr>
        <w:t xml:space="preserve"> </w:t>
      </w:r>
      <w:r>
        <w:rPr>
          <w:rFonts w:hint="eastAsia" w:hAnsi="宋体" w:cs="宋体"/>
          <w:color w:val="000000" w:themeColor="text1"/>
          <w:spacing w:val="-9"/>
          <w:sz w:val="21"/>
          <w:szCs w:val="21"/>
          <w:highlight w:val="none"/>
          <w:u w:val="single"/>
          <w14:textFill>
            <w14:solidFill>
              <w14:schemeClr w14:val="tx1"/>
            </w14:solidFill>
          </w14:textFill>
        </w:rPr>
        <w:t>3</w:t>
      </w:r>
      <w:r>
        <w:rPr>
          <w:rFonts w:ascii="Arial" w:hAnsi="Arial" w:cs="Arial"/>
          <w:color w:val="000000" w:themeColor="text1"/>
          <w:spacing w:val="-9"/>
          <w:sz w:val="21"/>
          <w:szCs w:val="21"/>
          <w:highlight w:val="none"/>
          <w:u w:val="single"/>
          <w14:textFill>
            <w14:solidFill>
              <w14:schemeClr w14:val="tx1"/>
            </w14:solidFill>
          </w14:textFill>
        </w:rPr>
        <w:t>‰</w:t>
      </w:r>
      <w:r>
        <w:rPr>
          <w:rFonts w:hint="eastAsia" w:hAnsi="宋体" w:cs="宋体"/>
          <w:color w:val="000000" w:themeColor="text1"/>
          <w:spacing w:val="-9"/>
          <w:sz w:val="21"/>
          <w:szCs w:val="21"/>
          <w:highlight w:val="none"/>
          <w:u w:val="single"/>
          <w14:textFill>
            <w14:solidFill>
              <w14:schemeClr w14:val="tx1"/>
            </w14:solidFill>
          </w14:textFill>
        </w:rPr>
        <w:t xml:space="preserve"> </w:t>
      </w:r>
      <w:r>
        <w:rPr>
          <w:rFonts w:hint="eastAsia" w:hAnsi="宋体" w:cs="宋体"/>
          <w:color w:val="000000" w:themeColor="text1"/>
          <w:spacing w:val="-9"/>
          <w:sz w:val="21"/>
          <w:szCs w:val="21"/>
          <w:highlight w:val="none"/>
          <w14:textFill>
            <w14:solidFill>
              <w14:schemeClr w14:val="tx1"/>
            </w14:solidFill>
          </w14:textFill>
        </w:rPr>
        <w:t>滞纳金，但滞纳</w:t>
      </w:r>
      <w:r>
        <w:rPr>
          <w:rFonts w:hint="eastAsia" w:hAnsi="宋体" w:cs="宋体"/>
          <w:color w:val="000000" w:themeColor="text1"/>
          <w:spacing w:val="1"/>
          <w:sz w:val="21"/>
          <w:szCs w:val="21"/>
          <w:highlight w:val="none"/>
          <w14:textFill>
            <w14:solidFill>
              <w14:schemeClr w14:val="tx1"/>
            </w14:solidFill>
          </w14:textFill>
        </w:rPr>
        <w:t xml:space="preserve"> </w:t>
      </w:r>
      <w:r>
        <w:rPr>
          <w:rFonts w:hint="eastAsia" w:hAnsi="宋体" w:cs="宋体"/>
          <w:color w:val="000000" w:themeColor="text1"/>
          <w:spacing w:val="-4"/>
          <w:sz w:val="21"/>
          <w:szCs w:val="21"/>
          <w:highlight w:val="none"/>
          <w14:textFill>
            <w14:solidFill>
              <w14:schemeClr w14:val="tx1"/>
            </w14:solidFill>
          </w14:textFill>
        </w:rPr>
        <w:t>金累计不得超过延期货款额</w:t>
      </w:r>
      <w:r>
        <w:rPr>
          <w:rFonts w:hint="eastAsia" w:hAnsi="宋体" w:cs="宋体"/>
          <w:color w:val="000000" w:themeColor="text1"/>
          <w:spacing w:val="-104"/>
          <w:sz w:val="21"/>
          <w:szCs w:val="21"/>
          <w:highlight w:val="none"/>
          <w14:textFill>
            <w14:solidFill>
              <w14:schemeClr w14:val="tx1"/>
            </w14:solidFill>
          </w14:textFill>
        </w:rPr>
        <w:t xml:space="preserve"> </w:t>
      </w:r>
      <w:r>
        <w:rPr>
          <w:rFonts w:hint="eastAsia" w:hAnsi="宋体" w:cs="宋体"/>
          <w:color w:val="000000" w:themeColor="text1"/>
          <w:spacing w:val="-124"/>
          <w:sz w:val="21"/>
          <w:szCs w:val="21"/>
          <w:highlight w:val="none"/>
          <w:u w:val="single"/>
          <w14:textFill>
            <w14:solidFill>
              <w14:schemeClr w14:val="tx1"/>
            </w14:solidFill>
          </w14:textFill>
        </w:rPr>
        <w:t xml:space="preserve"> </w:t>
      </w:r>
      <w:r>
        <w:rPr>
          <w:rFonts w:hint="eastAsia" w:hAnsi="宋体" w:cs="宋体"/>
          <w:color w:val="000000" w:themeColor="text1"/>
          <w:spacing w:val="-4"/>
          <w:sz w:val="21"/>
          <w:szCs w:val="21"/>
          <w:highlight w:val="none"/>
          <w:u w:val="single"/>
          <w14:textFill>
            <w14:solidFill>
              <w14:schemeClr w14:val="tx1"/>
            </w14:solidFill>
          </w14:textFill>
        </w:rPr>
        <w:t>5%</w:t>
      </w:r>
      <w:r>
        <w:rPr>
          <w:rFonts w:hint="eastAsia" w:hAnsi="宋体" w:cs="宋体"/>
          <w:color w:val="000000" w:themeColor="text1"/>
          <w:spacing w:val="-4"/>
          <w:sz w:val="21"/>
          <w:szCs w:val="21"/>
          <w:highlight w:val="none"/>
          <w14:textFill>
            <w14:solidFill>
              <w14:schemeClr w14:val="tx1"/>
            </w14:solidFill>
          </w14:textFill>
        </w:rPr>
        <w:t>。</w:t>
      </w:r>
    </w:p>
    <w:p>
      <w:pPr>
        <w:pStyle w:val="16"/>
        <w:spacing w:after="0" w:line="360" w:lineRule="exact"/>
        <w:ind w:firstLine="416"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5.乙方未按本合同和响应文件中规定的服务承诺提供售后服务</w:t>
      </w:r>
      <w:r>
        <w:rPr>
          <w:rFonts w:hint="eastAsia" w:hAnsi="宋体" w:cs="宋体"/>
          <w:color w:val="000000" w:themeColor="text1"/>
          <w:spacing w:val="6"/>
          <w:sz w:val="21"/>
          <w:szCs w:val="21"/>
          <w:highlight w:val="none"/>
          <w14:textFill>
            <w14:solidFill>
              <w14:schemeClr w14:val="tx1"/>
            </w14:solidFill>
          </w14:textFill>
        </w:rPr>
        <w:t>的，乙方应按本合同合计金额5%向甲方支付违约金。</w:t>
      </w:r>
    </w:p>
    <w:p>
      <w:pPr>
        <w:pStyle w:val="16"/>
        <w:spacing w:after="0" w:line="360" w:lineRule="exact"/>
        <w:ind w:firstLine="424"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6.乙方提供的货物在质量保证期内，因设</w:t>
      </w:r>
      <w:r>
        <w:rPr>
          <w:rFonts w:hint="eastAsia" w:hAnsi="宋体" w:cs="宋体"/>
          <w:color w:val="000000" w:themeColor="text1"/>
          <w:sz w:val="21"/>
          <w:szCs w:val="21"/>
          <w:highlight w:val="none"/>
          <w14:textFill>
            <w14:solidFill>
              <w14:schemeClr w14:val="tx1"/>
            </w14:solidFill>
          </w14:textFill>
        </w:rPr>
        <w:t>计、工艺或材料的缺</w:t>
      </w:r>
      <w:r>
        <w:rPr>
          <w:rFonts w:hint="eastAsia" w:hAnsi="宋体" w:cs="宋体"/>
          <w:color w:val="000000" w:themeColor="text1"/>
          <w:spacing w:val="-4"/>
          <w:sz w:val="21"/>
          <w:szCs w:val="21"/>
          <w:highlight w:val="none"/>
          <w14:textFill>
            <w14:solidFill>
              <w14:schemeClr w14:val="tx1"/>
            </w14:solidFill>
          </w14:textFill>
        </w:rPr>
        <w:t>陷和其它质量原因造成的问题，由乙方负责，费用</w:t>
      </w:r>
      <w:r>
        <w:rPr>
          <w:rFonts w:hint="eastAsia" w:hAnsi="宋体" w:cs="宋体"/>
          <w:color w:val="000000" w:themeColor="text1"/>
          <w:spacing w:val="-5"/>
          <w:sz w:val="21"/>
          <w:szCs w:val="21"/>
          <w:highlight w:val="none"/>
          <w14:textFill>
            <w14:solidFill>
              <w14:schemeClr w14:val="tx1"/>
            </w14:solidFill>
          </w14:textFill>
        </w:rPr>
        <w:t>从履约保证金中扣</w:t>
      </w:r>
      <w:r>
        <w:rPr>
          <w:rFonts w:hint="eastAsia" w:hAnsi="宋体" w:cs="宋体"/>
          <w:color w:val="000000" w:themeColor="text1"/>
          <w:spacing w:val="-9"/>
          <w:sz w:val="21"/>
          <w:szCs w:val="21"/>
          <w:highlight w:val="none"/>
          <w14:textFill>
            <w14:solidFill>
              <w14:schemeClr w14:val="tx1"/>
            </w14:solidFill>
          </w14:textFill>
        </w:rPr>
        <w:t>除，不足另补。</w:t>
      </w:r>
    </w:p>
    <w:p>
      <w:pPr>
        <w:pStyle w:val="16"/>
        <w:spacing w:after="0" w:line="360" w:lineRule="exact"/>
        <w:ind w:firstLine="436" w:firstLineChars="200"/>
        <w:jc w:val="both"/>
        <w:rPr>
          <w:rFonts w:hint="eastAsia" w:hAnsi="宋体" w:cs="宋体"/>
          <w:color w:val="000000" w:themeColor="text1"/>
          <w:spacing w:val="9"/>
          <w:sz w:val="21"/>
          <w:szCs w:val="21"/>
          <w:highlight w:val="none"/>
          <w14:textFill>
            <w14:solidFill>
              <w14:schemeClr w14:val="tx1"/>
            </w14:solidFill>
          </w14:textFill>
        </w:rPr>
      </w:pPr>
      <w:r>
        <w:rPr>
          <w:rFonts w:hint="eastAsia" w:hAnsi="宋体" w:cs="宋体"/>
          <w:color w:val="000000" w:themeColor="text1"/>
          <w:spacing w:val="4"/>
          <w:sz w:val="21"/>
          <w:szCs w:val="21"/>
          <w:highlight w:val="none"/>
          <w14:textFill>
            <w14:solidFill>
              <w14:schemeClr w14:val="tx1"/>
            </w14:solidFill>
          </w14:textFill>
        </w:rPr>
        <w:t>7.其它违约行为按违约货款额5%收取违约金并赔偿经济损失。</w:t>
      </w:r>
      <w:r>
        <w:rPr>
          <w:rFonts w:hint="eastAsia" w:hAnsi="宋体" w:cs="宋体"/>
          <w:color w:val="000000" w:themeColor="text1"/>
          <w:spacing w:val="9"/>
          <w:sz w:val="21"/>
          <w:szCs w:val="21"/>
          <w:highlight w:val="none"/>
          <w14:textFill>
            <w14:solidFill>
              <w14:schemeClr w14:val="tx1"/>
            </w14:solidFill>
          </w14:textFill>
        </w:rPr>
        <w:t xml:space="preserve"> </w:t>
      </w:r>
    </w:p>
    <w:p>
      <w:pPr>
        <w:pStyle w:val="16"/>
        <w:spacing w:after="0" w:line="360" w:lineRule="exact"/>
        <w:ind w:firstLine="432" w:firstLineChars="200"/>
        <w:jc w:val="both"/>
        <w:rPr>
          <w:rFonts w:hint="eastAsia" w:hAnsi="宋体" w:cs="宋体"/>
          <w:color w:val="000000" w:themeColor="text1"/>
          <w:spacing w:val="3"/>
          <w:sz w:val="21"/>
          <w:szCs w:val="21"/>
          <w:highlight w:val="none"/>
          <w14:textFill>
            <w14:solidFill>
              <w14:schemeClr w14:val="tx1"/>
            </w14:solidFill>
          </w14:textFill>
        </w:rPr>
      </w:pPr>
      <w:r>
        <w:rPr>
          <w:rFonts w:hint="eastAsia" w:hAnsi="宋体" w:cs="宋体"/>
          <w:color w:val="000000" w:themeColor="text1"/>
          <w:spacing w:val="3"/>
          <w:sz w:val="21"/>
          <w:szCs w:val="21"/>
          <w:highlight w:val="none"/>
          <w14:textFill>
            <w14:solidFill>
              <w14:schemeClr w14:val="tx1"/>
            </w14:solidFill>
          </w14:textFill>
        </w:rPr>
        <w:t>8.</w:t>
      </w:r>
      <w:r>
        <w:rPr>
          <w:rFonts w:hint="eastAsia" w:hAnsi="宋体" w:cs="宋体"/>
          <w:color w:val="000000" w:themeColor="text1"/>
          <w:spacing w:val="-31"/>
          <w:sz w:val="21"/>
          <w:szCs w:val="21"/>
          <w:highlight w:val="none"/>
          <w14:textFill>
            <w14:solidFill>
              <w14:schemeClr w14:val="tx1"/>
            </w14:solidFill>
          </w14:textFill>
        </w:rPr>
        <w:t xml:space="preserve"> </w:t>
      </w:r>
      <w:r>
        <w:rPr>
          <w:rFonts w:hint="eastAsia" w:hAnsi="宋体" w:cs="宋体"/>
          <w:color w:val="000000" w:themeColor="text1"/>
          <w:spacing w:val="3"/>
          <w:sz w:val="21"/>
          <w:szCs w:val="21"/>
          <w:highlight w:val="none"/>
          <w14:textFill>
            <w14:solidFill>
              <w14:schemeClr w14:val="tx1"/>
            </w14:solidFill>
          </w14:textFill>
        </w:rPr>
        <w:t>甲乙双方最高罚款总额应不超过货款总额5%。</w:t>
      </w:r>
    </w:p>
    <w:p>
      <w:pPr>
        <w:pStyle w:val="16"/>
        <w:spacing w:after="0" w:line="360" w:lineRule="exact"/>
        <w:ind w:firstLine="424" w:firstLineChars="200"/>
        <w:jc w:val="both"/>
        <w:rPr>
          <w:rFonts w:hint="eastAsia" w:hAnsi="宋体" w:cs="宋体"/>
          <w:color w:val="000000" w:themeColor="text1"/>
          <w:spacing w:val="3"/>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9.合同一方违约，另一方为主张权利而支付的费用（包括但不限于诉讼费、律师费、公告费等），由违约方承担。</w:t>
      </w:r>
    </w:p>
    <w:p>
      <w:pPr>
        <w:pStyle w:val="16"/>
        <w:spacing w:after="0" w:line="360" w:lineRule="exact"/>
        <w:ind w:firstLine="422" w:firstLineChars="200"/>
        <w:jc w:val="both"/>
        <w:rPr>
          <w:rFonts w:hint="eastAsia" w:hAnsi="宋体"/>
          <w:b/>
          <w:bCs/>
          <w:color w:val="000000" w:themeColor="text1"/>
          <w:kern w:val="2"/>
          <w:sz w:val="21"/>
          <w:szCs w:val="21"/>
          <w:highlight w:val="none"/>
          <w14:textFill>
            <w14:solidFill>
              <w14:schemeClr w14:val="tx1"/>
            </w14:solidFill>
          </w14:textFill>
        </w:rPr>
      </w:pPr>
      <w:r>
        <w:rPr>
          <w:rFonts w:hint="eastAsia" w:hAnsi="宋体"/>
          <w:b/>
          <w:bCs/>
          <w:color w:val="000000" w:themeColor="text1"/>
          <w:kern w:val="2"/>
          <w:sz w:val="21"/>
          <w:szCs w:val="21"/>
          <w:highlight w:val="none"/>
          <w14:textFill>
            <w14:solidFill>
              <w14:schemeClr w14:val="tx1"/>
            </w14:solidFill>
          </w14:textFill>
        </w:rPr>
        <w:t>第十五条  不可抗力事件处理</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 在合同有效期内，任何一方因不可抗力事件导致不能履行合同，则合同履行期可延长，其延长期与不可抗力影响期相同。</w:t>
      </w:r>
    </w:p>
    <w:p>
      <w:pPr>
        <w:pStyle w:val="16"/>
        <w:spacing w:after="0" w:line="360" w:lineRule="exact"/>
        <w:ind w:firstLine="420" w:firstLineChars="200"/>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 不可抗力事件发生后，应立即通知对方，并寄送有关权威机构 出具的证明。</w:t>
      </w:r>
    </w:p>
    <w:p>
      <w:pPr>
        <w:pStyle w:val="16"/>
        <w:spacing w:after="0" w:line="360" w:lineRule="exact"/>
        <w:ind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 xml:space="preserve">3. </w:t>
      </w:r>
      <w:r>
        <w:rPr>
          <w:rFonts w:hint="eastAsia" w:hAnsi="宋体" w:cs="宋体"/>
          <w:color w:val="000000" w:themeColor="text1"/>
          <w:spacing w:val="-7"/>
          <w:sz w:val="21"/>
          <w:szCs w:val="21"/>
          <w:highlight w:val="none"/>
          <w14:textFill>
            <w14:solidFill>
              <w14:schemeClr w14:val="tx1"/>
            </w14:solidFill>
          </w14:textFill>
        </w:rPr>
        <w:t>不可抗力事件延续一百二十天以上，双方应通过友好协商，确</w:t>
      </w:r>
      <w:r>
        <w:rPr>
          <w:rFonts w:hint="eastAsia" w:hAnsi="宋体" w:cs="宋体"/>
          <w:color w:val="000000" w:themeColor="text1"/>
          <w:spacing w:val="-6"/>
          <w:sz w:val="21"/>
          <w:szCs w:val="21"/>
          <w:highlight w:val="none"/>
          <w14:textFill>
            <w14:solidFill>
              <w14:schemeClr w14:val="tx1"/>
            </w14:solidFill>
          </w14:textFill>
        </w:rPr>
        <w:t>定是否继续履行合同。</w:t>
      </w:r>
    </w:p>
    <w:p>
      <w:pPr>
        <w:pStyle w:val="16"/>
        <w:spacing w:after="0" w:line="360" w:lineRule="exact"/>
        <w:ind w:firstLine="398"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6"/>
          <w:sz w:val="21"/>
          <w:szCs w:val="21"/>
          <w:highlight w:val="none"/>
          <w14:textFill>
            <w14:solidFill>
              <w14:schemeClr w14:val="tx1"/>
            </w14:solidFill>
          </w14:textFill>
        </w:rPr>
        <w:t>第十六条</w:t>
      </w:r>
      <w:r>
        <w:rPr>
          <w:rFonts w:hint="eastAsia" w:hAnsi="宋体" w:cs="宋体"/>
          <w:color w:val="000000" w:themeColor="text1"/>
          <w:spacing w:val="-6"/>
          <w:sz w:val="21"/>
          <w:szCs w:val="21"/>
          <w:highlight w:val="none"/>
          <w14:textFill>
            <w14:solidFill>
              <w14:schemeClr w14:val="tx1"/>
            </w14:solidFill>
          </w14:textFill>
        </w:rPr>
        <w:t xml:space="preserve">  </w:t>
      </w:r>
      <w:r>
        <w:rPr>
          <w:rFonts w:hint="eastAsia" w:hAnsi="宋体" w:cs="宋体"/>
          <w:b/>
          <w:bCs/>
          <w:color w:val="000000" w:themeColor="text1"/>
          <w:spacing w:val="-6"/>
          <w:sz w:val="21"/>
          <w:szCs w:val="21"/>
          <w:highlight w:val="none"/>
          <w14:textFill>
            <w14:solidFill>
              <w14:schemeClr w14:val="tx1"/>
            </w14:solidFill>
          </w14:textFill>
        </w:rPr>
        <w:t>合同争议解决</w:t>
      </w:r>
    </w:p>
    <w:p>
      <w:pPr>
        <w:pStyle w:val="16"/>
        <w:spacing w:after="0" w:line="360" w:lineRule="exact"/>
        <w:ind w:firstLine="396"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6"/>
          <w:sz w:val="21"/>
          <w:szCs w:val="21"/>
          <w:highlight w:val="none"/>
          <w14:textFill>
            <w14:solidFill>
              <w14:schemeClr w14:val="tx1"/>
            </w14:solidFill>
          </w14:textFill>
        </w:rPr>
        <w:t>1.因货物质量问题发生争议的，应邀请国家认可的质量检测机构</w:t>
      </w:r>
      <w:r>
        <w:rPr>
          <w:rFonts w:hint="eastAsia" w:hAnsi="宋体" w:cs="宋体"/>
          <w:color w:val="000000" w:themeColor="text1"/>
          <w:spacing w:val="11"/>
          <w:sz w:val="21"/>
          <w:szCs w:val="21"/>
          <w:highlight w:val="none"/>
          <w14:textFill>
            <w14:solidFill>
              <w14:schemeClr w14:val="tx1"/>
            </w14:solidFill>
          </w14:textFill>
        </w:rPr>
        <w:t xml:space="preserve"> </w:t>
      </w:r>
      <w:r>
        <w:rPr>
          <w:rFonts w:hint="eastAsia" w:hAnsi="宋体" w:cs="宋体"/>
          <w:color w:val="000000" w:themeColor="text1"/>
          <w:spacing w:val="-5"/>
          <w:sz w:val="21"/>
          <w:szCs w:val="21"/>
          <w:highlight w:val="none"/>
          <w14:textFill>
            <w14:solidFill>
              <w14:schemeClr w14:val="tx1"/>
            </w14:solidFill>
          </w14:textFill>
        </w:rPr>
        <w:t>对货物质量进行鉴定。货物符合标准的，鉴定费由甲方承担；货物不</w:t>
      </w:r>
      <w:r>
        <w:rPr>
          <w:rFonts w:hint="eastAsia" w:hAnsi="宋体" w:cs="宋体"/>
          <w:color w:val="000000" w:themeColor="text1"/>
          <w:spacing w:val="-4"/>
          <w:sz w:val="21"/>
          <w:szCs w:val="21"/>
          <w:highlight w:val="none"/>
          <w14:textFill>
            <w14:solidFill>
              <w14:schemeClr w14:val="tx1"/>
            </w14:solidFill>
          </w14:textFill>
        </w:rPr>
        <w:t>符合标准的，鉴定费由乙方承担。</w:t>
      </w:r>
    </w:p>
    <w:p>
      <w:pPr>
        <w:pStyle w:val="16"/>
        <w:spacing w:after="0" w:line="360" w:lineRule="exact"/>
        <w:ind w:firstLine="404"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4"/>
          <w:sz w:val="21"/>
          <w:szCs w:val="21"/>
          <w:highlight w:val="none"/>
          <w14:textFill>
            <w14:solidFill>
              <w14:schemeClr w14:val="tx1"/>
            </w14:solidFill>
          </w14:textFill>
        </w:rPr>
        <w:t>2.因履行本合同引起的或与本合同有关的争议，甲乙双方应首先</w:t>
      </w:r>
      <w:r>
        <w:rPr>
          <w:rFonts w:hint="eastAsia" w:hAnsi="宋体" w:cs="宋体"/>
          <w:color w:val="000000" w:themeColor="text1"/>
          <w:spacing w:val="-5"/>
          <w:sz w:val="21"/>
          <w:szCs w:val="21"/>
          <w:highlight w:val="none"/>
          <w14:textFill>
            <w14:solidFill>
              <w14:schemeClr w14:val="tx1"/>
            </w14:solidFill>
          </w14:textFill>
        </w:rPr>
        <w:t>通过友好协商解决，如果协商不能解决，可向</w:t>
      </w:r>
      <w:r>
        <w:rPr>
          <w:rFonts w:hint="eastAsia" w:hAnsi="宋体" w:cs="宋体"/>
          <w:color w:val="000000" w:themeColor="text1"/>
          <w:spacing w:val="-5"/>
          <w:sz w:val="21"/>
          <w:szCs w:val="21"/>
          <w:highlight w:val="none"/>
          <w:lang w:val="en-US" w:eastAsia="zh-CN"/>
          <w14:textFill>
            <w14:solidFill>
              <w14:schemeClr w14:val="tx1"/>
            </w14:solidFill>
          </w14:textFill>
        </w:rPr>
        <w:t>甲方所在地</w:t>
      </w:r>
      <w:r>
        <w:rPr>
          <w:rFonts w:hint="eastAsia" w:hAnsi="宋体" w:cs="宋体"/>
          <w:color w:val="000000" w:themeColor="text1"/>
          <w:spacing w:val="-8"/>
          <w:sz w:val="21"/>
          <w:szCs w:val="21"/>
          <w:highlight w:val="none"/>
          <w14:textFill>
            <w14:solidFill>
              <w14:schemeClr w14:val="tx1"/>
            </w14:solidFill>
          </w14:textFill>
        </w:rPr>
        <w:t>人民法院提起诉讼。</w:t>
      </w:r>
    </w:p>
    <w:p>
      <w:pPr>
        <w:pStyle w:val="16"/>
        <w:spacing w:after="0" w:line="360" w:lineRule="exact"/>
        <w:ind w:firstLine="384"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9"/>
          <w:sz w:val="21"/>
          <w:szCs w:val="21"/>
          <w:highlight w:val="none"/>
          <w14:textFill>
            <w14:solidFill>
              <w14:schemeClr w14:val="tx1"/>
            </w14:solidFill>
          </w14:textFill>
        </w:rPr>
        <w:t>3.诉讼期间，本合同继续履行。</w:t>
      </w:r>
    </w:p>
    <w:p>
      <w:pPr>
        <w:pStyle w:val="16"/>
        <w:spacing w:after="0" w:line="360" w:lineRule="exact"/>
        <w:ind w:firstLine="40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5"/>
          <w:sz w:val="21"/>
          <w:szCs w:val="21"/>
          <w:highlight w:val="none"/>
          <w14:textFill>
            <w14:solidFill>
              <w14:schemeClr w14:val="tx1"/>
            </w14:solidFill>
          </w14:textFill>
        </w:rPr>
        <w:t>第十七条 合同生效及其它</w:t>
      </w:r>
    </w:p>
    <w:p>
      <w:pPr>
        <w:pStyle w:val="16"/>
        <w:spacing w:after="0" w:line="360" w:lineRule="exact"/>
        <w:ind w:firstLine="424" w:firstLineChars="200"/>
        <w:jc w:val="both"/>
        <w:rPr>
          <w:rFonts w:hint="eastAsia" w:hAnsi="宋体" w:cs="宋体"/>
          <w:color w:val="000000" w:themeColor="text1"/>
          <w:spacing w:val="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1. 合同经双方法定代表人(负责人)或授权代表(委托代理人)签字并加盖单位公章后生效。</w:t>
      </w:r>
    </w:p>
    <w:p>
      <w:pPr>
        <w:pStyle w:val="16"/>
        <w:spacing w:after="0" w:line="360" w:lineRule="exact"/>
        <w:ind w:firstLine="424" w:firstLineChars="200"/>
        <w:jc w:val="both"/>
        <w:rPr>
          <w:rFonts w:hint="eastAsia" w:hAnsi="宋体" w:cs="宋体"/>
          <w:color w:val="000000" w:themeColor="text1"/>
          <w:spacing w:val="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2. 合同执行中涉及采购资金和采购内容修改或补充的，须经广西区财政厅政府采购监督管理处审批，并签书面补充协议报广西区财政厅政府采购监督管理处备案，方可作为主合同不可分割的一部分。</w:t>
      </w:r>
    </w:p>
    <w:p>
      <w:pPr>
        <w:pStyle w:val="16"/>
        <w:spacing w:after="0" w:line="360" w:lineRule="exact"/>
        <w:ind w:firstLine="424" w:firstLineChars="200"/>
        <w:jc w:val="both"/>
        <w:rPr>
          <w:rFonts w:hint="eastAsia" w:hAnsi="宋体" w:cs="宋体"/>
          <w:color w:val="000000" w:themeColor="text1"/>
          <w:spacing w:val="-6"/>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3</w:t>
      </w:r>
      <w:r>
        <w:rPr>
          <w:rFonts w:hint="eastAsia" w:hAnsi="宋体" w:cs="宋体"/>
          <w:color w:val="000000" w:themeColor="text1"/>
          <w:spacing w:val="-6"/>
          <w:sz w:val="21"/>
          <w:szCs w:val="21"/>
          <w:highlight w:val="none"/>
          <w14:textFill>
            <w14:solidFill>
              <w14:schemeClr w14:val="tx1"/>
            </w14:solidFill>
          </w14:textFill>
        </w:rPr>
        <w:t>. 本合同未尽事宜，遵照《中华人民共和国民法典》有关条文执行。</w:t>
      </w:r>
    </w:p>
    <w:p>
      <w:pPr>
        <w:pStyle w:val="16"/>
        <w:spacing w:after="0" w:line="360" w:lineRule="exact"/>
        <w:ind w:firstLine="40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5"/>
          <w:sz w:val="21"/>
          <w:szCs w:val="21"/>
          <w:highlight w:val="none"/>
          <w14:textFill>
            <w14:solidFill>
              <w14:schemeClr w14:val="tx1"/>
            </w14:solidFill>
          </w14:textFill>
        </w:rPr>
        <w:t>第十八条 合同的变更、终止与转让</w:t>
      </w:r>
    </w:p>
    <w:p>
      <w:pPr>
        <w:pStyle w:val="16"/>
        <w:spacing w:after="0" w:line="360" w:lineRule="exact"/>
        <w:ind w:firstLine="404"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4"/>
          <w:sz w:val="21"/>
          <w:szCs w:val="21"/>
          <w:highlight w:val="none"/>
          <w14:textFill>
            <w14:solidFill>
              <w14:schemeClr w14:val="tx1"/>
            </w14:solidFill>
          </w14:textFill>
        </w:rPr>
        <w:t>1. 除《中华人民共和国政府采购法》第五十条规定的情形外，本合同一经签订，甲乙双方不得擅自变更、中止或终止。</w:t>
      </w:r>
    </w:p>
    <w:p>
      <w:pPr>
        <w:pStyle w:val="16"/>
        <w:spacing w:after="0" w:line="360" w:lineRule="exact"/>
        <w:ind w:firstLine="428"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2"/>
          <w:sz w:val="21"/>
          <w:szCs w:val="21"/>
          <w:highlight w:val="none"/>
          <w14:textFill>
            <w14:solidFill>
              <w14:schemeClr w14:val="tx1"/>
            </w14:solidFill>
          </w14:textFill>
        </w:rPr>
        <w:t>2.乙方不得擅自转让(无进口资格的供应商委</w:t>
      </w:r>
      <w:r>
        <w:rPr>
          <w:rFonts w:hint="eastAsia" w:hAnsi="宋体" w:cs="宋体"/>
          <w:color w:val="000000" w:themeColor="text1"/>
          <w:spacing w:val="1"/>
          <w:sz w:val="21"/>
          <w:szCs w:val="21"/>
          <w:highlight w:val="none"/>
          <w14:textFill>
            <w14:solidFill>
              <w14:schemeClr w14:val="tx1"/>
            </w14:solidFill>
          </w14:textFill>
        </w:rPr>
        <w:t>托进口货物除外)</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pacing w:val="-5"/>
          <w:sz w:val="21"/>
          <w:szCs w:val="21"/>
          <w:highlight w:val="none"/>
          <w14:textFill>
            <w14:solidFill>
              <w14:schemeClr w14:val="tx1"/>
            </w14:solidFill>
          </w14:textFill>
        </w:rPr>
        <w:t>其应履行的合同义务。</w:t>
      </w:r>
    </w:p>
    <w:p>
      <w:pPr>
        <w:pStyle w:val="16"/>
        <w:spacing w:after="0" w:line="360" w:lineRule="exact"/>
        <w:ind w:firstLine="398"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pacing w:val="-6"/>
          <w:sz w:val="21"/>
          <w:szCs w:val="21"/>
          <w:highlight w:val="none"/>
          <w14:textFill>
            <w14:solidFill>
              <w14:schemeClr w14:val="tx1"/>
            </w14:solidFill>
          </w14:textFill>
        </w:rPr>
        <w:t>第十九条</w:t>
      </w:r>
      <w:r>
        <w:rPr>
          <w:rFonts w:hint="eastAsia" w:hAnsi="宋体" w:cs="宋体"/>
          <w:color w:val="000000" w:themeColor="text1"/>
          <w:spacing w:val="-6"/>
          <w:sz w:val="21"/>
          <w:szCs w:val="21"/>
          <w:highlight w:val="none"/>
          <w14:textFill>
            <w14:solidFill>
              <w14:schemeClr w14:val="tx1"/>
            </w14:solidFill>
          </w14:textFill>
        </w:rPr>
        <w:t xml:space="preserve">  </w:t>
      </w:r>
      <w:r>
        <w:rPr>
          <w:rFonts w:hint="eastAsia" w:hAnsi="宋体" w:cs="宋体"/>
          <w:b/>
          <w:bCs/>
          <w:color w:val="000000" w:themeColor="text1"/>
          <w:spacing w:val="-6"/>
          <w:sz w:val="21"/>
          <w:szCs w:val="21"/>
          <w:highlight w:val="none"/>
          <w14:textFill>
            <w14:solidFill>
              <w14:schemeClr w14:val="tx1"/>
            </w14:solidFill>
          </w14:textFill>
        </w:rPr>
        <w:t>签订本合同依据</w:t>
      </w:r>
    </w:p>
    <w:p>
      <w:pPr>
        <w:pStyle w:val="16"/>
        <w:spacing w:after="0" w:line="360" w:lineRule="exact"/>
        <w:ind w:firstLine="424" w:firstLineChars="200"/>
        <w:jc w:val="both"/>
        <w:rPr>
          <w:rFonts w:hint="eastAsia" w:hAnsi="宋体" w:cs="宋体"/>
          <w:color w:val="000000" w:themeColor="text1"/>
          <w:spacing w:val="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1. 谈判文件；</w:t>
      </w:r>
    </w:p>
    <w:p>
      <w:pPr>
        <w:pStyle w:val="16"/>
        <w:spacing w:after="0" w:line="360" w:lineRule="exact"/>
        <w:ind w:firstLine="424" w:firstLineChars="200"/>
        <w:jc w:val="both"/>
        <w:rPr>
          <w:rFonts w:hint="eastAsia" w:hAnsi="宋体" w:cs="宋体"/>
          <w:color w:val="000000" w:themeColor="text1"/>
          <w:spacing w:val="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2. 乙方提供的响应文件；</w:t>
      </w:r>
    </w:p>
    <w:p>
      <w:pPr>
        <w:pStyle w:val="16"/>
        <w:spacing w:after="0" w:line="360" w:lineRule="exact"/>
        <w:ind w:firstLine="424" w:firstLineChars="200"/>
        <w:jc w:val="both"/>
        <w:rPr>
          <w:rFonts w:hint="eastAsia" w:hAnsi="宋体" w:cs="宋体"/>
          <w:color w:val="000000" w:themeColor="text1"/>
          <w:spacing w:val="1"/>
          <w:sz w:val="21"/>
          <w:szCs w:val="21"/>
          <w:highlight w:val="none"/>
          <w14:textFill>
            <w14:solidFill>
              <w14:schemeClr w14:val="tx1"/>
            </w14:solidFill>
          </w14:textFill>
        </w:rPr>
      </w:pPr>
      <w:r>
        <w:rPr>
          <w:rFonts w:hint="eastAsia" w:hAnsi="宋体" w:cs="宋体"/>
          <w:color w:val="000000" w:themeColor="text1"/>
          <w:spacing w:val="1"/>
          <w:sz w:val="21"/>
          <w:szCs w:val="21"/>
          <w:highlight w:val="none"/>
          <w14:textFill>
            <w14:solidFill>
              <w14:schemeClr w14:val="tx1"/>
            </w14:solidFill>
          </w14:textFill>
        </w:rPr>
        <w:t>3. 谈判书；</w:t>
      </w:r>
    </w:p>
    <w:p>
      <w:pPr>
        <w:pStyle w:val="16"/>
        <w:spacing w:after="0" w:line="360" w:lineRule="exact"/>
        <w:ind w:firstLine="404" w:firstLineChars="200"/>
        <w:jc w:val="both"/>
        <w:rPr>
          <w:rFonts w:hint="eastAsia" w:hAnsi="宋体" w:cs="宋体"/>
          <w:color w:val="000000" w:themeColor="text1"/>
          <w:spacing w:val="-4"/>
          <w:sz w:val="21"/>
          <w:szCs w:val="21"/>
          <w:highlight w:val="none"/>
          <w14:textFill>
            <w14:solidFill>
              <w14:schemeClr w14:val="tx1"/>
            </w14:solidFill>
          </w14:textFill>
        </w:rPr>
      </w:pPr>
      <w:r>
        <w:rPr>
          <w:rFonts w:hint="eastAsia" w:hAnsi="宋体" w:cs="宋体"/>
          <w:color w:val="000000" w:themeColor="text1"/>
          <w:spacing w:val="-4"/>
          <w:sz w:val="21"/>
          <w:szCs w:val="21"/>
          <w:highlight w:val="none"/>
          <w14:textFill>
            <w14:solidFill>
              <w14:schemeClr w14:val="tx1"/>
            </w14:solidFill>
          </w14:textFill>
        </w:rPr>
        <w:t>4. 成交通知书。</w:t>
      </w:r>
    </w:p>
    <w:p>
      <w:pPr>
        <w:pStyle w:val="16"/>
        <w:spacing w:after="0" w:line="360" w:lineRule="exact"/>
        <w:ind w:firstLine="406" w:firstLineChars="200"/>
        <w:jc w:val="both"/>
        <w:rPr>
          <w:rFonts w:hint="eastAsia" w:hAnsi="宋体"/>
          <w:color w:val="000000" w:themeColor="text1"/>
          <w:sz w:val="21"/>
          <w:szCs w:val="21"/>
          <w:highlight w:val="none"/>
          <w14:textFill>
            <w14:solidFill>
              <w14:schemeClr w14:val="tx1"/>
            </w14:solidFill>
          </w14:textFill>
        </w:rPr>
      </w:pPr>
      <w:r>
        <w:rPr>
          <w:rFonts w:hint="eastAsia" w:hAnsi="宋体" w:cs="宋体"/>
          <w:b/>
          <w:bCs/>
          <w:color w:val="000000" w:themeColor="text1"/>
          <w:spacing w:val="-4"/>
          <w:sz w:val="21"/>
          <w:szCs w:val="21"/>
          <w:highlight w:val="none"/>
          <w14:textFill>
            <w14:solidFill>
              <w14:schemeClr w14:val="tx1"/>
            </w14:solidFill>
          </w14:textFill>
        </w:rPr>
        <w:t>第二</w:t>
      </w:r>
      <w:r>
        <w:rPr>
          <w:rFonts w:hint="eastAsia" w:hAnsi="宋体"/>
          <w:b/>
          <w:bCs/>
          <w:color w:val="000000" w:themeColor="text1"/>
          <w:sz w:val="21"/>
          <w:szCs w:val="21"/>
          <w:highlight w:val="none"/>
          <w14:textFill>
            <w14:solidFill>
              <w14:schemeClr w14:val="tx1"/>
            </w14:solidFill>
          </w14:textFill>
        </w:rPr>
        <w:t>十条</w:t>
      </w:r>
      <w:r>
        <w:rPr>
          <w:rFonts w:hint="eastAsia" w:hAnsi="宋体"/>
          <w:b/>
          <w:color w:val="000000" w:themeColor="text1"/>
          <w:sz w:val="21"/>
          <w:szCs w:val="21"/>
          <w:highlight w:val="none"/>
          <w14:textFill>
            <w14:solidFill>
              <w14:schemeClr w14:val="tx1"/>
            </w14:solidFill>
          </w14:textFill>
        </w:rPr>
        <w:t>　</w:t>
      </w:r>
      <w:r>
        <w:rPr>
          <w:rFonts w:hint="eastAsia" w:hAnsi="宋体"/>
          <w:color w:val="000000" w:themeColor="text1"/>
          <w:sz w:val="21"/>
          <w:szCs w:val="21"/>
          <w:highlight w:val="none"/>
          <w14:textFill>
            <w14:solidFill>
              <w14:schemeClr w14:val="tx1"/>
            </w14:solidFill>
          </w14:textFill>
        </w:rPr>
        <w:t>本合同一式</w:t>
      </w:r>
      <w:r>
        <w:rPr>
          <w:rFonts w:hint="eastAsia" w:hAnsi="宋体"/>
          <w:color w:val="000000" w:themeColor="text1"/>
          <w:sz w:val="21"/>
          <w:szCs w:val="21"/>
          <w:highlight w:val="none"/>
          <w:u w:val="single"/>
          <w14:textFill>
            <w14:solidFill>
              <w14:schemeClr w14:val="tx1"/>
            </w14:solidFill>
          </w14:textFill>
        </w:rPr>
        <w:t xml:space="preserve">  陆  </w:t>
      </w:r>
      <w:r>
        <w:rPr>
          <w:rFonts w:hint="eastAsia" w:hAnsi="宋体"/>
          <w:color w:val="000000" w:themeColor="text1"/>
          <w:sz w:val="21"/>
          <w:szCs w:val="21"/>
          <w:highlight w:val="none"/>
          <w14:textFill>
            <w14:solidFill>
              <w14:schemeClr w14:val="tx1"/>
            </w14:solidFill>
          </w14:textFill>
        </w:rPr>
        <w:t>份，具有同等法律效力，采购代理单位、政府采购监管部门各一份，甲乙双方各</w:t>
      </w:r>
      <w:r>
        <w:rPr>
          <w:rFonts w:hint="eastAsia" w:hAnsi="宋体"/>
          <w:color w:val="000000" w:themeColor="text1"/>
          <w:sz w:val="21"/>
          <w:szCs w:val="21"/>
          <w:highlight w:val="none"/>
          <w:u w:val="single"/>
          <w14:textFill>
            <w14:solidFill>
              <w14:schemeClr w14:val="tx1"/>
            </w14:solidFill>
          </w14:textFill>
        </w:rPr>
        <w:t xml:space="preserve">  贰 </w:t>
      </w:r>
      <w:r>
        <w:rPr>
          <w:rFonts w:hint="eastAsia" w:hAnsi="宋体"/>
          <w:color w:val="000000" w:themeColor="text1"/>
          <w:sz w:val="21"/>
          <w:szCs w:val="21"/>
          <w:highlight w:val="none"/>
          <w14:textFill>
            <w14:solidFill>
              <w14:schemeClr w14:val="tx1"/>
            </w14:solidFill>
          </w14:textFill>
        </w:rPr>
        <w:t>份。</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甲方（章）           </w:t>
            </w:r>
          </w:p>
          <w:p>
            <w:pPr>
              <w:snapToGrid w:val="0"/>
              <w:spacing w:line="360" w:lineRule="exact"/>
              <w:ind w:firstLine="945" w:firstLineChars="450"/>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乙方（章）              </w:t>
            </w:r>
          </w:p>
          <w:p>
            <w:pPr>
              <w:snapToGrid w:val="0"/>
              <w:spacing w:line="360" w:lineRule="exact"/>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经办人：</w:t>
            </w:r>
          </w:p>
          <w:p>
            <w:pPr>
              <w:snapToGrid w:val="0"/>
              <w:spacing w:line="360" w:lineRule="exact"/>
              <w:ind w:firstLine="630" w:firstLineChars="300"/>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tc>
      </w:tr>
    </w:tbl>
    <w:p>
      <w:pPr>
        <w:snapToGrid w:val="0"/>
        <w:spacing w:line="360" w:lineRule="exact"/>
        <w:rPr>
          <w:rFonts w:hint="eastAsia" w:ascii="宋体" w:hAnsi="宋体"/>
          <w:b/>
          <w:color w:val="000000" w:themeColor="text1"/>
          <w:sz w:val="28"/>
          <w:szCs w:val="28"/>
          <w:highlight w:val="none"/>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highlight w:val="none"/>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highlight w:val="none"/>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highlight w:val="none"/>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highlight w:val="none"/>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highlight w:val="none"/>
          <w14:textFill>
            <w14:solidFill>
              <w14:schemeClr w14:val="tx1"/>
            </w14:solidFill>
          </w14:textFill>
        </w:rPr>
      </w:pPr>
    </w:p>
    <w:p>
      <w:pPr>
        <w:pStyle w:val="136"/>
        <w:adjustRightInd w:val="0"/>
        <w:spacing w:line="360" w:lineRule="exact"/>
        <w:ind w:right="408"/>
        <w:jc w:val="left"/>
        <w:rPr>
          <w:rFonts w:hint="eastAsia" w:ascii="宋体" w:hAnsi="宋体" w:cs="宋体"/>
          <w:b/>
          <w:color w:val="000000" w:themeColor="text1"/>
          <w:szCs w:val="21"/>
          <w:highlight w:val="none"/>
          <w14:textFill>
            <w14:solidFill>
              <w14:schemeClr w14:val="tx1"/>
            </w14:solidFill>
          </w14:textFill>
        </w:rPr>
      </w:pPr>
    </w:p>
    <w:bookmarkEnd w:id="21"/>
    <w:bookmarkEnd w:id="22"/>
    <w:bookmarkEnd w:id="23"/>
    <w:bookmarkEnd w:id="24"/>
    <w:bookmarkEnd w:id="25"/>
    <w:bookmarkEnd w:id="26"/>
    <w:bookmarkEnd w:id="27"/>
    <w:bookmarkEnd w:id="28"/>
    <w:bookmarkEnd w:id="29"/>
    <w:bookmarkEnd w:id="30"/>
    <w:bookmarkEnd w:id="37"/>
    <w:p>
      <w:pPr>
        <w:pStyle w:val="2"/>
        <w:rPr>
          <w:rFonts w:hint="eastAsia" w:ascii="宋体" w:hAnsi="宋体"/>
          <w:color w:val="000000" w:themeColor="text1"/>
          <w:highlight w:val="none"/>
          <w14:textFill>
            <w14:solidFill>
              <w14:schemeClr w14:val="tx1"/>
            </w14:solidFill>
          </w14:textFill>
        </w:rPr>
      </w:pPr>
      <w:bookmarkStart w:id="38" w:name="_Toc22601"/>
      <w:r>
        <w:rPr>
          <w:rFonts w:hint="eastAsia" w:ascii="宋体" w:hAnsi="宋体"/>
          <w:color w:val="000000" w:themeColor="text1"/>
          <w:highlight w:val="none"/>
          <w14:textFill>
            <w14:solidFill>
              <w14:schemeClr w14:val="tx1"/>
            </w14:solidFill>
          </w14:textFill>
        </w:rPr>
        <w:t>第六章 评审办法</w:t>
      </w:r>
      <w:bookmarkEnd w:id="38"/>
    </w:p>
    <w:p>
      <w:pPr>
        <w:spacing w:line="36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一、评审原则</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（一）谈判小组的构成：本采购项目的谈判小组分别由评审专家、采购人代表等三人以上单数组成，其中技术、经济专家人数不少于成员总数的三分之二。</w:t>
      </w:r>
      <w:r>
        <w:rPr>
          <w:rFonts w:hint="eastAsia" w:ascii="宋体" w:hAnsi="宋体" w:cs="宋体"/>
          <w:color w:val="000000" w:themeColor="text1"/>
          <w:szCs w:val="21"/>
          <w:highlight w:val="none"/>
          <w14:textFill>
            <w14:solidFill>
              <w14:schemeClr w14:val="tx1"/>
            </w14:solidFill>
          </w14:textFill>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（二）评审依据：</w:t>
      </w:r>
    </w:p>
    <w:p>
      <w:pPr>
        <w:pStyle w:val="20"/>
        <w:spacing w:line="380" w:lineRule="exact"/>
        <w:ind w:firstLine="420"/>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以谈判文件、响应文件为评审依据</w:t>
      </w:r>
      <w:r>
        <w:rPr>
          <w:rFonts w:hint="eastAsia" w:hAnsi="宋体" w:cs="宋体"/>
          <w:color w:val="000000" w:themeColor="text1"/>
          <w:kern w:val="2"/>
          <w:sz w:val="21"/>
          <w:szCs w:val="21"/>
          <w:highlight w:val="none"/>
          <w14:textFill>
            <w14:solidFill>
              <w14:schemeClr w14:val="tx1"/>
            </w14:solidFill>
          </w14:textFill>
        </w:rPr>
        <w:t>。</w:t>
      </w:r>
    </w:p>
    <w:p>
      <w:pPr>
        <w:adjustRightInd w:val="0"/>
        <w:spacing w:line="38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2、评审价为供应商的竞标报价进行政策性扣除后的价格，评审价只是作为评标时使用。最终成交供应商的成交金额等于竞标报价。</w:t>
      </w:r>
    </w:p>
    <w:p>
      <w:pPr>
        <w:pStyle w:val="20"/>
        <w:snapToGrid w:val="0"/>
        <w:spacing w:line="360" w:lineRule="exact"/>
        <w:ind w:firstLine="420" w:firstLineChars="200"/>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按照《政府采购促进中小企业发展管理办法》（财库〔2020〕46号）的规定，供应商在其响应文件中按照格式要求提供《中小企业声明函》，且其竞标产品全部为小型或微型企业产品的，对其最后报价给予10%的扣除。</w:t>
      </w:r>
    </w:p>
    <w:p>
      <w:pPr>
        <w:pStyle w:val="20"/>
        <w:spacing w:line="360" w:lineRule="exact"/>
        <w:ind w:firstLine="420" w:firstLineChars="200"/>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0"/>
        <w:snapToGrid w:val="0"/>
        <w:spacing w:line="360" w:lineRule="exact"/>
        <w:ind w:firstLine="420" w:firstLineChars="200"/>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投标全部货物（除招标文件明确的配件及辅材不做为主要标的物外）由小型或微型企业制造；对符合上述要求的供应商的投标报价给予10%的扣除，扣除后的价格为评审价，即评审价=投标报价×（1-10%）。</w:t>
      </w:r>
    </w:p>
    <w:p>
      <w:pPr>
        <w:pStyle w:val="20"/>
        <w:spacing w:line="360" w:lineRule="exact"/>
        <w:ind w:firstLine="420" w:firstLineChars="200"/>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Ansi="宋体" w:cs="宋体"/>
          <w:color w:val="000000" w:themeColor="text1"/>
          <w:kern w:val="2"/>
          <w:sz w:val="21"/>
          <w:szCs w:val="21"/>
          <w:highlight w:val="none"/>
          <w:u w:val="single"/>
          <w14:textFill>
            <w14:solidFill>
              <w14:schemeClr w14:val="tx1"/>
            </w14:solidFill>
          </w14:textFill>
        </w:rPr>
        <w:t xml:space="preserve"> 6 </w:t>
      </w:r>
      <w:r>
        <w:rPr>
          <w:rFonts w:hint="eastAsia" w:hAnsi="宋体" w:cs="宋体"/>
          <w:color w:val="000000" w:themeColor="text1"/>
          <w:kern w:val="2"/>
          <w:sz w:val="21"/>
          <w:szCs w:val="21"/>
          <w:highlight w:val="none"/>
          <w14:textFill>
            <w14:solidFill>
              <w14:schemeClr w14:val="tx1"/>
            </w14:solidFill>
          </w14:textFill>
        </w:rPr>
        <w:t>%（范围为4%-6%）的扣除，用扣除后的价格参加评审，扣除后的价格为评审价，即评审价=投标报价×（1-</w:t>
      </w:r>
      <w:r>
        <w:rPr>
          <w:rFonts w:hint="eastAsia" w:hAnsi="宋体" w:cs="宋体"/>
          <w:color w:val="000000" w:themeColor="text1"/>
          <w:kern w:val="2"/>
          <w:sz w:val="21"/>
          <w:szCs w:val="21"/>
          <w:highlight w:val="none"/>
          <w:u w:val="single"/>
          <w14:textFill>
            <w14:solidFill>
              <w14:schemeClr w14:val="tx1"/>
            </w14:solidFill>
          </w14:textFill>
        </w:rPr>
        <w:t xml:space="preserve"> 6 </w:t>
      </w:r>
      <w:r>
        <w:rPr>
          <w:rFonts w:hint="eastAsia" w:hAnsi="宋体" w:cs="宋体"/>
          <w:color w:val="000000" w:themeColor="text1"/>
          <w:kern w:val="2"/>
          <w:sz w:val="21"/>
          <w:szCs w:val="21"/>
          <w:highlight w:val="none"/>
          <w14:textFill>
            <w14:solidFill>
              <w14:schemeClr w14:val="tx1"/>
            </w14:solidFill>
          </w14:textFill>
        </w:rPr>
        <w:t>%）。除上述情况外，评审价=投标报价。</w:t>
      </w:r>
    </w:p>
    <w:p>
      <w:pPr>
        <w:spacing w:line="360" w:lineRule="exact"/>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（三）评审方法：在质量和服务均能满足谈判文件实质性响应要求的前提下，按最后评审价由低到高排列成交候选供应商顺序，并依照次序确定成交候选供应商。</w:t>
      </w:r>
    </w:p>
    <w:p>
      <w:pPr>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二、评审方法</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（一）资格审查</w:t>
      </w:r>
    </w:p>
    <w:p>
      <w:pPr>
        <w:spacing w:line="360" w:lineRule="exact"/>
        <w:ind w:firstLine="420" w:firstLineChars="200"/>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谈判小组</w:t>
      </w:r>
      <w:r>
        <w:rPr>
          <w:rFonts w:hint="eastAsia" w:ascii="宋体" w:hAnsi="宋体"/>
          <w:color w:val="000000" w:themeColor="text1"/>
          <w:szCs w:val="21"/>
          <w:highlight w:val="none"/>
          <w14:textFill>
            <w14:solidFill>
              <w14:schemeClr w14:val="tx1"/>
            </w14:solidFill>
          </w14:textFill>
        </w:rPr>
        <w:t>依法对供应商的资格进行审查。</w:t>
      </w:r>
    </w:p>
    <w:tbl>
      <w:tblPr>
        <w:tblStyle w:val="3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260"/>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供应商应符合的基本资格条件</w:t>
            </w:r>
          </w:p>
        </w:tc>
        <w:tc>
          <w:tcPr>
            <w:tcW w:w="3260"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2.如为分支机构投标的，须提供其总公司“营业执照”副本复印件和总公司对供应商参与本项目投标的授权书原件。</w:t>
            </w:r>
          </w:p>
          <w:p>
            <w:pPr>
              <w:pStyle w:val="20"/>
              <w:spacing w:line="360" w:lineRule="exact"/>
              <w:rPr>
                <w:color w:val="000000" w:themeColor="text1"/>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highlight w:val="none"/>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highlight w:val="none"/>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highlight w:val="none"/>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highlight w:val="none"/>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提供竞标声明书或相关证明材料。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highlight w:val="none"/>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highlight w:val="none"/>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cs="Courier New"/>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1.提供参加政府采购活动前三年内在经营活动中没有重大违法记录和不良信用记录的书面声明书。</w:t>
            </w:r>
          </w:p>
          <w:p>
            <w:pPr>
              <w:pStyle w:val="20"/>
              <w:rPr>
                <w:rFonts w:hint="eastAsia" w:hAnsi="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2.在资格审查时，将通过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highlight w:val="none"/>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highlight w:val="none"/>
                <w14:textFill>
                  <w14:solidFill>
                    <w14:schemeClr w14:val="tx1"/>
                  </w14:solidFill>
                </w14:textFill>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1.单位负责人为同一人或者存在直接控股、管理关系的不同供应商，不得参加同一合同项下的政府采购活动。</w:t>
            </w:r>
          </w:p>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提供供应商直接控股、管理关系信息表。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000000" w:themeColor="text1"/>
                <w:szCs w:val="21"/>
                <w:highlight w:val="none"/>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000000" w:themeColor="text1"/>
                <w:szCs w:val="21"/>
                <w:highlight w:val="none"/>
                <w14:textFill>
                  <w14:solidFill>
                    <w14:schemeClr w14:val="tx1"/>
                  </w14:solidFill>
                </w14:textFill>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Courier New"/>
                <w:color w:val="000000" w:themeColor="text1"/>
                <w:szCs w:val="21"/>
                <w:highlight w:val="none"/>
                <w14:textFill>
                  <w14:solidFill>
                    <w14:schemeClr w14:val="tx1"/>
                  </w14:solidFill>
                </w14:textFill>
              </w:rPr>
            </w:pP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2.为本项目提供过整体设计、规范编制或者项目管理、监理、检测等服务的供应商，不得再参加本项目上述服务以外的其他采购活动。</w:t>
            </w:r>
          </w:p>
          <w:p>
            <w:pPr>
              <w:pStyle w:val="20"/>
              <w:spacing w:line="360" w:lineRule="exact"/>
              <w:ind w:firstLine="420" w:firstLineChars="200"/>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提供谈判声明书。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无</w:t>
            </w:r>
          </w:p>
        </w:tc>
      </w:tr>
    </w:tbl>
    <w:p>
      <w:pPr>
        <w:pStyle w:val="20"/>
        <w:spacing w:line="360" w:lineRule="exact"/>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（二）符合性审查</w:t>
      </w:r>
    </w:p>
    <w:p>
      <w:pPr>
        <w:pStyle w:val="20"/>
        <w:spacing w:line="360" w:lineRule="exact"/>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谈判小组根据竞争性谈判文件要求各供应商响应文件的有效性、完整性、响应性等进行审查，以确定是否对竞争性谈判文件的实质性要求作出响应。</w:t>
      </w:r>
    </w:p>
    <w:tbl>
      <w:tblPr>
        <w:tblStyle w:val="37"/>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未按照竞争性谈判文件的规定足额交纳竞标保证金的</w:t>
            </w:r>
            <w:r>
              <w:rPr>
                <w:rFonts w:hint="eastAsia" w:ascii="宋体" w:hAnsi="宋体" w:cs="宋体"/>
                <w:bCs/>
                <w:color w:val="000000" w:themeColor="text1"/>
                <w:szCs w:val="21"/>
                <w:highlight w:val="none"/>
                <w14:textFill>
                  <w14:solidFill>
                    <w14:schemeClr w14:val="tx1"/>
                  </w14:solidFill>
                </w14:textFill>
              </w:rPr>
              <w:t>；</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2.响应文件未按谈判文件要求签署、盖章的；</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3.投标代表人未能出具身份证明或与法定代表人授权委托人身份不符的；</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4.响应文件的实质性内容未使用中文表述、意思表述不明确、前后矛盾或者使用计量单位不符合谈判文件要求的（经评标委员会认定并允许其当场更正的笔误除外）</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5.响应文件有效期、服务期或交货期、质保期等商务条款不能满足招标文件要求的；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6.未实质性响应谈判文件要求或者响应文件有采购人不能接受的附加条件的。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7.未提供谈判文件中“13.响应文件的组成13.2商务和技术文件”要求必须提供的资料的；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8.未提供或未如实提供投标货物的技术参数，或者响应文件标明的响应或偏离与事实不符或虚假投标的；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9.明显不符合招标文件要求的规格型号、质量标准和采购需求的，或者与招标文件中标“▲”的技术指标、主要功能项目发生实质性偏离的；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10.允许偏离的技术、性能指标或者辅助功能项目发生负偏离达 1 项（含1项）以上的；</w:t>
            </w:r>
          </w:p>
          <w:p>
            <w:pPr>
              <w:spacing w:line="36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12.技术方案不明确，存在一个或一个以上备选（替代）竞标方案的。</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13.属于供应商须知正文7.特别说明第6点情形的；</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14.法律、法规和竞争性谈判文件规定的其他无效情形。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1.未提供谈判文件中“13.响应文件的组成13.3报价文件”要求必须提供的资料的；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2.报价超过招标文件中规定的预算金额或者最高限价的；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3.未采用人民币报价或者未按照招标文件标明的币种报价的；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4.竞标报价具有选择性，或者云平台中开标记录表的报价与响应文件承诺的优惠（折扣）价格不一致的；</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5.法律、法规和招标文件规定的其他无效情形。</w:t>
            </w:r>
          </w:p>
          <w:p>
            <w:pPr>
              <w:widowControl/>
              <w:spacing w:line="36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6.出现恶意竞争低于成本价的情形。</w:t>
            </w:r>
          </w:p>
          <w:p>
            <w:pPr>
              <w:widowControl/>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7.修正后的报价，供应商不确认的。</w:t>
            </w:r>
          </w:p>
        </w:tc>
      </w:tr>
    </w:tbl>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（三）</w:t>
      </w:r>
      <w:r>
        <w:rPr>
          <w:rFonts w:hint="eastAsia" w:ascii="宋体" w:hAnsi="宋体"/>
          <w:color w:val="000000" w:themeColor="text1"/>
          <w:szCs w:val="21"/>
          <w:highlight w:val="none"/>
          <w14:textFill>
            <w14:solidFill>
              <w14:schemeClr w14:val="tx1"/>
            </w14:solidFill>
          </w14:textFill>
        </w:rPr>
        <w:t>最后报价政府采购政策性扣除</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根据上述评审依据对供应商的最后报价给予价格扣除，扣除后的价格为评审价。</w:t>
      </w:r>
    </w:p>
    <w:p>
      <w:pPr>
        <w:spacing w:line="36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三、成交候选供应商推荐原则</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在质量和服务均能满足采购文件实质性响应要求的前提下，按照最后评审价由低到高的顺序提出3名以上成交候选人（</w:t>
      </w:r>
      <w:r>
        <w:rPr>
          <w:rFonts w:hint="eastAsia" w:ascii="宋体" w:hAnsi="宋体"/>
          <w:color w:val="000000" w:themeColor="text1"/>
          <w:highlight w:val="none"/>
          <w14:textFill>
            <w14:solidFill>
              <w14:schemeClr w14:val="tx1"/>
            </w14:solidFill>
          </w14:textFill>
        </w:rPr>
        <w:t>最后评审报价相同时，</w:t>
      </w:r>
      <w:r>
        <w:rPr>
          <w:rFonts w:hint="eastAsia" w:ascii="宋体" w:hAnsi="宋体" w:cs="宋体"/>
          <w:color w:val="000000" w:themeColor="text1"/>
          <w:szCs w:val="21"/>
          <w:highlight w:val="none"/>
          <w14:textFill>
            <w14:solidFill>
              <w14:schemeClr w14:val="tx1"/>
            </w14:solidFill>
          </w14:textFill>
        </w:rPr>
        <w:t>依次按节能环保产品累计金额高的优先、</w:t>
      </w:r>
      <w:r>
        <w:rPr>
          <w:rFonts w:hint="eastAsia" w:ascii="宋体" w:hAnsi="宋体" w:cs="宋体"/>
          <w:color w:val="000000" w:themeColor="text1"/>
          <w:highlight w:val="none"/>
          <w14:textFill>
            <w14:solidFill>
              <w14:schemeClr w14:val="tx1"/>
            </w14:solidFill>
          </w14:textFill>
        </w:rPr>
        <w:t>环境标志产品累计金额高的优先、</w:t>
      </w:r>
      <w:r>
        <w:rPr>
          <w:rFonts w:hint="eastAsia" w:ascii="宋体" w:hAnsi="宋体"/>
          <w:color w:val="000000" w:themeColor="text1"/>
          <w:highlight w:val="none"/>
          <w14:textFill>
            <w14:solidFill>
              <w14:schemeClr w14:val="tx1"/>
            </w14:solidFill>
          </w14:textFill>
        </w:rPr>
        <w:t>关键技术指标高优先、质量保证期长优先、</w:t>
      </w:r>
      <w:r>
        <w:rPr>
          <w:rFonts w:hint="eastAsia" w:ascii="宋体" w:hAnsi="宋体"/>
          <w:bCs/>
          <w:color w:val="000000" w:themeColor="text1"/>
          <w:highlight w:val="none"/>
          <w14:textFill>
            <w14:solidFill>
              <w14:schemeClr w14:val="tx1"/>
            </w14:solidFill>
          </w14:textFill>
        </w:rPr>
        <w:t>交货期</w:t>
      </w:r>
      <w:r>
        <w:rPr>
          <w:rFonts w:hint="eastAsia" w:ascii="宋体" w:hAnsi="宋体"/>
          <w:color w:val="000000" w:themeColor="text1"/>
          <w:highlight w:val="none"/>
          <w14:textFill>
            <w14:solidFill>
              <w14:schemeClr w14:val="tx1"/>
            </w14:solidFill>
          </w14:textFill>
        </w:rPr>
        <w:t>短优先、故障处理时间短优先的顺序排列</w:t>
      </w:r>
      <w:r>
        <w:rPr>
          <w:rFonts w:hint="eastAsia" w:ascii="宋体" w:hAnsi="宋体"/>
          <w:color w:val="000000" w:themeColor="text1"/>
          <w:szCs w:val="21"/>
          <w:highlight w:val="none"/>
          <w14:textFill>
            <w14:solidFill>
              <w14:schemeClr w14:val="tx1"/>
            </w14:solidFill>
          </w14:textFill>
        </w:rPr>
        <w:t>），并依照次序确定成交候选人。采购人应当确定谈判小组推荐排名第一的成交候选人为成交供应商。排名第一的成交候选人放弃成交、因不可抗力提出不能履行合同，或者采购文件规定应当提交履约保证金而在规定的期限内未能提交的，采购人可以确定排名第二的成交候选人为成交供应商。排名第二的成交候选人因前款规定的同样原因不能签订合同的，采购人可以确定排名第三的成交候选人为成交供应商，其余以此类推，</w:t>
      </w:r>
      <w:r>
        <w:rPr>
          <w:rFonts w:hint="eastAsia" w:ascii="宋体" w:hAnsi="宋体"/>
          <w:color w:val="000000" w:themeColor="text1"/>
          <w:highlight w:val="none"/>
          <w:shd w:val="clear" w:color="auto" w:fill="FFFFFF"/>
          <w14:textFill>
            <w14:solidFill>
              <w14:schemeClr w14:val="tx1"/>
            </w14:solidFill>
          </w14:textFill>
        </w:rPr>
        <w:t>也可以重新采购。</w:t>
      </w:r>
    </w:p>
    <w:sectPr>
      <w:pgSz w:w="11906" w:h="16838"/>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B20BE3-A049-4FF8-BC74-51154C35B827}"/>
  </w:font>
  <w:font w:name="黑体">
    <w:panose1 w:val="02010609060101010101"/>
    <w:charset w:val="86"/>
    <w:family w:val="auto"/>
    <w:pitch w:val="default"/>
    <w:sig w:usb0="800002BF" w:usb1="38CF7CFA" w:usb2="00000016" w:usb3="00000000" w:csb0="00040001" w:csb1="00000000"/>
    <w:embedRegular r:id="rId2" w:fontKey="{C569F299-BAB9-4F9B-B2F8-71EB4D1D5BDF}"/>
  </w:font>
  <w:font w:name="Courier New">
    <w:panose1 w:val="02070309020205020404"/>
    <w:charset w:val="01"/>
    <w:family w:val="modern"/>
    <w:pitch w:val="default"/>
    <w:sig w:usb0="E0002EFF" w:usb1="C0007843" w:usb2="00000009" w:usb3="00000000" w:csb0="400001FF" w:csb1="FFFF0000"/>
    <w:embedRegular r:id="rId3" w:fontKey="{F7F9A3EA-716E-4615-9985-EB8F1ABF1BE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CA8A869-4448-4D8E-8C19-81AB1E084F26}"/>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5" w:fontKey="{31DE3A0F-6DA2-4B2A-BA2E-5121D5ABE3CC}"/>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6" w:fontKey="{E0AD4ACA-2E48-4600-9144-2852D34CC055}"/>
  </w:font>
  <w:font w:name="Adobe 黑体 Std R">
    <w:altName w:val="宋体"/>
    <w:panose1 w:val="00000000000000000000"/>
    <w:charset w:val="86"/>
    <w:family w:val="auto"/>
    <w:pitch w:val="default"/>
    <w:sig w:usb0="00000000" w:usb1="00000000" w:usb2="00000016" w:usb3="00000000" w:csb0="00060007" w:csb1="00000000"/>
    <w:embedRegular r:id="rId7" w:fontKey="{E16AB3F9-D6BF-43F5-8B71-F3C1E3F2A6A2}"/>
  </w:font>
  <w:font w:name="仿宋">
    <w:panose1 w:val="02010609060101010101"/>
    <w:charset w:val="86"/>
    <w:family w:val="modern"/>
    <w:pitch w:val="default"/>
    <w:sig w:usb0="800002BF" w:usb1="38CF7CFA" w:usb2="00000016" w:usb3="00000000" w:csb0="00040001" w:csb1="00000000"/>
    <w:embedRegular r:id="rId8" w:fontKey="{8AE15569-0183-44AC-BB60-A06D9A9CB08F}"/>
  </w:font>
  <w:font w:name="Adobe 宋体 Std L">
    <w:altName w:val="宋体"/>
    <w:panose1 w:val="00000000000000000000"/>
    <w:charset w:val="86"/>
    <w:family w:val="auto"/>
    <w:pitch w:val="default"/>
    <w:sig w:usb0="00000000" w:usb1="00000000" w:usb2="00000010" w:usb3="00000000" w:csb0="00040000" w:csb1="00000000"/>
    <w:embedRegular r:id="rId9" w:fontKey="{457E207D-70F7-404F-BF29-0CA116480BAC}"/>
  </w:font>
  <w:font w:name="MS Mincho">
    <w:altName w:val="MS UI Gothic"/>
    <w:panose1 w:val="02020609040205080304"/>
    <w:charset w:val="80"/>
    <w:family w:val="modern"/>
    <w:pitch w:val="default"/>
    <w:sig w:usb0="00000000" w:usb1="00000000" w:usb2="08000012" w:usb3="00000000" w:csb0="0002009F" w:csb1="00000000"/>
    <w:embedRegular r:id="rId10" w:fontKey="{3C0F12CB-8DC2-4650-9431-E1BCCB75D704}"/>
  </w:font>
  <w:font w:name="微软雅黑">
    <w:panose1 w:val="020B0503020204020204"/>
    <w:charset w:val="86"/>
    <w:family w:val="swiss"/>
    <w:pitch w:val="default"/>
    <w:sig w:usb0="80000287" w:usb1="2ACF3C50" w:usb2="00000016" w:usb3="00000000" w:csb0="0004001F" w:csb1="00000000"/>
    <w:embedRegular r:id="rId11" w:fontKey="{CD8C58BB-33BC-4197-8A42-A7F9D2F93BA2}"/>
  </w:font>
  <w:font w:name="Arial Unicode MS">
    <w:altName w:val="宋体"/>
    <w:panose1 w:val="020B0604020202020204"/>
    <w:charset w:val="86"/>
    <w:family w:val="swiss"/>
    <w:pitch w:val="default"/>
    <w:sig w:usb0="00000000" w:usb1="00000000" w:usb2="0000003F" w:usb3="00000000" w:csb0="603F01FF" w:csb1="FFFF0000"/>
    <w:embedRegular r:id="rId12" w:fontKey="{E346795F-1092-46A1-8CDD-19ADECAA9A7A}"/>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3</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EVFKGPTAQAApQMAAA4AAAAAAAAAAQAgAAAAHwEA&#10;AGRycy9lMm9Eb2MueG1sUEsFBgAAAAAGAAYAWQEAAG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1E041"/>
    <w:multiLevelType w:val="singleLevel"/>
    <w:tmpl w:val="9931E041"/>
    <w:lvl w:ilvl="0" w:tentative="0">
      <w:start w:val="1"/>
      <w:numFmt w:val="decimal"/>
      <w:suff w:val="nothing"/>
      <w:lvlText w:val="%1．"/>
      <w:lvlJc w:val="left"/>
      <w:pPr>
        <w:ind w:left="0" w:firstLine="400"/>
      </w:pPr>
      <w:rPr>
        <w:rFonts w:hint="default"/>
      </w:rPr>
    </w:lvl>
  </w:abstractNum>
  <w:abstractNum w:abstractNumId="1">
    <w:nsid w:val="06A755B0"/>
    <w:multiLevelType w:val="singleLevel"/>
    <w:tmpl w:val="06A755B0"/>
    <w:lvl w:ilvl="0" w:tentative="0">
      <w:start w:val="1"/>
      <w:numFmt w:val="decimal"/>
      <w:suff w:val="nothing"/>
      <w:lvlText w:val="%1．"/>
      <w:lvlJc w:val="left"/>
      <w:pPr>
        <w:ind w:left="0" w:firstLine="400"/>
      </w:pPr>
      <w:rPr>
        <w:rFonts w:hint="default"/>
      </w:rPr>
    </w:lvl>
  </w:abstractNum>
  <w:abstractNum w:abstractNumId="2">
    <w:nsid w:val="2ABA0442"/>
    <w:multiLevelType w:val="singleLevel"/>
    <w:tmpl w:val="2ABA0442"/>
    <w:lvl w:ilvl="0" w:tentative="0">
      <w:start w:val="1"/>
      <w:numFmt w:val="decimal"/>
      <w:suff w:val="nothing"/>
      <w:lvlText w:val="%1．"/>
      <w:lvlJc w:val="left"/>
      <w:pPr>
        <w:ind w:left="0" w:firstLine="400"/>
      </w:pPr>
      <w:rPr>
        <w:rFonts w:hint="default"/>
      </w:rPr>
    </w:lvl>
  </w:abstractNum>
  <w:abstractNum w:abstractNumId="3">
    <w:nsid w:val="5B5BF7DE"/>
    <w:multiLevelType w:val="singleLevel"/>
    <w:tmpl w:val="5B5BF7D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jJkZDE3YWEyM2EyZDQzNmRkZWRmZmMzMjQ4MzcifQ=="/>
    <w:docVar w:name="KSO_WPS_MARK_KEY" w:val="3024b2f5-adbc-48bb-96c0-c1c61727ca46"/>
  </w:docVars>
  <w:rsids>
    <w:rsidRoot w:val="00172A27"/>
    <w:rsid w:val="00001C0C"/>
    <w:rsid w:val="00022670"/>
    <w:rsid w:val="0003723A"/>
    <w:rsid w:val="000512E4"/>
    <w:rsid w:val="000579D9"/>
    <w:rsid w:val="00063879"/>
    <w:rsid w:val="000741DF"/>
    <w:rsid w:val="0008502C"/>
    <w:rsid w:val="000900B2"/>
    <w:rsid w:val="000A6B6E"/>
    <w:rsid w:val="000A7867"/>
    <w:rsid w:val="000C1BB1"/>
    <w:rsid w:val="000C7BC5"/>
    <w:rsid w:val="000D478D"/>
    <w:rsid w:val="000F0B9A"/>
    <w:rsid w:val="00113126"/>
    <w:rsid w:val="0012327F"/>
    <w:rsid w:val="00126D8E"/>
    <w:rsid w:val="00144DC0"/>
    <w:rsid w:val="00156FB3"/>
    <w:rsid w:val="00160B97"/>
    <w:rsid w:val="00160F33"/>
    <w:rsid w:val="00165BA6"/>
    <w:rsid w:val="00166F27"/>
    <w:rsid w:val="00172A27"/>
    <w:rsid w:val="00177305"/>
    <w:rsid w:val="00192A8D"/>
    <w:rsid w:val="00193D21"/>
    <w:rsid w:val="001947B1"/>
    <w:rsid w:val="00195780"/>
    <w:rsid w:val="001B2C5D"/>
    <w:rsid w:val="001B43A9"/>
    <w:rsid w:val="001C6839"/>
    <w:rsid w:val="001C7C93"/>
    <w:rsid w:val="001D04F0"/>
    <w:rsid w:val="001D562D"/>
    <w:rsid w:val="001E7D79"/>
    <w:rsid w:val="001F0EA1"/>
    <w:rsid w:val="001F2F28"/>
    <w:rsid w:val="00210E1A"/>
    <w:rsid w:val="002156C1"/>
    <w:rsid w:val="002235C2"/>
    <w:rsid w:val="00236732"/>
    <w:rsid w:val="00270805"/>
    <w:rsid w:val="00283B01"/>
    <w:rsid w:val="00284786"/>
    <w:rsid w:val="002911B3"/>
    <w:rsid w:val="0029128D"/>
    <w:rsid w:val="00296208"/>
    <w:rsid w:val="002A078A"/>
    <w:rsid w:val="002A58C8"/>
    <w:rsid w:val="002B06BB"/>
    <w:rsid w:val="002B5F22"/>
    <w:rsid w:val="002C255D"/>
    <w:rsid w:val="002C6529"/>
    <w:rsid w:val="002C7E7D"/>
    <w:rsid w:val="002E2198"/>
    <w:rsid w:val="002E23B9"/>
    <w:rsid w:val="002E29E9"/>
    <w:rsid w:val="002E6188"/>
    <w:rsid w:val="002F4880"/>
    <w:rsid w:val="002F5B70"/>
    <w:rsid w:val="003002EA"/>
    <w:rsid w:val="00307A4F"/>
    <w:rsid w:val="00327617"/>
    <w:rsid w:val="00330A01"/>
    <w:rsid w:val="00334998"/>
    <w:rsid w:val="00336EEC"/>
    <w:rsid w:val="00340E75"/>
    <w:rsid w:val="00362A48"/>
    <w:rsid w:val="00375B6D"/>
    <w:rsid w:val="00377EFF"/>
    <w:rsid w:val="00380190"/>
    <w:rsid w:val="003A2BC3"/>
    <w:rsid w:val="003A37F2"/>
    <w:rsid w:val="003B18F8"/>
    <w:rsid w:val="003C712A"/>
    <w:rsid w:val="003D71E0"/>
    <w:rsid w:val="003E71C7"/>
    <w:rsid w:val="003F1C83"/>
    <w:rsid w:val="00406C00"/>
    <w:rsid w:val="00414E67"/>
    <w:rsid w:val="004222E9"/>
    <w:rsid w:val="004236D1"/>
    <w:rsid w:val="00432E43"/>
    <w:rsid w:val="00442028"/>
    <w:rsid w:val="00446764"/>
    <w:rsid w:val="00454E17"/>
    <w:rsid w:val="00457E40"/>
    <w:rsid w:val="00461D08"/>
    <w:rsid w:val="00472C27"/>
    <w:rsid w:val="00477342"/>
    <w:rsid w:val="00493323"/>
    <w:rsid w:val="00494386"/>
    <w:rsid w:val="004A0D7C"/>
    <w:rsid w:val="004B3B7E"/>
    <w:rsid w:val="004C6EEC"/>
    <w:rsid w:val="004E5336"/>
    <w:rsid w:val="004F189C"/>
    <w:rsid w:val="005018AC"/>
    <w:rsid w:val="005105C9"/>
    <w:rsid w:val="00517943"/>
    <w:rsid w:val="00520816"/>
    <w:rsid w:val="00530320"/>
    <w:rsid w:val="0053623D"/>
    <w:rsid w:val="005473FC"/>
    <w:rsid w:val="005562A6"/>
    <w:rsid w:val="0056345E"/>
    <w:rsid w:val="005643F6"/>
    <w:rsid w:val="00566174"/>
    <w:rsid w:val="00572A98"/>
    <w:rsid w:val="00597966"/>
    <w:rsid w:val="00597BA6"/>
    <w:rsid w:val="005A1200"/>
    <w:rsid w:val="005A5B08"/>
    <w:rsid w:val="005A75F8"/>
    <w:rsid w:val="005B0DE9"/>
    <w:rsid w:val="005B2E9B"/>
    <w:rsid w:val="005C10AE"/>
    <w:rsid w:val="005C5733"/>
    <w:rsid w:val="005E6A05"/>
    <w:rsid w:val="005F2CA3"/>
    <w:rsid w:val="005F56E9"/>
    <w:rsid w:val="005F7846"/>
    <w:rsid w:val="006003AB"/>
    <w:rsid w:val="006034C8"/>
    <w:rsid w:val="00605A47"/>
    <w:rsid w:val="0061087F"/>
    <w:rsid w:val="00615763"/>
    <w:rsid w:val="0062680C"/>
    <w:rsid w:val="00630A98"/>
    <w:rsid w:val="00635D9F"/>
    <w:rsid w:val="006428BD"/>
    <w:rsid w:val="006603D9"/>
    <w:rsid w:val="0067194D"/>
    <w:rsid w:val="006742B9"/>
    <w:rsid w:val="006744F1"/>
    <w:rsid w:val="00677CE1"/>
    <w:rsid w:val="00682163"/>
    <w:rsid w:val="00683774"/>
    <w:rsid w:val="006A277C"/>
    <w:rsid w:val="006B5B08"/>
    <w:rsid w:val="006C28F1"/>
    <w:rsid w:val="006C300A"/>
    <w:rsid w:val="006C71B4"/>
    <w:rsid w:val="006D3F4B"/>
    <w:rsid w:val="006D40C0"/>
    <w:rsid w:val="006D7D67"/>
    <w:rsid w:val="006E3F62"/>
    <w:rsid w:val="006F3406"/>
    <w:rsid w:val="006F491C"/>
    <w:rsid w:val="006F5EB8"/>
    <w:rsid w:val="006F77C0"/>
    <w:rsid w:val="007264C9"/>
    <w:rsid w:val="00726A1D"/>
    <w:rsid w:val="007272E3"/>
    <w:rsid w:val="00731013"/>
    <w:rsid w:val="007432DC"/>
    <w:rsid w:val="00755CD8"/>
    <w:rsid w:val="007576E0"/>
    <w:rsid w:val="00757FBD"/>
    <w:rsid w:val="00763650"/>
    <w:rsid w:val="007670B5"/>
    <w:rsid w:val="0077135E"/>
    <w:rsid w:val="0077336D"/>
    <w:rsid w:val="0077621B"/>
    <w:rsid w:val="00785449"/>
    <w:rsid w:val="00790913"/>
    <w:rsid w:val="007928E5"/>
    <w:rsid w:val="00797F2C"/>
    <w:rsid w:val="007A2FDF"/>
    <w:rsid w:val="007B229A"/>
    <w:rsid w:val="007C36A6"/>
    <w:rsid w:val="007E3289"/>
    <w:rsid w:val="007E6E69"/>
    <w:rsid w:val="007F3DE5"/>
    <w:rsid w:val="007F42B8"/>
    <w:rsid w:val="007F4D48"/>
    <w:rsid w:val="008101C0"/>
    <w:rsid w:val="00815AA1"/>
    <w:rsid w:val="00816209"/>
    <w:rsid w:val="00817F98"/>
    <w:rsid w:val="00820504"/>
    <w:rsid w:val="008231EA"/>
    <w:rsid w:val="008301B0"/>
    <w:rsid w:val="0083507D"/>
    <w:rsid w:val="008376B9"/>
    <w:rsid w:val="008537F2"/>
    <w:rsid w:val="00856ABE"/>
    <w:rsid w:val="00862FD0"/>
    <w:rsid w:val="00874355"/>
    <w:rsid w:val="00876E5D"/>
    <w:rsid w:val="00887C9B"/>
    <w:rsid w:val="008A6763"/>
    <w:rsid w:val="008C2FB0"/>
    <w:rsid w:val="008D0C70"/>
    <w:rsid w:val="008F0F4B"/>
    <w:rsid w:val="009017EC"/>
    <w:rsid w:val="00906BBB"/>
    <w:rsid w:val="00913CF6"/>
    <w:rsid w:val="00934FA9"/>
    <w:rsid w:val="00940297"/>
    <w:rsid w:val="00955881"/>
    <w:rsid w:val="009771DC"/>
    <w:rsid w:val="009778FC"/>
    <w:rsid w:val="00977D24"/>
    <w:rsid w:val="00977F5F"/>
    <w:rsid w:val="00987B92"/>
    <w:rsid w:val="00995889"/>
    <w:rsid w:val="0099644D"/>
    <w:rsid w:val="009A0D52"/>
    <w:rsid w:val="009B099B"/>
    <w:rsid w:val="00A03703"/>
    <w:rsid w:val="00A10763"/>
    <w:rsid w:val="00A16749"/>
    <w:rsid w:val="00A1794C"/>
    <w:rsid w:val="00A23A05"/>
    <w:rsid w:val="00A27EBA"/>
    <w:rsid w:val="00A41C89"/>
    <w:rsid w:val="00A541AD"/>
    <w:rsid w:val="00A625CC"/>
    <w:rsid w:val="00A66F5C"/>
    <w:rsid w:val="00A70A0D"/>
    <w:rsid w:val="00A70C5B"/>
    <w:rsid w:val="00A712FE"/>
    <w:rsid w:val="00A74E21"/>
    <w:rsid w:val="00A75BAB"/>
    <w:rsid w:val="00A76AB7"/>
    <w:rsid w:val="00A81489"/>
    <w:rsid w:val="00A834D0"/>
    <w:rsid w:val="00A85609"/>
    <w:rsid w:val="00AB40E4"/>
    <w:rsid w:val="00AB55B0"/>
    <w:rsid w:val="00AB5AA9"/>
    <w:rsid w:val="00AC34AB"/>
    <w:rsid w:val="00AC58B3"/>
    <w:rsid w:val="00AD6E5E"/>
    <w:rsid w:val="00AF74BD"/>
    <w:rsid w:val="00B04BC2"/>
    <w:rsid w:val="00B12293"/>
    <w:rsid w:val="00B15CA9"/>
    <w:rsid w:val="00B22C81"/>
    <w:rsid w:val="00B311CF"/>
    <w:rsid w:val="00B35486"/>
    <w:rsid w:val="00B53D0E"/>
    <w:rsid w:val="00B665D8"/>
    <w:rsid w:val="00B73B5C"/>
    <w:rsid w:val="00B874D5"/>
    <w:rsid w:val="00B92DBF"/>
    <w:rsid w:val="00B95A97"/>
    <w:rsid w:val="00BA5BB5"/>
    <w:rsid w:val="00BC5114"/>
    <w:rsid w:val="00BC549C"/>
    <w:rsid w:val="00BD3AD1"/>
    <w:rsid w:val="00BD717D"/>
    <w:rsid w:val="00BE06A8"/>
    <w:rsid w:val="00BF3D4B"/>
    <w:rsid w:val="00BF5F04"/>
    <w:rsid w:val="00C0268A"/>
    <w:rsid w:val="00C0438A"/>
    <w:rsid w:val="00C05D51"/>
    <w:rsid w:val="00C127F1"/>
    <w:rsid w:val="00C23820"/>
    <w:rsid w:val="00C24C44"/>
    <w:rsid w:val="00C2631C"/>
    <w:rsid w:val="00C530BA"/>
    <w:rsid w:val="00C65495"/>
    <w:rsid w:val="00C93837"/>
    <w:rsid w:val="00C96D14"/>
    <w:rsid w:val="00CB0307"/>
    <w:rsid w:val="00CC6C06"/>
    <w:rsid w:val="00CD276A"/>
    <w:rsid w:val="00CD3A63"/>
    <w:rsid w:val="00CF0F30"/>
    <w:rsid w:val="00CF65DA"/>
    <w:rsid w:val="00D07CC5"/>
    <w:rsid w:val="00D11898"/>
    <w:rsid w:val="00D13247"/>
    <w:rsid w:val="00D16B34"/>
    <w:rsid w:val="00D25071"/>
    <w:rsid w:val="00D27B60"/>
    <w:rsid w:val="00D478FC"/>
    <w:rsid w:val="00D60994"/>
    <w:rsid w:val="00D61FC6"/>
    <w:rsid w:val="00D66E62"/>
    <w:rsid w:val="00D71CCC"/>
    <w:rsid w:val="00D809EE"/>
    <w:rsid w:val="00D8539F"/>
    <w:rsid w:val="00DA0582"/>
    <w:rsid w:val="00DA32F1"/>
    <w:rsid w:val="00DB23C2"/>
    <w:rsid w:val="00DB6FB3"/>
    <w:rsid w:val="00DF4501"/>
    <w:rsid w:val="00E11B96"/>
    <w:rsid w:val="00E203F8"/>
    <w:rsid w:val="00E3530B"/>
    <w:rsid w:val="00E62857"/>
    <w:rsid w:val="00E66EAC"/>
    <w:rsid w:val="00E72C31"/>
    <w:rsid w:val="00E7552F"/>
    <w:rsid w:val="00E75BF2"/>
    <w:rsid w:val="00E85EEA"/>
    <w:rsid w:val="00E87933"/>
    <w:rsid w:val="00E92733"/>
    <w:rsid w:val="00E94725"/>
    <w:rsid w:val="00EC5CF3"/>
    <w:rsid w:val="00EC6C06"/>
    <w:rsid w:val="00EC7FC7"/>
    <w:rsid w:val="00ED08E5"/>
    <w:rsid w:val="00EE04E7"/>
    <w:rsid w:val="00EE3006"/>
    <w:rsid w:val="00EF3BC8"/>
    <w:rsid w:val="00F1477F"/>
    <w:rsid w:val="00F149E1"/>
    <w:rsid w:val="00F14B41"/>
    <w:rsid w:val="00F25B7F"/>
    <w:rsid w:val="00F35134"/>
    <w:rsid w:val="00F371B5"/>
    <w:rsid w:val="00F4054C"/>
    <w:rsid w:val="00F407FA"/>
    <w:rsid w:val="00F51925"/>
    <w:rsid w:val="00F533D4"/>
    <w:rsid w:val="00F66603"/>
    <w:rsid w:val="00F73F80"/>
    <w:rsid w:val="00F86A39"/>
    <w:rsid w:val="00F87998"/>
    <w:rsid w:val="00F92855"/>
    <w:rsid w:val="00F93296"/>
    <w:rsid w:val="00FA2A7C"/>
    <w:rsid w:val="00FA3168"/>
    <w:rsid w:val="00FB39C9"/>
    <w:rsid w:val="00FC2E4E"/>
    <w:rsid w:val="00FD2274"/>
    <w:rsid w:val="00FE19DD"/>
    <w:rsid w:val="01BC4E02"/>
    <w:rsid w:val="01FA400A"/>
    <w:rsid w:val="02803235"/>
    <w:rsid w:val="03C93855"/>
    <w:rsid w:val="03E21648"/>
    <w:rsid w:val="04C6277F"/>
    <w:rsid w:val="054A57DE"/>
    <w:rsid w:val="06130E19"/>
    <w:rsid w:val="0895522E"/>
    <w:rsid w:val="094E71DE"/>
    <w:rsid w:val="0A4C04BA"/>
    <w:rsid w:val="0A887EA1"/>
    <w:rsid w:val="0AAB138C"/>
    <w:rsid w:val="0AD63160"/>
    <w:rsid w:val="0BD87893"/>
    <w:rsid w:val="0C1650E1"/>
    <w:rsid w:val="0C8956D0"/>
    <w:rsid w:val="0CE20369"/>
    <w:rsid w:val="0D037E32"/>
    <w:rsid w:val="0D963A2A"/>
    <w:rsid w:val="0DCB6EE9"/>
    <w:rsid w:val="0DD36B0A"/>
    <w:rsid w:val="0DDD6D83"/>
    <w:rsid w:val="0E4B7C02"/>
    <w:rsid w:val="0E603C3C"/>
    <w:rsid w:val="0E88472F"/>
    <w:rsid w:val="0F285631"/>
    <w:rsid w:val="0F2B26EE"/>
    <w:rsid w:val="100C0A22"/>
    <w:rsid w:val="10182972"/>
    <w:rsid w:val="10307B2A"/>
    <w:rsid w:val="10D206F5"/>
    <w:rsid w:val="1149155F"/>
    <w:rsid w:val="11F37062"/>
    <w:rsid w:val="129844CF"/>
    <w:rsid w:val="12CD7662"/>
    <w:rsid w:val="12DE12AD"/>
    <w:rsid w:val="137A3BA6"/>
    <w:rsid w:val="13AF4D1D"/>
    <w:rsid w:val="13B16A7A"/>
    <w:rsid w:val="14292D22"/>
    <w:rsid w:val="155D0173"/>
    <w:rsid w:val="155D0ED5"/>
    <w:rsid w:val="15897831"/>
    <w:rsid w:val="15BD1974"/>
    <w:rsid w:val="163A7FE7"/>
    <w:rsid w:val="17D80CCE"/>
    <w:rsid w:val="17E94D8E"/>
    <w:rsid w:val="188A30D0"/>
    <w:rsid w:val="18BA3025"/>
    <w:rsid w:val="18D71B4A"/>
    <w:rsid w:val="19656357"/>
    <w:rsid w:val="1990554E"/>
    <w:rsid w:val="19A215AC"/>
    <w:rsid w:val="1A0D324C"/>
    <w:rsid w:val="1A741A14"/>
    <w:rsid w:val="1A896D39"/>
    <w:rsid w:val="1BD25A4D"/>
    <w:rsid w:val="1C856F63"/>
    <w:rsid w:val="1CD9665B"/>
    <w:rsid w:val="1D04380A"/>
    <w:rsid w:val="1D540E0F"/>
    <w:rsid w:val="1DF40687"/>
    <w:rsid w:val="1E964508"/>
    <w:rsid w:val="1F5A3791"/>
    <w:rsid w:val="1F6F377A"/>
    <w:rsid w:val="1F795C9E"/>
    <w:rsid w:val="1F801D00"/>
    <w:rsid w:val="206C46C2"/>
    <w:rsid w:val="20790B8D"/>
    <w:rsid w:val="208C406B"/>
    <w:rsid w:val="20DA4450"/>
    <w:rsid w:val="20F92EC0"/>
    <w:rsid w:val="21D56297"/>
    <w:rsid w:val="22192C67"/>
    <w:rsid w:val="22902419"/>
    <w:rsid w:val="23D5432C"/>
    <w:rsid w:val="24A36DFA"/>
    <w:rsid w:val="24A835B0"/>
    <w:rsid w:val="24D34063"/>
    <w:rsid w:val="25290DD3"/>
    <w:rsid w:val="26306192"/>
    <w:rsid w:val="263A0DBE"/>
    <w:rsid w:val="26F16CF3"/>
    <w:rsid w:val="2716614F"/>
    <w:rsid w:val="27A83C81"/>
    <w:rsid w:val="27B364AA"/>
    <w:rsid w:val="27EC1E48"/>
    <w:rsid w:val="283F26BC"/>
    <w:rsid w:val="28B1280D"/>
    <w:rsid w:val="292C33BF"/>
    <w:rsid w:val="295403E9"/>
    <w:rsid w:val="29E11C7D"/>
    <w:rsid w:val="2A377AEF"/>
    <w:rsid w:val="2A3C3080"/>
    <w:rsid w:val="2ADB491E"/>
    <w:rsid w:val="2ADC41F2"/>
    <w:rsid w:val="2B2362C5"/>
    <w:rsid w:val="2B343AE4"/>
    <w:rsid w:val="2B481698"/>
    <w:rsid w:val="2B6947C0"/>
    <w:rsid w:val="2BE85CB0"/>
    <w:rsid w:val="2BFA1E04"/>
    <w:rsid w:val="2CBC367D"/>
    <w:rsid w:val="2D4F0A9A"/>
    <w:rsid w:val="2D603E90"/>
    <w:rsid w:val="2E1F6DCE"/>
    <w:rsid w:val="2E8B59D5"/>
    <w:rsid w:val="2F7B1237"/>
    <w:rsid w:val="306747DB"/>
    <w:rsid w:val="30B96E22"/>
    <w:rsid w:val="31476781"/>
    <w:rsid w:val="314C7616"/>
    <w:rsid w:val="31BC4AAE"/>
    <w:rsid w:val="323B2146"/>
    <w:rsid w:val="325D1ABD"/>
    <w:rsid w:val="32992218"/>
    <w:rsid w:val="32A970B0"/>
    <w:rsid w:val="333A23FE"/>
    <w:rsid w:val="344258C0"/>
    <w:rsid w:val="34CC740B"/>
    <w:rsid w:val="35325511"/>
    <w:rsid w:val="369D0D46"/>
    <w:rsid w:val="37115BB5"/>
    <w:rsid w:val="374E0226"/>
    <w:rsid w:val="38D36DBE"/>
    <w:rsid w:val="393521E9"/>
    <w:rsid w:val="3A116E69"/>
    <w:rsid w:val="3A1741DD"/>
    <w:rsid w:val="3AB546FE"/>
    <w:rsid w:val="3BB33AD1"/>
    <w:rsid w:val="3BC30191"/>
    <w:rsid w:val="3CB925E5"/>
    <w:rsid w:val="3CDF21A9"/>
    <w:rsid w:val="3D1760A7"/>
    <w:rsid w:val="3DC71657"/>
    <w:rsid w:val="3E6B3DB3"/>
    <w:rsid w:val="3E8105A3"/>
    <w:rsid w:val="3EAF2DBD"/>
    <w:rsid w:val="3EF959A7"/>
    <w:rsid w:val="41DF489C"/>
    <w:rsid w:val="42263C07"/>
    <w:rsid w:val="4229548A"/>
    <w:rsid w:val="42864D18"/>
    <w:rsid w:val="42B0108D"/>
    <w:rsid w:val="430E0E56"/>
    <w:rsid w:val="43EE526A"/>
    <w:rsid w:val="45CE5264"/>
    <w:rsid w:val="45E4748A"/>
    <w:rsid w:val="465D0485"/>
    <w:rsid w:val="46FB29AD"/>
    <w:rsid w:val="4753416B"/>
    <w:rsid w:val="47CE6521"/>
    <w:rsid w:val="48076156"/>
    <w:rsid w:val="4823219D"/>
    <w:rsid w:val="49117305"/>
    <w:rsid w:val="499852D0"/>
    <w:rsid w:val="4A527C06"/>
    <w:rsid w:val="4A9B77CE"/>
    <w:rsid w:val="4AE253FD"/>
    <w:rsid w:val="4B216F3F"/>
    <w:rsid w:val="4B671D01"/>
    <w:rsid w:val="4B7342A7"/>
    <w:rsid w:val="4BC00705"/>
    <w:rsid w:val="4C5C21DA"/>
    <w:rsid w:val="4C5F6FBD"/>
    <w:rsid w:val="4D743F23"/>
    <w:rsid w:val="4DAA2314"/>
    <w:rsid w:val="4E8C5DAC"/>
    <w:rsid w:val="4ECB6B45"/>
    <w:rsid w:val="4F0B72EA"/>
    <w:rsid w:val="4F5240C6"/>
    <w:rsid w:val="4FB0717E"/>
    <w:rsid w:val="50504BB7"/>
    <w:rsid w:val="513424C7"/>
    <w:rsid w:val="51823496"/>
    <w:rsid w:val="51912641"/>
    <w:rsid w:val="51D9423F"/>
    <w:rsid w:val="51E90E1F"/>
    <w:rsid w:val="5266163F"/>
    <w:rsid w:val="52B52187"/>
    <w:rsid w:val="52E67B99"/>
    <w:rsid w:val="52F1442F"/>
    <w:rsid w:val="5302488E"/>
    <w:rsid w:val="531E5B66"/>
    <w:rsid w:val="53AB0A82"/>
    <w:rsid w:val="53CD194D"/>
    <w:rsid w:val="53D747AB"/>
    <w:rsid w:val="545729B8"/>
    <w:rsid w:val="548337AD"/>
    <w:rsid w:val="54B27BEE"/>
    <w:rsid w:val="54B36A85"/>
    <w:rsid w:val="562724C3"/>
    <w:rsid w:val="564F0AC4"/>
    <w:rsid w:val="56CB48B7"/>
    <w:rsid w:val="56E9604A"/>
    <w:rsid w:val="572B4EFC"/>
    <w:rsid w:val="57E32D22"/>
    <w:rsid w:val="59030A64"/>
    <w:rsid w:val="59B77A55"/>
    <w:rsid w:val="5A0272FA"/>
    <w:rsid w:val="5A47702B"/>
    <w:rsid w:val="5BCA630A"/>
    <w:rsid w:val="5C78171D"/>
    <w:rsid w:val="5D7C2B5D"/>
    <w:rsid w:val="5E5E170D"/>
    <w:rsid w:val="5E780936"/>
    <w:rsid w:val="5E9443E0"/>
    <w:rsid w:val="5F2A3060"/>
    <w:rsid w:val="609035D2"/>
    <w:rsid w:val="60C969EB"/>
    <w:rsid w:val="616466CE"/>
    <w:rsid w:val="61682B46"/>
    <w:rsid w:val="619E084C"/>
    <w:rsid w:val="61DF7192"/>
    <w:rsid w:val="6252656D"/>
    <w:rsid w:val="64041AE8"/>
    <w:rsid w:val="646B7DB9"/>
    <w:rsid w:val="64D50816"/>
    <w:rsid w:val="664E0674"/>
    <w:rsid w:val="66CC6958"/>
    <w:rsid w:val="68693416"/>
    <w:rsid w:val="68893CF7"/>
    <w:rsid w:val="693370F8"/>
    <w:rsid w:val="69801C11"/>
    <w:rsid w:val="699A724E"/>
    <w:rsid w:val="6AB2229E"/>
    <w:rsid w:val="6AD62431"/>
    <w:rsid w:val="6B5E41D4"/>
    <w:rsid w:val="6B8314CF"/>
    <w:rsid w:val="6C0062C3"/>
    <w:rsid w:val="6C066099"/>
    <w:rsid w:val="6C9E6F7E"/>
    <w:rsid w:val="6CD31019"/>
    <w:rsid w:val="6DEA1D4F"/>
    <w:rsid w:val="6E00504A"/>
    <w:rsid w:val="6E61036E"/>
    <w:rsid w:val="6EA63EC8"/>
    <w:rsid w:val="6EF16CAA"/>
    <w:rsid w:val="6F0C3500"/>
    <w:rsid w:val="6F1352D6"/>
    <w:rsid w:val="6F280ED6"/>
    <w:rsid w:val="6F6F075E"/>
    <w:rsid w:val="70123F1D"/>
    <w:rsid w:val="701B360B"/>
    <w:rsid w:val="70C1740A"/>
    <w:rsid w:val="71554DCC"/>
    <w:rsid w:val="715F4A1C"/>
    <w:rsid w:val="71922761"/>
    <w:rsid w:val="72F571CC"/>
    <w:rsid w:val="73591F0C"/>
    <w:rsid w:val="7372081D"/>
    <w:rsid w:val="73AE6E29"/>
    <w:rsid w:val="73BE0F24"/>
    <w:rsid w:val="73EA30DE"/>
    <w:rsid w:val="74450693"/>
    <w:rsid w:val="74595033"/>
    <w:rsid w:val="749B20E4"/>
    <w:rsid w:val="74A13A9D"/>
    <w:rsid w:val="759E3B4B"/>
    <w:rsid w:val="75ED4AD2"/>
    <w:rsid w:val="76BE5591"/>
    <w:rsid w:val="76E75CCC"/>
    <w:rsid w:val="76E804FA"/>
    <w:rsid w:val="76EE5236"/>
    <w:rsid w:val="777D1F3B"/>
    <w:rsid w:val="779B7D16"/>
    <w:rsid w:val="783764D9"/>
    <w:rsid w:val="784A620C"/>
    <w:rsid w:val="787F42CC"/>
    <w:rsid w:val="78D2353D"/>
    <w:rsid w:val="792A3948"/>
    <w:rsid w:val="79634226"/>
    <w:rsid w:val="79D264B9"/>
    <w:rsid w:val="7A146AD1"/>
    <w:rsid w:val="7B314B5C"/>
    <w:rsid w:val="7B7A2964"/>
    <w:rsid w:val="7C0148BF"/>
    <w:rsid w:val="7C3C40BE"/>
    <w:rsid w:val="7C5B554D"/>
    <w:rsid w:val="7CA37C99"/>
    <w:rsid w:val="7D1D6F2F"/>
    <w:rsid w:val="7D47051B"/>
    <w:rsid w:val="7E7B5F69"/>
    <w:rsid w:val="7ED3091C"/>
    <w:rsid w:val="7FA2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99" w:semiHidden="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jc w:val="center"/>
      <w:outlineLvl w:val="0"/>
    </w:pPr>
    <w:rPr>
      <w:b/>
      <w:bCs/>
      <w:sz w:val="32"/>
    </w:rPr>
  </w:style>
  <w:style w:type="paragraph" w:styleId="3">
    <w:name w:val="heading 2"/>
    <w:basedOn w:val="1"/>
    <w:next w:val="1"/>
    <w:link w:val="8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link w:val="53"/>
    <w:qFormat/>
    <w:uiPriority w:val="0"/>
    <w:pPr>
      <w:keepNext/>
      <w:keepLines/>
      <w:spacing w:before="280" w:after="290" w:line="376" w:lineRule="auto"/>
      <w:outlineLvl w:val="3"/>
    </w:pPr>
    <w:rPr>
      <w:rFonts w:ascii="宋体" w:hAnsi="Arial" w:eastAsia="黑体"/>
      <w:b/>
      <w:kern w:val="0"/>
      <w:sz w:val="24"/>
      <w:szCs w:val="20"/>
    </w:rPr>
  </w:style>
  <w:style w:type="paragraph" w:styleId="6">
    <w:name w:val="heading 5"/>
    <w:basedOn w:val="1"/>
    <w:next w:val="7"/>
    <w:link w:val="81"/>
    <w:qFormat/>
    <w:uiPriority w:val="0"/>
    <w:pPr>
      <w:keepNext/>
      <w:keepLines/>
      <w:spacing w:before="280" w:after="290" w:line="376" w:lineRule="auto"/>
      <w:outlineLvl w:val="4"/>
    </w:pPr>
    <w:rPr>
      <w:b/>
      <w:kern w:val="0"/>
      <w:sz w:val="28"/>
      <w:szCs w:val="20"/>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7"/>
    <w:link w:val="67"/>
    <w:qFormat/>
    <w:uiPriority w:val="0"/>
    <w:pPr>
      <w:keepNext/>
      <w:keepLines/>
      <w:spacing w:before="240" w:after="64" w:line="320" w:lineRule="auto"/>
      <w:outlineLvl w:val="6"/>
    </w:pPr>
    <w:rPr>
      <w:b/>
      <w:kern w:val="0"/>
      <w:sz w:val="24"/>
      <w:szCs w:val="20"/>
    </w:rPr>
  </w:style>
  <w:style w:type="paragraph" w:styleId="10">
    <w:name w:val="heading 8"/>
    <w:basedOn w:val="1"/>
    <w:next w:val="7"/>
    <w:link w:val="5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85"/>
    <w:qFormat/>
    <w:uiPriority w:val="0"/>
    <w:pPr>
      <w:keepNext/>
      <w:keepLines/>
      <w:spacing w:before="240" w:after="64" w:line="320" w:lineRule="auto"/>
      <w:outlineLvl w:val="8"/>
    </w:pPr>
    <w:rPr>
      <w:rFonts w:ascii="Arial" w:hAnsi="Arial" w:eastAsia="黑体"/>
      <w:kern w:val="0"/>
      <w:sz w:val="20"/>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6"/>
    <w:qFormat/>
    <w:uiPriority w:val="0"/>
    <w:pPr>
      <w:ind w:firstLine="420"/>
    </w:pPr>
    <w:rPr>
      <w:kern w:val="0"/>
      <w:sz w:val="20"/>
      <w:szCs w:val="20"/>
    </w:rPr>
  </w:style>
  <w:style w:type="paragraph" w:styleId="12">
    <w:name w:val="caption"/>
    <w:basedOn w:val="1"/>
    <w:next w:val="1"/>
    <w:semiHidden/>
    <w:unhideWhenUsed/>
    <w:qFormat/>
    <w:uiPriority w:val="0"/>
    <w:pPr>
      <w:spacing w:before="152" w:after="160"/>
    </w:pPr>
    <w:rPr>
      <w:rFonts w:ascii="Arial" w:hAnsi="Arial" w:eastAsia="黑体" w:cs="Arial"/>
      <w:sz w:val="20"/>
      <w:szCs w:val="20"/>
    </w:rPr>
  </w:style>
  <w:style w:type="paragraph" w:styleId="13">
    <w:name w:val="Document Map"/>
    <w:basedOn w:val="1"/>
    <w:link w:val="78"/>
    <w:semiHidden/>
    <w:qFormat/>
    <w:uiPriority w:val="0"/>
    <w:pPr>
      <w:shd w:val="clear" w:color="auto" w:fill="000080"/>
    </w:pPr>
    <w:rPr>
      <w:kern w:val="0"/>
      <w:sz w:val="20"/>
    </w:rPr>
  </w:style>
  <w:style w:type="paragraph" w:styleId="14">
    <w:name w:val="annotation text"/>
    <w:basedOn w:val="1"/>
    <w:link w:val="57"/>
    <w:unhideWhenUsed/>
    <w:qFormat/>
    <w:uiPriority w:val="0"/>
    <w:pPr>
      <w:jc w:val="left"/>
    </w:pPr>
  </w:style>
  <w:style w:type="paragraph" w:styleId="15">
    <w:name w:val="Body Text 3"/>
    <w:basedOn w:val="1"/>
    <w:link w:val="119"/>
    <w:unhideWhenUsed/>
    <w:qFormat/>
    <w:uiPriority w:val="0"/>
    <w:pPr>
      <w:spacing w:after="120"/>
    </w:pPr>
    <w:rPr>
      <w:sz w:val="16"/>
      <w:szCs w:val="16"/>
    </w:rPr>
  </w:style>
  <w:style w:type="paragraph" w:styleId="16">
    <w:name w:val="Body Text"/>
    <w:basedOn w:val="1"/>
    <w:link w:val="71"/>
    <w:qFormat/>
    <w:uiPriority w:val="0"/>
    <w:pPr>
      <w:autoSpaceDE w:val="0"/>
      <w:autoSpaceDN w:val="0"/>
      <w:adjustRightInd w:val="0"/>
      <w:spacing w:after="120"/>
      <w:jc w:val="left"/>
    </w:pPr>
    <w:rPr>
      <w:rFonts w:ascii="宋体"/>
      <w:kern w:val="0"/>
      <w:sz w:val="34"/>
      <w:szCs w:val="20"/>
    </w:rPr>
  </w:style>
  <w:style w:type="paragraph" w:styleId="17">
    <w:name w:val="Body Text Indent"/>
    <w:basedOn w:val="1"/>
    <w:link w:val="76"/>
    <w:qFormat/>
    <w:uiPriority w:val="0"/>
    <w:pPr>
      <w:spacing w:line="200" w:lineRule="exact"/>
      <w:ind w:firstLine="301"/>
    </w:pPr>
    <w:rPr>
      <w:rFonts w:ascii="宋体" w:hAnsi="Courier New"/>
      <w:spacing w:val="-4"/>
      <w:kern w:val="0"/>
      <w:sz w:val="18"/>
      <w:szCs w:val="20"/>
    </w:rPr>
  </w:style>
  <w:style w:type="paragraph" w:styleId="18">
    <w:name w:val="index 4"/>
    <w:basedOn w:val="1"/>
    <w:next w:val="1"/>
    <w:unhideWhenUsed/>
    <w:qFormat/>
    <w:uiPriority w:val="99"/>
    <w:pPr>
      <w:ind w:left="600" w:leftChars="600"/>
    </w:pPr>
    <w:rPr>
      <w:rFonts w:ascii="Verdana" w:hAnsi="Verdana"/>
      <w:szCs w:val="20"/>
    </w:rPr>
  </w:style>
  <w:style w:type="paragraph" w:styleId="19">
    <w:name w:val="toc 3"/>
    <w:basedOn w:val="1"/>
    <w:next w:val="1"/>
    <w:unhideWhenUsed/>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66"/>
    <w:qFormat/>
    <w:uiPriority w:val="0"/>
    <w:rPr>
      <w:rFonts w:ascii="宋体" w:hAnsi="Courier New"/>
      <w:kern w:val="0"/>
      <w:sz w:val="20"/>
      <w:szCs w:val="20"/>
    </w:rPr>
  </w:style>
  <w:style w:type="paragraph" w:styleId="21">
    <w:name w:val="toc 8"/>
    <w:basedOn w:val="1"/>
    <w:next w:val="1"/>
    <w:semiHidden/>
    <w:qFormat/>
    <w:uiPriority w:val="0"/>
    <w:pPr>
      <w:tabs>
        <w:tab w:val="left" w:pos="358"/>
      </w:tabs>
      <w:ind w:left="2940" w:leftChars="1400"/>
    </w:pPr>
  </w:style>
  <w:style w:type="paragraph" w:styleId="22">
    <w:name w:val="Date"/>
    <w:basedOn w:val="1"/>
    <w:next w:val="1"/>
    <w:link w:val="64"/>
    <w:qFormat/>
    <w:uiPriority w:val="0"/>
    <w:pPr>
      <w:ind w:left="100" w:leftChars="2500"/>
    </w:pPr>
    <w:rPr>
      <w:spacing w:val="30"/>
      <w:kern w:val="0"/>
      <w:sz w:val="28"/>
    </w:rPr>
  </w:style>
  <w:style w:type="paragraph" w:styleId="23">
    <w:name w:val="Body Text Indent 2"/>
    <w:basedOn w:val="1"/>
    <w:link w:val="63"/>
    <w:qFormat/>
    <w:uiPriority w:val="0"/>
    <w:pPr>
      <w:spacing w:line="400" w:lineRule="exact"/>
      <w:ind w:firstLine="480"/>
    </w:pPr>
    <w:rPr>
      <w:kern w:val="0"/>
      <w:sz w:val="20"/>
    </w:rPr>
  </w:style>
  <w:style w:type="paragraph" w:styleId="24">
    <w:name w:val="Balloon Text"/>
    <w:basedOn w:val="1"/>
    <w:link w:val="69"/>
    <w:semiHidden/>
    <w:qFormat/>
    <w:uiPriority w:val="0"/>
    <w:rPr>
      <w:kern w:val="0"/>
      <w:sz w:val="18"/>
      <w:szCs w:val="18"/>
    </w:rPr>
  </w:style>
  <w:style w:type="paragraph" w:styleId="25">
    <w:name w:val="footer"/>
    <w:basedOn w:val="1"/>
    <w:link w:val="70"/>
    <w:qFormat/>
    <w:uiPriority w:val="99"/>
    <w:pPr>
      <w:tabs>
        <w:tab w:val="center" w:pos="4153"/>
        <w:tab w:val="right" w:pos="8306"/>
      </w:tabs>
      <w:snapToGrid w:val="0"/>
      <w:jc w:val="left"/>
    </w:pPr>
    <w:rPr>
      <w:rFonts w:ascii="宋体" w:hAnsi="Courier New"/>
      <w:kern w:val="0"/>
      <w:sz w:val="18"/>
      <w:szCs w:val="20"/>
    </w:rPr>
  </w:style>
  <w:style w:type="paragraph" w:styleId="26">
    <w:name w:val="envelope return"/>
    <w:basedOn w:val="1"/>
    <w:qFormat/>
    <w:uiPriority w:val="0"/>
    <w:pPr>
      <w:snapToGrid w:val="0"/>
    </w:pPr>
    <w:rPr>
      <w:rFonts w:ascii="Arial" w:hAnsi="Arial"/>
    </w:rPr>
  </w:style>
  <w:style w:type="paragraph" w:styleId="27">
    <w:name w:val="header"/>
    <w:basedOn w:val="1"/>
    <w:link w:val="60"/>
    <w:qFormat/>
    <w:uiPriority w:val="0"/>
    <w:pPr>
      <w:pBdr>
        <w:bottom w:val="single" w:color="auto" w:sz="6" w:space="1"/>
      </w:pBdr>
      <w:tabs>
        <w:tab w:val="center" w:pos="4153"/>
        <w:tab w:val="right" w:pos="8306"/>
      </w:tabs>
      <w:snapToGrid w:val="0"/>
      <w:jc w:val="center"/>
    </w:pPr>
    <w:rPr>
      <w:rFonts w:ascii="宋体" w:hAnsi="Courier New"/>
      <w:kern w:val="0"/>
      <w:sz w:val="18"/>
      <w:szCs w:val="20"/>
    </w:rPr>
  </w:style>
  <w:style w:type="paragraph" w:styleId="28">
    <w:name w:val="toc 1"/>
    <w:basedOn w:val="1"/>
    <w:next w:val="1"/>
    <w:unhideWhenUsed/>
    <w:qFormat/>
    <w:uiPriority w:val="39"/>
    <w:pPr>
      <w:widowControl/>
      <w:spacing w:after="100" w:line="276" w:lineRule="auto"/>
      <w:jc w:val="left"/>
    </w:pPr>
    <w:rPr>
      <w:rFonts w:ascii="Calibri" w:hAnsi="Calibri" w:cs="黑体"/>
      <w:kern w:val="0"/>
      <w:sz w:val="22"/>
      <w:szCs w:val="22"/>
    </w:rPr>
  </w:style>
  <w:style w:type="paragraph" w:styleId="29">
    <w:name w:val="List"/>
    <w:basedOn w:val="1"/>
    <w:semiHidden/>
    <w:unhideWhenUsed/>
    <w:qFormat/>
    <w:uiPriority w:val="0"/>
    <w:pPr>
      <w:ind w:left="200" w:hanging="200" w:hangingChars="200"/>
    </w:pPr>
    <w:rPr>
      <w:sz w:val="28"/>
    </w:rPr>
  </w:style>
  <w:style w:type="paragraph" w:styleId="30">
    <w:name w:val="Body Text Indent 3"/>
    <w:basedOn w:val="1"/>
    <w:link w:val="82"/>
    <w:qFormat/>
    <w:uiPriority w:val="0"/>
    <w:pPr>
      <w:spacing w:line="360" w:lineRule="auto"/>
      <w:ind w:firstLine="359" w:firstLineChars="171"/>
    </w:pPr>
    <w:rPr>
      <w:kern w:val="0"/>
      <w:sz w:val="20"/>
    </w:rPr>
  </w:style>
  <w:style w:type="paragraph" w:styleId="31">
    <w:name w:val="toc 2"/>
    <w:basedOn w:val="1"/>
    <w:next w:val="1"/>
    <w:unhideWhenUsed/>
    <w:qFormat/>
    <w:uiPriority w:val="39"/>
    <w:pPr>
      <w:widowControl/>
      <w:spacing w:after="100" w:line="276" w:lineRule="auto"/>
      <w:ind w:left="220"/>
      <w:jc w:val="left"/>
    </w:pPr>
    <w:rPr>
      <w:rFonts w:ascii="Calibri" w:hAnsi="Calibri" w:cs="黑体"/>
      <w:kern w:val="0"/>
      <w:sz w:val="22"/>
      <w:szCs w:val="22"/>
    </w:rPr>
  </w:style>
  <w:style w:type="paragraph" w:styleId="3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3">
    <w:name w:val="Normal (Web)"/>
    <w:basedOn w:val="1"/>
    <w:qFormat/>
    <w:uiPriority w:val="0"/>
    <w:pPr>
      <w:spacing w:beforeAutospacing="1" w:afterAutospacing="1"/>
      <w:jc w:val="left"/>
    </w:pPr>
    <w:rPr>
      <w:kern w:val="0"/>
      <w:sz w:val="24"/>
    </w:rPr>
  </w:style>
  <w:style w:type="paragraph" w:styleId="34">
    <w:name w:val="index 1"/>
    <w:basedOn w:val="1"/>
    <w:next w:val="1"/>
    <w:semiHidden/>
    <w:qFormat/>
    <w:uiPriority w:val="0"/>
    <w:pPr>
      <w:spacing w:line="360" w:lineRule="exact"/>
      <w:ind w:firstLine="432" w:firstLineChars="240"/>
    </w:pPr>
    <w:rPr>
      <w:rFonts w:ascii="宋体" w:hAnsi="宋体"/>
      <w:bCs/>
      <w:sz w:val="18"/>
      <w:szCs w:val="18"/>
    </w:rPr>
  </w:style>
  <w:style w:type="paragraph" w:styleId="35">
    <w:name w:val="annotation subject"/>
    <w:basedOn w:val="14"/>
    <w:next w:val="14"/>
    <w:link w:val="116"/>
    <w:semiHidden/>
    <w:unhideWhenUsed/>
    <w:qFormat/>
    <w:uiPriority w:val="0"/>
    <w:rPr>
      <w:b/>
      <w:bCs/>
    </w:rPr>
  </w:style>
  <w:style w:type="paragraph" w:styleId="36">
    <w:name w:val="Body Text First Indent 2"/>
    <w:basedOn w:val="17"/>
    <w:link w:val="125"/>
    <w:qFormat/>
    <w:uiPriority w:val="0"/>
    <w:pPr>
      <w:spacing w:after="120" w:line="240" w:lineRule="auto"/>
      <w:ind w:left="420" w:leftChars="200" w:firstLine="420" w:firstLineChars="200"/>
    </w:pPr>
    <w:rPr>
      <w:rFonts w:ascii="Times New Roman" w:hAnsi="Times New Roman"/>
      <w:spacing w:val="0"/>
      <w:kern w:val="2"/>
      <w:sz w:val="21"/>
      <w:szCs w:val="24"/>
    </w:rPr>
  </w:style>
  <w:style w:type="table" w:styleId="38">
    <w:name w:val="Table Grid"/>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0"/>
    <w:rPr>
      <w:color w:val="CC0000"/>
    </w:rPr>
  </w:style>
  <w:style w:type="character" w:styleId="44">
    <w:name w:val="Hyperlink"/>
    <w:qFormat/>
    <w:uiPriority w:val="99"/>
    <w:rPr>
      <w:color w:val="0000FF"/>
      <w:u w:val="single"/>
    </w:rPr>
  </w:style>
  <w:style w:type="character" w:styleId="45">
    <w:name w:val="annotation reference"/>
    <w:basedOn w:val="39"/>
    <w:qFormat/>
    <w:uiPriority w:val="0"/>
    <w:rPr>
      <w:sz w:val="21"/>
    </w:rPr>
  </w:style>
  <w:style w:type="character" w:styleId="46">
    <w:name w:val="HTML Sample"/>
    <w:unhideWhenUsed/>
    <w:qFormat/>
    <w:uiPriority w:val="99"/>
    <w:rPr>
      <w:rFonts w:ascii="Courier New" w:hAnsi="Courier New"/>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模板普通正文"/>
    <w:basedOn w:val="17"/>
    <w:qFormat/>
    <w:uiPriority w:val="0"/>
    <w:pPr>
      <w:spacing w:beforeLines="50" w:after="10"/>
      <w:ind w:firstLine="490" w:firstLineChars="175"/>
      <w:jc w:val="left"/>
    </w:pPr>
  </w:style>
  <w:style w:type="paragraph" w:customStyle="1" w:styleId="49">
    <w:name w:val="NormalIndent"/>
    <w:basedOn w:val="1"/>
    <w:qFormat/>
    <w:uiPriority w:val="0"/>
    <w:pPr>
      <w:ind w:firstLine="420"/>
    </w:pPr>
    <w:rPr>
      <w:szCs w:val="21"/>
    </w:rPr>
  </w:style>
  <w:style w:type="character" w:customStyle="1" w:styleId="50">
    <w:name w:val="style31"/>
    <w:qFormat/>
    <w:uiPriority w:val="0"/>
    <w:rPr>
      <w:sz w:val="18"/>
      <w:szCs w:val="18"/>
    </w:rPr>
  </w:style>
  <w:style w:type="character" w:customStyle="1" w:styleId="51">
    <w:name w:val="标题 6 字符"/>
    <w:link w:val="8"/>
    <w:qFormat/>
    <w:uiPriority w:val="0"/>
    <w:rPr>
      <w:rFonts w:ascii="Arial" w:hAnsi="Arial" w:eastAsia="黑体"/>
      <w:b/>
      <w:sz w:val="24"/>
    </w:rPr>
  </w:style>
  <w:style w:type="character" w:customStyle="1" w:styleId="52">
    <w:name w:val="apple-style-span"/>
    <w:basedOn w:val="39"/>
    <w:qFormat/>
    <w:uiPriority w:val="0"/>
  </w:style>
  <w:style w:type="character" w:customStyle="1" w:styleId="53">
    <w:name w:val="标题 4 字符"/>
    <w:link w:val="5"/>
    <w:qFormat/>
    <w:uiPriority w:val="0"/>
    <w:rPr>
      <w:rFonts w:ascii="宋体" w:hAnsi="Arial" w:eastAsia="黑体"/>
      <w:b/>
      <w:sz w:val="24"/>
    </w:rPr>
  </w:style>
  <w:style w:type="character" w:customStyle="1" w:styleId="54">
    <w:name w:val="Char Char2"/>
    <w:semiHidden/>
    <w:qFormat/>
    <w:uiPriority w:val="0"/>
    <w:rPr>
      <w:rFonts w:ascii="宋体" w:hAnsi="Courier New" w:eastAsia="宋体"/>
      <w:spacing w:val="-4"/>
      <w:kern w:val="2"/>
      <w:sz w:val="18"/>
      <w:lang w:val="en-US" w:eastAsia="zh-CN" w:bidi="ar-SA"/>
    </w:rPr>
  </w:style>
  <w:style w:type="character" w:customStyle="1" w:styleId="55">
    <w:name w:val="font11"/>
    <w:qFormat/>
    <w:uiPriority w:val="0"/>
    <w:rPr>
      <w:rFonts w:hint="default" w:ascii="Tahoma" w:hAnsi="Tahoma" w:cs="Tahoma"/>
      <w:color w:val="000000"/>
      <w:sz w:val="22"/>
      <w:szCs w:val="22"/>
      <w:u w:val="none"/>
    </w:rPr>
  </w:style>
  <w:style w:type="character" w:customStyle="1" w:styleId="56">
    <w:name w:val="普通文字 Char Char1"/>
    <w:semiHidden/>
    <w:qFormat/>
    <w:uiPriority w:val="0"/>
    <w:rPr>
      <w:rFonts w:ascii="宋体" w:hAnsi="Courier New" w:eastAsia="宋体"/>
      <w:kern w:val="2"/>
      <w:sz w:val="21"/>
      <w:lang w:val="en-US" w:eastAsia="zh-CN" w:bidi="ar-SA"/>
    </w:rPr>
  </w:style>
  <w:style w:type="character" w:customStyle="1" w:styleId="57">
    <w:name w:val="批注文字 字符"/>
    <w:link w:val="14"/>
    <w:qFormat/>
    <w:uiPriority w:val="0"/>
    <w:rPr>
      <w:rFonts w:eastAsia="宋体"/>
      <w:kern w:val="2"/>
      <w:sz w:val="21"/>
      <w:szCs w:val="24"/>
      <w:lang w:val="en-US" w:eastAsia="zh-CN" w:bidi="ar-SA"/>
    </w:rPr>
  </w:style>
  <w:style w:type="character" w:customStyle="1" w:styleId="58">
    <w:name w:val="标题 8 字符"/>
    <w:link w:val="10"/>
    <w:qFormat/>
    <w:uiPriority w:val="0"/>
    <w:rPr>
      <w:rFonts w:ascii="Arial" w:hAnsi="Arial" w:eastAsia="黑体"/>
      <w:sz w:val="24"/>
    </w:rPr>
  </w:style>
  <w:style w:type="character" w:customStyle="1" w:styleId="59">
    <w:name w:val="font31"/>
    <w:qFormat/>
    <w:uiPriority w:val="0"/>
    <w:rPr>
      <w:rFonts w:hint="eastAsia" w:ascii="宋体" w:hAnsi="宋体" w:eastAsia="宋体"/>
      <w:color w:val="000000"/>
      <w:sz w:val="22"/>
      <w:szCs w:val="22"/>
      <w:u w:val="none"/>
    </w:rPr>
  </w:style>
  <w:style w:type="character" w:customStyle="1" w:styleId="60">
    <w:name w:val="页眉 字符"/>
    <w:link w:val="27"/>
    <w:qFormat/>
    <w:uiPriority w:val="0"/>
    <w:rPr>
      <w:rFonts w:ascii="宋体" w:hAnsi="Courier New" w:eastAsia="宋体" w:cs="Times New Roman"/>
      <w:sz w:val="18"/>
      <w:szCs w:val="20"/>
    </w:rPr>
  </w:style>
  <w:style w:type="character" w:customStyle="1" w:styleId="61">
    <w:name w:val="纯文本 Char"/>
    <w:qFormat/>
    <w:uiPriority w:val="0"/>
    <w:rPr>
      <w:rFonts w:ascii="宋体" w:hAnsi="Courier New" w:eastAsia="宋体" w:cs="Courier New"/>
      <w:szCs w:val="21"/>
    </w:rPr>
  </w:style>
  <w:style w:type="character" w:customStyle="1" w:styleId="62">
    <w:name w:val="style54"/>
    <w:basedOn w:val="39"/>
    <w:qFormat/>
    <w:uiPriority w:val="0"/>
  </w:style>
  <w:style w:type="character" w:customStyle="1" w:styleId="63">
    <w:name w:val="正文文本缩进 2 字符"/>
    <w:link w:val="23"/>
    <w:qFormat/>
    <w:uiPriority w:val="0"/>
    <w:rPr>
      <w:rFonts w:ascii="Times New Roman" w:hAnsi="Times New Roman" w:eastAsia="宋体" w:cs="Times New Roman"/>
      <w:szCs w:val="24"/>
    </w:rPr>
  </w:style>
  <w:style w:type="character" w:customStyle="1" w:styleId="64">
    <w:name w:val="日期 字符"/>
    <w:link w:val="22"/>
    <w:qFormat/>
    <w:uiPriority w:val="0"/>
    <w:rPr>
      <w:rFonts w:ascii="Times New Roman" w:hAnsi="Times New Roman" w:eastAsia="宋体" w:cs="Times New Roman"/>
      <w:spacing w:val="30"/>
      <w:sz w:val="28"/>
      <w:szCs w:val="24"/>
    </w:rPr>
  </w:style>
  <w:style w:type="character" w:customStyle="1" w:styleId="65">
    <w:name w:val="font01"/>
    <w:qFormat/>
    <w:uiPriority w:val="0"/>
    <w:rPr>
      <w:rFonts w:hint="eastAsia" w:ascii="宋体" w:hAnsi="宋体" w:eastAsia="宋体"/>
      <w:color w:val="000000"/>
      <w:sz w:val="22"/>
      <w:szCs w:val="22"/>
      <w:u w:val="none"/>
    </w:rPr>
  </w:style>
  <w:style w:type="character" w:customStyle="1" w:styleId="66">
    <w:name w:val="纯文本 字符"/>
    <w:link w:val="20"/>
    <w:qFormat/>
    <w:uiPriority w:val="0"/>
    <w:rPr>
      <w:rFonts w:ascii="宋体" w:hAnsi="Courier New" w:eastAsia="宋体" w:cs="Times New Roman"/>
      <w:szCs w:val="20"/>
    </w:rPr>
  </w:style>
  <w:style w:type="character" w:customStyle="1" w:styleId="67">
    <w:name w:val="标题 7 字符"/>
    <w:link w:val="9"/>
    <w:qFormat/>
    <w:uiPriority w:val="0"/>
    <w:rPr>
      <w:b/>
      <w:sz w:val="24"/>
    </w:rPr>
  </w:style>
  <w:style w:type="character" w:customStyle="1" w:styleId="68">
    <w:name w:val="1051"/>
    <w:qFormat/>
    <w:uiPriority w:val="0"/>
    <w:rPr>
      <w:sz w:val="21"/>
      <w:szCs w:val="21"/>
    </w:rPr>
  </w:style>
  <w:style w:type="character" w:customStyle="1" w:styleId="69">
    <w:name w:val="批注框文本 字符"/>
    <w:link w:val="24"/>
    <w:semiHidden/>
    <w:qFormat/>
    <w:uiPriority w:val="0"/>
    <w:rPr>
      <w:rFonts w:ascii="Times New Roman" w:hAnsi="Times New Roman" w:eastAsia="宋体" w:cs="Times New Roman"/>
      <w:sz w:val="18"/>
      <w:szCs w:val="18"/>
    </w:rPr>
  </w:style>
  <w:style w:type="character" w:customStyle="1" w:styleId="70">
    <w:name w:val="页脚 字符"/>
    <w:link w:val="25"/>
    <w:qFormat/>
    <w:uiPriority w:val="99"/>
    <w:rPr>
      <w:rFonts w:ascii="宋体" w:hAnsi="Courier New" w:eastAsia="宋体" w:cs="Times New Roman"/>
      <w:sz w:val="18"/>
      <w:szCs w:val="20"/>
    </w:rPr>
  </w:style>
  <w:style w:type="character" w:customStyle="1" w:styleId="71">
    <w:name w:val="正文文本 字符"/>
    <w:link w:val="16"/>
    <w:qFormat/>
    <w:uiPriority w:val="0"/>
    <w:rPr>
      <w:rFonts w:ascii="宋体" w:hAnsi="Times New Roman" w:eastAsia="宋体" w:cs="Times New Roman"/>
      <w:kern w:val="0"/>
      <w:sz w:val="34"/>
      <w:szCs w:val="20"/>
    </w:rPr>
  </w:style>
  <w:style w:type="character" w:customStyle="1" w:styleId="72">
    <w:name w:val="标准文本 Char"/>
    <w:link w:val="73"/>
    <w:qFormat/>
    <w:uiPriority w:val="0"/>
    <w:rPr>
      <w:rFonts w:cs="宋体"/>
      <w:kern w:val="2"/>
      <w:sz w:val="24"/>
    </w:rPr>
  </w:style>
  <w:style w:type="paragraph" w:customStyle="1" w:styleId="73">
    <w:name w:val="标准文本"/>
    <w:basedOn w:val="1"/>
    <w:link w:val="72"/>
    <w:qFormat/>
    <w:uiPriority w:val="0"/>
    <w:pPr>
      <w:spacing w:line="360" w:lineRule="auto"/>
      <w:ind w:firstLine="480" w:firstLineChars="200"/>
    </w:pPr>
    <w:rPr>
      <w:sz w:val="24"/>
      <w:szCs w:val="20"/>
    </w:rPr>
  </w:style>
  <w:style w:type="character" w:customStyle="1" w:styleId="74">
    <w:name w:val="font41"/>
    <w:qFormat/>
    <w:uiPriority w:val="0"/>
    <w:rPr>
      <w:rFonts w:hint="eastAsia" w:ascii="宋体" w:hAnsi="宋体" w:eastAsia="宋体"/>
      <w:b/>
      <w:bCs/>
      <w:color w:val="000000"/>
      <w:sz w:val="22"/>
      <w:szCs w:val="22"/>
      <w:u w:val="none"/>
    </w:rPr>
  </w:style>
  <w:style w:type="character" w:customStyle="1" w:styleId="75">
    <w:name w:val="unnamed21"/>
    <w:basedOn w:val="39"/>
    <w:qFormat/>
    <w:uiPriority w:val="0"/>
  </w:style>
  <w:style w:type="character" w:customStyle="1" w:styleId="76">
    <w:name w:val="正文文本缩进 字符"/>
    <w:link w:val="17"/>
    <w:qFormat/>
    <w:uiPriority w:val="0"/>
    <w:rPr>
      <w:rFonts w:ascii="宋体" w:hAnsi="Courier New" w:eastAsia="宋体" w:cs="Times New Roman"/>
      <w:spacing w:val="-4"/>
      <w:sz w:val="18"/>
      <w:szCs w:val="20"/>
    </w:rPr>
  </w:style>
  <w:style w:type="character" w:customStyle="1" w:styleId="77">
    <w:name w:val="style51"/>
    <w:basedOn w:val="39"/>
    <w:qFormat/>
    <w:uiPriority w:val="0"/>
  </w:style>
  <w:style w:type="character" w:customStyle="1" w:styleId="78">
    <w:name w:val="文档结构图 字符"/>
    <w:link w:val="13"/>
    <w:semiHidden/>
    <w:qFormat/>
    <w:uiPriority w:val="0"/>
    <w:rPr>
      <w:rFonts w:ascii="Times New Roman" w:hAnsi="Times New Roman" w:eastAsia="宋体" w:cs="Times New Roman"/>
      <w:szCs w:val="24"/>
      <w:shd w:val="clear" w:color="auto" w:fill="000080"/>
    </w:rPr>
  </w:style>
  <w:style w:type="character" w:customStyle="1" w:styleId="79">
    <w:name w:val="纯文本 Char Char Char"/>
    <w:qFormat/>
    <w:uiPriority w:val="0"/>
    <w:rPr>
      <w:rFonts w:ascii="宋体" w:hAnsi="Courier New" w:eastAsia="宋体" w:cs="Courier New"/>
      <w:kern w:val="2"/>
      <w:sz w:val="21"/>
      <w:szCs w:val="21"/>
      <w:lang w:val="en-US" w:eastAsia="zh-CN" w:bidi="ar-SA"/>
    </w:rPr>
  </w:style>
  <w:style w:type="character" w:customStyle="1" w:styleId="80">
    <w:name w:val="标题 1 字符"/>
    <w:link w:val="2"/>
    <w:qFormat/>
    <w:uiPriority w:val="0"/>
    <w:rPr>
      <w:b/>
      <w:bCs/>
      <w:kern w:val="2"/>
      <w:sz w:val="32"/>
      <w:szCs w:val="24"/>
    </w:rPr>
  </w:style>
  <w:style w:type="character" w:customStyle="1" w:styleId="81">
    <w:name w:val="标题 5 字符"/>
    <w:link w:val="6"/>
    <w:qFormat/>
    <w:uiPriority w:val="0"/>
    <w:rPr>
      <w:b/>
      <w:sz w:val="28"/>
    </w:rPr>
  </w:style>
  <w:style w:type="character" w:customStyle="1" w:styleId="82">
    <w:name w:val="正文文本缩进 3 字符"/>
    <w:link w:val="30"/>
    <w:qFormat/>
    <w:uiPriority w:val="0"/>
    <w:rPr>
      <w:rFonts w:ascii="Times New Roman" w:hAnsi="Times New Roman" w:eastAsia="宋体" w:cs="Times New Roman"/>
      <w:szCs w:val="24"/>
    </w:rPr>
  </w:style>
  <w:style w:type="character" w:customStyle="1" w:styleId="83">
    <w:name w:val="HTML 预设格式 字符"/>
    <w:link w:val="32"/>
    <w:qFormat/>
    <w:uiPriority w:val="0"/>
    <w:rPr>
      <w:rFonts w:ascii="黑体" w:hAnsi="Courier New" w:eastAsia="黑体" w:cs="Courier New"/>
      <w:kern w:val="0"/>
      <w:sz w:val="20"/>
      <w:szCs w:val="20"/>
    </w:rPr>
  </w:style>
  <w:style w:type="character" w:customStyle="1" w:styleId="84">
    <w:name w:val="标题 2 字符"/>
    <w:link w:val="3"/>
    <w:qFormat/>
    <w:uiPriority w:val="0"/>
    <w:rPr>
      <w:rFonts w:ascii="Arial" w:hAnsi="Arial" w:eastAsia="黑体" w:cs="Times New Roman"/>
      <w:b/>
      <w:bCs/>
      <w:sz w:val="32"/>
      <w:szCs w:val="32"/>
    </w:rPr>
  </w:style>
  <w:style w:type="character" w:customStyle="1" w:styleId="85">
    <w:name w:val="标题 9 字符"/>
    <w:link w:val="11"/>
    <w:qFormat/>
    <w:uiPriority w:val="0"/>
    <w:rPr>
      <w:rFonts w:ascii="Arial" w:hAnsi="Arial" w:eastAsia="黑体"/>
    </w:rPr>
  </w:style>
  <w:style w:type="character" w:customStyle="1" w:styleId="86">
    <w:name w:val="正文缩进 字符"/>
    <w:link w:val="7"/>
    <w:qFormat/>
    <w:locked/>
    <w:uiPriority w:val="0"/>
    <w:rPr>
      <w:rFonts w:ascii="Times New Roman" w:hAnsi="Times New Roman" w:eastAsia="宋体" w:cs="Times New Roman"/>
      <w:szCs w:val="20"/>
    </w:rPr>
  </w:style>
  <w:style w:type="paragraph" w:customStyle="1" w:styleId="8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8">
    <w:name w:val="Table Paragraph"/>
    <w:basedOn w:val="1"/>
    <w:qFormat/>
    <w:uiPriority w:val="1"/>
    <w:pPr>
      <w:ind w:left="100" w:right="-10"/>
      <w:jc w:val="left"/>
    </w:pPr>
    <w:rPr>
      <w:rFonts w:ascii="宋体" w:hAnsi="宋体" w:cs="宋体"/>
      <w:kern w:val="0"/>
      <w:sz w:val="22"/>
      <w:szCs w:val="22"/>
      <w:lang w:eastAsia="en-US"/>
    </w:rPr>
  </w:style>
  <w:style w:type="paragraph" w:customStyle="1" w:styleId="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styleId="90">
    <w:name w:val="List Paragraph"/>
    <w:basedOn w:val="1"/>
    <w:qFormat/>
    <w:uiPriority w:val="99"/>
    <w:pPr>
      <w:ind w:firstLine="420" w:firstLineChars="200"/>
    </w:pPr>
    <w:rPr>
      <w:rFonts w:ascii="Calibri" w:hAnsi="Calibri"/>
      <w:szCs w:val="22"/>
    </w:rPr>
  </w:style>
  <w:style w:type="paragraph" w:customStyle="1" w:styleId="91">
    <w:name w:val="Char"/>
    <w:basedOn w:val="13"/>
    <w:qFormat/>
    <w:uiPriority w:val="0"/>
    <w:rPr>
      <w:rFonts w:ascii="Tahoma" w:hAnsi="Tahoma"/>
      <w:sz w:val="24"/>
    </w:rPr>
  </w:style>
  <w:style w:type="paragraph" w:customStyle="1" w:styleId="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3">
    <w:name w:val="p15"/>
    <w:basedOn w:val="1"/>
    <w:qFormat/>
    <w:uiPriority w:val="0"/>
    <w:pPr>
      <w:widowControl/>
    </w:pPr>
    <w:rPr>
      <w:rFonts w:ascii="宋体" w:hAnsi="宋体" w:cs="宋体"/>
      <w:kern w:val="0"/>
      <w:szCs w:val="21"/>
    </w:rPr>
  </w:style>
  <w:style w:type="paragraph" w:customStyle="1" w:styleId="94">
    <w:name w:val="样式3"/>
    <w:basedOn w:val="16"/>
    <w:qFormat/>
    <w:uiPriority w:val="0"/>
    <w:pPr>
      <w:adjustRightInd/>
      <w:spacing w:line="360" w:lineRule="auto"/>
      <w:jc w:val="both"/>
    </w:pPr>
    <w:rPr>
      <w:kern w:val="2"/>
      <w:sz w:val="21"/>
      <w:szCs w:val="24"/>
    </w:rPr>
  </w:style>
  <w:style w:type="paragraph" w:customStyle="1" w:styleId="95">
    <w:name w:val="Char Char Char Char Char Char Char"/>
    <w:basedOn w:val="1"/>
    <w:qFormat/>
    <w:uiPriority w:val="0"/>
  </w:style>
  <w:style w:type="paragraph" w:customStyle="1" w:styleId="96">
    <w:name w:val="Char Char Char Char"/>
    <w:basedOn w:val="13"/>
    <w:qFormat/>
    <w:uiPriority w:val="0"/>
    <w:rPr>
      <w:rFonts w:ascii="Tahoma" w:hAnsi="Tahoma"/>
      <w:sz w:val="24"/>
    </w:rPr>
  </w:style>
  <w:style w:type="paragraph" w:customStyle="1" w:styleId="97">
    <w:name w:val="样式1"/>
    <w:basedOn w:val="1"/>
    <w:qFormat/>
    <w:uiPriority w:val="0"/>
  </w:style>
  <w:style w:type="paragraph" w:customStyle="1" w:styleId="98">
    <w:name w:val="列出段落1"/>
    <w:basedOn w:val="1"/>
    <w:qFormat/>
    <w:uiPriority w:val="34"/>
    <w:pPr>
      <w:ind w:firstLine="420" w:firstLineChars="200"/>
    </w:pPr>
  </w:style>
  <w:style w:type="paragraph" w:customStyle="1" w:styleId="99">
    <w:name w:val="TOC 标题1"/>
    <w:basedOn w:val="2"/>
    <w:next w:val="1"/>
    <w:unhideWhenUsed/>
    <w:qFormat/>
    <w:uiPriority w:val="39"/>
    <w:pPr>
      <w:keepLines/>
      <w:widowControl/>
      <w:spacing w:before="480" w:line="276" w:lineRule="auto"/>
      <w:jc w:val="left"/>
      <w:outlineLvl w:val="9"/>
    </w:pPr>
    <w:rPr>
      <w:rFonts w:ascii="Cambria" w:hAnsi="Cambria" w:cs="黑体"/>
      <w:color w:val="365F90"/>
      <w:kern w:val="0"/>
      <w:sz w:val="28"/>
      <w:szCs w:val="28"/>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Char1"/>
    <w:basedOn w:val="13"/>
    <w:qFormat/>
    <w:uiPriority w:val="0"/>
    <w:pPr>
      <w:widowControl/>
      <w:ind w:firstLine="454"/>
      <w:jc w:val="left"/>
    </w:pPr>
    <w:rPr>
      <w:rFonts w:ascii="Tahoma" w:hAnsi="Tahoma" w:cs="宋体"/>
      <w:sz w:val="24"/>
      <w:szCs w:val="20"/>
    </w:rPr>
  </w:style>
  <w:style w:type="paragraph" w:customStyle="1" w:styleId="10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p0"/>
    <w:basedOn w:val="1"/>
    <w:qFormat/>
    <w:uiPriority w:val="0"/>
    <w:pPr>
      <w:widowControl/>
    </w:pPr>
    <w:rPr>
      <w:kern w:val="0"/>
      <w:szCs w:val="21"/>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08">
    <w:name w:val="默认段落字体 Para Char1"/>
    <w:next w:val="1"/>
    <w:qFormat/>
    <w:uiPriority w:val="0"/>
    <w:pPr>
      <w:keepNext/>
      <w:keepLines/>
      <w:tabs>
        <w:tab w:val="left" w:pos="360"/>
      </w:tabs>
      <w:snapToGrid w:val="0"/>
      <w:spacing w:before="240" w:after="240"/>
      <w:outlineLvl w:val="7"/>
    </w:pPr>
    <w:rPr>
      <w:rFonts w:ascii="Arial" w:hAnsi="Arial" w:eastAsia="宋体" w:cs="Arial"/>
      <w:lang w:val="en-US" w:eastAsia="zh-CN" w:bidi="ar-SA"/>
    </w:rPr>
  </w:style>
  <w:style w:type="paragraph" w:customStyle="1" w:styleId="109">
    <w:name w:val="F2"/>
    <w:basedOn w:val="1"/>
    <w:qFormat/>
    <w:uiPriority w:val="0"/>
    <w:pPr>
      <w:autoSpaceDE w:val="0"/>
      <w:autoSpaceDN w:val="0"/>
      <w:adjustRightInd w:val="0"/>
      <w:ind w:firstLine="601"/>
      <w:textAlignment w:val="baseline"/>
    </w:pPr>
    <w:rPr>
      <w:kern w:val="0"/>
      <w:sz w:val="24"/>
      <w:szCs w:val="20"/>
    </w:rPr>
  </w:style>
  <w:style w:type="paragraph" w:customStyle="1" w:styleId="11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3">
    <w:name w:val="列出段落2"/>
    <w:basedOn w:val="1"/>
    <w:unhideWhenUsed/>
    <w:qFormat/>
    <w:uiPriority w:val="34"/>
    <w:pPr>
      <w:ind w:firstLine="420" w:firstLineChars="200"/>
    </w:pPr>
    <w:rPr>
      <w:szCs w:val="20"/>
    </w:rPr>
  </w:style>
  <w:style w:type="paragraph" w:customStyle="1" w:styleId="114">
    <w:name w:val="_Style 5"/>
    <w:basedOn w:val="1"/>
    <w:qFormat/>
    <w:uiPriority w:val="34"/>
    <w:pPr>
      <w:spacing w:line="360" w:lineRule="auto"/>
      <w:ind w:firstLine="420" w:firstLineChars="200"/>
    </w:pPr>
    <w:rPr>
      <w:rFonts w:ascii="Calibri" w:hAnsi="Calibri"/>
      <w:szCs w:val="22"/>
    </w:rPr>
  </w:style>
  <w:style w:type="paragraph" w:customStyle="1" w:styleId="115">
    <w:name w:val="_Style 1"/>
    <w:basedOn w:val="1"/>
    <w:qFormat/>
    <w:uiPriority w:val="34"/>
    <w:pPr>
      <w:spacing w:line="360" w:lineRule="auto"/>
      <w:ind w:firstLine="420" w:firstLineChars="200"/>
    </w:pPr>
    <w:rPr>
      <w:rFonts w:ascii="Calibri" w:hAnsi="Calibri"/>
      <w:szCs w:val="22"/>
    </w:rPr>
  </w:style>
  <w:style w:type="character" w:customStyle="1" w:styleId="116">
    <w:name w:val="批注主题 字符"/>
    <w:basedOn w:val="57"/>
    <w:link w:val="35"/>
    <w:semiHidden/>
    <w:qFormat/>
    <w:uiPriority w:val="0"/>
    <w:rPr>
      <w:rFonts w:eastAsia="宋体"/>
      <w:b/>
      <w:bCs/>
      <w:kern w:val="2"/>
      <w:sz w:val="21"/>
      <w:szCs w:val="24"/>
      <w:lang w:val="en-US" w:eastAsia="zh-CN" w:bidi="ar-SA"/>
    </w:rPr>
  </w:style>
  <w:style w:type="paragraph" w:customStyle="1" w:styleId="117">
    <w:name w:val="正文段"/>
    <w:basedOn w:val="1"/>
    <w:qFormat/>
    <w:uiPriority w:val="0"/>
    <w:pPr>
      <w:widowControl/>
      <w:snapToGrid w:val="0"/>
      <w:spacing w:afterLines="50"/>
      <w:ind w:firstLine="200" w:firstLineChars="200"/>
    </w:pPr>
    <w:rPr>
      <w:kern w:val="0"/>
      <w:sz w:val="24"/>
      <w:szCs w:val="20"/>
    </w:rPr>
  </w:style>
  <w:style w:type="character" w:customStyle="1" w:styleId="118">
    <w:name w:val="批注文字 Char1"/>
    <w:basedOn w:val="39"/>
    <w:semiHidden/>
    <w:qFormat/>
    <w:locked/>
    <w:uiPriority w:val="0"/>
    <w:rPr>
      <w:kern w:val="2"/>
      <w:sz w:val="21"/>
      <w:szCs w:val="24"/>
    </w:rPr>
  </w:style>
  <w:style w:type="character" w:customStyle="1" w:styleId="119">
    <w:name w:val="正文文本 3 字符"/>
    <w:basedOn w:val="39"/>
    <w:link w:val="15"/>
    <w:semiHidden/>
    <w:qFormat/>
    <w:uiPriority w:val="0"/>
    <w:rPr>
      <w:kern w:val="2"/>
      <w:sz w:val="16"/>
      <w:szCs w:val="16"/>
    </w:rPr>
  </w:style>
  <w:style w:type="paragraph" w:customStyle="1" w:styleId="120">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项目符号A Char"/>
    <w:link w:val="122"/>
    <w:qFormat/>
    <w:uiPriority w:val="0"/>
    <w:rPr>
      <w:rFonts w:ascii="仿宋_GB2312" w:hAnsi="Arial" w:eastAsia="仿宋_GB2312"/>
      <w:spacing w:val="-4"/>
      <w:kern w:val="2"/>
      <w:sz w:val="24"/>
      <w:szCs w:val="24"/>
    </w:rPr>
  </w:style>
  <w:style w:type="paragraph" w:customStyle="1" w:styleId="122">
    <w:name w:val="项目符号A"/>
    <w:basedOn w:val="1"/>
    <w:link w:val="121"/>
    <w:qFormat/>
    <w:uiPriority w:val="0"/>
    <w:pPr>
      <w:tabs>
        <w:tab w:val="left" w:pos="1021"/>
      </w:tabs>
      <w:spacing w:line="400" w:lineRule="exact"/>
      <w:ind w:firstLine="465"/>
    </w:pPr>
    <w:rPr>
      <w:rFonts w:ascii="仿宋_GB2312" w:hAnsi="Arial" w:eastAsia="仿宋_GB2312"/>
      <w:spacing w:val="-4"/>
      <w:sz w:val="24"/>
    </w:rPr>
  </w:style>
  <w:style w:type="character" w:customStyle="1" w:styleId="123">
    <w:name w:val="article11"/>
    <w:qFormat/>
    <w:uiPriority w:val="0"/>
    <w:rPr>
      <w:color w:val="000000"/>
      <w:sz w:val="23"/>
      <w:szCs w:val="23"/>
    </w:rPr>
  </w:style>
  <w:style w:type="character" w:customStyle="1" w:styleId="124">
    <w:name w:val="case31"/>
    <w:qFormat/>
    <w:uiPriority w:val="0"/>
    <w:rPr>
      <w:rFonts w:hint="default"/>
      <w:sz w:val="21"/>
      <w:szCs w:val="21"/>
    </w:rPr>
  </w:style>
  <w:style w:type="character" w:customStyle="1" w:styleId="125">
    <w:name w:val="正文文本首行缩进 2 字符"/>
    <w:basedOn w:val="76"/>
    <w:link w:val="36"/>
    <w:qFormat/>
    <w:uiPriority w:val="0"/>
    <w:rPr>
      <w:rFonts w:ascii="宋体" w:hAnsi="Courier New" w:eastAsia="宋体" w:cs="Times New Roman"/>
      <w:spacing w:val="-4"/>
      <w:kern w:val="2"/>
      <w:sz w:val="21"/>
      <w:szCs w:val="24"/>
    </w:rPr>
  </w:style>
  <w:style w:type="character" w:customStyle="1" w:styleId="126">
    <w:name w:val="Char Char20"/>
    <w:qFormat/>
    <w:locked/>
    <w:uiPriority w:val="0"/>
    <w:rPr>
      <w:rFonts w:eastAsia="宋体"/>
      <w:b/>
      <w:bCs/>
      <w:kern w:val="44"/>
      <w:sz w:val="44"/>
      <w:szCs w:val="44"/>
      <w:lang w:bidi="ar-SA"/>
    </w:rPr>
  </w:style>
  <w:style w:type="paragraph" w:customStyle="1" w:styleId="12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标题 1_0"/>
    <w:basedOn w:val="130"/>
    <w:next w:val="130"/>
    <w:qFormat/>
    <w:uiPriority w:val="99"/>
    <w:pPr>
      <w:keepNext/>
      <w:keepLines/>
      <w:spacing w:line="360" w:lineRule="auto"/>
      <w:outlineLvl w:val="0"/>
    </w:pPr>
    <w:rPr>
      <w:rFonts w:ascii="Times New Roman" w:hAnsi="Times New Roman" w:eastAsia="黑体"/>
      <w:b/>
      <w:bCs/>
      <w:kern w:val="44"/>
      <w:sz w:val="44"/>
      <w:szCs w:val="44"/>
      <w:lang w:val="zh-CN"/>
    </w:rPr>
  </w:style>
  <w:style w:type="paragraph" w:customStyle="1" w:styleId="1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3_0"/>
    <w:basedOn w:val="132"/>
    <w:qFormat/>
    <w:uiPriority w:val="0"/>
    <w:rPr>
      <w:rFonts w:ascii="Calibri" w:hAnsi="Calibri"/>
    </w:rPr>
  </w:style>
  <w:style w:type="paragraph" w:customStyle="1" w:styleId="13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标题 1_1"/>
    <w:basedOn w:val="134"/>
    <w:next w:val="131"/>
    <w:qFormat/>
    <w:uiPriority w:val="99"/>
    <w:pPr>
      <w:keepNext/>
      <w:keepLines/>
      <w:spacing w:before="340" w:after="330" w:line="578" w:lineRule="auto"/>
      <w:outlineLvl w:val="0"/>
    </w:pPr>
    <w:rPr>
      <w:rFonts w:eastAsia="黑体"/>
      <w:b/>
      <w:bCs/>
      <w:kern w:val="44"/>
      <w:sz w:val="32"/>
      <w:szCs w:val="44"/>
    </w:rPr>
  </w:style>
  <w:style w:type="paragraph" w:customStyle="1" w:styleId="134">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普通(网站)_0"/>
    <w:basedOn w:val="136"/>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纯文本_0"/>
    <w:basedOn w:val="136"/>
    <w:next w:val="138"/>
    <w:qFormat/>
    <w:uiPriority w:val="0"/>
    <w:rPr>
      <w:rFonts w:ascii="宋体" w:hAnsi="Courier New"/>
      <w:szCs w:val="20"/>
    </w:rPr>
  </w:style>
  <w:style w:type="paragraph" w:customStyle="1" w:styleId="138">
    <w:name w:val="标题 4_2"/>
    <w:basedOn w:val="136"/>
    <w:next w:val="136"/>
    <w:qFormat/>
    <w:uiPriority w:val="99"/>
    <w:pPr>
      <w:keepNext/>
      <w:keepLines/>
      <w:spacing w:before="280" w:after="290" w:line="376" w:lineRule="auto"/>
      <w:outlineLvl w:val="3"/>
    </w:pPr>
    <w:rPr>
      <w:rFonts w:ascii="Arial" w:hAnsi="Arial" w:eastAsia="黑体"/>
      <w:b/>
      <w:bCs/>
      <w:sz w:val="28"/>
      <w:szCs w:val="28"/>
    </w:rPr>
  </w:style>
  <w:style w:type="paragraph" w:customStyle="1" w:styleId="139">
    <w:name w:val="列出段落_0"/>
    <w:basedOn w:val="136"/>
    <w:qFormat/>
    <w:uiPriority w:val="34"/>
    <w:pPr>
      <w:ind w:firstLine="420" w:firstLineChars="200"/>
    </w:pPr>
  </w:style>
  <w:style w:type="paragraph" w:customStyle="1" w:styleId="140">
    <w:name w:val="Table Text"/>
    <w:basedOn w:val="1"/>
    <w:semiHidden/>
    <w:qFormat/>
    <w:uiPriority w:val="0"/>
    <w:rPr>
      <w:rFonts w:ascii="宋体" w:hAnsi="宋体" w:cs="宋体"/>
      <w:sz w:val="27"/>
      <w:szCs w:val="27"/>
      <w:lang w:eastAsia="en-US"/>
    </w:rPr>
  </w:style>
  <w:style w:type="table" w:customStyle="1" w:styleId="141">
    <w:name w:val="Table Normal"/>
    <w:semiHidden/>
    <w:unhideWhenUsed/>
    <w:qFormat/>
    <w:uiPriority w:val="0"/>
    <w:tblPr>
      <w:tblCellMar>
        <w:top w:w="0" w:type="dxa"/>
        <w:left w:w="0" w:type="dxa"/>
        <w:bottom w:w="0" w:type="dxa"/>
        <w:right w:w="0" w:type="dxa"/>
      </w:tblCellMar>
    </w:tblPr>
  </w:style>
  <w:style w:type="paragraph" w:customStyle="1" w:styleId="1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缩进"/>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48487</Words>
  <Characters>53811</Characters>
  <Lines>2443</Lines>
  <Paragraphs>2387</Paragraphs>
  <TotalTime>5</TotalTime>
  <ScaleCrop>false</ScaleCrop>
  <LinksUpToDate>false</LinksUpToDate>
  <CharactersWithSpaces>57485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2024-07-01T13:49:00Z</dcterms:created>
  <dc:creator>liwenjie</dc:creator>
  <cp:lastModifiedBy>林°</cp:lastModifiedBy>
  <cp:lastPrinted>2024-07-12T05:14:00Z</cp:lastPrinted>
  <dcterms:modified xsi:type="dcterms:W3CDTF">2025-08-19T07:22:35Z</dcterms:modified>
  <dc:titl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5DD80F37D0AA477F9AA010E7B3CE0B0D_13</vt:lpwstr>
  </property>
  <property fmtid="{D5CDD505-2E9C-101B-9397-08002B2CF9AE}" pid="4" name="KSOTemplateDocerSaveRecord">
    <vt:lpwstr>eyJoZGlkIjoiYTg1Y2MwZGRhZmQwZjIxMGZiMjk1NjRlZDFmOTJkYmEiLCJ1c2VySWQiOiIxMTY4MjE0NTgzIn0=</vt:lpwstr>
  </property>
</Properties>
</file>