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华文新魏" w:eastAsia="华文新魏"/>
          <w:color w:val="auto"/>
          <w:spacing w:val="90"/>
          <w:sz w:val="56"/>
          <w:szCs w:val="56"/>
          <w:highlight w:val="none"/>
        </w:rPr>
      </w:pPr>
    </w:p>
    <w:p>
      <w:pPr>
        <w:spacing w:line="600" w:lineRule="exact"/>
        <w:jc w:val="center"/>
        <w:rPr>
          <w:rFonts w:ascii="华文新魏" w:eastAsia="华文新魏"/>
          <w:color w:val="auto"/>
          <w:spacing w:val="90"/>
          <w:sz w:val="56"/>
          <w:szCs w:val="56"/>
          <w:highlight w:val="none"/>
        </w:rPr>
      </w:pPr>
    </w:p>
    <w:p>
      <w:pPr>
        <w:spacing w:line="600" w:lineRule="exact"/>
        <w:jc w:val="center"/>
        <w:rPr>
          <w:rFonts w:hint="eastAsia" w:ascii="宋体" w:hAnsi="宋体"/>
          <w:b/>
          <w:color w:val="auto"/>
          <w:sz w:val="72"/>
          <w:szCs w:val="72"/>
          <w:highlight w:val="none"/>
        </w:rPr>
      </w:pPr>
      <w:r>
        <w:rPr>
          <w:rFonts w:hint="eastAsia" w:ascii="华文新魏" w:eastAsia="华文新魏"/>
          <w:color w:val="auto"/>
          <w:spacing w:val="90"/>
          <w:sz w:val="56"/>
          <w:szCs w:val="56"/>
          <w:highlight w:val="none"/>
        </w:rPr>
        <w:t>广西银泰工程管理有限公司</w:t>
      </w:r>
    </w:p>
    <w:p>
      <w:pPr>
        <w:spacing w:line="600" w:lineRule="exact"/>
        <w:jc w:val="center"/>
        <w:rPr>
          <w:rFonts w:hint="eastAsia" w:ascii="宋体" w:hAnsi="宋体"/>
          <w:b/>
          <w:color w:val="auto"/>
          <w:sz w:val="72"/>
          <w:szCs w:val="72"/>
          <w:highlight w:val="none"/>
        </w:rPr>
      </w:pPr>
    </w:p>
    <w:p>
      <w:pPr>
        <w:spacing w:before="312" w:beforeLines="100" w:after="156" w:afterLines="50" w:line="600" w:lineRule="exact"/>
        <w:jc w:val="center"/>
        <w:rPr>
          <w:rFonts w:hint="eastAsia" w:ascii="宋体" w:hAnsi="宋体"/>
          <w:b/>
          <w:color w:val="auto"/>
          <w:sz w:val="72"/>
          <w:szCs w:val="72"/>
          <w:highlight w:val="none"/>
        </w:rPr>
      </w:pPr>
    </w:p>
    <w:p>
      <w:pPr>
        <w:spacing w:before="312" w:beforeLines="100" w:after="156" w:afterLines="50" w:line="600" w:lineRule="exact"/>
        <w:jc w:val="center"/>
        <w:rPr>
          <w:rFonts w:hint="eastAsia" w:ascii="宋体" w:hAnsi="宋体"/>
          <w:b/>
          <w:color w:val="auto"/>
          <w:sz w:val="72"/>
          <w:szCs w:val="72"/>
          <w:highlight w:val="none"/>
        </w:rPr>
      </w:pPr>
    </w:p>
    <w:p>
      <w:pPr>
        <w:spacing w:before="312" w:beforeLines="100" w:after="156" w:afterLines="50" w:line="600" w:lineRule="exact"/>
        <w:jc w:val="center"/>
        <w:rPr>
          <w:rFonts w:hint="eastAsia" w:ascii="宋体" w:hAnsi="宋体"/>
          <w:b/>
          <w:color w:val="auto"/>
          <w:sz w:val="72"/>
          <w:szCs w:val="72"/>
          <w:highlight w:val="none"/>
        </w:rPr>
      </w:pPr>
      <w:r>
        <w:rPr>
          <w:rFonts w:hint="eastAsia" w:ascii="宋体" w:hAnsi="宋体"/>
          <w:b/>
          <w:color w:val="auto"/>
          <w:sz w:val="72"/>
          <w:szCs w:val="72"/>
          <w:highlight w:val="none"/>
        </w:rPr>
        <w:t>竞争性谈判文件</w:t>
      </w:r>
    </w:p>
    <w:p>
      <w:pPr>
        <w:spacing w:before="312" w:beforeLines="100" w:after="156" w:afterLines="50" w:line="600" w:lineRule="exact"/>
        <w:ind w:firstLine="1446"/>
        <w:jc w:val="left"/>
        <w:rPr>
          <w:rFonts w:hint="eastAsia" w:ascii="宋体" w:hAnsi="宋体"/>
          <w:b/>
          <w:color w:val="auto"/>
          <w:sz w:val="72"/>
          <w:szCs w:val="72"/>
          <w:highlight w:val="none"/>
        </w:rPr>
      </w:pPr>
    </w:p>
    <w:p>
      <w:pPr>
        <w:spacing w:before="312" w:beforeLines="100" w:after="156" w:afterLines="50" w:line="600" w:lineRule="exact"/>
        <w:ind w:firstLine="1446"/>
        <w:jc w:val="left"/>
        <w:rPr>
          <w:rFonts w:hint="eastAsia" w:ascii="宋体" w:hAnsi="宋体"/>
          <w:b/>
          <w:color w:val="auto"/>
          <w:sz w:val="72"/>
          <w:szCs w:val="72"/>
          <w:highlight w:val="none"/>
        </w:rPr>
      </w:pPr>
    </w:p>
    <w:p>
      <w:pPr>
        <w:spacing w:before="312" w:beforeLines="100" w:after="156" w:afterLines="50" w:line="600" w:lineRule="exact"/>
        <w:ind w:firstLine="1446"/>
        <w:jc w:val="left"/>
        <w:rPr>
          <w:rFonts w:hint="eastAsia" w:ascii="宋体" w:hAnsi="宋体"/>
          <w:b/>
          <w:color w:val="auto"/>
          <w:sz w:val="72"/>
          <w:szCs w:val="72"/>
          <w:highlight w:val="none"/>
        </w:rPr>
      </w:pPr>
    </w:p>
    <w:p>
      <w:pPr>
        <w:tabs>
          <w:tab w:val="left" w:pos="7230"/>
        </w:tabs>
        <w:ind w:firstLine="1606" w:firstLineChars="500"/>
        <w:rPr>
          <w:rFonts w:hint="eastAsia" w:ascii="宋体" w:hAnsi="宋体"/>
          <w:b/>
          <w:color w:val="auto"/>
          <w:sz w:val="32"/>
          <w:szCs w:val="32"/>
          <w:highlight w:val="none"/>
        </w:rPr>
      </w:pPr>
      <w:r>
        <w:rPr>
          <w:rFonts w:hint="eastAsia" w:ascii="宋体" w:hAnsi="宋体"/>
          <w:b/>
          <w:color w:val="auto"/>
          <w:sz w:val="32"/>
          <w:szCs w:val="32"/>
          <w:highlight w:val="none"/>
        </w:rPr>
        <w:t>项目名称：2025生化学院科研仪器设备采购</w:t>
      </w:r>
    </w:p>
    <w:p>
      <w:pPr>
        <w:tabs>
          <w:tab w:val="left" w:pos="7230"/>
        </w:tabs>
        <w:spacing w:line="400" w:lineRule="exact"/>
        <w:ind w:firstLine="1606" w:firstLineChars="500"/>
        <w:rPr>
          <w:rFonts w:hint="eastAsia" w:ascii="宋体" w:hAnsi="宋体" w:eastAsia="宋体"/>
          <w:b/>
          <w:color w:val="auto"/>
          <w:spacing w:val="100"/>
          <w:sz w:val="32"/>
          <w:szCs w:val="32"/>
          <w:highlight w:val="none"/>
          <w:lang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GXZC2025-J1-002326-YTGC</w:t>
      </w:r>
    </w:p>
    <w:p>
      <w:pPr>
        <w:spacing w:line="400" w:lineRule="exact"/>
        <w:ind w:firstLine="1699" w:firstLineChars="326"/>
        <w:rPr>
          <w:rFonts w:hint="eastAsia" w:ascii="宋体" w:hAnsi="宋体"/>
          <w:b/>
          <w:color w:val="auto"/>
          <w:spacing w:val="100"/>
          <w:sz w:val="32"/>
          <w:szCs w:val="32"/>
          <w:highlight w:val="none"/>
        </w:rPr>
      </w:pPr>
    </w:p>
    <w:p>
      <w:pPr>
        <w:pStyle w:val="8"/>
        <w:rPr>
          <w:color w:val="auto"/>
          <w:highlight w:val="none"/>
        </w:rPr>
      </w:pPr>
    </w:p>
    <w:p>
      <w:pPr>
        <w:spacing w:line="400" w:lineRule="exact"/>
        <w:ind w:firstLine="1559" w:firstLineChars="409"/>
        <w:rPr>
          <w:rFonts w:hint="eastAsia" w:ascii="宋体" w:hAnsi="宋体"/>
          <w:b/>
          <w:color w:val="auto"/>
          <w:spacing w:val="30"/>
          <w:sz w:val="32"/>
          <w:szCs w:val="32"/>
          <w:highlight w:val="none"/>
        </w:rPr>
      </w:pPr>
      <w:r>
        <w:rPr>
          <w:rFonts w:hint="eastAsia" w:ascii="宋体" w:hAnsi="宋体"/>
          <w:b/>
          <w:color w:val="auto"/>
          <w:spacing w:val="30"/>
          <w:sz w:val="32"/>
          <w:szCs w:val="32"/>
          <w:highlight w:val="none"/>
        </w:rPr>
        <w:t>采购人：</w:t>
      </w:r>
      <w:r>
        <w:rPr>
          <w:rFonts w:hint="eastAsia" w:ascii="宋体" w:hAnsi="宋体"/>
          <w:b/>
          <w:color w:val="auto"/>
          <w:spacing w:val="30"/>
          <w:kern w:val="0"/>
          <w:sz w:val="32"/>
          <w:szCs w:val="32"/>
          <w:highlight w:val="none"/>
        </w:rPr>
        <w:t>广西科技大学</w:t>
      </w:r>
    </w:p>
    <w:p>
      <w:pPr>
        <w:spacing w:line="400" w:lineRule="exact"/>
        <w:ind w:firstLine="1314" w:firstLineChars="409"/>
        <w:jc w:val="left"/>
        <w:rPr>
          <w:rFonts w:hint="eastAsia" w:ascii="宋体" w:hAnsi="宋体"/>
          <w:b/>
          <w:color w:val="auto"/>
          <w:sz w:val="32"/>
          <w:szCs w:val="32"/>
          <w:highlight w:val="none"/>
        </w:rPr>
      </w:pPr>
    </w:p>
    <w:p>
      <w:pPr>
        <w:spacing w:line="400" w:lineRule="exact"/>
        <w:ind w:firstLine="1558" w:firstLineChars="485"/>
        <w:rPr>
          <w:rFonts w:hint="eastAsia" w:ascii="宋体" w:hAnsi="宋体"/>
          <w:b/>
          <w:color w:val="auto"/>
          <w:sz w:val="32"/>
          <w:szCs w:val="32"/>
          <w:highlight w:val="none"/>
        </w:rPr>
      </w:pPr>
      <w:r>
        <w:rPr>
          <w:rFonts w:hint="eastAsia" w:ascii="宋体" w:hAnsi="宋体"/>
          <w:b/>
          <w:color w:val="auto"/>
          <w:sz w:val="32"/>
          <w:szCs w:val="32"/>
          <w:highlight w:val="none"/>
        </w:rPr>
        <w:t>采购代理机构：广西银泰工程管理有限公司</w:t>
      </w:r>
    </w:p>
    <w:p>
      <w:pPr>
        <w:spacing w:line="400" w:lineRule="exact"/>
        <w:ind w:firstLine="643"/>
        <w:jc w:val="center"/>
        <w:rPr>
          <w:rFonts w:hint="eastAsia" w:ascii="宋体" w:hAnsi="宋体"/>
          <w:b/>
          <w:color w:val="auto"/>
          <w:sz w:val="32"/>
          <w:szCs w:val="32"/>
          <w:highlight w:val="none"/>
        </w:rPr>
      </w:pPr>
    </w:p>
    <w:p>
      <w:pPr>
        <w:spacing w:line="400" w:lineRule="exact"/>
        <w:ind w:firstLine="643"/>
        <w:jc w:val="center"/>
        <w:rPr>
          <w:rFonts w:hint="eastAsia" w:ascii="宋体" w:hAnsi="宋体"/>
          <w:b/>
          <w:color w:val="auto"/>
          <w:sz w:val="32"/>
          <w:szCs w:val="32"/>
          <w:highlight w:val="none"/>
        </w:rPr>
      </w:pPr>
    </w:p>
    <w:p>
      <w:pPr>
        <w:spacing w:line="400" w:lineRule="exact"/>
        <w:ind w:firstLine="643"/>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r>
        <w:rPr>
          <w:rFonts w:hint="eastAsia" w:hAnsi="宋体"/>
          <w:b/>
          <w:bCs/>
          <w:color w:val="auto"/>
          <w:w w:val="95"/>
          <w:sz w:val="32"/>
          <w:szCs w:val="32"/>
          <w:highlight w:val="none"/>
        </w:rPr>
        <w:t>二〇二五年</w:t>
      </w:r>
      <w:r>
        <w:rPr>
          <w:rFonts w:hint="eastAsia" w:hAnsi="宋体"/>
          <w:b/>
          <w:bCs/>
          <w:color w:val="auto"/>
          <w:w w:val="95"/>
          <w:sz w:val="32"/>
          <w:szCs w:val="32"/>
          <w:highlight w:val="none"/>
          <w:lang w:val="en-US" w:eastAsia="zh-CN"/>
        </w:rPr>
        <w:t>八</w:t>
      </w:r>
      <w:r>
        <w:rPr>
          <w:rFonts w:hint="eastAsia" w:hAnsi="宋体"/>
          <w:b/>
          <w:bCs/>
          <w:color w:val="auto"/>
          <w:w w:val="95"/>
          <w:sz w:val="32"/>
          <w:szCs w:val="32"/>
          <w:highlight w:val="none"/>
        </w:rPr>
        <w:t>月</w:t>
      </w:r>
    </w:p>
    <w:p>
      <w:pPr>
        <w:pStyle w:val="20"/>
        <w:snapToGrid w:val="0"/>
        <w:spacing w:line="360" w:lineRule="auto"/>
        <w:jc w:val="center"/>
        <w:rPr>
          <w:rFonts w:hint="eastAsia" w:hAnsi="宋体" w:cs="Adobe 黑体 Std R"/>
          <w:color w:val="auto"/>
          <w:sz w:val="44"/>
          <w:szCs w:val="24"/>
          <w:highlight w:val="none"/>
        </w:rPr>
      </w:pPr>
      <w:r>
        <w:rPr>
          <w:rFonts w:hAnsi="宋体" w:cs="Adobe 黑体 Std R"/>
          <w:color w:val="auto"/>
          <w:sz w:val="44"/>
          <w:szCs w:val="24"/>
          <w:highlight w:val="none"/>
        </w:rPr>
        <w:br w:type="page"/>
      </w:r>
      <w:r>
        <w:rPr>
          <w:rFonts w:hint="eastAsia" w:hAnsi="宋体" w:cs="Adobe 黑体 Std R"/>
          <w:b/>
          <w:bCs/>
          <w:color w:val="auto"/>
          <w:sz w:val="40"/>
          <w:szCs w:val="22"/>
          <w:highlight w:val="none"/>
        </w:rPr>
        <w:t>目  录</w:t>
      </w:r>
    </w:p>
    <w:p>
      <w:pPr>
        <w:pStyle w:val="28"/>
        <w:tabs>
          <w:tab w:val="right" w:leader="dot" w:pos="9638"/>
        </w:tabs>
        <w:rPr>
          <w:color w:val="auto"/>
          <w:highlight w:val="none"/>
        </w:rPr>
      </w:pPr>
      <w:r>
        <w:rPr>
          <w:rFonts w:ascii="宋体" w:hAnsi="宋体"/>
          <w:b/>
          <w:color w:val="auto"/>
          <w:sz w:val="36"/>
          <w:szCs w:val="36"/>
          <w:highlight w:val="none"/>
        </w:rPr>
        <w:fldChar w:fldCharType="begin"/>
      </w:r>
      <w:r>
        <w:rPr>
          <w:rFonts w:ascii="宋体" w:hAnsi="宋体"/>
          <w:b/>
          <w:color w:val="auto"/>
          <w:sz w:val="36"/>
          <w:szCs w:val="36"/>
          <w:highlight w:val="none"/>
        </w:rPr>
        <w:instrText xml:space="preserve"> TOC \o "1-3" \h \z \u </w:instrText>
      </w:r>
      <w:r>
        <w:rPr>
          <w:rFonts w:ascii="宋体" w:hAnsi="宋体"/>
          <w:b/>
          <w:color w:val="auto"/>
          <w:sz w:val="36"/>
          <w:szCs w:val="36"/>
          <w:highlight w:val="none"/>
        </w:rPr>
        <w:fldChar w:fldCharType="separate"/>
      </w:r>
      <w:r>
        <w:rPr>
          <w:color w:val="auto"/>
          <w:highlight w:val="none"/>
        </w:rPr>
        <w:fldChar w:fldCharType="begin"/>
      </w:r>
      <w:r>
        <w:rPr>
          <w:color w:val="auto"/>
          <w:highlight w:val="none"/>
        </w:rPr>
        <w:instrText xml:space="preserve"> HYPERLINK \l "_Toc25731" </w:instrText>
      </w:r>
      <w:r>
        <w:rPr>
          <w:color w:val="auto"/>
          <w:highlight w:val="none"/>
        </w:rPr>
        <w:fldChar w:fldCharType="separate"/>
      </w:r>
      <w:r>
        <w:rPr>
          <w:rFonts w:hint="eastAsia" w:ascii="宋体" w:hAnsi="宋体"/>
          <w:color w:val="auto"/>
          <w:highlight w:val="none"/>
        </w:rPr>
        <w:t xml:space="preserve">第一章 </w:t>
      </w:r>
      <w:r>
        <w:rPr>
          <w:rFonts w:hint="eastAsia" w:ascii="宋体" w:hAnsi="宋体"/>
          <w:color w:val="auto"/>
          <w:szCs w:val="32"/>
          <w:highlight w:val="none"/>
        </w:rPr>
        <w:t>竞争性谈判公告</w:t>
      </w:r>
      <w:r>
        <w:rPr>
          <w:color w:val="auto"/>
          <w:highlight w:val="none"/>
        </w:rPr>
        <w:tab/>
      </w:r>
      <w:r>
        <w:rPr>
          <w:color w:val="auto"/>
          <w:highlight w:val="none"/>
        </w:rPr>
        <w:fldChar w:fldCharType="begin"/>
      </w:r>
      <w:r>
        <w:rPr>
          <w:color w:val="auto"/>
          <w:highlight w:val="none"/>
        </w:rPr>
        <w:instrText xml:space="preserve"> PAGEREF _Toc25731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"_Toc6030" </w:instrText>
      </w:r>
      <w:r>
        <w:rPr>
          <w:color w:val="auto"/>
          <w:highlight w:val="none"/>
        </w:rPr>
        <w:fldChar w:fldCharType="separate"/>
      </w:r>
      <w:r>
        <w:rPr>
          <w:rFonts w:hint="eastAsia" w:ascii="宋体" w:hAnsi="宋体"/>
          <w:bCs/>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_Toc6030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"_Toc29464" </w:instrText>
      </w:r>
      <w:r>
        <w:rPr>
          <w:color w:val="auto"/>
          <w:highlight w:val="none"/>
        </w:rPr>
        <w:fldChar w:fldCharType="separate"/>
      </w:r>
      <w:r>
        <w:rPr>
          <w:rFonts w:hint="eastAsia" w:ascii="宋体" w:hAnsi="宋体"/>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_Toc29464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"_Toc17576" </w:instrText>
      </w:r>
      <w:r>
        <w:rPr>
          <w:color w:val="auto"/>
          <w:highlight w:val="none"/>
        </w:rPr>
        <w:fldChar w:fldCharType="separate"/>
      </w:r>
      <w:r>
        <w:rPr>
          <w:rFonts w:hint="eastAsia" w:ascii="宋体" w:hAnsi="宋体"/>
          <w:color w:val="auto"/>
          <w:highlight w:val="none"/>
        </w:rPr>
        <w:t>第四章 响应文件格式</w:t>
      </w:r>
      <w:r>
        <w:rPr>
          <w:color w:val="auto"/>
          <w:highlight w:val="none"/>
        </w:rPr>
        <w:tab/>
      </w:r>
      <w:r>
        <w:rPr>
          <w:color w:val="auto"/>
          <w:highlight w:val="none"/>
        </w:rPr>
        <w:fldChar w:fldCharType="begin"/>
      </w:r>
      <w:r>
        <w:rPr>
          <w:color w:val="auto"/>
          <w:highlight w:val="none"/>
        </w:rPr>
        <w:instrText xml:space="preserve"> PAGEREF _Toc17576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"_Toc336" </w:instrText>
      </w:r>
      <w:r>
        <w:rPr>
          <w:color w:val="auto"/>
          <w:highlight w:val="none"/>
        </w:rPr>
        <w:fldChar w:fldCharType="separate"/>
      </w:r>
      <w:r>
        <w:rPr>
          <w:rFonts w:hint="eastAsia" w:ascii="宋体" w:hAnsi="宋体"/>
          <w:color w:val="auto"/>
          <w:highlight w:val="none"/>
        </w:rPr>
        <w:t>第五章 合同条款（主要条款）</w:t>
      </w:r>
      <w:r>
        <w:rPr>
          <w:color w:val="auto"/>
          <w:highlight w:val="none"/>
        </w:rPr>
        <w:tab/>
      </w:r>
      <w:r>
        <w:rPr>
          <w:color w:val="auto"/>
          <w:highlight w:val="none"/>
        </w:rPr>
        <w:fldChar w:fldCharType="begin"/>
      </w:r>
      <w:r>
        <w:rPr>
          <w:color w:val="auto"/>
          <w:highlight w:val="none"/>
        </w:rPr>
        <w:instrText xml:space="preserve"> PAGEREF _Toc336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"_Toc22601" </w:instrText>
      </w:r>
      <w:r>
        <w:rPr>
          <w:color w:val="auto"/>
          <w:highlight w:val="none"/>
        </w:rPr>
        <w:fldChar w:fldCharType="separate"/>
      </w:r>
      <w:r>
        <w:rPr>
          <w:rFonts w:hint="eastAsia" w:ascii="宋体" w:hAnsi="宋体"/>
          <w:color w:val="auto"/>
          <w:highlight w:val="none"/>
        </w:rPr>
        <w:t>第六章 评审办法</w:t>
      </w:r>
      <w:r>
        <w:rPr>
          <w:color w:val="auto"/>
          <w:highlight w:val="none"/>
        </w:rPr>
        <w:tab/>
      </w:r>
      <w:r>
        <w:rPr>
          <w:color w:val="auto"/>
          <w:highlight w:val="none"/>
        </w:rPr>
        <w:fldChar w:fldCharType="begin"/>
      </w:r>
      <w:r>
        <w:rPr>
          <w:color w:val="auto"/>
          <w:highlight w:val="none"/>
        </w:rPr>
        <w:instrText xml:space="preserve"> PAGEREF _Toc22601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rPr>
          <w:rFonts w:hint="eastAsia" w:ascii="宋体" w:hAnsi="宋体"/>
          <w:color w:val="auto"/>
          <w:sz w:val="28"/>
          <w:szCs w:val="28"/>
          <w:highlight w:val="none"/>
        </w:rPr>
      </w:pPr>
      <w:r>
        <w:rPr>
          <w:rFonts w:ascii="宋体" w:hAnsi="宋体"/>
          <w:color w:val="auto"/>
          <w:szCs w:val="36"/>
          <w:highlight w:val="none"/>
        </w:rPr>
        <w:fldChar w:fldCharType="end"/>
      </w:r>
    </w:p>
    <w:p>
      <w:pPr>
        <w:pStyle w:val="20"/>
        <w:snapToGrid w:val="0"/>
        <w:spacing w:line="360" w:lineRule="auto"/>
        <w:jc w:val="center"/>
        <w:rPr>
          <w:rFonts w:hint="eastAsia" w:hAnsi="宋体" w:cs="Adobe 黑体 Std R"/>
          <w:color w:val="auto"/>
          <w:sz w:val="44"/>
          <w:szCs w:val="24"/>
          <w:highlight w:val="none"/>
        </w:rPr>
      </w:pPr>
    </w:p>
    <w:p>
      <w:pPr>
        <w:ind w:left="-2"/>
        <w:jc w:val="left"/>
        <w:rPr>
          <w:rFonts w:hint="eastAsia" w:ascii="宋体" w:hAnsi="宋体" w:cs="Adobe 黑体 Std R"/>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pStyle w:val="2"/>
        <w:spacing w:line="360" w:lineRule="exact"/>
        <w:rPr>
          <w:rFonts w:hint="eastAsia" w:ascii="宋体" w:hAnsi="宋体"/>
          <w:color w:val="auto"/>
          <w:highlight w:val="none"/>
        </w:rPr>
        <w:sectPr>
          <w:headerReference r:id="rId4" w:type="first"/>
          <w:footerReference r:id="rId6" w:type="first"/>
          <w:headerReference r:id="rId3" w:type="default"/>
          <w:footerReference r:id="rId5" w:type="even"/>
          <w:pgSz w:w="11906" w:h="16838"/>
          <w:pgMar w:top="1134" w:right="1134" w:bottom="1134" w:left="1134" w:header="720" w:footer="720" w:gutter="0"/>
          <w:cols w:space="0" w:num="1"/>
          <w:docGrid w:type="lines" w:linePitch="312" w:charSpace="0"/>
        </w:sectPr>
      </w:pPr>
    </w:p>
    <w:p>
      <w:pPr>
        <w:pStyle w:val="2"/>
        <w:spacing w:line="360" w:lineRule="exact"/>
        <w:rPr>
          <w:rFonts w:hint="eastAsia" w:ascii="宋体" w:hAnsi="宋体"/>
          <w:color w:val="auto"/>
          <w:sz w:val="24"/>
          <w:highlight w:val="none"/>
        </w:rPr>
      </w:pPr>
      <w:bookmarkStart w:id="0" w:name="_Toc25731"/>
      <w:r>
        <w:rPr>
          <w:rFonts w:hint="eastAsia" w:ascii="宋体" w:hAnsi="宋体"/>
          <w:color w:val="auto"/>
          <w:highlight w:val="none"/>
        </w:rPr>
        <w:t xml:space="preserve">第一章 </w:t>
      </w:r>
      <w:r>
        <w:rPr>
          <w:rFonts w:hint="eastAsia" w:ascii="宋体" w:hAnsi="宋体"/>
          <w:color w:val="auto"/>
          <w:szCs w:val="32"/>
          <w:highlight w:val="none"/>
        </w:rPr>
        <w:t>竞争性谈判公告</w:t>
      </w:r>
      <w:bookmarkEnd w:id="0"/>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33"/>
              <w:widowControl/>
              <w:spacing w:beforeAutospacing="0" w:afterAutospacing="0"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项目概况</w:t>
            </w:r>
          </w:p>
          <w:p>
            <w:pPr>
              <w:pStyle w:val="33"/>
              <w:widowControl/>
              <w:spacing w:beforeAutospacing="0" w:afterAutospacing="0" w:line="3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2025生化学院科研仪器设备采购项目的潜在供应商应在广西政府采购云平台（https：//www.gcy.zfcg.gxzf.gov.cn/）获取采购文件，并于</w:t>
            </w:r>
            <w:r>
              <w:rPr>
                <w:rFonts w:hint="eastAsia" w:ascii="宋体" w:hAnsi="宋体" w:cs="宋体"/>
                <w:color w:val="auto"/>
                <w:sz w:val="21"/>
                <w:szCs w:val="21"/>
                <w:highlight w:val="none"/>
              </w:rPr>
              <w:t>2025年</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15：00</w:t>
            </w:r>
            <w:r>
              <w:rPr>
                <w:rFonts w:hint="eastAsia" w:ascii="宋体" w:hAnsi="宋体" w:cs="宋体"/>
                <w:color w:val="auto"/>
                <w:sz w:val="21"/>
                <w:szCs w:val="21"/>
                <w:highlight w:val="none"/>
              </w:rPr>
              <w:t>（北京时间）前提交响应文件。</w:t>
            </w:r>
          </w:p>
        </w:tc>
      </w:tr>
    </w:tbl>
    <w:p>
      <w:pPr>
        <w:pStyle w:val="33"/>
        <w:widowControl/>
        <w:spacing w:beforeAutospacing="0" w:afterAutospacing="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Style w:val="40"/>
          <w:rFonts w:hint="eastAsia" w:ascii="宋体" w:hAnsi="宋体" w:cs="宋体"/>
          <w:color w:val="auto"/>
          <w:sz w:val="21"/>
          <w:szCs w:val="21"/>
          <w:highlight w:val="none"/>
        </w:rPr>
        <w:t>一、项目基本情况</w:t>
      </w:r>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GXZC2025-J1-002326-YTGC</w:t>
      </w:r>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项目名称：2025生化学院科研仪器设备采购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采购方式：竞争性谈判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预算总金额（元）：1313500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采购需求：</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标项一</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标项名称：2025年化工一流学科（生物化工方向）科研仪器设备采购</w:t>
      </w:r>
    </w:p>
    <w:p>
      <w:pPr>
        <w:pStyle w:val="33"/>
        <w:widowControl/>
        <w:spacing w:beforeAutospacing="0" w:afterAutospacing="0"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数量：</w:t>
      </w:r>
      <w:r>
        <w:rPr>
          <w:rFonts w:hint="eastAsia" w:ascii="宋体" w:hAnsi="宋体" w:cs="宋体"/>
          <w:color w:val="auto"/>
          <w:sz w:val="21"/>
          <w:szCs w:val="21"/>
          <w:highlight w:val="none"/>
          <w:lang w:val="en-US" w:eastAsia="zh-CN"/>
        </w:rPr>
        <w:t>1项</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预算金额（元）：600000</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简要规格描述或项目基本概况介绍、用途：具体内容见竞争性谈判文件第三章《采购需求》。</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最高限价（如有）：600000</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合同履约期限：自签订合同之日起20个工作日内到货，并全部安装调试合格完毕。</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本项目（否）接受联合体投标</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备注：标项一为分标1。</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标项二</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标项名称：2025年博点建设经费（化学工程方向）科研仪器设备采购</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r>
        <w:rPr>
          <w:rFonts w:hint="eastAsia" w:ascii="宋体" w:hAnsi="宋体" w:cs="宋体"/>
          <w:color w:val="auto"/>
          <w:sz w:val="21"/>
          <w:szCs w:val="21"/>
          <w:highlight w:val="none"/>
          <w:lang w:val="en-US" w:eastAsia="zh-CN"/>
        </w:rPr>
        <w:t>1项</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预算金额（元）：313500</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简要规格描述或项目基本概况介绍、用途：具体内容见竞争性谈判文件第三章《采购需求》。</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最高限价（如有）：313500</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合同履约期限：自签订合同之日起</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个工作日内到货，并全部安装调试合格完毕。</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本项目（否）接受联合体投标</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备注：标项二为分标2。</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标项三</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标项名称：2025年化工一流学科（材料方向）科研仪器设备采购</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r>
        <w:rPr>
          <w:rFonts w:hint="eastAsia" w:ascii="宋体" w:hAnsi="宋体" w:cs="宋体"/>
          <w:color w:val="auto"/>
          <w:sz w:val="21"/>
          <w:szCs w:val="21"/>
          <w:highlight w:val="none"/>
          <w:lang w:val="en-US" w:eastAsia="zh-CN"/>
        </w:rPr>
        <w:t>1项</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预算金额（元）：400000</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简要规格描述或项目基本概况介绍、用途：具体内容见竞争性谈判文件第三章《采购需求》。</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最高限价（如有）：400000</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合同履约期限：自签订合同之日起7个工作日内到货，并全部安装调试合格完毕。</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本项目（否）接受联合体投标</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备注：标项三为分标3。</w:t>
      </w:r>
    </w:p>
    <w:p>
      <w:pPr>
        <w:pStyle w:val="33"/>
        <w:widowControl/>
        <w:spacing w:beforeAutospacing="0" w:afterAutospacing="0" w:line="360" w:lineRule="auto"/>
        <w:ind w:firstLine="422" w:firstLineChars="200"/>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二、申请人的资格要求：</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2.落实政府采购政策需满足的资格要求：分标1、2、3：无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3.本项目的特定资格要求：无 </w:t>
      </w:r>
    </w:p>
    <w:p>
      <w:pPr>
        <w:pStyle w:val="33"/>
        <w:widowControl/>
        <w:spacing w:beforeAutospacing="0" w:afterAutospacing="0" w:line="360" w:lineRule="auto"/>
        <w:ind w:firstLine="422" w:firstLineChars="200"/>
        <w:jc w:val="both"/>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三、获取采购文件</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rPr>
        <w:t>2025年</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日2025年</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日</w:t>
      </w:r>
      <w:r>
        <w:rPr>
          <w:rFonts w:hint="eastAsia" w:ascii="宋体" w:hAnsi="宋体" w:cs="宋体"/>
          <w:color w:val="auto"/>
          <w:sz w:val="21"/>
          <w:szCs w:val="21"/>
          <w:highlight w:val="none"/>
        </w:rPr>
        <w:t>，每天上午00：00至11：59，下午12：00至23：59（北京时间，法定节假日除外）</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地点（网址）：广西政府采购云平台（https：//www.gcy.zfcg.gxzf.gov.cn/）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方式：本项目为全流程电子化项目，不发放纸质文件，供应商可自行在“广西政府采购云平台”（https：//www.gcy.zfcg.gxzf.gov.cn/）下载竞争性谈判文件，实名申请获取竞争性谈判文件，如在操作过程中遇到问题或者需要技术支持，请致电广西政府采购云平台客服热线：95763。供应商登陆“广西政府采购云平台”平台，应进行“申请获取竞争性谈判文件”操作，否则，有可能导致无法在线编制响应文件并参与竞标，其不利后果由供应商自行承担。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售价（元）：0 </w:t>
      </w:r>
    </w:p>
    <w:p>
      <w:pPr>
        <w:pStyle w:val="33"/>
        <w:widowControl/>
        <w:spacing w:beforeAutospacing="0" w:afterAutospacing="0" w:line="360" w:lineRule="auto"/>
        <w:ind w:firstLine="422" w:firstLineChars="200"/>
        <w:jc w:val="both"/>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四、响应文件提交</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截止时间：2025年</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15：00</w:t>
      </w:r>
      <w:r>
        <w:rPr>
          <w:rFonts w:hint="eastAsia" w:ascii="宋体" w:hAnsi="宋体" w:cs="宋体"/>
          <w:color w:val="auto"/>
          <w:sz w:val="21"/>
          <w:szCs w:val="21"/>
          <w:highlight w:val="none"/>
        </w:rPr>
        <w:t>（北京时间）</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地点（网址）：请登录广西政府采购云平台投标客户端投标 </w:t>
      </w:r>
    </w:p>
    <w:p>
      <w:pPr>
        <w:pStyle w:val="33"/>
        <w:widowControl/>
        <w:spacing w:beforeAutospacing="0" w:afterAutospacing="0" w:line="360" w:lineRule="auto"/>
        <w:ind w:firstLine="422" w:firstLineChars="200"/>
        <w:jc w:val="both"/>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五、响应文件开启</w:t>
      </w:r>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开启时间：2025年</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15：00</w:t>
      </w:r>
      <w:r>
        <w:rPr>
          <w:rFonts w:hint="eastAsia" w:ascii="宋体" w:hAnsi="宋体" w:cs="宋体"/>
          <w:color w:val="auto"/>
          <w:sz w:val="21"/>
          <w:szCs w:val="21"/>
          <w:highlight w:val="none"/>
        </w:rPr>
        <w:t>（北京时间）</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地点：广西政府采购云平台（https：//www.gcy.zfcg.gxzf.gov.cn/） </w:t>
      </w:r>
    </w:p>
    <w:p>
      <w:pPr>
        <w:pStyle w:val="33"/>
        <w:widowControl/>
        <w:spacing w:beforeAutospacing="0" w:afterAutospacing="0" w:line="360" w:lineRule="auto"/>
        <w:ind w:firstLine="422" w:firstLineChars="200"/>
        <w:jc w:val="both"/>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六、公告期限</w:t>
      </w:r>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自本公告发布之日起3个工作日。</w:t>
      </w:r>
    </w:p>
    <w:p>
      <w:pPr>
        <w:pStyle w:val="33"/>
        <w:widowControl/>
        <w:spacing w:beforeAutospacing="0" w:afterAutospacing="0" w:line="360" w:lineRule="auto"/>
        <w:ind w:firstLine="422" w:firstLineChars="200"/>
        <w:jc w:val="both"/>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七、其他补充事宜</w:t>
      </w:r>
      <w:r>
        <w:rPr>
          <w:rFonts w:hint="eastAsia" w:ascii="宋体" w:hAnsi="宋体" w:cs="宋体"/>
          <w:color w:val="auto"/>
          <w:sz w:val="21"/>
          <w:szCs w:val="21"/>
          <w:highlight w:val="none"/>
        </w:rPr>
        <w:t> </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（1）竞标保证金：</w:t>
      </w:r>
    </w:p>
    <w:p>
      <w:pPr>
        <w:spacing w:line="360" w:lineRule="auto"/>
        <w:ind w:firstLine="420"/>
        <w:jc w:val="left"/>
        <w:rPr>
          <w:rFonts w:hint="eastAsia" w:hAnsi="宋体"/>
          <w:color w:val="auto"/>
          <w:highlight w:val="none"/>
        </w:rPr>
      </w:pPr>
      <w:r>
        <w:rPr>
          <w:rFonts w:hint="eastAsia" w:ascii="宋体" w:hAnsi="宋体" w:cs="仿宋"/>
          <w:bCs/>
          <w:color w:val="auto"/>
          <w:szCs w:val="21"/>
          <w:highlight w:val="none"/>
        </w:rPr>
        <w:t>分标1</w:t>
      </w:r>
      <w:r>
        <w:rPr>
          <w:rFonts w:hint="eastAsia" w:hAnsi="宋体"/>
          <w:color w:val="auto"/>
          <w:highlight w:val="none"/>
        </w:rPr>
        <w:t>人民币陆仟元整（¥6000.00）；</w:t>
      </w:r>
    </w:p>
    <w:p>
      <w:pPr>
        <w:spacing w:line="360" w:lineRule="auto"/>
        <w:ind w:firstLine="420"/>
        <w:jc w:val="left"/>
        <w:rPr>
          <w:rFonts w:hint="eastAsia" w:hAnsi="宋体"/>
          <w:color w:val="auto"/>
          <w:highlight w:val="none"/>
        </w:rPr>
      </w:pPr>
      <w:r>
        <w:rPr>
          <w:rFonts w:hint="eastAsia" w:ascii="宋体" w:hAnsi="宋体" w:cs="仿宋"/>
          <w:bCs/>
          <w:color w:val="auto"/>
          <w:szCs w:val="21"/>
          <w:highlight w:val="none"/>
        </w:rPr>
        <w:t>分标2</w:t>
      </w:r>
      <w:r>
        <w:rPr>
          <w:rFonts w:hint="eastAsia" w:hAnsi="宋体"/>
          <w:color w:val="auto"/>
          <w:highlight w:val="none"/>
        </w:rPr>
        <w:t>人民币叁仟元整（¥3000.00）；</w:t>
      </w:r>
    </w:p>
    <w:p>
      <w:pPr>
        <w:spacing w:line="360" w:lineRule="auto"/>
        <w:ind w:firstLine="420"/>
        <w:jc w:val="left"/>
        <w:rPr>
          <w:rFonts w:hint="eastAsia" w:hAnsi="宋体"/>
          <w:color w:val="auto"/>
          <w:highlight w:val="none"/>
        </w:rPr>
      </w:pPr>
      <w:r>
        <w:rPr>
          <w:rFonts w:hint="eastAsia" w:ascii="宋体" w:hAnsi="宋体" w:cs="仿宋"/>
          <w:bCs/>
          <w:color w:val="auto"/>
          <w:szCs w:val="21"/>
          <w:highlight w:val="none"/>
        </w:rPr>
        <w:t>分标3</w:t>
      </w:r>
      <w:r>
        <w:rPr>
          <w:rFonts w:hint="eastAsia" w:hAnsi="宋体"/>
          <w:color w:val="auto"/>
          <w:highlight w:val="none"/>
        </w:rPr>
        <w:t>人民币肆仟元整（¥4000.00）；</w:t>
      </w:r>
    </w:p>
    <w:p>
      <w:pPr>
        <w:spacing w:line="360" w:lineRule="auto"/>
        <w:ind w:firstLine="420"/>
        <w:jc w:val="left"/>
        <w:rPr>
          <w:rFonts w:hint="eastAsia" w:ascii="宋体" w:hAnsi="宋体" w:cs="仿宋"/>
          <w:bCs/>
          <w:color w:val="auto"/>
          <w:szCs w:val="21"/>
          <w:highlight w:val="none"/>
        </w:rPr>
      </w:pPr>
      <w:r>
        <w:rPr>
          <w:rFonts w:hint="eastAsia" w:hAnsi="宋体"/>
          <w:color w:val="auto"/>
          <w:highlight w:val="none"/>
        </w:rPr>
        <w:t>竞标保证金的交纳方式：银行转账、支票、汇票、本票或者金融机构、担保机构出具的保险、保函（含电子保函，下同）等，禁止采用现钞方式。采用银行转账方式的，在响应文件提交截止时间前交至采购代理机构指定账户并且到账【开户银行：上海浦东发展银行股份有限公司柳州分行营业部，开户名称：广西银泰工程管理有限公司柳州分公司，银行账号：5501 0078 8011 0000 2683】</w:t>
      </w:r>
      <w:r>
        <w:rPr>
          <w:rFonts w:hint="eastAsia" w:ascii="宋体" w:hAnsi="宋体" w:cs="仿宋"/>
          <w:bCs/>
          <w:color w:val="auto"/>
          <w:szCs w:val="21"/>
          <w:highlight w:val="none"/>
        </w:rPr>
        <w:t>。</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2）本项目为全流程电子化采购项目，通过广西政府采购云平台（https：//www.zcygov.cn）实行在线电子竞标，供应商应先安装“广西政府采购云电子交易客户端”（请自行前往广西政府采购云平台进行下载），并按照本项目竞争性竞标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3）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（4）CA证书在线解密：首次响应文件开启时，需携带制作响应文件时用来加密的有效数字证书（CA认证）登录广西政府采购云平台电子开标大厅现场按规定时间对加密的响应文件进行解密，否则后果自负。</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注：1）为确保网上操作合法、有效和安全，请供应商确保在电子竞标过程中能够对相关数据电文进行加密和使用电子公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（5）供应商需要在具备有摄像头及语音功能且互联网网络状况良好的电脑登录广西政府采购云平台远程开标大厅参与本次竞标，否则后果自负。</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2.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pPr>
        <w:spacing w:line="360" w:lineRule="auto"/>
        <w:ind w:firstLine="420"/>
        <w:rPr>
          <w:rFonts w:hint="eastAsia" w:ascii="宋体" w:hAnsi="宋体" w:cs="仿宋"/>
          <w:color w:val="auto"/>
          <w:kern w:val="0"/>
          <w:szCs w:val="21"/>
          <w:highlight w:val="none"/>
        </w:rPr>
      </w:pPr>
      <w:r>
        <w:rPr>
          <w:rFonts w:hint="eastAsia" w:ascii="宋体" w:hAnsi="宋体" w:cs="仿宋"/>
          <w:color w:val="auto"/>
          <w:kern w:val="0"/>
          <w:szCs w:val="21"/>
          <w:highlight w:val="none"/>
        </w:rPr>
        <w:t>3.网上查询地址：www.ccgp.gov.cn（中国政府采购网）、zfcg.gxzf.gov.cn（广西壮族自治区政府采购网）。</w:t>
      </w:r>
    </w:p>
    <w:p>
      <w:pPr>
        <w:spacing w:line="360" w:lineRule="auto"/>
        <w:ind w:firstLine="420"/>
        <w:rPr>
          <w:rFonts w:hint="eastAsia" w:ascii="宋体" w:hAnsi="宋体" w:cs="仿宋"/>
          <w:color w:val="auto"/>
          <w:kern w:val="0"/>
          <w:szCs w:val="21"/>
          <w:highlight w:val="none"/>
        </w:rPr>
      </w:pPr>
      <w:r>
        <w:rPr>
          <w:rFonts w:hint="eastAsia" w:ascii="宋体" w:hAnsi="宋体" w:cs="仿宋"/>
          <w:color w:val="auto"/>
          <w:szCs w:val="21"/>
          <w:highlight w:val="none"/>
        </w:rPr>
        <w:t>4.</w:t>
      </w:r>
      <w:r>
        <w:rPr>
          <w:rFonts w:hint="eastAsia" w:ascii="宋体" w:hAnsi="宋体" w:cs="仿宋"/>
          <w:color w:val="auto"/>
          <w:kern w:val="0"/>
          <w:szCs w:val="21"/>
          <w:highlight w:val="none"/>
        </w:rPr>
        <w:t>本项目需要落实的政府采购政策：（1）政府采购促进中小企业发展；（2）政府采购支持采用本国产品的政策；（3）本项目为服务项目，采购内容不涉及政府强制采购节能产品；（4）政府采购促进残疾人就业政策；（5）政府采购支持监狱企业发展。</w:t>
      </w:r>
    </w:p>
    <w:p>
      <w:pPr>
        <w:pStyle w:val="33"/>
        <w:widowControl/>
        <w:spacing w:beforeAutospacing="0" w:afterAutospacing="0" w:line="360" w:lineRule="auto"/>
        <w:ind w:firstLine="422" w:firstLineChars="200"/>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八、凡对本次招标提出询问，请按以下方式联系</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1.采购人信息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名称：广西科技大学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地址：柳州市城中区文昌路2号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项目联系人：邹玉玲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项目联系方式：0772-2685509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名称：广西银泰工程管理有限公司</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地址：广西柳州市东环大道168号翡翠龙庭12栋3-17</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项目联系人：刘国亮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刘洁</w:t>
      </w:r>
      <w:r>
        <w:rPr>
          <w:rFonts w:hint="eastAsia" w:ascii="宋体" w:hAnsi="宋体" w:cs="宋体"/>
          <w:color w:val="auto"/>
          <w:sz w:val="21"/>
          <w:szCs w:val="21"/>
          <w:highlight w:val="none"/>
        </w:rPr>
        <w:t xml:space="preserve">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项目联系方式：0772-2813184</w:t>
      </w:r>
    </w:p>
    <w:p>
      <w:pPr>
        <w:pStyle w:val="33"/>
        <w:widowControl/>
        <w:spacing w:beforeAutospacing="0" w:afterAutospacing="0" w:line="360" w:lineRule="auto"/>
        <w:ind w:firstLine="630"/>
        <w:rPr>
          <w:rFonts w:hint="eastAsia" w:ascii="宋体" w:hAnsi="宋体" w:cs="宋体"/>
          <w:color w:val="auto"/>
          <w:sz w:val="21"/>
          <w:szCs w:val="21"/>
          <w:highlight w:val="none"/>
        </w:rPr>
      </w:pPr>
      <w:r>
        <w:rPr>
          <w:rFonts w:hint="eastAsia" w:ascii="宋体" w:hAnsi="宋体" w:cs="宋体"/>
          <w:color w:val="auto"/>
          <w:sz w:val="21"/>
          <w:szCs w:val="21"/>
          <w:highlight w:val="none"/>
        </w:rPr>
        <w:t> </w:t>
      </w:r>
    </w:p>
    <w:p>
      <w:pPr>
        <w:spacing w:line="360" w:lineRule="exact"/>
        <w:jc w:val="center"/>
        <w:outlineLvl w:val="0"/>
        <w:rPr>
          <w:rFonts w:hint="eastAsia" w:ascii="宋体" w:hAnsi="宋体"/>
          <w:b/>
          <w:bCs/>
          <w:color w:val="auto"/>
          <w:sz w:val="32"/>
          <w:szCs w:val="32"/>
          <w:highlight w:val="none"/>
        </w:rPr>
        <w:sectPr>
          <w:footerReference r:id="rId7" w:type="default"/>
          <w:pgSz w:w="11906" w:h="16838"/>
          <w:pgMar w:top="1134" w:right="1134" w:bottom="1134" w:left="1134" w:header="720" w:footer="720" w:gutter="0"/>
          <w:pgNumType w:start="1"/>
          <w:cols w:space="0" w:num="1"/>
          <w:docGrid w:type="lines" w:linePitch="312" w:charSpace="0"/>
        </w:sectPr>
      </w:pPr>
    </w:p>
    <w:p>
      <w:pPr>
        <w:spacing w:line="360" w:lineRule="exact"/>
        <w:jc w:val="center"/>
        <w:outlineLvl w:val="0"/>
        <w:rPr>
          <w:rFonts w:hint="eastAsia" w:ascii="宋体" w:hAnsi="宋体"/>
          <w:b/>
          <w:bCs/>
          <w:color w:val="auto"/>
          <w:sz w:val="32"/>
          <w:szCs w:val="32"/>
          <w:highlight w:val="none"/>
        </w:rPr>
      </w:pPr>
      <w:bookmarkStart w:id="1" w:name="_Toc6030"/>
      <w:r>
        <w:rPr>
          <w:rFonts w:hint="eastAsia" w:ascii="宋体" w:hAnsi="宋体"/>
          <w:b/>
          <w:bCs/>
          <w:color w:val="auto"/>
          <w:sz w:val="32"/>
          <w:szCs w:val="32"/>
          <w:highlight w:val="none"/>
        </w:rPr>
        <w:t>第二章 供应商须知</w:t>
      </w:r>
      <w:bookmarkEnd w:id="1"/>
    </w:p>
    <w:tbl>
      <w:tblPr>
        <w:tblStyle w:val="37"/>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25"/>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条款号</w:t>
            </w:r>
          </w:p>
        </w:tc>
        <w:tc>
          <w:tcPr>
            <w:tcW w:w="8038"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1.1</w:t>
            </w:r>
          </w:p>
        </w:tc>
        <w:tc>
          <w:tcPr>
            <w:tcW w:w="8038" w:type="dxa"/>
            <w:vAlign w:val="center"/>
          </w:tcPr>
          <w:p>
            <w:pPr>
              <w:pStyle w:val="20"/>
              <w:spacing w:line="360" w:lineRule="auto"/>
              <w:rPr>
                <w:rFonts w:hint="eastAsia" w:hAnsi="宋体"/>
                <w:color w:val="auto"/>
                <w:sz w:val="21"/>
                <w:szCs w:val="21"/>
                <w:highlight w:val="none"/>
              </w:rPr>
            </w:pPr>
            <w:r>
              <w:rPr>
                <w:rFonts w:hint="eastAsia" w:hAnsi="宋体"/>
                <w:color w:val="auto"/>
                <w:sz w:val="21"/>
                <w:szCs w:val="22"/>
                <w:highlight w:val="none"/>
              </w:rPr>
              <w:t>供应商资格要求：详见谈判公告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17</w:t>
            </w:r>
          </w:p>
        </w:tc>
        <w:tc>
          <w:tcPr>
            <w:tcW w:w="8038" w:type="dxa"/>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竞标保证金金额：应按第一章“竞争性谈判</w:t>
            </w:r>
            <w:bookmarkStart w:id="39" w:name="_GoBack"/>
            <w:bookmarkEnd w:id="39"/>
            <w:r>
              <w:rPr>
                <w:rFonts w:hint="eastAsia" w:ascii="宋体" w:hAnsi="宋体"/>
                <w:color w:val="auto"/>
                <w:szCs w:val="21"/>
                <w:highlight w:val="none"/>
              </w:rPr>
              <w:t>公告”规定交纳，</w:t>
            </w:r>
            <w:r>
              <w:rPr>
                <w:rFonts w:hint="eastAsia" w:ascii="宋体" w:hAnsi="宋体"/>
                <w:b/>
                <w:color w:val="auto"/>
                <w:szCs w:val="21"/>
                <w:highlight w:val="none"/>
              </w:rPr>
              <w:t>否则竞标无效</w:t>
            </w:r>
            <w:r>
              <w:rPr>
                <w:rFonts w:hint="eastAsia" w:ascii="宋体" w:hAnsi="宋体"/>
                <w:color w:val="auto"/>
                <w:szCs w:val="21"/>
                <w:highlight w:val="none"/>
              </w:rPr>
              <w:t>。</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竞标保证金应在竞标有效期内保持有效。</w:t>
            </w:r>
          </w:p>
          <w:p>
            <w:pPr>
              <w:snapToGrid w:val="0"/>
              <w:spacing w:line="360" w:lineRule="auto"/>
              <w:rPr>
                <w:rFonts w:hint="eastAsia" w:hAnsi="宋体" w:cs="Arial"/>
                <w:color w:val="auto"/>
                <w:highlight w:val="none"/>
              </w:rPr>
            </w:pPr>
            <w:r>
              <w:rPr>
                <w:rFonts w:hint="eastAsia" w:ascii="宋体" w:hAnsi="宋体"/>
                <w:color w:val="auto"/>
                <w:szCs w:val="21"/>
                <w:highlight w:val="none"/>
              </w:rPr>
              <w:t>竞标保证金交纳方式：</w:t>
            </w:r>
            <w:r>
              <w:rPr>
                <w:rFonts w:hint="eastAsia" w:hAnsi="宋体" w:cs="Arial"/>
                <w:color w:val="auto"/>
                <w:highlight w:val="none"/>
              </w:rPr>
              <w:t>银行转账、支票、汇票、本票或者金融机构、担保机构出具的保函</w:t>
            </w:r>
            <w:r>
              <w:rPr>
                <w:rFonts w:hint="eastAsia" w:ascii="宋体" w:hAnsi="宋体"/>
                <w:color w:val="auto"/>
                <w:szCs w:val="21"/>
                <w:highlight w:val="none"/>
              </w:rPr>
              <w:t>（含电子保函，下同）</w:t>
            </w:r>
            <w:r>
              <w:rPr>
                <w:rFonts w:hint="eastAsia" w:hAnsi="宋体" w:cs="Arial"/>
                <w:color w:val="auto"/>
                <w:highlight w:val="none"/>
              </w:rPr>
              <w:t>、保险，禁止采用现钞交纳方式。</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竞标保证金交纳截止时间：首次响应文件提交截止时间前。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竞标保证金采用银行转账交纳方式的，在响应文件提交截止时间前交至采购代理机构指定账户并且到账，供应商应将银行转账底单的复印件作为竞标保证金交纳证明，放置于报价商务技术文件中，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2.竞标保证金采用支票、汇票、本票或者金融机构、担保机构出具的保函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交纳方式的，供应商应将支票、汇票、本票或者金融机构、担保机构出具的保函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的复印件作为竞标保证金交纳证明，放置于</w:t>
            </w:r>
            <w:r>
              <w:rPr>
                <w:rFonts w:hint="eastAsia" w:ascii="宋体" w:hAnsi="宋体" w:cs="宋体"/>
                <w:color w:val="auto"/>
                <w:szCs w:val="21"/>
                <w:highlight w:val="none"/>
              </w:rPr>
              <w:t>报价商务技术文件</w:t>
            </w:r>
            <w:r>
              <w:rPr>
                <w:rFonts w:hint="eastAsia" w:ascii="宋体" w:hAnsi="宋体"/>
                <w:color w:val="auto"/>
                <w:szCs w:val="21"/>
                <w:highlight w:val="none"/>
              </w:rPr>
              <w:t>中，</w:t>
            </w:r>
            <w:r>
              <w:rPr>
                <w:rFonts w:hint="eastAsia" w:ascii="宋体" w:hAnsi="宋体"/>
                <w:b/>
                <w:color w:val="auto"/>
                <w:szCs w:val="21"/>
                <w:highlight w:val="none"/>
              </w:rPr>
              <w:t>否则竞标无效</w:t>
            </w:r>
            <w:r>
              <w:rPr>
                <w:rFonts w:hint="eastAsia" w:ascii="宋体" w:hAnsi="宋体"/>
                <w:color w:val="auto"/>
                <w:szCs w:val="21"/>
                <w:highlight w:val="none"/>
              </w:rPr>
              <w:t>。供应商必须于递交响应文件时将支票、汇票、本票或者金融机构、担保机构出具的保函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原件提交给采购人或者采购代理机构</w:t>
            </w:r>
            <w:r>
              <w:rPr>
                <w:rFonts w:hint="eastAsia" w:ascii="宋体" w:hAnsi="宋体"/>
                <w:color w:val="auto"/>
                <w:highlight w:val="none"/>
              </w:rPr>
              <w:t>[提交地点：</w:t>
            </w:r>
            <w:r>
              <w:rPr>
                <w:rFonts w:hint="eastAsia" w:ascii="宋体" w:hAnsi="宋体"/>
                <w:color w:val="auto"/>
                <w:szCs w:val="21"/>
                <w:highlight w:val="none"/>
              </w:rPr>
              <w:t>柳州市龙湖路13号柳州市民服务中心北楼4楼）对应开标室，</w:t>
            </w:r>
            <w:r>
              <w:rPr>
                <w:rFonts w:hint="eastAsia" w:hAnsi="宋体"/>
                <w:color w:val="auto"/>
                <w:highlight w:val="none"/>
              </w:rPr>
              <w:t>采用电子保函方式交纳竞标保证金的，不需提交</w:t>
            </w:r>
            <w:r>
              <w:rPr>
                <w:rFonts w:hint="eastAsia" w:ascii="宋体" w:hAnsi="宋体"/>
                <w:color w:val="auto"/>
                <w:highlight w:val="none"/>
              </w:rPr>
              <w:t>]</w:t>
            </w:r>
            <w:r>
              <w:rPr>
                <w:rFonts w:hint="eastAsia" w:ascii="宋体" w:hAnsi="宋体"/>
                <w:color w:val="auto"/>
                <w:szCs w:val="21"/>
                <w:highlight w:val="none"/>
              </w:rPr>
              <w:t>，由采购人或者采购代理机构向供应商出具回执，并妥善保管。</w:t>
            </w:r>
          </w:p>
          <w:p>
            <w:pPr>
              <w:snapToGrid w:val="0"/>
              <w:spacing w:line="360" w:lineRule="auto"/>
              <w:rPr>
                <w:rFonts w:hint="eastAsia" w:ascii="宋体" w:hAnsi="宋体"/>
                <w:b/>
                <w:color w:val="auto"/>
                <w:szCs w:val="21"/>
                <w:highlight w:val="none"/>
              </w:rPr>
            </w:pPr>
            <w:r>
              <w:rPr>
                <w:rFonts w:hint="eastAsia" w:ascii="宋体" w:hAnsi="宋体" w:cs="宋体"/>
                <w:color w:val="auto"/>
                <w:szCs w:val="21"/>
                <w:highlight w:val="none"/>
              </w:rPr>
              <w:t>3.供应商为联合体的，可以由联合体中的一方或者多方共同交纳竞标保证金，其交纳的保证金对联合体各方均具有约束力。</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备注：</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1.竞标保证金在响应文件提交截止时间后提交的，或者不按规定交纳方式交纳的，或者未足额交纳的（包含保函、保险额度不足的），视为无效竞标保证金。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2.供应商采用现钞方式或者从个人账户（自然人竞标除外）转出的竞标保证金，视为无效竞标保证金。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3.支票、汇票或者本票出现无效或者背书情形的，视为无效竞标保证金。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4.保函、保险有效期低于竞标有效期的，视为无效竞标保证金。</w:t>
            </w:r>
          </w:p>
          <w:p>
            <w:pPr>
              <w:snapToGrid w:val="0"/>
              <w:spacing w:line="360" w:lineRule="auto"/>
              <w:rPr>
                <w:rFonts w:hint="eastAsia" w:ascii="宋体" w:hAnsi="宋体" w:cs="宋体"/>
                <w:b/>
                <w:color w:val="auto"/>
                <w:szCs w:val="21"/>
                <w:highlight w:val="none"/>
              </w:rPr>
            </w:pPr>
            <w:r>
              <w:rPr>
                <w:rFonts w:hint="eastAsia" w:ascii="宋体" w:hAnsi="宋体"/>
                <w:b/>
                <w:color w:val="auto"/>
                <w:szCs w:val="21"/>
                <w:highlight w:val="none"/>
              </w:rPr>
              <w:t>5.采用金融机构、担保机构出具保函、保险的，必须为无条</w:t>
            </w:r>
            <w:r>
              <w:rPr>
                <w:rFonts w:hint="eastAsia" w:ascii="宋体" w:hAnsi="宋体" w:cs="宋体"/>
                <w:b/>
                <w:color w:val="auto"/>
                <w:szCs w:val="21"/>
                <w:highlight w:val="none"/>
              </w:rPr>
              <w:t>件保函</w:t>
            </w:r>
            <w:r>
              <w:rPr>
                <w:rFonts w:hint="eastAsia" w:ascii="宋体" w:hAnsi="宋体"/>
                <w:b/>
                <w:color w:val="auto"/>
                <w:szCs w:val="21"/>
                <w:highlight w:val="none"/>
              </w:rPr>
              <w:t>、保险</w:t>
            </w:r>
            <w:r>
              <w:rPr>
                <w:rFonts w:hint="eastAsia" w:ascii="宋体" w:hAnsi="宋体" w:cs="宋体"/>
                <w:b/>
                <w:color w:val="auto"/>
                <w:szCs w:val="21"/>
                <w:highlight w:val="none"/>
              </w:rPr>
              <w:t>，否则视为无效竞标保证金。</w:t>
            </w:r>
          </w:p>
          <w:p>
            <w:pPr>
              <w:spacing w:line="360" w:lineRule="auto"/>
              <w:rPr>
                <w:rFonts w:hint="eastAsia" w:ascii="宋体" w:hAnsi="宋体"/>
                <w:color w:val="auto"/>
                <w:szCs w:val="21"/>
                <w:highlight w:val="none"/>
              </w:rPr>
            </w:pPr>
            <w:r>
              <w:rPr>
                <w:rFonts w:ascii="宋体" w:hAnsi="宋体"/>
                <w:b/>
                <w:color w:val="auto"/>
                <w:highlight w:val="none"/>
              </w:rPr>
              <w:t>6.</w:t>
            </w:r>
            <w:r>
              <w:rPr>
                <w:rFonts w:hint="eastAsia" w:ascii="宋体" w:hAnsi="宋体"/>
                <w:b/>
                <w:color w:val="auto"/>
                <w:highlight w:val="none"/>
              </w:rPr>
              <w:t>采用竞标保证保险的，保单确定的受益人（本项目采购人）的权益应与采用银行保函形式同等，否则视为无效竞标保证金。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8038" w:type="dxa"/>
            <w:vAlign w:val="center"/>
          </w:tcPr>
          <w:p>
            <w:pPr>
              <w:spacing w:line="360" w:lineRule="auto"/>
              <w:rPr>
                <w:rFonts w:ascii="宋体" w:hAnsi="Calibri" w:cs="宋体"/>
                <w:color w:val="auto"/>
                <w:kern w:val="0"/>
                <w:szCs w:val="21"/>
                <w:highlight w:val="none"/>
              </w:rPr>
            </w:pPr>
            <w:r>
              <w:rPr>
                <w:rFonts w:hint="eastAsia" w:ascii="宋体" w:hAnsi="Calibri" w:cs="宋体"/>
                <w:color w:val="auto"/>
                <w:kern w:val="0"/>
                <w:szCs w:val="21"/>
                <w:highlight w:val="none"/>
              </w:rPr>
              <w:t>联合体竞标：</w:t>
            </w:r>
          </w:p>
          <w:p>
            <w:pPr>
              <w:spacing w:line="360" w:lineRule="auto"/>
              <w:rPr>
                <w:rFonts w:hint="eastAsia"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接受联合体竞标。</w:t>
            </w:r>
          </w:p>
          <w:p>
            <w:pPr>
              <w:spacing w:line="360" w:lineRule="auto"/>
              <w:rPr>
                <w:rFonts w:hint="eastAsia"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8038" w:type="dxa"/>
            <w:vAlign w:val="center"/>
          </w:tcPr>
          <w:p>
            <w:pPr>
              <w:spacing w:line="360" w:lineRule="auto"/>
              <w:rPr>
                <w:rFonts w:ascii="宋体" w:hAnsi="Calibri" w:cs="宋体"/>
                <w:color w:val="auto"/>
                <w:kern w:val="0"/>
                <w:szCs w:val="21"/>
                <w:highlight w:val="none"/>
              </w:rPr>
            </w:pPr>
            <w:r>
              <w:rPr>
                <w:rFonts w:hint="eastAsia" w:ascii="宋体" w:hAnsi="Calibri" w:cs="宋体"/>
                <w:color w:val="auto"/>
                <w:kern w:val="0"/>
                <w:szCs w:val="21"/>
                <w:highlight w:val="none"/>
              </w:rPr>
              <w:t>是否允许分包：</w:t>
            </w:r>
          </w:p>
          <w:p>
            <w:pPr>
              <w:spacing w:line="360" w:lineRule="auto"/>
              <w:rPr>
                <w:rFonts w:ascii="宋体" w:hAnsi="Calibri" w:cs="宋体"/>
                <w:color w:val="auto"/>
                <w:kern w:val="0"/>
                <w:szCs w:val="21"/>
                <w:highlight w:val="none"/>
              </w:rPr>
            </w:pPr>
            <w:r>
              <w:rPr>
                <w:rFonts w:hint="eastAsia" w:ascii="宋体" w:hAnsi="Calibri" w:cs="宋体"/>
                <w:color w:val="auto"/>
                <w:kern w:val="0"/>
                <w:szCs w:val="21"/>
                <w:highlight w:val="none"/>
              </w:rPr>
              <w:t>☑不允许分包</w:t>
            </w:r>
          </w:p>
          <w:p>
            <w:pPr>
              <w:spacing w:line="360" w:lineRule="auto"/>
              <w:rPr>
                <w:rFonts w:ascii="宋体" w:hAnsi="Calibri" w:cs="宋体"/>
                <w:color w:val="auto"/>
                <w:kern w:val="0"/>
                <w:szCs w:val="21"/>
                <w:highlight w:val="none"/>
              </w:rPr>
            </w:pPr>
            <w:r>
              <w:rPr>
                <w:rFonts w:hint="eastAsia" w:ascii="宋体" w:hAnsi="Calibri" w:cs="宋体"/>
                <w:color w:val="auto"/>
                <w:kern w:val="0"/>
                <w:szCs w:val="21"/>
                <w:highlight w:val="none"/>
              </w:rPr>
              <w:t>□允许分包</w:t>
            </w:r>
          </w:p>
          <w:p>
            <w:pPr>
              <w:spacing w:line="360" w:lineRule="auto"/>
              <w:rPr>
                <w:rFonts w:hint="eastAsia" w:ascii="宋体" w:hAnsi="宋体"/>
                <w:color w:val="auto"/>
                <w:szCs w:val="21"/>
                <w:highlight w:val="none"/>
              </w:rPr>
            </w:pPr>
            <w:r>
              <w:rPr>
                <w:rFonts w:hint="eastAsia" w:ascii="宋体" w:hAnsi="Calibri" w:cs="宋体"/>
                <w:color w:val="auto"/>
                <w:kern w:val="0"/>
                <w:szCs w:val="21"/>
                <w:highlight w:val="none"/>
              </w:rPr>
              <w:t>分包内容：</w:t>
            </w:r>
            <w:r>
              <w:rPr>
                <w:rFonts w:hint="eastAsia" w:ascii="宋体" w:hAnsi="Calibri" w:cs="宋体"/>
                <w:color w:val="auto"/>
                <w:kern w:val="0"/>
                <w:szCs w:val="21"/>
                <w:highlight w:val="none"/>
                <w:u w:val="single"/>
              </w:rPr>
              <w:t xml:space="preserve">                       </w:t>
            </w:r>
            <w:r>
              <w:rPr>
                <w:rFonts w:hint="eastAsia" w:ascii="宋体" w:hAnsi="Calibri"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16</w:t>
            </w:r>
          </w:p>
        </w:tc>
        <w:tc>
          <w:tcPr>
            <w:tcW w:w="8038" w:type="dxa"/>
            <w:vAlign w:val="center"/>
          </w:tcPr>
          <w:p>
            <w:pPr>
              <w:spacing w:line="360" w:lineRule="auto"/>
              <w:rPr>
                <w:rFonts w:hint="eastAsia" w:ascii="宋体" w:hAnsi="宋体"/>
                <w:color w:val="auto"/>
                <w:szCs w:val="21"/>
                <w:highlight w:val="none"/>
              </w:rPr>
            </w:pPr>
            <w:r>
              <w:rPr>
                <w:rFonts w:hint="eastAsia" w:ascii="宋体" w:hAnsi="宋体" w:cs="宋体"/>
                <w:color w:val="auto"/>
                <w:szCs w:val="21"/>
                <w:highlight w:val="none"/>
              </w:rPr>
              <w:t>响应文件有效期：提交首次响应文件截止之日起120天内。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13.1</w:t>
            </w:r>
          </w:p>
        </w:tc>
        <w:tc>
          <w:tcPr>
            <w:tcW w:w="8038" w:type="dxa"/>
            <w:vAlign w:val="center"/>
          </w:tcPr>
          <w:p>
            <w:pPr>
              <w:pStyle w:val="20"/>
              <w:spacing w:line="360" w:lineRule="auto"/>
              <w:rPr>
                <w:rFonts w:hint="eastAsia" w:hAnsi="宋体"/>
                <w:b/>
                <w:color w:val="auto"/>
                <w:sz w:val="21"/>
                <w:szCs w:val="21"/>
                <w:highlight w:val="none"/>
              </w:rPr>
            </w:pPr>
            <w:r>
              <w:rPr>
                <w:rFonts w:hint="eastAsia" w:hAnsi="宋体" w:cs="Adobe 宋体 Std L"/>
                <w:b/>
                <w:bCs/>
                <w:color w:val="auto"/>
                <w:szCs w:val="21"/>
                <w:highlight w:val="none"/>
              </w:rPr>
              <w:t>资格证明文件</w:t>
            </w:r>
            <w:r>
              <w:rPr>
                <w:rFonts w:hint="eastAsia" w:hAnsi="宋体" w:cs="宋体"/>
                <w:b/>
                <w:color w:val="auto"/>
                <w:szCs w:val="21"/>
                <w:highlight w:val="none"/>
              </w:rPr>
              <w:t>【下列第1至5项必须提供</w:t>
            </w:r>
            <w:r>
              <w:rPr>
                <w:rFonts w:hint="eastAsia" w:hAnsi="宋体" w:cs="Courier New"/>
                <w:b/>
                <w:color w:val="auto"/>
                <w:highlight w:val="none"/>
              </w:rPr>
              <w:t>（注明不须提供的情形除外）</w:t>
            </w:r>
            <w:r>
              <w:rPr>
                <w:rFonts w:hint="eastAsia" w:hAnsi="宋体" w:cs="宋体"/>
                <w:b/>
                <w:color w:val="auto"/>
                <w:szCs w:val="21"/>
                <w:highlight w:val="none"/>
              </w:rPr>
              <w:t>，否则响应文件按竞标无效处理，其他如有请提供】</w:t>
            </w:r>
            <w:r>
              <w:rPr>
                <w:rFonts w:hint="eastAsia" w:hAnsi="宋体" w:cs="宋体"/>
                <w:color w:val="auto"/>
                <w:szCs w:val="21"/>
                <w:highlight w:val="none"/>
              </w:rPr>
              <w:t>：</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（1）谈判声明书(按第四章要求格式填写)；</w:t>
            </w:r>
          </w:p>
          <w:p>
            <w:pPr>
              <w:spacing w:line="360" w:lineRule="auto"/>
              <w:jc w:val="left"/>
              <w:rPr>
                <w:rFonts w:hint="eastAsia" w:hAnsi="宋体"/>
                <w:color w:val="auto"/>
                <w:szCs w:val="21"/>
                <w:highlight w:val="none"/>
              </w:rPr>
            </w:pPr>
            <w:r>
              <w:rPr>
                <w:rFonts w:hint="eastAsia" w:ascii="宋体" w:hAnsi="宋体"/>
                <w:color w:val="auto"/>
                <w:szCs w:val="21"/>
                <w:highlight w:val="none"/>
              </w:rPr>
              <w:t>（2）供应商</w:t>
            </w:r>
            <w:r>
              <w:rPr>
                <w:rFonts w:hint="eastAsia" w:hAnsi="宋体"/>
                <w:color w:val="auto"/>
                <w:szCs w:val="21"/>
                <w:highlight w:val="none"/>
              </w:rPr>
              <w:t>合法的主体资格证明（如营业执照、事业单位法人证书、执业许可证、个体工商户营业执照、自然人身份证等）复印件</w:t>
            </w:r>
            <w:r>
              <w:rPr>
                <w:rFonts w:hint="eastAsia" w:ascii="宋体" w:hAnsi="宋体"/>
                <w:bCs/>
                <w:color w:val="auto"/>
                <w:szCs w:val="21"/>
                <w:highlight w:val="none"/>
              </w:rPr>
              <w:t>；</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政府采购供应商资格信用承诺函(按第四章要求格式填写)；</w:t>
            </w:r>
          </w:p>
          <w:p>
            <w:pPr>
              <w:spacing w:line="360" w:lineRule="auto"/>
              <w:jc w:val="left"/>
              <w:rPr>
                <w:color w:val="auto"/>
                <w:szCs w:val="21"/>
                <w:highlight w:val="none"/>
              </w:rPr>
            </w:pPr>
            <w:r>
              <w:rPr>
                <w:rFonts w:hint="eastAsia" w:ascii="宋体" w:hAnsi="宋体"/>
                <w:color w:val="auto"/>
                <w:szCs w:val="21"/>
                <w:highlight w:val="none"/>
              </w:rPr>
              <w:t xml:space="preserve">（4）参加政府采购活动前三年内在经营活动中没有重大违法记录和不良信用记录的书面声明书（格式自拟）； </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（5）供应商直接控股、管理关系信息表(按第四章要求格式填写)；</w:t>
            </w:r>
          </w:p>
          <w:p>
            <w:pPr>
              <w:spacing w:line="360" w:lineRule="auto"/>
              <w:jc w:val="left"/>
              <w:rPr>
                <w:rFonts w:hint="eastAsia" w:hAnsi="宋体"/>
                <w:bCs/>
                <w:color w:val="auto"/>
                <w:szCs w:val="21"/>
                <w:highlight w:val="none"/>
              </w:rPr>
            </w:pPr>
            <w:r>
              <w:rPr>
                <w:rFonts w:hint="eastAsia" w:ascii="宋体" w:hAnsi="宋体"/>
                <w:color w:val="auto"/>
                <w:szCs w:val="21"/>
                <w:highlight w:val="none"/>
              </w:rPr>
              <w:t>（6）联合体协议书（联合体投标时必须提供，否则投标无效）；</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1.以上文件均须法定代表人或被授权人在规定签章处签字（或者电子签名或者加盖电子印章）并加盖单位电子公章，否则作竞标无效处理。</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2.以上文件属于复印件的，必须加盖供应商电子公章，否则作竞标无效处理。</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3.分支机构竞标说明：</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供应商如为分支机构竞标的须提供其总公司主体资格证明（如营业执照、事业单位法人证书、执业许可证等）、竞标授权书及相关资质证书。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7</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13.2</w:t>
            </w:r>
          </w:p>
        </w:tc>
        <w:tc>
          <w:tcPr>
            <w:tcW w:w="8038" w:type="dxa"/>
            <w:vAlign w:val="center"/>
          </w:tcPr>
          <w:p>
            <w:pPr>
              <w:spacing w:line="360" w:lineRule="auto"/>
              <w:rPr>
                <w:rFonts w:hint="eastAsia" w:ascii="宋体" w:hAnsi="宋体" w:cs="Adobe 宋体 Std L"/>
                <w:b/>
                <w:bCs/>
                <w:color w:val="auto"/>
                <w:szCs w:val="21"/>
                <w:highlight w:val="none"/>
              </w:rPr>
            </w:pPr>
            <w:r>
              <w:rPr>
                <w:rFonts w:hint="eastAsia" w:ascii="宋体" w:hAnsi="宋体" w:cs="Adobe 宋体 Std L"/>
                <w:b/>
                <w:bCs/>
                <w:color w:val="auto"/>
                <w:szCs w:val="21"/>
                <w:highlight w:val="none"/>
              </w:rPr>
              <w:t>商务和技术文件</w:t>
            </w:r>
            <w:r>
              <w:rPr>
                <w:rFonts w:hint="eastAsia" w:ascii="宋体" w:hAnsi="宋体" w:cs="宋体"/>
                <w:b/>
                <w:color w:val="auto"/>
                <w:szCs w:val="21"/>
                <w:highlight w:val="none"/>
              </w:rPr>
              <w:t>【下列第1至8项必须提供，否则响应文件按竞标无效处理</w:t>
            </w:r>
            <w:r>
              <w:rPr>
                <w:rFonts w:hint="eastAsia" w:ascii="宋体" w:hAnsi="宋体"/>
                <w:b/>
                <w:color w:val="auto"/>
                <w:szCs w:val="21"/>
                <w:highlight w:val="none"/>
              </w:rPr>
              <w:t>；</w:t>
            </w:r>
            <w:r>
              <w:rPr>
                <w:rFonts w:hint="eastAsia" w:ascii="宋体" w:hAnsi="宋体" w:cs="宋体"/>
                <w:b/>
                <w:color w:val="auto"/>
                <w:szCs w:val="21"/>
                <w:highlight w:val="none"/>
              </w:rPr>
              <w:t>其他如有请提供】：</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（1）法定代表人身份证明书(按第四章要求格式填写)； </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（2）法定代表人授权委托书及被授权委托人身份证复印件(委托代理时，按第四章要求格式填写)；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（3）竞标保证金缴纳证明材料复印件（按第四章要求格式填写）；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（4）商务响应表(按第四章要求格式填写)；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（5）技术响应表(按第四章要求格式填写，附“第三章采购需求”中要求提供的相关材料)；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（6）设备配置清单；(按第四章要求格式填写)； </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（7）项目实施方案；(按第四章要求格式填写)；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（8）售后服务方案及承诺书(按第四章要求格式填写)；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（9）选配件、专用耗材、售后服务优惠表(按第四章要求格式填写)；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（10）供应商同类项目业绩一览表(按第四章要求格式填写)；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（11）供应商对本项目的合理化建议和改进措施（格式自拟）；</w:t>
            </w:r>
          </w:p>
          <w:p>
            <w:pPr>
              <w:spacing w:line="360" w:lineRule="auto"/>
              <w:rPr>
                <w:rFonts w:hint="eastAsia" w:ascii="宋体" w:hAnsi="宋体"/>
                <w:color w:val="auto"/>
                <w:szCs w:val="21"/>
                <w:highlight w:val="none"/>
              </w:rPr>
            </w:pPr>
            <w:r>
              <w:rPr>
                <w:rFonts w:hint="eastAsia" w:ascii="宋体" w:hAnsi="宋体"/>
                <w:color w:val="auto"/>
                <w:szCs w:val="21"/>
                <w:highlight w:val="none"/>
              </w:rPr>
              <w:t>（12）供应商认为需要提供的其他证明材料。（供应商根据“第三章 采购需求”及“第六章 评标方法及评标标准”提供有关证明材料）。</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1.以上文件均须法定代表人或被授权人在规定签章处签字（或者电子签名或者加盖电子印章）并加盖单位电子公章，否则作竞标无效处理。</w:t>
            </w:r>
          </w:p>
          <w:p>
            <w:pPr>
              <w:snapToGrid w:val="0"/>
              <w:spacing w:line="360" w:lineRule="auto"/>
              <w:ind w:firstLine="413" w:firstLineChars="196"/>
              <w:jc w:val="left"/>
              <w:rPr>
                <w:rFonts w:hint="eastAsia" w:ascii="宋体" w:hAnsi="宋体"/>
                <w:color w:val="auto"/>
                <w:szCs w:val="21"/>
                <w:highlight w:val="none"/>
              </w:rPr>
            </w:pPr>
            <w:r>
              <w:rPr>
                <w:rFonts w:hint="eastAsia" w:ascii="宋体" w:hAnsi="宋体" w:cs="宋体"/>
                <w:b/>
                <w:color w:val="auto"/>
                <w:szCs w:val="21"/>
                <w:highlight w:val="none"/>
              </w:rPr>
              <w:t>2.以上文件属于复印件的，必须加盖供应商电子公章，否则作竞标无效处理。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13.3</w:t>
            </w:r>
          </w:p>
        </w:tc>
        <w:tc>
          <w:tcPr>
            <w:tcW w:w="8038" w:type="dxa"/>
            <w:vAlign w:val="center"/>
          </w:tcPr>
          <w:p>
            <w:pPr>
              <w:spacing w:line="360" w:lineRule="auto"/>
              <w:rPr>
                <w:rFonts w:hint="eastAsia" w:ascii="宋体" w:hAnsi="宋体" w:cs="Adobe 宋体 Std L"/>
                <w:b/>
                <w:bCs/>
                <w:color w:val="auto"/>
                <w:szCs w:val="21"/>
                <w:highlight w:val="none"/>
              </w:rPr>
            </w:pPr>
            <w:r>
              <w:rPr>
                <w:rFonts w:hint="eastAsia" w:ascii="宋体" w:hAnsi="宋体" w:cs="Adobe 宋体 Std L"/>
                <w:b/>
                <w:bCs/>
                <w:color w:val="auto"/>
                <w:szCs w:val="21"/>
                <w:highlight w:val="none"/>
              </w:rPr>
              <w:t>报价文件</w:t>
            </w:r>
            <w:r>
              <w:rPr>
                <w:rFonts w:hint="eastAsia" w:ascii="宋体" w:hAnsi="宋体" w:cs="宋体"/>
                <w:b/>
                <w:color w:val="auto"/>
                <w:szCs w:val="21"/>
                <w:highlight w:val="none"/>
              </w:rPr>
              <w:t>【下列第1至2项必须提供，否则响应文件按竞标无效处理</w:t>
            </w:r>
            <w:r>
              <w:rPr>
                <w:rFonts w:hint="eastAsia" w:ascii="宋体" w:hAnsi="宋体"/>
                <w:b/>
                <w:color w:val="auto"/>
                <w:szCs w:val="21"/>
                <w:highlight w:val="none"/>
              </w:rPr>
              <w:t>；</w:t>
            </w:r>
            <w:r>
              <w:rPr>
                <w:rFonts w:hint="eastAsia" w:ascii="宋体" w:hAnsi="宋体" w:cs="宋体"/>
                <w:b/>
                <w:color w:val="auto"/>
                <w:szCs w:val="21"/>
                <w:highlight w:val="none"/>
              </w:rPr>
              <w:t>其他如有请提供】：</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（1）竞标函（按第四章要求格式填写）；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（2）报价表 (按第四章要求格式填写) ； </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（3）中小企业声明函（供应商如为中小微型企业的请按第四章要求的格式提供，否则不予享受优惠政策）；</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（4）监狱企业由省级以上监狱管理局、戒毒管理局（含新疆生产建设兵团）出具的属于监狱企业的证明文件；</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（5）残疾人福利性单位声明函（供应商如为残疾人福利性单位的请按第四章要求的格式提供，否则不予享受优惠政策）；</w:t>
            </w:r>
          </w:p>
          <w:p>
            <w:pPr>
              <w:spacing w:line="360" w:lineRule="auto"/>
              <w:rPr>
                <w:rFonts w:hint="eastAsia" w:ascii="宋体" w:hAnsi="宋体"/>
                <w:color w:val="auto"/>
                <w:szCs w:val="21"/>
                <w:highlight w:val="none"/>
              </w:rPr>
            </w:pPr>
            <w:r>
              <w:rPr>
                <w:rFonts w:hint="eastAsia" w:ascii="宋体" w:hAnsi="宋体"/>
                <w:color w:val="auto"/>
                <w:szCs w:val="21"/>
                <w:highlight w:val="none"/>
              </w:rPr>
              <w:t>（6）供应商针对报价需要说明的其他文件和说明（如有，格式自拟）</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1.以上文件均须法定代表人或被授权人在规定签章处签字（或者电子签名或者加盖电子印章）并加盖单位电子公章，否则作竞标无效处理。</w:t>
            </w:r>
          </w:p>
          <w:p>
            <w:pPr>
              <w:spacing w:line="360" w:lineRule="auto"/>
              <w:rPr>
                <w:rFonts w:hint="eastAsia" w:ascii="宋体" w:hAnsi="宋体"/>
                <w:color w:val="auto"/>
                <w:szCs w:val="21"/>
                <w:highlight w:val="none"/>
              </w:rPr>
            </w:pPr>
            <w:r>
              <w:rPr>
                <w:rFonts w:hint="eastAsia" w:ascii="宋体" w:hAnsi="宋体" w:cs="宋体"/>
                <w:b/>
                <w:color w:val="auto"/>
                <w:szCs w:val="21"/>
                <w:highlight w:val="none"/>
              </w:rPr>
              <w:t>2.以上文件属于复印件的，必须加盖供应商电子公章，否则作竞标无效处理。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9</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34.6</w:t>
            </w:r>
          </w:p>
        </w:tc>
        <w:tc>
          <w:tcPr>
            <w:tcW w:w="8038" w:type="dxa"/>
            <w:vAlign w:val="center"/>
          </w:tcPr>
          <w:p>
            <w:pPr>
              <w:spacing w:line="360" w:lineRule="auto"/>
              <w:rPr>
                <w:rFonts w:hint="eastAsia" w:ascii="宋体" w:hAnsi="宋体" w:cs="宋体"/>
                <w:b/>
                <w:color w:val="auto"/>
                <w:szCs w:val="21"/>
                <w:highlight w:val="none"/>
              </w:rPr>
            </w:pPr>
            <w:r>
              <w:rPr>
                <w:rFonts w:hint="eastAsia" w:ascii="MS Mincho" w:hAnsi="MS Mincho" w:cs="MS Mincho"/>
                <w:b/>
                <w:color w:val="auto"/>
                <w:szCs w:val="21"/>
                <w:highlight w:val="none"/>
              </w:rPr>
              <w:t>□</w:t>
            </w:r>
            <w:r>
              <w:rPr>
                <w:rFonts w:hint="eastAsia" w:ascii="宋体" w:hAnsi="宋体" w:cs="宋体"/>
                <w:b/>
                <w:color w:val="auto"/>
                <w:szCs w:val="21"/>
                <w:highlight w:val="none"/>
              </w:rPr>
              <w:t>无履约保证金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☑有履约保证金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1．履约保证金金额：合同价款的5%，若成交供应商是中小企业，则履约保证金按合同价款的2%收取。</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2．履约保证金提交时间及方式：合同签订前 5日内，成交供应商必须以银行转账、支票、汇票、本票或者金融机构、担保机构出具的保险、保函（含电子保函）等非现金方式向采购人提交履约保证金。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3．履约保证金退付条件及时间：自项目验收合格之日起至质保期满无质量问题，采购人收到退付履约保证金申请后15个工作日内退还(无息)。</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4．下列情况因履约保证金不能退还或另行处理，所产生的后果由成交供应商负责：</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履行合同约定权利义务期间，成交供应商不按合同履行质量保证义务的，采购人有权对采购标的进行更换、维修维保，所需费用从成交供应商提交的履约保证金中扣除，履约保证金不足以抵扣更换、维修维保费用的，不足部分由成交供应商承担。同时，采购人保留起诉成交供应商的权利。</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（3）其他因成交供应商原因导致履约保证金无法按时退回的情形。</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履约保证金账户：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全称：广西科技大学</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账号：20-112801040000305</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开户银行：中国农业银行柳州市祥兴支行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转帐时注明：项目名称+项目编号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1、成交供应商必须在签订合同前，按照规定提交方式，足额缴纳履约保证金。</w:t>
            </w:r>
          </w:p>
          <w:p>
            <w:pPr>
              <w:spacing w:line="360" w:lineRule="auto"/>
              <w:rPr>
                <w:rFonts w:hint="eastAsia" w:ascii="宋体" w:hAnsi="宋体"/>
                <w:color w:val="auto"/>
                <w:szCs w:val="21"/>
                <w:highlight w:val="none"/>
              </w:rPr>
            </w:pPr>
            <w:r>
              <w:rPr>
                <w:rFonts w:hint="eastAsia" w:ascii="宋体" w:hAnsi="宋体" w:cs="宋体"/>
                <w:color w:val="auto"/>
                <w:szCs w:val="21"/>
                <w:highlight w:val="none"/>
              </w:rPr>
              <w:t>2、成交供应商未按规定缴纳履约保证金的，暂缓签订合同，责任由成交供应商承担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10</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37.1</w:t>
            </w:r>
          </w:p>
        </w:tc>
        <w:tc>
          <w:tcPr>
            <w:tcW w:w="8038" w:type="dxa"/>
            <w:vAlign w:val="center"/>
          </w:tcPr>
          <w:p>
            <w:pPr>
              <w:spacing w:line="360" w:lineRule="auto"/>
              <w:rPr>
                <w:rFonts w:hint="eastAsia" w:hAnsi="宋体" w:cs="Arial"/>
                <w:color w:val="auto"/>
                <w:szCs w:val="21"/>
                <w:highlight w:val="none"/>
              </w:rPr>
            </w:pPr>
            <w:r>
              <w:rPr>
                <w:rFonts w:hint="eastAsia" w:ascii="宋体" w:hAnsi="宋体" w:cs="宋体"/>
                <w:color w:val="auto"/>
                <w:szCs w:val="21"/>
                <w:highlight w:val="none"/>
              </w:rPr>
              <w:t>代理服务收费标准：1.本项目竞标应以人民币报价；2.不论竞标结果如何，供应商均应自行承担所有与竞标有关的全部费用；3.本项目的代理服务费按本须知第40.2款规定的（货物类）标准采用差额定率累进计费方式下浮10%计算（取整到元），由成交供应商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11</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34</w:t>
            </w:r>
          </w:p>
        </w:tc>
        <w:tc>
          <w:tcPr>
            <w:tcW w:w="8038" w:type="dxa"/>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w:t>
            </w:r>
          </w:p>
          <w:p>
            <w:pPr>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12</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8038"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pPr>
              <w:pStyle w:val="20"/>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质疑联系部门及联系方式：广西银泰工程管理有限公司项目部，</w:t>
            </w:r>
          </w:p>
          <w:p>
            <w:pPr>
              <w:pStyle w:val="20"/>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联系电话：0772-2813184，通讯地址：广西柳州市东环大道168号翡翠龙庭12栋3-17。</w:t>
            </w:r>
          </w:p>
          <w:p>
            <w:pPr>
              <w:spacing w:line="360" w:lineRule="auto"/>
              <w:rPr>
                <w:rFonts w:hint="eastAsia" w:ascii="宋体" w:hAnsi="宋体" w:cs="宋体"/>
                <w:color w:val="auto"/>
                <w:szCs w:val="21"/>
                <w:highlight w:val="none"/>
              </w:rPr>
            </w:pPr>
            <w:r>
              <w:rPr>
                <w:rFonts w:hint="eastAsia" w:hAnsi="宋体" w:cs="宋体"/>
                <w:color w:val="auto"/>
                <w:highlight w:val="none"/>
              </w:rPr>
              <w:t>业务时间：8时30分到12时00分，14时30分到</w:t>
            </w:r>
            <w:r>
              <w:rPr>
                <w:rFonts w:hAnsi="宋体" w:cs="宋体"/>
                <w:color w:val="auto"/>
                <w:highlight w:val="none"/>
              </w:rPr>
              <w:t>18</w:t>
            </w:r>
            <w:r>
              <w:rPr>
                <w:rFonts w:hint="eastAsia" w:hAnsi="宋体" w:cs="宋体"/>
                <w:color w:val="auto"/>
                <w:highlight w:val="none"/>
              </w:rPr>
              <w:t>时00分，</w:t>
            </w:r>
            <w:r>
              <w:rPr>
                <w:rFonts w:hint="eastAsia" w:hAnsi="宋体"/>
                <w:color w:val="auto"/>
                <w:highlight w:val="none"/>
              </w:rPr>
              <w:t>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13</w:t>
            </w:r>
          </w:p>
        </w:tc>
        <w:tc>
          <w:tcPr>
            <w:tcW w:w="925" w:type="dxa"/>
            <w:vAlign w:val="center"/>
          </w:tcPr>
          <w:p>
            <w:pPr>
              <w:spacing w:line="360" w:lineRule="auto"/>
              <w:jc w:val="center"/>
              <w:rPr>
                <w:rFonts w:hint="eastAsia" w:ascii="宋体" w:hAnsi="宋体"/>
                <w:color w:val="auto"/>
                <w:szCs w:val="21"/>
                <w:highlight w:val="none"/>
              </w:rPr>
            </w:pPr>
          </w:p>
        </w:tc>
        <w:tc>
          <w:tcPr>
            <w:tcW w:w="8038" w:type="dxa"/>
            <w:vAlign w:val="center"/>
          </w:tcPr>
          <w:p>
            <w:pPr>
              <w:autoSpaceDE w:val="0"/>
              <w:autoSpaceDN w:val="0"/>
              <w:adjustRightInd w:val="0"/>
              <w:spacing w:line="360" w:lineRule="auto"/>
              <w:jc w:val="left"/>
              <w:rPr>
                <w:rFonts w:hint="eastAsia" w:ascii="宋体" w:hAnsi="宋体" w:cs="宋体"/>
                <w:color w:val="auto"/>
                <w:szCs w:val="21"/>
                <w:highlight w:val="none"/>
              </w:rPr>
            </w:pPr>
            <w:r>
              <w:rPr>
                <w:rFonts w:hint="eastAsia" w:hAnsi="宋体"/>
                <w:color w:val="auto"/>
                <w:highlight w:val="none"/>
              </w:rPr>
              <w:t>解释：</w:t>
            </w:r>
            <w:r>
              <w:rPr>
                <w:rFonts w:hAnsi="宋体"/>
                <w:color w:val="auto"/>
                <w:highlight w:val="none"/>
              </w:rPr>
              <w:t>构成本</w:t>
            </w:r>
            <w:r>
              <w:rPr>
                <w:rFonts w:hint="eastAsia" w:hAnsi="宋体"/>
                <w:color w:val="auto"/>
                <w:highlight w:val="none"/>
              </w:rPr>
              <w:t>竞争性谈判文件</w:t>
            </w:r>
            <w:r>
              <w:rPr>
                <w:rFonts w:hAnsi="宋体"/>
                <w:color w:val="auto"/>
                <w:highlight w:val="none"/>
              </w:rPr>
              <w:t>的各个组成文件应互为解释，互为说明；除</w:t>
            </w:r>
            <w:r>
              <w:rPr>
                <w:rFonts w:hint="eastAsia" w:hAnsi="宋体"/>
                <w:color w:val="auto"/>
                <w:highlight w:val="none"/>
              </w:rPr>
              <w:t>竞争性谈判文件</w:t>
            </w:r>
            <w:r>
              <w:rPr>
                <w:rFonts w:hAnsi="宋体"/>
                <w:color w:val="auto"/>
                <w:highlight w:val="none"/>
              </w:rPr>
              <w:t>中有特别规定外，仅适用于</w:t>
            </w:r>
            <w:r>
              <w:rPr>
                <w:rFonts w:hint="eastAsia" w:hAnsi="宋体"/>
                <w:color w:val="auto"/>
                <w:highlight w:val="none"/>
              </w:rPr>
              <w:t>竞标</w:t>
            </w:r>
            <w:r>
              <w:rPr>
                <w:rFonts w:hAnsi="宋体"/>
                <w:color w:val="auto"/>
                <w:highlight w:val="none"/>
              </w:rPr>
              <w:t>阶段的规定，按</w:t>
            </w:r>
            <w:r>
              <w:rPr>
                <w:rFonts w:hint="eastAsia" w:hAnsi="宋体"/>
                <w:color w:val="auto"/>
                <w:highlight w:val="none"/>
              </w:rPr>
              <w:t>更正公告（澄清公告）</w:t>
            </w:r>
            <w:r>
              <w:rPr>
                <w:rFonts w:hAnsi="宋体"/>
                <w:color w:val="auto"/>
                <w:highlight w:val="none"/>
              </w:rPr>
              <w:t>、</w:t>
            </w:r>
            <w:r>
              <w:rPr>
                <w:rFonts w:hint="eastAsia" w:hAnsi="宋体"/>
                <w:color w:val="auto"/>
                <w:highlight w:val="none"/>
              </w:rPr>
              <w:t>竞争性谈判</w:t>
            </w:r>
            <w:r>
              <w:rPr>
                <w:rFonts w:hAnsi="宋体"/>
                <w:color w:val="auto"/>
                <w:highlight w:val="none"/>
              </w:rPr>
              <w:t>公告、</w:t>
            </w:r>
            <w:r>
              <w:rPr>
                <w:rFonts w:hint="eastAsia" w:hAnsi="宋体"/>
                <w:color w:val="auto"/>
                <w:highlight w:val="none"/>
              </w:rPr>
              <w:t>供应商</w:t>
            </w:r>
            <w:r>
              <w:rPr>
                <w:rFonts w:hAnsi="宋体"/>
                <w:color w:val="auto"/>
                <w:highlight w:val="none"/>
              </w:rPr>
              <w:t>须知</w:t>
            </w:r>
            <w:r>
              <w:rPr>
                <w:rFonts w:hint="eastAsia" w:hAnsi="宋体"/>
                <w:color w:val="auto"/>
                <w:highlight w:val="none"/>
              </w:rPr>
              <w:t>、采购需求</w:t>
            </w:r>
            <w:r>
              <w:rPr>
                <w:rFonts w:hAnsi="宋体"/>
                <w:color w:val="auto"/>
                <w:highlight w:val="none"/>
              </w:rPr>
              <w:t>、</w:t>
            </w:r>
            <w:r>
              <w:rPr>
                <w:rFonts w:hint="eastAsia"/>
                <w:color w:val="auto"/>
                <w:highlight w:val="none"/>
              </w:rPr>
              <w:t>评审程序、评审方法和评审标准</w:t>
            </w:r>
            <w:r>
              <w:rPr>
                <w:rFonts w:hAnsi="宋体"/>
                <w:color w:val="auto"/>
                <w:highlight w:val="none"/>
              </w:rPr>
              <w:t>、</w:t>
            </w:r>
            <w:r>
              <w:rPr>
                <w:rFonts w:hint="eastAsia" w:hAnsi="宋体"/>
                <w:color w:val="auto"/>
                <w:highlight w:val="none"/>
              </w:rPr>
              <w:t>响应</w:t>
            </w:r>
            <w:r>
              <w:rPr>
                <w:rFonts w:hAnsi="宋体"/>
                <w:color w:val="auto"/>
                <w:highlight w:val="none"/>
              </w:rPr>
              <w:t>文件格式</w:t>
            </w:r>
            <w:r>
              <w:rPr>
                <w:rFonts w:hint="eastAsia" w:hAnsi="宋体"/>
                <w:color w:val="auto"/>
                <w:highlight w:val="none"/>
              </w:rPr>
              <w:t>、合同文本</w:t>
            </w:r>
            <w:r>
              <w:rPr>
                <w:rFonts w:hAnsi="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highlight w:val="none"/>
              </w:rPr>
              <w:t>更正公告（澄清公告）</w:t>
            </w:r>
            <w:r>
              <w:rPr>
                <w:rFonts w:hAnsi="宋体"/>
                <w:color w:val="auto"/>
                <w:highlight w:val="none"/>
              </w:rPr>
              <w:t>与同步更新的</w:t>
            </w:r>
            <w:r>
              <w:rPr>
                <w:rFonts w:hint="eastAsia" w:hAnsi="宋体"/>
                <w:color w:val="auto"/>
                <w:highlight w:val="none"/>
              </w:rPr>
              <w:t>竞争性谈判文件</w:t>
            </w:r>
            <w:r>
              <w:rPr>
                <w:rFonts w:hAnsi="宋体"/>
                <w:color w:val="auto"/>
                <w:highlight w:val="none"/>
              </w:rPr>
              <w:t>不一致时以</w:t>
            </w:r>
            <w:r>
              <w:rPr>
                <w:rFonts w:hint="eastAsia" w:hAnsi="宋体"/>
                <w:color w:val="auto"/>
                <w:highlight w:val="none"/>
              </w:rPr>
              <w:t>更正公告（澄清公告）</w:t>
            </w:r>
            <w:r>
              <w:rPr>
                <w:rFonts w:hAnsi="宋体"/>
                <w:color w:val="auto"/>
                <w:highlight w:val="none"/>
              </w:rPr>
              <w:t>为准。按本款前述规定仍不能形成结论的，由</w:t>
            </w:r>
            <w:r>
              <w:rPr>
                <w:rFonts w:hint="eastAsia" w:hAnsi="宋体"/>
                <w:color w:val="auto"/>
                <w:highlight w:val="none"/>
              </w:rPr>
              <w:t>采购</w:t>
            </w:r>
            <w:r>
              <w:rPr>
                <w:rFonts w:hAnsi="宋体"/>
                <w:color w:val="auto"/>
                <w:highlight w:val="none"/>
              </w:rPr>
              <w:t>人</w:t>
            </w:r>
            <w:r>
              <w:rPr>
                <w:rFonts w:hint="eastAsia" w:hAnsi="宋体"/>
                <w:color w:val="auto"/>
                <w:highlight w:val="none"/>
              </w:rPr>
              <w:t>或者采购代理机构</w:t>
            </w:r>
            <w:r>
              <w:rPr>
                <w:rFonts w:hAnsi="宋体"/>
                <w:color w:val="auto"/>
                <w:highlight w:val="none"/>
              </w:rPr>
              <w:t>负责解释。</w:t>
            </w:r>
          </w:p>
        </w:tc>
      </w:tr>
    </w:tbl>
    <w:p>
      <w:pPr>
        <w:spacing w:line="360" w:lineRule="auto"/>
        <w:rPr>
          <w:rFonts w:hint="eastAsia" w:ascii="宋体" w:hAnsi="宋体"/>
          <w:b/>
          <w:color w:val="auto"/>
          <w:szCs w:val="21"/>
          <w:highlight w:val="none"/>
        </w:rPr>
      </w:pPr>
    </w:p>
    <w:p>
      <w:pPr>
        <w:pStyle w:val="20"/>
        <w:spacing w:line="360" w:lineRule="auto"/>
        <w:jc w:val="center"/>
        <w:rPr>
          <w:rFonts w:hint="eastAsia" w:hAnsi="宋体"/>
          <w:b/>
          <w:color w:val="auto"/>
          <w:sz w:val="21"/>
          <w:szCs w:val="21"/>
          <w:highlight w:val="none"/>
        </w:rPr>
      </w:pPr>
      <w:r>
        <w:rPr>
          <w:rFonts w:hAnsi="宋体"/>
          <w:b/>
          <w:color w:val="auto"/>
          <w:sz w:val="32"/>
          <w:highlight w:val="none"/>
        </w:rPr>
        <w:br w:type="page"/>
      </w:r>
      <w:r>
        <w:rPr>
          <w:rFonts w:hint="eastAsia" w:hAnsi="宋体"/>
          <w:b/>
          <w:color w:val="auto"/>
          <w:sz w:val="30"/>
          <w:szCs w:val="30"/>
          <w:highlight w:val="none"/>
        </w:rPr>
        <w:t>供应商须知正文</w:t>
      </w:r>
    </w:p>
    <w:p>
      <w:pPr>
        <w:pStyle w:val="20"/>
        <w:spacing w:line="360" w:lineRule="auto"/>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一、总　则</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1. 适用范围</w:t>
      </w:r>
      <w:r>
        <w:rPr>
          <w:rFonts w:hint="eastAsia" w:ascii="宋体" w:hAnsi="宋体" w:cs="宋体"/>
          <w:bCs/>
          <w:color w:val="auto"/>
          <w:szCs w:val="21"/>
          <w:highlight w:val="none"/>
        </w:rPr>
        <w:t>：本竞争性谈判文件（以下简称谈判文件）适用于本项目的所有采购程序和环节（法律、法规另有规定的，从其规定）。</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 定义</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2.1“采购人”：</w:t>
      </w:r>
      <w:r>
        <w:rPr>
          <w:rFonts w:hint="eastAsia" w:ascii="宋体" w:hAnsi="宋体" w:cs="宋体"/>
          <w:color w:val="auto"/>
          <w:szCs w:val="21"/>
          <w:highlight w:val="none"/>
        </w:rPr>
        <w:t>详见竞争性谈判公告</w:t>
      </w:r>
      <w:r>
        <w:rPr>
          <w:rFonts w:hint="eastAsia" w:ascii="宋体" w:hAnsi="宋体" w:cs="宋体"/>
          <w:bCs/>
          <w:color w:val="auto"/>
          <w:szCs w:val="21"/>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2.2“采购代理机构”是指：广西银泰工程管理有限公司。</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2.3“供应商”是指响应本谈判文件要求，参加谈判的法人、其他组织或者自然人。如果该供应商在本次谈判中成交，即为“成交供应商”。</w:t>
      </w:r>
      <w:r>
        <w:rPr>
          <w:rFonts w:hint="eastAsia" w:ascii="宋体" w:hAnsi="宋体" w:cs="宋体"/>
          <w:color w:val="auto"/>
          <w:szCs w:val="21"/>
          <w:highlight w:val="none"/>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2.4“货物”是指各种形态和种类的物品，包括原材料、燃料、设备、产品等。</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2.5“服务”是指除货物和工程以外的其他政府采购对象。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2.6“书面形式”包括是指合同书、信件和数据电文（包括电报、电传、传真、电子数据交换和电子邮件）等可以有形地表现所载内容的形式。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2.7“响应文件”是指：供应商根据本谈判文件要求，编制包含报价、技术和服务等所有内容的文件。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2.8“▲”系指实质性要求条款。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签字/签名”是指：指应商通过指定电子化政府采购平台办理数字证书（CA认证证书）获得的以供应商法定代表人（负责人、自然人）或者委托代理人姓名制作的个人电子印章或手写签字。没有办理个人CA证书的，可以为手写签字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公章”是指供应商通过指定电子化政府采购平台办理数字证书（CA认证证书）获得的以法定主体行为名称制作的电子印章。本谈判文件中要求供应商对其电子响应文件的相关内容加盖公章的，均指采用CA证书签章。</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2.11本谈判文件所称的“以上”“以下”“以内”“届满”，包括本数；所称的“不满”“超过”“以外”，不包括本数；如谈判文件另有特殊规定的从其规定。 </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 供应商资格</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3.1供应商资格：详见供应商须知前附表。</w:t>
      </w:r>
    </w:p>
    <w:p>
      <w:pPr>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4.</w:t>
      </w:r>
      <w:r>
        <w:rPr>
          <w:rFonts w:hint="eastAsia" w:ascii="宋体" w:hAnsi="宋体" w:cs="宋体"/>
          <w:b/>
          <w:bCs/>
          <w:color w:val="auto"/>
          <w:szCs w:val="21"/>
          <w:highlight w:val="none"/>
        </w:rPr>
        <w:t>谈判费用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4.1供应商应自行承担所有与编写和提交响应文件有关的费用，不论谈判结果如何，采购人和采购代理机构在任何情况下无义务和责任承担此类费用。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 联合体竞标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5.2联合体要求（联合体竞标时应满足下列要求）：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（1）两个以上供应商可以组成一个竞标联合体，以一个供应商的身份共同参加投标，联合体供应商的名称应统一按“XXX公司与XXX公司的联合体”的规则填写。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（2）以联合体形式参加投标的，联合体各方均应当符合“具有独立承担民事责任的能力”的条件。 本项目有特殊要求规定供应商特定条件的，联合体各方中至少应当有一方符合谈判文件规定的特定条件。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联合体竞标的，须提供《联合体投标协议书》（格式后附），协议书必须明确主体方（或者牵头方）并明确约定联合体各方承担的工作和相应的责任（各方承担责任与义务的分工必须符合采购需求，否则，联合体投标无效），并将联合投标协议放入响应文件。联合体各方必须共同与采购人签订采购合同，就采购合同约定的事项对采购人承担连带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（5）联合体中有同类资质的供应商按照联合体分工承担相同工作的，应当按照资质等级较低的供应商确定资质等级。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（6）联合体投标业绩、履约能力按照联合体各方其中较高的一方认定并计算（谈判文件另有规定的除外）。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（7）联合体各方均应按照谈判文件的规定提交资格证明文件。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6. 分包与转包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供应商根据谈判文件的规定和采购项目的实际情况，拟在中标后将中标项目的非主体、非关键性工作分包的，应当在响应文件中载明分包承担主体，分包承担主体应当具备相应资质条件且不得再次分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6.3本项目不允许转包。</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 特别说明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（1）提供相同品牌产品且通过资格审查、符合性审查的不同供应商参加单一产品的同一合同项下的政府采购活动的。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（2）非单一产品采购项目中，多家供应商提供的核心产品品牌相同的，视为提供相同品牌产品。核心产品的名称应当在谈判文件中载明。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7.2供应商投标所使用的资格、信誉、荣誉、业绩与企业认证必须为本供应商所拥有。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供应商在投标活动中提供任何虚假材料，其投标无效，并报监管部门查处；中标后发现的，中标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7.6有下列情形之一的视为供应商相互串通投标，其投标无效：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（3）不同供应商的响应文件载明的项目管理成员或者联系人员为同一人；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（4）不同供应商的响应文件异常一致或投标报价呈规律性差异；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（1）供应商直接或者间接从采购人或者采购代理机构处获得其他供应商的相关信息并修改其响应文件或者响应文件：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（2）供应商按照采购人或者采购代理机构的授意撤换、修改响应文件或者响应文件；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（6）供应商之间商定部分供应商放弃参加政府采购活动或者放弃中标；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（7）供应商与采购人或者采购代理机构之间、供应商相互之间，为谋求特定供应商中标或者排斥其他供应商的其他串通行为。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7.8关联供应商不得参加同一合同项下政府采购活动，否则响应文件将被视为无效：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（2）生产厂商授权给供应商后自己不得参加同一合同项下的政府采购活动；生产厂商对同一品牌同一型号的货物，仅能委托一个代理商参加投标。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8.质疑和投诉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供应商认为竞争性谈判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质疑、投诉应当采用书面形式，质疑书、投诉书均应明确阐述竞争性谈判文件、招标过程或中标结果中使自己合法权益受到损害的实质性内容，提供相关事实、依据和证据及其来源或线索，便于有关单位调查、答复和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8.3质疑和投诉书面要求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质疑人或投诉人提供的书面材料（如材料中有外文资料须同时附上中文译本）至少包括以下内容：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（1）质疑人或投诉人的姓名或者名称、地址、邮编、联系人及联系电话；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（2）质疑项目的名称、编号；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（5）必要的法律依据；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（6）质疑人或投诉人的签章及质疑或投诉时间；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（7）质疑或投诉的书面材料须提供法定代表人签名和加盖单位公章的原件。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（8）质疑人须一次性提出针对同一采购程序环节的质疑。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未持有有效授权委托书的代理人提交的质疑函或不在法定质疑期内提交的质疑函，将不予受理。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8.4接受质疑函的联系方式等详见谈判公告中采购人、采购代理机构的联系方式。</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二、谈判文件</w:t>
      </w:r>
    </w:p>
    <w:p>
      <w:pPr>
        <w:spacing w:line="360" w:lineRule="auto"/>
        <w:ind w:left="420" w:leftChars="200"/>
        <w:rPr>
          <w:rFonts w:hint="eastAsia" w:ascii="宋体" w:hAnsi="宋体" w:cs="宋体"/>
          <w:b/>
          <w:color w:val="auto"/>
          <w:szCs w:val="21"/>
          <w:highlight w:val="none"/>
        </w:rPr>
      </w:pPr>
      <w:r>
        <w:rPr>
          <w:rFonts w:hint="eastAsia" w:ascii="宋体" w:hAnsi="宋体" w:cs="宋体"/>
          <w:b/>
          <w:color w:val="auto"/>
          <w:szCs w:val="21"/>
          <w:highlight w:val="none"/>
        </w:rPr>
        <w:t>9.竞争性谈判文件的组成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（1）谈判公告；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（2）供应商须知；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（3）采购需求；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（4）评审办法和定标标准；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（5）响应文件格式；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（6）合同主要条款；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（7）其他资料。</w:t>
      </w:r>
    </w:p>
    <w:p>
      <w:pPr>
        <w:spacing w:line="360" w:lineRule="auto"/>
        <w:ind w:left="420" w:leftChars="200"/>
        <w:rPr>
          <w:rFonts w:hint="eastAsia" w:ascii="宋体" w:hAnsi="宋体" w:cs="宋体"/>
          <w:b/>
          <w:color w:val="auto"/>
          <w:szCs w:val="21"/>
          <w:highlight w:val="none"/>
        </w:rPr>
      </w:pPr>
      <w:r>
        <w:rPr>
          <w:rFonts w:hint="eastAsia" w:ascii="宋体" w:hAnsi="宋体" w:cs="宋体"/>
          <w:b/>
          <w:color w:val="auto"/>
          <w:szCs w:val="21"/>
          <w:highlight w:val="none"/>
        </w:rPr>
        <w:t>10. 供应商的风险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10.1供应商没有按照谈判文件要求提供全部资料，或者供应商没有对谈判文件在各方面作出实质性响应是供应商的风险，并可能导致其投标被拒绝。</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11.谈判文件的澄清或修改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11.1供应商应认真</w:t>
      </w:r>
      <w:r>
        <w:rPr>
          <w:rFonts w:hint="eastAsia" w:ascii="宋体" w:hAnsi="宋体" w:cs="宋体"/>
          <w:bCs/>
          <w:color w:val="auto"/>
          <w:szCs w:val="21"/>
          <w:highlight w:val="none"/>
        </w:rPr>
        <w:t>阅读本谈判文件，发现</w:t>
      </w:r>
      <w:r>
        <w:rPr>
          <w:rFonts w:hint="eastAsia" w:ascii="宋体" w:hAnsi="宋体" w:cs="宋体"/>
          <w:color w:val="auto"/>
          <w:szCs w:val="21"/>
          <w:highlight w:val="none"/>
        </w:rPr>
        <w:t>谈判文件表述不清晰、存在歧视性、排他性或者其他违法内容的，应以书面形式要求招标采购单位作出书面解释、澄清，否则，由此产生的后果由供应商负责。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11.2任何要求澄清谈判文件的供应商，均应在首次响应文件递交截止日期前的正常工作时间以书面形式通知采购人或采购代理机构，采购人或采购代理机构将以书面形式予以答复。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采购人或采购代理机构对已发出的谈判文件进行必要澄清或者修改的，澄清和修改对供应商编制响应文件造成实质影响的，在谈判文件要求提交竞争性谈判响应文件截止时间三个工作日前（不足三个工作日顺延），并将以书面形式通知（在“供应商须知前附表”规定的发布媒体上发布更正公告）所有谈判文件收受人。该澄清或者修改的内容为性谈判文件的组成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11.4采购人可视具体情况，延长响应文件递交截止时间和开标时间，并在“供应商须知前附表”规定的发布媒体上发布变更公告。</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12.现场考察或答疑会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12.1采购人可以视采购项目的具体情况，按须知前附表的规定组织供应商进行现场考察或召开谈判前答疑会，但不得单独或分别组织只有一个供应商参加的现场考察和答疑会。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12.2供应商考察现场或参加答疑会发生的费用自理。</w:t>
      </w:r>
    </w:p>
    <w:p>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12.3供应商自行负责在考察现场或参加答疑会中所发生的人员伤亡和财产损失。</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三、响应文件的编制</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13. </w:t>
      </w:r>
      <w:r>
        <w:rPr>
          <w:rFonts w:hint="eastAsia" w:ascii="宋体" w:hAnsi="宋体" w:cs="宋体"/>
          <w:b/>
          <w:color w:val="auto"/>
          <w:szCs w:val="21"/>
          <w:highlight w:val="none"/>
        </w:rPr>
        <w:t>响应文件的组成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响应文件由资格证明文件、商务和技术文件、报价文件组成。</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13.1资格证明文件：详见须知前附表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13.2商务技术文件：详见须知前附表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13.3报价文件：详见须知前附表</w:t>
      </w:r>
    </w:p>
    <w:p>
      <w:pPr>
        <w:pStyle w:val="20"/>
        <w:spacing w:line="360" w:lineRule="auto"/>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14. 响应文件的语言及计量</w:t>
      </w:r>
    </w:p>
    <w:p>
      <w:pPr>
        <w:pStyle w:val="20"/>
        <w:spacing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14.1响应文件以及竞标方与招标方就有关竞标事宜的所有来往函电，均应以中文汉语书写。除签名、盖章、专用名称等特殊情形外，以中文汉语以外的文字表述的响应文件视同未提供。</w:t>
      </w:r>
    </w:p>
    <w:p>
      <w:pPr>
        <w:pStyle w:val="20"/>
        <w:spacing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14.2竞标计量单位，谈判文件已有明确规定的，使用谈判文件规定的计量单位；谈判文件没有规定的，应采用中华人民共和国法定计量单位（货币单位：人民币元），否则视同未响应。</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15、响应文件报价要求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15.1本项目最高限价详见须知前附表。响应文件报价须小于等于最高限价，否则响应无效。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15.2对于本谈判文件中未列明，而供应商认为必需的费用也需列入总报价。在合同实施时，采购人将不予支付成交供应商没有列入的项目费用，并认为此项目的费用已包括在总报价中。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成交供应商负责本项目所需服务的全部工作，包括货款、标准附件、备品备件、专用工具、包装、运输、装卸、保险、税金、货到就位以及安装、安装所需辅材、调试、检验、验收等所需的一切使本项目完成验收的费用及供货商对采购人承诺培训、售前、售后质量保证等相关费用等在内的一切可能发生的费用。对于本谈判采购文件中未列明，而供应商认为必需的费用也需列入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15.4供应商应就第三章《采购需求》中的全部服务内容作完整唯一报价。</w:t>
      </w:r>
    </w:p>
    <w:p>
      <w:pPr>
        <w:spacing w:line="360" w:lineRule="auto"/>
        <w:ind w:left="420"/>
        <w:rPr>
          <w:rFonts w:hint="eastAsia" w:ascii="宋体" w:hAnsi="宋体" w:cs="宋体"/>
          <w:color w:val="auto"/>
          <w:szCs w:val="21"/>
          <w:highlight w:val="none"/>
        </w:rPr>
      </w:pPr>
      <w:r>
        <w:rPr>
          <w:rFonts w:hint="eastAsia" w:ascii="宋体" w:hAnsi="宋体" w:cs="宋体"/>
          <w:color w:val="auto"/>
          <w:szCs w:val="21"/>
          <w:highlight w:val="none"/>
        </w:rPr>
        <w:t>15.5响应文件只允许有一个报价，有选择的或有条件的报价将不予接受（谈判文件另有规定的除外）。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15.6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供应商原因引起的报价失误，并在谈判时被接受，其后果由供应商自负。</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16、响应文件有效期</w:t>
      </w: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16.1响应文件有效期：详见供应商须知前附表。有效期不足的响应文件将被拒绝。</w:t>
      </w:r>
    </w:p>
    <w:p>
      <w:pPr>
        <w:pStyle w:val="20"/>
        <w:spacing w:line="360" w:lineRule="auto"/>
        <w:ind w:firstLine="420" w:firstLineChars="200"/>
        <w:jc w:val="left"/>
        <w:rPr>
          <w:rFonts w:hint="eastAsia" w:hAnsi="宋体" w:cs="宋体"/>
          <w:color w:val="auto"/>
          <w:kern w:val="2"/>
          <w:sz w:val="21"/>
          <w:szCs w:val="21"/>
          <w:highlight w:val="none"/>
        </w:rPr>
      </w:pPr>
      <w:r>
        <w:rPr>
          <w:rFonts w:hint="eastAsia" w:hAnsi="宋体" w:cs="宋体"/>
          <w:color w:val="auto"/>
          <w:kern w:val="2"/>
          <w:sz w:val="21"/>
          <w:szCs w:val="21"/>
          <w:highlight w:val="none"/>
        </w:rPr>
        <w:t>16.2在特殊情况下，采购人可与供应商协商延长响应文件的有效期，这种要求和答复均以书面形式进行。</w:t>
      </w:r>
    </w:p>
    <w:p>
      <w:pPr>
        <w:pStyle w:val="20"/>
        <w:spacing w:line="360" w:lineRule="auto"/>
        <w:ind w:firstLine="420" w:firstLineChars="200"/>
        <w:jc w:val="left"/>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16.3供应商可拒绝接受延长有效期要求而不会导致竞标保证金被没收。同意延长有效期的供应商需要相应延长竞标保证金的有效期，但不能修改响应文件其它内容。 </w:t>
      </w:r>
    </w:p>
    <w:p>
      <w:pPr>
        <w:pStyle w:val="20"/>
        <w:spacing w:line="360" w:lineRule="auto"/>
        <w:ind w:firstLine="420" w:firstLineChars="200"/>
        <w:jc w:val="left"/>
        <w:rPr>
          <w:rFonts w:hint="eastAsia" w:hAnsi="宋体" w:cs="宋体"/>
          <w:color w:val="auto"/>
          <w:kern w:val="2"/>
          <w:sz w:val="21"/>
          <w:szCs w:val="21"/>
          <w:highlight w:val="none"/>
        </w:rPr>
      </w:pPr>
      <w:r>
        <w:rPr>
          <w:rFonts w:hint="eastAsia" w:hAnsi="宋体" w:cs="宋体"/>
          <w:color w:val="auto"/>
          <w:kern w:val="2"/>
          <w:sz w:val="21"/>
          <w:szCs w:val="21"/>
          <w:highlight w:val="none"/>
        </w:rPr>
        <w:t>16.4供应商的响应文件自开标之日起至合同履行完毕止均应保持有效。</w:t>
      </w:r>
    </w:p>
    <w:p>
      <w:pPr>
        <w:pStyle w:val="20"/>
        <w:spacing w:line="360" w:lineRule="auto"/>
        <w:ind w:firstLine="422" w:firstLineChars="200"/>
        <w:jc w:val="left"/>
        <w:rPr>
          <w:rFonts w:hint="eastAsia" w:hAnsi="宋体" w:cs="宋体"/>
          <w:color w:val="auto"/>
          <w:kern w:val="2"/>
          <w:sz w:val="21"/>
          <w:szCs w:val="21"/>
          <w:highlight w:val="none"/>
        </w:rPr>
      </w:pPr>
      <w:r>
        <w:rPr>
          <w:rFonts w:hint="eastAsia" w:hAnsi="宋体" w:cs="宋体"/>
          <w:b/>
          <w:color w:val="auto"/>
          <w:sz w:val="21"/>
          <w:szCs w:val="21"/>
          <w:highlight w:val="none"/>
        </w:rPr>
        <w:t>17、竞标保证金</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17.2竞标保证金的退还。</w:t>
      </w:r>
    </w:p>
    <w:p>
      <w:pPr>
        <w:spacing w:line="360" w:lineRule="auto"/>
        <w:ind w:firstLine="420"/>
        <w:rPr>
          <w:rFonts w:hint="eastAsia" w:ascii="宋体" w:hAnsi="宋体" w:cs="宋体"/>
          <w:color w:val="auto"/>
          <w:szCs w:val="21"/>
          <w:highlight w:val="none"/>
        </w:rPr>
      </w:pPr>
      <w:bookmarkStart w:id="2" w:name="_Hlk66782243"/>
      <w:r>
        <w:rPr>
          <w:rFonts w:hint="eastAsia" w:ascii="宋体" w:hAnsi="宋体" w:cs="宋体"/>
          <w:color w:val="auto"/>
          <w:szCs w:val="21"/>
          <w:highlight w:val="none"/>
        </w:rPr>
        <w:t>未成交供应商的竞标保证金自成交通知书发出之日起5个工作日内退还；成交供应商的竞标保证金自签订合同之日起5个工作日内退还。</w:t>
      </w:r>
      <w:bookmarkEnd w:id="2"/>
      <w:r>
        <w:rPr>
          <w:rFonts w:hint="eastAsia" w:ascii="宋体" w:hAnsi="宋体" w:cs="宋体"/>
          <w:color w:val="auto"/>
          <w:szCs w:val="21"/>
          <w:highlight w:val="none"/>
        </w:rPr>
        <w:t xml:space="preserve"> </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（1）采用银行转账支付方式的，均以转账方式退回到供应商银行账户。</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（2）采用支票、汇票或本票方式的，以转账方式退回到供应商银行账户或由供应商代表持相关授权证明材料至采购人或采购代理机构办理支票、汇票或本票原件退还手续。 </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（3）采用金融机构、担保机构出具的保函、保险方式的，由供应商代表持相关授权证明材料至采购人或采购代理机构办理保函、保险原件退还手续。</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17.3竞标保证金不计息。</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（2）未按规定提交履约保证金的；</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（4）除因不可抗力或者竞标文件认可的情形以外，成交供应商不与采购人签订合同的；</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pPr>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18、</w:t>
      </w:r>
      <w:bookmarkStart w:id="3" w:name="_Toc254970683"/>
      <w:bookmarkStart w:id="4" w:name="_Toc254970542"/>
      <w:r>
        <w:rPr>
          <w:rFonts w:hint="eastAsia" w:ascii="宋体" w:hAnsi="宋体" w:cs="宋体"/>
          <w:b/>
          <w:color w:val="auto"/>
          <w:szCs w:val="21"/>
          <w:highlight w:val="none"/>
        </w:rPr>
        <w:t>响应文件的</w:t>
      </w:r>
      <w:bookmarkEnd w:id="3"/>
      <w:bookmarkEnd w:id="4"/>
      <w:r>
        <w:rPr>
          <w:rFonts w:hint="eastAsia" w:ascii="宋体" w:hAnsi="宋体" w:cs="宋体"/>
          <w:b/>
          <w:color w:val="auto"/>
          <w:szCs w:val="21"/>
          <w:highlight w:val="none"/>
        </w:rPr>
        <w:t>编制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18.1供应商应按本性谈判文件规定的格式和顺序编制、装订响应文件并标注页码，响应文件内容不完整、编排混乱导致响应文件被误读、漏读或者查找不到相关内容的，所引起的后果由供应商负责。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18.2响应文件应按资格证明、报价分别编制，商务技术文件合并编制，本谈判只接受电子版响应文件。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18.3 响应文件电子版要求：按照本谈判文件“第四章 响应文件格式”编写（第四章未附格式的，由供应商自行拟定），并在规定加盖公章处加盖电子公章，否则响应文件按无效响应处理。</w:t>
      </w:r>
      <w:r>
        <w:rPr>
          <w:rFonts w:hint="eastAsia" w:ascii="宋体" w:hAnsi="宋体" w:cs="宋体"/>
          <w:color w:val="auto"/>
          <w:kern w:val="0"/>
          <w:szCs w:val="21"/>
          <w:highlight w:val="none"/>
        </w:rPr>
        <w:t>骑缝盖</w:t>
      </w:r>
      <w:r>
        <w:rPr>
          <w:rFonts w:hint="eastAsia" w:ascii="宋体" w:hAnsi="宋体" w:cs="宋体"/>
          <w:color w:val="auto"/>
          <w:szCs w:val="21"/>
          <w:highlight w:val="none"/>
        </w:rPr>
        <w:t>公章不视为在规定位置盖章。</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18.5</w:t>
      </w:r>
      <w:r>
        <w:rPr>
          <w:rFonts w:hint="eastAsia" w:ascii="宋体" w:hAnsi="宋体" w:cs="宋体"/>
          <w:color w:val="auto"/>
          <w:kern w:val="0"/>
          <w:szCs w:val="21"/>
          <w:highlight w:val="none"/>
        </w:rPr>
        <w:t>响应文件应避免涂改、行间插字或者删除，否则其响应文件按无效响应处理。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18.6供应商进行电子交易应安装客户端软件—“广西政府采购云平台客户端”，并按照谈判文件和电子交易平台的要求编制并加密响应文件。供应商未按规定加密的响应文件，电子交易平台将拒收并提示。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18.7使用“广西政府采购云平台客户端”需要提前申领CA数字证书，申领流程见该项目采购公告附件。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18.8为确保网上操作合法、有效和安全，供应商应当在响应文件提交截止时间前完成在“政府采购云平台”的身份认证，确保在电子交易过程中能够对相关数据电文进行加密和使用电子签名。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19.响应文件的递交</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19.1供应商必须在“供应商须知前附表”规定的响应文件接收时间和地点提交电子版响应文件。电子响应文件应在制作完成后，在提交截止时间前通过有效数字证书（CA认证锁）进行电子公章、加密，然后通过网络将加密的电子响应文件递交至“广西政府采购云平台”。</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19.2未在规定时间内提交或者未按照谈判文件要求密封或者标记的电子响应文件，“广西政府采购云平台”将拒收。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19.3电子版响应文件提交方式见“谈判公告”中“四、提交响应文件截止时间、开标时间和地点”。</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20.响应文件的补充、修改、撤回与退回</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广西政府采购云平台”平台将拒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20.2 “广西政府采购云平台”平台收到响应文件，将妥善保存并即时向供应商发出确认回执通知。在提交响应文件截止时间前，除供应商补充、修改或者撤回响应文件外，任何单位和个人不得解密或提取响应文件。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20.3在提交响应文件截止时间止提交电子版响应文件的供应商不足3家时，电子版响应文件由代理机构在“广西政府采购云平台”平台操作退回，除此之外采购人和采购代理机构对已提交的响应文件概不退回。</w:t>
      </w:r>
    </w:p>
    <w:p>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四、评审及谈判</w:t>
      </w:r>
    </w:p>
    <w:p>
      <w:pPr>
        <w:pStyle w:val="20"/>
        <w:spacing w:line="360" w:lineRule="auto"/>
        <w:ind w:firstLine="422" w:firstLineChars="200"/>
        <w:rPr>
          <w:rFonts w:hint="eastAsia" w:hAnsi="宋体" w:cs="宋体"/>
          <w:b/>
          <w:bCs/>
          <w:color w:val="auto"/>
          <w:kern w:val="2"/>
          <w:sz w:val="21"/>
          <w:szCs w:val="21"/>
          <w:highlight w:val="none"/>
        </w:rPr>
      </w:pPr>
      <w:r>
        <w:rPr>
          <w:rFonts w:hint="eastAsia" w:hAnsi="宋体" w:cs="宋体"/>
          <w:b/>
          <w:bCs/>
          <w:color w:val="auto"/>
          <w:kern w:val="2"/>
          <w:sz w:val="21"/>
          <w:szCs w:val="21"/>
          <w:highlight w:val="none"/>
        </w:rPr>
        <w:t>21.谈判小组</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21.1竞争性谈判小组由采购人代表和评审专家共三人以上的单数组成。其中评审专家人数不少于谈判小组成员总数的2/3。</w:t>
      </w:r>
      <w:r>
        <w:rPr>
          <w:rFonts w:hint="eastAsia" w:ascii="宋体" w:hAnsi="宋体" w:cs="宋体"/>
          <w:color w:val="auto"/>
          <w:szCs w:val="21"/>
          <w:highlight w:val="none"/>
        </w:rPr>
        <w:t>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22.首次响应文件的开启</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22.1首次响应文件由谈判小组或者采购代理机构在“供应商须知前附表”规定的时间开启。</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23. 响应文件解密</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23.1采购代理机构将在“供应商须知前附表”规定的时间通过电子交易平台组织响应文件开启采购机构依托电子交易平台发起开始解密指令，供应商的法定代表人或其委托代理人须携带加密时所用的CA锁按平台提示和谈判文件的规定登录到“广西政府采购云平台”平台电子开标大厅签到并在发起解密指令之时起30分钟内完成对电子响应文件在线解密。发起解密指令之时起5分钟内供应商还未进行解密的，代理机构通知供应商，</w:t>
      </w:r>
      <w:r>
        <w:rPr>
          <w:rFonts w:hint="eastAsia" w:ascii="宋体" w:hAnsi="宋体" w:cs="宋体"/>
          <w:bCs/>
          <w:color w:val="auto"/>
          <w:szCs w:val="21"/>
          <w:highlight w:val="none"/>
        </w:rPr>
        <w:t>通知后，</w:t>
      </w:r>
      <w:r>
        <w:rPr>
          <w:rFonts w:hint="eastAsia" w:ascii="宋体" w:hAnsi="宋体" w:cs="宋体"/>
          <w:color w:val="auto"/>
          <w:szCs w:val="21"/>
          <w:highlight w:val="none"/>
        </w:rPr>
        <w:t>响应</w:t>
      </w:r>
      <w:r>
        <w:rPr>
          <w:rFonts w:hint="eastAsia" w:ascii="宋体" w:hAnsi="宋体" w:cs="宋体"/>
          <w:bCs/>
          <w:color w:val="auto"/>
          <w:szCs w:val="21"/>
          <w:highlight w:val="none"/>
        </w:rPr>
        <w:t>文件仍未按时解密，或者</w:t>
      </w:r>
      <w:r>
        <w:rPr>
          <w:rFonts w:hint="eastAsia" w:ascii="宋体" w:hAnsi="宋体" w:cs="宋体"/>
          <w:color w:val="auto"/>
          <w:szCs w:val="21"/>
          <w:highlight w:val="none"/>
        </w:rPr>
        <w:t>供应商</w:t>
      </w:r>
      <w:r>
        <w:rPr>
          <w:rFonts w:hint="eastAsia" w:ascii="宋体" w:hAnsi="宋体" w:cs="宋体"/>
          <w:bCs/>
          <w:color w:val="auto"/>
          <w:szCs w:val="21"/>
          <w:highlight w:val="none"/>
        </w:rPr>
        <w:t>没预留联系方式或预留联系方式无效，</w:t>
      </w:r>
      <w:r>
        <w:rPr>
          <w:rFonts w:hint="eastAsia" w:ascii="宋体" w:hAnsi="宋体" w:cs="宋体"/>
          <w:color w:val="auto"/>
          <w:szCs w:val="21"/>
          <w:highlight w:val="none"/>
        </w:rPr>
        <w:t>非代理机构原因导致代理机构无法联系到供应商进行解密的</w:t>
      </w:r>
      <w:r>
        <w:rPr>
          <w:rFonts w:hint="eastAsia" w:ascii="宋体" w:hAnsi="宋体" w:cs="宋体"/>
          <w:bCs/>
          <w:color w:val="auto"/>
          <w:szCs w:val="21"/>
          <w:highlight w:val="none"/>
        </w:rPr>
        <w:t>，</w:t>
      </w:r>
      <w:r>
        <w:rPr>
          <w:rFonts w:hint="eastAsia" w:ascii="宋体" w:hAnsi="宋体" w:cs="宋体"/>
          <w:color w:val="auto"/>
          <w:szCs w:val="21"/>
          <w:highlight w:val="none"/>
        </w:rPr>
        <w:t>视为响应文件无效</w:t>
      </w:r>
      <w:r>
        <w:rPr>
          <w:rFonts w:hint="eastAsia" w:ascii="宋体" w:hAnsi="宋体" w:cs="宋体"/>
          <w:bCs/>
          <w:color w:val="auto"/>
          <w:szCs w:val="21"/>
          <w:highlight w:val="none"/>
        </w:rPr>
        <w:t>。</w:t>
      </w:r>
      <w:r>
        <w:rPr>
          <w:rFonts w:hint="eastAsia" w:ascii="宋体" w:hAnsi="宋体" w:cs="宋体"/>
          <w:color w:val="auto"/>
          <w:szCs w:val="21"/>
          <w:highlight w:val="none"/>
        </w:rPr>
        <w:t>（解密异常情况处理：详见本章30.电子交易活动的中止。）</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23.2如供应商成功解密响应文件，但未在“广西政府采购云平台”电子开标大厅参加谈判的，视同认可谈判过程和结果，由此产生的后果由供应商自行负责。参与谈判的供应商不足3家的，不得谈判。</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24.评审程序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24.1谈判小组按照“第六章 评审方法和评审标准”规定的方法、评审因素、标准和程序对响应文件进行评审。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w:t>
      </w:r>
      <w:r>
        <w:rPr>
          <w:rFonts w:hint="eastAsia" w:ascii="宋体" w:hAnsi="宋体" w:cs="宋体"/>
          <w:bCs/>
          <w:color w:val="auto"/>
          <w:szCs w:val="21"/>
          <w:highlight w:val="none"/>
        </w:rPr>
        <w:t>资格审查</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响应文件开启后，谈判小组依法对供应商的资格文件进行审查</w:t>
      </w:r>
      <w:r>
        <w:rPr>
          <w:rFonts w:hint="eastAsia" w:ascii="宋体" w:hAnsi="宋体" w:cs="宋体"/>
          <w:color w:val="auto"/>
          <w:spacing w:val="-2"/>
          <w:szCs w:val="21"/>
          <w:highlight w:val="none"/>
        </w:rPr>
        <w:t>。</w:t>
      </w:r>
      <w:r>
        <w:rPr>
          <w:rFonts w:hint="eastAsia" w:ascii="宋体" w:hAnsi="宋体" w:cs="宋体"/>
          <w:b/>
          <w:bCs/>
          <w:color w:val="auto"/>
          <w:szCs w:val="21"/>
          <w:highlight w:val="none"/>
        </w:rPr>
        <w:t>在资格审查时，如发现下列情形之一的，响应文件将被视为无效：</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（1）不具备谈判文件中规定的资格要求的；（注：其中信用查询由谈判小组于资格审查时</w:t>
      </w:r>
      <w:r>
        <w:rPr>
          <w:rFonts w:hint="eastAsia" w:ascii="宋体" w:hAnsi="宋体" w:cs="宋体"/>
          <w:color w:val="auto"/>
          <w:szCs w:val="21"/>
          <w:highlight w:val="none"/>
        </w:rPr>
        <w:t>在“信用中国”网站和“中国政府采购网”</w:t>
      </w:r>
      <w:r>
        <w:rPr>
          <w:rFonts w:hint="eastAsia" w:ascii="宋体" w:hAnsi="宋体" w:cs="宋体"/>
          <w:bCs/>
          <w:color w:val="auto"/>
          <w:szCs w:val="21"/>
          <w:highlight w:val="none"/>
        </w:rPr>
        <w:t>对供应商进行信用查询，联合体成员存在不良信用记录的视同联合体存在不良信用记录。）</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（2）未提供谈判文件中“13.响应文件的组成13.1资格证明文件”要求必须提供的资料的；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（3）法律、法规和谈判文件规定的其他无效情形。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通过资格审查的合格供应商不足3家的，不得进入符合性审查环节，采购人或者采购代理机构应当重新开展采购活动。</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24.3符合性审查</w:t>
      </w:r>
    </w:p>
    <w:p>
      <w:pPr>
        <w:widowControl/>
        <w:spacing w:line="360" w:lineRule="auto"/>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谈判小组依法对供应商的符合性进行审查</w:t>
      </w:r>
      <w:r>
        <w:rPr>
          <w:rFonts w:hint="eastAsia" w:ascii="宋体" w:hAnsi="宋体" w:cs="宋体"/>
          <w:color w:val="auto"/>
          <w:spacing w:val="-2"/>
          <w:szCs w:val="21"/>
          <w:highlight w:val="none"/>
        </w:rPr>
        <w:t>。</w:t>
      </w:r>
      <w:r>
        <w:rPr>
          <w:rFonts w:hint="eastAsia" w:ascii="宋体" w:hAnsi="宋体" w:cs="宋体"/>
          <w:b/>
          <w:bCs/>
          <w:color w:val="auto"/>
          <w:szCs w:val="21"/>
          <w:highlight w:val="none"/>
        </w:rPr>
        <w:t>在符合性审查时，如发现下列情形之一的，响应文件将被视为无效：</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未按照竞争性谈判文件的规定足额交纳竞标保证金的</w:t>
      </w:r>
      <w:r>
        <w:rPr>
          <w:rFonts w:hint="eastAsia" w:ascii="宋体" w:hAnsi="宋体" w:cs="宋体"/>
          <w:bCs/>
          <w:color w:val="auto"/>
          <w:szCs w:val="21"/>
          <w:highlight w:val="none"/>
        </w:rPr>
        <w:t>；</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（2）响应文件未按谈判文件要求签署、盖章的；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（3）投标代表人未能出具身份证明或与法定代表人授权委托人身份不符的；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（4）响应文件的实质性内容未使用中文表述、意思表述不明确、前后矛盾或者使用计量单位不符合谈判文件要求的（经评标委员会认定并允许其当场更正的笔误除外）</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（5）响应文件有效期、服务期或交货期、质保期等商务条款不能满足招标文件要求的；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（6）未实质性响应谈判文件要求或者响应文件有采购人不能接受的附加条件的。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（7）未提供谈判文件中“13.响应文件的组成13.2商务和技术文件”要求必须提供的资料的；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（8）未提供或未如实提供投标货物的技术参数，或者响应文件标明的响应或偏离与事实不符或虚假投标的；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（9）明显不符合招标文件要求的规格型号、质量标准和采购需求的，或者与招标文件中标“▲”的技术指标、主要功能项目发生实质性偏离的；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（10）允许偏离的技术、性能指标或者辅助功能项目发生负偏离达 1 项（含1项）以上的；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（11）技术方案不明确，存在一个或一个以上备选（替代）竞标方案的。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（12）未提供谈判文件中“13.响应文件的组成13.3报价文件”要求必须提供的资料的；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（13）报价超过招标文件中规定的预算金额或者最高限价的；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（14）未采用人民币报价或者未按照招标文件标明的币种报价的；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（15）竞标报价具有选择性，或者云平台中开标记录表的报价与响应文件承诺的优惠（折扣）价格不一致的；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（16）法律、法规和招标文件规定的其他无效情形。</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（17）出现恶意竞争低于成本价的情形</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（18）修正后的报价，供应商不确认的。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通过符合性审查的合格供应商不足3家的，不得进入谈判环节，应当重新开展采购活动。</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25.谈判程序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25.1谈判小组按照“供应商须知前附表” 确定的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color w:val="auto"/>
          <w:szCs w:val="21"/>
          <w:highlight w:val="none"/>
        </w:rPr>
        <w:t>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25.5谈判中，谈判的任何一方不得透露与谈判有关的其他供应商的技术资料、价格和其他信息。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25.6谈判小组应对谈判过程和重要谈判内容进行记录，作为评标报告一部分，谈判小组在记录上签字确认。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25.7谈判过程中重新提交的响应文件，供应商可以在开启前补充、修改。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25.8对谈判过程提交的响应文件进行有效性、完整性和响应程度审查，通过审查的合格供应商不足3家的，采购人或者采购代理机构应当重新开展采购活动。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26.1谈判文件能够详细列明采购标的的技术、服务要求的，谈判结束后，由谈判小组要求所有继续参加谈判的供应商在规定时间内密封提交最后报价，提交最后报价的供应商不得少于3家，否则必须重新采购。</w:t>
      </w:r>
      <w:r>
        <w:rPr>
          <w:rFonts w:hint="eastAsia" w:ascii="宋体" w:hAnsi="宋体" w:cs="宋体"/>
          <w:color w:val="auto"/>
          <w:kern w:val="0"/>
          <w:szCs w:val="21"/>
          <w:highlight w:val="none"/>
        </w:rPr>
        <w:t>继续参加谈判的供应商</w:t>
      </w:r>
      <w:r>
        <w:rPr>
          <w:rFonts w:hint="eastAsia" w:ascii="宋体" w:hAnsi="宋体" w:cs="宋体"/>
          <w:color w:val="auto"/>
          <w:szCs w:val="21"/>
          <w:highlight w:val="none"/>
        </w:rPr>
        <w:t>作最后报价</w:t>
      </w:r>
      <w:r>
        <w:rPr>
          <w:rFonts w:hint="eastAsia" w:ascii="宋体" w:hAnsi="宋体" w:cs="宋体"/>
          <w:b/>
          <w:color w:val="auto"/>
          <w:szCs w:val="21"/>
          <w:highlight w:val="none"/>
        </w:rPr>
        <w:t>并附相应的最后报价明细表（报价明细表按第四章要求格式填写），最后报价和相应的最后报价明细表须由其法定代表人或授权代表签字或者加盖电子公章</w:t>
      </w:r>
      <w:r>
        <w:rPr>
          <w:rFonts w:hint="eastAsia" w:ascii="宋体" w:hAnsi="宋体" w:cs="宋体"/>
          <w:b/>
          <w:color w:val="auto"/>
          <w:kern w:val="0"/>
          <w:szCs w:val="21"/>
          <w:highlight w:val="none"/>
        </w:rPr>
        <w:t>后递交</w:t>
      </w:r>
      <w:r>
        <w:rPr>
          <w:rFonts w:hint="eastAsia" w:ascii="宋体" w:hAnsi="宋体" w:cs="宋体"/>
          <w:b/>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谈判文件不能详细列明采购标的的技术、服务要求，需经谈判由供应商提供最后设计方案或者解决方案的，谈判结束后，由谈判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 最后报价是供应商响应文件的有效组成部分。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26.4已经提交响应文件的供应商，在提交最后报价之前，可以根据谈判情况退出谈判，退出谈判的供应商的响应文件按无效响应处理。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26.5供应商未在规定时间内提交最后报价的，视同</w:t>
      </w:r>
      <w:r>
        <w:rPr>
          <w:rFonts w:hint="eastAsia" w:ascii="宋体" w:hAnsi="宋体" w:cs="宋体"/>
          <w:b/>
          <w:color w:val="auto"/>
          <w:kern w:val="0"/>
          <w:szCs w:val="21"/>
          <w:highlight w:val="none"/>
        </w:rPr>
        <w:t>放弃报价权利退出谈判</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26.6谈判小组收齐项目或某一分标最后报价后统一开启，谈判小组对最后报价进行有效性、完整性和响应程度的审查。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26.7最终响应文件的报价出现前后不一致的，按照本章第29.1条的规定修正。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26.8修正后的最终报价出现下列情形的，按无效响应处理：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26.9经供应商确认修正后的最后报价作为评审及签订合同的依据。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26.10供应商出现最后报价按无效响应处理或者响应文件按无效处理时，谈判小组应当告知有关供应商。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26.11最后报价结束后，谈判小组不得再与供应商进行任何形式的商谈。</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 最后报价政府采购政策性扣除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评审价为供应商的最后报价进行政策性扣除后的价格，评审价只是作为评审时使用。最终成交供应商的成交金额等于最后报价（如有修正，以确认修正后的最后报价为准）。如价格未进行政策性扣除，则评审价=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27.2谈判小组从质量和服务均能满足竞争性谈判文件实质性响应要求的供应商中，按照最后评审价由低到高的顺序提出3名以上成交候选人；</w:t>
      </w:r>
      <w:r>
        <w:rPr>
          <w:rFonts w:hint="eastAsia" w:ascii="宋体" w:hAnsi="宋体" w:cs="宋体"/>
          <w:color w:val="auto"/>
          <w:highlight w:val="none"/>
        </w:rPr>
        <w:t>最后评审报价相同时，依次最后竞标报价低优先、</w:t>
      </w:r>
      <w:r>
        <w:rPr>
          <w:rFonts w:hint="eastAsia" w:ascii="宋体" w:hAnsi="宋体" w:cs="宋体"/>
          <w:color w:val="auto"/>
          <w:szCs w:val="21"/>
          <w:highlight w:val="none"/>
        </w:rPr>
        <w:t>依次按节能环保产品累计金额高的优先、</w:t>
      </w:r>
      <w:r>
        <w:rPr>
          <w:rFonts w:hint="eastAsia" w:ascii="宋体" w:hAnsi="宋体" w:cs="宋体"/>
          <w:color w:val="auto"/>
          <w:highlight w:val="none"/>
        </w:rPr>
        <w:t>环境标志产品优先、关键技术指标高优先、质量保证期长优先、</w:t>
      </w:r>
      <w:r>
        <w:rPr>
          <w:rFonts w:hint="eastAsia" w:ascii="宋体" w:hAnsi="宋体" w:cs="宋体"/>
          <w:bCs/>
          <w:color w:val="auto"/>
          <w:highlight w:val="none"/>
        </w:rPr>
        <w:t>交货期</w:t>
      </w:r>
      <w:r>
        <w:rPr>
          <w:rFonts w:hint="eastAsia" w:ascii="宋体" w:hAnsi="宋体" w:cs="宋体"/>
          <w:color w:val="auto"/>
          <w:highlight w:val="none"/>
        </w:rPr>
        <w:t>短优先、故障处理时间短优先的顺序排列</w:t>
      </w:r>
      <w:r>
        <w:rPr>
          <w:rFonts w:hint="eastAsia" w:ascii="宋体" w:hAnsi="宋体" w:cs="宋体"/>
          <w:color w:val="auto"/>
          <w:szCs w:val="21"/>
          <w:highlight w:val="none"/>
        </w:rPr>
        <w:t>成交候选人，并编写评审报告。最后报价是供应商竞争性谈判响应文件的有效组成部分。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28.澄清问题的形式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对于响应文件中含义不明确、同类问题表述不一致或者有明显文字和计算错误的内容，评标委员会应在“广西政府采购云平台”平台发布电子澄清函，要求供应商在规定时间内作出必要的澄清、说明或者补正。供应商在“广西政府采购云平台”平台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pPr>
        <w:widowControl/>
        <w:tabs>
          <w:tab w:val="left" w:pos="540"/>
        </w:tabs>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29.错误修正</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29.1竞争性谈判响应文件如果出现计算或表达上的错误，修正错误的原则如下：</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（1）响应文件中开标一览表（报价表）内容与响应文件中相应内容不一致的，以开标一览表（报价表）为准；</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widowControl/>
        <w:tabs>
          <w:tab w:val="left" w:pos="540"/>
        </w:tabs>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同时出现两种以上不一致的，按照前款规定的顺序修正。修正后的报价经供应商确认并加盖公章或者由法定代表人或其授权的代表签字后产生约束力，供应商不确认的，其竞标无效。</w:t>
      </w:r>
    </w:p>
    <w:p>
      <w:pPr>
        <w:widowControl/>
        <w:tabs>
          <w:tab w:val="left" w:pos="54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29.2经供应商确认修正后的首次及最后报价若超过采购预算金额，供应商的响应文件作无效处理。</w:t>
      </w:r>
    </w:p>
    <w:p>
      <w:pPr>
        <w:widowControl/>
        <w:tabs>
          <w:tab w:val="left" w:pos="54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29.3经供应商确认修正后的最后报价作为评审及签订合同的依据。</w:t>
      </w:r>
    </w:p>
    <w:p>
      <w:pPr>
        <w:widowControl/>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30.电子交易活动的中止</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30.1采购过程中出现以下情形，导致电子交易平台无法正常运行，或者无法保证电子交易的公平、公正和安全时，采购机构可中止电子交易活动：</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（4）病毒发作导致不能进行正常操作的；</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widowControl/>
        <w:tabs>
          <w:tab w:val="left" w:pos="540"/>
        </w:tabs>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31.评委表决</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31.1在评标过程中出现法律法规和谈判文件均没有明确规定的情形时，由谈判小组现场协商解决，协商不一致的，由全体评委投票表决，以得票率二分之一以上专家的意见为准。</w:t>
      </w:r>
    </w:p>
    <w:p>
      <w:pPr>
        <w:widowControl/>
        <w:tabs>
          <w:tab w:val="left" w:pos="540"/>
        </w:tabs>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32.评审过程的监控</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32.1本项目电子评标过程实行网上留痕、全程录音、录像监控，供应商在评审过程中所进行的试图影响评审结果的不公正活动，可能导致其竞争性谈判被拒绝。</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五、成交及合同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33.确定成交供应商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33.1 </w:t>
      </w:r>
      <w:r>
        <w:rPr>
          <w:rFonts w:hint="eastAsia" w:ascii="宋体" w:hAnsi="宋体" w:cs="宋体"/>
          <w:color w:val="auto"/>
          <w:kern w:val="0"/>
          <w:szCs w:val="21"/>
          <w:highlight w:val="none"/>
        </w:rPr>
        <w:t>根据以下原则确定成交供应商：响应文件满足谈判文件全部实质性要求，且评审报价最低的供应商为成交供应商。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33.2采购代理机构将在评标结束后两个工作日内将评标报告送采购人，采购人在五个工作日内按照评标报告中推荐的成交候选人顺序确定成交供应商。采购人也可以事先授权谈判小组直接确定成交供应商。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33.3成交供应商确定后二个工作日内，采购代理机构或采购人</w:t>
      </w:r>
      <w:r>
        <w:rPr>
          <w:rFonts w:hint="eastAsia" w:ascii="宋体" w:hAnsi="宋体" w:cs="宋体"/>
          <w:color w:val="auto"/>
          <w:kern w:val="0"/>
          <w:szCs w:val="21"/>
          <w:highlight w:val="none"/>
        </w:rPr>
        <w:t>应当对成交供应商信用进行核实</w:t>
      </w:r>
      <w:r>
        <w:rPr>
          <w:rFonts w:hint="eastAsia" w:ascii="宋体" w:hAnsi="宋体" w:cs="宋体"/>
          <w:color w:val="auto"/>
          <w:szCs w:val="21"/>
          <w:highlight w:val="none"/>
        </w:rPr>
        <w:t>，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w:t>
      </w:r>
      <w:r>
        <w:rPr>
          <w:rFonts w:hint="eastAsia" w:ascii="宋体" w:hAnsi="宋体" w:cs="宋体"/>
          <w:color w:val="auto"/>
          <w:spacing w:val="-3"/>
          <w:szCs w:val="21"/>
          <w:highlight w:val="none"/>
        </w:rPr>
        <w:t>并确定排名第二的中标候选人为中标人。排名第二的中标候选人因前款规定的同样原因被取消中标资格的，采购人可以确定排名第三的中标候选人为中标人，以此类推，采购人也可以取消采购。以上信息查询记录</w:t>
      </w:r>
      <w:r>
        <w:rPr>
          <w:rFonts w:hint="eastAsia" w:ascii="宋体" w:hAnsi="宋体" w:cs="宋体"/>
          <w:color w:val="auto"/>
          <w:szCs w:val="21"/>
          <w:highlight w:val="none"/>
        </w:rPr>
        <w:t>及相关证据与谈判文件一并保存。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33.4在发布成交公告的同时，采购代理机构向成交供应商</w:t>
      </w:r>
      <w:r>
        <w:rPr>
          <w:rFonts w:hint="eastAsia" w:ascii="宋体" w:hAnsi="宋体" w:cs="宋体"/>
          <w:color w:val="auto"/>
          <w:kern w:val="0"/>
          <w:szCs w:val="21"/>
          <w:highlight w:val="none"/>
        </w:rPr>
        <w:t>通过“广西政府采购云平台”平台发出电子</w:t>
      </w:r>
      <w:r>
        <w:rPr>
          <w:rFonts w:hint="eastAsia" w:ascii="宋体" w:hAnsi="宋体" w:cs="宋体"/>
          <w:color w:val="auto"/>
          <w:szCs w:val="21"/>
          <w:highlight w:val="none"/>
        </w:rPr>
        <w:t>成交通知书。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33.5供应商认为竞争性谈判文件、招标过程和成交结果使自己的权益受到损害的，可以在知道或者应知其权益受到损害之日起七个工作日内，以书面形式向招标采购单位提出质疑，并及时索要书面回执。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34.签订合同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成交供应商应在成交通知书发出之日起二十五日内（采购文件另有约定的除外），按谈判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ascii="宋体" w:hAnsi="宋体" w:cs="宋体"/>
          <w:color w:val="auto"/>
          <w:kern w:val="0"/>
          <w:szCs w:val="21"/>
          <w:highlight w:val="none"/>
        </w:rPr>
        <w:t>电子采购合同需要供应商通过有效CA证书进行电子签名与签章。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34.3如成交供应商不按成交通知书的规定签订合同，则按成交供应商违约处理，采购代理机构将没收成交供应商投标的全部竞标保证金并上缴同级财政国库。</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34.4成交供应商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34.5政府采购合同公告：采购人或者受托采购代理机构应当自政府采购合同签订之日起2个工作日内，将政府采购合同在“广西政府采购网”（http：//zfcg.gxzf.gov.cn）上发布公告，但政府采购合同中涉及国家秘密、商业秘密的内容除外。因此请各供应商应在响应文件中注明投标内容中涉及商业秘密的部分，未注明的视为响应文件中不涉及商业秘密。</w:t>
      </w:r>
    </w:p>
    <w:p>
      <w:pPr>
        <w:pStyle w:val="20"/>
        <w:spacing w:line="360" w:lineRule="auto"/>
        <w:ind w:firstLine="310" w:firstLineChars="147"/>
        <w:rPr>
          <w:rFonts w:hint="eastAsia" w:hAnsi="宋体" w:cs="宋体"/>
          <w:b/>
          <w:color w:val="auto"/>
          <w:sz w:val="21"/>
          <w:szCs w:val="21"/>
          <w:highlight w:val="none"/>
        </w:rPr>
      </w:pPr>
      <w:r>
        <w:rPr>
          <w:rFonts w:hint="eastAsia" w:hAnsi="宋体" w:cs="宋体"/>
          <w:b/>
          <w:color w:val="auto"/>
          <w:sz w:val="21"/>
          <w:szCs w:val="21"/>
          <w:highlight w:val="none"/>
        </w:rPr>
        <w:t>34.6履约保证金</w:t>
      </w:r>
    </w:p>
    <w:p>
      <w:pPr>
        <w:spacing w:line="360" w:lineRule="auto"/>
        <w:ind w:firstLine="283" w:firstLineChars="13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34.6.1履约保证金金额：详见供应商须知前附</w:t>
      </w:r>
      <w:r>
        <w:rPr>
          <w:rFonts w:hint="eastAsia" w:ascii="宋体" w:hAnsi="宋体" w:cs="宋体"/>
          <w:color w:val="auto"/>
          <w:szCs w:val="21"/>
          <w:highlight w:val="none"/>
        </w:rPr>
        <w:t>表</w:t>
      </w:r>
      <w:r>
        <w:rPr>
          <w:rFonts w:hint="eastAsia" w:ascii="宋体" w:hAnsi="宋体" w:cs="宋体"/>
          <w:color w:val="auto"/>
          <w:kern w:val="0"/>
          <w:szCs w:val="21"/>
          <w:highlight w:val="none"/>
        </w:rPr>
        <w:t>。</w:t>
      </w:r>
    </w:p>
    <w:p>
      <w:pPr>
        <w:spacing w:line="360" w:lineRule="auto"/>
        <w:ind w:firstLine="283" w:firstLineChars="13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34.6.2履约保证金递交时间：详见供应商须知前附</w:t>
      </w:r>
      <w:r>
        <w:rPr>
          <w:rFonts w:hint="eastAsia" w:ascii="宋体" w:hAnsi="宋体" w:cs="宋体"/>
          <w:color w:val="auto"/>
          <w:szCs w:val="21"/>
          <w:highlight w:val="none"/>
        </w:rPr>
        <w:t>表，未在规定时间内足额缴纳履约保证金的，不予签订合同</w:t>
      </w:r>
      <w:r>
        <w:rPr>
          <w:rFonts w:hint="eastAsia" w:ascii="宋体" w:hAnsi="宋体" w:cs="宋体"/>
          <w:color w:val="auto"/>
          <w:kern w:val="0"/>
          <w:szCs w:val="21"/>
          <w:highlight w:val="none"/>
        </w:rPr>
        <w:t>。</w:t>
      </w:r>
    </w:p>
    <w:p>
      <w:pPr>
        <w:pStyle w:val="20"/>
        <w:spacing w:line="360" w:lineRule="auto"/>
        <w:ind w:firstLine="283" w:firstLineChars="135"/>
        <w:rPr>
          <w:rFonts w:hint="eastAsia" w:hAnsi="宋体" w:cs="宋体"/>
          <w:color w:val="auto"/>
          <w:sz w:val="21"/>
          <w:szCs w:val="21"/>
          <w:highlight w:val="none"/>
        </w:rPr>
      </w:pPr>
      <w:r>
        <w:rPr>
          <w:rFonts w:hint="eastAsia" w:hAnsi="宋体" w:cs="宋体"/>
          <w:color w:val="auto"/>
          <w:sz w:val="21"/>
          <w:szCs w:val="21"/>
          <w:highlight w:val="none"/>
        </w:rPr>
        <w:t>34.6.3在履约保证金退还日期前，若中标供应商的开户名称、开户银行、帐号有变动的，请以书面形式通知保证金收取单位，否则由此产生的后果由中标供应商自负。</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六、验收</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35.验收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35.2采购人可以邀请参加本项目的其他供应商或者第三方机构参与验收。参与验收的供应商或者第三方机构的意见作为验收书的参考资料一并存档。</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35.5项目验收完毕，成交供应商将壹份《广西壮族自治区政府采购项目合同验收书》（格式详见附件）送采购代理机构存档。</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七、其他事项</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36. 需要补充的其他内容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36.1本谈判文件解释规则详见“供应商须知前附表”。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37.2其他事项详见“供应商须知前附表”。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37. 成交服务费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37.1成交服务费：代理服务费以成交价为计费依据，参照国家发展计划委员会《招标代理服务收费管理暂行办法》(计价格[2002]1980号)收费标准及《国家发展改革委关于降低部分建设项目收费标准规范收费行为等有关问题的通知》(发改价格[2011]534号)标准费率的规定下浮10%向成交供应商收取。成交供应商在领取成交通知书时，一次性向采购代理机构支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37.2成交服务费收费标准：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641350</wp:posOffset>
                      </wp:positionH>
                      <wp:positionV relativeFrom="paragraph">
                        <wp:posOffset>12065</wp:posOffset>
                      </wp:positionV>
                      <wp:extent cx="831850" cy="1131570"/>
                      <wp:effectExtent l="3810" t="2540" r="21590" b="8890"/>
                      <wp:wrapNone/>
                      <wp:docPr id="3" name="直线 20"/>
                      <wp:cNvGraphicFramePr/>
                      <a:graphic xmlns:a="http://schemas.openxmlformats.org/drawingml/2006/main">
                        <a:graphicData uri="http://schemas.microsoft.com/office/word/2010/wordprocessingShape">
                          <wps:wsp>
                            <wps:cNvCnPr/>
                            <wps:spPr>
                              <a:xfrm flipH="1" flipV="1">
                                <a:off x="0" y="0"/>
                                <a:ext cx="831850" cy="11315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flip:x y;margin-left:50.5pt;margin-top:0.95pt;height:89.1pt;width:65.5pt;z-index:251661312;mso-width-relative:page;mso-height-relative:page;" filled="f" stroked="t" coordsize="21600,21600" o:gfxdata="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uCX0tEAAAAJAQAADwAAAAAAAAABACAAAAAiAAAAZHJzL2Rvd25yZXYueG1sUEsBAhQAFAAA&#10;AAgAh07iQIX8OZv2AQAA9wMAAA4AAAAAAAAAAQAgAAAAIAEAAGRycy9lMm9Eb2MueG1sUEsFBgAA&#10;AAAGAAYAWQEAAIgFA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费率</w:t>
            </w:r>
            <w:r>
              <w:rPr>
                <w:rFonts w:hint="eastAsia" w:ascii="宋体" w:hAnsi="宋体" w:cs="宋体"/>
                <w:color w:val="auto"/>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CpcURx4QEAAN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 xml:space="preserve">    服务类型</w:t>
            </w:r>
          </w:p>
          <w:p>
            <w:pPr>
              <w:spacing w:line="360" w:lineRule="auto"/>
              <w:ind w:firstLine="422" w:firstLineChars="200"/>
              <w:jc w:val="center"/>
              <w:rPr>
                <w:rFonts w:hint="eastAsia" w:ascii="宋体" w:hAnsi="宋体" w:cs="宋体"/>
                <w:b/>
                <w:color w:val="auto"/>
                <w:szCs w:val="21"/>
                <w:highlight w:val="none"/>
              </w:rPr>
            </w:pP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-159385</wp:posOffset>
                      </wp:positionV>
                      <wp:extent cx="1508760" cy="723265"/>
                      <wp:effectExtent l="1905" t="4445" r="13335" b="15240"/>
                      <wp:wrapNone/>
                      <wp:docPr id="2" name="直线 19"/>
                      <wp:cNvGraphicFramePr/>
                      <a:graphic xmlns:a="http://schemas.openxmlformats.org/drawingml/2006/main">
                        <a:graphicData uri="http://schemas.microsoft.com/office/word/2010/wordprocessingShape">
                          <wps:wsp>
                            <wps:cNvCnPr/>
                            <wps:spPr>
                              <a:xfrm flipH="1" flipV="1">
                                <a:off x="0" y="0"/>
                                <a:ext cx="1508760" cy="7232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flip:x y;margin-left:-2.85pt;margin-top:-12.55pt;height:56.95pt;width:118.8pt;z-index:251660288;mso-width-relative:page;mso-height-relative:page;" filled="f" stroked="t" coordsize="21600,21600" o:gfxdata="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7I93VAAAACQEAAA8AAAAAAAAAAQAgAAAAIgAAAGRycy9kb3ducmV2LnhtbFBLAQIU&#10;ABQAAAAIAIdO4kDo/BH+9gEAAPcDAAAOAAAAAAAAAAEAIAAAACQBAABkcnMvZTJvRG9jLnhtbFBL&#10;BQYAAAAABgAGAFkBAACMBQAAAAA=&#10;">
                      <v:fill on="f" focussize="0,0"/>
                      <v:stroke color="#000000" joinstyle="round"/>
                      <v:imagedata o:title=""/>
                      <o:lock v:ext="edit" aspectratio="f"/>
                    </v:line>
                  </w:pict>
                </mc:Fallback>
              </mc:AlternateConten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成交金额（万元）</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服务招标</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100以下</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100-500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0.8%</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500-1000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0.8%</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0.45%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1000-5000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0.25%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5000-10000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0.25%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0.1%</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10000-100000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1000000以上</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0.01%</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0.01%</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0.01%</w:t>
            </w:r>
          </w:p>
        </w:tc>
      </w:tr>
    </w:tbl>
    <w:p>
      <w:pPr>
        <w:pStyle w:val="20"/>
        <w:spacing w:line="360" w:lineRule="auto"/>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注：招标代理服务费收费按差额定率累进法计算。</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38.供应商信用查询相关规定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38.1信用查询渠道：“信用中国”网站（www.creditchina.gov.cn）、中国政府采购网（www.ccgp.gov.cn）；</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38.2信用查询截止时点：资格审查时。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38.3信用信息查询记录：“列入失信被执行人”、“ 重大税收违法案件当事人名单”、“政府采购严重违法失信行为记录名单”。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38.4信用信息的使用规则：如供应商被列入“列入失信被执行人”、 “ 重大税收违法案件当事人名单”、“政府采购严重违法失信行为记录名单”等名单内的，将按照信用信息使用规则处理。</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39.关于中小企业的相关规定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根据《政府采购促进中小企业发展管理办法》（财库[2020]46号），本谈判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39.3在货物采购项目中，供应商提供的货物既有中小企业制造货物，也有大型企业制造货物的，不享受中小企业扶持政策。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39.4以联合体形式参加政府采购活动，联合体各方均为中小企业的，联合体视同中小企业。其中，联合体各方均为小微企业的，联合体视同小微企业。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39.5享受中小企业扶持政策获得政府采购合同的，小微企业不得将合同分包给大中型企业，中型企业不得将合同分包给大型企业。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39.6供应商（货物项目时为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39.7供应商（货物项目时为竞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39.8对于专门面向中小企业采购的采购项目或者采购包，通过发布公告方式邀请供应商后，符合资格条件的中小企业数量不足 3 家的，应当中止采购活动，视同非专门面向中小企业采购的采购项目或者采购包，按照《政府采购促进中小企业发展管理办法》（财库[2020]46号）第九条有关规定重新组织采购活动。</w:t>
      </w:r>
      <w:r>
        <w:rPr>
          <w:rFonts w:hint="eastAsia" w:ascii="宋体" w:hAnsi="宋体" w:cs="宋体"/>
          <w:color w:val="auto"/>
          <w:kern w:val="0"/>
          <w:szCs w:val="21"/>
          <w:highlight w:val="none"/>
        </w:rPr>
        <w:t xml:space="preserve"> </w:t>
      </w:r>
    </w:p>
    <w:p>
      <w:pPr>
        <w:spacing w:line="360" w:lineRule="auto"/>
        <w:ind w:firstLine="420" w:firstLineChars="200"/>
        <w:rPr>
          <w:rFonts w:hint="eastAsia" w:ascii="宋体" w:hAnsi="宋体" w:cs="Adobe 宋体 Std L"/>
          <w:color w:val="auto"/>
          <w:szCs w:val="21"/>
          <w:highlight w:val="none"/>
        </w:rPr>
      </w:pPr>
    </w:p>
    <w:p>
      <w:pPr>
        <w:tabs>
          <w:tab w:val="left" w:pos="2835"/>
        </w:tabs>
        <w:spacing w:line="360" w:lineRule="auto"/>
        <w:rPr>
          <w:rFonts w:hint="eastAsia" w:ascii="宋体" w:hAnsi="宋体"/>
          <w:color w:val="auto"/>
          <w:szCs w:val="21"/>
          <w:highlight w:val="none"/>
        </w:rPr>
      </w:pPr>
    </w:p>
    <w:p>
      <w:pPr>
        <w:pStyle w:val="2"/>
        <w:rPr>
          <w:rFonts w:hint="eastAsia" w:ascii="宋体" w:hAnsi="宋体"/>
          <w:color w:val="auto"/>
          <w:highlight w:val="none"/>
        </w:rPr>
        <w:sectPr>
          <w:pgSz w:w="11906" w:h="16838"/>
          <w:pgMar w:top="1134" w:right="1134" w:bottom="1134" w:left="1134" w:header="720" w:footer="720" w:gutter="0"/>
          <w:cols w:space="0" w:num="1"/>
          <w:docGrid w:type="lines" w:linePitch="312" w:charSpace="0"/>
        </w:sectPr>
      </w:pPr>
      <w:r>
        <w:rPr>
          <w:rFonts w:ascii="宋体" w:hAnsi="宋体"/>
          <w:color w:val="auto"/>
          <w:highlight w:val="none"/>
        </w:rPr>
        <w:br w:type="page"/>
      </w:r>
    </w:p>
    <w:p>
      <w:pPr>
        <w:tabs>
          <w:tab w:val="left" w:pos="2835"/>
        </w:tabs>
        <w:rPr>
          <w:rFonts w:hint="eastAsia" w:ascii="宋体" w:hAnsi="宋体" w:cs="宋体"/>
          <w:b/>
          <w:color w:val="auto"/>
          <w:highlight w:val="none"/>
        </w:rPr>
      </w:pPr>
      <w:r>
        <w:rPr>
          <w:rFonts w:hint="eastAsia" w:ascii="宋体" w:hAnsi="宋体" w:cs="宋体"/>
          <w:b/>
          <w:color w:val="auto"/>
          <w:highlight w:val="none"/>
        </w:rPr>
        <w:t>附件1</w:t>
      </w:r>
    </w:p>
    <w:p>
      <w:pPr>
        <w:pStyle w:val="20"/>
        <w:snapToGrid w:val="0"/>
        <w:spacing w:line="360" w:lineRule="auto"/>
        <w:jc w:val="center"/>
        <w:rPr>
          <w:rFonts w:hint="eastAsia" w:hAnsi="宋体" w:cs="宋体"/>
          <w:color w:val="auto"/>
          <w:sz w:val="36"/>
          <w:szCs w:val="36"/>
          <w:highlight w:val="none"/>
        </w:rPr>
      </w:pPr>
      <w:r>
        <w:rPr>
          <w:rFonts w:hint="eastAsia" w:hAnsi="宋体" w:cs="宋体"/>
          <w:b/>
          <w:color w:val="auto"/>
          <w:sz w:val="36"/>
          <w:szCs w:val="36"/>
          <w:highlight w:val="none"/>
        </w:rPr>
        <w:t>广西壮族自治区政府采购项目合同验收书</w:t>
      </w:r>
      <w:r>
        <w:rPr>
          <w:rFonts w:hint="eastAsia" w:hAnsi="宋体" w:cs="宋体"/>
          <w:color w:val="auto"/>
          <w:sz w:val="36"/>
          <w:szCs w:val="36"/>
          <w:highlight w:val="none"/>
        </w:rPr>
        <w:t>（格式）</w:t>
      </w:r>
    </w:p>
    <w:p>
      <w:pPr>
        <w:widowControl/>
        <w:shd w:val="clear" w:color="auto" w:fill="FFFFFF"/>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项目名称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 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37"/>
        <w:tblW w:w="9639" w:type="dxa"/>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927"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9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p>
        </w:tc>
        <w:tc>
          <w:tcPr>
            <w:tcW w:w="331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30"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合计</w:t>
            </w: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10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12"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310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412"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cs="宋体"/>
                <w:color w:val="auto"/>
                <w:kern w:val="0"/>
                <w:szCs w:val="21"/>
                <w:highlight w:val="none"/>
              </w:rPr>
            </w:pP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900"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ind w:firstLine="422"/>
        <w:jc w:val="left"/>
        <w:rPr>
          <w:rFonts w:hint="eastAsia" w:hAnsi="宋体"/>
          <w:b/>
          <w:color w:val="auto"/>
          <w:highlight w:val="none"/>
        </w:rPr>
      </w:pPr>
    </w:p>
    <w:p>
      <w:pPr>
        <w:tabs>
          <w:tab w:val="left" w:pos="2835"/>
        </w:tabs>
        <w:rPr>
          <w:rFonts w:hint="eastAsia" w:ascii="宋体" w:hAnsi="宋体" w:cs="宋体"/>
          <w:b/>
          <w:color w:val="auto"/>
          <w:highlight w:val="none"/>
        </w:rPr>
      </w:pPr>
      <w:r>
        <w:rPr>
          <w:rFonts w:hAnsi="宋体"/>
          <w:b/>
          <w:color w:val="auto"/>
          <w:highlight w:val="none"/>
        </w:rPr>
        <w:br w:type="page"/>
      </w:r>
      <w:r>
        <w:rPr>
          <w:rFonts w:hint="eastAsia" w:ascii="宋体" w:hAnsi="宋体" w:cs="宋体"/>
          <w:b/>
          <w:color w:val="auto"/>
          <w:highlight w:val="none"/>
        </w:rPr>
        <w:t>附件2：</w:t>
      </w:r>
    </w:p>
    <w:p>
      <w:pPr>
        <w:pStyle w:val="20"/>
        <w:snapToGrid w:val="0"/>
        <w:spacing w:line="360" w:lineRule="auto"/>
        <w:jc w:val="center"/>
        <w:rPr>
          <w:rFonts w:hint="eastAsia" w:hAnsi="宋体" w:cs="宋体"/>
          <w:b/>
          <w:color w:val="auto"/>
          <w:sz w:val="36"/>
          <w:szCs w:val="36"/>
          <w:highlight w:val="none"/>
        </w:rPr>
      </w:pPr>
      <w:r>
        <w:rPr>
          <w:rFonts w:hint="eastAsia" w:hAnsi="宋体" w:cs="宋体"/>
          <w:b/>
          <w:color w:val="auto"/>
          <w:sz w:val="36"/>
          <w:szCs w:val="36"/>
          <w:highlight w:val="none"/>
        </w:rPr>
        <w:t>政府采购项目履约保证金退付意见书</w:t>
      </w:r>
      <w:r>
        <w:rPr>
          <w:rFonts w:hint="eastAsia" w:hAnsi="宋体" w:cs="宋体"/>
          <w:color w:val="auto"/>
          <w:sz w:val="36"/>
          <w:szCs w:val="36"/>
          <w:highlight w:val="none"/>
        </w:rPr>
        <w:t>（参考）</w:t>
      </w:r>
    </w:p>
    <w:tbl>
      <w:tblPr>
        <w:tblStyle w:val="3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ind w:left="1" w:leftChars="-51" w:hanging="108" w:hangingChars="45"/>
              <w:jc w:val="center"/>
              <w:rPr>
                <w:color w:val="auto"/>
                <w:sz w:val="24"/>
                <w:highlight w:val="none"/>
              </w:rPr>
            </w:pPr>
            <w:r>
              <w:rPr>
                <w:rFonts w:hint="eastAsia"/>
                <w:color w:val="auto"/>
                <w:sz w:val="24"/>
                <w:highlight w:val="none"/>
              </w:rPr>
              <w:t>供</w:t>
            </w:r>
          </w:p>
          <w:p>
            <w:pPr>
              <w:ind w:left="1" w:leftChars="-51" w:hanging="108" w:hangingChars="45"/>
              <w:jc w:val="center"/>
              <w:rPr>
                <w:color w:val="auto"/>
                <w:sz w:val="24"/>
                <w:highlight w:val="none"/>
              </w:rPr>
            </w:pPr>
            <w:r>
              <w:rPr>
                <w:rFonts w:hint="eastAsia"/>
                <w:color w:val="auto"/>
                <w:sz w:val="24"/>
                <w:highlight w:val="none"/>
              </w:rPr>
              <w:t>应</w:t>
            </w:r>
          </w:p>
          <w:p>
            <w:pPr>
              <w:ind w:left="1" w:leftChars="-51" w:hanging="108" w:hangingChars="45"/>
              <w:jc w:val="center"/>
              <w:rPr>
                <w:color w:val="auto"/>
                <w:sz w:val="24"/>
                <w:highlight w:val="none"/>
              </w:rPr>
            </w:pPr>
            <w:r>
              <w:rPr>
                <w:rFonts w:hint="eastAsia"/>
                <w:color w:val="auto"/>
                <w:sz w:val="24"/>
                <w:highlight w:val="none"/>
              </w:rPr>
              <w:t>商</w:t>
            </w:r>
          </w:p>
          <w:p>
            <w:pPr>
              <w:ind w:left="1" w:leftChars="-51" w:hanging="108" w:hangingChars="45"/>
              <w:jc w:val="center"/>
              <w:rPr>
                <w:color w:val="auto"/>
                <w:sz w:val="24"/>
                <w:highlight w:val="none"/>
              </w:rPr>
            </w:pPr>
            <w:r>
              <w:rPr>
                <w:rFonts w:hint="eastAsia"/>
                <w:color w:val="auto"/>
                <w:sz w:val="24"/>
                <w:highlight w:val="none"/>
              </w:rPr>
              <w:t>申</w:t>
            </w:r>
          </w:p>
          <w:p>
            <w:pPr>
              <w:ind w:left="1" w:leftChars="-51" w:hanging="108" w:hangingChars="45"/>
              <w:jc w:val="center"/>
              <w:rPr>
                <w:color w:val="auto"/>
                <w:sz w:val="24"/>
                <w:highlight w:val="none"/>
              </w:rPr>
            </w:pPr>
            <w:r>
              <w:rPr>
                <w:rFonts w:hint="eastAsia"/>
                <w:color w:val="auto"/>
                <w:sz w:val="24"/>
                <w:highlight w:val="none"/>
              </w:rPr>
              <w:t>请</w:t>
            </w:r>
          </w:p>
        </w:tc>
        <w:tc>
          <w:tcPr>
            <w:tcW w:w="8456" w:type="dxa"/>
            <w:vAlign w:val="center"/>
          </w:tcPr>
          <w:p>
            <w:pPr>
              <w:ind w:firstLine="480"/>
              <w:rPr>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ind w:left="1" w:leftChars="-51" w:hanging="108" w:hangingChars="45"/>
              <w:rPr>
                <w:color w:val="auto"/>
                <w:sz w:val="24"/>
                <w:highlight w:val="none"/>
              </w:rPr>
            </w:pPr>
          </w:p>
        </w:tc>
        <w:tc>
          <w:tcPr>
            <w:tcW w:w="8456" w:type="dxa"/>
            <w:vAlign w:val="center"/>
          </w:tcPr>
          <w:p>
            <w:pPr>
              <w:ind w:firstLine="480"/>
              <w:rPr>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ind w:left="1" w:leftChars="-51" w:hanging="108" w:hangingChars="45"/>
              <w:rPr>
                <w:color w:val="auto"/>
                <w:sz w:val="24"/>
                <w:highlight w:val="none"/>
              </w:rPr>
            </w:pPr>
          </w:p>
        </w:tc>
        <w:tc>
          <w:tcPr>
            <w:tcW w:w="8456" w:type="dxa"/>
          </w:tcPr>
          <w:p>
            <w:pPr>
              <w:ind w:firstLine="480"/>
              <w:rPr>
                <w:color w:val="auto"/>
                <w:sz w:val="24"/>
                <w:highlight w:val="none"/>
              </w:rPr>
            </w:pPr>
            <w:r>
              <w:rPr>
                <w:rFonts w:hint="eastAsia"/>
                <w:color w:val="auto"/>
                <w:sz w:val="24"/>
                <w:highlight w:val="none"/>
              </w:rPr>
              <w:t xml:space="preserve">  </w:t>
            </w:r>
          </w:p>
          <w:p>
            <w:pPr>
              <w:spacing w:line="400" w:lineRule="exact"/>
              <w:ind w:firstLine="48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pPr>
              <w:spacing w:line="400" w:lineRule="exact"/>
              <w:ind w:firstLine="480"/>
              <w:rPr>
                <w:color w:val="auto"/>
                <w:sz w:val="24"/>
                <w:highlight w:val="none"/>
              </w:rPr>
            </w:pPr>
            <w:r>
              <w:rPr>
                <w:rFonts w:hint="eastAsia"/>
                <w:color w:val="auto"/>
                <w:sz w:val="24"/>
                <w:highlight w:val="none"/>
              </w:rPr>
              <w:t>单位名称：</w:t>
            </w:r>
          </w:p>
          <w:p>
            <w:pPr>
              <w:spacing w:line="400" w:lineRule="exact"/>
              <w:ind w:firstLine="480"/>
              <w:rPr>
                <w:color w:val="auto"/>
                <w:sz w:val="24"/>
                <w:highlight w:val="none"/>
              </w:rPr>
            </w:pPr>
            <w:r>
              <w:rPr>
                <w:rFonts w:hint="eastAsia"/>
                <w:color w:val="auto"/>
                <w:sz w:val="24"/>
                <w:highlight w:val="none"/>
              </w:rPr>
              <w:t>开户银行：</w:t>
            </w:r>
          </w:p>
          <w:p>
            <w:pPr>
              <w:spacing w:line="400" w:lineRule="exact"/>
              <w:ind w:firstLine="480"/>
              <w:rPr>
                <w:color w:val="auto"/>
                <w:sz w:val="24"/>
                <w:highlight w:val="none"/>
              </w:rPr>
            </w:pPr>
            <w:r>
              <w:rPr>
                <w:rFonts w:hint="eastAsia"/>
                <w:color w:val="auto"/>
                <w:sz w:val="24"/>
                <w:highlight w:val="none"/>
              </w:rPr>
              <w:t>帐   号：</w:t>
            </w:r>
          </w:p>
          <w:p>
            <w:pPr>
              <w:spacing w:line="400" w:lineRule="exact"/>
              <w:ind w:firstLine="480"/>
              <w:rPr>
                <w:color w:val="auto"/>
                <w:sz w:val="24"/>
                <w:highlight w:val="none"/>
              </w:rPr>
            </w:pPr>
            <w:r>
              <w:rPr>
                <w:rFonts w:hint="eastAsia"/>
                <w:color w:val="auto"/>
                <w:sz w:val="24"/>
                <w:highlight w:val="none"/>
              </w:rPr>
              <w:t>联系人及电话：</w:t>
            </w:r>
          </w:p>
          <w:p>
            <w:pPr>
              <w:spacing w:line="400" w:lineRule="exact"/>
              <w:ind w:firstLine="480"/>
              <w:rPr>
                <w:color w:val="auto"/>
                <w:sz w:val="24"/>
                <w:highlight w:val="none"/>
              </w:rPr>
            </w:pPr>
          </w:p>
          <w:p>
            <w:pPr>
              <w:spacing w:line="520" w:lineRule="exact"/>
              <w:ind w:firstLine="480"/>
              <w:jc w:val="center"/>
              <w:rPr>
                <w:color w:val="auto"/>
                <w:sz w:val="24"/>
                <w:highlight w:val="none"/>
              </w:rPr>
            </w:pPr>
            <w:r>
              <w:rPr>
                <w:rFonts w:hint="eastAsia"/>
                <w:color w:val="auto"/>
                <w:sz w:val="24"/>
                <w:highlight w:val="none"/>
              </w:rPr>
              <w:t xml:space="preserve">         供应商签章：</w:t>
            </w:r>
          </w:p>
          <w:p>
            <w:pPr>
              <w:spacing w:line="520" w:lineRule="exact"/>
              <w:ind w:firstLine="480"/>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ind w:left="1" w:leftChars="-51" w:hanging="108" w:hangingChars="45"/>
              <w:jc w:val="center"/>
              <w:rPr>
                <w:color w:val="auto"/>
                <w:sz w:val="24"/>
                <w:highlight w:val="none"/>
              </w:rPr>
            </w:pPr>
            <w:r>
              <w:rPr>
                <w:rFonts w:hint="eastAsia"/>
                <w:color w:val="auto"/>
                <w:sz w:val="24"/>
                <w:highlight w:val="none"/>
              </w:rPr>
              <w:t>采</w:t>
            </w:r>
          </w:p>
          <w:p>
            <w:pPr>
              <w:ind w:left="1" w:leftChars="-51" w:hanging="108" w:hangingChars="45"/>
              <w:jc w:val="center"/>
              <w:rPr>
                <w:color w:val="auto"/>
                <w:sz w:val="24"/>
                <w:highlight w:val="none"/>
              </w:rPr>
            </w:pPr>
            <w:r>
              <w:rPr>
                <w:rFonts w:hint="eastAsia"/>
                <w:color w:val="auto"/>
                <w:sz w:val="24"/>
                <w:highlight w:val="none"/>
              </w:rPr>
              <w:t>购</w:t>
            </w:r>
          </w:p>
          <w:p>
            <w:pPr>
              <w:ind w:left="1" w:leftChars="-51" w:hanging="108" w:hangingChars="45"/>
              <w:jc w:val="center"/>
              <w:rPr>
                <w:color w:val="auto"/>
                <w:sz w:val="24"/>
                <w:highlight w:val="none"/>
              </w:rPr>
            </w:pPr>
            <w:r>
              <w:rPr>
                <w:rFonts w:hint="eastAsia"/>
                <w:color w:val="auto"/>
                <w:sz w:val="24"/>
                <w:highlight w:val="none"/>
              </w:rPr>
              <w:t>人</w:t>
            </w:r>
          </w:p>
          <w:p>
            <w:pPr>
              <w:ind w:left="1" w:leftChars="-51" w:hanging="108" w:hangingChars="45"/>
              <w:jc w:val="center"/>
              <w:rPr>
                <w:color w:val="auto"/>
                <w:sz w:val="24"/>
                <w:highlight w:val="none"/>
              </w:rPr>
            </w:pPr>
            <w:r>
              <w:rPr>
                <w:rFonts w:hint="eastAsia"/>
                <w:color w:val="auto"/>
                <w:sz w:val="24"/>
                <w:highlight w:val="none"/>
              </w:rPr>
              <w:t>意</w:t>
            </w:r>
          </w:p>
          <w:p>
            <w:pPr>
              <w:ind w:left="1" w:leftChars="-51" w:hanging="108" w:hangingChars="45"/>
              <w:jc w:val="center"/>
              <w:rPr>
                <w:color w:val="auto"/>
                <w:sz w:val="24"/>
                <w:highlight w:val="none"/>
              </w:rPr>
            </w:pPr>
            <w:r>
              <w:rPr>
                <w:rFonts w:hint="eastAsia"/>
                <w:color w:val="auto"/>
                <w:sz w:val="24"/>
                <w:highlight w:val="none"/>
              </w:rPr>
              <w:t>见</w:t>
            </w:r>
          </w:p>
        </w:tc>
        <w:tc>
          <w:tcPr>
            <w:tcW w:w="8456" w:type="dxa"/>
          </w:tcPr>
          <w:p>
            <w:pPr>
              <w:ind w:firstLine="480"/>
              <w:rPr>
                <w:color w:val="auto"/>
                <w:sz w:val="24"/>
                <w:highlight w:val="none"/>
              </w:rPr>
            </w:pPr>
          </w:p>
          <w:p>
            <w:pPr>
              <w:ind w:firstLine="480"/>
              <w:rPr>
                <w:color w:val="auto"/>
                <w:sz w:val="24"/>
                <w:highlight w:val="none"/>
              </w:rPr>
            </w:pPr>
            <w:r>
              <w:rPr>
                <w:rFonts w:hint="eastAsia"/>
                <w:color w:val="auto"/>
                <w:sz w:val="24"/>
                <w:highlight w:val="none"/>
              </w:rPr>
              <w:t>退付意见：（是否同意退付履约保证金及退付金额）</w:t>
            </w:r>
          </w:p>
          <w:p>
            <w:pPr>
              <w:ind w:firstLine="480"/>
              <w:rPr>
                <w:color w:val="auto"/>
                <w:sz w:val="24"/>
                <w:highlight w:val="none"/>
              </w:rPr>
            </w:pPr>
          </w:p>
          <w:p>
            <w:pPr>
              <w:ind w:firstLine="480"/>
              <w:rPr>
                <w:color w:val="auto"/>
                <w:sz w:val="24"/>
                <w:highlight w:val="none"/>
              </w:rPr>
            </w:pPr>
          </w:p>
          <w:p>
            <w:pPr>
              <w:ind w:firstLine="480"/>
              <w:rPr>
                <w:color w:val="auto"/>
                <w:sz w:val="24"/>
                <w:highlight w:val="none"/>
              </w:rPr>
            </w:pPr>
          </w:p>
          <w:p>
            <w:pPr>
              <w:ind w:firstLine="480"/>
              <w:rPr>
                <w:color w:val="auto"/>
                <w:sz w:val="24"/>
                <w:highlight w:val="none"/>
              </w:rPr>
            </w:pPr>
          </w:p>
          <w:p>
            <w:pPr>
              <w:spacing w:line="520" w:lineRule="exact"/>
              <w:ind w:firstLine="480"/>
              <w:rPr>
                <w:color w:val="auto"/>
                <w:sz w:val="24"/>
                <w:highlight w:val="none"/>
              </w:rPr>
            </w:pPr>
            <w:r>
              <w:rPr>
                <w:rFonts w:hint="eastAsia"/>
                <w:color w:val="auto"/>
                <w:sz w:val="24"/>
                <w:highlight w:val="none"/>
              </w:rPr>
              <w:t>联系人及电话：                         采购人签章</w:t>
            </w:r>
          </w:p>
          <w:p>
            <w:pPr>
              <w:spacing w:line="520" w:lineRule="exact"/>
              <w:ind w:firstLine="480"/>
              <w:jc w:val="center"/>
              <w:rPr>
                <w:color w:val="auto"/>
                <w:sz w:val="24"/>
                <w:highlight w:val="none"/>
              </w:rPr>
            </w:pPr>
            <w:r>
              <w:rPr>
                <w:rFonts w:hint="eastAsia"/>
                <w:color w:val="auto"/>
                <w:sz w:val="24"/>
                <w:highlight w:val="none"/>
              </w:rPr>
              <w:t xml:space="preserve">                                        年    月     日</w:t>
            </w:r>
          </w:p>
          <w:p>
            <w:pPr>
              <w:spacing w:line="520" w:lineRule="exact"/>
              <w:ind w:firstLine="480"/>
              <w:jc w:val="center"/>
              <w:rPr>
                <w:color w:val="auto"/>
                <w:sz w:val="24"/>
                <w:highlight w:val="none"/>
              </w:rPr>
            </w:pPr>
          </w:p>
        </w:tc>
      </w:tr>
    </w:tbl>
    <w:p>
      <w:pPr>
        <w:ind w:firstLine="181" w:firstLineChars="100"/>
        <w:rPr>
          <w:rFonts w:hint="eastAsia" w:ascii="黑体" w:hAnsi="黑体" w:eastAsia="黑体"/>
          <w:color w:val="auto"/>
          <w:szCs w:val="21"/>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pPr>
        <w:pStyle w:val="2"/>
        <w:rPr>
          <w:rFonts w:hint="eastAsia" w:ascii="宋体" w:hAnsi="宋体"/>
          <w:color w:val="auto"/>
          <w:highlight w:val="none"/>
        </w:rPr>
        <w:sectPr>
          <w:pgSz w:w="11906" w:h="16838"/>
          <w:pgMar w:top="1134" w:right="1134" w:bottom="1134" w:left="1134" w:header="720" w:footer="720" w:gutter="0"/>
          <w:cols w:space="0" w:num="1"/>
          <w:docGrid w:type="lines" w:linePitch="312" w:charSpace="0"/>
        </w:sectPr>
      </w:pPr>
    </w:p>
    <w:p>
      <w:pPr>
        <w:pStyle w:val="2"/>
        <w:rPr>
          <w:rFonts w:hint="eastAsia" w:ascii="宋体" w:hAnsi="宋体"/>
          <w:color w:val="auto"/>
          <w:highlight w:val="none"/>
        </w:rPr>
      </w:pPr>
      <w:bookmarkStart w:id="5" w:name="_Toc29464"/>
      <w:r>
        <w:rPr>
          <w:rFonts w:hint="eastAsia" w:ascii="宋体" w:hAnsi="宋体"/>
          <w:color w:val="auto"/>
          <w:highlight w:val="none"/>
        </w:rPr>
        <w:t>第三章 采购需求</w:t>
      </w:r>
      <w:bookmarkEnd w:id="5"/>
      <w:bookmarkStart w:id="6" w:name="_Toc37670349"/>
      <w:bookmarkStart w:id="7" w:name="_Toc78604590"/>
      <w:bookmarkStart w:id="8" w:name="_Toc83636396"/>
      <w:bookmarkStart w:id="9" w:name="_Toc49329249"/>
    </w:p>
    <w:bookmarkEnd w:id="6"/>
    <w:bookmarkEnd w:id="7"/>
    <w:bookmarkEnd w:id="8"/>
    <w:bookmarkEnd w:id="9"/>
    <w:p>
      <w:pPr>
        <w:spacing w:line="360" w:lineRule="exact"/>
        <w:ind w:firstLine="422" w:firstLineChars="200"/>
        <w:rPr>
          <w:rFonts w:hint="eastAsia" w:ascii="宋体" w:hAnsi="宋体" w:cs="Courier New"/>
          <w:b/>
          <w:color w:val="auto"/>
          <w:szCs w:val="21"/>
          <w:highlight w:val="none"/>
        </w:rPr>
      </w:pPr>
      <w:r>
        <w:rPr>
          <w:rFonts w:hint="eastAsia" w:ascii="宋体" w:hAnsi="宋体" w:cs="Courier New"/>
          <w:b/>
          <w:color w:val="auto"/>
          <w:szCs w:val="21"/>
          <w:highlight w:val="none"/>
        </w:rPr>
        <w:t>说明：</w:t>
      </w:r>
    </w:p>
    <w:p>
      <w:pPr>
        <w:spacing w:line="36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一、本一览表中的品牌、型号技术参数及其性能（配置）仅起参考作用，供应商可选用其他产品替代，但这些替代的产品要实质上相当于或优于参考品牌型号及其技术参数性能（配置）要求。</w:t>
      </w:r>
    </w:p>
    <w:p>
      <w:pPr>
        <w:spacing w:line="36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二、本一览表中参考品牌、型号及技术参数性能（配置）不明确或有误的，或供应商选用其他产品替代的，须说明品牌型号和详细的技术参数性能（配置）同时填写投标明细表和技术响应表。</w:t>
      </w:r>
    </w:p>
    <w:p>
      <w:pPr>
        <w:spacing w:line="360" w:lineRule="exact"/>
        <w:ind w:firstLine="420" w:firstLineChars="200"/>
        <w:rPr>
          <w:rFonts w:hint="eastAsia" w:ascii="宋体" w:hAnsi="宋体" w:cs="宋体"/>
          <w:color w:val="auto"/>
          <w:szCs w:val="21"/>
          <w:highlight w:val="none"/>
        </w:rPr>
      </w:pPr>
      <w:bookmarkStart w:id="10" w:name="_Toc519523657"/>
      <w:bookmarkStart w:id="11" w:name="_Toc511133381"/>
      <w:r>
        <w:rPr>
          <w:rFonts w:hint="eastAsia" w:ascii="宋体" w:hAnsi="宋体" w:cs="宋体"/>
          <w:color w:val="auto"/>
          <w:szCs w:val="21"/>
          <w:highlight w:val="none"/>
        </w:rPr>
        <w:t>三、供应商必须自行为其竞标产品侵权其他供应商或专利人的专利成果承担相应法律责任；同时，具有产品专利的供应商应在其响应文件中提供与其自有产品专利相关的有效证明材料，否则，不能就其产品的专利在本项目投标过程中被侵权问题提出异议。</w:t>
      </w:r>
      <w:bookmarkEnd w:id="10"/>
      <w:bookmarkEnd w:id="11"/>
    </w:p>
    <w:p>
      <w:pPr>
        <w:widowControl/>
        <w:spacing w:line="36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szCs w:val="21"/>
          <w:highlight w:val="none"/>
        </w:rPr>
        <w:t>▲四、根据《财政部发展改革委生态环境部市场监管总局关于调整优化节能产品、环境标志产品政府采购执行机制的通知》（财库〔2019〕9号）和《关于印发节能产品政府采购品目清单的通知》（财库〔2019〕19号）的规定，采购需求中的货物属于节能产品政府采购品目清单内标注“★”的（详见本章后附的节能产品政府采购品目清单，专业定制除外），供应商的投标货物必须使用政府强制采购的节能产品，供应商必须在响应文件（商务及技术文件）中提供所竞标产品的节能产品认证证书复印件（或扫描件）（加盖供应商电子公章），否则按无效投标处理。如本项目包含的货物属于品目清单内非标注“★”的产品时，应优先采购，具体详见“第四章 评标方法及评标标准”。</w:t>
      </w:r>
      <w:r>
        <w:rPr>
          <w:rFonts w:hint="eastAsia" w:ascii="宋体" w:hAnsi="宋体" w:cs="宋体"/>
          <w:bCs/>
          <w:color w:val="auto"/>
          <w:kern w:val="0"/>
          <w:szCs w:val="21"/>
          <w:highlight w:val="none"/>
        </w:rPr>
        <w:t xml:space="preserve"> </w:t>
      </w:r>
    </w:p>
    <w:p>
      <w:pPr>
        <w:widowControl/>
        <w:spacing w:line="36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▲五、本一览表中的技术参数及其性能（配置）为必须满足的项目，供应商必须提供相当于或优于这些技术参数性能（配置）要求。</w:t>
      </w:r>
    </w:p>
    <w:p>
      <w:pPr>
        <w:widowControl/>
        <w:spacing w:line="3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根据财政部令87号规定，提供相同品牌产品且通过资格审查、符合性审查的不同供应商参加同一合同项下投标的，按一家供应商计算，评审后得分最高的同品牌供应商获得中标人推荐资格；评审得分相同时，以总报价最低的同品牌供应商获得中标人推荐资格；当总报价相同时，则以技术标最优的同品牌供应商获得中标人推荐资格；均相同时，由评标委员会集体决定。</w:t>
      </w:r>
    </w:p>
    <w:p>
      <w:pPr>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七、本项目标的所属行业：</w:t>
      </w:r>
      <w:r>
        <w:rPr>
          <w:rFonts w:hint="eastAsia" w:ascii="宋体" w:hAnsi="宋体" w:cs="宋体"/>
          <w:b/>
          <w:color w:val="auto"/>
          <w:szCs w:val="21"/>
          <w:highlight w:val="none"/>
          <w:u w:val="single"/>
        </w:rPr>
        <w:t xml:space="preserve">  工业  </w:t>
      </w:r>
      <w:r>
        <w:rPr>
          <w:rFonts w:hint="eastAsia" w:ascii="宋体" w:hAnsi="宋体" w:cs="宋体"/>
          <w:b/>
          <w:color w:val="auto"/>
          <w:szCs w:val="21"/>
          <w:highlight w:val="none"/>
        </w:rPr>
        <w:t>，划分依据：《关于印发中小企业划型标准规定的通知》（工信部联企业[2011]300号）。</w:t>
      </w:r>
    </w:p>
    <w:p>
      <w:pPr>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八、技术需求评审中允许负偏离的条款数为</w:t>
      </w:r>
      <w:r>
        <w:rPr>
          <w:rFonts w:hint="eastAsia" w:ascii="宋体" w:hAnsi="宋体" w:cs="宋体"/>
          <w:b/>
          <w:color w:val="auto"/>
          <w:szCs w:val="21"/>
          <w:highlight w:val="none"/>
          <w:lang w:val="en-US" w:eastAsia="zh-CN"/>
        </w:rPr>
        <w:t>0</w:t>
      </w:r>
      <w:r>
        <w:rPr>
          <w:rFonts w:hint="eastAsia" w:ascii="宋体" w:hAnsi="宋体" w:cs="宋体"/>
          <w:b/>
          <w:color w:val="auto"/>
          <w:szCs w:val="21"/>
          <w:highlight w:val="none"/>
        </w:rPr>
        <w:t>项；商务条款评审中允许负偏离的条款数为0项。</w:t>
      </w:r>
    </w:p>
    <w:p>
      <w:pPr>
        <w:spacing w:line="360" w:lineRule="exact"/>
        <w:ind w:firstLine="422" w:firstLineChars="200"/>
        <w:rPr>
          <w:rFonts w:hint="eastAsia" w:ascii="宋体" w:hAnsi="宋体" w:cs="宋体"/>
          <w:b/>
          <w:color w:val="auto"/>
          <w:szCs w:val="21"/>
          <w:highlight w:val="none"/>
        </w:rPr>
      </w:pPr>
    </w:p>
    <w:p>
      <w:pPr>
        <w:spacing w:line="360" w:lineRule="exact"/>
        <w:ind w:firstLine="422" w:firstLineChars="200"/>
        <w:rPr>
          <w:rFonts w:hint="eastAsia" w:ascii="宋体" w:hAnsi="宋体" w:cs="宋体"/>
          <w:b/>
          <w:color w:val="auto"/>
          <w:szCs w:val="21"/>
          <w:highlight w:val="none"/>
        </w:rPr>
      </w:pPr>
    </w:p>
    <w:p>
      <w:pPr>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分标1：2025年化工一流学科（生物化工方向）科研仪器设备采购</w:t>
      </w: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1"/>
        <w:gridCol w:w="1183"/>
        <w:gridCol w:w="750"/>
        <w:gridCol w:w="786"/>
        <w:gridCol w:w="5564"/>
        <w:gridCol w:w="8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序号</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设备名称</w:t>
            </w:r>
          </w:p>
        </w:tc>
        <w:tc>
          <w:tcPr>
            <w:tcW w:w="750"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单位</w:t>
            </w:r>
          </w:p>
        </w:tc>
        <w:tc>
          <w:tcPr>
            <w:tcW w:w="786"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数量</w:t>
            </w:r>
          </w:p>
        </w:tc>
        <w:tc>
          <w:tcPr>
            <w:tcW w:w="5564"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技术参数及其性能（配置）</w:t>
            </w:r>
          </w:p>
        </w:tc>
        <w:tc>
          <w:tcPr>
            <w:tcW w:w="817"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1</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多功能酶标仪</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台</w:t>
            </w:r>
          </w:p>
        </w:tc>
        <w:tc>
          <w:tcPr>
            <w:tcW w:w="5564" w:type="dxa"/>
            <w:vAlign w:val="center"/>
          </w:tcPr>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1.1功能：吸收光检测、荧光检测、化学发光检测（闪光、辉光）、时间分辨荧光、荧光偏振</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1.2支持板架：6-384孔</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2.吸收光</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2.1光源：氙灯</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2.2检测器：PD</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2.3波长准确性：2nm</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2.4波长重复性（SD）：0.2nm</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2.5半峰宽（FWHM）：＜2.5nm</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2.6波长范围：200-1000nm，1nm步进</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2.7测量范围：0-4 OD</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2.8分辨率：0.0001 OD</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2.9准确性：96-精确模式：±(1.0%+0.003Abs) @ (0.0-2.0Abs]；±2.0% @ (2.0-3.0Abs]</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2.10重复性：CV &lt; 1.0%或SD＜0.003 快速(0.0 - 3.0Abs]；CV &lt; 0.5%或SD＜0.003 精确(0.0 - 3.0Abs]</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2.11杂散光：0.1%@220nm</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2.12线性：R2 ≥ 0.999 @ [0.0 - 3.0Abs]</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2.13读数时间：96孔板：快速&lt;15s</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2.14检测系统：拥有同源参比光路通道系统，优化算法，保证检测数据更加准确稳定</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3.荧光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3.1读数模式：顶读</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3.2激发光源：氙灯</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3.3检测器：PMT</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3.4波长范围：EX：200-1000nm；EM：270-850nm</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3.5滤光片EX/EM： 方便装配的模块化滤光片（3组）</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3.6检出限：1pM（优化条件）</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3.7线性动态范围：6 logs</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4.时间分辨荧光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4.1标配波长：EX：365nm / EM：612nm</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4.2检出限（Eu）：0.02 pM（优化条件）</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4.3 TR-FRET组合滤光片（可替换）：双通道设计的滤光片组合方式，可同时进行两组波长的荧光检测，独立的数据分析软件，提供平均值、标准偏差、CV值、比值算法校正、Delta 比值、Delta F%、Z’factor、IC50值及EC50值的判断。</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5.荧光偏振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5.1波长范围：300-850nm</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5.2检出限：5mP</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5.3 标配滤光片：EX485nm / EM：530（其他波长可替换）</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6.化学发光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6.1检测器：PMT</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6.2检出限：15amol/孔</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6.3线性动态范围：6 logs</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6.4串扰 ：≤ 0.005%（孔间干扰小）</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7.振动&amp;孵育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7.1振动模式：:线性、环形、双环形（3种速度可调并可选择rpm值，动力学过程中可执行背景振荡模式）</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7.2孵育温度：RT+4℃ 至 45℃</w:t>
            </w:r>
          </w:p>
          <w:p>
            <w:pPr>
              <w:widowControl/>
              <w:spacing w:line="400" w:lineRule="exact"/>
              <w:jc w:val="left"/>
              <w:textAlignment w:val="center"/>
              <w:rPr>
                <w:rFonts w:hint="eastAsia" w:ascii="宋体" w:hAnsi="宋体" w:cs="宋体"/>
                <w:bCs/>
                <w:color w:val="auto"/>
                <w:szCs w:val="21"/>
                <w:highlight w:val="none"/>
              </w:rPr>
            </w:pPr>
            <w:r>
              <w:rPr>
                <w:rFonts w:hint="eastAsia" w:ascii="宋体" w:hAnsi="宋体" w:cs="宋体"/>
                <w:color w:val="auto"/>
                <w:szCs w:val="21"/>
                <w:highlight w:val="none"/>
              </w:rPr>
              <w:t>7.3温度均匀性：±0.5℃ @ 37℃</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2</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微量样品自动处理系统</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台</w:t>
            </w:r>
          </w:p>
        </w:tc>
        <w:tc>
          <w:tcPr>
            <w:tcW w:w="5564" w:type="dxa"/>
            <w:vAlign w:val="center"/>
          </w:tcPr>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1.分液体积：5-1000μL，1μL增量</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2.注液速度：125-500 μL/s</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3.准确性：±1μL @ 5-50μL；±2% @ 51-1000μL</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4.废液收集：50mL</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5.标配超微量检测板装置</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6.样本数量：1-16个</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7.样本检测量 2-4uL</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8.微量板装置软件：内置独立微量板软件，直接给出样品（DNA、蛋白等）浓度与纯度报告</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9.加样分析软件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10.孔扫描：单孔最多可测900个点</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11.用户界面：内置软件，独立使用</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12.软件界面：中文/英文</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13. 可视化布局：状态布局便捷，可直接布局设置未知、标品、质控、阴性、阳性等类型；且根据不同颜色显示不同布局设置类型(</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必须提供产品功能图片作为佐证证明符合此项功能要求)</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14.数据结果显示：根据吸光度大小通过色块深浅显示，直观反应样品的浓度</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15.标准曲线库：标曲储存，无需每次现做标曲，调用即可进行浓度判断</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16.内置多种算法：减去空白、标曲、定性、定量、质控、动力学、光谱分析；算法自定义：根据需求增加所需算法</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17.共享库：程序、结果、标曲共享</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18.操作显示：触屏输入，安卓系统，可外接键盘鼠标</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19.网络传输：检测数据报告可通过FTP上传至PC服务器</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20.二维码扫描：程序、标曲及滤光片信息可通过二维码扫描导入仪器</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21.节能模式：设置任意时间，屏幕自动变暗，节约能量，任意按键退出节电模式</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22.数据容量：10GB，可存储大于20000条数据文件</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23.数据导出格式：Excel、PDF、CSV格式</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24.兼容性：支持PC软件，Win7至Win10 64位</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25、配套工业主机一台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25.1 2颗</w:t>
            </w:r>
            <w:r>
              <w:rPr>
                <w:rFonts w:ascii="宋体" w:hAnsi="宋体" w:cs="宋体"/>
                <w:color w:val="auto"/>
                <w:szCs w:val="21"/>
                <w:highlight w:val="none"/>
              </w:rPr>
              <w:t>12核</w:t>
            </w:r>
            <w:r>
              <w:rPr>
                <w:rFonts w:hint="eastAsia" w:ascii="宋体" w:hAnsi="宋体" w:cs="宋体"/>
                <w:color w:val="auto"/>
                <w:szCs w:val="21"/>
                <w:highlight w:val="none"/>
              </w:rPr>
              <w:t>24线程</w:t>
            </w:r>
            <w:r>
              <w:rPr>
                <w:rFonts w:ascii="宋体" w:hAnsi="宋体" w:cs="宋体"/>
                <w:color w:val="auto"/>
                <w:szCs w:val="21"/>
                <w:highlight w:val="none"/>
              </w:rPr>
              <w:t>处理器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25.2 32GB DDR4 *4，128GB DDR4 ECC</w:t>
            </w:r>
            <w:r>
              <w:rPr>
                <w:rFonts w:ascii="宋体" w:hAnsi="宋体" w:cs="宋体"/>
                <w:color w:val="auto"/>
                <w:szCs w:val="21"/>
                <w:highlight w:val="none"/>
              </w:rPr>
              <w:t xml:space="preserve">内存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25.3 </w:t>
            </w:r>
            <w:r>
              <w:rPr>
                <w:rFonts w:ascii="宋体" w:hAnsi="宋体" w:cs="宋体"/>
                <w:color w:val="auto"/>
                <w:szCs w:val="21"/>
                <w:highlight w:val="none"/>
              </w:rPr>
              <w:t>2块 480GB SATA 固态硬盘 (SSD)</w:t>
            </w:r>
            <w:r>
              <w:rPr>
                <w:rFonts w:hint="eastAsia" w:ascii="宋体" w:hAnsi="宋体" w:cs="宋体"/>
                <w:color w:val="auto"/>
                <w:szCs w:val="21"/>
                <w:highlight w:val="none"/>
              </w:rPr>
              <w:t>+2块 8TB SAS 硬盘</w:t>
            </w:r>
          </w:p>
          <w:p>
            <w:pPr>
              <w:widowControl/>
              <w:spacing w:line="400" w:lineRule="exact"/>
              <w:jc w:val="left"/>
              <w:textAlignment w:val="center"/>
              <w:rPr>
                <w:rStyle w:val="40"/>
                <w:rFonts w:ascii="Segoe UI" w:hAnsi="Segoe UI" w:eastAsia="Segoe UI" w:cs="Segoe UI"/>
                <w:color w:val="auto"/>
                <w:sz w:val="16"/>
                <w:szCs w:val="16"/>
                <w:highlight w:val="none"/>
                <w:shd w:val="clear" w:color="auto" w:fill="FFFFFF"/>
              </w:rPr>
            </w:pPr>
            <w:r>
              <w:rPr>
                <w:rFonts w:hint="eastAsia" w:ascii="宋体" w:hAnsi="宋体" w:cs="宋体"/>
                <w:color w:val="auto"/>
                <w:szCs w:val="21"/>
                <w:highlight w:val="none"/>
              </w:rPr>
              <w:t xml:space="preserve">25.4 </w:t>
            </w:r>
            <w:r>
              <w:rPr>
                <w:rFonts w:ascii="宋体" w:hAnsi="宋体" w:cs="宋体"/>
                <w:color w:val="auto"/>
                <w:szCs w:val="21"/>
                <w:highlight w:val="none"/>
              </w:rPr>
              <w:t>12Gbps SAS RAID 控制器</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25.5 2块 24GB显存 高性能显卡</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25.6 GPU套件</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25.7 1400W双电</w:t>
            </w:r>
          </w:p>
          <w:p>
            <w:pPr>
              <w:widowControl/>
              <w:spacing w:line="400" w:lineRule="exact"/>
              <w:jc w:val="left"/>
              <w:textAlignment w:val="center"/>
              <w:rPr>
                <w:rFonts w:hint="eastAsia" w:ascii="宋体" w:hAnsi="宋体" w:cs="宋体"/>
                <w:bCs/>
                <w:color w:val="auto"/>
                <w:szCs w:val="21"/>
                <w:highlight w:val="none"/>
              </w:rPr>
            </w:pPr>
            <w:r>
              <w:rPr>
                <w:rFonts w:hint="eastAsia" w:ascii="宋体" w:hAnsi="宋体" w:cs="宋体"/>
                <w:color w:val="auto"/>
                <w:szCs w:val="21"/>
                <w:highlight w:val="none"/>
              </w:rPr>
              <w:t xml:space="preserve">25.8 27英寸显示器   </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3</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高速台式冷冻离心机</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台</w:t>
            </w:r>
          </w:p>
        </w:tc>
        <w:tc>
          <w:tcPr>
            <w:tcW w:w="5564" w:type="dxa"/>
            <w:vAlign w:val="center"/>
          </w:tcPr>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1.最高转速不低于18,000rpm；最大离心力不低于30,000×g；最大容量： 4x 400 mL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2.温度范围：-10°C～ +40 °C；达到最高转速时，转子温度持续保持在4°C</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3.有待机制冷功能，确保离心前后和最大转速时，敏感样品都维持低温状态</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4.单独快速预冷按键，可快速预冷转子和离心机，从室温到4℃最快只需15分钟</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5.独特的盘管排布设计，极大增加了制冷接触面积，保证了制冷的均一性和快速性</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6.离心盖锁技术，轻松锁盖；离心结束后可自动开盖，开盖高度符合人体工程学设计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7.具有定速计时功能，可在达到预设转速时才开始计时，确保离心可重复性</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8.转子材料采用航空级别的铝合金，持久耐用，安全系数高</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9.所有转子均可高温高压灭菌(121°C条件下≤20分钟)</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10.触摸操作，程序编辑，仪器健康情况和预约功能</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11.待机与持续冷藏自由切换，待机模式下8 小时不使用后自动待机，节约能耗，延长压缩机使用寿命；开启持续冷藏后，确保离心前后，敏感样品都维持低温状态</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12.一键锁参功能，有效防止离心参数被误改</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13.不少于100组常用参数预存储，用户可一键调用</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14.一个程序里可自定义至少10步不等速/不等时连续离心</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15.噪音水平：＜56 dB（A）</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16.不少于9种转子可选，适用多种规格样品管离心</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17.多重报警功能（转子不平衡，样品不平衡，温度过高预警等）最大程度保障实验人安全</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18.具有紧急开锁装置</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19.3s内快速更换转子及快速锁定转子盖设计，仅需旋转1/6圈即可，处理样品非常简便、安全</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20.具有转子识别功能，可在转子安装后识别转子，且每个转子都有唯一编码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21.具有账号管理系统，使用更灵活</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22.具有预约功能，周一至周日全覆盖循环预约功能，提供更便捷的使用体验</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23.具有转子动平衡实时监控系统 </w:t>
            </w:r>
          </w:p>
          <w:p>
            <w:pPr>
              <w:widowControl/>
              <w:spacing w:line="400" w:lineRule="exact"/>
              <w:jc w:val="left"/>
              <w:textAlignment w:val="center"/>
              <w:rPr>
                <w:rFonts w:hint="eastAsia" w:ascii="宋体" w:hAnsi="宋体" w:cs="宋体"/>
                <w:bCs/>
                <w:color w:val="auto"/>
                <w:szCs w:val="21"/>
                <w:highlight w:val="none"/>
              </w:rPr>
            </w:pPr>
            <w:r>
              <w:rPr>
                <w:rFonts w:hint="eastAsia" w:ascii="宋体" w:hAnsi="宋体" w:cs="宋体"/>
                <w:color w:val="auto"/>
                <w:szCs w:val="21"/>
                <w:highlight w:val="none"/>
              </w:rPr>
              <w:t>24.标配4*400mL水平转子套装转头含4个(4*50mL)和4个(9*15mL)适配器、24*2mL离心管气密性快锁转子、8*50mL离心管碳纤维转子</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4</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气相色谱仪</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台</w:t>
            </w:r>
          </w:p>
        </w:tc>
        <w:tc>
          <w:tcPr>
            <w:tcW w:w="5564" w:type="dxa"/>
            <w:vAlign w:val="center"/>
          </w:tcPr>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1、柱温箱</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1.1、柱箱体积：≥15L</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1.2、操作温度范围：高于环境温度 +4 ℃～450 ℃。可使用 LN2 液氮冷却，操作温度范围：-80 至 450 ℃；可使用 CO2 冷却，操作温度范围：-40 至 450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1.3、温度设定精度：≥0.1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1.4、支持 32 阶柱箱升温梯度，33 个恒温平台，可梯度降温</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1.5、最大升温速率：≥120℃/min</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1.6、最长运行时间：999.9min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1.7柱箱冷却降温，：从 450℃至50℃＜3.5min</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1.8柱温箱风扇4级调速：低速、中速、高速、极速</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1.9一台仪器可拓展并联2个以上该程序升温柱温箱（体积≥15L），软件控制兼容</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2、进样口</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2.1、分流/不分流进样口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2.1.1、最高使用温度：450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2.1.2、柱头压力设定范围0～100psi，可升级为 0～150psi。</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2.1.3、压力控制精度为±0.001 psi</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2.1.4、分流比可达7500:1，避免色谱柱超载。</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2.1.5、色谱柱流量控制模式：恒压模式、梯度压力模式、恒流模式、梯度流量模式</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2.1.6、总流量设定范围：N2: 从 0 到 500 mL/min；H2（或 He）：从 0 到 1250 mL/min</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3、检测器</w:t>
            </w:r>
            <w:r>
              <w:rPr>
                <w:rFonts w:hint="eastAsia" w:ascii="宋体" w:hAnsi="宋体" w:cs="宋体"/>
                <w:color w:val="auto"/>
                <w:szCs w:val="21"/>
                <w:highlight w:val="none"/>
              </w:rPr>
              <w:tab/>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一台主机最多可同时安装4个可同时独立运行的任意类型检测器，所有检测器均为电子流量控制</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3.1氢火焰离子化检测器</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3.1.1、最高使用温度：450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3.1.2、最低检测限（对十三烷）：≤2.0pg c/s</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3.1.3、线性动态范围：≥107 (± 10%)</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3.1.4、自动点火，火焰熄灭警报，火焰熄灭自动保护</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3.1.5、氢气泄露自动报警 </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3.1.6、数据采集速率：最大100Hz</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4、远程浏览器控制</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4.1、远程可一键升级仪器固件。</w:t>
            </w:r>
            <w:r>
              <w:rPr>
                <w:rFonts w:hint="eastAsia" w:ascii="宋体" w:hAnsi="宋体" w:cs="宋体"/>
                <w:b/>
                <w:bCs/>
                <w:color w:val="auto"/>
                <w:szCs w:val="21"/>
                <w:highlight w:val="none"/>
              </w:rPr>
              <w:t>（供货时提供证明材料）</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4.4、任何操作系统的手机、平板，电脑无需安装APP，可通过浏览器经授权登录，进行方法编辑、序列运行、数据采集、谱图实时显示。</w:t>
            </w:r>
            <w:r>
              <w:rPr>
                <w:rFonts w:hint="eastAsia" w:ascii="宋体" w:hAnsi="宋体" w:cs="宋体"/>
                <w:b/>
                <w:bCs/>
                <w:color w:val="auto"/>
                <w:szCs w:val="21"/>
                <w:highlight w:val="none"/>
              </w:rPr>
              <w:t>（供货时提供浏览器界面截屏图片）</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5、色谱工作站</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5.1、动态化图形界面，可直观动态的观察到仪器的当前配置模块及动态流路图，各模块参数及状态以及当前正在运行方法的当前环节。</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5.2、方法预览：可模拟方法运行状态，进行样品分析前通过图形化方式模拟方法运行，检查方法设置的合理性和准确性，同时也可精准的调整影响样品分析的具体参数；</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5.3、色谱工作站可通过内置4G模块实现人机分离，远程操控</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5.4、不借助网络版软件即可一台电脑控制6台仪器</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5.5、批处理功能：数据处理方法修改后，可一键选择批处理其他目标数据。对大量的历史数据批处理分析。</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5.6、保留时间纠偏功能：数据采集保留时间发生漂移的情况下，通过算法进行纠偏，避免定性偏差。</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5.7、数据汇总功能：可对某一序列或某时间段所有的样品分析结果在同一页面进行汇总预览，无需逐个打开数据文件即可查看所有数据结果，并可以通过查看各个组分的历史趋势图。</w:t>
            </w:r>
          </w:p>
          <w:p>
            <w:pPr>
              <w:widowControl/>
              <w:spacing w:line="40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6.配置</w:t>
            </w:r>
          </w:p>
          <w:p>
            <w:pPr>
              <w:widowControl/>
              <w:spacing w:line="400" w:lineRule="exact"/>
              <w:jc w:val="left"/>
              <w:textAlignment w:val="center"/>
              <w:rPr>
                <w:rFonts w:hint="eastAsia" w:ascii="宋体" w:hAnsi="宋体" w:cs="宋体"/>
                <w:bCs/>
                <w:color w:val="auto"/>
                <w:szCs w:val="21"/>
                <w:highlight w:val="none"/>
              </w:rPr>
            </w:pPr>
            <w:r>
              <w:rPr>
                <w:rFonts w:hint="eastAsia" w:ascii="宋体" w:hAnsi="宋体" w:cs="宋体"/>
                <w:color w:val="auto"/>
                <w:szCs w:val="21"/>
                <w:highlight w:val="none"/>
              </w:rPr>
              <w:t>气相色谱仪一台，分流/不分流进样口一个，氢火焰离子化检测器一个，高性能专用色谱柱一根，便携式色谱工作站一台，载气净化器一个，空气发生器一台，氢气发生器一台，高纯度载气一瓶。</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bl>
    <w:tbl>
      <w:tblPr>
        <w:tblStyle w:val="37"/>
        <w:tblpPr w:leftFromText="180" w:rightFromText="180" w:vertAnchor="text" w:horzAnchor="margin" w:tblpXSpec="center" w:tblpY="1"/>
        <w:tblW w:w="9676" w:type="dxa"/>
        <w:jc w:val="center"/>
        <w:tblLayout w:type="fixed"/>
        <w:tblCellMar>
          <w:top w:w="0" w:type="dxa"/>
          <w:left w:w="108" w:type="dxa"/>
          <w:bottom w:w="0" w:type="dxa"/>
          <w:right w:w="108" w:type="dxa"/>
        </w:tblCellMar>
      </w:tblPr>
      <w:tblGrid>
        <w:gridCol w:w="1700"/>
        <w:gridCol w:w="7976"/>
      </w:tblGrid>
      <w:tr>
        <w:tblPrEx>
          <w:tblCellMar>
            <w:top w:w="0" w:type="dxa"/>
            <w:left w:w="108" w:type="dxa"/>
            <w:bottom w:w="0" w:type="dxa"/>
            <w:right w:w="108" w:type="dxa"/>
          </w:tblCellMar>
        </w:tblPrEx>
        <w:trPr>
          <w:trHeight w:val="551" w:hRule="atLeast"/>
          <w:jc w:val="center"/>
        </w:trPr>
        <w:tc>
          <w:tcPr>
            <w:tcW w:w="967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b/>
                <w:bCs/>
                <w:color w:val="auto"/>
                <w:kern w:val="0"/>
                <w:szCs w:val="21"/>
                <w:highlight w:val="none"/>
              </w:rPr>
            </w:pPr>
            <w:r>
              <w:rPr>
                <w:rFonts w:hint="eastAsia" w:ascii="宋体" w:hAnsi="宋体" w:cs="宋体"/>
                <w:color w:val="auto"/>
                <w:kern w:val="0"/>
                <w:szCs w:val="21"/>
                <w:highlight w:val="none"/>
              </w:rPr>
              <w:t>二、商务要求表</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基本要求</w:t>
            </w:r>
          </w:p>
        </w:tc>
        <w:tc>
          <w:tcPr>
            <w:tcW w:w="7976" w:type="dxa"/>
            <w:tcBorders>
              <w:top w:val="single" w:color="auto" w:sz="4" w:space="0"/>
              <w:left w:val="nil"/>
              <w:bottom w:val="single" w:color="auto" w:sz="4" w:space="0"/>
              <w:right w:val="single" w:color="000000" w:sz="4" w:space="0"/>
            </w:tcBorders>
            <w:vAlign w:val="center"/>
          </w:tcPr>
          <w:p>
            <w:pPr>
              <w:numPr>
                <w:ilvl w:val="0"/>
                <w:numId w:val="1"/>
              </w:numPr>
              <w:snapToGrid w:val="0"/>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项目所提供的全部货物（含硬件、软件及服务）必须完全满足采购文件所述要求（除允许偏离项），如成交供应商在响应文件中有承诺正偏离的应按其正偏离内容执行。若产品在运输过程中损坏或擦伤须无偿调换相同产品。</w:t>
            </w:r>
          </w:p>
          <w:p>
            <w:pPr>
              <w:numPr>
                <w:ilvl w:val="0"/>
                <w:numId w:val="1"/>
              </w:numPr>
              <w:snapToGrid w:val="0"/>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对于在送达采购人指定地点时已完成组装的定制货物，由于其组装状态，难以对货物的重要组件进行核实，供应商应在上述货物生产组装前十个工作日书面告知采购人，采购人可根据项目实际情况，到生产厂家进行预验收，以便确认所供货物是否按合同约定采用相应的组件及参数是否达到合同约定，费用含在竞标报价中。</w:t>
            </w:r>
          </w:p>
          <w:p>
            <w:pPr>
              <w:numPr>
                <w:ilvl w:val="0"/>
                <w:numId w:val="1"/>
              </w:numPr>
              <w:snapToGrid w:val="0"/>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供应商完成安装调试后，采购人可以进行累计运行时间不超过72小时的试运行，以确认所供货物（含硬件、软件及服务）功能参数、兼容性及稳定性符合标准达到初验条件，在试运行期间出现问题供应商应在接到采购人书面反馈后三日内解决，在解决问题前此项目仍视为尚未完成安装调试。如造成最终验收合格交付时间超过合同约定的按合同相关条款执行。</w:t>
            </w:r>
          </w:p>
          <w:p>
            <w:pPr>
              <w:numPr>
                <w:ilvl w:val="0"/>
                <w:numId w:val="1"/>
              </w:numPr>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成交供应商售后服务中维护使用的备品备件及易损件须为原厂全新配件，未经采购人同意不得使用非原厂配件。且进行维护的人员须为成交供应商认可的有资质专业技术人员。</w:t>
            </w:r>
          </w:p>
          <w:p>
            <w:pPr>
              <w:numPr>
                <w:ilvl w:val="0"/>
                <w:numId w:val="1"/>
              </w:numPr>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本项目所含软件（如有）必须为符合采购人适用范围的正版软件（非试用版），且在本项目合同约定的质保期过后，供应商需确保该软件其功能仍与交付验收时一致不受限制（如合同另有约定的按合同约定），质保期过后如需对软件进行升级或售后服务双方再行协商。</w:t>
            </w:r>
          </w:p>
          <w:p>
            <w:pPr>
              <w:numPr>
                <w:ilvl w:val="0"/>
                <w:numId w:val="1"/>
              </w:numPr>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供应商所提供的项目实施方案及服务承诺内容在合同实施阶段必须严格执行。供应商应认真对待承诺内容，确保其真实性和可操作性，否则将承担相应的法律责任和违约后果</w:t>
            </w:r>
            <w:r>
              <w:rPr>
                <w:rFonts w:hint="eastAsia" w:ascii="宋体" w:hAnsi="宋体" w:cs="宋体"/>
                <w:color w:val="auto"/>
                <w:spacing w:val="8"/>
                <w:szCs w:val="21"/>
                <w:highlight w:val="none"/>
              </w:rPr>
              <w:t>。</w:t>
            </w:r>
          </w:p>
          <w:p>
            <w:pPr>
              <w:numPr>
                <w:ilvl w:val="0"/>
                <w:numId w:val="1"/>
              </w:numPr>
              <w:spacing w:line="400" w:lineRule="exact"/>
              <w:ind w:firstLine="0"/>
              <w:rPr>
                <w:rFonts w:hint="eastAsia" w:ascii="宋体" w:hAnsi="宋体" w:cs="宋体"/>
                <w:bCs/>
                <w:color w:val="auto"/>
                <w:kern w:val="0"/>
                <w:szCs w:val="21"/>
                <w:highlight w:val="none"/>
              </w:rPr>
            </w:pPr>
            <w:r>
              <w:rPr>
                <w:rFonts w:hint="eastAsia" w:ascii="宋体" w:hAnsi="宋体" w:cs="宋体"/>
                <w:color w:val="auto"/>
                <w:szCs w:val="21"/>
                <w:highlight w:val="none"/>
              </w:rPr>
              <w:t>成交供应商须确保为本项目提供的货物及其相关技术资料所涉及的知识产权合法合规，拥有完整、无瑕疵的知识产权权利。因货物知识产权问题导致采购人被责令停止使用、被追偿或遭受损失的，由此产生的全部经济赔偿与法律责任均由成交供应商承担，采购人有权要求成交供应商赔偿全部损失。</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未尽事宜按招标文件及国家现行有关规范、标准执行。</w:t>
            </w:r>
          </w:p>
        </w:tc>
      </w:tr>
      <w:tr>
        <w:tblPrEx>
          <w:tblCellMar>
            <w:top w:w="0" w:type="dxa"/>
            <w:left w:w="108" w:type="dxa"/>
            <w:bottom w:w="0" w:type="dxa"/>
            <w:right w:w="108" w:type="dxa"/>
          </w:tblCellMar>
        </w:tblPrEx>
        <w:trPr>
          <w:trHeight w:val="490"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交货要求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1.交货时间：自签订合同之日起20个工作日内到货，并全部安装调试合格完毕。</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2.交货地点：广西壮族自治区柳州市鱼峰区柳石路广西科技大学</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供应商承担设备运输、安装调试、验收检测和提供设备操作说明书、图纸等其他类似的义务。供应商委派技术人员进行现场安装、调试，并提供货物安装调试的一切技术支持。安装调试的具体时间由采购人提前3天通知供应商。</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质保要求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货物免费保修期不少于</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年，时间自最终验收合格并交付使用之日起计算。</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售后要求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在保修期内，一旦发生质量问题，供应商保证在接到通知 1 日内赶到现场进行修理或更换。</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免费保修期内，如果有因质量问题而引起的损坏，供应商应对产品予以维修或更换，全部服务费和更换产品或配件的费用由供应商承担，供应商如不能修理或不能调换，按产品原价赔偿处理。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免费保修期后继续支持维修，并按成本价标准收取维修及零件费用。</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及时免费提供技术咨询和软件升级服务。</w:t>
            </w:r>
          </w:p>
        </w:tc>
      </w:tr>
      <w:tr>
        <w:tblPrEx>
          <w:tblCellMar>
            <w:top w:w="0" w:type="dxa"/>
            <w:left w:w="108" w:type="dxa"/>
            <w:bottom w:w="0" w:type="dxa"/>
            <w:right w:w="108" w:type="dxa"/>
          </w:tblCellMar>
        </w:tblPrEx>
        <w:trPr>
          <w:trHeight w:val="74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设备安装及培训</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1.免费提供全套、完整的技术资料，包括详细的仪器中英文说明书、操作手册和仪器维护等有关资料；</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成交供应商技术工程师携其他原厂工程师对采购方相关工作人员提供安装调试后的上门培训，设置问答互动环节并进行现场考核，直至所有采购方相关工作人员熟悉掌握设备的原理和使用方法，能对系统相关软硬件进行日常管理及维护，能够独立使用设备，独立完成实验。</w:t>
            </w:r>
          </w:p>
        </w:tc>
      </w:tr>
      <w:tr>
        <w:tblPrEx>
          <w:tblCellMar>
            <w:top w:w="0" w:type="dxa"/>
            <w:left w:w="108" w:type="dxa"/>
            <w:bottom w:w="0" w:type="dxa"/>
            <w:right w:w="108" w:type="dxa"/>
          </w:tblCellMar>
        </w:tblPrEx>
        <w:trPr>
          <w:trHeight w:val="80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1.成交供应商货物经过双方检验认可后，签署验收报告，产品保修期自验收合格之日起算，由供应商提供产品保修文件。</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2.当满足以下条件时，采购人才向成交供应商签发货物验收报告：</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A.采购人已按照合同规定提供了全部产品及完整的技术资料。</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B.货物符合招标文件技术规格书的要求，性能满足要求。</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C.货物具备产品合格证。采购人有权委托第三方进行履约验收，履约验收费用（含运行耗材、验收专家费等全部费用）由成交供应商支付。供应商在竞标报价时自行考虑。</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付款方式</w:t>
            </w:r>
          </w:p>
        </w:tc>
        <w:tc>
          <w:tcPr>
            <w:tcW w:w="7976" w:type="dxa"/>
            <w:tcBorders>
              <w:top w:val="single" w:color="auto" w:sz="4" w:space="0"/>
              <w:left w:val="nil"/>
              <w:bottom w:val="single" w:color="auto" w:sz="4" w:space="0"/>
              <w:right w:val="single" w:color="000000" w:sz="4" w:space="0"/>
            </w:tcBorders>
            <w:vAlign w:val="center"/>
          </w:tcPr>
          <w:p>
            <w:pPr>
              <w:widowControl/>
              <w:spacing w:line="360" w:lineRule="exact"/>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 xml:space="preserve">仪器安装调试验收合格之日后，成交人提供正规增值税专用发票给采购人，采购人在15个工作日内一次性付清款项。 </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保密要求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ascii="仿宋_GB2312"/>
                <w:color w:val="auto"/>
                <w:highlight w:val="none"/>
              </w:rPr>
            </w:pPr>
            <w:r>
              <w:rPr>
                <w:rFonts w:hint="eastAsia" w:ascii="宋体" w:hAnsi="宋体" w:cs="宋体"/>
                <w:bCs/>
                <w:color w:val="auto"/>
                <w:szCs w:val="21"/>
                <w:highlight w:val="none"/>
              </w:rPr>
              <w:t>成交供应商</w:t>
            </w:r>
            <w:r>
              <w:rPr>
                <w:rFonts w:hint="eastAsia" w:ascii="仿宋_GB2312"/>
                <w:color w:val="auto"/>
                <w:highlight w:val="none"/>
              </w:rPr>
              <w:t>须遵守有关保密规定，并根据采购人的要求签署相应的保密协议，包括在合同期结束后承诺保密义务，并承担相应的涉密责任。</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仿宋_GB2312"/>
                <w:color w:val="auto"/>
                <w:highlight w:val="none"/>
              </w:rPr>
              <w:t>竞标产品的部件由供应商按厂家最佳配置提供，供应商应提供竞标产品部件的名称、品牌、型号规格、生产厂家等详细清单并加盖公章。</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履约保证金</w:t>
            </w:r>
          </w:p>
        </w:tc>
        <w:tc>
          <w:tcPr>
            <w:tcW w:w="7976" w:type="dxa"/>
            <w:tcBorders>
              <w:top w:val="single" w:color="auto" w:sz="4" w:space="0"/>
              <w:left w:val="nil"/>
              <w:bottom w:val="single" w:color="auto" w:sz="4" w:space="0"/>
              <w:right w:val="single" w:color="000000" w:sz="4" w:space="0"/>
            </w:tcBorders>
            <w:vAlign w:val="center"/>
          </w:tcPr>
          <w:p>
            <w:pPr>
              <w:numPr>
                <w:ilvl w:val="0"/>
                <w:numId w:val="2"/>
              </w:numPr>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bCs/>
                <w:color w:val="auto"/>
                <w:szCs w:val="21"/>
                <w:highlight w:val="none"/>
              </w:rPr>
              <w:t>合同价款的5%，若成交供应商是中小企业，则履约保证金按合同价款的2%收取。</w:t>
            </w:r>
          </w:p>
          <w:p>
            <w:pPr>
              <w:numPr>
                <w:ilvl w:val="0"/>
                <w:numId w:val="2"/>
              </w:numPr>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履约保证金提交时间及方式：合同签订前 5日内，成交供应商必须以银行转账、支票、汇票、本票或者金融机构、担保机构出具的保险、保函（含电子保函）等非现金方式向采购人提交履约保证金。</w:t>
            </w:r>
          </w:p>
          <w:p>
            <w:pPr>
              <w:numPr>
                <w:ilvl w:val="0"/>
                <w:numId w:val="2"/>
              </w:numPr>
              <w:tabs>
                <w:tab w:val="left" w:pos="180"/>
                <w:tab w:val="left" w:pos="1620"/>
              </w:tabs>
              <w:spacing w:line="40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履约保证金退付条件及时间：自项目验收合格之日起至质保期满无质量问题，采购人收到退付履约保证金申请后15个工作日内退还(无息)。</w:t>
            </w:r>
          </w:p>
          <w:p>
            <w:pPr>
              <w:numPr>
                <w:ilvl w:val="0"/>
                <w:numId w:val="2"/>
              </w:numPr>
              <w:tabs>
                <w:tab w:val="left" w:pos="180"/>
                <w:tab w:val="left" w:pos="1620"/>
              </w:tabs>
              <w:spacing w:line="40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下列情况因履约保证金不能退还或另行处理，所产生的后果由成交供应商负责：</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1）履行合同约定权利义务期间，成交供应商不按合同履行质量保证义务的，采购人有权对采购标的进行更换、维修维保，所需费用从成交供应商提交的履约保证金中扣除，履约保证金不足以抵扣更换、维修维保费用的，不足部分由成交供应商承担。同时，采购人保留起诉成交供应商的权利。</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2）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（3）其他因成交供应商原因导致履约保证金无法按时退回的情形。</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履约保证金账户：</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全称：广西科技大学</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账号：20-112801040000305</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开户银行：中国农业银行柳州市祥兴支行</w:t>
            </w:r>
          </w:p>
          <w:p>
            <w:pPr>
              <w:autoSpaceDE w:val="0"/>
              <w:autoSpaceDN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转帐时注明：项目名称+项目编号</w:t>
            </w:r>
          </w:p>
          <w:p>
            <w:pPr>
              <w:autoSpaceDE w:val="0"/>
              <w:autoSpaceDN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备注：</w:t>
            </w:r>
          </w:p>
          <w:p>
            <w:pPr>
              <w:autoSpaceDE w:val="0"/>
              <w:autoSpaceDN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1、成交供应商必须在签订合同前，按照规定提交方式，足额缴纳履约保证金。</w:t>
            </w:r>
          </w:p>
          <w:p>
            <w:pPr>
              <w:spacing w:line="360" w:lineRule="exact"/>
              <w:rPr>
                <w:rFonts w:ascii="仿宋_GB2312"/>
                <w:color w:val="auto"/>
                <w:highlight w:val="none"/>
              </w:rPr>
            </w:pPr>
            <w:r>
              <w:rPr>
                <w:rFonts w:hint="eastAsia" w:ascii="宋体" w:hAnsi="宋体" w:cs="宋体"/>
                <w:bCs/>
                <w:color w:val="auto"/>
                <w:szCs w:val="21"/>
                <w:highlight w:val="none"/>
              </w:rPr>
              <w:t>2、成交供应商未按规定缴纳履约保证金的，暂缓签订合同，责任由成交供应商承担。</w:t>
            </w:r>
          </w:p>
        </w:tc>
      </w:tr>
    </w:tbl>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分标2：2025年博点建设经费（化学工程方向）科研仪器设备采购</w:t>
      </w: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1"/>
        <w:gridCol w:w="1183"/>
        <w:gridCol w:w="750"/>
        <w:gridCol w:w="786"/>
        <w:gridCol w:w="5564"/>
        <w:gridCol w:w="8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序号</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设备名称</w:t>
            </w:r>
          </w:p>
        </w:tc>
        <w:tc>
          <w:tcPr>
            <w:tcW w:w="750"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单位</w:t>
            </w:r>
          </w:p>
        </w:tc>
        <w:tc>
          <w:tcPr>
            <w:tcW w:w="786"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数量</w:t>
            </w:r>
          </w:p>
        </w:tc>
        <w:tc>
          <w:tcPr>
            <w:tcW w:w="5564"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技术参数及其性能（配置）</w:t>
            </w:r>
          </w:p>
        </w:tc>
        <w:tc>
          <w:tcPr>
            <w:tcW w:w="817"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1</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压差法气体透过率测试系统（测氧气、二氧化碳）</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140"/>
              <w:spacing w:line="360" w:lineRule="exact"/>
              <w:jc w:val="center"/>
              <w:rPr>
                <w:rFonts w:hint="eastAsia"/>
                <w:bCs/>
                <w:color w:val="auto"/>
                <w:sz w:val="21"/>
                <w:szCs w:val="21"/>
                <w:highlight w:val="none"/>
                <w:lang w:eastAsia="zh-CN"/>
              </w:rPr>
            </w:pPr>
            <w:r>
              <w:rPr>
                <w:bCs/>
                <w:color w:val="auto"/>
                <w:sz w:val="21"/>
                <w:szCs w:val="21"/>
                <w:highlight w:val="none"/>
                <w:lang w:eastAsia="zh-CN"/>
              </w:rPr>
              <w:t>台</w:t>
            </w:r>
          </w:p>
        </w:tc>
        <w:tc>
          <w:tcPr>
            <w:tcW w:w="5564" w:type="dxa"/>
            <w:vAlign w:val="center"/>
          </w:tcPr>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一、气体渗透测试系统：基于压差法测试原理，专业适用于塑料薄膜、复合膜、高阻隔材料、片材、金属箔片在各种温度下的气体透过率测定。</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二、技术参数</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1、测试范围cm3/ m2•24h•0.1Mpa：0.1～5,000；</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2、分辨率  cm3/ m2•24h•0.1MPa：0.01；</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3、温度分辨率℃：0.1；</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4、温度波动℃：±0.5；</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5、真空分辨率Pa：≤1；</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6、测试腔真空度Pa：≤ 20；</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7、试验压差kPa：101；</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8、测试腔：1套；</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9、样品尺寸：3.8” x 3.8”（9.7cm×9.7cm）；</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10、样品厚度：≤120 Mil（3mm）；</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11、标准测试面积：38.48cm2；</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12、试验气体：O2、N2、CO2等气体（气源用户自备）；</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13、气源压力：72.5 PSI / 500 kPa；</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14、接口尺寸：Φ6 mm聚氨酯管；</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15、外形尺寸：12.9” H x 16.9” W x 15.7”D (33cm×43cm×40cm)；</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16、电源：220VAC±10% 50Hz；</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17、净重：50Lbs（23kg）；</w:t>
            </w:r>
          </w:p>
          <w:p>
            <w:pPr>
              <w:pStyle w:val="16"/>
              <w:spacing w:after="0" w:line="400" w:lineRule="exact"/>
              <w:rPr>
                <w:rFonts w:hint="eastAsia" w:hAnsi="宋体" w:cs="宋体"/>
                <w:bCs/>
                <w:color w:val="auto"/>
                <w:sz w:val="21"/>
                <w:szCs w:val="21"/>
                <w:highlight w:val="none"/>
              </w:rPr>
            </w:pPr>
            <w:r>
              <w:rPr>
                <w:rFonts w:hint="eastAsia" w:hAnsi="宋体" w:cs="宋体"/>
                <w:color w:val="auto"/>
                <w:sz w:val="21"/>
                <w:szCs w:val="21"/>
                <w:highlight w:val="none"/>
              </w:rPr>
              <w:t>18、标准配置：主机、真空泵、取样器、真空油脂、Φ6 mm聚氨酯管；</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2</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数显高速分散机</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140"/>
              <w:spacing w:line="360" w:lineRule="exact"/>
              <w:jc w:val="center"/>
              <w:rPr>
                <w:rFonts w:hint="eastAsia"/>
                <w:bCs/>
                <w:color w:val="auto"/>
                <w:sz w:val="21"/>
                <w:szCs w:val="21"/>
                <w:highlight w:val="none"/>
                <w:lang w:eastAsia="zh-CN"/>
              </w:rPr>
            </w:pPr>
            <w:r>
              <w:rPr>
                <w:bCs/>
                <w:color w:val="auto"/>
                <w:sz w:val="21"/>
                <w:szCs w:val="21"/>
                <w:highlight w:val="none"/>
                <w:lang w:eastAsia="zh-CN"/>
              </w:rPr>
              <w:t>台</w:t>
            </w:r>
          </w:p>
        </w:tc>
        <w:tc>
          <w:tcPr>
            <w:tcW w:w="5564" w:type="dxa"/>
            <w:vAlign w:val="center"/>
          </w:tcPr>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技术参数</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1.输出功率：500W</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2.转速范围：2000-28000rpm</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3.转速显示：液晶显示</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4.转速控制：无级变速</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5.定时控制：6000分钟</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6.接触物料材质：SS304</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7.轴套材质：聚四氟乙烯</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8.标准工作头类型：剪切齿</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9.最高工作温度：120℃</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10.标准工作头数量：1根</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11.允许环境温度：5-40℃</w:t>
            </w:r>
          </w:p>
          <w:p>
            <w:pPr>
              <w:pStyle w:val="16"/>
              <w:spacing w:after="0" w:line="400" w:lineRule="exact"/>
              <w:rPr>
                <w:rFonts w:hint="eastAsia" w:hAnsi="宋体" w:cs="宋体"/>
                <w:bCs/>
                <w:color w:val="auto"/>
                <w:sz w:val="21"/>
                <w:szCs w:val="21"/>
                <w:highlight w:val="none"/>
              </w:rPr>
            </w:pPr>
            <w:r>
              <w:rPr>
                <w:rFonts w:hint="eastAsia" w:hAnsi="宋体" w:cs="宋体"/>
                <w:color w:val="auto"/>
                <w:sz w:val="21"/>
                <w:szCs w:val="21"/>
                <w:highlight w:val="none"/>
              </w:rPr>
              <w:t>12.允许相对湿度：80%</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3</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红外法水蒸气透过率测试系统（测水蒸气）</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140"/>
              <w:spacing w:line="360" w:lineRule="exact"/>
              <w:jc w:val="center"/>
              <w:rPr>
                <w:rFonts w:hint="eastAsia"/>
                <w:bCs/>
                <w:color w:val="auto"/>
                <w:sz w:val="21"/>
                <w:szCs w:val="21"/>
                <w:highlight w:val="none"/>
                <w:lang w:eastAsia="zh-CN"/>
              </w:rPr>
            </w:pPr>
            <w:r>
              <w:rPr>
                <w:bCs/>
                <w:color w:val="auto"/>
                <w:sz w:val="21"/>
                <w:szCs w:val="21"/>
                <w:highlight w:val="none"/>
                <w:lang w:eastAsia="zh-CN"/>
              </w:rPr>
              <w:t>台</w:t>
            </w:r>
          </w:p>
        </w:tc>
        <w:tc>
          <w:tcPr>
            <w:tcW w:w="5564" w:type="dxa"/>
            <w:vAlign w:val="center"/>
          </w:tcPr>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一、水蒸气透过率测试系统 基于红外水分传感器法的测试原理，参照ASTM F1249，ISO 15106-2等标准设计制造，为高、中气体阻隔性材料提供高精度和高效率的水蒸气透过率测试。适用于食品、药品、医疗器械、日用化学、光伏、电子等领域的薄膜、片材及相关材料的水蒸气透过性能测试。</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二、技术参数</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1、测试范围g/(m2·day) (标准面积50cm2)：0.1～40；</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2、分辨率g/(m2·day)：0.1；</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3、温度范围℃：15～50；</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4、温度分辨率℃：0.1；</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5、温度波动℃：±0.5；</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6、湿度范围%RH：4%RH～100%RH±2%（饱和盐溶液）；</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7、测试腔：1套；</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8、样品尺寸：3.8” x 3.8”（9.7cm×9.7cm）；</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9、样品厚度：≤120 Mil（3mm）；</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10、标准测试面积：50cm2；</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11、试验气体：99.999%高纯氮气（气源用户自备）；</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12、气源压力：7.2 PSI / 50 kPa；</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13、接口尺寸：1/8”金属管；</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14、外形尺寸：12.9” H x 16.9” W x 15.7” D (33cm× 43cm× 40cm)；</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15、电源： 220VAC±10% 50Hz；</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16、净重：50Lbs（23kg）；</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四、另配废液收集系统含托盘及10L透明废液桶：托盘全钢结构，绝缘防腐层板材质一次冲压成型，耐高温650度以上（5分钟测试表面无可见变化为合格），可承受分析纯浓硫酸测试浸泡24小时（24小时浸泡测试表面涂层无变化为合格），防腐螺钉为耐高温950度以上（5分钟测试表面无可见变化为合格），防腐螺钉可承受分析纯浓硫酸测试浸泡24小时（24小时浸泡测试表面涂层无变化为合格），可承受分析纯浓硫酸测试浸泡24小时（24小时浸泡测试表面涂层无变化为合格），防腐螺钉为耐高温950度以上（5分钟测试表面无可见变化为合格），防腐螺钉可承受分析纯浓硫酸测试浸泡24小时（24小时浸泡测试表面涂层无变化为合格），</w:t>
            </w:r>
            <w:r>
              <w:rPr>
                <w:rFonts w:hint="eastAsia" w:hAnsi="宋体" w:cs="宋体"/>
                <w:b/>
                <w:bCs/>
                <w:color w:val="auto"/>
                <w:sz w:val="21"/>
                <w:szCs w:val="21"/>
                <w:highlight w:val="none"/>
              </w:rPr>
              <w:t>响应文件中须提供具备检测资质的第三方检测机构出具的报告复印件，否则作无效响应。（签订合同时，供货人需提供检测报告盖章件和样品留底备查，对提供虚假未经检测、随意篡改检测数据、伪造结果损坏采购人利益的，采购人有权不签署合同并追责其法律责任）</w:t>
            </w:r>
          </w:p>
          <w:p>
            <w:pPr>
              <w:pStyle w:val="16"/>
              <w:spacing w:after="0" w:line="400" w:lineRule="exact"/>
              <w:rPr>
                <w:rFonts w:hint="eastAsia" w:hAnsi="宋体" w:cs="宋体"/>
                <w:bCs/>
                <w:color w:val="auto"/>
                <w:sz w:val="21"/>
                <w:szCs w:val="21"/>
                <w:highlight w:val="none"/>
              </w:rPr>
            </w:pPr>
            <w:r>
              <w:rPr>
                <w:rFonts w:hint="eastAsia" w:hAnsi="宋体" w:cs="宋体"/>
                <w:color w:val="auto"/>
                <w:sz w:val="21"/>
                <w:szCs w:val="21"/>
                <w:highlight w:val="none"/>
              </w:rPr>
              <w:t>五、标准配置：主机、TC03 温度控制装置、多孔陶瓷盘、取样器、真空油脂、托盘及废液桶；</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4</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冰箱</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140"/>
              <w:spacing w:line="360" w:lineRule="exact"/>
              <w:jc w:val="center"/>
              <w:rPr>
                <w:rFonts w:hint="eastAsia"/>
                <w:bCs/>
                <w:color w:val="auto"/>
                <w:sz w:val="21"/>
                <w:szCs w:val="21"/>
                <w:highlight w:val="none"/>
                <w:lang w:eastAsia="zh-CN"/>
              </w:rPr>
            </w:pPr>
            <w:r>
              <w:rPr>
                <w:bCs/>
                <w:color w:val="auto"/>
                <w:sz w:val="21"/>
                <w:szCs w:val="21"/>
                <w:highlight w:val="none"/>
                <w:lang w:eastAsia="zh-CN"/>
              </w:rPr>
              <w:t>台</w:t>
            </w:r>
          </w:p>
        </w:tc>
        <w:tc>
          <w:tcPr>
            <w:tcW w:w="5564" w:type="dxa"/>
            <w:vAlign w:val="center"/>
          </w:tcPr>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1.能效等级：一级能效；</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2.门款式：对开门；</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3.总能量：540L；</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4.冷藏室：300L；</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5.冷冻室：240L；</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6.定频/变频：变频；</w:t>
            </w:r>
          </w:p>
          <w:p>
            <w:pPr>
              <w:pStyle w:val="16"/>
              <w:spacing w:after="0" w:line="400" w:lineRule="exact"/>
              <w:rPr>
                <w:rFonts w:hint="eastAsia" w:hAnsi="宋体" w:cs="宋体"/>
                <w:bCs/>
                <w:color w:val="auto"/>
                <w:sz w:val="21"/>
                <w:szCs w:val="21"/>
                <w:highlight w:val="none"/>
              </w:rPr>
            </w:pPr>
            <w:r>
              <w:rPr>
                <w:rFonts w:hint="eastAsia" w:hAnsi="宋体" w:cs="宋体"/>
                <w:color w:val="auto"/>
                <w:sz w:val="21"/>
                <w:szCs w:val="21"/>
                <w:highlight w:val="none"/>
              </w:rPr>
              <w:t>7.制冷方式：风冷；</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5</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便携式三合一气体检测仪</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140"/>
              <w:spacing w:line="360" w:lineRule="exact"/>
              <w:jc w:val="center"/>
              <w:rPr>
                <w:rFonts w:hint="eastAsia"/>
                <w:bCs/>
                <w:color w:val="auto"/>
                <w:sz w:val="21"/>
                <w:szCs w:val="21"/>
                <w:highlight w:val="none"/>
                <w:lang w:eastAsia="zh-CN"/>
              </w:rPr>
            </w:pPr>
            <w:r>
              <w:rPr>
                <w:bCs/>
                <w:color w:val="auto"/>
                <w:sz w:val="21"/>
                <w:szCs w:val="21"/>
                <w:highlight w:val="none"/>
                <w:lang w:eastAsia="zh-CN"/>
              </w:rPr>
              <w:t>台</w:t>
            </w:r>
          </w:p>
        </w:tc>
        <w:tc>
          <w:tcPr>
            <w:tcW w:w="5564" w:type="dxa"/>
            <w:vAlign w:val="center"/>
          </w:tcPr>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1、CO2量程：0-50000PPM，分辨率：1PPM，红外检测原理，精度≤±2%F.S。</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 xml:space="preserve"> O2量程：0-30%VOL，分辨率：0.01%VOL，电化学检测原理，精度≤±3%F.S。</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CLO2量程：0-50PPM，分辨率：0.01PPM，电化学检测原理，精度≤±3%F.S。</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2、采用3.5寸工业彩屏显示，PPM、%VOL、mg/m3三种浓度单位可自由切换，内置气体采样泵，可自动抽气检测。</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3、可设置实时检测、定时检测。具有数据存储功能，可存储数据，可查看、导出数据。单通道可存储数据30800组。</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4、内置3800mA可充锂电电池，连续工作时间8小时以上，带二级声光报警功能，浓度超标可即时报警。</w:t>
            </w:r>
          </w:p>
          <w:p>
            <w:pPr>
              <w:pStyle w:val="16"/>
              <w:spacing w:after="0" w:line="400" w:lineRule="exact"/>
              <w:rPr>
                <w:rFonts w:hint="eastAsia" w:hAnsi="宋体" w:cs="宋体"/>
                <w:bCs/>
                <w:color w:val="auto"/>
                <w:sz w:val="21"/>
                <w:szCs w:val="21"/>
                <w:highlight w:val="none"/>
              </w:rPr>
            </w:pPr>
            <w:r>
              <w:rPr>
                <w:rFonts w:hint="eastAsia" w:hAnsi="宋体" w:cs="宋体"/>
                <w:color w:val="auto"/>
                <w:sz w:val="21"/>
                <w:szCs w:val="21"/>
                <w:highlight w:val="none"/>
              </w:rPr>
              <w:t>5、传感器多达6级目标点校准功能，保证测量的准确性和线性，全中文/英文操作菜单，简单实用。自带温湿度检测显示，可选配打印机或者连接电脑将数据打印出来。可选配PM2.5激光粉尘粒子传感器。最多可选定制5种气体同时检测。</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6</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分光测色仪</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140"/>
              <w:spacing w:line="360" w:lineRule="exact"/>
              <w:jc w:val="center"/>
              <w:rPr>
                <w:rFonts w:hint="eastAsia"/>
                <w:bCs/>
                <w:color w:val="auto"/>
                <w:sz w:val="21"/>
                <w:szCs w:val="21"/>
                <w:highlight w:val="none"/>
                <w:lang w:eastAsia="zh-CN"/>
              </w:rPr>
            </w:pPr>
            <w:r>
              <w:rPr>
                <w:bCs/>
                <w:color w:val="auto"/>
                <w:sz w:val="21"/>
                <w:szCs w:val="21"/>
                <w:highlight w:val="none"/>
                <w:lang w:eastAsia="zh-CN"/>
              </w:rPr>
              <w:t>台</w:t>
            </w:r>
          </w:p>
        </w:tc>
        <w:tc>
          <w:tcPr>
            <w:tcW w:w="5564" w:type="dxa"/>
            <w:vAlign w:val="center"/>
          </w:tcPr>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1、测量结构：D/8,SCl+SCE</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2、测量重复性：dE*m≤0.02</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3、台间差：dE*m≤0.25</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4、显示精度：0.01</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5、测量/照明口径：稳定型和灵巧型共8个：φ11mm,Φ6mm,Φ3mm,1*3mm，▽11mm，▽6mm，▽3mm，▽1*3mm</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6、测量指标：光谱反射率，CIE-Lab，CIE-LCh，HunterLab，CIE-Luy，XYZ，Yxy，RGB，色差(△E*ab，△E*cmc，△E*94，△E*00)，白度(ASTM E313-00，ASTM E313-73，CIE， ISO2470/R457，AATCC,Hunter,Taube Berger Stensby),黄度(ASTM D1925，ASTM 313-00， ASTM E313-73)，黑度(My，dM)，沾色牢度，变色牢，Tint(ASTM E313-00)，色密度 CMYK(A,T,E,M)，同色异谱指数Milm，孟塞尔，遮盖力，力份（染料强度，着色力）</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7、光源条件：</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A,B,C,D50,D55,D65,D75,F1,F2,F3,F4,F5,F6,F7,F8,F9,F10,F11,F12,CWF,U30,U</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35,DLF,NBF,TL83,TL84,ID50,ID65,LED-B1,LED-B2,LED-B3,LED-B4,LED-B5,LED-BH1,LED-RGB1,</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LED-V1,LED-V2</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8、照明光源：全波段均衡LED光源+UV</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9、测量观察方式：摄像头</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10、校准：智能自动校准</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11、软件支持：Andriod,iOS,Windows,微信小程序</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12、准确性保证：保证一级计量合格</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13、视场角：2°,10°</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14、积分球直径：40mm</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15、符合标准：CIE No.15,GB/T 3978,GB 2893,GB/T 18833,ISO7724-1,ASTM E1164,DIN5033 Teil7</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16、分光方式：凹面光栅</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17、感应器：双列高精度CMOS阵列传感器</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18、波长间隔：10nm</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19、波长范围：400-700nm</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20、反射率测定范围：0-200%</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21、反射率分辨率：0.01%</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22、测量时间：约1秒</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23、接口：USB,蓝牙</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24、屏幕：全彩屏幕，3.5英寸</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25、电池容量：单次充电可连续测量8000次，7.2V/3000mAh</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26、光源寿命：10年100万次</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27、语言：简体中文，英语</w:t>
            </w:r>
          </w:p>
          <w:p>
            <w:pPr>
              <w:pStyle w:val="16"/>
              <w:spacing w:after="0" w:line="400" w:lineRule="exact"/>
              <w:rPr>
                <w:rFonts w:hint="eastAsia" w:hAnsi="宋体" w:cs="宋体"/>
                <w:color w:val="auto"/>
                <w:sz w:val="21"/>
                <w:szCs w:val="21"/>
                <w:highlight w:val="none"/>
              </w:rPr>
            </w:pPr>
            <w:r>
              <w:rPr>
                <w:rFonts w:hint="eastAsia" w:hAnsi="宋体" w:cs="宋体"/>
                <w:color w:val="auto"/>
                <w:sz w:val="21"/>
                <w:szCs w:val="21"/>
                <w:highlight w:val="none"/>
              </w:rPr>
              <w:t>28、存储：标样100条，试样10000条；APP:海量存储</w:t>
            </w:r>
          </w:p>
          <w:p>
            <w:pPr>
              <w:pStyle w:val="16"/>
              <w:spacing w:after="0" w:line="400" w:lineRule="exact"/>
              <w:rPr>
                <w:rFonts w:hint="eastAsia" w:hAnsi="宋体" w:cs="宋体"/>
                <w:bCs/>
                <w:color w:val="auto"/>
                <w:sz w:val="21"/>
                <w:szCs w:val="21"/>
                <w:highlight w:val="none"/>
              </w:rPr>
            </w:pPr>
            <w:r>
              <w:rPr>
                <w:rFonts w:hint="eastAsia" w:hAnsi="宋体" w:cs="宋体"/>
                <w:color w:val="auto"/>
                <w:sz w:val="21"/>
                <w:szCs w:val="21"/>
                <w:highlight w:val="none"/>
              </w:rPr>
              <w:t>29.配置：分光测色仪1台、粉末测量盒1个</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bl>
    <w:tbl>
      <w:tblPr>
        <w:tblStyle w:val="37"/>
        <w:tblpPr w:leftFromText="180" w:rightFromText="180" w:vertAnchor="text" w:horzAnchor="margin" w:tblpXSpec="center" w:tblpY="1"/>
        <w:tblW w:w="9676" w:type="dxa"/>
        <w:jc w:val="center"/>
        <w:tblLayout w:type="fixed"/>
        <w:tblCellMar>
          <w:top w:w="0" w:type="dxa"/>
          <w:left w:w="108" w:type="dxa"/>
          <w:bottom w:w="0" w:type="dxa"/>
          <w:right w:w="108" w:type="dxa"/>
        </w:tblCellMar>
      </w:tblPr>
      <w:tblGrid>
        <w:gridCol w:w="1700"/>
        <w:gridCol w:w="7976"/>
      </w:tblGrid>
      <w:tr>
        <w:tblPrEx>
          <w:tblCellMar>
            <w:top w:w="0" w:type="dxa"/>
            <w:left w:w="108" w:type="dxa"/>
            <w:bottom w:w="0" w:type="dxa"/>
            <w:right w:w="108" w:type="dxa"/>
          </w:tblCellMar>
        </w:tblPrEx>
        <w:trPr>
          <w:trHeight w:val="551" w:hRule="atLeast"/>
          <w:jc w:val="center"/>
        </w:trPr>
        <w:tc>
          <w:tcPr>
            <w:tcW w:w="967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b/>
                <w:bCs/>
                <w:color w:val="auto"/>
                <w:kern w:val="0"/>
                <w:szCs w:val="21"/>
                <w:highlight w:val="none"/>
              </w:rPr>
            </w:pPr>
            <w:r>
              <w:rPr>
                <w:rFonts w:hint="eastAsia" w:ascii="宋体" w:hAnsi="宋体" w:cs="宋体"/>
                <w:color w:val="auto"/>
                <w:kern w:val="0"/>
                <w:szCs w:val="21"/>
                <w:highlight w:val="none"/>
              </w:rPr>
              <w:t>二、商务要求表</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基本要求</w:t>
            </w:r>
          </w:p>
        </w:tc>
        <w:tc>
          <w:tcPr>
            <w:tcW w:w="7976" w:type="dxa"/>
            <w:tcBorders>
              <w:top w:val="single" w:color="auto" w:sz="4" w:space="0"/>
              <w:left w:val="nil"/>
              <w:bottom w:val="single" w:color="auto" w:sz="4" w:space="0"/>
              <w:right w:val="single" w:color="000000" w:sz="4" w:space="0"/>
            </w:tcBorders>
            <w:vAlign w:val="center"/>
          </w:tcPr>
          <w:p>
            <w:pPr>
              <w:numPr>
                <w:ilvl w:val="0"/>
                <w:numId w:val="3"/>
              </w:numPr>
              <w:snapToGrid w:val="0"/>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项目所提供的全部货物（含硬件、软件及服务）必须完全满足采购文件所述要求（除允许偏离项），如成交供应商在响应文件中有承诺正偏离的应按其正偏离内容执行。若产品在运输过程中损坏或擦伤须无偿调换相同产品。</w:t>
            </w:r>
          </w:p>
          <w:p>
            <w:pPr>
              <w:numPr>
                <w:ilvl w:val="0"/>
                <w:numId w:val="3"/>
              </w:numPr>
              <w:snapToGrid w:val="0"/>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对于在送达采购人指定地点时已完成组装的定制货物，由于其组装状态，难以对货物的重要组件进行核实，供应商应在上述货物生产组装前十个工作日书面告知采购人，采购人可根据项目实际情况，到生产厂家进行预验收，以便确认所供货物是否按合同约定采用相应的组件及参数是否达到合同约定，费用含在竞标报价中。</w:t>
            </w:r>
          </w:p>
          <w:p>
            <w:pPr>
              <w:numPr>
                <w:ilvl w:val="0"/>
                <w:numId w:val="3"/>
              </w:numPr>
              <w:snapToGrid w:val="0"/>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供应商完成安装调试后，采购人可以进行累计运行时间不超过72小时的试运行，以确认所供货物（含硬件、软件及服务）功能参数、兼容性及稳定性符合标准达到初验条件，在试运行期间出现问题供应商应在接到采购人书面反馈后三日内解决，在解决问题前此项目仍视为尚未完成安装调试。如造成最终验收合格交付时间超过合同约定的按合同相关条款执行。</w:t>
            </w:r>
          </w:p>
          <w:p>
            <w:pPr>
              <w:numPr>
                <w:ilvl w:val="0"/>
                <w:numId w:val="3"/>
              </w:numPr>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成交供应商售后服务中维护使用的备品备件及易损件须为原厂全新配件，未经采购人同意不得使用非原厂配件。且进行维护的人员须为成交供应商认可的有资质专业技术人员。</w:t>
            </w:r>
          </w:p>
          <w:p>
            <w:pPr>
              <w:numPr>
                <w:ilvl w:val="0"/>
                <w:numId w:val="3"/>
              </w:numPr>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本项目所含软件（如有）必须为符合采购人适用范围的正版软件（非试用版），且在本项目合同约定的质保期过后，供应商需确保该软件其功能仍与交付验收时一致不受限制（如合同另有约定的按合同约定），质保期过后如需对软件进行升级或售后服务双方再行协商。</w:t>
            </w:r>
          </w:p>
          <w:p>
            <w:pPr>
              <w:numPr>
                <w:ilvl w:val="0"/>
                <w:numId w:val="3"/>
              </w:numPr>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供应商所提供的项目实施方案及服务承诺内容在合同实施阶段必须严格执行。供应商应认真对待承诺内容，确保其真实性和可操作性，否则将承担相应的法律责任和违约后果</w:t>
            </w:r>
            <w:r>
              <w:rPr>
                <w:rFonts w:hint="eastAsia" w:ascii="宋体" w:hAnsi="宋体" w:cs="宋体"/>
                <w:color w:val="auto"/>
                <w:spacing w:val="8"/>
                <w:szCs w:val="21"/>
                <w:highlight w:val="none"/>
              </w:rPr>
              <w:t>。</w:t>
            </w:r>
          </w:p>
          <w:p>
            <w:pPr>
              <w:numPr>
                <w:ilvl w:val="0"/>
                <w:numId w:val="3"/>
              </w:numPr>
              <w:spacing w:line="400" w:lineRule="exact"/>
              <w:ind w:firstLine="0"/>
              <w:rPr>
                <w:rFonts w:hint="eastAsia" w:ascii="宋体" w:hAnsi="宋体" w:cs="宋体"/>
                <w:bCs/>
                <w:color w:val="auto"/>
                <w:kern w:val="0"/>
                <w:szCs w:val="21"/>
                <w:highlight w:val="none"/>
              </w:rPr>
            </w:pPr>
            <w:r>
              <w:rPr>
                <w:rFonts w:hint="eastAsia" w:ascii="宋体" w:hAnsi="宋体" w:cs="宋体"/>
                <w:color w:val="auto"/>
                <w:szCs w:val="21"/>
                <w:highlight w:val="none"/>
              </w:rPr>
              <w:t>成交供应商须确保为本项目提供的货物及其相关技术资料所涉及的知识产权合法合规，拥有完整、无瑕疵的知识产权权利。因货物知识产权问题导致采购人被责令停止使用、被追偿或遭受损失的，由此产生的全部经济赔偿与法律责任均由成交供应商承担，采购人有权要求成交供应商赔偿全部损失。</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未尽事宜按招标文件及国家现行有关规范、标准执行。</w:t>
            </w:r>
          </w:p>
        </w:tc>
      </w:tr>
      <w:tr>
        <w:tblPrEx>
          <w:tblCellMar>
            <w:top w:w="0" w:type="dxa"/>
            <w:left w:w="108" w:type="dxa"/>
            <w:bottom w:w="0" w:type="dxa"/>
            <w:right w:w="108" w:type="dxa"/>
          </w:tblCellMar>
        </w:tblPrEx>
        <w:trPr>
          <w:trHeight w:val="490"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交货要求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1.交货时间：自签订合同之日起20个工作日内到货，并全部安装调试合格完毕。</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2.交货地点：广西壮族自治区柳州市采购人指定地点。</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供应商承担设备运输、安装调试、验收检测和提供设备操作说明书、图纸等其他类似的义务。供应商委派技术人员进行现场安装、调试，并提供货物安装调试的一切技术支持。安装调试的具体时间由采购人提前3天通知供应商。</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质保要求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货物免费保修期不少于</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年，时间自最终验收合格并交付使用之日起计算。</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售后要求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在保修期内，一旦发生质量问题，供应商保证在接到通知 1 日内赶到现场进行修理或更换。</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免费保修期内，如果有因质量问题而引起的损坏，供应商应对产品予以维修或更换，全部服务费和更换产品或配件的费用由供应商承担，供应商如不能修理或不能调换，按产品原价赔偿处理。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免费保修期后继续支持维修，并按成本价标准收取维修及零件费用。</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及时免费提供技术咨询和软件升级服务。</w:t>
            </w:r>
          </w:p>
        </w:tc>
      </w:tr>
      <w:tr>
        <w:tblPrEx>
          <w:tblCellMar>
            <w:top w:w="0" w:type="dxa"/>
            <w:left w:w="108" w:type="dxa"/>
            <w:bottom w:w="0" w:type="dxa"/>
            <w:right w:w="108" w:type="dxa"/>
          </w:tblCellMar>
        </w:tblPrEx>
        <w:trPr>
          <w:trHeight w:val="74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设备安装及培训</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1.免费提供全套、完整的技术资料，包括详细的仪器中英文说明书、操作手册和仪器维护等有关资料；</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成交供应商技术工程师携其他原厂工程师对采购方相关工作人员提供安装调试后的上门培训，设置问答互动环节并进行现场考核，直至所有采购方相关工作人员熟悉掌握设备的原理和使用方法，能对系统相关软硬件进行日常管理及维护，能够独立使用设备，独立完成实验。</w:t>
            </w:r>
          </w:p>
        </w:tc>
      </w:tr>
      <w:tr>
        <w:tblPrEx>
          <w:tblCellMar>
            <w:top w:w="0" w:type="dxa"/>
            <w:left w:w="108" w:type="dxa"/>
            <w:bottom w:w="0" w:type="dxa"/>
            <w:right w:w="108" w:type="dxa"/>
          </w:tblCellMar>
        </w:tblPrEx>
        <w:trPr>
          <w:trHeight w:val="80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在产品到货后，采购人现场根据采购文件要求及响应文件承诺逐条对应进行核验，核验不合格的，采购人有权终止合同执行并全部退货，同时报相关监督管理部门处理，由此造成采购人经济损失的由成交供应商负责承担全部赔偿责任。</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2.质量标准：符合设备制造厂家合格产品的出厂质量标准。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3.验收条件及标准：设备需全新、完好、无破损，按照技术要求的各项指标进行验收。</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4.验收方法及方案：设备开机试运行，测试设备的技术性能指标，确认各项功能正常运行，同时检查随机文件应齐整。</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付款方式</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b/>
                <w:bCs/>
                <w:color w:val="auto"/>
                <w:kern w:val="0"/>
                <w:szCs w:val="21"/>
                <w:highlight w:val="none"/>
              </w:rPr>
            </w:pPr>
            <w:r>
              <w:rPr>
                <w:rFonts w:hint="eastAsia" w:ascii="宋体" w:hAnsi="宋体" w:cs="宋体"/>
                <w:color w:val="auto"/>
                <w:kern w:val="0"/>
                <w:szCs w:val="21"/>
                <w:highlight w:val="none"/>
              </w:rPr>
              <w:t xml:space="preserve">仪器安装调试验收合格之日后，成交人提供正规增值税专用发票给采购人，采购人在15个工作日内一次性付清款项。 </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保密要求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ascii="仿宋_GB2312"/>
                <w:color w:val="auto"/>
                <w:highlight w:val="none"/>
              </w:rPr>
            </w:pPr>
            <w:r>
              <w:rPr>
                <w:rFonts w:hint="eastAsia" w:ascii="宋体" w:hAnsi="宋体" w:cs="宋体"/>
                <w:bCs/>
                <w:color w:val="auto"/>
                <w:szCs w:val="21"/>
                <w:highlight w:val="none"/>
              </w:rPr>
              <w:t>成交供应商</w:t>
            </w:r>
            <w:r>
              <w:rPr>
                <w:rFonts w:hint="eastAsia" w:ascii="仿宋_GB2312"/>
                <w:color w:val="auto"/>
                <w:highlight w:val="none"/>
              </w:rPr>
              <w:t>须遵守有关保密规定，并根据采购人的要求签署相应的保密协议，包括在合同期结束后承诺保密义务，并承担相应的涉密责任。</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仿宋_GB2312"/>
                <w:color w:val="auto"/>
                <w:highlight w:val="none"/>
              </w:rPr>
              <w:t>竞标产品的部件由供应商按厂家最佳配置提供，供应商应提供竞标产品部件的名称、品牌、型号规格、生产厂家等详细清单并加盖公章。</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履约保证金</w:t>
            </w:r>
          </w:p>
        </w:tc>
        <w:tc>
          <w:tcPr>
            <w:tcW w:w="7976" w:type="dxa"/>
            <w:tcBorders>
              <w:top w:val="single" w:color="auto" w:sz="4" w:space="0"/>
              <w:left w:val="nil"/>
              <w:bottom w:val="single" w:color="auto" w:sz="4" w:space="0"/>
              <w:right w:val="single" w:color="000000" w:sz="4" w:space="0"/>
            </w:tcBorders>
            <w:vAlign w:val="center"/>
          </w:tcPr>
          <w:p>
            <w:pPr>
              <w:numPr>
                <w:ilvl w:val="0"/>
                <w:numId w:val="2"/>
              </w:numPr>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bCs/>
                <w:color w:val="auto"/>
                <w:szCs w:val="21"/>
                <w:highlight w:val="none"/>
              </w:rPr>
              <w:t>合同价款的5%，若成交供应商是中小企业，则履约保证金按合同价款的2%收取。</w:t>
            </w:r>
          </w:p>
          <w:p>
            <w:pPr>
              <w:numPr>
                <w:ilvl w:val="0"/>
                <w:numId w:val="2"/>
              </w:numPr>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履约保证金提交时间及方式：合同签订前 5日内，成交供应商必须以银行转账、支票、汇票、本票或者金融机构、担保机构出具的保险、保函（含电子保函）等非现金方式向采购人提交履约保证金。</w:t>
            </w:r>
          </w:p>
          <w:p>
            <w:pPr>
              <w:numPr>
                <w:ilvl w:val="0"/>
                <w:numId w:val="2"/>
              </w:numPr>
              <w:tabs>
                <w:tab w:val="left" w:pos="180"/>
                <w:tab w:val="left" w:pos="1620"/>
              </w:tabs>
              <w:spacing w:line="40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履约保证金退付条件及时间：自项目验收合格之日起至质保期满无质量问题，采购人收到退付履约保证金申请后15个工作日内退还(无息)。</w:t>
            </w:r>
          </w:p>
          <w:p>
            <w:pPr>
              <w:numPr>
                <w:ilvl w:val="0"/>
                <w:numId w:val="2"/>
              </w:numPr>
              <w:tabs>
                <w:tab w:val="left" w:pos="180"/>
                <w:tab w:val="left" w:pos="1620"/>
              </w:tabs>
              <w:spacing w:line="40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下列情况因履约保证金不能退还或另行处理，所产生的后果由成交供应商负责：</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1）履行合同约定权利义务期间，成交供应商不按合同履行质量保证义务的，采购人有权对采购标的进行更换、维修维保，所需费用从成交供应商提交的履约保证金中扣除，履约保证金不足以抵扣更换、维修维保费用的，不足部分由成交供应商承担。同时，采购人保留起诉成交供应商的权利。</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2）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（3）其他因成交供应商原因导致履约保证金无法按时退回的情形。</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履约保证金账户：</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全称：广西科技大学</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账号：20-112801040000305</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开户银行：中国农业银行柳州市祥兴支行</w:t>
            </w:r>
          </w:p>
          <w:p>
            <w:pPr>
              <w:autoSpaceDE w:val="0"/>
              <w:autoSpaceDN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转帐时注明：项目名称+项目编号</w:t>
            </w:r>
          </w:p>
          <w:p>
            <w:pPr>
              <w:autoSpaceDE w:val="0"/>
              <w:autoSpaceDN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备注：</w:t>
            </w:r>
          </w:p>
          <w:p>
            <w:pPr>
              <w:autoSpaceDE w:val="0"/>
              <w:autoSpaceDN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1、成交供应商必须在签订合同前，按照规定提交方式，足额缴纳履约保证金。</w:t>
            </w:r>
          </w:p>
          <w:p>
            <w:pPr>
              <w:spacing w:line="360" w:lineRule="exact"/>
              <w:rPr>
                <w:rFonts w:ascii="仿宋_GB2312"/>
                <w:color w:val="auto"/>
                <w:highlight w:val="none"/>
              </w:rPr>
            </w:pPr>
            <w:r>
              <w:rPr>
                <w:rFonts w:hint="eastAsia" w:ascii="宋体" w:hAnsi="宋体" w:cs="宋体"/>
                <w:bCs/>
                <w:color w:val="auto"/>
                <w:szCs w:val="21"/>
                <w:highlight w:val="none"/>
              </w:rPr>
              <w:t>2、成交供应商未按规定缴纳履约保证金的，暂缓签订合同，责任由成交供应商承担。</w:t>
            </w:r>
          </w:p>
        </w:tc>
      </w:tr>
    </w:tbl>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分标3：2025年化工一流学科（材料方向）科研仪器设备采购</w:t>
      </w: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1"/>
        <w:gridCol w:w="1183"/>
        <w:gridCol w:w="750"/>
        <w:gridCol w:w="786"/>
        <w:gridCol w:w="5564"/>
        <w:gridCol w:w="8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序号</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设备名称</w:t>
            </w:r>
          </w:p>
        </w:tc>
        <w:tc>
          <w:tcPr>
            <w:tcW w:w="750"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单位</w:t>
            </w:r>
          </w:p>
        </w:tc>
        <w:tc>
          <w:tcPr>
            <w:tcW w:w="786"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数量</w:t>
            </w:r>
          </w:p>
        </w:tc>
        <w:tc>
          <w:tcPr>
            <w:tcW w:w="5564"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技术参数及其性能（配置）</w:t>
            </w:r>
          </w:p>
        </w:tc>
        <w:tc>
          <w:tcPr>
            <w:tcW w:w="817"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1</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人体感应数据采集系统</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套</w:t>
            </w:r>
          </w:p>
        </w:tc>
        <w:tc>
          <w:tcPr>
            <w:tcW w:w="5564" w:type="dxa"/>
          </w:tcPr>
          <w:p>
            <w:pPr>
              <w:spacing w:line="400" w:lineRule="exact"/>
              <w:jc w:val="left"/>
              <w:rPr>
                <w:rFonts w:hint="eastAsia" w:ascii="宋体" w:hAnsi="宋体" w:cs="宋体"/>
                <w:color w:val="auto"/>
                <w:highlight w:val="none"/>
              </w:rPr>
            </w:pPr>
            <w:r>
              <w:rPr>
                <w:rFonts w:hint="eastAsia" w:ascii="宋体" w:hAnsi="宋体" w:cs="宋体"/>
                <w:color w:val="auto"/>
                <w:highlight w:val="none"/>
              </w:rPr>
              <w:t>1.分体式恒温恒湿拉形变监测模块：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温度范围：-20℃ ～ +100℃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温度波动度：±0.5℃；温度均匀度：±2℃ </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升降温速率：降温：0.7-1.2℃/min  非线性空载  升温：3-5℃/min  非线性空载</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湿度范围：20%―98%R.H（AT+25℃～+85℃）</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湿度波动度：≤±1%；湿度均匀度:±2%R.H(75%R.H以上)，±3-5%R.H(75%R.H 以下)；以上指标均在环境温度≤25℃，常压，空载、无负荷条件下、距箱体内壁1/6空间内测试测得；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其它配置:观视窗（23*26cm），测试孔（∮50*1只）</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安全装置:无熔丝过载保护，压缩机过热、过流、超压、加热干烧，箱内超温警报系统</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最大负荷：2000N，精度等级：0.5级，有效测力范围：0.4%-100%（0.5级）</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测力精度：显示值±0.5%以内</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试验机分辨率：最大负荷1/200000，内外不分档，且全程分辨率不变</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负荷传感器：基本配置：拉、压传感器（最大负荷）一只 ，扩展配置：可加配多个传感器</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有效试验宽度：160mm，测试立柱距传感器中心距：60mm，有效拉伸空间：400mm，试验速度范围：0.1～500mm/min</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位移测量精度：示值的±0.5％以内/示值的±0.2％以内，试台安全装置：电子限位保护</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试台升降装置：快/慢两种速度自动控制，可点动</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试台返回功能：手动或自动两种选择、试验结束后自动或手动以最高速度返回试验初始位置</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超载保护：超过最大负荷10％，机器自动保护</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夹具配置：定制拉伸夹具一套，定制推力夹具一套（带移动滑台）</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工作室尺寸：600×600×1500mm（宽×深×高），主机尺寸：450*550*1350mm(长*宽*高)</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动力系统：</w:t>
            </w:r>
            <w:r>
              <w:rPr>
                <w:rFonts w:ascii="宋体" w:hAnsi="宋体" w:cs="宋体"/>
                <w:color w:val="auto"/>
                <w:highlight w:val="none"/>
              </w:rPr>
              <w:t>伺服电机+驱动+高精度滚珠丝杆</w:t>
            </w:r>
            <w:r>
              <w:rPr>
                <w:rFonts w:hint="eastAsia" w:ascii="宋体" w:hAnsi="宋体" w:cs="宋体"/>
                <w:color w:val="auto"/>
                <w:highlight w:val="none"/>
              </w:rPr>
              <w:t>+驱动+高精度滚珠丝杆</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软件：显示实时测试程序，包括力、时间、伸长率等；曲线内容可设置，X和Y轴内容可选、可设置力、时间、变形等；可增加多曲线显示；可输出Word，Excel，PDF文件测试结果；可增加测试结果想要显示的内容，如：平均力、最大力、最小力、剥离强度。</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2.数据采集模块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（1） 仿生机械手掌</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材质:亚克力板+金属连接件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舵机 : ZP15D防堵转高精度数字金属舵机(手掌是9克数字舵机)</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控制器:开源Arduino控制器电池: 2S 2200mah锂电池</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软件部位:上位机:Zide图形化软件，小程序:微信小程序</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控制方式 : 支持手机控制/同步控制/红外/传感器等控制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编程机器人具有手指感应，同时手套具备姿态感应，可以控制小车前后左右机体，还搭载MP3红外、声音、传感器、灰度、循环、RGB彩灯等模块可实现语音播报、红外自动演示、声控石头剪子布、测距弯曲、智能循环等众多智能玩法</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（2） 视觉机械臂</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材质：铝合金（黑色），夹爪张口:0-55mm。舵机类型:SP15S*2+SP15D*3+SP20D*1/SP30D*1，夹取重量:初级版≤500g/视觉版≤800g，机械臂: 5自由度+夹持器</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电源适配器:初级版7.5V3A/视觉版7.5V/5A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初级功能:手机/手柄/电脑/串口通信控制、源码二次开发</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视觉功能:初级功能+颜色/数字/标签码（识别/分拣/码垛）+人脸识别追踪芯片类型:STM32 / Arduino</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控制方式:手机/手柄/电脑</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拓展功能:机械手套/同步示教/语音识别，处理器:STM32H7</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主频：480MHZ，RAM:1MB(内置)+32MB(外置)，Flash:2MB(内置)+32MB(外置)，像素:500万</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电压：3.7-5V和5-8.4V</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扭矩：15kg.cm/20kg.cm/30kg.cm，精度：0.3°，接口类型：5264-3P</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控制方式：TTL串口字符串指令。</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优势：1-结构采用全金属支架，承载能力强，寿命长；2-舵机采用串口总线舵机，控制简单，支持角度回读。可实时反馈机械臂姿态，串行接线，接线简单且外观美观</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3.温湿度、电流电压监测模块：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通道：16通道，4通道温度监测、4通道湿度监测、4通道电流监测、4通道电压监测；通道可扩展至200通道；可拓展压力、液位、流量、位移等同时监测；</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供电方式：AC220V/DC12-24V</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输入信号：热电偶：K，T，J，B，N，R，E，S，WRE5-26，WRE3-25；热电阻：PT100,PT1000;电流：4-20mA,0-20mA;电压：0-5V，0-10V，±20mV，±100mV</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记录模式：1-19999S自主设定</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记录容量：4G</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报警模式：高低限报警，每通道4个</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馈电输出：1路24VDC配电；</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通讯：标准以太网，RS485，RS232；标准ModBus RTUModBus ，TCP通讯协议</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支持手机、PC操作；</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配软件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4.单光谱人体测温模块：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测温与成像功能一体；分辨率：160*120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探测器类型：焦平面阵列 FPA，非制冷微热量，热灵敏度（NETD）：＜ 60mk</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像元间距：17μm，响应波段：7.5μm-14μm，对焦方式：免调焦，测温范围：-20℃ -350℃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测温量程：-20℃ -150℃；0℃ -350℃，测温精度：±2℃或 ±2%，取大值，视场角 (FOV)：25°* 19°</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空间分辨率 (IFOV)：2.73mrad，最小成像距离：1m，镜头焦距:7.5mm，镜头F数:F1.0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全局测温修正：发射率 (0.01-1.0)、反射温度、大气温度、相对湿度、目标距离、外部光学透过率</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区域测温修正：区域发射率 (0.01-1.0)，调色板：铁红、黑白、彩虹等 10 种调色板，可反转调色板</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全辐射流：支持 30Hz 的全辐射流</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测温区域：支持 5 个测温点，10 个测温线，10 个测温区域，支持 Modbus 输出</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图像处理：非均匀性校正，智能增益控制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图像镜像：左右，上下，中心</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视频流压缩标准：热像：H.264；可见光：H.265+</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视频流：主码流 像素：320*240，频率：30Hz,带宽：1Mb;子码流  像素：192*144，频率：30Hz,带宽：100kb</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电脑软件实时显示温度曲线；以太网类型：10M/100M/1000M 自适应</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网络协议：IPv4，UDP，TCP，RTSP，RTCP，RTP</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接入标准：ONVI，电源接口：接线端子，网络接口：RJ45，带状态指示灯</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报警功能：接线端子 1路继电器输出：负载能力：24V，1.5A ； 1路光耦输出：输出能力：3.3-24V,最大输出电流35mA； 1路光耦输入：输入能力：3.3-24V,输入电流5mA-15mA;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串口：接线端子 1路RS-485，供电方式：DC 12/24V ,PoE，材质：铝合金</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典型功耗：3W，防护等级：IP66</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安装方式：三脚架安装：2 个 1/4-UNC-20 标准三脚架安装孔，支持底部安装配软件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5.数据处理与传输模块：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内置锂电池，满电情况下，可连续工作4-6小时（连接充电器实现不间断工作）。每秒可输出50个测试数据；</w:t>
            </w:r>
          </w:p>
          <w:p>
            <w:pPr>
              <w:spacing w:line="400" w:lineRule="exact"/>
              <w:jc w:val="left"/>
              <w:rPr>
                <w:rFonts w:hint="eastAsia" w:ascii="宋体" w:hAnsi="宋体" w:cs="宋体"/>
                <w:bCs/>
                <w:color w:val="auto"/>
                <w:szCs w:val="21"/>
                <w:highlight w:val="none"/>
              </w:rPr>
            </w:pPr>
            <w:r>
              <w:rPr>
                <w:rFonts w:hint="eastAsia" w:ascii="宋体" w:hAnsi="宋体" w:cs="宋体"/>
                <w:color w:val="auto"/>
                <w:highlight w:val="none"/>
              </w:rPr>
              <w:t>电阻档为六位半，测量范围为0-200MΩ，分辨率可达到0.001%。电容档测量范围为0-20pF,可侦测1fF的电容变化；支持多通道测试；支持二次开发，支持手机、平板、电脑操作。配软件及手机</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2</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压电测试系统</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套</w:t>
            </w:r>
          </w:p>
        </w:tc>
        <w:tc>
          <w:tcPr>
            <w:tcW w:w="5564" w:type="dxa"/>
          </w:tcPr>
          <w:p>
            <w:pPr>
              <w:spacing w:line="400" w:lineRule="exact"/>
              <w:jc w:val="left"/>
              <w:rPr>
                <w:rFonts w:hint="eastAsia" w:ascii="宋体" w:hAnsi="宋体" w:cs="宋体"/>
                <w:color w:val="auto"/>
                <w:highlight w:val="none"/>
              </w:rPr>
            </w:pPr>
            <w:r>
              <w:rPr>
                <w:rFonts w:hint="eastAsia" w:ascii="宋体" w:hAnsi="宋体" w:cs="宋体"/>
                <w:color w:val="auto"/>
                <w:highlight w:val="none"/>
              </w:rPr>
              <w:t>1.压电测试模块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d33最大测量范围:6000pC/N，d33测量分辨率：1pC/N和0 .1 pC/N</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d33 测量不确定度：通常情况±2%至±3%（根据不同测量范围和被测样品形状），交变力频率：110 赫兹</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交变力输出幅度：0.2-0.3 牛顿（分辨率 0.01 牛顿）</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静压力可调范围：0-10 牛顿（分辨率 0.01 牛顿）</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测量输出结果：d33 压电常数、静压力和交变力幅度直接显示输出</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放电保护方式：放电提示加自动放电保护双重保险</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电源电压：AC220V/20W</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2.溅射镀膜模块：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玻璃处理室：∮100 毫米，高度 130 毫米</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试样台尺寸：∮40 毫米可同时放多个样品杯，金靶尺寸：∮57 毫米</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真空系统：直联旋片真空泵2升/秒，真空检测：皮氏计</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真空保护：20Pa（配有微量充气阀调节工作真空），工作室工作媒介气体：空气或氩气，配有氩气专用进气口和微量充气调节</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配铜靶材：纯度：99.99%；尺寸：φ58*0.12mm</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配氩气：  纯度：99.995% </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3.程控交直流供电模块：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测试模式：AC/DC/IR/OSC，AC电压范围：0.05-10.0kV，AC电压波形：50/60Hz±0.1% 正弦波</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AC输出功率：200VA(10.0kV/ 20mA)，DC电压范围：0.05-12.0kV</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DC输出功率：120VA（12.0kV/10mA），负载变动率：±（1%设定值+10V）（额定功率）</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电压分辨率：2V，电压精度:±（1%设定值 + 0.1%满刻度）</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AC电流范围:0.001mA-20mA，AC电流分辨:0.001mA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AC电流精度:0.100mA-2.999mA ±（1%读值 + 0.5%满刻度）；3.00mA-20.00 mA  ±（1.5%读值 + 0.5%满刻度）</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DC电流范围:0.0001mA-10mA，DC电流分辨率 0.1μA，DC电流精度 ±（1%读值 + 0.5%满刻度）</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最大短路电流：40mA (仅交流测试)</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快速放电功能:测试结束后自动放电（DCW）</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绝缘电阻输出电压：DC：0.05-5.0kV</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绝缘电阻电压分辨率：2V</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绝缘电阻电压精度：±（1%设定值+ 0.5%满刻度）</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电阻测试范围：0.1MΩ–50.0GΩ</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电阻测试精度：电压≥0.5kV  1MΩ-1GΩ±(3%读数+0.1%满刻度) ,1GΩ–10GΩ±(7%读数+2%满刻度),10GΩ–50GΩ±(10%读数+1%满刻度);电压＜500V  0.1MΩ–1GΩ±(5%读数+2%满刻度)</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电弧侦测程序设定：AC 1.0mA-20.0mA  DC 1.0mA-10.0mA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采样标准电容范围：0.001 - 40nF</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开路判断范围：10% - 100%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短路判断范围：100% - 500%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测试时间：0.3 - 999s，0表示持续测试</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上升时间：0.1 - 999s，0表示关闭</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下降时间：0.1 - 999s，0表示关闭</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等待时间：0.1 - 999s，0表示关闭（仅直流耐压）</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触电保护：0.5mA ± 0.25mA 可选择：打开或关闭</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启动保护 Interlock：引脚接低，才允许高压输出</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面板操作保护：键锁、密码</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报警指示：合格：短音，绿灯；不合格：长音，红灯</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内部存储器：可存储100个文件，每个文件可编辑50个步骤</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标配接口：RS232、USB DEVICE、USB HOST、LAN、HANDLER</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4. 介电极化模块：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AC输出电压：0-15KV  AC输出电流：0-2/20mA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DC输出电压：0-15KV  DC输出电流：0-2/20mA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测试精度:±（5%+3个字）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测试时间:0.0s～999s 0.0=连续测试</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变压器容量:300VA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电源要求:AC220V±10%  50Hz/60Hz</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工作环境:温度：（0-40）℃  湿度≤75%RH</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外形样式:台式</w:t>
            </w:r>
          </w:p>
          <w:p>
            <w:pPr>
              <w:spacing w:line="400" w:lineRule="exact"/>
              <w:jc w:val="left"/>
              <w:rPr>
                <w:rFonts w:hint="eastAsia" w:ascii="宋体" w:hAnsi="宋体" w:cs="宋体"/>
                <w:bCs/>
                <w:color w:val="auto"/>
                <w:szCs w:val="21"/>
                <w:highlight w:val="none"/>
              </w:rPr>
            </w:pPr>
            <w:r>
              <w:rPr>
                <w:rFonts w:hint="eastAsia" w:ascii="宋体" w:hAnsi="宋体" w:cs="宋体"/>
                <w:color w:val="auto"/>
                <w:highlight w:val="none"/>
              </w:rPr>
              <w:t>配件：高压测试线、接地线、电源线</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3</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精密数字电桥</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台</w:t>
            </w:r>
          </w:p>
        </w:tc>
        <w:tc>
          <w:tcPr>
            <w:tcW w:w="5564" w:type="dxa"/>
          </w:tcPr>
          <w:p>
            <w:pPr>
              <w:spacing w:line="400" w:lineRule="exact"/>
              <w:jc w:val="left"/>
              <w:rPr>
                <w:rFonts w:hint="eastAsia" w:ascii="宋体" w:hAnsi="宋体" w:cs="宋体"/>
                <w:color w:val="auto"/>
                <w:highlight w:val="none"/>
              </w:rPr>
            </w:pPr>
            <w:r>
              <w:rPr>
                <w:rFonts w:hint="eastAsia" w:ascii="宋体" w:hAnsi="宋体" w:cs="宋体"/>
                <w:color w:val="auto"/>
                <w:highlight w:val="none"/>
              </w:rPr>
              <w:t>1.材料固化装置：</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通道：4通道</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功率设置：0%--99.9%之间进行任意设置</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照射模式：手动：触控、脚踏、0-10V；自动：定时时间制控；阶梯：循环阶梯式照射</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控制模式：触控、脚踏、0-10V、PLC 控制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充氮设置：提前充氮时间可调</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冷却方式：机箱风扇制冷</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选配电压：100-240VAC.50/60HZ</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LED 类型：紫外 LED</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散热方式：强制风冷</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波长范围：365/385/395/405nm</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发光尺寸：200*200mm</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距离范围：20-200mm</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光能量: 1000mw/cm2</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电功率：2000W</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照射区域：200*200mm</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触摸屏显示，简单易操控</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故障包括装置：超温报警，灯珠故障，保证设备运行安全</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工作环境：5±40℃/20-85%；储存环境：10±60℃/ 20-85%</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2.高低温介电测试装置</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温度范围：−190~600℃，控温精度：±0.3℃，测试环境：真空</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样品尺寸：直径≤20mm，厚度≤2mm；</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升降温速率：0~10℃/min，频率范围：20Hz~1MHz，测量精度：0.05%</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配专用软件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*3精密数字电桥：</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测试频率：5Hz-8MHz  分辨率：1mHz</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基本精度：0.05% </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AC信号源 电压：5mVrms-2Vrms；电流：50μArms -20mArms</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DC偏置   电压：0V-±10V，分辨率：100μV；  电流：0mA-±100mA，分辨率：1μA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AC测量参数：Cp/Cs、Lp/Ls、Rp/Rs、|Z|、|Y|、R、X、G、B、θ、D、Q、Vac、Iac</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DC测量参数：Rdc、Vdc、Idc</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AC电压：5Hz-1MHz：5mV-2Vrms；1MHz-8.5MHz：5mV-1Vrms ；分辨率：100μV</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测试端配置：四端对；电缆长度：0、1米；输出阻抗：100Ω</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典型测量时间（速度）：Fast：5.6ms Medium：120ms Slow：230ms</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最高准确度：1kHz：0.05%，1MHz：0.05%，2MHz：0.1%，5MHz：0.5%，8MHz：1.0%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测量显示范围：a：1×10-18；E：1×1018</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Cs、Cp：±1.00000aF-999.999EF</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Ls、Lp：±1.000000aH-999.999EH</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D：±0.00001-9.99999</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Q: ±0.01-99999.9</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R、Rs、Rp、X、Z、Rdc:±1.00000aΩ- 999.999EΩ</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            G,B,Y:±1.00000aS - 99.9999ES</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            Vdc:±1.000000aV - 999.9999EV</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            Idc:±1.00000aA - 999.999EA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            Θr:±1.00000rad - 3.14159rad</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            Θd:±0.0001deg - 180.000deg</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            Δ%:±0.0001% - 999.999%</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多功能参数列表扫描:10点，扫描参数：测量参数、测试频率、AC电压、AC电流、DCBIAS电压、DCBIAS电流</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图形分析:选配上位机软件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夹具：选配电介质测试夹具和四端对测试夹具</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开机预热时间：1小时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输入电压：100-120VAC/198-242VAC可选择，47-63Hz</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搭配配置电介质测试夹具和四端对测试夹具。</w:t>
            </w:r>
          </w:p>
          <w:p>
            <w:pPr>
              <w:spacing w:line="400" w:lineRule="exact"/>
              <w:jc w:val="left"/>
              <w:rPr>
                <w:rFonts w:hint="eastAsia" w:ascii="宋体" w:hAnsi="宋体" w:cs="宋体"/>
                <w:bCs/>
                <w:color w:val="auto"/>
                <w:szCs w:val="21"/>
                <w:highlight w:val="none"/>
              </w:rPr>
            </w:pPr>
            <w:r>
              <w:rPr>
                <w:rFonts w:hint="eastAsia" w:ascii="宋体" w:hAnsi="宋体" w:cs="宋体"/>
                <w:color w:val="auto"/>
                <w:highlight w:val="none"/>
              </w:rPr>
              <w:t>配专用软件</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1"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4</w:t>
            </w:r>
          </w:p>
        </w:tc>
        <w:tc>
          <w:tcPr>
            <w:tcW w:w="1183"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材料储能测试系统</w:t>
            </w:r>
          </w:p>
        </w:tc>
        <w:tc>
          <w:tcPr>
            <w:tcW w:w="750" w:type="dxa"/>
            <w:vAlign w:val="center"/>
          </w:tcPr>
          <w:p>
            <w:pPr>
              <w:pStyle w:val="140"/>
              <w:spacing w:line="360" w:lineRule="exact"/>
              <w:jc w:val="center"/>
              <w:rPr>
                <w:rFonts w:hint="eastAsia"/>
                <w:bCs/>
                <w:color w:val="auto"/>
                <w:sz w:val="21"/>
                <w:szCs w:val="21"/>
                <w:highlight w:val="none"/>
                <w:lang w:eastAsia="zh-CN"/>
              </w:rPr>
            </w:pPr>
            <w:r>
              <w:rPr>
                <w:rFonts w:hint="eastAsia"/>
                <w:bCs/>
                <w:color w:val="auto"/>
                <w:sz w:val="21"/>
                <w:szCs w:val="21"/>
                <w:highlight w:val="none"/>
                <w:lang w:eastAsia="zh-CN"/>
              </w:rPr>
              <w:t>1</w:t>
            </w:r>
          </w:p>
        </w:tc>
        <w:tc>
          <w:tcPr>
            <w:tcW w:w="786" w:type="dxa"/>
            <w:vAlign w:val="center"/>
          </w:tcPr>
          <w:p>
            <w:pPr>
              <w:pStyle w:val="49"/>
              <w:spacing w:line="360" w:lineRule="exact"/>
              <w:ind w:firstLine="0"/>
              <w:jc w:val="center"/>
              <w:rPr>
                <w:rFonts w:hint="eastAsia" w:ascii="宋体" w:hAnsi="宋体" w:cs="宋体"/>
                <w:color w:val="auto"/>
                <w:highlight w:val="none"/>
              </w:rPr>
            </w:pPr>
            <w:r>
              <w:rPr>
                <w:rFonts w:hint="eastAsia" w:ascii="宋体" w:hAnsi="宋体" w:cs="宋体"/>
                <w:color w:val="auto"/>
                <w:highlight w:val="none"/>
              </w:rPr>
              <w:t>套</w:t>
            </w:r>
          </w:p>
        </w:tc>
        <w:tc>
          <w:tcPr>
            <w:tcW w:w="5564" w:type="dxa"/>
          </w:tcPr>
          <w:p>
            <w:pPr>
              <w:spacing w:line="400" w:lineRule="exact"/>
              <w:jc w:val="left"/>
              <w:rPr>
                <w:rFonts w:hint="eastAsia" w:ascii="宋体" w:hAnsi="宋体" w:cs="宋体"/>
                <w:color w:val="auto"/>
                <w:highlight w:val="none"/>
              </w:rPr>
            </w:pPr>
            <w:r>
              <w:rPr>
                <w:rFonts w:hint="eastAsia" w:ascii="宋体" w:hAnsi="宋体" w:cs="宋体"/>
                <w:color w:val="auto"/>
                <w:highlight w:val="none"/>
              </w:rPr>
              <w:t>1.皮心湿法纺丝装置</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纺丝参数：气压式控制挤出，纺丝过程全程控温(室温至99℃)，挤出速度0.1-8m/min。卷绕速度0-20m/min，设备尺寸高度40cm，宽度38cm，长度150cm，适配电源220V/50Hz，总功率5Kw。</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气控模块：5L微型压缩空气气源，最大气压0.1Mpa，具备自动补压功能。配备机械气压控制器:，压力在0-0.1Mpa范围内精准调控。</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挤出模块：手动纺丝升降机架，升降高度25cm，配备层动料桶2个，体积100ml。316L不锈钢耐腐蚀材质，具备在线脱泡功能。</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纺丝模块：可实现单丝纺丝和复丝纺丝功能。配备过滤网、垫片、毛细孔若干。配备316L不锈钢材质复丝组件，带过滤网，O型橡胶圈。工业化纺丝标准喷丝板，金属钽材质，孔径0.1mm，孔数20孔，星型分布。配置皮心纺丝模头：SZ0.2/0.3, 316L不锈钢材质。</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后纺模块：外置水循环加热控温，数控显示屏，室温至99℃控温，精度0.1℃。</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卷绕模块：JRJ570卷绕机带摆动功能，不锈钢材质。配备收集管，卷绕辊具备正反转切换功能，无级调速，卷绕速度0-25m/min。具备摆丝连续卷绕功能，卷绕速度、摆丝速度单独可调、可控。</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025m/min;。具备摆丝连续卷绕功能，卷绕速度、摆丝速度单独可调、可控</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2.信号发生器：</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双通道都可输出频率≥30MHz的正弦波及方波输出</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最大采样率≥150MSa/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垂直分辨率≥14bit</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方波特性：1uHz~30MHz,上升/下降时间4.2ns, 过冲小于3%（100K，1Vpp），抖动小于300ps + 周期的0.05PPM</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脉冲波特性:占空比分辨率0.001%，最小脉宽32.6ns，上升/下降时间最小16.8ns，且沿和占空比可大范围可调，并受当前频率影响，过冲小于3%（100K，1Vpp），抖动小于300ps + 周期的0.05PPM</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任意波波形长度:16Kpts</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总谐波失真＜0.075%（0dBm输出）</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输出小电压特性:最小输出电压为2mVpp(50Ω端接)</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标配调制功能包括AM、DSB-AM、FM、PWM,以及输出线性/对数扫描和脉冲串波形等</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输出高频高压特性(1MΩ端接）:在10MHz以内可达到20Vpp</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反灌保护设计:支持前端BNC口输入反灌保护设计</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谐波发生功能，最高可以输出16次谐波</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双通道间具有通道复制、耦合及合并功能</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显示屏≥4.3英寸彩色显示屏</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接获取示波器中存储的波形并重现，可与原厂数字示波器无缝互连</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标配接口：LAN、USB Host、USB Device接口</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支持基于BS架构和LAN 连接的实验室智能管理系统</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3.高清示波器：</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模拟带宽350MHz；4路模拟通道+EXT通道；</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实时采样率最高4 GSa/s</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物理硬件ADC垂直分辨率12-bit，等效增强分辨率可达16-bit</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屏幕不小于10英寸且支持电容触摸功能</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存储深度不低于400Mpts</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垂直档位500uV/div ~ 10V/div；直流增益精度可达1.2%；</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波形捕获率不小于800,000帧/秒；</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不小于78,000段分段存储，以非常小的死区时间分段捕获符合条件的事件；并可记录不小于78,000帧历史波形。</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支持边沿、斜率、脉宽、窗口、欠幅、超时、码型、视频、前提边沿等触发类型及区域触发</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标配IIC, SPI, CAN, LIN, UART/ RS232触发及解码； 可选配CANFD、IIS、FlexRay、MIL-STD-1553B、SEN、T触发及解码功能</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大于3M点的FFT数据分析并支持自动标志峰值功能</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支持波形搜索与导航功能并配备实体按键</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支持16路逻辑分析功能（选配）</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支持带隔离功能的25MHz DDS 任意波形发生器（选配）</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标配波特图功能，实现电源环路响应测试</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支持电源功率分析（选配）</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支持最小、最大、标准方差、直方图和趋势图等统计；支持门限测试，实现屏幕内自由测量。以及4路独立波形运算和嵌套运算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基于硬件实现的模板测试功能</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丰富的SCPI远程控制指令</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内嵌Web Server，无需安装特殊的驱动和上位机软件，通过浏览器即可对仪器进行远程控制、观察波形，获取测量结果</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提供丰富的外围接口：USB 3.0 /2.0,USB Device, LAN, Pass/Fail, Trigger Out等并支持外接鼠标键盘</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探头：500MHz无源探头, 每通道1套；</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高压探头：</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最大量测电压：DC: 0~10KV DC；AC: ≤ 7KV rms, 20KVp-p</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信号/噪声：DC≥60dB(1KHz), ≥50dB(1MHz)</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带宽：DC~40MHz（-3dB）</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衰减比 ：1:1000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上升时间：≤8.8ns</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输入阻抗：100MΩ±5%</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输入电容：3.0PF±0.5PF</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补偿电容：5PF~50PF</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缆线长度：2.0meter（±0.2M）</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温度系数：≤200PPM/℃</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准确度：DC ±3%（DC to 10KV） AC  ±3%（DC to 10KV） -3dB: 0~40MHz</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符合安规:CE</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操作环境温度 :0~50℃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储存环境温度 :-20~+70℃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重量/体积:250g/Ф75×340 mm 长</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电流探头：支持开机自动归零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      量程：400mA ~ 4A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      分辨率：0.1mA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      频带宽度：DC～1MHz（±3dB）</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      钳口大小：5 毫米（最大）</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 xml:space="preserve">      供电：9V 层迭电池 6F22 型</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操作温度：0℃到40℃相对湿度低70%；存储温湿度：-10℃到60℃相对湿度低于70%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直流电流：</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范围：DCA 400mA      DCA 4A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准确度：±1.5%rdg±5d</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灵敏度： 1mV/1mA       1mV/10mA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交流电流：</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范围：ACA 400mA       ACA 4A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准确度：±2.0%rdg±5d</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灵敏度： 1mV/1mA       1mV/10mA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4.数字万用表：</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15种测量功能，包括电容、温度和模数转换</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扩展测量范围，包括10 pA ~ 10 A及 1 mW ~ 100 MW</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多触点容性大触摸屏及图形显示器</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大容量内存，1 MS/s A/D位数16bit捕获电压或电流瞬态事件;USB主控端口,存储读数、仪器配置和屏幕图</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标配USB-TMC和 LXI/ 以太网通信接口及永久使用的PC软件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测量功能：</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DC电压：100nV-1010V    分辨率：100 nV</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AC电压：100nV-750VRMS  分辨率：100 nV</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DC电流：10pA-10.1A      分辨率：10pA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AC电流：100pA-10.1A     分辨率：100pA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电阻（2）:10μΩ-120MΩ  分辨率：1μΩ</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电阻（4）：1μΩ-120MΩ   分辨率：μΩ</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电容：0.1pF-120μF         分辨率：0.1 pF</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周期：3.3μS-333ms         分辨率：0.0001%</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频率：3Hz-300kHz           分辨率：0.0001%</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二极管：10μV-12V          分辨率：0.1 pF</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模数转换电压：10μV-1010V  分辨率：10mV</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模数转换电流：10nA-10.1A   分辨率：10 nA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热电偶：-200℃-1820℃      分辨率：0.001℃</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热电阻器:-80℃-150℃        分辨率：0.01℃</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2-4线RTD:-200℃-850℃     分辨率：0.01℃</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电源：100 V、120 V、220 V 和 240 V (±10%)</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电源频率：50 Hz 至 60 Hz 和 400 Hz，在通电时自动感应</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功耗：最大功耗：50VA；典型功耗：30VA</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保险丝：250 V，1.25 A 慢熔保险丝</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预热：半小时</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接口：RJ-45、2.0 SBTMCUSB、USB 2.0、BNC</w:t>
            </w:r>
          </w:p>
          <w:p>
            <w:pPr>
              <w:spacing w:line="400" w:lineRule="exact"/>
              <w:jc w:val="left"/>
              <w:rPr>
                <w:rFonts w:hint="eastAsia" w:ascii="宋体" w:hAnsi="宋体" w:cs="宋体"/>
                <w:bCs/>
                <w:color w:val="auto"/>
                <w:szCs w:val="21"/>
                <w:highlight w:val="none"/>
              </w:rPr>
            </w:pPr>
            <w:r>
              <w:rPr>
                <w:rFonts w:hint="eastAsia" w:ascii="宋体" w:hAnsi="宋体" w:cs="宋体"/>
                <w:color w:val="auto"/>
                <w:highlight w:val="none"/>
              </w:rPr>
              <w:t>配软件及软件永久许可</w:t>
            </w:r>
          </w:p>
        </w:tc>
        <w:tc>
          <w:tcPr>
            <w:tcW w:w="817" w:type="dxa"/>
            <w:vAlign w:val="center"/>
          </w:tcPr>
          <w:p>
            <w:pPr>
              <w:widowControl/>
              <w:spacing w:line="360" w:lineRule="exact"/>
              <w:jc w:val="left"/>
              <w:textAlignment w:val="center"/>
              <w:rPr>
                <w:rFonts w:hint="eastAsia" w:ascii="宋体" w:hAnsi="宋体" w:cs="宋体"/>
                <w:color w:val="auto"/>
                <w:szCs w:val="21"/>
                <w:highlight w:val="none"/>
              </w:rPr>
            </w:pPr>
          </w:p>
        </w:tc>
      </w:tr>
    </w:tbl>
    <w:tbl>
      <w:tblPr>
        <w:tblStyle w:val="37"/>
        <w:tblpPr w:leftFromText="180" w:rightFromText="180" w:vertAnchor="text" w:horzAnchor="margin" w:tblpXSpec="center" w:tblpY="1"/>
        <w:tblW w:w="9676" w:type="dxa"/>
        <w:jc w:val="center"/>
        <w:tblLayout w:type="fixed"/>
        <w:tblCellMar>
          <w:top w:w="0" w:type="dxa"/>
          <w:left w:w="108" w:type="dxa"/>
          <w:bottom w:w="0" w:type="dxa"/>
          <w:right w:w="108" w:type="dxa"/>
        </w:tblCellMar>
      </w:tblPr>
      <w:tblGrid>
        <w:gridCol w:w="1700"/>
        <w:gridCol w:w="7976"/>
      </w:tblGrid>
      <w:tr>
        <w:tblPrEx>
          <w:tblCellMar>
            <w:top w:w="0" w:type="dxa"/>
            <w:left w:w="108" w:type="dxa"/>
            <w:bottom w:w="0" w:type="dxa"/>
            <w:right w:w="108" w:type="dxa"/>
          </w:tblCellMar>
        </w:tblPrEx>
        <w:trPr>
          <w:trHeight w:val="551" w:hRule="atLeast"/>
          <w:jc w:val="center"/>
        </w:trPr>
        <w:tc>
          <w:tcPr>
            <w:tcW w:w="967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b/>
                <w:bCs/>
                <w:color w:val="auto"/>
                <w:kern w:val="0"/>
                <w:szCs w:val="21"/>
                <w:highlight w:val="none"/>
              </w:rPr>
            </w:pPr>
            <w:r>
              <w:rPr>
                <w:rFonts w:hint="eastAsia" w:ascii="宋体" w:hAnsi="宋体" w:cs="宋体"/>
                <w:color w:val="auto"/>
                <w:kern w:val="0"/>
                <w:szCs w:val="21"/>
                <w:highlight w:val="none"/>
              </w:rPr>
              <w:t>二、商务要求表</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基本要求</w:t>
            </w:r>
          </w:p>
        </w:tc>
        <w:tc>
          <w:tcPr>
            <w:tcW w:w="7976" w:type="dxa"/>
            <w:tcBorders>
              <w:top w:val="single" w:color="auto" w:sz="4" w:space="0"/>
              <w:left w:val="nil"/>
              <w:bottom w:val="single" w:color="auto" w:sz="4" w:space="0"/>
              <w:right w:val="single" w:color="000000" w:sz="4" w:space="0"/>
            </w:tcBorders>
            <w:vAlign w:val="center"/>
          </w:tcPr>
          <w:p>
            <w:pPr>
              <w:numPr>
                <w:ilvl w:val="0"/>
                <w:numId w:val="4"/>
              </w:numPr>
              <w:snapToGrid w:val="0"/>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项目所提供的全部货物（含硬件、软件及服务）必须完全满足采购文件所述要求（除允许偏离项），如成交供应商在响应文件中有承诺正偏离的应按其正偏离内容执行。若产品在运输过程中损坏或擦伤须无偿调换相同产品。</w:t>
            </w:r>
          </w:p>
          <w:p>
            <w:pPr>
              <w:numPr>
                <w:ilvl w:val="0"/>
                <w:numId w:val="4"/>
              </w:numPr>
              <w:snapToGrid w:val="0"/>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对于在送达采购人指定地点时已完成组装的定制货物，由于其组装状态，难以对货物的重要组件进行核实，供应商应在上述货物生产组装前十个工作日书面告知采购人，采购人可根据项目实际情况，到生产厂家进行预验收，以便确认所供货物是否按合同约定采用相应的组件及参数是否达到合同约定，费用含在竞标报价中。</w:t>
            </w:r>
          </w:p>
          <w:p>
            <w:pPr>
              <w:numPr>
                <w:ilvl w:val="0"/>
                <w:numId w:val="4"/>
              </w:numPr>
              <w:snapToGrid w:val="0"/>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供应商完成安装调试后，采购人可以进行累计运行时间不超过72小时的试运行，以确认所供货物（含硬件、软件及服务）功能参数、兼容性及稳定性符合标准达到初验条件，在试运行期间出现问题供应商应在接到采购人书面反馈后三日内解决，在解决问题前此项目仍视为尚未完成安装调试。如造成最终验收合格交付时间超过合同约定的按合同相关条款执行。</w:t>
            </w:r>
          </w:p>
          <w:p>
            <w:pPr>
              <w:numPr>
                <w:ilvl w:val="0"/>
                <w:numId w:val="4"/>
              </w:numPr>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成交供应商售后服务中维护使用的备品备件及易损件须为原厂全新配件，未经采购人同意不得使用非原厂配件。且进行维护的人员须为成交供应商认可的有资质专业技术人员。</w:t>
            </w:r>
          </w:p>
          <w:p>
            <w:pPr>
              <w:numPr>
                <w:ilvl w:val="0"/>
                <w:numId w:val="4"/>
              </w:numPr>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本项目所含软件（如有）必须为符合采购人适用范围的正版软件（非试用版），且在本项目合同约定的质保期过后，供应商需确保该软件其功能仍与交付验收时一致不受限制（如合同另有约定的按合同约定），质保期过后如需对软件进行升级或售后服务双方再行协商。</w:t>
            </w:r>
          </w:p>
          <w:p>
            <w:pPr>
              <w:numPr>
                <w:ilvl w:val="0"/>
                <w:numId w:val="4"/>
              </w:numPr>
              <w:spacing w:line="40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供应商所提供的项目实施方案及服务承诺内容在合同实施阶段必须严格执行。供应商应认真对待承诺内容，确保其真实性和可操作性，否则将承担相应的法律责任和违约后果</w:t>
            </w:r>
            <w:r>
              <w:rPr>
                <w:rFonts w:hint="eastAsia" w:ascii="宋体" w:hAnsi="宋体" w:cs="宋体"/>
                <w:color w:val="auto"/>
                <w:spacing w:val="8"/>
                <w:szCs w:val="21"/>
                <w:highlight w:val="none"/>
              </w:rPr>
              <w:t>。</w:t>
            </w:r>
          </w:p>
          <w:p>
            <w:pPr>
              <w:numPr>
                <w:ilvl w:val="0"/>
                <w:numId w:val="4"/>
              </w:numPr>
              <w:spacing w:line="400" w:lineRule="exact"/>
              <w:ind w:firstLine="0"/>
              <w:rPr>
                <w:rFonts w:hint="eastAsia" w:ascii="宋体" w:hAnsi="宋体" w:cs="宋体"/>
                <w:bCs/>
                <w:color w:val="auto"/>
                <w:kern w:val="0"/>
                <w:szCs w:val="21"/>
                <w:highlight w:val="none"/>
              </w:rPr>
            </w:pPr>
            <w:r>
              <w:rPr>
                <w:rFonts w:hint="eastAsia" w:ascii="宋体" w:hAnsi="宋体" w:cs="宋体"/>
                <w:color w:val="auto"/>
                <w:szCs w:val="21"/>
                <w:highlight w:val="none"/>
              </w:rPr>
              <w:t>成交供应商须确保为本项目提供的货物及其相关技术资料所涉及的知识产权合法合规，拥有完整、无瑕疵的知识产权权利。因货物知识产权问题导致采购人被责令停止使用、被追偿或遭受损失的，由此产生的全部经济赔偿与法律责任均由成交供应商承担，采购人有权要求成交供应商赔偿全部损失。</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未尽事宜按招标文件及国家现行有关规范、标准执行。</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交货要求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1.交货时间：签订合同之日起7个工作日内到货，并全部安装调试合格完毕。</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2.交货地点：广西柳州市采购人指定地点。</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供应商承担设备运输、安装调试、验收检测和提供设备操作说明书、图纸等其他类似的义务。供应商委派技术人员进行现场安装、调试，并提供货物安装调试的一切技术支持。安装调试的具体时间由采购人提前3天通知供应商。</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质保要求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按国家有关产品“三包”规定执行“三包”，免费质保期不少于</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年，保修期内上门维修免收维修费和元器件费，并提供终身维修服务。</w:t>
            </w:r>
          </w:p>
        </w:tc>
      </w:tr>
      <w:tr>
        <w:tblPrEx>
          <w:tblCellMar>
            <w:top w:w="0" w:type="dxa"/>
            <w:left w:w="108" w:type="dxa"/>
            <w:bottom w:w="0" w:type="dxa"/>
            <w:right w:w="108" w:type="dxa"/>
          </w:tblCellMar>
        </w:tblPrEx>
        <w:trPr>
          <w:trHeight w:val="116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售后要求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免费送货上门，免费安装、免费调试，免费提供现场技术培训，保证使用人员正常操作设备的各种功能；其余按投标人承诺进行。</w:t>
            </w:r>
          </w:p>
          <w:p>
            <w:pPr>
              <w:spacing w:line="360" w:lineRule="exac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提供售后服务联系电话及联系人，免费质保期内，接到报障电话在承诺时间内派工程技术人员上门维修解决问题。如果需要更换配件的，要求更换的配件应跟被更换的品牌、类型相一致或者是同类同档次的替代品，后者需征得</w:t>
            </w:r>
            <w:r>
              <w:rPr>
                <w:rFonts w:hint="eastAsia" w:ascii="宋体" w:hAnsi="宋体" w:cs="宋体"/>
                <w:color w:val="auto"/>
                <w:szCs w:val="21"/>
                <w:highlight w:val="none"/>
              </w:rPr>
              <w:t>采购</w:t>
            </w:r>
            <w:r>
              <w:rPr>
                <w:rFonts w:ascii="宋体" w:hAnsi="宋体" w:cs="宋体"/>
                <w:color w:val="auto"/>
                <w:szCs w:val="21"/>
                <w:highlight w:val="none"/>
              </w:rPr>
              <w:t>方管理人员同意。</w:t>
            </w:r>
          </w:p>
        </w:tc>
      </w:tr>
      <w:tr>
        <w:tblPrEx>
          <w:tblCellMar>
            <w:top w:w="0" w:type="dxa"/>
            <w:left w:w="108" w:type="dxa"/>
            <w:bottom w:w="0" w:type="dxa"/>
            <w:right w:w="108" w:type="dxa"/>
          </w:tblCellMar>
        </w:tblPrEx>
        <w:trPr>
          <w:trHeight w:val="74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设备安装及培训</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1.免费提供全套、完整的技术资料，包括详细的仪器中英文说明书、操作手册和仪器维护等有关资料；</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成交供应商技术工程师携其他原厂工程师对采购方相关工作人员提供安装调试后的上门培训，设置问答互动环节并进行现场考核，直至所有采购方相关工作人员熟悉掌握设备的原理和使用方法，能对系统相关软硬件进行日常管理及维护，能够独立使用设备，独立完成实验。</w:t>
            </w:r>
          </w:p>
        </w:tc>
      </w:tr>
      <w:tr>
        <w:tblPrEx>
          <w:tblCellMar>
            <w:top w:w="0" w:type="dxa"/>
            <w:left w:w="108" w:type="dxa"/>
            <w:bottom w:w="0" w:type="dxa"/>
            <w:right w:w="108" w:type="dxa"/>
          </w:tblCellMar>
        </w:tblPrEx>
        <w:trPr>
          <w:trHeight w:val="809"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1.设备需全新、完好、无破损，按照技术要求的各项指标进行验收。因验收所产生费用由成交供应商承担。</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2.验收方法及方案：</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设备开机试运行，测试设备的技术性能指标，确认各项功能正常运行，同时检查随机文件应齐整。</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付款方式</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b/>
                <w:bCs/>
                <w:color w:val="auto"/>
                <w:kern w:val="0"/>
                <w:szCs w:val="21"/>
                <w:highlight w:val="none"/>
              </w:rPr>
            </w:pPr>
            <w:r>
              <w:rPr>
                <w:rFonts w:hint="eastAsia" w:ascii="宋体" w:hAnsi="宋体" w:cs="宋体"/>
                <w:color w:val="auto"/>
                <w:kern w:val="0"/>
                <w:szCs w:val="21"/>
                <w:highlight w:val="none"/>
              </w:rPr>
              <w:t xml:space="preserve">仪器安装调试验收合格之日后，成交人提供正规增值税专用发票给采购人，采购人在15个工作日内一次性付清款项。 </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保密要求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ascii="仿宋_GB2312"/>
                <w:color w:val="auto"/>
                <w:highlight w:val="none"/>
              </w:rPr>
            </w:pPr>
            <w:r>
              <w:rPr>
                <w:rFonts w:hint="eastAsia" w:ascii="宋体" w:hAnsi="宋体" w:cs="宋体"/>
                <w:bCs/>
                <w:color w:val="auto"/>
                <w:szCs w:val="21"/>
                <w:highlight w:val="none"/>
              </w:rPr>
              <w:t>成交供应商</w:t>
            </w:r>
            <w:r>
              <w:rPr>
                <w:rFonts w:hint="eastAsia" w:ascii="仿宋_GB2312"/>
                <w:color w:val="auto"/>
                <w:highlight w:val="none"/>
              </w:rPr>
              <w:t>须遵守有关保密规定，并根据采购人的要求签署相应的保密协议，包括在合同期结束后承诺保密义务，并承担相应的涉密责任。</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7976" w:type="dxa"/>
            <w:tcBorders>
              <w:top w:val="single" w:color="auto" w:sz="4" w:space="0"/>
              <w:left w:val="nil"/>
              <w:bottom w:val="single" w:color="auto" w:sz="4" w:space="0"/>
              <w:right w:val="single" w:color="000000" w:sz="4" w:space="0"/>
            </w:tcBorders>
            <w:vAlign w:val="center"/>
          </w:tcPr>
          <w:p>
            <w:pPr>
              <w:spacing w:line="360" w:lineRule="exact"/>
              <w:rPr>
                <w:rFonts w:hint="eastAsia" w:ascii="宋体" w:hAnsi="宋体" w:cs="宋体"/>
                <w:color w:val="auto"/>
                <w:szCs w:val="21"/>
                <w:highlight w:val="none"/>
              </w:rPr>
            </w:pPr>
            <w:r>
              <w:rPr>
                <w:rFonts w:hint="eastAsia" w:ascii="仿宋_GB2312"/>
                <w:color w:val="auto"/>
                <w:highlight w:val="none"/>
              </w:rPr>
              <w:t>竞标产品的部件由供应商按厂家最佳配置提供，供应商应提供竞标产品部件的名称、品牌、型号规格、生产厂家等详细清单并加盖公章。</w:t>
            </w:r>
          </w:p>
        </w:tc>
      </w:tr>
      <w:tr>
        <w:tblPrEx>
          <w:tblCellMar>
            <w:top w:w="0" w:type="dxa"/>
            <w:left w:w="108" w:type="dxa"/>
            <w:bottom w:w="0" w:type="dxa"/>
            <w:right w:w="108" w:type="dxa"/>
          </w:tblCellMar>
        </w:tblPrEx>
        <w:trPr>
          <w:trHeight w:val="856" w:hRule="atLeast"/>
          <w:jc w:val="center"/>
        </w:trPr>
        <w:tc>
          <w:tcPr>
            <w:tcW w:w="1700"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履约保证金</w:t>
            </w:r>
          </w:p>
        </w:tc>
        <w:tc>
          <w:tcPr>
            <w:tcW w:w="7976" w:type="dxa"/>
            <w:tcBorders>
              <w:top w:val="single" w:color="auto" w:sz="4" w:space="0"/>
              <w:left w:val="nil"/>
              <w:bottom w:val="single" w:color="auto" w:sz="4" w:space="0"/>
              <w:right w:val="single" w:color="000000" w:sz="4" w:space="0"/>
            </w:tcBorders>
            <w:vAlign w:val="center"/>
          </w:tcPr>
          <w:p>
            <w:pPr>
              <w:numPr>
                <w:ilvl w:val="0"/>
                <w:numId w:val="2"/>
              </w:numPr>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bCs/>
                <w:color w:val="auto"/>
                <w:szCs w:val="21"/>
                <w:highlight w:val="none"/>
              </w:rPr>
              <w:t>合同价款的5%，若成交供应商是中小企业，则履约保证金按合同价款的2%收取。</w:t>
            </w:r>
          </w:p>
          <w:p>
            <w:pPr>
              <w:numPr>
                <w:ilvl w:val="0"/>
                <w:numId w:val="2"/>
              </w:numPr>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履约保证金提交时间及方式：合同签订前 5日内，成交供应商必须以银行转账、支票、汇票、本票或者金融机构、担保机构出具的保险、保函（含电子保函）等非现金方式向采购人提交履约保证金。</w:t>
            </w:r>
          </w:p>
          <w:p>
            <w:pPr>
              <w:numPr>
                <w:ilvl w:val="0"/>
                <w:numId w:val="2"/>
              </w:numPr>
              <w:tabs>
                <w:tab w:val="left" w:pos="180"/>
                <w:tab w:val="left" w:pos="1620"/>
              </w:tabs>
              <w:spacing w:line="40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履约保证金退付条件及时间：自项目验收合格之日起至质保期满无质量问题，采购人收到退付履约保证金申请后15个工作日内退还(无息)。</w:t>
            </w:r>
          </w:p>
          <w:p>
            <w:pPr>
              <w:numPr>
                <w:ilvl w:val="0"/>
                <w:numId w:val="2"/>
              </w:numPr>
              <w:tabs>
                <w:tab w:val="left" w:pos="180"/>
                <w:tab w:val="left" w:pos="1620"/>
              </w:tabs>
              <w:spacing w:line="40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下列情况因履约保证金不能退还或另行处理，所产生的后果由成交供应商负责：</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1）履行合同约定权利义务期间，成交供应商不按合同履行质量保证义务的，采购人有权对采购标的进行更换、维修维保，所需费用从成交供应商提交的履约保证金中扣除，履约保证金不足以抵扣更换、维修维保费用的，不足部分由成交供应商承担。同时，采购人保留起诉成交供应商的权利。</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2）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（3）其他因成交供应商原因导致履约保证金无法按时退回的情形。</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履约保证金账户：</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全称：广西科技大学</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账号：20-112801040000305</w:t>
            </w:r>
          </w:p>
          <w:p>
            <w:pPr>
              <w:tabs>
                <w:tab w:val="left" w:pos="180"/>
                <w:tab w:val="left" w:pos="1620"/>
              </w:tabs>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开户银行：中国农业银行柳州市祥兴支行</w:t>
            </w:r>
          </w:p>
          <w:p>
            <w:pPr>
              <w:autoSpaceDE w:val="0"/>
              <w:autoSpaceDN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转帐时注明：项目名称+项目编号</w:t>
            </w:r>
          </w:p>
          <w:p>
            <w:pPr>
              <w:autoSpaceDE w:val="0"/>
              <w:autoSpaceDN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备注：</w:t>
            </w:r>
          </w:p>
          <w:p>
            <w:pPr>
              <w:autoSpaceDE w:val="0"/>
              <w:autoSpaceDN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1、成交供应商必须在签订合同前，按照规定提交方式，足额缴纳履约保证金。</w:t>
            </w:r>
          </w:p>
          <w:p>
            <w:pPr>
              <w:spacing w:line="360" w:lineRule="exact"/>
              <w:rPr>
                <w:rFonts w:ascii="仿宋_GB2312"/>
                <w:color w:val="auto"/>
                <w:highlight w:val="none"/>
              </w:rPr>
            </w:pPr>
            <w:r>
              <w:rPr>
                <w:rFonts w:hint="eastAsia" w:ascii="宋体" w:hAnsi="宋体" w:cs="宋体"/>
                <w:bCs/>
                <w:color w:val="auto"/>
                <w:szCs w:val="21"/>
                <w:highlight w:val="none"/>
              </w:rPr>
              <w:t>2、成交供应商未按规定缴纳履约保证金的，暂缓签订合同，责任由成交供应商承担。</w:t>
            </w:r>
          </w:p>
        </w:tc>
      </w:tr>
    </w:tbl>
    <w:p>
      <w:pPr>
        <w:rPr>
          <w:rFonts w:hint="eastAsia" w:ascii="宋体" w:hAnsi="宋体" w:cs="宋体"/>
          <w:color w:val="auto"/>
          <w:szCs w:val="21"/>
          <w:highlight w:val="none"/>
        </w:rPr>
      </w:pPr>
    </w:p>
    <w:p>
      <w:pPr>
        <w:spacing w:line="360" w:lineRule="exact"/>
        <w:ind w:firstLine="420" w:firstLineChars="200"/>
        <w:rPr>
          <w:rFonts w:hint="eastAsia" w:ascii="宋体" w:hAnsi="宋体" w:cs="宋体"/>
          <w:color w:val="auto"/>
          <w:szCs w:val="21"/>
          <w:highlight w:val="none"/>
        </w:rPr>
      </w:pPr>
    </w:p>
    <w:p>
      <w:pPr>
        <w:pStyle w:val="16"/>
        <w:rPr>
          <w:rFonts w:hint="eastAsia" w:ascii="微软雅黑" w:hAnsi="微软雅黑" w:eastAsia="微软雅黑" w:cs="微软雅黑"/>
          <w:color w:val="auto"/>
          <w:sz w:val="28"/>
          <w:szCs w:val="28"/>
          <w:highlight w:val="none"/>
        </w:rPr>
      </w:pPr>
    </w:p>
    <w:p>
      <w:pPr>
        <w:pStyle w:val="16"/>
        <w:rPr>
          <w:rFonts w:hint="eastAsia" w:ascii="微软雅黑" w:hAnsi="微软雅黑" w:eastAsia="微软雅黑" w:cs="微软雅黑"/>
          <w:color w:val="auto"/>
          <w:sz w:val="28"/>
          <w:szCs w:val="28"/>
          <w:highlight w:val="none"/>
        </w:rPr>
        <w:sectPr>
          <w:pgSz w:w="11906" w:h="16838"/>
          <w:pgMar w:top="1134" w:right="1134" w:bottom="1134" w:left="1134" w:header="720" w:footer="720" w:gutter="0"/>
          <w:cols w:space="0" w:num="1"/>
          <w:docGrid w:type="lines" w:linePitch="312" w:charSpace="0"/>
        </w:sectPr>
      </w:pPr>
    </w:p>
    <w:p>
      <w:pPr>
        <w:pStyle w:val="16"/>
        <w:rPr>
          <w:rFonts w:hint="eastAsia" w:ascii="Arial Unicode MS" w:hAnsi="Arial Unicode MS" w:eastAsia="Arial Unicode MS" w:cs="Arial Unicode MS"/>
          <w:color w:val="auto"/>
          <w:sz w:val="28"/>
          <w:szCs w:val="28"/>
          <w:highlight w:val="none"/>
        </w:rPr>
      </w:pPr>
      <w:r>
        <w:rPr>
          <w:rFonts w:hint="eastAsia" w:ascii="微软雅黑" w:hAnsi="微软雅黑" w:eastAsia="微软雅黑" w:cs="微软雅黑"/>
          <w:color w:val="auto"/>
          <w:sz w:val="28"/>
          <w:szCs w:val="28"/>
          <w:highlight w:val="none"/>
        </w:rPr>
        <w:t>附件</w:t>
      </w:r>
      <w:r>
        <w:rPr>
          <w:rFonts w:hint="eastAsia" w:ascii="Arial Unicode MS" w:hAnsi="Arial Unicode MS" w:eastAsia="Arial Unicode MS" w:cs="Arial Unicode MS"/>
          <w:color w:val="auto"/>
          <w:sz w:val="28"/>
          <w:szCs w:val="28"/>
          <w:highlight w:val="none"/>
        </w:rPr>
        <w:t>1</w:t>
      </w:r>
      <w:r>
        <w:rPr>
          <w:rFonts w:hint="eastAsia" w:ascii="微软雅黑" w:hAnsi="微软雅黑" w:eastAsia="微软雅黑" w:cs="微软雅黑"/>
          <w:color w:val="auto"/>
          <w:sz w:val="28"/>
          <w:szCs w:val="28"/>
          <w:highlight w:val="none"/>
        </w:rPr>
        <w:t>：</w:t>
      </w:r>
    </w:p>
    <w:p>
      <w:pPr>
        <w:spacing w:line="528" w:lineRule="exact"/>
        <w:ind w:left="1871"/>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37"/>
        <w:tblW w:w="9220" w:type="dxa"/>
        <w:jc w:val="center"/>
        <w:tblLayout w:type="autofit"/>
        <w:tblCellMar>
          <w:top w:w="0" w:type="dxa"/>
          <w:left w:w="108" w:type="dxa"/>
          <w:bottom w:w="0" w:type="dxa"/>
          <w:right w:w="108" w:type="dxa"/>
        </w:tblCellMar>
      </w:tblPr>
      <w:tblGrid>
        <w:gridCol w:w="660"/>
        <w:gridCol w:w="1116"/>
        <w:gridCol w:w="1516"/>
        <w:gridCol w:w="1620"/>
        <w:gridCol w:w="4540"/>
      </w:tblGrid>
      <w:tr>
        <w:tblPrEx>
          <w:tblCellMar>
            <w:top w:w="0" w:type="dxa"/>
            <w:left w:w="108" w:type="dxa"/>
            <w:bottom w:w="0" w:type="dxa"/>
            <w:right w:w="108" w:type="dxa"/>
          </w:tblCellMar>
        </w:tblPrEx>
        <w:trPr>
          <w:trHeight w:val="555" w:hRule="atLeast"/>
          <w:jc w:val="center"/>
        </w:trPr>
        <w:tc>
          <w:tcPr>
            <w:tcW w:w="660" w:type="dxa"/>
            <w:tcBorders>
              <w:top w:val="single" w:color="000000" w:sz="8" w:space="0"/>
              <w:left w:val="single" w:color="000000" w:sz="8" w:space="0"/>
              <w:bottom w:val="nil"/>
              <w:right w:val="single" w:color="000000" w:sz="8" w:space="0"/>
            </w:tcBorders>
            <w:noWrap/>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tblPrEx>
          <w:tblCellMar>
            <w:top w:w="0" w:type="dxa"/>
            <w:left w:w="108" w:type="dxa"/>
            <w:bottom w:w="0" w:type="dxa"/>
            <w:right w:w="108" w:type="dxa"/>
          </w:tblCellMar>
        </w:tblPrEx>
        <w:trPr>
          <w:trHeight w:val="495" w:hRule="atLeast"/>
          <w:jc w:val="center"/>
        </w:trPr>
        <w:tc>
          <w:tcPr>
            <w:tcW w:w="660"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73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tblPrEx>
          <w:tblCellMar>
            <w:top w:w="0" w:type="dxa"/>
            <w:left w:w="108" w:type="dxa"/>
            <w:bottom w:w="0" w:type="dxa"/>
            <w:right w:w="108" w:type="dxa"/>
          </w:tblCellMar>
        </w:tblPrEx>
        <w:trPr>
          <w:trHeight w:val="73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tblPrEx>
          <w:tblCellMar>
            <w:top w:w="0" w:type="dxa"/>
            <w:left w:w="108" w:type="dxa"/>
            <w:bottom w:w="0" w:type="dxa"/>
            <w:right w:w="108" w:type="dxa"/>
          </w:tblCellMar>
        </w:tblPrEx>
        <w:trPr>
          <w:trHeight w:val="97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tblPrEx>
          <w:tblCellMar>
            <w:top w:w="0" w:type="dxa"/>
            <w:left w:w="108" w:type="dxa"/>
            <w:bottom w:w="0" w:type="dxa"/>
            <w:right w:w="108" w:type="dxa"/>
          </w:tblCellMar>
        </w:tblPrEx>
        <w:trPr>
          <w:trHeight w:val="285" w:hRule="atLeast"/>
          <w:jc w:val="center"/>
        </w:trPr>
        <w:tc>
          <w:tcPr>
            <w:tcW w:w="66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pPr>
        <w:widowControl/>
        <w:rPr>
          <w:rFonts w:hint="eastAsia" w:ascii="宋体" w:hAnsi="宋体" w:cs="宋体"/>
          <w:color w:val="auto"/>
          <w:sz w:val="20"/>
          <w:szCs w:val="20"/>
          <w:highlight w:val="none"/>
        </w:rPr>
      </w:pPr>
    </w:p>
    <w:p>
      <w:pPr>
        <w:pStyle w:val="16"/>
        <w:spacing w:after="0" w:line="360" w:lineRule="exact"/>
        <w:rPr>
          <w:rFonts w:hint="eastAsia" w:hAnsi="宋体"/>
          <w:color w:val="auto"/>
          <w:sz w:val="21"/>
          <w:szCs w:val="21"/>
          <w:highlight w:val="none"/>
        </w:rPr>
      </w:pPr>
      <w:r>
        <w:rPr>
          <w:rFonts w:hint="eastAsia"/>
          <w:color w:val="auto"/>
          <w:spacing w:val="-3"/>
          <w:sz w:val="21"/>
          <w:szCs w:val="21"/>
          <w:highlight w:val="none"/>
        </w:rPr>
        <w:t>注：</w:t>
      </w:r>
      <w:r>
        <w:rPr>
          <w:color w:val="auto"/>
          <w:spacing w:val="-3"/>
          <w:sz w:val="21"/>
          <w:szCs w:val="21"/>
          <w:highlight w:val="none"/>
        </w:rPr>
        <w:t>1.</w:t>
      </w:r>
      <w:r>
        <w:rPr>
          <w:rFonts w:hint="eastAsia"/>
          <w:color w:val="auto"/>
          <w:spacing w:val="-3"/>
          <w:sz w:val="21"/>
          <w:szCs w:val="21"/>
          <w:highlight w:val="none"/>
        </w:rPr>
        <w:t>节能产品认证应依据相关国家标准的最新版本，依据国家标准中二级能效（水效）</w:t>
      </w:r>
      <w:r>
        <w:rPr>
          <w:rFonts w:hint="eastAsia"/>
          <w:color w:val="auto"/>
          <w:sz w:val="21"/>
          <w:szCs w:val="21"/>
          <w:highlight w:val="none"/>
        </w:rPr>
        <w:t>指标。</w:t>
      </w:r>
    </w:p>
    <w:p>
      <w:pPr>
        <w:spacing w:line="360" w:lineRule="exact"/>
        <w:ind w:firstLine="420" w:firstLineChars="200"/>
        <w:rPr>
          <w:rFonts w:hint="eastAsia" w:ascii="宋体" w:hAnsi="宋体" w:cs="宋体"/>
          <w:color w:val="auto"/>
          <w:szCs w:val="21"/>
          <w:highlight w:val="none"/>
        </w:rPr>
      </w:pP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ascii="宋体" w:hAnsi="宋体" w:cs="宋体"/>
          <w:color w:val="auto"/>
          <w:kern w:val="0"/>
          <w:sz w:val="20"/>
          <w:szCs w:val="20"/>
          <w:highlight w:val="none"/>
        </w:rPr>
        <w:t>★</w:t>
      </w:r>
      <w:r>
        <w:rPr>
          <w:b/>
          <w:bCs/>
          <w:color w:val="auto"/>
          <w:szCs w:val="21"/>
          <w:highlight w:val="none"/>
        </w:rPr>
        <w:t>”</w:t>
      </w:r>
      <w:r>
        <w:rPr>
          <w:rFonts w:hint="eastAsia"/>
          <w:b/>
          <w:bCs/>
          <w:color w:val="auto"/>
          <w:szCs w:val="21"/>
          <w:highlight w:val="none"/>
        </w:rPr>
        <w:t>标注的为政府强制采购产品。</w:t>
      </w:r>
      <w:r>
        <w:rPr>
          <w:rFonts w:hAnsi="宋体"/>
          <w:color w:val="auto"/>
          <w:highlight w:val="none"/>
        </w:rPr>
        <w:br w:type="page"/>
      </w:r>
    </w:p>
    <w:p>
      <w:pPr>
        <w:pStyle w:val="16"/>
        <w:spacing w:line="360" w:lineRule="auto"/>
        <w:rPr>
          <w:rFonts w:hint="eastAsia" w:ascii="Arial Unicode MS" w:hAnsi="Arial Unicode MS" w:eastAsia="Arial Unicode MS" w:cs="Arial Unicode MS"/>
          <w:color w:val="auto"/>
          <w:sz w:val="28"/>
          <w:szCs w:val="28"/>
          <w:highlight w:val="none"/>
        </w:rPr>
      </w:pPr>
      <w:r>
        <w:rPr>
          <w:rFonts w:hint="eastAsia" w:ascii="微软雅黑" w:hAnsi="微软雅黑" w:eastAsia="微软雅黑" w:cs="微软雅黑"/>
          <w:color w:val="auto"/>
          <w:sz w:val="28"/>
          <w:szCs w:val="28"/>
          <w:highlight w:val="none"/>
        </w:rPr>
        <w:t>附件</w:t>
      </w:r>
      <w:r>
        <w:rPr>
          <w:rFonts w:hint="eastAsia" w:ascii="Arial Unicode MS" w:hAnsi="Arial Unicode MS" w:eastAsia="Arial Unicode MS" w:cs="Arial Unicode MS"/>
          <w:color w:val="auto"/>
          <w:sz w:val="28"/>
          <w:szCs w:val="28"/>
          <w:highlight w:val="none"/>
        </w:rPr>
        <w:t>2</w:t>
      </w:r>
      <w:r>
        <w:rPr>
          <w:rFonts w:hint="eastAsia" w:ascii="微软雅黑" w:hAnsi="微软雅黑" w:eastAsia="微软雅黑" w:cs="微软雅黑"/>
          <w:color w:val="auto"/>
          <w:sz w:val="28"/>
          <w:szCs w:val="28"/>
          <w:highlight w:val="none"/>
        </w:rPr>
        <w:t>：</w:t>
      </w:r>
    </w:p>
    <w:p>
      <w:pPr>
        <w:spacing w:line="528" w:lineRule="exact"/>
        <w:jc w:val="center"/>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7"/>
        <w:tblW w:w="9511" w:type="dxa"/>
        <w:jc w:val="center"/>
        <w:tblLayout w:type="fixed"/>
        <w:tblCellMar>
          <w:top w:w="0" w:type="dxa"/>
          <w:left w:w="108" w:type="dxa"/>
          <w:bottom w:w="0" w:type="dxa"/>
          <w:right w:w="108" w:type="dxa"/>
        </w:tblCellMar>
      </w:tblPr>
      <w:tblGrid>
        <w:gridCol w:w="1700"/>
        <w:gridCol w:w="1383"/>
        <w:gridCol w:w="865"/>
        <w:gridCol w:w="2097"/>
        <w:gridCol w:w="2105"/>
        <w:gridCol w:w="1361"/>
      </w:tblGrid>
      <w:tr>
        <w:tblPrEx>
          <w:tblCellMar>
            <w:top w:w="0" w:type="dxa"/>
            <w:left w:w="108" w:type="dxa"/>
            <w:bottom w:w="0" w:type="dxa"/>
            <w:right w:w="108" w:type="dxa"/>
          </w:tblCellMar>
        </w:tblPrEx>
        <w:trPr>
          <w:trHeight w:val="285"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行业名称</w:t>
            </w:r>
          </w:p>
        </w:tc>
        <w:tc>
          <w:tcPr>
            <w:tcW w:w="1383"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指标名称</w:t>
            </w:r>
          </w:p>
        </w:tc>
        <w:tc>
          <w:tcPr>
            <w:tcW w:w="865"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计量单位</w:t>
            </w:r>
          </w:p>
        </w:tc>
        <w:tc>
          <w:tcPr>
            <w:tcW w:w="2097"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中型</w:t>
            </w:r>
          </w:p>
        </w:tc>
        <w:tc>
          <w:tcPr>
            <w:tcW w:w="2105"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小型</w:t>
            </w:r>
          </w:p>
        </w:tc>
        <w:tc>
          <w:tcPr>
            <w:tcW w:w="1361"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微型</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农、林、牧、渔</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500≤Y＜20000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50≤Y＜500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2000≤Y＜40000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建筑业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6000≤Y＜80000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300≤Y＜6000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Y＜300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5000≤Z＜80000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300≤Z＜5000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Z＜300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批发业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20≤X＜200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5≤X＜20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X＜5</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5000≤Y＜40000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零售业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10≤X＜50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500≤Y＜20000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100≤Y＜500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交通运输业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200≤Y＜3000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Y＜200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仓储业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100≤X＜200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邮政业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住宿业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餐饮业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信息传输业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100≤X＜2000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1000≤Y＜100000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软件和信息技术服务业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房地产开发经营</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1000≤Y＜200000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5000≤Z＜10000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2000≤Y＜5000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Y＜2000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物业管理</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1000≤Y＜5000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Y＜500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租赁和商务服务业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8000≤Z＜120000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100≤Z＜8000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其他未列明行业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bl>
    <w:p>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2"/>
        <w:rPr>
          <w:rFonts w:hint="eastAsia" w:ascii="宋体" w:hAnsi="宋体"/>
          <w:color w:val="auto"/>
          <w:highlight w:val="none"/>
        </w:rPr>
      </w:pPr>
      <w:bookmarkStart w:id="12" w:name="_Toc17576"/>
      <w:r>
        <w:rPr>
          <w:rFonts w:hint="eastAsia" w:ascii="宋体" w:hAnsi="宋体"/>
          <w:color w:val="auto"/>
          <w:highlight w:val="none"/>
        </w:rPr>
        <w:t>第四章 响应文件格式</w:t>
      </w:r>
      <w:bookmarkEnd w:id="12"/>
    </w:p>
    <w:p>
      <w:pPr>
        <w:snapToGrid w:val="0"/>
        <w:spacing w:before="156" w:beforeLines="50" w:after="50"/>
        <w:rPr>
          <w:rFonts w:hint="eastAsia" w:ascii="宋体" w:hAnsi="宋体" w:cs="宋体"/>
          <w:b/>
          <w:bCs/>
          <w:color w:val="auto"/>
          <w:szCs w:val="21"/>
          <w:highlight w:val="none"/>
        </w:rPr>
      </w:pPr>
      <w:bookmarkStart w:id="13" w:name="_Toc455646389"/>
      <w:r>
        <w:rPr>
          <w:rFonts w:hint="eastAsia" w:ascii="宋体" w:hAnsi="宋体" w:cs="宋体"/>
          <w:b/>
          <w:bCs/>
          <w:color w:val="auto"/>
          <w:szCs w:val="21"/>
          <w:highlight w:val="none"/>
        </w:rPr>
        <w:t>一、响应文件袋外层包装封面格式</w:t>
      </w:r>
    </w:p>
    <w:p>
      <w:pPr>
        <w:snapToGrid w:val="0"/>
        <w:spacing w:before="156" w:beforeLines="50" w:after="50"/>
        <w:rPr>
          <w:rFonts w:hint="eastAsia" w:ascii="宋体" w:hAnsi="宋体" w:cs="宋体"/>
          <w:b/>
          <w:bCs/>
          <w:color w:val="auto"/>
          <w:szCs w:val="21"/>
          <w:highlight w:val="none"/>
        </w:rPr>
      </w:pPr>
      <w:r>
        <w:rPr>
          <w:rFonts w:hint="eastAsia" w:ascii="宋体" w:hAnsi="宋体" w:cs="宋体"/>
          <w:b/>
          <w:bCs/>
          <w:color w:val="auto"/>
          <w:szCs w:val="21"/>
          <w:highlight w:val="none"/>
        </w:rPr>
        <w:t>1.所有文件（资格证明文件、商务和技术文件、报价文件）的外装封面格式：</w:t>
      </w:r>
    </w:p>
    <w:p>
      <w:pPr>
        <w:snapToGrid w:val="0"/>
        <w:spacing w:before="156" w:beforeLines="50" w:after="50"/>
        <w:jc w:val="center"/>
        <w:rPr>
          <w:rFonts w:hint="eastAsia" w:ascii="宋体" w:hAnsi="宋体" w:cs="宋体"/>
          <w:bCs/>
          <w:color w:val="auto"/>
          <w:szCs w:val="21"/>
          <w:highlight w:val="none"/>
        </w:rPr>
      </w:pPr>
    </w:p>
    <w:p>
      <w:pPr>
        <w:snapToGrid w:val="0"/>
        <w:spacing w:before="156" w:beforeLines="50" w:after="50"/>
        <w:jc w:val="center"/>
        <w:rPr>
          <w:rFonts w:hint="eastAsia" w:ascii="宋体" w:hAnsi="宋体" w:cs="宋体"/>
          <w:bCs/>
          <w:color w:val="auto"/>
          <w:szCs w:val="21"/>
          <w:highlight w:val="none"/>
        </w:rPr>
      </w:pPr>
    </w:p>
    <w:p>
      <w:pPr>
        <w:snapToGrid w:val="0"/>
        <w:spacing w:before="156" w:beforeLines="50" w:after="50"/>
        <w:jc w:val="center"/>
        <w:rPr>
          <w:rFonts w:hint="eastAsia" w:ascii="宋体" w:hAnsi="宋体" w:cs="宋体"/>
          <w:bCs/>
          <w:color w:val="auto"/>
          <w:szCs w:val="21"/>
          <w:highlight w:val="none"/>
        </w:rPr>
      </w:pPr>
    </w:p>
    <w:p>
      <w:pPr>
        <w:snapToGrid w:val="0"/>
        <w:spacing w:before="156" w:beforeLines="50" w:after="50"/>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响  应 文 件 袋</w:t>
      </w:r>
    </w:p>
    <w:p>
      <w:pPr>
        <w:snapToGrid w:val="0"/>
        <w:spacing w:before="156" w:beforeLines="50" w:after="50"/>
        <w:jc w:val="center"/>
        <w:rPr>
          <w:rFonts w:hint="eastAsia" w:ascii="宋体" w:hAnsi="宋体" w:cs="宋体"/>
          <w:bCs/>
          <w:color w:val="auto"/>
          <w:sz w:val="52"/>
          <w:szCs w:val="52"/>
          <w:highlight w:val="none"/>
        </w:rPr>
      </w:pPr>
    </w:p>
    <w:p>
      <w:pPr>
        <w:snapToGrid w:val="0"/>
        <w:spacing w:before="156" w:beforeLines="50" w:after="50"/>
        <w:jc w:val="center"/>
        <w:rPr>
          <w:rFonts w:hint="eastAsia" w:ascii="宋体" w:hAnsi="宋体" w:cs="宋体"/>
          <w:bCs/>
          <w:color w:val="auto"/>
          <w:sz w:val="52"/>
          <w:szCs w:val="52"/>
          <w:highlight w:val="none"/>
        </w:rPr>
      </w:pPr>
    </w:p>
    <w:p>
      <w:pPr>
        <w:snapToGrid w:val="0"/>
        <w:spacing w:before="156" w:beforeLines="50" w:after="50"/>
        <w:rPr>
          <w:rFonts w:hint="eastAsia" w:ascii="宋体" w:hAnsi="宋体" w:cs="宋体"/>
          <w:bCs/>
          <w:color w:val="auto"/>
          <w:szCs w:val="21"/>
          <w:highlight w:val="none"/>
        </w:rPr>
      </w:pP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single"/>
        </w:rPr>
        <w:t xml:space="preserve">                                </w:t>
      </w:r>
    </w:p>
    <w:p>
      <w:pPr>
        <w:spacing w:before="156" w:beforeLines="50" w:after="156" w:afterLines="50" w:line="480" w:lineRule="auto"/>
        <w:ind w:firstLine="848" w:firstLineChars="303"/>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single"/>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分标号（如有）：</w:t>
      </w:r>
      <w:r>
        <w:rPr>
          <w:rFonts w:hint="eastAsia" w:ascii="宋体" w:hAnsi="宋体" w:cs="宋体"/>
          <w:color w:val="auto"/>
          <w:sz w:val="28"/>
          <w:szCs w:val="28"/>
          <w:highlight w:val="none"/>
          <w:u w:val="single"/>
        </w:rPr>
        <w:t xml:space="preserve">  （如有则填写，无分标时填写“无”或者留空） </w:t>
      </w:r>
      <w:r>
        <w:rPr>
          <w:rFonts w:ascii="宋体" w:hAnsi="宋体" w:cs="宋体"/>
          <w:color w:val="auto"/>
          <w:sz w:val="28"/>
          <w:szCs w:val="28"/>
          <w:highlight w:val="none"/>
          <w:u w:val="single"/>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供应商地址：</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rPr>
      </w:pPr>
    </w:p>
    <w:p>
      <w:pPr>
        <w:tabs>
          <w:tab w:val="left" w:pos="2625"/>
        </w:tabs>
        <w:spacing w:line="360" w:lineRule="auto"/>
        <w:ind w:firstLine="560"/>
        <w:jc w:val="center"/>
        <w:rPr>
          <w:rFonts w:hint="eastAsia" w:ascii="宋体" w:hAnsi="宋体" w:cs="宋体"/>
          <w:color w:val="auto"/>
          <w:sz w:val="28"/>
          <w:szCs w:val="28"/>
          <w:highlight w:val="none"/>
        </w:rPr>
      </w:pPr>
    </w:p>
    <w:p>
      <w:pPr>
        <w:spacing w:line="360" w:lineRule="auto"/>
        <w:ind w:firstLine="56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（供应商名称）</w:t>
      </w:r>
    </w:p>
    <w:p>
      <w:pPr>
        <w:wordWrap w:val="0"/>
        <w:spacing w:line="360" w:lineRule="auto"/>
        <w:ind w:right="420"/>
        <w:jc w:val="right"/>
        <w:rPr>
          <w:rFonts w:hint="eastAsia" w:ascii="宋体" w:hAnsi="宋体" w:cs="宋体"/>
          <w:color w:val="auto"/>
          <w:szCs w:val="21"/>
          <w:highlight w:val="none"/>
        </w:rPr>
      </w:pPr>
      <w:r>
        <w:rPr>
          <w:rFonts w:hint="eastAsia" w:ascii="宋体" w:hAnsi="宋体" w:cs="宋体"/>
          <w:color w:val="auto"/>
          <w:sz w:val="28"/>
          <w:szCs w:val="28"/>
          <w:highlight w:val="none"/>
        </w:rPr>
        <w:t>年     月    日</w:t>
      </w:r>
    </w:p>
    <w:p>
      <w:pPr>
        <w:snapToGrid w:val="0"/>
        <w:spacing w:before="156" w:beforeLines="50" w:after="50"/>
        <w:outlineLvl w:val="1"/>
        <w:rPr>
          <w:rFonts w:hint="eastAsia" w:ascii="宋体" w:hAnsi="宋体" w:cs="宋体"/>
          <w:b/>
          <w:bCs/>
          <w:color w:val="auto"/>
          <w:szCs w:val="21"/>
          <w:highlight w:val="none"/>
        </w:rPr>
      </w:pPr>
      <w:r>
        <w:rPr>
          <w:rFonts w:hint="eastAsia" w:ascii="宋体" w:hAnsi="宋体" w:cs="宋体"/>
          <w:b/>
          <w:bCs/>
          <w:color w:val="auto"/>
          <w:szCs w:val="21"/>
          <w:highlight w:val="none"/>
        </w:rPr>
        <w:br w:type="page"/>
      </w:r>
      <w:bookmarkEnd w:id="13"/>
      <w:bookmarkStart w:id="14" w:name="_Toc1763"/>
      <w:bookmarkStart w:id="15" w:name="_Toc16140"/>
      <w:bookmarkStart w:id="16" w:name="_Toc20994"/>
      <w:bookmarkStart w:id="17" w:name="_Toc7387"/>
      <w:r>
        <w:rPr>
          <w:rFonts w:hint="eastAsia" w:ascii="宋体" w:hAnsi="宋体" w:cs="宋体"/>
          <w:b/>
          <w:bCs/>
          <w:color w:val="auto"/>
          <w:szCs w:val="21"/>
          <w:highlight w:val="none"/>
        </w:rPr>
        <w:t>二、响应文件格式</w:t>
      </w:r>
      <w:bookmarkEnd w:id="14"/>
      <w:bookmarkEnd w:id="15"/>
      <w:bookmarkEnd w:id="16"/>
      <w:bookmarkEnd w:id="17"/>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r>
        <w:rPr>
          <w:rFonts w:hint="eastAsia" w:ascii="宋体" w:hAnsi="宋体" w:cs="宋体"/>
          <w:b/>
          <w:bCs/>
          <w:color w:val="auto"/>
          <w:szCs w:val="21"/>
          <w:highlight w:val="none"/>
        </w:rPr>
        <w:t>1、资格证明文件格式：</w:t>
      </w:r>
    </w:p>
    <w:p>
      <w:pPr>
        <w:snapToGrid w:val="0"/>
        <w:spacing w:before="156" w:beforeLines="50" w:after="50" w:line="330" w:lineRule="exact"/>
        <w:jc w:val="center"/>
        <w:rPr>
          <w:rFonts w:hint="eastAsia" w:ascii="宋体" w:hAnsi="宋体" w:cs="宋体"/>
          <w:b/>
          <w:color w:val="auto"/>
          <w:szCs w:val="21"/>
          <w:highlight w:val="none"/>
        </w:rPr>
      </w:pPr>
    </w:p>
    <w:p>
      <w:pPr>
        <w:snapToGrid w:val="0"/>
        <w:spacing w:before="156" w:beforeLines="50" w:after="50" w:line="330" w:lineRule="exact"/>
        <w:jc w:val="center"/>
        <w:rPr>
          <w:rFonts w:hint="eastAsia" w:ascii="宋体" w:hAnsi="宋体" w:cs="宋体"/>
          <w:b/>
          <w:color w:val="auto"/>
          <w:szCs w:val="21"/>
          <w:highlight w:val="none"/>
        </w:rPr>
      </w:pPr>
    </w:p>
    <w:p>
      <w:pPr>
        <w:snapToGrid w:val="0"/>
        <w:spacing w:before="156" w:beforeLines="50" w:after="50" w:line="330" w:lineRule="exact"/>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目录</w:t>
      </w:r>
    </w:p>
    <w:p>
      <w:pPr>
        <w:tabs>
          <w:tab w:val="left" w:pos="2625"/>
        </w:tabs>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widowControl/>
        <w:spacing w:line="360" w:lineRule="exact"/>
        <w:rPr>
          <w:rFonts w:hint="eastAsia" w:ascii="宋体" w:hAnsi="宋体"/>
          <w:b/>
          <w:bCs/>
          <w:color w:val="auto"/>
          <w:sz w:val="24"/>
          <w:highlight w:val="none"/>
        </w:rPr>
      </w:pPr>
    </w:p>
    <w:p>
      <w:pPr>
        <w:tabs>
          <w:tab w:val="left" w:pos="2625"/>
        </w:tabs>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一、谈判声明书格式</w:t>
      </w:r>
    </w:p>
    <w:p>
      <w:pPr>
        <w:spacing w:line="3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谈判声明书</w:t>
      </w:r>
    </w:p>
    <w:p>
      <w:pPr>
        <w:pStyle w:val="20"/>
        <w:spacing w:line="360" w:lineRule="exact"/>
        <w:rPr>
          <w:rFonts w:hint="eastAsia" w:hAnsi="宋体" w:cs="宋体"/>
          <w:color w:val="auto"/>
          <w:sz w:val="21"/>
          <w:szCs w:val="21"/>
          <w:highlight w:val="none"/>
        </w:rPr>
      </w:pPr>
      <w:r>
        <w:rPr>
          <w:rFonts w:hint="eastAsia" w:hAnsi="宋体"/>
          <w:color w:val="auto"/>
          <w:sz w:val="21"/>
          <w:highlight w:val="none"/>
        </w:rPr>
        <w:t>致：</w:t>
      </w:r>
      <w:r>
        <w:rPr>
          <w:rFonts w:hint="eastAsia" w:hAnsi="宋体"/>
          <w:color w:val="auto"/>
          <w:sz w:val="21"/>
          <w:highlight w:val="none"/>
          <w:u w:val="single"/>
        </w:rPr>
        <w:t xml:space="preserve">              </w:t>
      </w:r>
      <w:r>
        <w:rPr>
          <w:rFonts w:hint="eastAsia" w:hAnsi="宋体"/>
          <w:color w:val="auto"/>
          <w:sz w:val="21"/>
          <w:highlight w:val="none"/>
        </w:rPr>
        <w:t>（采购人单位名称）：</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（1）将按谈判文件的约定履行合同责任和义务；</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（2）已详细审查全部谈判文件，包括澄清或者更正公告（如有）；</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（3）同意提供按照贵方可能要求的与谈判有关的一切数据或者资料；</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（4）响应谈判文件规定的响应文件有效期。</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□我方本次响应文件内容中未涉及商业秘密；</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□我方本次响应文件涉及商业秘密的内容有： </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ind w:firstLine="363" w:firstLineChars="202"/>
        <w:rPr>
          <w:color w:val="auto"/>
          <w:sz w:val="18"/>
          <w:szCs w:val="18"/>
          <w:highlight w:val="none"/>
        </w:rPr>
      </w:pPr>
      <w:r>
        <w:rPr>
          <w:rFonts w:hint="eastAsia"/>
          <w:color w:val="auto"/>
          <w:sz w:val="18"/>
          <w:szCs w:val="18"/>
          <w:highlight w:val="none"/>
        </w:rPr>
        <w:t>说明：</w:t>
      </w:r>
    </w:p>
    <w:p>
      <w:pPr>
        <w:ind w:firstLine="363" w:firstLineChars="202"/>
        <w:rPr>
          <w:color w:val="auto"/>
          <w:sz w:val="18"/>
          <w:szCs w:val="18"/>
          <w:highlight w:val="none"/>
        </w:rPr>
      </w:pPr>
      <w:r>
        <w:rPr>
          <w:color w:val="auto"/>
          <w:sz w:val="18"/>
          <w:szCs w:val="18"/>
          <w:highlight w:val="none"/>
        </w:rPr>
        <w:t>1.</w:t>
      </w:r>
      <w:r>
        <w:rPr>
          <w:rFonts w:hint="eastAsia"/>
          <w:color w:val="auto"/>
          <w:sz w:val="18"/>
          <w:szCs w:val="18"/>
          <w:highlight w:val="none"/>
        </w:rPr>
        <w:t>供应商可以自行通过</w:t>
      </w:r>
      <w:r>
        <w:rPr>
          <w:color w:val="auto"/>
          <w:sz w:val="18"/>
          <w:szCs w:val="18"/>
          <w:highlight w:val="none"/>
        </w:rPr>
        <w:t xml:space="preserve"> </w:t>
      </w:r>
      <w:r>
        <w:rPr>
          <w:rFonts w:hint="eastAsia"/>
          <w:color w:val="auto"/>
          <w:sz w:val="18"/>
          <w:szCs w:val="18"/>
          <w:highlight w:val="none"/>
        </w:rPr>
        <w:t>“信用中国”（</w:t>
      </w:r>
      <w:r>
        <w:rPr>
          <w:color w:val="auto"/>
          <w:sz w:val="18"/>
          <w:szCs w:val="18"/>
          <w:highlight w:val="none"/>
        </w:rPr>
        <w:t>www.creditchina.gov.cn</w:t>
      </w:r>
      <w:r>
        <w:rPr>
          <w:rFonts w:hint="eastAsia"/>
          <w:color w:val="auto"/>
          <w:sz w:val="18"/>
          <w:szCs w:val="18"/>
          <w:highlight w:val="none"/>
        </w:rPr>
        <w:t>）和“中国政府采购网”网站（</w:t>
      </w:r>
      <w:r>
        <w:rPr>
          <w:color w:val="auto"/>
          <w:sz w:val="18"/>
          <w:szCs w:val="18"/>
          <w:highlight w:val="none"/>
        </w:rPr>
        <w:t>www.ccgp.gov.cn</w:t>
      </w:r>
      <w:r>
        <w:rPr>
          <w:rFonts w:hint="eastAsia"/>
          <w:color w:val="auto"/>
          <w:sz w:val="18"/>
          <w:szCs w:val="18"/>
          <w:highlight w:val="none"/>
        </w:rPr>
        <w:t>）查询供应商相关主体的信用记录。查询时间为本项目投标截止时间前</w:t>
      </w:r>
      <w:r>
        <w:rPr>
          <w:color w:val="auto"/>
          <w:sz w:val="18"/>
          <w:szCs w:val="18"/>
          <w:highlight w:val="none"/>
        </w:rPr>
        <w:t>10</w:t>
      </w:r>
      <w:r>
        <w:rPr>
          <w:rFonts w:hint="eastAsia"/>
          <w:color w:val="auto"/>
          <w:sz w:val="18"/>
          <w:szCs w:val="18"/>
          <w:highlight w:val="none"/>
        </w:rPr>
        <w:t>日至投标截止时间中任意一天。在资格审查阶段经谈判小组查询，对列入失信被执行人、重大税收违法案件当事人名单、政府采购严重违法失信行为记录名单的供应商，将被拒绝参与本项目政府采购活动。</w:t>
      </w:r>
    </w:p>
    <w:p>
      <w:pPr>
        <w:ind w:firstLine="363" w:firstLineChars="202"/>
        <w:rPr>
          <w:color w:val="auto"/>
          <w:sz w:val="18"/>
          <w:szCs w:val="18"/>
          <w:highlight w:val="none"/>
        </w:rPr>
      </w:pPr>
      <w:r>
        <w:rPr>
          <w:color w:val="auto"/>
          <w:sz w:val="18"/>
          <w:szCs w:val="18"/>
          <w:highlight w:val="none"/>
        </w:rPr>
        <w:t>2.</w:t>
      </w:r>
      <w:r>
        <w:rPr>
          <w:rFonts w:hint="eastAsia"/>
          <w:color w:val="auto"/>
          <w:sz w:val="18"/>
          <w:szCs w:val="18"/>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363" w:firstLineChars="202"/>
        <w:rPr>
          <w:color w:val="auto"/>
          <w:sz w:val="18"/>
          <w:szCs w:val="18"/>
          <w:highlight w:val="none"/>
        </w:rPr>
      </w:pPr>
      <w:r>
        <w:rPr>
          <w:color w:val="auto"/>
          <w:sz w:val="18"/>
          <w:szCs w:val="18"/>
          <w:highlight w:val="none"/>
        </w:rPr>
        <w:t>3.</w:t>
      </w:r>
      <w:r>
        <w:rPr>
          <w:rFonts w:hint="eastAsia"/>
          <w:color w:val="auto"/>
          <w:sz w:val="18"/>
          <w:szCs w:val="18"/>
          <w:highlight w:val="none"/>
        </w:rPr>
        <w:t>如为联合体投标，盖章处须加盖联合体各方公章，否则投标无效。</w:t>
      </w:r>
    </w:p>
    <w:p>
      <w:pPr>
        <w:ind w:firstLine="363" w:firstLineChars="202"/>
        <w:rPr>
          <w:color w:val="auto"/>
          <w:sz w:val="18"/>
          <w:szCs w:val="18"/>
          <w:highlight w:val="none"/>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二、政府采购供应商资格信用承诺函格式</w:t>
      </w:r>
    </w:p>
    <w:p>
      <w:pPr>
        <w:autoSpaceDE w:val="0"/>
        <w:autoSpaceDN w:val="0"/>
        <w:adjustRightInd w:val="0"/>
        <w:spacing w:line="400" w:lineRule="exact"/>
        <w:jc w:val="left"/>
        <w:rPr>
          <w:rFonts w:hint="eastAsia" w:ascii="宋体" w:hAnsi="宋体" w:cs="宋体"/>
          <w:b/>
          <w:bCs/>
          <w:color w:val="auto"/>
          <w:szCs w:val="21"/>
          <w:highlight w:val="none"/>
        </w:rPr>
      </w:pPr>
    </w:p>
    <w:p>
      <w:pPr>
        <w:autoSpaceDE w:val="0"/>
        <w:autoSpaceDN w:val="0"/>
        <w:adjustRightIn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政府采购供应商资格信用承诺函</w:t>
      </w:r>
    </w:p>
    <w:p>
      <w:pPr>
        <w:pStyle w:val="30"/>
        <w:rPr>
          <w:rFonts w:hint="eastAsia" w:ascii="宋体" w:hAnsi="宋体" w:cs="宋体"/>
          <w:color w:val="auto"/>
          <w:sz w:val="21"/>
          <w:szCs w:val="21"/>
          <w:highlight w:val="none"/>
        </w:rPr>
      </w:pP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致：</w:t>
      </w:r>
      <w:r>
        <w:rPr>
          <w:rFonts w:hint="eastAsia" w:ascii="宋体" w:hAnsi="宋体"/>
          <w:color w:val="auto"/>
          <w:spacing w:val="6"/>
          <w:szCs w:val="21"/>
          <w:highlight w:val="none"/>
          <w:u w:val="single"/>
        </w:rPr>
        <w:t>（采购人名称）、（代理机构名称）</w:t>
      </w:r>
      <w:r>
        <w:rPr>
          <w:rFonts w:hint="eastAsia" w:ascii="宋体" w:hAnsi="宋体"/>
          <w:color w:val="auto"/>
          <w:spacing w:val="6"/>
          <w:szCs w:val="21"/>
          <w:highlight w:val="none"/>
        </w:rPr>
        <w:t>：</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我方自愿参加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项目（项目编号：</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）的政府采购活动，并郑重承诺我方符合《中华人民共和国政府采购法》第二十二条规定的条件：</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（一）具有独立承担民事责任的能力；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（二）具有良好的商业信誉和健全的财务会计制度；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（三）具有履行合同所必需的设备和专业技术能力；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（四）有依法缴纳税收和社会保障资金的良好记录；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（五）参加政府采购活动前三年内，在经营活动中没有重大违法记录；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（六）法律、行政法规规定的其他条件。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360" w:lineRule="auto"/>
        <w:ind w:firstLine="446"/>
        <w:rPr>
          <w:rFonts w:hint="eastAsia" w:ascii="宋体" w:hAnsi="宋体"/>
          <w:color w:val="auto"/>
          <w:spacing w:val="6"/>
          <w:szCs w:val="21"/>
          <w:highlight w:val="none"/>
        </w:rPr>
      </w:pPr>
      <w:r>
        <w:rPr>
          <w:rFonts w:hint="eastAsia" w:ascii="宋体" w:hAnsi="宋体"/>
          <w:b/>
          <w:bCs/>
          <w:color w:val="auto"/>
          <w:spacing w:val="6"/>
          <w:szCs w:val="21"/>
          <w:highlight w:val="none"/>
        </w:rPr>
        <w:t>特此声明！</w:t>
      </w:r>
      <w:r>
        <w:rPr>
          <w:rFonts w:hint="eastAsia" w:ascii="宋体" w:hAnsi="宋体"/>
          <w:color w:val="auto"/>
          <w:spacing w:val="6"/>
          <w:szCs w:val="21"/>
          <w:highlight w:val="none"/>
        </w:rPr>
        <w:t xml:space="preserve"> </w:t>
      </w:r>
    </w:p>
    <w:p>
      <w:pPr>
        <w:pStyle w:val="36"/>
        <w:spacing w:line="360" w:lineRule="auto"/>
        <w:ind w:firstLine="444"/>
        <w:rPr>
          <w:rFonts w:hint="eastAsia" w:ascii="宋体" w:hAnsi="宋体"/>
          <w:color w:val="auto"/>
          <w:spacing w:val="6"/>
          <w:szCs w:val="21"/>
          <w:highlight w:val="none"/>
        </w:rPr>
      </w:pPr>
    </w:p>
    <w:p>
      <w:pPr>
        <w:spacing w:line="360" w:lineRule="auto"/>
        <w:ind w:firstLine="420"/>
        <w:rPr>
          <w:rFonts w:hint="eastAsia" w:ascii="宋体" w:hAnsi="宋体"/>
          <w:color w:val="auto"/>
          <w:szCs w:val="21"/>
          <w:highlight w:val="none"/>
        </w:rPr>
      </w:pPr>
    </w:p>
    <w:p>
      <w:pPr>
        <w:pStyle w:val="20"/>
        <w:tabs>
          <w:tab w:val="left" w:pos="5529"/>
        </w:tabs>
        <w:wordWrap w:val="0"/>
        <w:ind w:firstLine="2509" w:firstLineChars="1195"/>
        <w:rPr>
          <w:rFonts w:hint="eastAsia"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pPr>
        <w:pStyle w:val="20"/>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pPr>
        <w:tabs>
          <w:tab w:val="left" w:pos="4111"/>
        </w:tabs>
        <w:wordWrap w:val="0"/>
        <w:snapToGrid w:val="0"/>
        <w:spacing w:before="50"/>
        <w:ind w:firstLine="2520" w:firstLineChars="12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pPr>
        <w:tabs>
          <w:tab w:val="left" w:pos="4111"/>
        </w:tabs>
        <w:wordWrap w:val="0"/>
        <w:snapToGrid w:val="0"/>
        <w:spacing w:before="50"/>
        <w:ind w:firstLine="3968" w:firstLineChars="1890"/>
        <w:rPr>
          <w:rFonts w:hint="eastAsia" w:hAnsi="宋体"/>
          <w:color w:val="auto"/>
          <w:highlight w:val="none"/>
        </w:rPr>
      </w:pPr>
    </w:p>
    <w:p>
      <w:pPr>
        <w:pStyle w:val="20"/>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三、供应商直接控股、管理关系信息表格式</w:t>
      </w:r>
    </w:p>
    <w:p>
      <w:pPr>
        <w:snapToGrid w:val="0"/>
        <w:spacing w:before="156" w:beforeLines="50" w:after="50"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r>
        <w:rPr>
          <w:rFonts w:hint="eastAsia" w:hAnsi="宋体" w:cs="宋体"/>
          <w:b/>
          <w:color w:val="auto"/>
          <w:sz w:val="32"/>
          <w:highlight w:val="none"/>
        </w:rPr>
        <w:t>（格式）</w:t>
      </w:r>
    </w:p>
    <w:tbl>
      <w:tblPr>
        <w:tblStyle w:val="37"/>
        <w:tblW w:w="9840" w:type="dxa"/>
        <w:jc w:val="center"/>
        <w:shd w:val="clear" w:color="auto" w:fill="FBFBFB"/>
        <w:tblLayout w:type="fixed"/>
        <w:tblCellMar>
          <w:top w:w="0" w:type="dxa"/>
          <w:left w:w="0" w:type="dxa"/>
          <w:bottom w:w="0" w:type="dxa"/>
          <w:right w:w="0" w:type="dxa"/>
        </w:tblCellMar>
      </w:tblPr>
      <w:tblGrid>
        <w:gridCol w:w="880"/>
        <w:gridCol w:w="2656"/>
        <w:gridCol w:w="1455"/>
        <w:gridCol w:w="3857"/>
        <w:gridCol w:w="992"/>
      </w:tblGrid>
      <w:tr>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身份证号码或统一社会信用代码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bl>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pPr>
        <w:snapToGrid w:val="0"/>
        <w:spacing w:line="360" w:lineRule="auto"/>
        <w:ind w:firstLine="420"/>
        <w:jc w:val="left"/>
        <w:rPr>
          <w:rFonts w:hint="eastAsia" w:ascii="宋体" w:hAnsi="宋体" w:cs="宋体"/>
          <w:color w:val="auto"/>
          <w:szCs w:val="21"/>
          <w:highlight w:val="none"/>
        </w:rPr>
      </w:pPr>
    </w:p>
    <w:p>
      <w:pPr>
        <w:snapToGrid w:val="0"/>
        <w:spacing w:line="360" w:lineRule="auto"/>
        <w:ind w:firstLine="420"/>
        <w:jc w:val="left"/>
        <w:rPr>
          <w:rFonts w:hint="eastAsia" w:ascii="宋体" w:hAnsi="宋体" w:cs="宋体"/>
          <w:color w:val="auto"/>
          <w:szCs w:val="21"/>
          <w:highlight w:val="none"/>
        </w:rPr>
      </w:pPr>
    </w:p>
    <w:p>
      <w:pPr>
        <w:snapToGrid w:val="0"/>
        <w:spacing w:line="360" w:lineRule="auto"/>
        <w:ind w:firstLine="420"/>
        <w:jc w:val="left"/>
        <w:rPr>
          <w:rFonts w:hint="eastAsia" w:ascii="宋体" w:hAnsi="宋体" w:cs="宋体"/>
          <w:color w:val="auto"/>
          <w:szCs w:val="21"/>
          <w:highlight w:val="none"/>
        </w:rPr>
      </w:pPr>
    </w:p>
    <w:p>
      <w:pPr>
        <w:pStyle w:val="20"/>
        <w:tabs>
          <w:tab w:val="left" w:pos="5529"/>
        </w:tabs>
        <w:wordWrap w:val="0"/>
        <w:ind w:firstLine="2299" w:firstLineChars="1095"/>
        <w:rPr>
          <w:rFonts w:hint="eastAsia"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pPr>
        <w:pStyle w:val="20"/>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pPr>
        <w:tabs>
          <w:tab w:val="left" w:pos="4111"/>
        </w:tabs>
        <w:wordWrap w:val="0"/>
        <w:snapToGrid w:val="0"/>
        <w:spacing w:before="50"/>
        <w:ind w:firstLine="3968" w:firstLineChars="1890"/>
        <w:rPr>
          <w:rFonts w:hint="eastAsia" w:hAnsi="宋体"/>
          <w:color w:val="auto"/>
          <w:highlight w:val="none"/>
        </w:rPr>
      </w:pPr>
    </w:p>
    <w:p>
      <w:pPr>
        <w:snapToGrid w:val="0"/>
        <w:jc w:val="righ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snapToGrid w:val="0"/>
        <w:jc w:val="right"/>
        <w:rPr>
          <w:rFonts w:hint="eastAsia" w:hAnsi="宋体"/>
          <w:color w:val="auto"/>
          <w:highlight w:val="none"/>
        </w:rPr>
      </w:pPr>
    </w:p>
    <w:p>
      <w:pPr>
        <w:snapToGrid w:val="0"/>
        <w:jc w:val="left"/>
        <w:rPr>
          <w:rFonts w:hint="eastAsia" w:ascii="宋体" w:hAnsi="宋体" w:cs="宋体"/>
          <w:b/>
          <w:color w:val="auto"/>
          <w:szCs w:val="21"/>
          <w:highlight w:val="none"/>
        </w:rPr>
      </w:pPr>
      <w:r>
        <w:rPr>
          <w:rFonts w:hAnsi="宋体"/>
          <w:color w:val="auto"/>
          <w:highlight w:val="none"/>
        </w:rPr>
        <w:br w:type="page"/>
      </w:r>
      <w:r>
        <w:rPr>
          <w:rFonts w:hint="eastAsia" w:ascii="宋体" w:hAnsi="宋体" w:cs="宋体"/>
          <w:b/>
          <w:color w:val="auto"/>
          <w:szCs w:val="21"/>
          <w:highlight w:val="none"/>
        </w:rPr>
        <w:t>附件</w:t>
      </w:r>
    </w:p>
    <w:p>
      <w:pPr>
        <w:pStyle w:val="20"/>
        <w:ind w:firstLine="400"/>
        <w:jc w:val="right"/>
        <w:rPr>
          <w:rFonts w:hint="eastAsia" w:hAnsi="宋体" w:cs="宋体"/>
          <w:color w:val="auto"/>
          <w:highlight w:val="none"/>
        </w:rPr>
      </w:pPr>
    </w:p>
    <w:p>
      <w:pPr>
        <w:spacing w:before="100" w:beforeAutospacing="1" w:after="156" w:afterLines="50"/>
        <w:jc w:val="center"/>
        <w:rPr>
          <w:b/>
          <w:color w:val="auto"/>
          <w:sz w:val="32"/>
          <w:szCs w:val="32"/>
          <w:highlight w:val="none"/>
        </w:rPr>
      </w:pPr>
      <w:r>
        <w:rPr>
          <w:rFonts w:hint="eastAsia"/>
          <w:b/>
          <w:color w:val="auto"/>
          <w:sz w:val="32"/>
          <w:szCs w:val="32"/>
          <w:highlight w:val="none"/>
        </w:rPr>
        <w:t>供应商直接管理关系信息表</w:t>
      </w:r>
      <w:r>
        <w:rPr>
          <w:rFonts w:hint="eastAsia" w:hAnsi="宋体" w:cs="宋体"/>
          <w:b/>
          <w:color w:val="auto"/>
          <w:sz w:val="32"/>
          <w:highlight w:val="none"/>
        </w:rPr>
        <w:t>（格式）</w:t>
      </w:r>
    </w:p>
    <w:tbl>
      <w:tblPr>
        <w:tblStyle w:val="3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bl>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pPr>
        <w:snapToGrid w:val="0"/>
        <w:spacing w:line="360" w:lineRule="auto"/>
        <w:ind w:firstLine="420"/>
        <w:jc w:val="left"/>
        <w:rPr>
          <w:rFonts w:hint="eastAsia" w:ascii="宋体" w:hAnsi="宋体"/>
          <w:color w:val="auto"/>
          <w:szCs w:val="21"/>
          <w:highlight w:val="none"/>
        </w:rPr>
      </w:pPr>
    </w:p>
    <w:p>
      <w:pPr>
        <w:snapToGrid w:val="0"/>
        <w:spacing w:line="360" w:lineRule="auto"/>
        <w:ind w:firstLine="420"/>
        <w:jc w:val="left"/>
        <w:rPr>
          <w:rFonts w:hint="eastAsia" w:ascii="宋体" w:hAnsi="宋体"/>
          <w:color w:val="auto"/>
          <w:szCs w:val="21"/>
          <w:highlight w:val="none"/>
        </w:rPr>
      </w:pPr>
    </w:p>
    <w:p>
      <w:pPr>
        <w:snapToGrid w:val="0"/>
        <w:ind w:firstLine="560"/>
        <w:jc w:val="left"/>
        <w:rPr>
          <w:color w:val="auto"/>
          <w:sz w:val="28"/>
          <w:szCs w:val="28"/>
          <w:highlight w:val="none"/>
        </w:rPr>
      </w:pPr>
    </w:p>
    <w:p>
      <w:pPr>
        <w:snapToGrid w:val="0"/>
        <w:ind w:firstLine="560"/>
        <w:jc w:val="left"/>
        <w:rPr>
          <w:color w:val="auto"/>
          <w:sz w:val="28"/>
          <w:szCs w:val="28"/>
          <w:highlight w:val="none"/>
        </w:rPr>
      </w:pPr>
    </w:p>
    <w:p>
      <w:pPr>
        <w:pStyle w:val="20"/>
        <w:tabs>
          <w:tab w:val="left" w:pos="5529"/>
        </w:tabs>
        <w:wordWrap w:val="0"/>
        <w:ind w:firstLine="2299" w:firstLineChars="1095"/>
        <w:rPr>
          <w:rFonts w:hint="eastAsia"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pPr>
        <w:pStyle w:val="20"/>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pPr>
        <w:tabs>
          <w:tab w:val="left" w:pos="4111"/>
        </w:tabs>
        <w:wordWrap w:val="0"/>
        <w:snapToGrid w:val="0"/>
        <w:spacing w:before="50"/>
        <w:ind w:firstLine="3968" w:firstLineChars="1890"/>
        <w:rPr>
          <w:rFonts w:hint="eastAsia" w:hAnsi="宋体"/>
          <w:color w:val="auto"/>
          <w:highlight w:val="none"/>
        </w:rPr>
      </w:pPr>
    </w:p>
    <w:p>
      <w:pPr>
        <w:pStyle w:val="20"/>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pPr>
        <w:snapToGrid w:val="0"/>
        <w:spacing w:before="50" w:after="50"/>
        <w:ind w:left="-6" w:leftChars="-3" w:right="-817" w:rightChars="-389" w:firstLine="6720" w:firstLineChars="3200"/>
        <w:rPr>
          <w:rFonts w:hint="eastAsia" w:ascii="宋体" w:hAnsi="宋体" w:cs="宋体"/>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sectPr>
          <w:pgSz w:w="11906" w:h="16838"/>
          <w:pgMar w:top="1134" w:right="1134" w:bottom="1134" w:left="1134" w:header="720" w:footer="720" w:gutter="0"/>
          <w:cols w:space="0" w:num="1"/>
          <w:docGrid w:type="lines" w:linePitch="312" w:charSpace="0"/>
        </w:sectPr>
      </w:pPr>
    </w:p>
    <w:p>
      <w:pPr>
        <w:snapToGrid w:val="0"/>
        <w:spacing w:before="156" w:beforeLines="50" w:after="50"/>
        <w:rPr>
          <w:rFonts w:hint="eastAsia" w:ascii="宋体" w:hAnsi="宋体" w:cs="宋体"/>
          <w:b/>
          <w:bCs/>
          <w:color w:val="auto"/>
          <w:szCs w:val="21"/>
          <w:highlight w:val="none"/>
        </w:rPr>
      </w:pPr>
      <w:r>
        <w:rPr>
          <w:rFonts w:hint="eastAsia" w:ascii="宋体" w:hAnsi="宋体" w:cs="宋体"/>
          <w:b/>
          <w:bCs/>
          <w:color w:val="auto"/>
          <w:szCs w:val="21"/>
          <w:highlight w:val="none"/>
        </w:rPr>
        <w:t>2、商务和技术文件格式：</w:t>
      </w:r>
    </w:p>
    <w:p>
      <w:pPr>
        <w:snapToGrid w:val="0"/>
        <w:spacing w:before="156" w:beforeLines="50" w:after="50" w:line="330" w:lineRule="exact"/>
        <w:jc w:val="center"/>
        <w:rPr>
          <w:rFonts w:hint="eastAsia" w:ascii="宋体" w:hAnsi="宋体" w:cs="宋体"/>
          <w:b/>
          <w:color w:val="auto"/>
          <w:szCs w:val="21"/>
          <w:highlight w:val="none"/>
        </w:rPr>
      </w:pPr>
    </w:p>
    <w:p>
      <w:pPr>
        <w:snapToGrid w:val="0"/>
        <w:spacing w:before="156" w:beforeLines="50" w:after="50" w:line="330" w:lineRule="exact"/>
        <w:jc w:val="center"/>
        <w:rPr>
          <w:rFonts w:hint="eastAsia" w:ascii="宋体" w:hAnsi="宋体" w:cs="宋体"/>
          <w:b/>
          <w:color w:val="auto"/>
          <w:szCs w:val="21"/>
          <w:highlight w:val="none"/>
        </w:rPr>
      </w:pPr>
    </w:p>
    <w:p>
      <w:pPr>
        <w:snapToGrid w:val="0"/>
        <w:spacing w:before="156" w:beforeLines="50" w:after="50" w:line="330" w:lineRule="exact"/>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156" w:beforeLines="50" w:after="50" w:line="330" w:lineRule="exact"/>
        <w:jc w:val="center"/>
        <w:rPr>
          <w:rFonts w:hint="eastAsia" w:ascii="宋体" w:hAnsi="宋体" w:cs="宋体"/>
          <w:color w:val="auto"/>
          <w:sz w:val="28"/>
          <w:szCs w:val="28"/>
          <w:highlight w:val="none"/>
        </w:rPr>
      </w:pPr>
    </w:p>
    <w:p>
      <w:pPr>
        <w:tabs>
          <w:tab w:val="left" w:pos="2625"/>
        </w:tabs>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t>一、法定代表人身份证明书格式</w:t>
      </w:r>
    </w:p>
    <w:p>
      <w:pPr>
        <w:pStyle w:val="20"/>
        <w:ind w:left="-10" w:firstLine="10" w:firstLineChars="3"/>
        <w:jc w:val="center"/>
        <w:rPr>
          <w:rFonts w:hint="eastAsia" w:hAnsi="宋体" w:cs="宋体"/>
          <w:b/>
          <w:color w:val="auto"/>
          <w:sz w:val="32"/>
          <w:highlight w:val="none"/>
        </w:rPr>
      </w:pPr>
      <w:r>
        <w:rPr>
          <w:rFonts w:hint="eastAsia" w:hAnsi="宋体" w:cs="宋体"/>
          <w:b/>
          <w:color w:val="auto"/>
          <w:sz w:val="32"/>
          <w:highlight w:val="none"/>
        </w:rPr>
        <w:t>法定代表人身份证明书（格式）</w:t>
      </w:r>
    </w:p>
    <w:p>
      <w:pPr>
        <w:pStyle w:val="20"/>
        <w:spacing w:line="480" w:lineRule="auto"/>
        <w:ind w:firstLine="698" w:firstLineChars="349"/>
        <w:rPr>
          <w:rFonts w:hint="eastAsia" w:hAnsi="宋体" w:cs="宋体"/>
          <w:color w:val="auto"/>
          <w:highlight w:val="none"/>
        </w:rPr>
      </w:pPr>
    </w:p>
    <w:p>
      <w:pPr>
        <w:pStyle w:val="20"/>
        <w:spacing w:line="480" w:lineRule="auto"/>
        <w:ind w:firstLine="720" w:firstLineChars="300"/>
        <w:rPr>
          <w:rFonts w:hint="eastAsia" w:hAnsi="宋体"/>
          <w:color w:val="auto"/>
          <w:sz w:val="24"/>
          <w:szCs w:val="24"/>
          <w:highlight w:val="none"/>
          <w:u w:val="single"/>
        </w:rPr>
      </w:pPr>
      <w:r>
        <w:rPr>
          <w:rFonts w:hint="eastAsia" w:hAnsi="宋体"/>
          <w:color w:val="auto"/>
          <w:sz w:val="24"/>
          <w:szCs w:val="24"/>
          <w:highlight w:val="none"/>
        </w:rPr>
        <w:t>供 应 商：</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p>
    <w:p>
      <w:pPr>
        <w:pStyle w:val="20"/>
        <w:spacing w:line="480" w:lineRule="auto"/>
        <w:ind w:firstLine="720" w:firstLineChars="300"/>
        <w:rPr>
          <w:rFonts w:hint="eastAsia" w:hAnsi="宋体"/>
          <w:color w:val="auto"/>
          <w:sz w:val="24"/>
          <w:szCs w:val="24"/>
          <w:highlight w:val="none"/>
          <w:u w:val="single"/>
        </w:rPr>
      </w:pPr>
      <w:r>
        <w:rPr>
          <w:rFonts w:hint="eastAsia" w:hAnsi="宋体"/>
          <w:color w:val="auto"/>
          <w:sz w:val="24"/>
          <w:szCs w:val="24"/>
          <w:highlight w:val="none"/>
        </w:rPr>
        <w:t xml:space="preserve">地 </w:t>
      </w:r>
      <w:r>
        <w:rPr>
          <w:rFonts w:hAnsi="宋体"/>
          <w:color w:val="auto"/>
          <w:sz w:val="24"/>
          <w:szCs w:val="24"/>
          <w:highlight w:val="none"/>
        </w:rPr>
        <w:t xml:space="preserve">   </w:t>
      </w:r>
      <w:r>
        <w:rPr>
          <w:rFonts w:hint="eastAsia" w:hAnsi="宋体"/>
          <w:color w:val="auto"/>
          <w:sz w:val="24"/>
          <w:szCs w:val="24"/>
          <w:highlight w:val="none"/>
        </w:rPr>
        <w:t>址：</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p>
    <w:p>
      <w:pPr>
        <w:pStyle w:val="20"/>
        <w:spacing w:line="480" w:lineRule="auto"/>
        <w:ind w:firstLine="720" w:firstLineChars="300"/>
        <w:rPr>
          <w:rFonts w:hint="eastAsia" w:hAnsi="宋体"/>
          <w:color w:val="auto"/>
          <w:sz w:val="24"/>
          <w:szCs w:val="24"/>
          <w:highlight w:val="none"/>
        </w:rPr>
      </w:pPr>
      <w:r>
        <w:rPr>
          <w:rFonts w:hint="eastAsia" w:hAnsi="宋体"/>
          <w:color w:val="auto"/>
          <w:sz w:val="24"/>
          <w:szCs w:val="24"/>
          <w:highlight w:val="none"/>
        </w:rPr>
        <w:t xml:space="preserve">姓 </w:t>
      </w:r>
      <w:r>
        <w:rPr>
          <w:rFonts w:hAnsi="宋体"/>
          <w:color w:val="auto"/>
          <w:sz w:val="24"/>
          <w:szCs w:val="24"/>
          <w:highlight w:val="none"/>
        </w:rPr>
        <w:t xml:space="preserve">   </w:t>
      </w:r>
      <w:r>
        <w:rPr>
          <w:rFonts w:hint="eastAsia" w:hAnsi="宋体"/>
          <w:color w:val="auto"/>
          <w:sz w:val="24"/>
          <w:szCs w:val="24"/>
          <w:highlight w:val="none"/>
        </w:rPr>
        <w:t>名：</w:t>
      </w:r>
      <w:r>
        <w:rPr>
          <w:rFonts w:hint="eastAsia" w:hAnsi="宋体"/>
          <w:color w:val="auto"/>
          <w:sz w:val="24"/>
          <w:szCs w:val="24"/>
          <w:highlight w:val="none"/>
          <w:u w:val="single"/>
        </w:rPr>
        <w:t xml:space="preserve">                  </w:t>
      </w:r>
      <w:r>
        <w:rPr>
          <w:rFonts w:hAnsi="宋体"/>
          <w:color w:val="auto"/>
          <w:sz w:val="24"/>
          <w:szCs w:val="24"/>
          <w:highlight w:val="none"/>
        </w:rPr>
        <w:t xml:space="preserve">     </w:t>
      </w:r>
      <w:r>
        <w:rPr>
          <w:rFonts w:hint="eastAsia" w:hAnsi="宋体"/>
          <w:color w:val="auto"/>
          <w:sz w:val="24"/>
          <w:szCs w:val="24"/>
          <w:highlight w:val="none"/>
        </w:rPr>
        <w:t xml:space="preserve">性 </w:t>
      </w:r>
      <w:r>
        <w:rPr>
          <w:rFonts w:hAnsi="宋体"/>
          <w:color w:val="auto"/>
          <w:sz w:val="24"/>
          <w:szCs w:val="24"/>
          <w:highlight w:val="none"/>
        </w:rPr>
        <w:t xml:space="preserve">    </w:t>
      </w:r>
      <w:r>
        <w:rPr>
          <w:rFonts w:hint="eastAsia" w:hAnsi="宋体"/>
          <w:color w:val="auto"/>
          <w:sz w:val="24"/>
          <w:szCs w:val="24"/>
          <w:highlight w:val="none"/>
        </w:rPr>
        <w:t>别：</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p>
    <w:p>
      <w:pPr>
        <w:pStyle w:val="20"/>
        <w:spacing w:line="480" w:lineRule="auto"/>
        <w:ind w:firstLine="720" w:firstLineChars="300"/>
        <w:rPr>
          <w:rFonts w:hint="eastAsia" w:hAnsi="宋体"/>
          <w:color w:val="auto"/>
          <w:sz w:val="24"/>
          <w:szCs w:val="24"/>
          <w:highlight w:val="none"/>
        </w:rPr>
      </w:pPr>
      <w:r>
        <w:rPr>
          <w:rFonts w:hint="eastAsia" w:hAnsi="宋体"/>
          <w:color w:val="auto"/>
          <w:sz w:val="24"/>
          <w:szCs w:val="24"/>
          <w:highlight w:val="none"/>
        </w:rPr>
        <w:t xml:space="preserve">年 </w:t>
      </w:r>
      <w:r>
        <w:rPr>
          <w:rFonts w:hAnsi="宋体"/>
          <w:color w:val="auto"/>
          <w:sz w:val="24"/>
          <w:szCs w:val="24"/>
          <w:highlight w:val="none"/>
        </w:rPr>
        <w:t xml:space="preserve">   </w:t>
      </w:r>
      <w:r>
        <w:rPr>
          <w:rFonts w:hint="eastAsia" w:hAnsi="宋体"/>
          <w:color w:val="auto"/>
          <w:sz w:val="24"/>
          <w:szCs w:val="24"/>
          <w:highlight w:val="none"/>
        </w:rPr>
        <w:t>龄：</w:t>
      </w:r>
      <w:r>
        <w:rPr>
          <w:rFonts w:hint="eastAsia" w:hAnsi="宋体"/>
          <w:color w:val="auto"/>
          <w:sz w:val="24"/>
          <w:szCs w:val="24"/>
          <w:highlight w:val="none"/>
          <w:u w:val="single"/>
        </w:rPr>
        <w:t xml:space="preserve">                  </w:t>
      </w:r>
      <w:r>
        <w:rPr>
          <w:rFonts w:hAnsi="宋体"/>
          <w:color w:val="auto"/>
          <w:sz w:val="24"/>
          <w:szCs w:val="24"/>
          <w:highlight w:val="none"/>
        </w:rPr>
        <w:t xml:space="preserve">     </w:t>
      </w:r>
      <w:r>
        <w:rPr>
          <w:rFonts w:hint="eastAsia" w:hAnsi="宋体"/>
          <w:color w:val="auto"/>
          <w:sz w:val="24"/>
          <w:szCs w:val="24"/>
          <w:highlight w:val="none"/>
        </w:rPr>
        <w:t xml:space="preserve">职 </w:t>
      </w:r>
      <w:r>
        <w:rPr>
          <w:rFonts w:hAnsi="宋体"/>
          <w:color w:val="auto"/>
          <w:sz w:val="24"/>
          <w:szCs w:val="24"/>
          <w:highlight w:val="none"/>
        </w:rPr>
        <w:t xml:space="preserve">    </w:t>
      </w:r>
      <w:r>
        <w:rPr>
          <w:rFonts w:hint="eastAsia" w:hAnsi="宋体"/>
          <w:color w:val="auto"/>
          <w:sz w:val="24"/>
          <w:szCs w:val="24"/>
          <w:highlight w:val="none"/>
        </w:rPr>
        <w:t>务：</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p>
    <w:p>
      <w:pPr>
        <w:pStyle w:val="20"/>
        <w:spacing w:line="480" w:lineRule="auto"/>
        <w:ind w:firstLine="720" w:firstLineChars="300"/>
        <w:rPr>
          <w:rFonts w:hint="eastAsia" w:hAnsi="宋体"/>
          <w:color w:val="auto"/>
          <w:sz w:val="24"/>
          <w:szCs w:val="24"/>
          <w:highlight w:val="none"/>
        </w:rPr>
      </w:pPr>
      <w:r>
        <w:rPr>
          <w:rFonts w:hint="eastAsia" w:hAnsi="宋体"/>
          <w:color w:val="auto"/>
          <w:sz w:val="24"/>
          <w:szCs w:val="24"/>
          <w:highlight w:val="none"/>
        </w:rPr>
        <w:t>系</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（供应商单位名称）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的法定代表人。</w:t>
      </w:r>
    </w:p>
    <w:p>
      <w:pPr>
        <w:pStyle w:val="20"/>
        <w:spacing w:line="480" w:lineRule="auto"/>
        <w:ind w:firstLine="720" w:firstLineChars="300"/>
        <w:rPr>
          <w:rFonts w:hint="eastAsia" w:hAnsi="宋体"/>
          <w:color w:val="auto"/>
          <w:sz w:val="24"/>
          <w:szCs w:val="24"/>
          <w:highlight w:val="none"/>
        </w:rPr>
      </w:pPr>
      <w:r>
        <w:rPr>
          <w:rFonts w:hint="eastAsia" w:hAnsi="宋体"/>
          <w:color w:val="auto"/>
          <w:sz w:val="24"/>
          <w:szCs w:val="24"/>
          <w:highlight w:val="none"/>
        </w:rPr>
        <w:t>特此证明。</w:t>
      </w:r>
    </w:p>
    <w:p>
      <w:pPr>
        <w:pStyle w:val="20"/>
        <w:spacing w:line="480" w:lineRule="auto"/>
        <w:ind w:firstLine="720" w:firstLineChars="300"/>
        <w:rPr>
          <w:rFonts w:hint="eastAsia" w:hAnsi="宋体"/>
          <w:color w:val="auto"/>
          <w:sz w:val="24"/>
          <w:szCs w:val="24"/>
          <w:highlight w:val="none"/>
        </w:rPr>
      </w:pPr>
    </w:p>
    <w:p>
      <w:pPr>
        <w:pStyle w:val="20"/>
        <w:spacing w:line="480" w:lineRule="auto"/>
        <w:ind w:firstLine="843" w:firstLineChars="300"/>
        <w:rPr>
          <w:rFonts w:hint="eastAsia" w:hAnsi="宋体"/>
          <w:color w:val="auto"/>
          <w:sz w:val="24"/>
          <w:szCs w:val="24"/>
          <w:highlight w:val="none"/>
        </w:rPr>
      </w:pPr>
      <w:r>
        <w:rPr>
          <w:b/>
          <w:color w:val="auto"/>
          <w:sz w:val="28"/>
          <w:szCs w:val="28"/>
          <w:highlight w:val="none"/>
        </w:rPr>
        <w:t>附件：法定代表人有效身份证正反面复印件</w:t>
      </w:r>
    </w:p>
    <w:p>
      <w:pPr>
        <w:pStyle w:val="20"/>
        <w:tabs>
          <w:tab w:val="left" w:pos="5529"/>
        </w:tabs>
        <w:wordWrap w:val="0"/>
        <w:ind w:firstLine="3968" w:firstLineChars="1890"/>
        <w:rPr>
          <w:rFonts w:hint="eastAsia" w:hAnsi="宋体"/>
          <w:color w:val="auto"/>
          <w:kern w:val="2"/>
          <w:sz w:val="21"/>
          <w:highlight w:val="none"/>
        </w:rPr>
      </w:pPr>
    </w:p>
    <w:p>
      <w:pPr>
        <w:pStyle w:val="20"/>
        <w:tabs>
          <w:tab w:val="left" w:pos="5529"/>
        </w:tabs>
        <w:wordWrap w:val="0"/>
        <w:ind w:firstLine="4389" w:firstLineChars="2090"/>
        <w:rPr>
          <w:rFonts w:hint="eastAsia" w:hAnsi="宋体"/>
          <w:color w:val="auto"/>
          <w:kern w:val="2"/>
          <w:sz w:val="21"/>
          <w:highlight w:val="none"/>
        </w:rPr>
      </w:pPr>
    </w:p>
    <w:p>
      <w:pPr>
        <w:pStyle w:val="20"/>
        <w:tabs>
          <w:tab w:val="left" w:pos="5529"/>
        </w:tabs>
        <w:wordWrap w:val="0"/>
        <w:ind w:firstLine="4389" w:firstLineChars="2090"/>
        <w:rPr>
          <w:rFonts w:hint="eastAsia" w:hAnsi="宋体"/>
          <w:color w:val="auto"/>
          <w:kern w:val="2"/>
          <w:sz w:val="21"/>
          <w:highlight w:val="none"/>
        </w:rPr>
      </w:pPr>
    </w:p>
    <w:p>
      <w:pPr>
        <w:pStyle w:val="20"/>
        <w:tabs>
          <w:tab w:val="left" w:pos="5529"/>
        </w:tabs>
        <w:wordWrap w:val="0"/>
        <w:ind w:firstLine="4389" w:firstLineChars="2090"/>
        <w:rPr>
          <w:rFonts w:hint="eastAsia" w:hAnsi="宋体"/>
          <w:color w:val="auto"/>
          <w:kern w:val="2"/>
          <w:sz w:val="21"/>
          <w:highlight w:val="none"/>
        </w:rPr>
      </w:pPr>
    </w:p>
    <w:p>
      <w:pPr>
        <w:pStyle w:val="20"/>
        <w:tabs>
          <w:tab w:val="left" w:pos="5529"/>
        </w:tabs>
        <w:wordWrap w:val="0"/>
        <w:ind w:firstLine="4560" w:firstLineChars="1900"/>
        <w:rPr>
          <w:rFonts w:hint="eastAsia" w:hAnsi="宋体"/>
          <w:color w:val="auto"/>
          <w:kern w:val="2"/>
          <w:sz w:val="24"/>
          <w:szCs w:val="24"/>
          <w:highlight w:val="none"/>
          <w:u w:val="single"/>
        </w:rPr>
      </w:pPr>
      <w:r>
        <w:rPr>
          <w:rFonts w:hint="eastAsia" w:hAnsi="宋体"/>
          <w:color w:val="auto"/>
          <w:kern w:val="2"/>
          <w:sz w:val="24"/>
          <w:szCs w:val="24"/>
          <w:highlight w:val="none"/>
        </w:rPr>
        <w:t xml:space="preserve">供应商名称（电子公章）： </w:t>
      </w:r>
      <w:r>
        <w:rPr>
          <w:rFonts w:hint="eastAsia" w:hAnsi="宋体"/>
          <w:color w:val="auto"/>
          <w:sz w:val="24"/>
          <w:szCs w:val="24"/>
          <w:highlight w:val="none"/>
          <w:u w:val="single"/>
        </w:rPr>
        <w:t xml:space="preserve">                </w:t>
      </w:r>
    </w:p>
    <w:p>
      <w:pPr>
        <w:pStyle w:val="20"/>
        <w:tabs>
          <w:tab w:val="left" w:pos="5529"/>
        </w:tabs>
        <w:wordWrap w:val="0"/>
        <w:ind w:firstLine="4536" w:firstLineChars="1890"/>
        <w:rPr>
          <w:rFonts w:hint="eastAsia" w:hAnsi="宋体"/>
          <w:color w:val="auto"/>
          <w:kern w:val="2"/>
          <w:sz w:val="24"/>
          <w:szCs w:val="24"/>
          <w:highlight w:val="none"/>
        </w:rPr>
      </w:pPr>
      <w:r>
        <w:rPr>
          <w:rFonts w:hint="eastAsia" w:hAnsi="宋体"/>
          <w:color w:val="auto"/>
          <w:kern w:val="2"/>
          <w:sz w:val="24"/>
          <w:szCs w:val="24"/>
          <w:highlight w:val="none"/>
        </w:rPr>
        <w:t xml:space="preserve">                                 </w:t>
      </w:r>
    </w:p>
    <w:p>
      <w:pPr>
        <w:pStyle w:val="20"/>
        <w:tabs>
          <w:tab w:val="left" w:pos="5529"/>
        </w:tabs>
        <w:ind w:right="120" w:firstLine="4536" w:firstLineChars="1890"/>
        <w:jc w:val="right"/>
        <w:rPr>
          <w:color w:val="auto"/>
          <w:sz w:val="24"/>
          <w:szCs w:val="24"/>
          <w:highlight w:val="none"/>
        </w:rPr>
      </w:pPr>
      <w:r>
        <w:rPr>
          <w:color w:val="auto"/>
          <w:sz w:val="24"/>
          <w:szCs w:val="24"/>
          <w:highlight w:val="none"/>
        </w:rPr>
        <w:t>年    月    日</w:t>
      </w:r>
    </w:p>
    <w:p>
      <w:pPr>
        <w:pStyle w:val="20"/>
        <w:tabs>
          <w:tab w:val="left" w:pos="5529"/>
        </w:tabs>
        <w:ind w:right="120" w:firstLine="4536" w:firstLineChars="1890"/>
        <w:jc w:val="right"/>
        <w:rPr>
          <w:color w:val="auto"/>
          <w:sz w:val="24"/>
          <w:szCs w:val="24"/>
          <w:highlight w:val="none"/>
        </w:rPr>
      </w:pPr>
    </w:p>
    <w:p>
      <w:pPr>
        <w:pStyle w:val="20"/>
        <w:tabs>
          <w:tab w:val="left" w:pos="5529"/>
        </w:tabs>
        <w:ind w:right="120" w:firstLine="4536" w:firstLineChars="1890"/>
        <w:jc w:val="right"/>
        <w:rPr>
          <w:color w:val="auto"/>
          <w:sz w:val="24"/>
          <w:szCs w:val="24"/>
          <w:highlight w:val="none"/>
        </w:rPr>
      </w:pPr>
    </w:p>
    <w:p>
      <w:pPr>
        <w:pStyle w:val="20"/>
        <w:tabs>
          <w:tab w:val="left" w:pos="5529"/>
        </w:tabs>
        <w:ind w:right="120" w:firstLine="480"/>
        <w:rPr>
          <w:color w:val="auto"/>
          <w:sz w:val="24"/>
          <w:szCs w:val="24"/>
          <w:highlight w:val="none"/>
        </w:rPr>
      </w:pPr>
    </w:p>
    <w:p>
      <w:pPr>
        <w:pStyle w:val="20"/>
        <w:tabs>
          <w:tab w:val="left" w:pos="5529"/>
        </w:tabs>
        <w:ind w:right="120" w:firstLine="482"/>
        <w:rPr>
          <w:b/>
          <w:color w:val="auto"/>
          <w:sz w:val="24"/>
          <w:szCs w:val="24"/>
          <w:highlight w:val="none"/>
        </w:rPr>
      </w:pPr>
      <w:r>
        <w:rPr>
          <w:rFonts w:hint="eastAsia"/>
          <w:b/>
          <w:color w:val="auto"/>
          <w:sz w:val="24"/>
          <w:szCs w:val="24"/>
          <w:highlight w:val="none"/>
        </w:rPr>
        <w:t>注：自然人竞标的无需提供</w:t>
      </w:r>
    </w:p>
    <w:p>
      <w:pPr>
        <w:jc w:val="center"/>
        <w:rPr>
          <w:rFonts w:hint="eastAsia" w:ascii="宋体" w:hAnsi="宋体" w:cs="宋体"/>
          <w:color w:val="auto"/>
          <w:highlight w:val="none"/>
          <w:u w:val="single"/>
        </w:rPr>
      </w:pPr>
      <w:r>
        <w:rPr>
          <w:rFonts w:hint="eastAsia" w:ascii="宋体" w:hAnsi="宋体" w:cs="宋体"/>
          <w:color w:val="auto"/>
          <w:highlight w:val="none"/>
        </w:rPr>
        <w:t xml:space="preserve">        </w:t>
      </w:r>
    </w:p>
    <w:p>
      <w:pPr>
        <w:pStyle w:val="20"/>
        <w:spacing w:line="240" w:lineRule="exact"/>
        <w:rPr>
          <w:rFonts w:hint="eastAsia" w:hAnsi="宋体" w:cs="宋体"/>
          <w:color w:val="auto"/>
          <w:sz w:val="44"/>
          <w:highlight w:val="none"/>
        </w:rPr>
      </w:pPr>
    </w:p>
    <w:p>
      <w:pPr>
        <w:pStyle w:val="20"/>
        <w:spacing w:line="240" w:lineRule="atLeast"/>
        <w:ind w:firstLine="5500" w:firstLineChars="2750"/>
        <w:rPr>
          <w:rFonts w:hint="eastAsia" w:hAnsi="宋体" w:cs="宋体"/>
          <w:color w:val="auto"/>
          <w:highlight w:val="none"/>
        </w:rPr>
      </w:pPr>
    </w:p>
    <w:p>
      <w:pPr>
        <w:pStyle w:val="20"/>
        <w:spacing w:line="240" w:lineRule="atLeast"/>
        <w:ind w:firstLine="5500" w:firstLineChars="2750"/>
        <w:rPr>
          <w:rFonts w:hint="eastAsia" w:hAnsi="宋体" w:cs="宋体"/>
          <w:color w:val="auto"/>
          <w:highlight w:val="none"/>
        </w:rPr>
      </w:pPr>
    </w:p>
    <w:p>
      <w:pPr>
        <w:pStyle w:val="20"/>
        <w:spacing w:line="240" w:lineRule="atLeast"/>
        <w:ind w:firstLine="5500" w:firstLineChars="2750"/>
        <w:rPr>
          <w:rFonts w:hint="eastAsia" w:hAnsi="宋体" w:cs="宋体"/>
          <w:color w:val="auto"/>
          <w:highlight w:val="none"/>
        </w:rPr>
      </w:pPr>
    </w:p>
    <w:p>
      <w:pPr>
        <w:pStyle w:val="20"/>
        <w:spacing w:line="240" w:lineRule="atLeast"/>
        <w:ind w:firstLine="5500" w:firstLineChars="2750"/>
        <w:rPr>
          <w:rFonts w:hint="eastAsia" w:hAnsi="宋体" w:cs="宋体"/>
          <w:color w:val="auto"/>
          <w:highlight w:val="none"/>
        </w:rPr>
      </w:pPr>
    </w:p>
    <w:p>
      <w:pPr>
        <w:pStyle w:val="20"/>
        <w:spacing w:line="240" w:lineRule="atLeast"/>
        <w:ind w:firstLine="5500" w:firstLineChars="2750"/>
        <w:rPr>
          <w:rFonts w:hint="eastAsia" w:hAnsi="宋体" w:cs="宋体"/>
          <w:color w:val="auto"/>
          <w:highlight w:val="none"/>
        </w:rPr>
      </w:pPr>
    </w:p>
    <w:p>
      <w:pPr>
        <w:spacing w:line="300" w:lineRule="auto"/>
        <w:rPr>
          <w:rFonts w:hint="eastAsia" w:ascii="宋体" w:hAnsi="宋体" w:cs="宋体"/>
          <w:b/>
          <w:color w:val="auto"/>
          <w:highlight w:val="none"/>
        </w:rPr>
        <w:sectPr>
          <w:pgSz w:w="11906" w:h="16838"/>
          <w:pgMar w:top="1134" w:right="1134" w:bottom="1134" w:left="1134" w:header="720" w:footer="720" w:gutter="0"/>
          <w:cols w:space="0" w:num="1"/>
          <w:docGrid w:type="lines" w:linePitch="312" w:charSpace="0"/>
        </w:sectPr>
      </w:pPr>
    </w:p>
    <w:p>
      <w:pPr>
        <w:spacing w:line="300" w:lineRule="auto"/>
        <w:rPr>
          <w:rFonts w:hint="eastAsia" w:ascii="宋体" w:hAnsi="宋体" w:cs="宋体"/>
          <w:b/>
          <w:color w:val="auto"/>
          <w:sz w:val="24"/>
          <w:highlight w:val="none"/>
        </w:rPr>
      </w:pPr>
      <w:r>
        <w:rPr>
          <w:rFonts w:hint="eastAsia" w:ascii="宋体" w:hAnsi="宋体" w:cs="宋体"/>
          <w:b/>
          <w:color w:val="auto"/>
          <w:sz w:val="24"/>
          <w:highlight w:val="none"/>
        </w:rPr>
        <w:t>二、法定代表人授权委托书格式</w:t>
      </w:r>
    </w:p>
    <w:p>
      <w:pPr>
        <w:pStyle w:val="20"/>
        <w:jc w:val="center"/>
        <w:rPr>
          <w:rFonts w:hint="eastAsia" w:hAnsi="宋体" w:cs="宋体"/>
          <w:b/>
          <w:color w:val="auto"/>
          <w:sz w:val="32"/>
          <w:highlight w:val="none"/>
        </w:rPr>
      </w:pPr>
      <w:r>
        <w:rPr>
          <w:rFonts w:hint="eastAsia" w:hAnsi="宋体" w:cs="宋体"/>
          <w:b/>
          <w:color w:val="auto"/>
          <w:sz w:val="32"/>
          <w:highlight w:val="none"/>
        </w:rPr>
        <w:t>法定代表人授权委托书</w:t>
      </w:r>
    </w:p>
    <w:p>
      <w:pPr>
        <w:snapToGrid w:val="0"/>
        <w:spacing w:line="480" w:lineRule="auto"/>
        <w:rPr>
          <w:rFonts w:hint="eastAsia"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（采购人、代理机构名称）：</w:t>
      </w:r>
    </w:p>
    <w:p>
      <w:pPr>
        <w:snapToGrid w:val="0"/>
        <w:spacing w:line="48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 xml:space="preserve">我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项目的谈判活动，并代表我方全权办理针对上述项目的递交文件、谈判、澄清、签约等具体事务和签署相关文件。</w:t>
      </w:r>
    </w:p>
    <w:p>
      <w:pPr>
        <w:snapToGrid w:val="0"/>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我方对被授权人的签字或者电子签名或者加盖电子印章事项负全部责任。</w:t>
      </w:r>
    </w:p>
    <w:p>
      <w:pPr>
        <w:snapToGrid w:val="0"/>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pPr>
        <w:snapToGrid w:val="0"/>
        <w:spacing w:line="360" w:lineRule="auto"/>
        <w:ind w:firstLine="480"/>
        <w:rPr>
          <w:rFonts w:hint="eastAsia" w:ascii="宋体" w:hAnsi="宋体" w:cs="宋体"/>
          <w:color w:val="auto"/>
          <w:sz w:val="24"/>
          <w:highlight w:val="none"/>
        </w:rPr>
      </w:pPr>
    </w:p>
    <w:p>
      <w:pPr>
        <w:pStyle w:val="47"/>
        <w:spacing w:line="480" w:lineRule="auto"/>
        <w:ind w:firstLine="562"/>
        <w:rPr>
          <w:b/>
          <w:color w:val="auto"/>
          <w:sz w:val="28"/>
          <w:szCs w:val="28"/>
          <w:highlight w:val="none"/>
        </w:rPr>
      </w:pPr>
      <w:r>
        <w:rPr>
          <w:b/>
          <w:color w:val="auto"/>
          <w:sz w:val="28"/>
          <w:szCs w:val="28"/>
          <w:highlight w:val="none"/>
        </w:rPr>
        <w:t>附件：委托代理人有效身份证正反面复印件</w:t>
      </w:r>
    </w:p>
    <w:p>
      <w:pPr>
        <w:pStyle w:val="20"/>
        <w:spacing w:line="480" w:lineRule="auto"/>
        <w:ind w:firstLine="482"/>
        <w:rPr>
          <w:rFonts w:hint="eastAsia" w:hAnsi="宋体"/>
          <w:b/>
          <w:color w:val="auto"/>
          <w:sz w:val="24"/>
          <w:szCs w:val="24"/>
          <w:highlight w:val="none"/>
        </w:rPr>
      </w:pPr>
    </w:p>
    <w:p>
      <w:pPr>
        <w:pStyle w:val="20"/>
        <w:spacing w:line="480" w:lineRule="auto"/>
        <w:ind w:firstLine="480"/>
        <w:rPr>
          <w:color w:val="auto"/>
          <w:sz w:val="24"/>
          <w:szCs w:val="24"/>
          <w:highlight w:val="none"/>
        </w:rPr>
      </w:pPr>
      <w:r>
        <w:rPr>
          <w:color w:val="auto"/>
          <w:sz w:val="24"/>
          <w:szCs w:val="24"/>
          <w:highlight w:val="none"/>
        </w:rPr>
        <w:t>法定代表人（</w:t>
      </w:r>
      <w:r>
        <w:rPr>
          <w:rFonts w:hint="eastAsia"/>
          <w:color w:val="auto"/>
          <w:sz w:val="24"/>
          <w:szCs w:val="24"/>
          <w:highlight w:val="none"/>
        </w:rPr>
        <w:t>签字或者电子签名或者加盖电子印章</w:t>
      </w:r>
      <w:r>
        <w:rPr>
          <w:color w:val="auto"/>
          <w:sz w:val="24"/>
          <w:szCs w:val="24"/>
          <w:highlight w:val="none"/>
        </w:rPr>
        <w:t>）：</w:t>
      </w:r>
      <w:r>
        <w:rPr>
          <w:color w:val="auto"/>
          <w:sz w:val="24"/>
          <w:szCs w:val="24"/>
          <w:highlight w:val="none"/>
          <w:u w:val="single"/>
        </w:rPr>
        <w:t xml:space="preserve">                      </w:t>
      </w:r>
    </w:p>
    <w:p>
      <w:pPr>
        <w:pStyle w:val="20"/>
        <w:spacing w:line="480" w:lineRule="auto"/>
        <w:ind w:firstLine="480"/>
        <w:rPr>
          <w:color w:val="auto"/>
          <w:sz w:val="24"/>
          <w:szCs w:val="24"/>
          <w:highlight w:val="none"/>
        </w:rPr>
      </w:pPr>
      <w:r>
        <w:rPr>
          <w:color w:val="auto"/>
          <w:sz w:val="24"/>
          <w:szCs w:val="24"/>
          <w:highlight w:val="none"/>
        </w:rPr>
        <w:t>委托代理人（</w:t>
      </w:r>
      <w:r>
        <w:rPr>
          <w:rFonts w:hint="eastAsia"/>
          <w:color w:val="auto"/>
          <w:sz w:val="24"/>
          <w:szCs w:val="24"/>
          <w:highlight w:val="none"/>
        </w:rPr>
        <w:t>签字或者电子签名或者加盖电子印章</w:t>
      </w:r>
      <w:r>
        <w:rPr>
          <w:color w:val="auto"/>
          <w:sz w:val="24"/>
          <w:szCs w:val="24"/>
          <w:highlight w:val="none"/>
        </w:rPr>
        <w:t>）：</w:t>
      </w:r>
      <w:r>
        <w:rPr>
          <w:color w:val="auto"/>
          <w:sz w:val="24"/>
          <w:szCs w:val="24"/>
          <w:highlight w:val="none"/>
          <w:u w:val="single"/>
        </w:rPr>
        <w:t xml:space="preserve">                              </w:t>
      </w:r>
    </w:p>
    <w:p>
      <w:pPr>
        <w:pStyle w:val="20"/>
        <w:spacing w:line="480" w:lineRule="auto"/>
        <w:ind w:firstLine="480"/>
        <w:rPr>
          <w:color w:val="auto"/>
          <w:sz w:val="24"/>
          <w:szCs w:val="24"/>
          <w:highlight w:val="none"/>
        </w:rPr>
      </w:pPr>
      <w:r>
        <w:rPr>
          <w:color w:val="auto"/>
          <w:sz w:val="24"/>
          <w:szCs w:val="24"/>
          <w:highlight w:val="none"/>
        </w:rPr>
        <w:t>委托代理人身份证号码：</w:t>
      </w:r>
      <w:r>
        <w:rPr>
          <w:rFonts w:hint="eastAsia"/>
          <w:color w:val="auto"/>
          <w:sz w:val="24"/>
          <w:szCs w:val="24"/>
          <w:highlight w:val="none"/>
          <w:u w:val="single"/>
        </w:rPr>
        <w:t xml:space="preserve"> </w:t>
      </w:r>
      <w:r>
        <w:rPr>
          <w:color w:val="auto"/>
          <w:sz w:val="24"/>
          <w:szCs w:val="24"/>
          <w:highlight w:val="none"/>
          <w:u w:val="single"/>
        </w:rPr>
        <w:t xml:space="preserve">                                       </w:t>
      </w:r>
    </w:p>
    <w:p>
      <w:pPr>
        <w:pStyle w:val="20"/>
        <w:spacing w:line="480" w:lineRule="auto"/>
        <w:ind w:firstLine="480"/>
        <w:rPr>
          <w:color w:val="auto"/>
          <w:sz w:val="24"/>
          <w:szCs w:val="24"/>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pStyle w:val="20"/>
        <w:spacing w:line="240" w:lineRule="exact"/>
        <w:rPr>
          <w:rFonts w:hint="eastAsia" w:hAnsi="宋体" w:cs="宋体"/>
          <w:color w:val="auto"/>
          <w:sz w:val="44"/>
          <w:highlight w:val="none"/>
        </w:rPr>
      </w:pPr>
    </w:p>
    <w:p>
      <w:pPr>
        <w:pStyle w:val="20"/>
        <w:spacing w:line="240" w:lineRule="exact"/>
        <w:rPr>
          <w:rFonts w:hint="eastAsia" w:hAnsi="宋体" w:cs="宋体"/>
          <w:color w:val="auto"/>
          <w:sz w:val="44"/>
          <w:highlight w:val="none"/>
        </w:rPr>
      </w:pPr>
    </w:p>
    <w:p>
      <w:pPr>
        <w:pStyle w:val="20"/>
        <w:spacing w:line="240" w:lineRule="exact"/>
        <w:rPr>
          <w:rFonts w:hint="eastAsia" w:hAnsi="宋体" w:cs="宋体"/>
          <w:color w:val="auto"/>
          <w:sz w:val="44"/>
          <w:highlight w:val="none"/>
        </w:rPr>
      </w:pPr>
    </w:p>
    <w:p>
      <w:pPr>
        <w:pStyle w:val="20"/>
        <w:spacing w:line="240" w:lineRule="exact"/>
        <w:rPr>
          <w:rFonts w:hint="eastAsia" w:hAnsi="宋体" w:cs="宋体"/>
          <w:color w:val="auto"/>
          <w:sz w:val="44"/>
          <w:highlight w:val="none"/>
        </w:rPr>
      </w:pPr>
    </w:p>
    <w:p>
      <w:pPr>
        <w:jc w:val="center"/>
        <w:rPr>
          <w:rFonts w:hint="eastAsia" w:ascii="宋体" w:hAnsi="宋体" w:cs="宋体"/>
          <w:color w:val="auto"/>
          <w:highlight w:val="none"/>
        </w:rPr>
      </w:pPr>
    </w:p>
    <w:p>
      <w:pPr>
        <w:spacing w:line="320" w:lineRule="exact"/>
        <w:rPr>
          <w:rFonts w:hint="eastAsia" w:ascii="宋体" w:hAnsi="宋体" w:cs="宋体"/>
          <w:b/>
          <w:color w:val="auto"/>
          <w:szCs w:val="21"/>
          <w:highlight w:val="none"/>
        </w:rPr>
      </w:pPr>
      <w:r>
        <w:rPr>
          <w:rFonts w:hAnsi="宋体" w:cs="宋体"/>
          <w:color w:val="auto"/>
          <w:highlight w:val="none"/>
        </w:rPr>
        <w:br w:type="page"/>
      </w:r>
      <w:r>
        <w:rPr>
          <w:rFonts w:hint="eastAsia" w:ascii="宋体" w:hAnsi="宋体" w:cs="宋体"/>
          <w:b/>
          <w:color w:val="auto"/>
          <w:sz w:val="24"/>
          <w:highlight w:val="none"/>
        </w:rPr>
        <w:t>三、保证金证明格式（如有）</w:t>
      </w:r>
    </w:p>
    <w:p>
      <w:pPr>
        <w:spacing w:line="360" w:lineRule="exact"/>
        <w:rPr>
          <w:rFonts w:hint="eastAsia" w:ascii="宋体" w:hAnsi="宋体" w:cs="宋体"/>
          <w:color w:val="auto"/>
          <w:szCs w:val="21"/>
          <w:highlight w:val="none"/>
        </w:rPr>
      </w:pPr>
    </w:p>
    <w:p>
      <w:pPr>
        <w:pStyle w:val="20"/>
        <w:spacing w:line="440" w:lineRule="exact"/>
        <w:ind w:firstLine="420"/>
        <w:jc w:val="center"/>
        <w:rPr>
          <w:rFonts w:hint="eastAsia" w:hAnsi="宋体" w:cs="宋体"/>
          <w:b/>
          <w:color w:val="auto"/>
          <w:kern w:val="2"/>
          <w:sz w:val="21"/>
          <w:szCs w:val="21"/>
          <w:highlight w:val="none"/>
        </w:rPr>
      </w:pPr>
      <w:r>
        <w:rPr>
          <w:rFonts w:hint="eastAsia" w:hAnsi="宋体" w:cs="宋体"/>
          <w:b/>
          <w:color w:val="auto"/>
          <w:kern w:val="2"/>
          <w:sz w:val="21"/>
          <w:highlight w:val="none"/>
        </w:rPr>
        <w:t>竞标保证金缴纳证明材料复印件</w:t>
      </w:r>
    </w:p>
    <w:p>
      <w:pPr>
        <w:pStyle w:val="20"/>
        <w:spacing w:line="360" w:lineRule="exact"/>
        <w:rPr>
          <w:rFonts w:hint="eastAsia" w:hAnsi="宋体"/>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0"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3360;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wEnZ3WAAAABwEAAA8AAAAAAAAAAQAgAAAAIgAAAGRycy9kb3ducmV2Lnht&#10;bFBLAQIUABQAAAAIAIdO4kBTUWI6+wEAAD0EAAAOAAAAAAAAAAEAIAAAACUBAABkcnMvZTJvRG9j&#10;LnhtbFBLBQYAAAAABgAGAFkBAACSBQ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v:textbox>
              </v:rect>
            </w:pict>
          </mc:Fallback>
        </mc:AlternateContent>
      </w:r>
    </w:p>
    <w:p>
      <w:pPr>
        <w:pStyle w:val="20"/>
        <w:spacing w:line="360" w:lineRule="exact"/>
        <w:rPr>
          <w:rFonts w:hint="eastAsia" w:hAnsi="宋体"/>
          <w:color w:val="auto"/>
          <w:highlight w:val="none"/>
        </w:rPr>
      </w:pPr>
    </w:p>
    <w:p>
      <w:pPr>
        <w:pStyle w:val="20"/>
        <w:spacing w:line="360" w:lineRule="exact"/>
        <w:rPr>
          <w:rFonts w:hint="eastAsia" w:hAnsi="宋体"/>
          <w:color w:val="auto"/>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pStyle w:val="20"/>
        <w:spacing w:line="240" w:lineRule="exact"/>
        <w:rPr>
          <w:rFonts w:hint="eastAsia" w:hAnsi="宋体" w:cs="宋体"/>
          <w:color w:val="auto"/>
          <w:szCs w:val="21"/>
          <w:highlight w:val="none"/>
          <w:u w:val="single"/>
        </w:rPr>
      </w:pPr>
    </w:p>
    <w:p>
      <w:pPr>
        <w:pStyle w:val="20"/>
        <w:spacing w:line="240" w:lineRule="exact"/>
        <w:rPr>
          <w:rFonts w:hint="eastAsia" w:hAnsi="宋体" w:cs="宋体"/>
          <w:color w:val="auto"/>
          <w:highlight w:val="none"/>
          <w:u w:val="single"/>
        </w:rPr>
      </w:pPr>
    </w:p>
    <w:p>
      <w:pPr>
        <w:pStyle w:val="20"/>
        <w:spacing w:line="240" w:lineRule="exact"/>
        <w:rPr>
          <w:rFonts w:hint="eastAsia" w:hAnsi="宋体" w:cs="宋体"/>
          <w:color w:val="auto"/>
          <w:highlight w:val="none"/>
          <w:u w:val="single"/>
        </w:rPr>
      </w:pPr>
    </w:p>
    <w:p>
      <w:pPr>
        <w:pStyle w:val="20"/>
        <w:spacing w:line="240" w:lineRule="exact"/>
        <w:rPr>
          <w:rFonts w:hint="eastAsia" w:hAnsi="宋体" w:cs="宋体"/>
          <w:color w:val="auto"/>
          <w:highlight w:val="none"/>
          <w:u w:val="single"/>
        </w:rPr>
      </w:pPr>
    </w:p>
    <w:p>
      <w:pPr>
        <w:pStyle w:val="20"/>
        <w:spacing w:line="240" w:lineRule="exact"/>
        <w:rPr>
          <w:rFonts w:hint="eastAsia" w:hAnsi="宋体" w:cs="宋体"/>
          <w:color w:val="auto"/>
          <w:highlight w:val="none"/>
          <w:u w:val="single"/>
        </w:rPr>
      </w:pPr>
    </w:p>
    <w:p>
      <w:pPr>
        <w:pStyle w:val="20"/>
        <w:spacing w:line="240" w:lineRule="exact"/>
        <w:rPr>
          <w:rFonts w:hint="eastAsia" w:hAnsi="宋体" w:cs="宋体"/>
          <w:color w:val="auto"/>
          <w:highlight w:val="none"/>
          <w:u w:val="single"/>
        </w:rPr>
      </w:pPr>
    </w:p>
    <w:p>
      <w:pPr>
        <w:pStyle w:val="20"/>
        <w:spacing w:line="240" w:lineRule="exact"/>
        <w:rPr>
          <w:rFonts w:hint="eastAsia" w:hAnsi="宋体" w:cs="宋体"/>
          <w:color w:val="auto"/>
          <w:sz w:val="44"/>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spacing w:line="320" w:lineRule="exact"/>
        <w:rPr>
          <w:rFonts w:hint="eastAsia" w:ascii="宋体" w:hAnsi="宋体"/>
          <w:color w:val="auto"/>
          <w:szCs w:val="21"/>
          <w:highlight w:val="none"/>
        </w:rPr>
      </w:pPr>
    </w:p>
    <w:p>
      <w:pPr>
        <w:pStyle w:val="49"/>
        <w:rPr>
          <w:rFonts w:hint="eastAsia" w:ascii="宋体" w:hAnsi="宋体"/>
          <w:color w:val="auto"/>
          <w:highlight w:val="none"/>
        </w:rPr>
      </w:pPr>
    </w:p>
    <w:p>
      <w:pPr>
        <w:pStyle w:val="49"/>
        <w:rPr>
          <w:rFonts w:hint="eastAsia" w:ascii="宋体" w:hAnsi="宋体"/>
          <w:color w:val="auto"/>
          <w:highlight w:val="none"/>
        </w:rPr>
      </w:pPr>
    </w:p>
    <w:p>
      <w:pPr>
        <w:pStyle w:val="49"/>
        <w:rPr>
          <w:rFonts w:hint="eastAsia" w:ascii="宋体" w:hAnsi="宋体"/>
          <w:color w:val="auto"/>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t>四、商务响应表格式</w:t>
      </w:r>
    </w:p>
    <w:p>
      <w:pPr>
        <w:spacing w:line="360" w:lineRule="exact"/>
        <w:jc w:val="center"/>
        <w:rPr>
          <w:rFonts w:hint="eastAsia" w:ascii="宋体" w:hAnsi="宋体" w:cs="宋体"/>
          <w:b/>
          <w:bCs/>
          <w:color w:val="auto"/>
          <w:kern w:val="0"/>
          <w:sz w:val="30"/>
          <w:highlight w:val="none"/>
        </w:rPr>
      </w:pPr>
    </w:p>
    <w:p>
      <w:pPr>
        <w:spacing w:line="360" w:lineRule="exact"/>
        <w:jc w:val="center"/>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商务响应表</w:t>
      </w:r>
    </w:p>
    <w:p>
      <w:pPr>
        <w:pStyle w:val="47"/>
        <w:rPr>
          <w:color w:val="auto"/>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谈判文件的商务条款</w:t>
            </w: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响应文件的承诺或说明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质保要求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产品安装调试与验收</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培训要求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付款方式</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进口产品说明</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bl>
    <w:p>
      <w:pPr>
        <w:spacing w:line="360" w:lineRule="exact"/>
        <w:ind w:firstLine="6090" w:firstLineChars="2900"/>
        <w:rPr>
          <w:rFonts w:hint="eastAsia" w:ascii="宋体" w:hAnsi="宋体"/>
          <w:color w:val="auto"/>
          <w:szCs w:val="21"/>
          <w:highlight w:val="none"/>
        </w:rPr>
      </w:pPr>
    </w:p>
    <w:p>
      <w:pPr>
        <w:spacing w:line="360" w:lineRule="exact"/>
        <w:ind w:firstLine="6090" w:firstLineChars="29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pStyle w:val="49"/>
        <w:rPr>
          <w:rFonts w:hint="eastAsia" w:ascii="宋体" w:hAnsi="宋体" w:cs="宋体"/>
          <w:b/>
          <w:color w:val="auto"/>
          <w:highlight w:val="none"/>
        </w:rPr>
      </w:pPr>
    </w:p>
    <w:p>
      <w:pPr>
        <w:pStyle w:val="49"/>
        <w:rPr>
          <w:rFonts w:hint="eastAsia" w:ascii="宋体" w:hAnsi="宋体" w:cs="宋体"/>
          <w:b/>
          <w:color w:val="auto"/>
          <w:highlight w:val="none"/>
        </w:rPr>
      </w:pPr>
    </w:p>
    <w:p>
      <w:pPr>
        <w:spacing w:line="320" w:lineRule="exact"/>
        <w:rPr>
          <w:rFonts w:hint="eastAsia" w:ascii="宋体" w:hAnsi="宋体" w:cs="宋体"/>
          <w:b/>
          <w:color w:val="auto"/>
          <w:sz w:val="24"/>
          <w:highlight w:val="none"/>
        </w:rPr>
        <w:sectPr>
          <w:pgSz w:w="11906" w:h="16838"/>
          <w:pgMar w:top="1134" w:right="1134" w:bottom="1134" w:left="1134" w:header="720" w:footer="720" w:gutter="0"/>
          <w:cols w:space="0" w:num="1"/>
          <w:docGrid w:type="lines" w:linePitch="312" w:charSpace="0"/>
        </w:sectPr>
      </w:pPr>
    </w:p>
    <w:p>
      <w:pPr>
        <w:spacing w:line="320" w:lineRule="exact"/>
        <w:rPr>
          <w:rFonts w:hint="eastAsia" w:ascii="宋体" w:hAnsi="宋体" w:cs="宋体"/>
          <w:b/>
          <w:color w:val="auto"/>
          <w:sz w:val="24"/>
          <w:highlight w:val="none"/>
        </w:rPr>
      </w:pPr>
      <w:r>
        <w:rPr>
          <w:rFonts w:hint="eastAsia" w:ascii="宋体" w:hAnsi="宋体" w:cs="宋体"/>
          <w:b/>
          <w:color w:val="auto"/>
          <w:sz w:val="24"/>
          <w:highlight w:val="none"/>
        </w:rPr>
        <w:t>五、技术响应表格式</w:t>
      </w:r>
    </w:p>
    <w:p>
      <w:pPr>
        <w:jc w:val="center"/>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技术响应表</w:t>
      </w:r>
    </w:p>
    <w:tbl>
      <w:tblPr>
        <w:tblStyle w:val="37"/>
        <w:tblW w:w="8963"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363"/>
        <w:gridCol w:w="1680"/>
        <w:gridCol w:w="2118"/>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826" w:type="dxa"/>
            <w:vAlign w:val="center"/>
          </w:tcPr>
          <w:p>
            <w:pPr>
              <w:pStyle w:val="88"/>
              <w:ind w:left="174" w:right="181"/>
              <w:jc w:val="center"/>
              <w:rPr>
                <w:rFonts w:hint="eastAsia"/>
                <w:color w:val="auto"/>
                <w:sz w:val="21"/>
                <w:highlight w:val="none"/>
              </w:rPr>
            </w:pPr>
            <w:r>
              <w:rPr>
                <w:color w:val="auto"/>
                <w:sz w:val="21"/>
                <w:highlight w:val="none"/>
              </w:rPr>
              <w:t>项号</w:t>
            </w:r>
          </w:p>
        </w:tc>
        <w:tc>
          <w:tcPr>
            <w:tcW w:w="1363" w:type="dxa"/>
            <w:vAlign w:val="center"/>
          </w:tcPr>
          <w:p>
            <w:pPr>
              <w:pStyle w:val="88"/>
              <w:ind w:left="174" w:right="181"/>
              <w:jc w:val="center"/>
              <w:rPr>
                <w:rFonts w:hint="eastAsia"/>
                <w:color w:val="auto"/>
                <w:sz w:val="21"/>
                <w:highlight w:val="none"/>
              </w:rPr>
            </w:pPr>
            <w:r>
              <w:rPr>
                <w:color w:val="auto"/>
                <w:sz w:val="21"/>
                <w:highlight w:val="none"/>
              </w:rPr>
              <w:t>货物名称</w:t>
            </w:r>
          </w:p>
        </w:tc>
        <w:tc>
          <w:tcPr>
            <w:tcW w:w="1680" w:type="dxa"/>
            <w:tcBorders>
              <w:right w:val="single" w:color="auto" w:sz="4" w:space="0"/>
            </w:tcBorders>
            <w:vAlign w:val="center"/>
          </w:tcPr>
          <w:p>
            <w:pPr>
              <w:pStyle w:val="88"/>
              <w:ind w:left="174" w:right="181"/>
              <w:jc w:val="center"/>
              <w:rPr>
                <w:rFonts w:hint="eastAsia"/>
                <w:color w:val="auto"/>
                <w:sz w:val="21"/>
                <w:highlight w:val="none"/>
                <w:lang w:eastAsia="zh-CN"/>
              </w:rPr>
            </w:pPr>
            <w:r>
              <w:rPr>
                <w:rFonts w:hint="eastAsia"/>
                <w:color w:val="auto"/>
                <w:sz w:val="21"/>
                <w:highlight w:val="none"/>
                <w:lang w:eastAsia="zh-CN"/>
              </w:rPr>
              <w:t>竞争性谈判文件的要求</w:t>
            </w:r>
          </w:p>
        </w:tc>
        <w:tc>
          <w:tcPr>
            <w:tcW w:w="2118" w:type="dxa"/>
            <w:tcBorders>
              <w:left w:val="single" w:color="auto" w:sz="4" w:space="0"/>
            </w:tcBorders>
            <w:vAlign w:val="center"/>
          </w:tcPr>
          <w:p>
            <w:pPr>
              <w:pStyle w:val="88"/>
              <w:ind w:left="174" w:right="181"/>
              <w:jc w:val="center"/>
              <w:rPr>
                <w:rFonts w:hint="eastAsia"/>
                <w:color w:val="auto"/>
                <w:sz w:val="21"/>
                <w:highlight w:val="none"/>
              </w:rPr>
            </w:pPr>
            <w:r>
              <w:rPr>
                <w:rFonts w:hint="eastAsia"/>
                <w:color w:val="auto"/>
                <w:sz w:val="21"/>
                <w:highlight w:val="none"/>
                <w:lang w:eastAsia="zh-CN"/>
              </w:rPr>
              <w:t>响应</w:t>
            </w:r>
            <w:r>
              <w:rPr>
                <w:rFonts w:hint="eastAsia"/>
                <w:color w:val="auto"/>
                <w:sz w:val="21"/>
                <w:highlight w:val="none"/>
              </w:rPr>
              <w:t>文件响应</w:t>
            </w:r>
          </w:p>
        </w:tc>
        <w:tc>
          <w:tcPr>
            <w:tcW w:w="2976" w:type="dxa"/>
            <w:vAlign w:val="center"/>
          </w:tcPr>
          <w:p>
            <w:pPr>
              <w:pStyle w:val="88"/>
              <w:ind w:left="174" w:right="181"/>
              <w:jc w:val="center"/>
              <w:rPr>
                <w:rFonts w:hint="eastAsia"/>
                <w:color w:val="auto"/>
                <w:sz w:val="21"/>
                <w:highlight w:val="none"/>
              </w:rPr>
            </w:pPr>
            <w:r>
              <w:rPr>
                <w:color w:val="auto"/>
                <w:sz w:val="21"/>
                <w:highlight w:val="none"/>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6" w:type="dxa"/>
          </w:tcPr>
          <w:p>
            <w:pPr>
              <w:pStyle w:val="88"/>
              <w:spacing w:before="167"/>
              <w:ind w:left="0" w:right="7"/>
              <w:jc w:val="center"/>
              <w:rPr>
                <w:rFonts w:hint="eastAsia"/>
                <w:color w:val="auto"/>
                <w:sz w:val="21"/>
                <w:highlight w:val="none"/>
              </w:rPr>
            </w:pPr>
            <w:r>
              <w:rPr>
                <w:color w:val="auto"/>
                <w:sz w:val="21"/>
                <w:highlight w:val="none"/>
              </w:rPr>
              <w:t>1</w:t>
            </w:r>
          </w:p>
        </w:tc>
        <w:tc>
          <w:tcPr>
            <w:tcW w:w="1363" w:type="dxa"/>
          </w:tcPr>
          <w:p>
            <w:pPr>
              <w:rPr>
                <w:color w:val="auto"/>
                <w:highlight w:val="none"/>
              </w:rPr>
            </w:pPr>
          </w:p>
        </w:tc>
        <w:tc>
          <w:tcPr>
            <w:tcW w:w="1680" w:type="dxa"/>
            <w:tcBorders>
              <w:right w:val="single" w:color="auto" w:sz="4" w:space="0"/>
            </w:tcBorders>
          </w:tcPr>
          <w:p>
            <w:pPr>
              <w:rPr>
                <w:color w:val="auto"/>
                <w:highlight w:val="none"/>
              </w:rPr>
            </w:pPr>
          </w:p>
        </w:tc>
        <w:tc>
          <w:tcPr>
            <w:tcW w:w="2118" w:type="dxa"/>
            <w:tcBorders>
              <w:left w:val="single" w:color="auto" w:sz="4" w:space="0"/>
            </w:tcBorders>
          </w:tcPr>
          <w:p>
            <w:pPr>
              <w:rPr>
                <w:color w:val="auto"/>
                <w:highlight w:val="none"/>
              </w:rPr>
            </w:pPr>
          </w:p>
        </w:tc>
        <w:tc>
          <w:tcPr>
            <w:tcW w:w="2976"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826" w:type="dxa"/>
          </w:tcPr>
          <w:p>
            <w:pPr>
              <w:pStyle w:val="88"/>
              <w:spacing w:before="167"/>
              <w:ind w:left="0" w:right="7"/>
              <w:jc w:val="center"/>
              <w:rPr>
                <w:rFonts w:hint="eastAsia"/>
                <w:color w:val="auto"/>
                <w:sz w:val="21"/>
                <w:highlight w:val="none"/>
              </w:rPr>
            </w:pPr>
            <w:r>
              <w:rPr>
                <w:color w:val="auto"/>
                <w:sz w:val="21"/>
                <w:highlight w:val="none"/>
              </w:rPr>
              <w:t>2</w:t>
            </w:r>
          </w:p>
        </w:tc>
        <w:tc>
          <w:tcPr>
            <w:tcW w:w="1363" w:type="dxa"/>
          </w:tcPr>
          <w:p>
            <w:pPr>
              <w:rPr>
                <w:color w:val="auto"/>
                <w:highlight w:val="none"/>
              </w:rPr>
            </w:pPr>
          </w:p>
        </w:tc>
        <w:tc>
          <w:tcPr>
            <w:tcW w:w="1680" w:type="dxa"/>
            <w:tcBorders>
              <w:right w:val="single" w:color="auto" w:sz="4" w:space="0"/>
            </w:tcBorders>
          </w:tcPr>
          <w:p>
            <w:pPr>
              <w:rPr>
                <w:color w:val="auto"/>
                <w:highlight w:val="none"/>
              </w:rPr>
            </w:pPr>
          </w:p>
        </w:tc>
        <w:tc>
          <w:tcPr>
            <w:tcW w:w="2118" w:type="dxa"/>
            <w:tcBorders>
              <w:left w:val="single" w:color="auto" w:sz="4" w:space="0"/>
            </w:tcBorders>
          </w:tcPr>
          <w:p>
            <w:pPr>
              <w:rPr>
                <w:color w:val="auto"/>
                <w:highlight w:val="none"/>
              </w:rPr>
            </w:pPr>
          </w:p>
        </w:tc>
        <w:tc>
          <w:tcPr>
            <w:tcW w:w="2976"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826" w:type="dxa"/>
          </w:tcPr>
          <w:p>
            <w:pPr>
              <w:pStyle w:val="88"/>
              <w:spacing w:before="177"/>
              <w:ind w:left="0" w:right="7"/>
              <w:jc w:val="center"/>
              <w:rPr>
                <w:rFonts w:hint="eastAsia"/>
                <w:color w:val="auto"/>
                <w:sz w:val="21"/>
                <w:highlight w:val="none"/>
              </w:rPr>
            </w:pPr>
            <w:r>
              <w:rPr>
                <w:color w:val="auto"/>
                <w:sz w:val="21"/>
                <w:highlight w:val="none"/>
              </w:rPr>
              <w:t>…</w:t>
            </w:r>
          </w:p>
        </w:tc>
        <w:tc>
          <w:tcPr>
            <w:tcW w:w="1363" w:type="dxa"/>
          </w:tcPr>
          <w:p>
            <w:pPr>
              <w:rPr>
                <w:color w:val="auto"/>
                <w:highlight w:val="none"/>
              </w:rPr>
            </w:pPr>
          </w:p>
        </w:tc>
        <w:tc>
          <w:tcPr>
            <w:tcW w:w="1680" w:type="dxa"/>
            <w:tcBorders>
              <w:right w:val="single" w:color="auto" w:sz="4" w:space="0"/>
            </w:tcBorders>
          </w:tcPr>
          <w:p>
            <w:pPr>
              <w:rPr>
                <w:color w:val="auto"/>
                <w:highlight w:val="none"/>
              </w:rPr>
            </w:pPr>
          </w:p>
        </w:tc>
        <w:tc>
          <w:tcPr>
            <w:tcW w:w="2118" w:type="dxa"/>
            <w:tcBorders>
              <w:left w:val="single" w:color="auto" w:sz="4" w:space="0"/>
            </w:tcBorders>
          </w:tcPr>
          <w:p>
            <w:pPr>
              <w:rPr>
                <w:color w:val="auto"/>
                <w:highlight w:val="none"/>
              </w:rPr>
            </w:pPr>
          </w:p>
        </w:tc>
        <w:tc>
          <w:tcPr>
            <w:tcW w:w="2976"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6" w:type="dxa"/>
          </w:tcPr>
          <w:p>
            <w:pPr>
              <w:pStyle w:val="88"/>
              <w:spacing w:before="167"/>
              <w:ind w:left="0" w:right="7"/>
              <w:jc w:val="center"/>
              <w:rPr>
                <w:rFonts w:hint="eastAsia"/>
                <w:color w:val="auto"/>
                <w:sz w:val="21"/>
                <w:highlight w:val="none"/>
              </w:rPr>
            </w:pPr>
            <w:r>
              <w:rPr>
                <w:color w:val="auto"/>
                <w:sz w:val="21"/>
                <w:highlight w:val="none"/>
              </w:rPr>
              <w:t>N</w:t>
            </w:r>
          </w:p>
        </w:tc>
        <w:tc>
          <w:tcPr>
            <w:tcW w:w="1363" w:type="dxa"/>
          </w:tcPr>
          <w:p>
            <w:pPr>
              <w:rPr>
                <w:color w:val="auto"/>
                <w:highlight w:val="none"/>
              </w:rPr>
            </w:pPr>
          </w:p>
        </w:tc>
        <w:tc>
          <w:tcPr>
            <w:tcW w:w="1680" w:type="dxa"/>
            <w:tcBorders>
              <w:right w:val="single" w:color="auto" w:sz="4" w:space="0"/>
            </w:tcBorders>
          </w:tcPr>
          <w:p>
            <w:pPr>
              <w:rPr>
                <w:color w:val="auto"/>
                <w:highlight w:val="none"/>
              </w:rPr>
            </w:pPr>
          </w:p>
        </w:tc>
        <w:tc>
          <w:tcPr>
            <w:tcW w:w="2118" w:type="dxa"/>
            <w:tcBorders>
              <w:left w:val="single" w:color="auto" w:sz="4" w:space="0"/>
            </w:tcBorders>
          </w:tcPr>
          <w:p>
            <w:pPr>
              <w:rPr>
                <w:color w:val="auto"/>
                <w:highlight w:val="none"/>
              </w:rPr>
            </w:pPr>
          </w:p>
        </w:tc>
        <w:tc>
          <w:tcPr>
            <w:tcW w:w="2976" w:type="dxa"/>
          </w:tcPr>
          <w:p>
            <w:pPr>
              <w:rPr>
                <w:color w:val="auto"/>
                <w:highlight w:val="none"/>
              </w:rPr>
            </w:pPr>
          </w:p>
        </w:tc>
      </w:tr>
    </w:tbl>
    <w:p>
      <w:pPr>
        <w:pStyle w:val="15"/>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注：1、供应商应根据投标设备的性能指标、对照招标文件要求在“偏离情况”栏注明“正偏离”、“负偏离”或“无偏离”。</w:t>
      </w:r>
    </w:p>
    <w:p>
      <w:pPr>
        <w:pStyle w:val="15"/>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2、供应商</w:t>
      </w:r>
      <w:r>
        <w:rPr>
          <w:rFonts w:ascii="宋体" w:hAnsi="宋体"/>
          <w:color w:val="auto"/>
          <w:sz w:val="21"/>
          <w:szCs w:val="21"/>
          <w:highlight w:val="none"/>
        </w:rPr>
        <w:t>应将投标货物的性能指标中与</w:t>
      </w:r>
      <w:r>
        <w:rPr>
          <w:rFonts w:hint="eastAsia" w:ascii="宋体" w:hAnsi="宋体" w:cs="宋体"/>
          <w:color w:val="auto"/>
          <w:sz w:val="21"/>
          <w:highlight w:val="none"/>
        </w:rPr>
        <w:t>竞争性谈判文件</w:t>
      </w:r>
      <w:r>
        <w:rPr>
          <w:rFonts w:ascii="宋体" w:hAnsi="宋体"/>
          <w:color w:val="auto"/>
          <w:sz w:val="21"/>
          <w:szCs w:val="21"/>
          <w:highlight w:val="none"/>
        </w:rPr>
        <w:t>要求的性能指标有偏离的地方用明显标识，以便于评委评审，否则如给评审造成困难，其可能导致评委作出不利于</w:t>
      </w:r>
      <w:r>
        <w:rPr>
          <w:rFonts w:hint="eastAsia" w:ascii="宋体" w:hAnsi="宋体"/>
          <w:color w:val="auto"/>
          <w:sz w:val="21"/>
          <w:szCs w:val="21"/>
          <w:highlight w:val="none"/>
        </w:rPr>
        <w:t>供应商</w:t>
      </w:r>
      <w:r>
        <w:rPr>
          <w:rFonts w:ascii="宋体" w:hAnsi="宋体"/>
          <w:color w:val="auto"/>
          <w:sz w:val="21"/>
          <w:szCs w:val="21"/>
          <w:highlight w:val="none"/>
        </w:rPr>
        <w:t>的评价，是</w:t>
      </w:r>
      <w:r>
        <w:rPr>
          <w:rFonts w:hint="eastAsia" w:ascii="宋体" w:hAnsi="宋体"/>
          <w:color w:val="auto"/>
          <w:sz w:val="21"/>
          <w:szCs w:val="21"/>
          <w:highlight w:val="none"/>
        </w:rPr>
        <w:t>供应商</w:t>
      </w:r>
      <w:r>
        <w:rPr>
          <w:rFonts w:ascii="宋体" w:hAnsi="宋体"/>
          <w:color w:val="auto"/>
          <w:sz w:val="21"/>
          <w:szCs w:val="21"/>
          <w:highlight w:val="none"/>
        </w:rPr>
        <w:t>的责任。</w:t>
      </w:r>
    </w:p>
    <w:p>
      <w:pPr>
        <w:spacing w:line="480" w:lineRule="auto"/>
        <w:ind w:firstLine="3990" w:firstLineChars="1900"/>
        <w:rPr>
          <w:color w:val="auto"/>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pacing w:line="500" w:lineRule="exact"/>
        <w:jc w:val="center"/>
        <w:rPr>
          <w:rFonts w:hint="eastAsia" w:ascii="宋体" w:hAnsi="宋体" w:cs="仿宋_GB2312"/>
          <w:b/>
          <w:color w:val="auto"/>
          <w:sz w:val="32"/>
          <w:szCs w:val="32"/>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pStyle w:val="25"/>
        <w:rPr>
          <w:color w:val="auto"/>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rPr>
          <w:rFonts w:hint="eastAsia" w:ascii="宋体" w:hAnsi="宋体" w:cs="宋体"/>
          <w:b/>
          <w:color w:val="auto"/>
          <w:szCs w:val="21"/>
          <w:highlight w:val="none"/>
        </w:rPr>
        <w:sectPr>
          <w:pgSz w:w="11906" w:h="16838"/>
          <w:pgMar w:top="1134" w:right="1134" w:bottom="1134" w:left="1134" w:header="720" w:footer="720" w:gutter="0"/>
          <w:cols w:space="0" w:num="1"/>
          <w:docGrid w:type="lines" w:linePitch="312" w:charSpace="0"/>
        </w:sectPr>
      </w:pPr>
    </w:p>
    <w:p>
      <w:pPr>
        <w:rPr>
          <w:rFonts w:hint="eastAsia" w:ascii="宋体" w:hAnsi="宋体" w:cs="宋体"/>
          <w:b/>
          <w:color w:val="auto"/>
          <w:sz w:val="24"/>
          <w:highlight w:val="none"/>
        </w:rPr>
      </w:pPr>
      <w:r>
        <w:rPr>
          <w:rFonts w:hint="eastAsia" w:ascii="宋体" w:hAnsi="宋体" w:cs="宋体"/>
          <w:b/>
          <w:color w:val="auto"/>
          <w:sz w:val="24"/>
          <w:highlight w:val="none"/>
        </w:rPr>
        <w:t>六、设备配置清单格式</w:t>
      </w:r>
    </w:p>
    <w:p>
      <w:pPr>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设备配置清单</w:t>
      </w:r>
    </w:p>
    <w:p>
      <w:pPr>
        <w:pStyle w:val="47"/>
        <w:rPr>
          <w:color w:val="auto"/>
          <w:highlight w:val="none"/>
        </w:rPr>
      </w:pPr>
    </w:p>
    <w:tbl>
      <w:tblPr>
        <w:tblStyle w:val="37"/>
        <w:tblW w:w="99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81"/>
        <w:gridCol w:w="839"/>
        <w:gridCol w:w="1281"/>
        <w:gridCol w:w="1419"/>
        <w:gridCol w:w="2004"/>
        <w:gridCol w:w="1080"/>
        <w:gridCol w:w="7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单位及数量</w:t>
            </w: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hAnsi="宋体"/>
                <w:color w:val="auto"/>
                <w:szCs w:val="21"/>
                <w:highlight w:val="none"/>
              </w:rPr>
              <w:t>生产厂家</w:t>
            </w: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r>
    </w:tbl>
    <w:p>
      <w:pPr>
        <w:spacing w:line="360" w:lineRule="exact"/>
        <w:ind w:firstLine="6090" w:firstLineChars="29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napToGrid w:val="0"/>
        <w:spacing w:before="50" w:line="340" w:lineRule="exact"/>
        <w:jc w:val="left"/>
        <w:rPr>
          <w:rFonts w:hint="eastAsia" w:ascii="宋体" w:hAnsi="宋体" w:cs="宋体"/>
          <w:b/>
          <w:color w:val="auto"/>
          <w:szCs w:val="21"/>
          <w:highlight w:val="none"/>
        </w:rPr>
        <w:sectPr>
          <w:pgSz w:w="11906" w:h="16838"/>
          <w:pgMar w:top="1134" w:right="1134" w:bottom="1134" w:left="1134" w:header="720" w:footer="720" w:gutter="0"/>
          <w:cols w:space="0" w:num="1"/>
          <w:docGrid w:type="lines" w:linePitch="312" w:charSpace="0"/>
        </w:sectPr>
      </w:pPr>
    </w:p>
    <w:p>
      <w:pPr>
        <w:snapToGrid w:val="0"/>
        <w:spacing w:before="50" w:line="340" w:lineRule="exact"/>
        <w:jc w:val="left"/>
        <w:rPr>
          <w:rFonts w:hint="eastAsia" w:ascii="宋体" w:hAnsi="宋体" w:cs="宋体"/>
          <w:b/>
          <w:color w:val="auto"/>
          <w:sz w:val="24"/>
          <w:highlight w:val="none"/>
        </w:rPr>
      </w:pPr>
      <w:r>
        <w:rPr>
          <w:rFonts w:hint="eastAsia" w:ascii="宋体" w:hAnsi="宋体" w:cs="宋体"/>
          <w:b/>
          <w:color w:val="auto"/>
          <w:sz w:val="24"/>
          <w:highlight w:val="none"/>
        </w:rPr>
        <w:t>七、项目实施方案格式：</w:t>
      </w:r>
    </w:p>
    <w:p>
      <w:pPr>
        <w:pStyle w:val="20"/>
        <w:spacing w:line="400" w:lineRule="exact"/>
        <w:jc w:val="center"/>
        <w:rPr>
          <w:rFonts w:hint="eastAsia" w:hAnsi="宋体"/>
          <w:b/>
          <w:bCs/>
          <w:color w:val="auto"/>
          <w:kern w:val="2"/>
          <w:sz w:val="30"/>
          <w:szCs w:val="30"/>
          <w:highlight w:val="none"/>
        </w:rPr>
      </w:pPr>
    </w:p>
    <w:p>
      <w:pPr>
        <w:pStyle w:val="20"/>
        <w:spacing w:line="400" w:lineRule="exact"/>
        <w:jc w:val="center"/>
        <w:rPr>
          <w:rFonts w:hint="eastAsia" w:hAnsi="宋体"/>
          <w:b/>
          <w:bCs/>
          <w:color w:val="auto"/>
          <w:kern w:val="2"/>
          <w:sz w:val="30"/>
          <w:szCs w:val="30"/>
          <w:highlight w:val="none"/>
        </w:rPr>
      </w:pPr>
    </w:p>
    <w:p>
      <w:pPr>
        <w:pStyle w:val="20"/>
        <w:spacing w:line="400" w:lineRule="exact"/>
        <w:jc w:val="center"/>
        <w:rPr>
          <w:rFonts w:hint="eastAsia" w:hAnsi="宋体"/>
          <w:b/>
          <w:bCs/>
          <w:color w:val="auto"/>
          <w:kern w:val="2"/>
          <w:sz w:val="30"/>
          <w:szCs w:val="30"/>
          <w:highlight w:val="none"/>
        </w:rPr>
      </w:pPr>
    </w:p>
    <w:p>
      <w:pPr>
        <w:pStyle w:val="20"/>
        <w:spacing w:line="400" w:lineRule="exact"/>
        <w:jc w:val="center"/>
        <w:rPr>
          <w:rFonts w:hint="eastAsia" w:hAnsi="宋体"/>
          <w:b/>
          <w:bCs/>
          <w:color w:val="auto"/>
          <w:kern w:val="2"/>
          <w:sz w:val="30"/>
          <w:szCs w:val="30"/>
          <w:highlight w:val="none"/>
        </w:rPr>
      </w:pPr>
      <w:r>
        <w:rPr>
          <w:rFonts w:hint="eastAsia" w:hAnsi="宋体"/>
          <w:b/>
          <w:bCs/>
          <w:color w:val="auto"/>
          <w:kern w:val="2"/>
          <w:sz w:val="30"/>
          <w:szCs w:val="30"/>
          <w:highlight w:val="none"/>
        </w:rPr>
        <w:t>项目实施方案</w:t>
      </w:r>
    </w:p>
    <w:p>
      <w:pPr>
        <w:pStyle w:val="20"/>
        <w:ind w:firstLine="480" w:firstLineChars="200"/>
        <w:rPr>
          <w:rFonts w:hint="eastAsia" w:hAnsi="宋体" w:cs="仿宋_GB2312"/>
          <w:color w:val="auto"/>
          <w:sz w:val="24"/>
          <w:szCs w:val="24"/>
          <w:highlight w:val="none"/>
        </w:rPr>
      </w:pPr>
    </w:p>
    <w:p>
      <w:pPr>
        <w:pStyle w:val="20"/>
        <w:ind w:firstLine="420" w:firstLineChars="200"/>
        <w:rPr>
          <w:rFonts w:hint="eastAsia" w:hAnsi="宋体" w:cs="宋体"/>
          <w:color w:val="auto"/>
          <w:sz w:val="21"/>
          <w:szCs w:val="21"/>
          <w:highlight w:val="none"/>
        </w:rPr>
      </w:pPr>
      <w:r>
        <w:rPr>
          <w:rFonts w:hint="eastAsia" w:hAnsi="宋体" w:cs="仿宋_GB2312"/>
          <w:color w:val="auto"/>
          <w:sz w:val="21"/>
          <w:szCs w:val="21"/>
          <w:highlight w:val="none"/>
        </w:rPr>
        <w:t>由供应商按第三章《采购需求》所投采购需求自行填写，所作的项目实施方案作为构成合同不可分割的部分，必须真实、诚信。</w:t>
      </w: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pStyle w:val="20"/>
        <w:jc w:val="left"/>
        <w:rPr>
          <w:rFonts w:hint="eastAsia" w:hAnsi="宋体" w:cs="宋体"/>
          <w:b/>
          <w:color w:val="auto"/>
          <w:sz w:val="24"/>
          <w:szCs w:val="24"/>
          <w:highlight w:val="none"/>
        </w:rPr>
      </w:pPr>
    </w:p>
    <w:p>
      <w:pPr>
        <w:pStyle w:val="20"/>
        <w:jc w:val="left"/>
        <w:rPr>
          <w:rFonts w:hint="eastAsia" w:hAnsi="宋体" w:cs="宋体"/>
          <w:b/>
          <w:color w:val="auto"/>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napToGrid w:val="0"/>
        <w:spacing w:before="50" w:after="50" w:line="360" w:lineRule="exact"/>
        <w:rPr>
          <w:rFonts w:hint="eastAsia" w:hAnsi="宋体" w:cs="宋体"/>
          <w:b/>
          <w:color w:val="auto"/>
          <w:highlight w:val="none"/>
        </w:rPr>
        <w:sectPr>
          <w:pgSz w:w="11906" w:h="16838"/>
          <w:pgMar w:top="1134" w:right="1134" w:bottom="1134" w:left="1134" w:header="720" w:footer="720" w:gutter="0"/>
          <w:cols w:space="0" w:num="1"/>
          <w:docGrid w:type="lines" w:linePitch="312" w:charSpace="0"/>
        </w:sectPr>
      </w:pPr>
    </w:p>
    <w:p>
      <w:pPr>
        <w:snapToGrid w:val="0"/>
        <w:spacing w:before="50" w:after="50" w:line="360" w:lineRule="exact"/>
        <w:rPr>
          <w:rFonts w:hint="eastAsia" w:hAnsi="宋体" w:cs="宋体"/>
          <w:b/>
          <w:color w:val="auto"/>
          <w:sz w:val="24"/>
          <w:szCs w:val="32"/>
          <w:highlight w:val="none"/>
        </w:rPr>
      </w:pPr>
      <w:r>
        <w:rPr>
          <w:rFonts w:hint="eastAsia" w:hAnsi="宋体" w:cs="宋体"/>
          <w:b/>
          <w:color w:val="auto"/>
          <w:sz w:val="24"/>
          <w:szCs w:val="32"/>
          <w:highlight w:val="none"/>
        </w:rPr>
        <w:t>八、售后服务方案及承诺书格式：</w:t>
      </w:r>
    </w:p>
    <w:p>
      <w:pPr>
        <w:snapToGrid w:val="0"/>
        <w:spacing w:before="50" w:after="50" w:line="360" w:lineRule="exact"/>
        <w:jc w:val="center"/>
        <w:rPr>
          <w:rFonts w:hint="eastAsia" w:ascii="宋体" w:hAnsi="宋体"/>
          <w:color w:val="auto"/>
          <w:sz w:val="30"/>
          <w:szCs w:val="30"/>
          <w:highlight w:val="none"/>
        </w:rPr>
      </w:pPr>
    </w:p>
    <w:p>
      <w:pPr>
        <w:snapToGrid w:val="0"/>
        <w:spacing w:before="50" w:after="50" w:line="360" w:lineRule="exact"/>
        <w:jc w:val="center"/>
        <w:rPr>
          <w:rFonts w:hint="eastAsia" w:ascii="宋体" w:hAnsi="宋体"/>
          <w:b/>
          <w:bCs/>
          <w:color w:val="auto"/>
          <w:sz w:val="30"/>
          <w:szCs w:val="30"/>
          <w:highlight w:val="none"/>
        </w:rPr>
      </w:pPr>
    </w:p>
    <w:p>
      <w:pPr>
        <w:snapToGrid w:val="0"/>
        <w:spacing w:before="50" w:after="50" w:line="360" w:lineRule="exact"/>
        <w:jc w:val="center"/>
        <w:rPr>
          <w:rFonts w:hint="eastAsia" w:ascii="宋体" w:hAnsi="宋体"/>
          <w:b/>
          <w:bCs/>
          <w:color w:val="auto"/>
          <w:sz w:val="30"/>
          <w:szCs w:val="30"/>
          <w:highlight w:val="none"/>
        </w:rPr>
      </w:pPr>
      <w:r>
        <w:rPr>
          <w:rFonts w:hint="eastAsia" w:ascii="宋体" w:hAnsi="宋体"/>
          <w:b/>
          <w:bCs/>
          <w:color w:val="auto"/>
          <w:sz w:val="30"/>
          <w:szCs w:val="30"/>
          <w:highlight w:val="none"/>
        </w:rPr>
        <w:t>售后服务方案及承诺书</w:t>
      </w:r>
    </w:p>
    <w:p>
      <w:pPr>
        <w:pStyle w:val="20"/>
        <w:spacing w:line="440" w:lineRule="exact"/>
        <w:rPr>
          <w:rFonts w:hint="eastAsia" w:hAnsi="宋体" w:cs="宋体"/>
          <w:color w:val="auto"/>
          <w:sz w:val="21"/>
          <w:highlight w:val="none"/>
        </w:rPr>
      </w:pPr>
    </w:p>
    <w:p>
      <w:pPr>
        <w:pStyle w:val="20"/>
        <w:spacing w:line="440" w:lineRule="exact"/>
        <w:rPr>
          <w:rFonts w:hint="eastAsia" w:hAnsi="宋体" w:cs="宋体"/>
          <w:color w:val="auto"/>
          <w:sz w:val="21"/>
          <w:highlight w:val="none"/>
        </w:rPr>
      </w:pPr>
      <w:r>
        <w:rPr>
          <w:rFonts w:hint="eastAsia" w:hAnsi="宋体" w:cs="宋体"/>
          <w:color w:val="auto"/>
          <w:sz w:val="21"/>
          <w:highlight w:val="none"/>
        </w:rPr>
        <w:t xml:space="preserve">第1条 </w:t>
      </w:r>
      <w:r>
        <w:rPr>
          <w:rFonts w:hint="eastAsia" w:hAnsi="宋体" w:cs="宋体"/>
          <w:b/>
          <w:color w:val="auto"/>
          <w:sz w:val="21"/>
          <w:highlight w:val="none"/>
        </w:rPr>
        <w:t>对合同条款、付款方式全部予以响应。</w:t>
      </w:r>
    </w:p>
    <w:p>
      <w:pPr>
        <w:pStyle w:val="20"/>
        <w:jc w:val="left"/>
        <w:rPr>
          <w:rFonts w:hint="eastAsia" w:hAnsi="宋体" w:cs="宋体"/>
          <w:color w:val="auto"/>
          <w:sz w:val="21"/>
          <w:highlight w:val="none"/>
        </w:rPr>
      </w:pPr>
      <w:r>
        <w:rPr>
          <w:rFonts w:hint="eastAsia" w:hAnsi="宋体"/>
          <w:color w:val="auto"/>
          <w:szCs w:val="21"/>
          <w:highlight w:val="none"/>
        </w:rPr>
        <w:t>第2条</w:t>
      </w:r>
      <w:r>
        <w:rPr>
          <w:rFonts w:hint="eastAsia" w:hAnsi="宋体"/>
          <w:b/>
          <w:color w:val="auto"/>
          <w:szCs w:val="21"/>
          <w:highlight w:val="none"/>
        </w:rPr>
        <w:t xml:space="preserve"> </w:t>
      </w:r>
      <w:r>
        <w:rPr>
          <w:rFonts w:hint="eastAsia" w:hAnsi="宋体"/>
          <w:color w:val="auto"/>
          <w:szCs w:val="21"/>
          <w:highlight w:val="none"/>
        </w:rPr>
        <w:t>（由供应商按第三章《采购需求》要求自行填写，所作的承诺作为构成合同不可分割的部分，必须真实、诚信，如提供虚假承诺或在中标、成交后不按其承诺履行的，将依法追究违约责任，并按《中华人民共和国政府采购法》规定予以处罚。）</w:t>
      </w:r>
    </w:p>
    <w:p>
      <w:pPr>
        <w:pStyle w:val="20"/>
        <w:rPr>
          <w:rFonts w:hint="eastAsia" w:hAnsi="宋体"/>
          <w:color w:val="auto"/>
          <w:szCs w:val="21"/>
          <w:highlight w:val="none"/>
        </w:rPr>
      </w:pPr>
      <w:r>
        <w:rPr>
          <w:rFonts w:hint="eastAsia" w:hAnsi="宋体"/>
          <w:color w:val="auto"/>
          <w:szCs w:val="21"/>
          <w:highlight w:val="none"/>
        </w:rPr>
        <w:t xml:space="preserve">第3条  </w:t>
      </w:r>
    </w:p>
    <w:p>
      <w:pPr>
        <w:pStyle w:val="20"/>
        <w:ind w:firstLine="480" w:firstLineChars="200"/>
        <w:jc w:val="left"/>
        <w:rPr>
          <w:rFonts w:hint="eastAsia" w:hAnsi="宋体"/>
          <w:color w:val="auto"/>
          <w:sz w:val="24"/>
          <w:szCs w:val="24"/>
          <w:highlight w:val="none"/>
        </w:rPr>
      </w:pPr>
    </w:p>
    <w:p>
      <w:pPr>
        <w:pStyle w:val="20"/>
        <w:ind w:firstLine="480" w:firstLineChars="200"/>
        <w:rPr>
          <w:rFonts w:hint="eastAsia" w:hAnsi="宋体" w:cs="宋体"/>
          <w:color w:val="auto"/>
          <w:sz w:val="24"/>
          <w:szCs w:val="24"/>
          <w:highlight w:val="none"/>
        </w:rPr>
      </w:pPr>
    </w:p>
    <w:p>
      <w:pPr>
        <w:pStyle w:val="20"/>
        <w:ind w:firstLine="480" w:firstLineChars="200"/>
        <w:rPr>
          <w:rFonts w:hint="eastAsia" w:hAnsi="宋体" w:cs="宋体"/>
          <w:color w:val="auto"/>
          <w:sz w:val="24"/>
          <w:szCs w:val="24"/>
          <w:highlight w:val="none"/>
        </w:rPr>
      </w:pPr>
    </w:p>
    <w:p>
      <w:pPr>
        <w:pStyle w:val="20"/>
        <w:ind w:firstLine="480" w:firstLineChars="200"/>
        <w:rPr>
          <w:rFonts w:hint="eastAsia" w:hAnsi="宋体" w:cs="宋体"/>
          <w:color w:val="auto"/>
          <w:sz w:val="24"/>
          <w:szCs w:val="24"/>
          <w:highlight w:val="none"/>
        </w:rPr>
      </w:pPr>
    </w:p>
    <w:p>
      <w:pPr>
        <w:pStyle w:val="20"/>
        <w:ind w:firstLine="480" w:firstLineChars="200"/>
        <w:rPr>
          <w:rFonts w:hint="eastAsia" w:hAnsi="宋体" w:cs="宋体"/>
          <w:color w:val="auto"/>
          <w:sz w:val="24"/>
          <w:szCs w:val="24"/>
          <w:highlight w:val="none"/>
        </w:rPr>
      </w:pPr>
    </w:p>
    <w:p>
      <w:pPr>
        <w:pStyle w:val="20"/>
        <w:ind w:firstLine="480" w:firstLineChars="200"/>
        <w:rPr>
          <w:rFonts w:hint="eastAsia" w:hAnsi="宋体" w:cs="宋体"/>
          <w:color w:val="auto"/>
          <w:sz w:val="24"/>
          <w:szCs w:val="24"/>
          <w:highlight w:val="none"/>
        </w:rPr>
      </w:pPr>
    </w:p>
    <w:p>
      <w:pPr>
        <w:pStyle w:val="20"/>
        <w:ind w:firstLine="480" w:firstLineChars="200"/>
        <w:rPr>
          <w:rFonts w:hint="eastAsia" w:hAnsi="宋体" w:cs="宋体"/>
          <w:color w:val="auto"/>
          <w:sz w:val="24"/>
          <w:szCs w:val="24"/>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napToGrid w:val="0"/>
        <w:spacing w:before="50"/>
        <w:jc w:val="right"/>
        <w:rPr>
          <w:rFonts w:hint="eastAsia" w:ascii="宋体" w:hAnsi="宋体" w:cs="宋体"/>
          <w:color w:val="auto"/>
          <w:szCs w:val="21"/>
          <w:highlight w:val="none"/>
          <w:u w:val="singl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snapToGrid w:val="0"/>
        <w:spacing w:before="50" w:after="50" w:line="360" w:lineRule="exact"/>
        <w:rPr>
          <w:rFonts w:hint="eastAsia" w:hAnsi="宋体" w:cs="宋体"/>
          <w:b/>
          <w:color w:val="auto"/>
          <w:sz w:val="24"/>
          <w:szCs w:val="32"/>
          <w:highlight w:val="none"/>
        </w:rPr>
      </w:pPr>
      <w:r>
        <w:rPr>
          <w:rFonts w:hint="eastAsia" w:hAnsi="宋体" w:cs="宋体"/>
          <w:b/>
          <w:color w:val="auto"/>
          <w:sz w:val="24"/>
          <w:szCs w:val="32"/>
          <w:highlight w:val="none"/>
        </w:rPr>
        <w:t>九、选配件、专用耗材、售后服务优惠表格式：</w:t>
      </w:r>
    </w:p>
    <w:p>
      <w:pPr>
        <w:tabs>
          <w:tab w:val="left" w:pos="315"/>
        </w:tabs>
        <w:snapToGrid w:val="0"/>
        <w:spacing w:before="50" w:after="50" w:line="360" w:lineRule="exact"/>
        <w:rPr>
          <w:rFonts w:hint="eastAsia" w:ascii="宋体" w:hAnsi="宋体"/>
          <w:color w:val="auto"/>
          <w:sz w:val="24"/>
          <w:highlight w:val="none"/>
        </w:rPr>
      </w:pPr>
    </w:p>
    <w:p>
      <w:pPr>
        <w:tabs>
          <w:tab w:val="left" w:pos="315"/>
        </w:tabs>
        <w:snapToGrid w:val="0"/>
        <w:spacing w:before="50" w:after="50" w:line="360" w:lineRule="exact"/>
        <w:jc w:val="center"/>
        <w:rPr>
          <w:rFonts w:hint="eastAsia" w:ascii="宋体" w:hAnsi="宋体"/>
          <w:b/>
          <w:bCs/>
          <w:color w:val="auto"/>
          <w:sz w:val="30"/>
          <w:szCs w:val="30"/>
          <w:highlight w:val="none"/>
        </w:rPr>
      </w:pPr>
      <w:r>
        <w:rPr>
          <w:rFonts w:hint="eastAsia" w:ascii="宋体" w:hAnsi="宋体"/>
          <w:b/>
          <w:bCs/>
          <w:color w:val="auto"/>
          <w:sz w:val="30"/>
          <w:szCs w:val="30"/>
          <w:highlight w:val="none"/>
        </w:rPr>
        <w:t>选配件、专用耗材、售后服务优惠表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1" w:hRule="exact"/>
          <w:jc w:val="center"/>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单价</w:t>
            </w:r>
          </w:p>
        </w:tc>
        <w:tc>
          <w:tcPr>
            <w:tcW w:w="234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4"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ind w:firstLine="200" w:firstLineChars="100"/>
              <w:rPr>
                <w:rFonts w:hint="eastAsia" w:hAnsi="宋体"/>
                <w:color w:val="auto"/>
                <w:highlight w:val="none"/>
              </w:rPr>
            </w:pPr>
            <w:r>
              <w:rPr>
                <w:rFonts w:hint="eastAsia" w:hAnsi="宋体"/>
                <w:color w:val="auto"/>
                <w:highlight w:val="none"/>
              </w:rPr>
              <w:t>1</w:t>
            </w:r>
          </w:p>
        </w:tc>
        <w:tc>
          <w:tcPr>
            <w:tcW w:w="2700" w:type="dxa"/>
            <w:tcBorders>
              <w:top w:val="single" w:color="auto" w:sz="2"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p>
        </w:tc>
        <w:tc>
          <w:tcPr>
            <w:tcW w:w="2340" w:type="dxa"/>
            <w:tcBorders>
              <w:top w:val="single" w:color="auto" w:sz="2"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6"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2</w:t>
            </w:r>
          </w:p>
        </w:tc>
        <w:tc>
          <w:tcPr>
            <w:tcW w:w="2700" w:type="dxa"/>
            <w:tcBorders>
              <w:top w:val="single" w:color="auto" w:sz="6"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p>
        </w:tc>
        <w:tc>
          <w:tcPr>
            <w:tcW w:w="2340" w:type="dxa"/>
            <w:tcBorders>
              <w:top w:val="single" w:color="auto" w:sz="6"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49"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3</w:t>
            </w:r>
          </w:p>
        </w:tc>
        <w:tc>
          <w:tcPr>
            <w:tcW w:w="2700" w:type="dxa"/>
            <w:tcBorders>
              <w:top w:val="single" w:color="auto" w:sz="6"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p>
        </w:tc>
        <w:tc>
          <w:tcPr>
            <w:tcW w:w="2340" w:type="dxa"/>
            <w:tcBorders>
              <w:top w:val="single" w:color="auto" w:sz="6"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w:t>
            </w:r>
          </w:p>
        </w:tc>
      </w:tr>
    </w:tbl>
    <w:p>
      <w:pPr>
        <w:snapToGrid w:val="0"/>
        <w:spacing w:before="50" w:after="50" w:line="360" w:lineRule="exact"/>
        <w:ind w:firstLine="210" w:firstLineChars="1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napToGrid w:val="0"/>
        <w:spacing w:before="50" w:line="340" w:lineRule="exact"/>
        <w:jc w:val="left"/>
        <w:rPr>
          <w:rFonts w:hint="eastAsia" w:ascii="宋体" w:hAnsi="宋体" w:cs="宋体"/>
          <w:b/>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snapToGrid w:val="0"/>
        <w:spacing w:before="50" w:line="360" w:lineRule="exact"/>
        <w:jc w:val="left"/>
        <w:rPr>
          <w:rFonts w:hint="eastAsia" w:ascii="宋体" w:hAnsi="宋体"/>
          <w:b/>
          <w:color w:val="auto"/>
          <w:sz w:val="24"/>
          <w:highlight w:val="none"/>
        </w:rPr>
        <w:sectPr>
          <w:pgSz w:w="11906" w:h="16838"/>
          <w:pgMar w:top="1134" w:right="1134" w:bottom="1134" w:left="1134" w:header="720" w:footer="720" w:gutter="0"/>
          <w:cols w:space="0" w:num="1"/>
          <w:docGrid w:type="lines" w:linePitch="312" w:charSpace="0"/>
        </w:sectPr>
      </w:pPr>
    </w:p>
    <w:p>
      <w:pPr>
        <w:snapToGrid w:val="0"/>
        <w:spacing w:before="50" w:line="360" w:lineRule="exact"/>
        <w:jc w:val="left"/>
        <w:rPr>
          <w:rFonts w:hint="eastAsia" w:ascii="宋体" w:hAnsi="宋体"/>
          <w:b/>
          <w:color w:val="auto"/>
          <w:sz w:val="24"/>
          <w:highlight w:val="none"/>
        </w:rPr>
      </w:pPr>
      <w:r>
        <w:rPr>
          <w:rFonts w:hint="eastAsia" w:ascii="宋体" w:hAnsi="宋体"/>
          <w:b/>
          <w:color w:val="auto"/>
          <w:sz w:val="24"/>
          <w:highlight w:val="none"/>
        </w:rPr>
        <w:t>十、 供应商同类项目业绩证明一览表（格式）</w:t>
      </w:r>
    </w:p>
    <w:p>
      <w:pPr>
        <w:pStyle w:val="29"/>
        <w:snapToGrid w:val="0"/>
        <w:spacing w:line="360" w:lineRule="exact"/>
        <w:ind w:left="643" w:hanging="643"/>
        <w:jc w:val="center"/>
        <w:rPr>
          <w:rFonts w:hint="eastAsia" w:ascii="宋体" w:hAnsi="宋体"/>
          <w:b/>
          <w:bCs/>
          <w:color w:val="auto"/>
          <w:sz w:val="32"/>
          <w:szCs w:val="32"/>
          <w:highlight w:val="none"/>
        </w:rPr>
      </w:pPr>
    </w:p>
    <w:p>
      <w:pPr>
        <w:pStyle w:val="29"/>
        <w:snapToGrid w:val="0"/>
        <w:spacing w:line="360" w:lineRule="exact"/>
        <w:ind w:left="643" w:hanging="643"/>
        <w:jc w:val="center"/>
        <w:rPr>
          <w:rFonts w:hint="eastAsia" w:ascii="宋体" w:hAnsi="宋体"/>
          <w:b/>
          <w:bCs/>
          <w:color w:val="auto"/>
          <w:sz w:val="32"/>
          <w:szCs w:val="32"/>
          <w:highlight w:val="none"/>
        </w:rPr>
      </w:pPr>
      <w:r>
        <w:rPr>
          <w:rFonts w:hint="eastAsia" w:ascii="宋体" w:hAnsi="宋体"/>
          <w:b/>
          <w:bCs/>
          <w:color w:val="auto"/>
          <w:sz w:val="32"/>
          <w:szCs w:val="32"/>
          <w:highlight w:val="none"/>
        </w:rPr>
        <w:t>供应商同类项目业绩一览表</w:t>
      </w:r>
    </w:p>
    <w:tbl>
      <w:tblPr>
        <w:tblStyle w:val="37"/>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277"/>
        <w:gridCol w:w="1081"/>
        <w:gridCol w:w="1080"/>
        <w:gridCol w:w="958"/>
        <w:gridCol w:w="720"/>
        <w:gridCol w:w="720"/>
        <w:gridCol w:w="720"/>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采购单位名称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采购</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单价</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合同</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附件页码</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用户评价</w:t>
            </w: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r>
    </w:tbl>
    <w:p>
      <w:pPr>
        <w:pStyle w:val="29"/>
        <w:snapToGrid w:val="0"/>
        <w:spacing w:line="360" w:lineRule="exact"/>
        <w:ind w:left="420" w:leftChars="200" w:firstLine="0" w:firstLineChars="0"/>
        <w:jc w:val="left"/>
        <w:rPr>
          <w:rFonts w:hint="eastAsia" w:ascii="宋体" w:hAnsi="宋体"/>
          <w:color w:val="auto"/>
          <w:sz w:val="21"/>
          <w:szCs w:val="21"/>
          <w:highlight w:val="none"/>
        </w:rPr>
      </w:pPr>
      <w:r>
        <w:rPr>
          <w:rFonts w:hint="eastAsia" w:ascii="宋体" w:hAnsi="宋体"/>
          <w:color w:val="auto"/>
          <w:sz w:val="21"/>
          <w:szCs w:val="21"/>
          <w:highlight w:val="none"/>
        </w:rPr>
        <w:t>注：供应商同类项目合同复印件、用户验收报告、用户评价意见格式自拟，请提供相关证明材料扫描件并加盖供应商电子公章（如有）</w:t>
      </w:r>
    </w:p>
    <w:p>
      <w:pPr>
        <w:pStyle w:val="12"/>
        <w:snapToGrid w:val="0"/>
        <w:spacing w:line="360" w:lineRule="exact"/>
        <w:rPr>
          <w:rFonts w:hint="eastAsia" w:ascii="宋体" w:hAnsi="宋体" w:eastAsia="宋体"/>
          <w:color w:val="auto"/>
          <w:sz w:val="21"/>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r>
        <w:rPr>
          <w:rFonts w:hint="eastAsia" w:ascii="宋体" w:hAnsi="宋体" w:cs="宋体"/>
          <w:b/>
          <w:bCs/>
          <w:color w:val="auto"/>
          <w:szCs w:val="21"/>
          <w:highlight w:val="none"/>
        </w:rPr>
        <w:t>3、报价文件格式：</w:t>
      </w: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Cs w:val="21"/>
          <w:highlight w:val="none"/>
        </w:rPr>
      </w:pPr>
    </w:p>
    <w:p>
      <w:pPr>
        <w:tabs>
          <w:tab w:val="left" w:pos="1418"/>
        </w:tabs>
        <w:snapToGrid w:val="0"/>
        <w:spacing w:before="50" w:after="50" w:line="320" w:lineRule="exact"/>
        <w:jc w:val="center"/>
        <w:rPr>
          <w:rFonts w:hint="eastAsia" w:ascii="宋体" w:hAnsi="宋体"/>
          <w:bCs/>
          <w:color w:val="auto"/>
          <w:sz w:val="32"/>
          <w:szCs w:val="32"/>
          <w:highlight w:val="none"/>
        </w:rPr>
      </w:pPr>
      <w:r>
        <w:rPr>
          <w:rFonts w:hint="eastAsia" w:ascii="宋体" w:hAnsi="宋体"/>
          <w:bCs/>
          <w:color w:val="auto"/>
          <w:sz w:val="32"/>
          <w:szCs w:val="32"/>
          <w:highlight w:val="none"/>
        </w:rPr>
        <w:t>目   录</w:t>
      </w:r>
    </w:p>
    <w:p>
      <w:pPr>
        <w:tabs>
          <w:tab w:val="left" w:pos="2625"/>
        </w:tabs>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pStyle w:val="28"/>
        <w:rPr>
          <w:rFonts w:hint="eastAsia" w:ascii="宋体" w:hAnsi="宋体"/>
          <w:bCs/>
          <w:color w:val="auto"/>
          <w:szCs w:val="21"/>
          <w:highlight w:val="none"/>
        </w:rPr>
      </w:pPr>
    </w:p>
    <w:p>
      <w:pPr>
        <w:rPr>
          <w:rFonts w:hint="eastAsia" w:ascii="宋体" w:hAnsi="宋体"/>
          <w:bCs/>
          <w:color w:val="auto"/>
          <w:szCs w:val="21"/>
          <w:highlight w:val="none"/>
        </w:rPr>
      </w:pPr>
    </w:p>
    <w:p>
      <w:pPr>
        <w:pStyle w:val="28"/>
        <w:rPr>
          <w:rFonts w:hint="eastAsia" w:ascii="宋体" w:hAnsi="宋体"/>
          <w:bCs/>
          <w:color w:val="auto"/>
          <w:szCs w:val="21"/>
          <w:highlight w:val="none"/>
        </w:rPr>
      </w:pPr>
    </w:p>
    <w:p>
      <w:pPr>
        <w:rPr>
          <w:rFonts w:hint="eastAsia" w:ascii="宋体" w:hAnsi="宋体"/>
          <w:bCs/>
          <w:color w:val="auto"/>
          <w:szCs w:val="21"/>
          <w:highlight w:val="none"/>
        </w:rPr>
      </w:pPr>
    </w:p>
    <w:p>
      <w:pPr>
        <w:pStyle w:val="28"/>
        <w:rPr>
          <w:rFonts w:hint="eastAsia" w:ascii="宋体" w:hAnsi="宋体"/>
          <w:bCs/>
          <w:color w:val="auto"/>
          <w:szCs w:val="21"/>
          <w:highlight w:val="none"/>
        </w:rPr>
      </w:pPr>
    </w:p>
    <w:p>
      <w:pPr>
        <w:rPr>
          <w:rFonts w:hint="eastAsia" w:ascii="宋体" w:hAnsi="宋体"/>
          <w:bCs/>
          <w:color w:val="auto"/>
          <w:szCs w:val="21"/>
          <w:highlight w:val="none"/>
        </w:rPr>
      </w:pPr>
    </w:p>
    <w:p>
      <w:pPr>
        <w:pStyle w:val="28"/>
        <w:rPr>
          <w:rFonts w:hint="eastAsia" w:ascii="宋体" w:hAnsi="宋体"/>
          <w:bCs/>
          <w:color w:val="auto"/>
          <w:szCs w:val="21"/>
          <w:highlight w:val="none"/>
        </w:rPr>
      </w:pPr>
    </w:p>
    <w:p>
      <w:pPr>
        <w:rPr>
          <w:rFonts w:hint="eastAsia" w:ascii="宋体" w:hAnsi="宋体"/>
          <w:bCs/>
          <w:color w:val="auto"/>
          <w:szCs w:val="21"/>
          <w:highlight w:val="none"/>
        </w:rPr>
      </w:pPr>
    </w:p>
    <w:p>
      <w:pPr>
        <w:pStyle w:val="28"/>
        <w:rPr>
          <w:rFonts w:hint="eastAsia" w:ascii="宋体" w:hAnsi="宋体"/>
          <w:bCs/>
          <w:color w:val="auto"/>
          <w:szCs w:val="21"/>
          <w:highlight w:val="none"/>
        </w:rPr>
      </w:pPr>
    </w:p>
    <w:p>
      <w:pPr>
        <w:rPr>
          <w:rFonts w:hint="eastAsia" w:ascii="宋体" w:hAnsi="宋体"/>
          <w:bCs/>
          <w:color w:val="auto"/>
          <w:szCs w:val="21"/>
          <w:highlight w:val="none"/>
        </w:rPr>
      </w:pPr>
    </w:p>
    <w:p>
      <w:pPr>
        <w:pStyle w:val="28"/>
        <w:rPr>
          <w:color w:val="auto"/>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cs="宋体"/>
          <w:b/>
          <w:color w:val="auto"/>
          <w:szCs w:val="21"/>
          <w:highlight w:val="none"/>
        </w:rPr>
      </w:pPr>
      <w:r>
        <w:rPr>
          <w:rFonts w:hint="eastAsia" w:ascii="宋体" w:hAnsi="宋体" w:cs="宋体"/>
          <w:b/>
          <w:color w:val="auto"/>
          <w:szCs w:val="21"/>
          <w:highlight w:val="none"/>
        </w:rPr>
        <w:t>一、竞标函格式</w:t>
      </w:r>
    </w:p>
    <w:p>
      <w:pPr>
        <w:snapToGrid w:val="0"/>
        <w:spacing w:before="156" w:beforeLines="50" w:after="50"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竞 标 函</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     ），签字代表</w:t>
      </w:r>
      <w:r>
        <w:rPr>
          <w:rFonts w:hint="eastAsia" w:ascii="宋体" w:hAnsi="宋体"/>
          <w:color w:val="auto"/>
          <w:szCs w:val="21"/>
          <w:highlight w:val="none"/>
          <w:u w:val="single"/>
        </w:rPr>
        <w:t xml:space="preserve">     （全名）</w:t>
      </w:r>
      <w:r>
        <w:rPr>
          <w:rFonts w:hint="eastAsia" w:ascii="宋体" w:hAnsi="宋体"/>
          <w:color w:val="auto"/>
          <w:szCs w:val="21"/>
          <w:highlight w:val="none"/>
        </w:rPr>
        <w:t>经正式授权并代表供应商</w:t>
      </w:r>
      <w:r>
        <w:rPr>
          <w:rFonts w:hint="eastAsia" w:ascii="宋体" w:hAnsi="宋体"/>
          <w:color w:val="auto"/>
          <w:szCs w:val="21"/>
          <w:highlight w:val="none"/>
          <w:u w:val="single"/>
        </w:rPr>
        <w:t xml:space="preserve">                    （供应商名称）</w:t>
      </w:r>
      <w:r>
        <w:rPr>
          <w:rFonts w:hint="eastAsia" w:ascii="宋体" w:hAnsi="宋体"/>
          <w:color w:val="auto"/>
          <w:szCs w:val="21"/>
          <w:highlight w:val="none"/>
        </w:rPr>
        <w:t>现正式递交下述文件参加贵方组织的本次政府采购活动：</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一、报价文件电子版一份；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二、资格文件电子版一份；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三、商务和技术文件电子版一份；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1.我方已详细审查全部“竞争性谈判文件”，包括修改文件（如有的话）以及全部参考资料和有关附件，已经了解我方对于谈判文件、采购过程、采购结果有依法进行询问、质疑、投诉的权利及相关渠道和要求。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2.我方在投标之前已经与贵方进行了充分的沟通，完全理解并接受竞争性谈判文件的各项规定和要求，对竞争性谈判文件的合理性、合法性不再有异议。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4.如中标，本响应文件至本项目合同履行完毕止均保持有效，我方将按“竞争性谈判文件”及政府采购法律、法规的规定履行合同责任和义务。</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5.我方同意按照贵方要求提供与投标有关的一切数据或资料。</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供应商代表姓名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银行帐号：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p>
    <w:p>
      <w:pPr>
        <w:snapToGrid w:val="0"/>
        <w:spacing w:line="360" w:lineRule="exact"/>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pStyle w:val="20"/>
        <w:spacing w:line="360" w:lineRule="exact"/>
        <w:rPr>
          <w:rFonts w:hint="eastAsia" w:hAnsi="宋体"/>
          <w:color w:val="auto"/>
          <w:sz w:val="44"/>
          <w:szCs w:val="21"/>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Cs w:val="21"/>
          <w:highlight w:val="none"/>
        </w:rPr>
      </w:pPr>
      <w:r>
        <w:rPr>
          <w:rFonts w:hint="eastAsia" w:ascii="宋体" w:hAnsi="宋体" w:cs="宋体"/>
          <w:b/>
          <w:color w:val="auto"/>
          <w:szCs w:val="21"/>
          <w:highlight w:val="none"/>
        </w:rPr>
        <w:t>二、报价表和最后报价明细表格式</w:t>
      </w:r>
    </w:p>
    <w:p>
      <w:pPr>
        <w:spacing w:line="30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报  价  表</w:t>
      </w:r>
    </w:p>
    <w:p>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p>
    <w:p>
      <w:pPr>
        <w:snapToGrid w:val="0"/>
        <w:spacing w:before="50" w:after="50"/>
        <w:rPr>
          <w:rFonts w:hint="eastAsia" w:ascii="宋体" w:hAnsi="宋体" w:cs="宋体"/>
          <w:color w:val="auto"/>
          <w:highlight w:val="none"/>
          <w:u w:val="single"/>
        </w:rPr>
      </w:pPr>
      <w:r>
        <w:rPr>
          <w:rFonts w:hint="eastAsia" w:ascii="宋体" w:hAnsi="宋体" w:cs="宋体"/>
          <w:color w:val="auto"/>
          <w:szCs w:val="21"/>
          <w:highlight w:val="none"/>
        </w:rPr>
        <w:t>项目编号：</w:t>
      </w:r>
      <w:r>
        <w:rPr>
          <w:rFonts w:hint="eastAsia" w:ascii="宋体" w:hAnsi="宋体" w:cs="宋体"/>
          <w:color w:val="auto"/>
          <w:highlight w:val="none"/>
          <w:u w:val="single"/>
        </w:rPr>
        <w:t xml:space="preserve">                                </w:t>
      </w:r>
    </w:p>
    <w:p>
      <w:pPr>
        <w:snapToGrid w:val="0"/>
        <w:spacing w:before="50" w:after="50"/>
        <w:rPr>
          <w:rFonts w:hint="eastAsia" w:ascii="宋体" w:hAnsi="宋体" w:cs="宋体"/>
          <w:color w:val="auto"/>
          <w:highlight w:val="none"/>
          <w:u w:val="single"/>
        </w:rPr>
      </w:pPr>
      <w:r>
        <w:rPr>
          <w:rFonts w:hint="eastAsia" w:ascii="宋体" w:hAnsi="宋体" w:cs="宋体"/>
          <w:color w:val="auto"/>
          <w:highlight w:val="none"/>
        </w:rPr>
        <w:t>分标号</w:t>
      </w:r>
      <w:r>
        <w:rPr>
          <w:rFonts w:hint="eastAsia" w:ascii="宋体" w:hAnsi="宋体" w:cs="宋体"/>
          <w:color w:val="auto"/>
          <w:szCs w:val="21"/>
          <w:highlight w:val="none"/>
        </w:rPr>
        <w:t>：</w:t>
      </w:r>
      <w:r>
        <w:rPr>
          <w:rFonts w:hint="eastAsia" w:ascii="宋体" w:hAnsi="宋体" w:cs="宋体"/>
          <w:color w:val="auto"/>
          <w:highlight w:val="none"/>
          <w:u w:val="single"/>
        </w:rPr>
        <w:t xml:space="preserve">                                </w:t>
      </w:r>
    </w:p>
    <w:tbl>
      <w:tblPr>
        <w:tblStyle w:val="37"/>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603"/>
        <w:gridCol w:w="1639"/>
        <w:gridCol w:w="1229"/>
        <w:gridCol w:w="1051"/>
        <w:gridCol w:w="878"/>
        <w:gridCol w:w="1066"/>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12" w:type="dxa"/>
          </w:tcPr>
          <w:p>
            <w:pPr>
              <w:pStyle w:val="88"/>
              <w:spacing w:before="110"/>
              <w:ind w:left="217" w:right="224"/>
              <w:jc w:val="center"/>
              <w:rPr>
                <w:rFonts w:hint="eastAsia"/>
                <w:b/>
                <w:color w:val="auto"/>
                <w:sz w:val="21"/>
                <w:highlight w:val="none"/>
              </w:rPr>
            </w:pPr>
            <w:r>
              <w:rPr>
                <w:rFonts w:hint="eastAsia"/>
                <w:b/>
                <w:color w:val="auto"/>
                <w:sz w:val="21"/>
                <w:highlight w:val="none"/>
              </w:rPr>
              <w:t>项号</w:t>
            </w:r>
          </w:p>
        </w:tc>
        <w:tc>
          <w:tcPr>
            <w:tcW w:w="1603" w:type="dxa"/>
          </w:tcPr>
          <w:p>
            <w:pPr>
              <w:pStyle w:val="88"/>
              <w:spacing w:before="110"/>
              <w:ind w:left="369" w:right="0"/>
              <w:rPr>
                <w:rFonts w:hint="eastAsia"/>
                <w:b/>
                <w:color w:val="auto"/>
                <w:sz w:val="21"/>
                <w:highlight w:val="none"/>
              </w:rPr>
            </w:pPr>
            <w:r>
              <w:rPr>
                <w:rFonts w:hint="eastAsia"/>
                <w:b/>
                <w:color w:val="auto"/>
                <w:sz w:val="21"/>
                <w:highlight w:val="none"/>
              </w:rPr>
              <w:t>货物名称</w:t>
            </w:r>
          </w:p>
        </w:tc>
        <w:tc>
          <w:tcPr>
            <w:tcW w:w="1639" w:type="dxa"/>
          </w:tcPr>
          <w:p>
            <w:pPr>
              <w:pStyle w:val="88"/>
              <w:spacing w:before="1" w:line="322" w:lineRule="exact"/>
              <w:ind w:right="0"/>
              <w:jc w:val="center"/>
              <w:rPr>
                <w:rFonts w:hint="eastAsia"/>
                <w:b/>
                <w:color w:val="auto"/>
                <w:sz w:val="21"/>
                <w:highlight w:val="none"/>
                <w:lang w:eastAsia="zh-CN"/>
              </w:rPr>
            </w:pPr>
            <w:r>
              <w:rPr>
                <w:rFonts w:hint="eastAsia"/>
                <w:b/>
                <w:color w:val="auto"/>
                <w:sz w:val="21"/>
                <w:highlight w:val="none"/>
                <w:lang w:eastAsia="zh-CN"/>
              </w:rPr>
              <w:t>厂家、品牌、规格型号</w:t>
            </w:r>
          </w:p>
        </w:tc>
        <w:tc>
          <w:tcPr>
            <w:tcW w:w="1229" w:type="dxa"/>
          </w:tcPr>
          <w:p>
            <w:pPr>
              <w:pStyle w:val="88"/>
              <w:spacing w:before="110"/>
              <w:ind w:left="393" w:right="0"/>
              <w:rPr>
                <w:rFonts w:hint="eastAsia"/>
                <w:b/>
                <w:color w:val="auto"/>
                <w:sz w:val="21"/>
                <w:highlight w:val="none"/>
              </w:rPr>
            </w:pPr>
            <w:r>
              <w:rPr>
                <w:rFonts w:hint="eastAsia"/>
                <w:b/>
                <w:color w:val="auto"/>
                <w:sz w:val="21"/>
                <w:highlight w:val="none"/>
              </w:rPr>
              <w:t>产地</w:t>
            </w:r>
          </w:p>
        </w:tc>
        <w:tc>
          <w:tcPr>
            <w:tcW w:w="1051" w:type="dxa"/>
          </w:tcPr>
          <w:p>
            <w:pPr>
              <w:pStyle w:val="88"/>
              <w:spacing w:before="110"/>
              <w:ind w:left="196" w:right="0"/>
              <w:rPr>
                <w:rFonts w:hint="eastAsia"/>
                <w:b/>
                <w:color w:val="auto"/>
                <w:sz w:val="21"/>
                <w:highlight w:val="none"/>
              </w:rPr>
            </w:pPr>
            <w:r>
              <w:rPr>
                <w:rFonts w:hint="eastAsia"/>
                <w:b/>
                <w:color w:val="auto"/>
                <w:sz w:val="21"/>
                <w:highlight w:val="none"/>
              </w:rPr>
              <w:t>数量①</w:t>
            </w:r>
          </w:p>
        </w:tc>
        <w:tc>
          <w:tcPr>
            <w:tcW w:w="878" w:type="dxa"/>
          </w:tcPr>
          <w:p>
            <w:pPr>
              <w:pStyle w:val="88"/>
              <w:spacing w:before="110"/>
              <w:ind w:left="215" w:right="0"/>
              <w:rPr>
                <w:rFonts w:hint="eastAsia"/>
                <w:b/>
                <w:color w:val="auto"/>
                <w:sz w:val="21"/>
                <w:highlight w:val="none"/>
              </w:rPr>
            </w:pPr>
            <w:r>
              <w:rPr>
                <w:rFonts w:hint="eastAsia"/>
                <w:b/>
                <w:color w:val="auto"/>
                <w:sz w:val="21"/>
                <w:highlight w:val="none"/>
              </w:rPr>
              <w:t>单位</w:t>
            </w:r>
          </w:p>
        </w:tc>
        <w:tc>
          <w:tcPr>
            <w:tcW w:w="1066" w:type="dxa"/>
          </w:tcPr>
          <w:p>
            <w:pPr>
              <w:pStyle w:val="88"/>
              <w:spacing w:before="110"/>
              <w:ind w:left="206" w:right="0"/>
              <w:rPr>
                <w:rFonts w:hint="eastAsia"/>
                <w:b/>
                <w:color w:val="auto"/>
                <w:sz w:val="21"/>
                <w:highlight w:val="none"/>
              </w:rPr>
            </w:pPr>
            <w:r>
              <w:rPr>
                <w:rFonts w:hint="eastAsia"/>
                <w:b/>
                <w:color w:val="auto"/>
                <w:sz w:val="21"/>
                <w:highlight w:val="none"/>
              </w:rPr>
              <w:t>单价②</w:t>
            </w:r>
          </w:p>
        </w:tc>
        <w:tc>
          <w:tcPr>
            <w:tcW w:w="1404" w:type="dxa"/>
          </w:tcPr>
          <w:p>
            <w:pPr>
              <w:pStyle w:val="88"/>
              <w:spacing w:line="291" w:lineRule="exact"/>
              <w:ind w:left="311" w:right="0"/>
              <w:rPr>
                <w:rFonts w:hint="eastAsia"/>
                <w:b/>
                <w:color w:val="auto"/>
                <w:sz w:val="21"/>
                <w:highlight w:val="none"/>
              </w:rPr>
            </w:pPr>
            <w:r>
              <w:rPr>
                <w:rFonts w:hint="eastAsia"/>
                <w:b/>
                <w:color w:val="auto"/>
                <w:sz w:val="21"/>
                <w:highlight w:val="none"/>
              </w:rPr>
              <w:t>投标报价</w:t>
            </w:r>
          </w:p>
          <w:p>
            <w:pPr>
              <w:pStyle w:val="88"/>
              <w:spacing w:line="325" w:lineRule="exact"/>
              <w:ind w:left="259" w:right="0"/>
              <w:rPr>
                <w:rFonts w:hint="eastAsia"/>
                <w:b/>
                <w:color w:val="auto"/>
                <w:sz w:val="21"/>
                <w:highlight w:val="none"/>
              </w:rPr>
            </w:pPr>
            <w:r>
              <w:rPr>
                <w:rFonts w:hint="eastAsia"/>
                <w:b/>
                <w:color w:val="auto"/>
                <w:sz w:val="21"/>
                <w:highlight w:val="none"/>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1</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2</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N</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exact"/>
          <w:jc w:val="center"/>
        </w:trPr>
        <w:tc>
          <w:tcPr>
            <w:tcW w:w="9782" w:type="dxa"/>
            <w:gridSpan w:val="8"/>
            <w:vAlign w:val="center"/>
          </w:tcPr>
          <w:p>
            <w:pPr>
              <w:pStyle w:val="88"/>
              <w:tabs>
                <w:tab w:val="left" w:pos="2931"/>
                <w:tab w:val="left" w:pos="4727"/>
                <w:tab w:val="left" w:pos="6699"/>
                <w:tab w:val="left" w:pos="8010"/>
                <w:tab w:val="left" w:pos="8140"/>
              </w:tabs>
              <w:spacing w:before="14" w:line="295" w:lineRule="auto"/>
              <w:ind w:left="105" w:right="142"/>
              <w:jc w:val="both"/>
              <w:rPr>
                <w:rFonts w:hint="eastAsia"/>
                <w:color w:val="auto"/>
                <w:sz w:val="21"/>
                <w:szCs w:val="21"/>
                <w:highlight w:val="none"/>
                <w:lang w:eastAsia="zh-CN"/>
              </w:rPr>
            </w:pPr>
            <w:r>
              <w:rPr>
                <w:rFonts w:hint="eastAsia"/>
                <w:color w:val="auto"/>
                <w:sz w:val="21"/>
                <w:szCs w:val="21"/>
                <w:highlight w:val="none"/>
                <w:lang w:eastAsia="zh-CN"/>
              </w:rPr>
              <w:t>投标报价（合计金额）大写：</w:t>
            </w:r>
            <w:r>
              <w:rPr>
                <w:rFonts w:ascii="Times New Roman" w:hAnsi="Times New Roman" w:eastAsia="Times New Roman"/>
                <w:color w:val="auto"/>
                <w:sz w:val="21"/>
                <w:szCs w:val="21"/>
                <w:highlight w:val="none"/>
                <w:u w:val="single"/>
                <w:lang w:eastAsia="zh-CN"/>
              </w:rPr>
              <w:t xml:space="preserve"> </w:t>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hint="eastAsia"/>
                <w:color w:val="auto"/>
                <w:sz w:val="21"/>
                <w:szCs w:val="21"/>
                <w:highlight w:val="none"/>
                <w:lang w:eastAsia="zh-CN"/>
              </w:rPr>
              <w:t>人</w:t>
            </w:r>
            <w:r>
              <w:rPr>
                <w:color w:val="auto"/>
                <w:spacing w:val="-72"/>
                <w:sz w:val="21"/>
                <w:szCs w:val="21"/>
                <w:highlight w:val="none"/>
                <w:lang w:eastAsia="zh-CN"/>
              </w:rPr>
              <w:t xml:space="preserve"> </w:t>
            </w:r>
            <w:r>
              <w:rPr>
                <w:rFonts w:hint="eastAsia"/>
                <w:color w:val="auto"/>
                <w:sz w:val="21"/>
                <w:szCs w:val="21"/>
                <w:highlight w:val="none"/>
                <w:lang w:eastAsia="zh-CN"/>
              </w:rPr>
              <w:t>民</w:t>
            </w:r>
            <w:r>
              <w:rPr>
                <w:color w:val="auto"/>
                <w:spacing w:val="-67"/>
                <w:sz w:val="21"/>
                <w:szCs w:val="21"/>
                <w:highlight w:val="none"/>
                <w:lang w:eastAsia="zh-CN"/>
              </w:rPr>
              <w:t xml:space="preserve"> </w:t>
            </w:r>
            <w:r>
              <w:rPr>
                <w:rFonts w:hint="eastAsia"/>
                <w:color w:val="auto"/>
                <w:sz w:val="21"/>
                <w:szCs w:val="21"/>
                <w:highlight w:val="none"/>
                <w:lang w:eastAsia="zh-CN"/>
              </w:rPr>
              <w:t>币</w:t>
            </w:r>
            <w:r>
              <w:rPr>
                <w:color w:val="auto"/>
                <w:spacing w:val="-67"/>
                <w:sz w:val="21"/>
                <w:szCs w:val="21"/>
                <w:highlight w:val="none"/>
                <w:lang w:eastAsia="zh-CN"/>
              </w:rPr>
              <w:t xml:space="preserve"> </w:t>
            </w:r>
            <w:r>
              <w:rPr>
                <w:rFonts w:hint="eastAsia"/>
                <w:color w:val="auto"/>
                <w:sz w:val="21"/>
                <w:szCs w:val="21"/>
                <w:highlight w:val="none"/>
                <w:lang w:eastAsia="zh-CN"/>
              </w:rPr>
              <w:t>（</w:t>
            </w:r>
            <w:r>
              <w:rPr>
                <w:color w:val="auto"/>
                <w:spacing w:val="-67"/>
                <w:sz w:val="21"/>
                <w:szCs w:val="21"/>
                <w:highlight w:val="none"/>
                <w:lang w:eastAsia="zh-CN"/>
              </w:rPr>
              <w:t xml:space="preserve"> </w:t>
            </w:r>
            <w:r>
              <w:rPr>
                <w:rFonts w:hint="eastAsia"/>
                <w:color w:val="auto"/>
                <w:sz w:val="21"/>
                <w:szCs w:val="21"/>
                <w:highlight w:val="none"/>
                <w:lang w:eastAsia="zh-CN"/>
              </w:rPr>
              <w:t>￥</w:t>
            </w:r>
            <w:r>
              <w:rPr>
                <w:rFonts w:ascii="Times New Roman" w:hAnsi="Times New Roman" w:eastAsia="Times New Roman"/>
                <w:color w:val="auto"/>
                <w:sz w:val="21"/>
                <w:szCs w:val="21"/>
                <w:highlight w:val="none"/>
                <w:u w:val="single"/>
                <w:lang w:eastAsia="zh-CN"/>
              </w:rPr>
              <w:t xml:space="preserve"> </w:t>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hint="eastAsia"/>
                <w:color w:val="auto"/>
                <w:sz w:val="21"/>
                <w:szCs w:val="21"/>
                <w:highlight w:val="none"/>
                <w:lang w:eastAsia="zh-CN"/>
              </w:rPr>
              <w:t>）</w:t>
            </w:r>
            <w:r>
              <w:rPr>
                <w:color w:val="auto"/>
                <w:sz w:val="21"/>
                <w:szCs w:val="21"/>
                <w:highlight w:val="none"/>
                <w:lang w:eastAsia="zh-CN"/>
              </w:rPr>
              <w:t xml:space="preserve"> </w:t>
            </w:r>
            <w:r>
              <w:rPr>
                <w:rFonts w:hint="eastAsia"/>
                <w:color w:val="auto"/>
                <w:sz w:val="21"/>
                <w:szCs w:val="21"/>
                <w:highlight w:val="none"/>
                <w:lang w:eastAsia="zh-CN"/>
              </w:rPr>
              <w:t>。</w:t>
            </w:r>
          </w:p>
          <w:p>
            <w:pPr>
              <w:pStyle w:val="88"/>
              <w:tabs>
                <w:tab w:val="left" w:pos="2931"/>
                <w:tab w:val="left" w:pos="4727"/>
                <w:tab w:val="left" w:pos="6699"/>
                <w:tab w:val="left" w:pos="8010"/>
                <w:tab w:val="left" w:pos="8140"/>
              </w:tabs>
              <w:spacing w:before="14" w:line="295" w:lineRule="auto"/>
              <w:ind w:left="105" w:right="142"/>
              <w:jc w:val="both"/>
              <w:rPr>
                <w:rFonts w:hint="eastAsia"/>
                <w:color w:val="auto"/>
                <w:sz w:val="24"/>
                <w:highlight w:val="none"/>
                <w:lang w:eastAsia="zh-CN"/>
              </w:rPr>
            </w:pPr>
            <w:r>
              <w:rPr>
                <w:color w:val="auto"/>
                <w:sz w:val="21"/>
                <w:szCs w:val="21"/>
                <w:highlight w:val="none"/>
                <w:lang w:eastAsia="zh-CN"/>
              </w:rPr>
              <w:t>属于优先采购节能产品总值为￥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ab/>
            </w:r>
            <w:r>
              <w:rPr>
                <w:color w:val="auto"/>
                <w:sz w:val="21"/>
                <w:szCs w:val="21"/>
                <w:highlight w:val="none"/>
                <w:lang w:eastAsia="zh-CN"/>
              </w:rPr>
              <w:t>（具体明细详见附表），占本投标报价的比例为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lang w:eastAsia="zh-CN"/>
              </w:rPr>
              <w:t xml:space="preserve">%；属于优先采购环境标志产品总值为￥ </w:t>
            </w:r>
            <w:r>
              <w:rPr>
                <w:color w:val="auto"/>
                <w:sz w:val="21"/>
                <w:szCs w:val="21"/>
                <w:highlight w:val="none"/>
                <w:u w:val="single"/>
                <w:lang w:eastAsia="zh-CN"/>
              </w:rPr>
              <w:tab/>
            </w:r>
            <w:r>
              <w:rPr>
                <w:color w:val="auto"/>
                <w:sz w:val="21"/>
                <w:szCs w:val="21"/>
                <w:highlight w:val="none"/>
                <w:lang w:eastAsia="zh-CN"/>
              </w:rPr>
              <w:t>（具体明细详见附表）， 占本投标报价的比例为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lang w:eastAsia="zh-CN"/>
              </w:rPr>
              <w:t>%</w:t>
            </w:r>
            <w:r>
              <w:rPr>
                <w:rFonts w:hint="eastAsia"/>
                <w:color w:val="auto"/>
                <w:sz w:val="21"/>
                <w:szCs w:val="21"/>
                <w:highlight w:val="none"/>
                <w:lang w:eastAsia="zh-CN"/>
              </w:rPr>
              <w:t>。</w:t>
            </w:r>
            <w:r>
              <w:rPr>
                <w:rFonts w:hint="eastAsia"/>
                <w:color w:val="auto"/>
                <w:sz w:val="24"/>
                <w:highlight w:val="non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exact"/>
          <w:jc w:val="center"/>
        </w:trPr>
        <w:tc>
          <w:tcPr>
            <w:tcW w:w="9782" w:type="dxa"/>
            <w:gridSpan w:val="8"/>
            <w:vAlign w:val="center"/>
          </w:tcPr>
          <w:p>
            <w:pPr>
              <w:pStyle w:val="88"/>
              <w:tabs>
                <w:tab w:val="left" w:pos="3355"/>
                <w:tab w:val="left" w:pos="4727"/>
                <w:tab w:val="left" w:pos="7454"/>
                <w:tab w:val="left" w:pos="7905"/>
                <w:tab w:val="left" w:pos="8140"/>
              </w:tabs>
              <w:spacing w:before="14" w:line="295" w:lineRule="auto"/>
              <w:ind w:left="105" w:right="-20"/>
              <w:rPr>
                <w:rFonts w:hint="eastAsia"/>
                <w:color w:val="auto"/>
                <w:sz w:val="21"/>
                <w:szCs w:val="21"/>
                <w:highlight w:val="none"/>
                <w:lang w:eastAsia="zh-CN"/>
              </w:rPr>
            </w:pPr>
            <w:r>
              <w:rPr>
                <w:rFonts w:hint="eastAsia"/>
                <w:b/>
                <w:color w:val="auto"/>
                <w:sz w:val="21"/>
                <w:szCs w:val="21"/>
                <w:highlight w:val="none"/>
                <w:lang w:eastAsia="zh-CN"/>
              </w:rPr>
              <w:t>交货期：合同签订之日起</w:t>
            </w:r>
            <w:r>
              <w:rPr>
                <w:rFonts w:hint="eastAsia"/>
                <w:b/>
                <w:color w:val="auto"/>
                <w:sz w:val="21"/>
                <w:szCs w:val="21"/>
                <w:highlight w:val="none"/>
                <w:u w:val="single"/>
                <w:lang w:eastAsia="zh-CN"/>
              </w:rPr>
              <w:t xml:space="preserve">     </w:t>
            </w:r>
            <w:r>
              <w:rPr>
                <w:rFonts w:hint="eastAsia"/>
                <w:b/>
                <w:color w:val="auto"/>
                <w:sz w:val="21"/>
                <w:szCs w:val="21"/>
                <w:highlight w:val="none"/>
                <w:lang w:eastAsia="zh-CN"/>
              </w:rPr>
              <w:t>天内交付使用。</w:t>
            </w:r>
          </w:p>
        </w:tc>
      </w:tr>
    </w:tbl>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 1、报价一经涂改，应在涂改处加盖供应商单位公章或者由供应商法定代表人或授权委托人签字，否则其响应文件作响应无效处理。</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报价费用包含“第三章项目采购需求”中提出的所有费用，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对于本谈判采购文件中未列明，而供应商认为必需的费用也需列入报价。在合同实施时，采购人将不予支付成交供应商没有列入的项目费用，并认为此项目的费用已包括在报价中。</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表竞标产品中如有财政部现行《节能产品政府采购品目清单》目录内优先采购的产品、现行《环境标志产品政府采购品目清单》目录内优先采购的产品、小微企业生产的产品，请在本表后按类别分别附上此类产品明细表，明细表中列明：项号、货物名称、数量、单价、投标报价、累计金额并附相关证明材料。如因供应商未提供明细表或证明材料而导致评标委员会无法评判或无法计分而给供应商造成的损失由供应商自行负责，如因供应商提供虚假材料以谋取中标的责任亦由供应商自行负责。</w:t>
      </w: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pacing w:line="360" w:lineRule="exact"/>
        <w:ind w:firstLine="420" w:firstLineChars="200"/>
        <w:rPr>
          <w:rFonts w:hint="eastAsia" w:ascii="宋体" w:hAnsi="宋体" w:cs="宋体"/>
          <w:color w:val="auto"/>
          <w:szCs w:val="21"/>
          <w:highlight w:val="none"/>
        </w:rPr>
      </w:pPr>
    </w:p>
    <w:p>
      <w:pPr>
        <w:spacing w:line="300" w:lineRule="auto"/>
        <w:jc w:val="center"/>
        <w:rPr>
          <w:rFonts w:hint="eastAsia" w:ascii="宋体" w:hAnsi="宋体" w:cs="宋体"/>
          <w:b/>
          <w:color w:val="auto"/>
          <w:sz w:val="32"/>
          <w:szCs w:val="32"/>
          <w:highlight w:val="none"/>
        </w:rPr>
      </w:pPr>
    </w:p>
    <w:p>
      <w:pPr>
        <w:spacing w:line="300" w:lineRule="auto"/>
        <w:jc w:val="center"/>
        <w:rPr>
          <w:rFonts w:hint="eastAsia" w:ascii="宋体" w:hAnsi="宋体" w:cs="宋体"/>
          <w:b/>
          <w:color w:val="auto"/>
          <w:sz w:val="32"/>
          <w:szCs w:val="32"/>
          <w:highlight w:val="none"/>
        </w:rPr>
      </w:pPr>
    </w:p>
    <w:p>
      <w:pPr>
        <w:pStyle w:val="49"/>
        <w:rPr>
          <w:rFonts w:hint="eastAsia" w:ascii="宋体" w:hAnsi="宋体" w:cs="宋体"/>
          <w:b/>
          <w:color w:val="auto"/>
          <w:sz w:val="32"/>
          <w:szCs w:val="32"/>
          <w:highlight w:val="none"/>
        </w:rPr>
      </w:pPr>
    </w:p>
    <w:p>
      <w:pPr>
        <w:spacing w:line="30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最后报价明细表</w:t>
      </w:r>
    </w:p>
    <w:p>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p>
    <w:p>
      <w:pPr>
        <w:snapToGrid w:val="0"/>
        <w:spacing w:before="50" w:after="50"/>
        <w:rPr>
          <w:rFonts w:hint="eastAsia" w:ascii="宋体" w:hAnsi="宋体" w:cs="宋体"/>
          <w:color w:val="auto"/>
          <w:highlight w:val="none"/>
          <w:u w:val="single"/>
        </w:rPr>
      </w:pPr>
      <w:r>
        <w:rPr>
          <w:rFonts w:hint="eastAsia" w:ascii="宋体" w:hAnsi="宋体" w:cs="宋体"/>
          <w:color w:val="auto"/>
          <w:szCs w:val="21"/>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分标号</w:t>
      </w:r>
      <w:r>
        <w:rPr>
          <w:rFonts w:hint="eastAsia" w:ascii="宋体" w:hAnsi="宋体" w:cs="宋体"/>
          <w:color w:val="auto"/>
          <w:szCs w:val="21"/>
          <w:highlight w:val="none"/>
        </w:rPr>
        <w:t>：</w:t>
      </w:r>
      <w:r>
        <w:rPr>
          <w:rFonts w:hint="eastAsia" w:ascii="宋体" w:hAnsi="宋体" w:cs="宋体"/>
          <w:color w:val="auto"/>
          <w:highlight w:val="none"/>
          <w:u w:val="single"/>
        </w:rPr>
        <w:t xml:space="preserve">                                </w:t>
      </w:r>
    </w:p>
    <w:p>
      <w:pPr>
        <w:spacing w:line="500" w:lineRule="exact"/>
        <w:ind w:firstLine="8190" w:firstLineChars="3900"/>
        <w:rPr>
          <w:rFonts w:hint="eastAsia" w:ascii="宋体" w:hAnsi="宋体"/>
          <w:color w:val="auto"/>
          <w:szCs w:val="21"/>
          <w:highlight w:val="none"/>
        </w:rPr>
      </w:pPr>
      <w:r>
        <w:rPr>
          <w:rFonts w:hint="eastAsia" w:ascii="宋体" w:hAnsi="宋体"/>
          <w:color w:val="auto"/>
          <w:szCs w:val="21"/>
          <w:highlight w:val="none"/>
        </w:rPr>
        <w:t>单位：元</w:t>
      </w:r>
    </w:p>
    <w:tbl>
      <w:tblPr>
        <w:tblStyle w:val="37"/>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603"/>
        <w:gridCol w:w="1639"/>
        <w:gridCol w:w="1229"/>
        <w:gridCol w:w="1051"/>
        <w:gridCol w:w="878"/>
        <w:gridCol w:w="1066"/>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12" w:type="dxa"/>
          </w:tcPr>
          <w:p>
            <w:pPr>
              <w:pStyle w:val="88"/>
              <w:spacing w:before="110"/>
              <w:ind w:left="217" w:right="224"/>
              <w:jc w:val="center"/>
              <w:rPr>
                <w:rFonts w:hint="eastAsia"/>
                <w:b/>
                <w:color w:val="auto"/>
                <w:sz w:val="21"/>
                <w:highlight w:val="none"/>
              </w:rPr>
            </w:pPr>
            <w:r>
              <w:rPr>
                <w:rFonts w:hint="eastAsia"/>
                <w:b/>
                <w:color w:val="auto"/>
                <w:sz w:val="21"/>
                <w:highlight w:val="none"/>
              </w:rPr>
              <w:t>项号</w:t>
            </w:r>
          </w:p>
        </w:tc>
        <w:tc>
          <w:tcPr>
            <w:tcW w:w="1603" w:type="dxa"/>
          </w:tcPr>
          <w:p>
            <w:pPr>
              <w:pStyle w:val="88"/>
              <w:spacing w:before="110"/>
              <w:ind w:left="369" w:right="0"/>
              <w:rPr>
                <w:rFonts w:hint="eastAsia"/>
                <w:b/>
                <w:color w:val="auto"/>
                <w:sz w:val="21"/>
                <w:highlight w:val="none"/>
              </w:rPr>
            </w:pPr>
            <w:r>
              <w:rPr>
                <w:rFonts w:hint="eastAsia"/>
                <w:b/>
                <w:color w:val="auto"/>
                <w:sz w:val="21"/>
                <w:highlight w:val="none"/>
              </w:rPr>
              <w:t>货物名称</w:t>
            </w:r>
          </w:p>
        </w:tc>
        <w:tc>
          <w:tcPr>
            <w:tcW w:w="1639" w:type="dxa"/>
          </w:tcPr>
          <w:p>
            <w:pPr>
              <w:pStyle w:val="88"/>
              <w:spacing w:before="1" w:line="322" w:lineRule="exact"/>
              <w:ind w:right="0"/>
              <w:jc w:val="center"/>
              <w:rPr>
                <w:rFonts w:hint="eastAsia"/>
                <w:b/>
                <w:color w:val="auto"/>
                <w:sz w:val="21"/>
                <w:highlight w:val="none"/>
                <w:lang w:eastAsia="zh-CN"/>
              </w:rPr>
            </w:pPr>
            <w:r>
              <w:rPr>
                <w:rFonts w:hint="eastAsia"/>
                <w:b/>
                <w:color w:val="auto"/>
                <w:sz w:val="21"/>
                <w:highlight w:val="none"/>
                <w:lang w:eastAsia="zh-CN"/>
              </w:rPr>
              <w:t>厂家、品牌、规格型号</w:t>
            </w:r>
          </w:p>
        </w:tc>
        <w:tc>
          <w:tcPr>
            <w:tcW w:w="1229" w:type="dxa"/>
          </w:tcPr>
          <w:p>
            <w:pPr>
              <w:pStyle w:val="88"/>
              <w:spacing w:before="110"/>
              <w:ind w:left="393" w:right="0"/>
              <w:rPr>
                <w:rFonts w:hint="eastAsia"/>
                <w:b/>
                <w:color w:val="auto"/>
                <w:sz w:val="21"/>
                <w:highlight w:val="none"/>
              </w:rPr>
            </w:pPr>
            <w:r>
              <w:rPr>
                <w:rFonts w:hint="eastAsia"/>
                <w:b/>
                <w:color w:val="auto"/>
                <w:sz w:val="21"/>
                <w:highlight w:val="none"/>
              </w:rPr>
              <w:t>产地</w:t>
            </w:r>
          </w:p>
        </w:tc>
        <w:tc>
          <w:tcPr>
            <w:tcW w:w="1051" w:type="dxa"/>
          </w:tcPr>
          <w:p>
            <w:pPr>
              <w:pStyle w:val="88"/>
              <w:spacing w:before="110"/>
              <w:ind w:left="196" w:right="0"/>
              <w:rPr>
                <w:rFonts w:hint="eastAsia"/>
                <w:b/>
                <w:color w:val="auto"/>
                <w:sz w:val="21"/>
                <w:highlight w:val="none"/>
              </w:rPr>
            </w:pPr>
            <w:r>
              <w:rPr>
                <w:rFonts w:hint="eastAsia"/>
                <w:b/>
                <w:color w:val="auto"/>
                <w:sz w:val="21"/>
                <w:highlight w:val="none"/>
              </w:rPr>
              <w:t>数量①</w:t>
            </w:r>
          </w:p>
        </w:tc>
        <w:tc>
          <w:tcPr>
            <w:tcW w:w="878" w:type="dxa"/>
          </w:tcPr>
          <w:p>
            <w:pPr>
              <w:pStyle w:val="88"/>
              <w:spacing w:before="110"/>
              <w:ind w:left="215" w:right="0"/>
              <w:rPr>
                <w:rFonts w:hint="eastAsia"/>
                <w:b/>
                <w:color w:val="auto"/>
                <w:sz w:val="21"/>
                <w:highlight w:val="none"/>
              </w:rPr>
            </w:pPr>
            <w:r>
              <w:rPr>
                <w:rFonts w:hint="eastAsia"/>
                <w:b/>
                <w:color w:val="auto"/>
                <w:sz w:val="21"/>
                <w:highlight w:val="none"/>
              </w:rPr>
              <w:t>单位</w:t>
            </w:r>
          </w:p>
        </w:tc>
        <w:tc>
          <w:tcPr>
            <w:tcW w:w="1066" w:type="dxa"/>
          </w:tcPr>
          <w:p>
            <w:pPr>
              <w:pStyle w:val="88"/>
              <w:spacing w:before="110"/>
              <w:ind w:left="206" w:right="0"/>
              <w:rPr>
                <w:rFonts w:hint="eastAsia"/>
                <w:b/>
                <w:color w:val="auto"/>
                <w:sz w:val="21"/>
                <w:highlight w:val="none"/>
              </w:rPr>
            </w:pPr>
            <w:r>
              <w:rPr>
                <w:rFonts w:hint="eastAsia"/>
                <w:b/>
                <w:color w:val="auto"/>
                <w:sz w:val="21"/>
                <w:highlight w:val="none"/>
              </w:rPr>
              <w:t>单价②</w:t>
            </w:r>
          </w:p>
        </w:tc>
        <w:tc>
          <w:tcPr>
            <w:tcW w:w="1404" w:type="dxa"/>
          </w:tcPr>
          <w:p>
            <w:pPr>
              <w:pStyle w:val="88"/>
              <w:spacing w:line="291" w:lineRule="exact"/>
              <w:ind w:left="311" w:right="0"/>
              <w:rPr>
                <w:rFonts w:hint="eastAsia"/>
                <w:b/>
                <w:color w:val="auto"/>
                <w:sz w:val="21"/>
                <w:highlight w:val="none"/>
              </w:rPr>
            </w:pPr>
            <w:r>
              <w:rPr>
                <w:rFonts w:hint="eastAsia"/>
                <w:b/>
                <w:color w:val="auto"/>
                <w:sz w:val="21"/>
                <w:highlight w:val="none"/>
              </w:rPr>
              <w:t>投标报价</w:t>
            </w:r>
          </w:p>
          <w:p>
            <w:pPr>
              <w:pStyle w:val="88"/>
              <w:spacing w:line="325" w:lineRule="exact"/>
              <w:ind w:left="259" w:right="0"/>
              <w:rPr>
                <w:rFonts w:hint="eastAsia"/>
                <w:b/>
                <w:color w:val="auto"/>
                <w:sz w:val="21"/>
                <w:highlight w:val="none"/>
              </w:rPr>
            </w:pPr>
            <w:r>
              <w:rPr>
                <w:rFonts w:hint="eastAsia"/>
                <w:b/>
                <w:color w:val="auto"/>
                <w:sz w:val="21"/>
                <w:highlight w:val="none"/>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1</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2</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N</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exact"/>
          <w:jc w:val="center"/>
        </w:trPr>
        <w:tc>
          <w:tcPr>
            <w:tcW w:w="9782" w:type="dxa"/>
            <w:gridSpan w:val="8"/>
          </w:tcPr>
          <w:p>
            <w:pPr>
              <w:pStyle w:val="88"/>
              <w:tabs>
                <w:tab w:val="left" w:pos="2931"/>
                <w:tab w:val="left" w:pos="4727"/>
                <w:tab w:val="left" w:pos="6699"/>
                <w:tab w:val="left" w:pos="8010"/>
                <w:tab w:val="left" w:pos="8140"/>
              </w:tabs>
              <w:spacing w:before="14" w:line="295" w:lineRule="auto"/>
              <w:ind w:left="105" w:right="142"/>
              <w:rPr>
                <w:rFonts w:hint="eastAsia"/>
                <w:color w:val="auto"/>
                <w:sz w:val="21"/>
                <w:szCs w:val="21"/>
                <w:highlight w:val="none"/>
                <w:lang w:eastAsia="zh-CN"/>
              </w:rPr>
            </w:pPr>
            <w:r>
              <w:rPr>
                <w:rFonts w:hint="eastAsia"/>
                <w:color w:val="auto"/>
                <w:sz w:val="21"/>
                <w:szCs w:val="21"/>
                <w:highlight w:val="none"/>
                <w:lang w:eastAsia="zh-CN"/>
              </w:rPr>
              <w:t>投标报价（合计金额）大写：</w:t>
            </w:r>
            <w:r>
              <w:rPr>
                <w:rFonts w:ascii="Times New Roman" w:hAnsi="Times New Roman" w:eastAsia="Times New Roman"/>
                <w:color w:val="auto"/>
                <w:sz w:val="21"/>
                <w:szCs w:val="21"/>
                <w:highlight w:val="none"/>
                <w:u w:val="single"/>
                <w:lang w:eastAsia="zh-CN"/>
              </w:rPr>
              <w:t xml:space="preserve"> </w:t>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hint="eastAsia"/>
                <w:color w:val="auto"/>
                <w:sz w:val="21"/>
                <w:szCs w:val="21"/>
                <w:highlight w:val="none"/>
                <w:lang w:eastAsia="zh-CN"/>
              </w:rPr>
              <w:t>人</w:t>
            </w:r>
            <w:r>
              <w:rPr>
                <w:color w:val="auto"/>
                <w:spacing w:val="-72"/>
                <w:sz w:val="21"/>
                <w:szCs w:val="21"/>
                <w:highlight w:val="none"/>
                <w:lang w:eastAsia="zh-CN"/>
              </w:rPr>
              <w:t xml:space="preserve"> </w:t>
            </w:r>
            <w:r>
              <w:rPr>
                <w:rFonts w:hint="eastAsia"/>
                <w:color w:val="auto"/>
                <w:sz w:val="21"/>
                <w:szCs w:val="21"/>
                <w:highlight w:val="none"/>
                <w:lang w:eastAsia="zh-CN"/>
              </w:rPr>
              <w:t>民</w:t>
            </w:r>
            <w:r>
              <w:rPr>
                <w:color w:val="auto"/>
                <w:spacing w:val="-67"/>
                <w:sz w:val="21"/>
                <w:szCs w:val="21"/>
                <w:highlight w:val="none"/>
                <w:lang w:eastAsia="zh-CN"/>
              </w:rPr>
              <w:t xml:space="preserve"> </w:t>
            </w:r>
            <w:r>
              <w:rPr>
                <w:rFonts w:hint="eastAsia"/>
                <w:color w:val="auto"/>
                <w:sz w:val="21"/>
                <w:szCs w:val="21"/>
                <w:highlight w:val="none"/>
                <w:lang w:eastAsia="zh-CN"/>
              </w:rPr>
              <w:t>币</w:t>
            </w:r>
            <w:r>
              <w:rPr>
                <w:color w:val="auto"/>
                <w:spacing w:val="-67"/>
                <w:sz w:val="21"/>
                <w:szCs w:val="21"/>
                <w:highlight w:val="none"/>
                <w:lang w:eastAsia="zh-CN"/>
              </w:rPr>
              <w:t xml:space="preserve"> </w:t>
            </w:r>
            <w:r>
              <w:rPr>
                <w:rFonts w:hint="eastAsia"/>
                <w:color w:val="auto"/>
                <w:sz w:val="21"/>
                <w:szCs w:val="21"/>
                <w:highlight w:val="none"/>
                <w:lang w:eastAsia="zh-CN"/>
              </w:rPr>
              <w:t>（</w:t>
            </w:r>
            <w:r>
              <w:rPr>
                <w:color w:val="auto"/>
                <w:spacing w:val="-67"/>
                <w:sz w:val="21"/>
                <w:szCs w:val="21"/>
                <w:highlight w:val="none"/>
                <w:lang w:eastAsia="zh-CN"/>
              </w:rPr>
              <w:t xml:space="preserve"> </w:t>
            </w:r>
            <w:r>
              <w:rPr>
                <w:rFonts w:hint="eastAsia"/>
                <w:color w:val="auto"/>
                <w:sz w:val="21"/>
                <w:szCs w:val="21"/>
                <w:highlight w:val="none"/>
                <w:lang w:eastAsia="zh-CN"/>
              </w:rPr>
              <w:t>￥</w:t>
            </w:r>
            <w:r>
              <w:rPr>
                <w:rFonts w:ascii="Times New Roman" w:hAnsi="Times New Roman" w:eastAsia="Times New Roman"/>
                <w:color w:val="auto"/>
                <w:sz w:val="21"/>
                <w:szCs w:val="21"/>
                <w:highlight w:val="none"/>
                <w:u w:val="single"/>
                <w:lang w:eastAsia="zh-CN"/>
              </w:rPr>
              <w:t xml:space="preserve"> </w:t>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hint="eastAsia"/>
                <w:color w:val="auto"/>
                <w:sz w:val="21"/>
                <w:szCs w:val="21"/>
                <w:highlight w:val="none"/>
                <w:lang w:eastAsia="zh-CN"/>
              </w:rPr>
              <w:t>）</w:t>
            </w:r>
            <w:r>
              <w:rPr>
                <w:color w:val="auto"/>
                <w:sz w:val="21"/>
                <w:szCs w:val="21"/>
                <w:highlight w:val="none"/>
                <w:lang w:eastAsia="zh-CN"/>
              </w:rPr>
              <w:t xml:space="preserve"> </w:t>
            </w:r>
            <w:r>
              <w:rPr>
                <w:rFonts w:hint="eastAsia"/>
                <w:color w:val="auto"/>
                <w:sz w:val="21"/>
                <w:szCs w:val="21"/>
                <w:highlight w:val="none"/>
                <w:lang w:eastAsia="zh-CN"/>
              </w:rPr>
              <w:t>。</w:t>
            </w:r>
          </w:p>
          <w:p>
            <w:pPr>
              <w:pStyle w:val="88"/>
              <w:tabs>
                <w:tab w:val="left" w:pos="2931"/>
                <w:tab w:val="left" w:pos="4727"/>
                <w:tab w:val="left" w:pos="6699"/>
                <w:tab w:val="left" w:pos="8010"/>
                <w:tab w:val="left" w:pos="8140"/>
              </w:tabs>
              <w:spacing w:before="14" w:line="295" w:lineRule="auto"/>
              <w:ind w:left="105" w:right="142"/>
              <w:rPr>
                <w:rFonts w:hint="eastAsia"/>
                <w:color w:val="auto"/>
                <w:sz w:val="24"/>
                <w:highlight w:val="none"/>
                <w:lang w:eastAsia="zh-CN"/>
              </w:rPr>
            </w:pPr>
            <w:r>
              <w:rPr>
                <w:color w:val="auto"/>
                <w:sz w:val="21"/>
                <w:szCs w:val="21"/>
                <w:highlight w:val="none"/>
                <w:lang w:eastAsia="zh-CN"/>
              </w:rPr>
              <w:t>属于优先采购节能产品总值为￥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ab/>
            </w:r>
            <w:r>
              <w:rPr>
                <w:color w:val="auto"/>
                <w:sz w:val="21"/>
                <w:szCs w:val="21"/>
                <w:highlight w:val="none"/>
                <w:lang w:eastAsia="zh-CN"/>
              </w:rPr>
              <w:t>（具体明细详见附表），占本投标报价的比例为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lang w:eastAsia="zh-CN"/>
              </w:rPr>
              <w:t xml:space="preserve">%；属于优先采购环境标志产品总值为￥ </w:t>
            </w:r>
            <w:r>
              <w:rPr>
                <w:color w:val="auto"/>
                <w:sz w:val="21"/>
                <w:szCs w:val="21"/>
                <w:highlight w:val="none"/>
                <w:u w:val="single"/>
                <w:lang w:eastAsia="zh-CN"/>
              </w:rPr>
              <w:tab/>
            </w:r>
            <w:r>
              <w:rPr>
                <w:color w:val="auto"/>
                <w:sz w:val="21"/>
                <w:szCs w:val="21"/>
                <w:highlight w:val="none"/>
                <w:lang w:eastAsia="zh-CN"/>
              </w:rPr>
              <w:t>（具体明细详见附表）， 占本投标报价的比例为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lang w:eastAsia="zh-CN"/>
              </w:rPr>
              <w:t>%</w:t>
            </w:r>
            <w:r>
              <w:rPr>
                <w:rFonts w:hint="eastAsia"/>
                <w:color w:val="auto"/>
                <w:sz w:val="21"/>
                <w:szCs w:val="21"/>
                <w:highlight w:val="none"/>
                <w:lang w:eastAsia="zh-CN"/>
              </w:rPr>
              <w:t>。</w:t>
            </w:r>
            <w:r>
              <w:rPr>
                <w:rFonts w:hint="eastAsia"/>
                <w:color w:val="auto"/>
                <w:sz w:val="24"/>
                <w:highlight w:val="non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exact"/>
          <w:jc w:val="center"/>
        </w:trPr>
        <w:tc>
          <w:tcPr>
            <w:tcW w:w="9782" w:type="dxa"/>
            <w:gridSpan w:val="8"/>
            <w:vAlign w:val="center"/>
          </w:tcPr>
          <w:p>
            <w:pPr>
              <w:pStyle w:val="88"/>
              <w:tabs>
                <w:tab w:val="left" w:pos="2931"/>
                <w:tab w:val="left" w:pos="4727"/>
                <w:tab w:val="left" w:pos="6699"/>
                <w:tab w:val="left" w:pos="8010"/>
                <w:tab w:val="left" w:pos="8140"/>
              </w:tabs>
              <w:spacing w:before="14" w:line="295" w:lineRule="auto"/>
              <w:ind w:left="105" w:right="142"/>
              <w:jc w:val="both"/>
              <w:rPr>
                <w:rFonts w:hint="eastAsia"/>
                <w:color w:val="auto"/>
                <w:sz w:val="21"/>
                <w:szCs w:val="21"/>
                <w:highlight w:val="none"/>
                <w:lang w:eastAsia="zh-CN"/>
              </w:rPr>
            </w:pPr>
            <w:r>
              <w:rPr>
                <w:rFonts w:hint="eastAsia"/>
                <w:b/>
                <w:color w:val="auto"/>
                <w:sz w:val="21"/>
                <w:szCs w:val="21"/>
                <w:highlight w:val="none"/>
                <w:lang w:eastAsia="zh-CN"/>
              </w:rPr>
              <w:t>交货期：合同签订之日起</w:t>
            </w:r>
            <w:r>
              <w:rPr>
                <w:rFonts w:hint="eastAsia"/>
                <w:b/>
                <w:color w:val="auto"/>
                <w:sz w:val="21"/>
                <w:szCs w:val="21"/>
                <w:highlight w:val="none"/>
                <w:u w:val="single"/>
                <w:lang w:eastAsia="zh-CN"/>
              </w:rPr>
              <w:t xml:space="preserve">     </w:t>
            </w:r>
            <w:r>
              <w:rPr>
                <w:rFonts w:hint="eastAsia"/>
                <w:b/>
                <w:color w:val="auto"/>
                <w:sz w:val="21"/>
                <w:szCs w:val="21"/>
                <w:highlight w:val="none"/>
                <w:lang w:eastAsia="zh-CN"/>
              </w:rPr>
              <w:t>天内交付使用。</w:t>
            </w:r>
          </w:p>
        </w:tc>
      </w:tr>
    </w:tbl>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注： </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1、竞标</w:t>
      </w:r>
      <w:r>
        <w:rPr>
          <w:rFonts w:hint="eastAsia" w:ascii="宋体" w:hAnsi="宋体" w:cs="宋体"/>
          <w:color w:val="auto"/>
          <w:kern w:val="0"/>
          <w:szCs w:val="21"/>
          <w:highlight w:val="none"/>
        </w:rPr>
        <w:t>总报价为现场交付使用价，</w:t>
      </w:r>
      <w:r>
        <w:rPr>
          <w:rFonts w:hint="eastAsia" w:ascii="宋体" w:hAnsi="宋体"/>
          <w:color w:val="auto"/>
          <w:szCs w:val="21"/>
          <w:highlight w:val="none"/>
        </w:rPr>
        <w:t>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对于本谈判采购文件中未列明，而供应商认为必需的费用也需列入报价。在合同实施时，采购人将不予支付成交供应商没有列入的项目费用，并认为此项目的费用已包括在报价中。</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参加谈判的供应商在规定时间内提交最后报价时，须附相应的报价明细表（最后报价明细表应按以上格式要求提供），并且最后报价金额须与最后报价明细表的合计金额相等，否则须在规定时间内按最后报价金额调整最后报价明细表的金额。</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3、所有价格均用人民币表示，单位为元，精确到百分位。</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4、报价一经涂改，应在涂改处加盖单位公章或者由法定代表人或授权委托人签字，否则其报价无效。</w:t>
      </w:r>
    </w:p>
    <w:p>
      <w:pPr>
        <w:spacing w:line="360" w:lineRule="exact"/>
        <w:ind w:firstLine="420" w:firstLineChars="200"/>
        <w:rPr>
          <w:rFonts w:hint="eastAsia" w:ascii="宋体" w:hAnsi="宋体" w:cs="仿宋_GB2312"/>
          <w:color w:val="auto"/>
          <w:szCs w:val="21"/>
          <w:highlight w:val="none"/>
        </w:rPr>
      </w:pPr>
      <w:r>
        <w:rPr>
          <w:rFonts w:hint="eastAsia" w:ascii="宋体" w:hAnsi="宋体" w:cs="宋体"/>
          <w:color w:val="auto"/>
          <w:kern w:val="0"/>
          <w:szCs w:val="21"/>
          <w:highlight w:val="none"/>
        </w:rPr>
        <w:t>5</w:t>
      </w:r>
      <w:r>
        <w:rPr>
          <w:rFonts w:hint="eastAsia" w:ascii="宋体" w:hAnsi="宋体"/>
          <w:color w:val="auto"/>
          <w:szCs w:val="21"/>
          <w:highlight w:val="none"/>
        </w:rPr>
        <w:t>、本表为最后报价时作为最后报价格式提供，无须在首次响应文件中体现。</w:t>
      </w:r>
    </w:p>
    <w:p>
      <w:pPr>
        <w:spacing w:line="360" w:lineRule="exact"/>
        <w:ind w:firstLine="6090" w:firstLineChars="29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pacing w:line="360" w:lineRule="exact"/>
        <w:rPr>
          <w:rFonts w:hint="eastAsia" w:ascii="宋体" w:hAnsi="宋体" w:cs="宋体"/>
          <w:b/>
          <w:color w:val="auto"/>
          <w:sz w:val="24"/>
          <w:highlight w:val="none"/>
        </w:rPr>
        <w:sectPr>
          <w:pgSz w:w="11906" w:h="16838"/>
          <w:pgMar w:top="1134" w:right="1134" w:bottom="1134" w:left="1134" w:header="720" w:footer="720" w:gutter="0"/>
          <w:cols w:space="0" w:num="1"/>
          <w:docGrid w:type="lines" w:linePitch="312" w:charSpace="0"/>
        </w:sectPr>
      </w:pPr>
    </w:p>
    <w:p>
      <w:pPr>
        <w:spacing w:line="360" w:lineRule="exact"/>
        <w:rPr>
          <w:rFonts w:hint="eastAsia" w:ascii="宋体" w:hAnsi="宋体" w:cs="宋体"/>
          <w:b/>
          <w:color w:val="auto"/>
          <w:sz w:val="24"/>
          <w:highlight w:val="none"/>
        </w:rPr>
      </w:pPr>
      <w:r>
        <w:rPr>
          <w:rFonts w:hint="eastAsia" w:ascii="宋体" w:hAnsi="宋体" w:cs="宋体"/>
          <w:b/>
          <w:color w:val="auto"/>
          <w:sz w:val="24"/>
          <w:highlight w:val="none"/>
        </w:rPr>
        <w:t>三、中小企业声明函格式</w:t>
      </w:r>
    </w:p>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中小企业声明函</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说明：</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1、本声明函主要供参加政府采购活动的中小企业填写，非中小企业无需填写。</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2、小型、微型企业提供中型企业提供的货物的，视同为中型企业。</w:t>
      </w: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本公司（联合体）郑重声明，根据《政府采购促进中小企业发展管理办法》（财库﹝2020﹞46号）的规定，本公司（联合体）参加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采购活动，提供的货物全部由符合政策要求的中小企业制造。相关企业（含联合体中的中小企业、签订分包意向协议的中小企业）的具体情况如下：</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行业；制造商为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行业；制造商为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pPr>
        <w:spacing w:line="360" w:lineRule="exact"/>
        <w:ind w:firstLine="3150" w:firstLineChars="15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1、从业人员、营业收入、资产总额填报上一年度数据，无上一年度数据的新成立企业可不填报。</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2、请根据自己的真实情况出具《中小企业声明函》。依法享受中小企业优惠政策的，采购人或者采购代理机构在公告中标结果时，同时公告其《中小企业声明函》，接受社会监督。</w:t>
      </w:r>
    </w:p>
    <w:p>
      <w:pPr>
        <w:spacing w:line="360" w:lineRule="exact"/>
        <w:ind w:firstLine="360" w:firstLineChars="200"/>
        <w:jc w:val="left"/>
        <w:rPr>
          <w:rFonts w:hint="eastAsia" w:ascii="宋体" w:hAnsi="宋体"/>
          <w:color w:val="auto"/>
          <w:sz w:val="18"/>
          <w:szCs w:val="18"/>
          <w:highlight w:val="none"/>
        </w:rPr>
      </w:pPr>
    </w:p>
    <w:p>
      <w:pPr>
        <w:spacing w:line="360" w:lineRule="exact"/>
        <w:ind w:firstLine="360" w:firstLineChars="200"/>
        <w:jc w:val="left"/>
        <w:rPr>
          <w:rFonts w:hint="eastAsia" w:ascii="宋体" w:hAnsi="宋体"/>
          <w:color w:val="auto"/>
          <w:sz w:val="18"/>
          <w:szCs w:val="18"/>
          <w:highlight w:val="none"/>
        </w:rPr>
      </w:pPr>
    </w:p>
    <w:p>
      <w:pPr>
        <w:spacing w:line="360" w:lineRule="exact"/>
        <w:jc w:val="left"/>
        <w:rPr>
          <w:rFonts w:hint="eastAsia" w:ascii="宋体" w:hAnsi="宋体"/>
          <w:color w:val="auto"/>
          <w:sz w:val="18"/>
          <w:szCs w:val="18"/>
          <w:highlight w:val="none"/>
        </w:rPr>
      </w:pPr>
    </w:p>
    <w:p>
      <w:pPr>
        <w:spacing w:line="360" w:lineRule="exact"/>
        <w:jc w:val="left"/>
        <w:rPr>
          <w:rFonts w:hint="eastAsia" w:ascii="宋体" w:hAnsi="宋体"/>
          <w:color w:val="auto"/>
          <w:sz w:val="18"/>
          <w:szCs w:val="18"/>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spacing w:line="360" w:lineRule="exact"/>
        <w:rPr>
          <w:rFonts w:hint="eastAsia" w:ascii="宋体" w:hAnsi="宋体" w:cs="宋体"/>
          <w:b/>
          <w:color w:val="auto"/>
          <w:sz w:val="24"/>
          <w:highlight w:val="none"/>
        </w:rPr>
      </w:pPr>
      <w:bookmarkStart w:id="18" w:name="OLE_LINK14"/>
      <w:bookmarkStart w:id="19" w:name="OLE_LINK13"/>
      <w:r>
        <w:rPr>
          <w:rFonts w:hint="eastAsia" w:ascii="宋体" w:hAnsi="宋体" w:cs="宋体"/>
          <w:b/>
          <w:color w:val="auto"/>
          <w:sz w:val="24"/>
          <w:highlight w:val="none"/>
        </w:rPr>
        <w:t>四、残疾人福利性单位声明函格式</w:t>
      </w:r>
    </w:p>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残疾人福利性单位声明函</w:t>
      </w:r>
    </w:p>
    <w:bookmarkEnd w:id="18"/>
    <w:bookmarkEnd w:id="19"/>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注：请根据自己的真实情况出具《残疾人福利性单位声明函》。依法享受中小企业优惠政策的，采购人或者采购代理机构在公告中标结果时，同时公告其《残疾人福利性单位声明函》，接受社会监督。 </w:t>
      </w:r>
    </w:p>
    <w:p>
      <w:pPr>
        <w:spacing w:line="360" w:lineRule="exact"/>
        <w:jc w:val="center"/>
        <w:rPr>
          <w:rFonts w:hint="eastAsia" w:ascii="宋体" w:hAnsi="宋体"/>
          <w:color w:val="auto"/>
          <w:sz w:val="32"/>
          <w:szCs w:val="32"/>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pStyle w:val="2"/>
        <w:rPr>
          <w:rFonts w:hint="eastAsia" w:ascii="宋体" w:hAnsi="宋体"/>
          <w:color w:val="auto"/>
          <w:highlight w:val="none"/>
        </w:rPr>
      </w:pPr>
      <w:bookmarkStart w:id="20" w:name="_Toc336"/>
      <w:r>
        <w:rPr>
          <w:rFonts w:hint="eastAsia" w:ascii="宋体" w:hAnsi="宋体"/>
          <w:color w:val="auto"/>
          <w:highlight w:val="none"/>
        </w:rPr>
        <w:t>第五章 合同条款（主要条款）</w:t>
      </w:r>
      <w:bookmarkEnd w:id="20"/>
    </w:p>
    <w:p>
      <w:pPr>
        <w:pStyle w:val="129"/>
        <w:jc w:val="center"/>
        <w:rPr>
          <w:rFonts w:hint="eastAsia" w:ascii="宋体" w:hAnsi="宋体" w:eastAsia="宋体" w:cs="宋体"/>
          <w:color w:val="auto"/>
          <w:highlight w:val="none"/>
        </w:rPr>
      </w:pPr>
      <w:bookmarkStart w:id="21" w:name="_Toc373478199"/>
      <w:bookmarkStart w:id="22" w:name="_Toc724920571"/>
      <w:bookmarkStart w:id="23" w:name="_Toc389065255"/>
      <w:bookmarkStart w:id="24" w:name="_Toc296503025"/>
      <w:bookmarkStart w:id="25" w:name="_Toc351203480"/>
      <w:bookmarkStart w:id="26" w:name="_Toc373227552"/>
      <w:bookmarkStart w:id="27" w:name="_Toc1756478213"/>
      <w:bookmarkStart w:id="28" w:name="_Toc78449777"/>
      <w:bookmarkStart w:id="29" w:name="_Toc407135191"/>
      <w:bookmarkStart w:id="30" w:name="_Toc296890982"/>
    </w:p>
    <w:p>
      <w:pPr>
        <w:pStyle w:val="130"/>
        <w:adjustRightInd w:val="0"/>
        <w:snapToGrid w:val="0"/>
        <w:spacing w:line="800" w:lineRule="exact"/>
        <w:contextualSpacing/>
        <w:jc w:val="center"/>
        <w:rPr>
          <w:rFonts w:hint="eastAsia" w:ascii="宋体" w:hAnsi="宋体" w:cs="宋体"/>
          <w:b/>
          <w:bCs/>
          <w:color w:val="auto"/>
          <w:sz w:val="44"/>
          <w:szCs w:val="44"/>
          <w:highlight w:val="none"/>
        </w:rPr>
      </w:pPr>
      <w:bookmarkStart w:id="31" w:name="_Toc74156273"/>
      <w:bookmarkStart w:id="32" w:name="_Toc74156228"/>
      <w:bookmarkStart w:id="33" w:name="_Toc403396429"/>
    </w:p>
    <w:p>
      <w:pPr>
        <w:pStyle w:val="130"/>
        <w:adjustRightInd w:val="0"/>
        <w:snapToGrid w:val="0"/>
        <w:spacing w:line="800" w:lineRule="exact"/>
        <w:contextualSpacing/>
        <w:jc w:val="center"/>
        <w:rPr>
          <w:rFonts w:hint="eastAsia" w:ascii="宋体" w:hAnsi="宋体" w:cs="宋体"/>
          <w:b/>
          <w:color w:val="auto"/>
          <w:sz w:val="72"/>
          <w:szCs w:val="72"/>
          <w:highlight w:val="none"/>
        </w:rPr>
      </w:pPr>
      <w:r>
        <w:rPr>
          <w:rFonts w:hint="eastAsia" w:ascii="宋体" w:hAnsi="宋体" w:cs="宋体"/>
          <w:b/>
          <w:bCs/>
          <w:color w:val="auto"/>
          <w:sz w:val="84"/>
          <w:szCs w:val="84"/>
          <w:highlight w:val="none"/>
        </w:rPr>
        <w:t>政府采购合同</w:t>
      </w:r>
    </w:p>
    <w:p>
      <w:pPr>
        <w:pStyle w:val="130"/>
        <w:adjustRightInd w:val="0"/>
        <w:snapToGrid w:val="0"/>
        <w:spacing w:line="800" w:lineRule="exact"/>
        <w:contextualSpacing/>
        <w:rPr>
          <w:rFonts w:hint="eastAsia" w:ascii="宋体" w:hAnsi="宋体" w:cs="宋体"/>
          <w:b/>
          <w:color w:val="auto"/>
          <w:sz w:val="32"/>
          <w:szCs w:val="32"/>
          <w:highlight w:val="none"/>
        </w:rPr>
      </w:pPr>
    </w:p>
    <w:p>
      <w:pPr>
        <w:spacing w:line="360" w:lineRule="exact"/>
        <w:ind w:left="2202" w:leftChars="284" w:hanging="1606" w:hangingChars="500"/>
        <w:rPr>
          <w:rFonts w:hint="eastAsia" w:ascii="宋体" w:hAnsi="宋体" w:cs="宋体"/>
          <w:b/>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color w:val="auto"/>
          <w:sz w:val="32"/>
          <w:szCs w:val="32"/>
          <w:highlight w:val="none"/>
        </w:rPr>
        <w:t xml:space="preserve"> </w:t>
      </w:r>
    </w:p>
    <w:p>
      <w:pPr>
        <w:spacing w:line="360" w:lineRule="exact"/>
        <w:ind w:firstLine="643" w:firstLineChars="200"/>
        <w:rPr>
          <w:rFonts w:hint="eastAsia" w:ascii="宋体" w:hAnsi="宋体" w:cs="宋体"/>
          <w:b/>
          <w:color w:val="auto"/>
          <w:sz w:val="32"/>
          <w:szCs w:val="32"/>
          <w:highlight w:val="none"/>
        </w:rPr>
      </w:pPr>
    </w:p>
    <w:p>
      <w:pPr>
        <w:spacing w:line="360" w:lineRule="exact"/>
        <w:ind w:firstLine="643" w:firstLineChars="200"/>
        <w:rPr>
          <w:rFonts w:hint="eastAsia" w:ascii="宋体" w:hAnsi="宋体" w:cs="宋体"/>
          <w:b/>
          <w:color w:val="auto"/>
          <w:sz w:val="32"/>
          <w:szCs w:val="32"/>
          <w:highlight w:val="none"/>
        </w:rPr>
      </w:pPr>
    </w:p>
    <w:p>
      <w:pPr>
        <w:spacing w:line="360" w:lineRule="exact"/>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bCs/>
          <w:color w:val="auto"/>
          <w:sz w:val="32"/>
          <w:szCs w:val="32"/>
          <w:highlight w:val="none"/>
        </w:rPr>
        <w:t xml:space="preserve"> </w:t>
      </w: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合同编号： </w:t>
      </w: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合同甲方：</w:t>
      </w: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合同乙方：  </w:t>
      </w: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合同签订时间：     年  月  日</w:t>
      </w:r>
    </w:p>
    <w:p>
      <w:pPr>
        <w:pStyle w:val="130"/>
        <w:adjustRightInd w:val="0"/>
        <w:snapToGrid w:val="0"/>
        <w:spacing w:line="800" w:lineRule="exact"/>
        <w:contextualSpacing/>
        <w:rPr>
          <w:rFonts w:hint="eastAsia" w:ascii="宋体" w:hAnsi="宋体" w:cs="宋体"/>
          <w:b/>
          <w:bCs/>
          <w:color w:val="auto"/>
          <w:sz w:val="32"/>
          <w:szCs w:val="32"/>
          <w:highlight w:val="none"/>
          <w:u w:val="single"/>
        </w:rPr>
      </w:pPr>
    </w:p>
    <w:p>
      <w:pPr>
        <w:pStyle w:val="130"/>
        <w:adjustRightInd w:val="0"/>
        <w:snapToGrid w:val="0"/>
        <w:spacing w:line="800" w:lineRule="exact"/>
        <w:contextualSpacing/>
        <w:rPr>
          <w:rFonts w:hint="eastAsia" w:ascii="宋体" w:hAnsi="宋体" w:cs="宋体"/>
          <w:b/>
          <w:bCs/>
          <w:color w:val="auto"/>
          <w:sz w:val="32"/>
          <w:szCs w:val="32"/>
          <w:highlight w:val="none"/>
          <w:u w:val="single"/>
        </w:rPr>
      </w:pPr>
    </w:p>
    <w:p>
      <w:pPr>
        <w:pStyle w:val="130"/>
        <w:adjustRightInd w:val="0"/>
        <w:snapToGrid w:val="0"/>
        <w:spacing w:line="800" w:lineRule="exact"/>
        <w:contextualSpacing/>
        <w:rPr>
          <w:rFonts w:hint="eastAsia" w:ascii="宋体" w:hAnsi="宋体" w:cs="宋体"/>
          <w:b/>
          <w:bCs/>
          <w:color w:val="auto"/>
          <w:sz w:val="28"/>
          <w:szCs w:val="28"/>
          <w:highlight w:val="none"/>
          <w:u w:val="single"/>
        </w:rPr>
      </w:pPr>
    </w:p>
    <w:p>
      <w:pPr>
        <w:pStyle w:val="130"/>
        <w:adjustRightInd w:val="0"/>
        <w:snapToGrid w:val="0"/>
        <w:spacing w:line="800" w:lineRule="exact"/>
        <w:contextualSpacing/>
        <w:rPr>
          <w:rFonts w:hint="eastAsia" w:ascii="宋体" w:hAnsi="宋体" w:cs="宋体"/>
          <w:b/>
          <w:bCs/>
          <w:color w:val="auto"/>
          <w:sz w:val="28"/>
          <w:szCs w:val="28"/>
          <w:highlight w:val="none"/>
          <w:u w:val="single"/>
        </w:rPr>
      </w:pPr>
    </w:p>
    <w:p>
      <w:pPr>
        <w:pStyle w:val="130"/>
        <w:adjustRightInd w:val="0"/>
        <w:snapToGrid w:val="0"/>
        <w:spacing w:line="800" w:lineRule="exact"/>
        <w:contextualSpacing/>
        <w:rPr>
          <w:rFonts w:hint="eastAsia" w:ascii="宋体" w:hAnsi="宋体" w:cs="宋体"/>
          <w:b/>
          <w:bCs/>
          <w:color w:val="auto"/>
          <w:sz w:val="28"/>
          <w:szCs w:val="28"/>
          <w:highlight w:val="none"/>
          <w:u w:val="single"/>
        </w:rPr>
      </w:pPr>
    </w:p>
    <w:bookmarkEnd w:id="31"/>
    <w:bookmarkEnd w:id="32"/>
    <w:bookmarkEnd w:id="33"/>
    <w:p>
      <w:pPr>
        <w:pStyle w:val="2"/>
        <w:spacing w:line="360" w:lineRule="exact"/>
        <w:rPr>
          <w:rFonts w:hint="eastAsia" w:ascii="宋体" w:hAnsi="宋体" w:cs="宋体"/>
          <w:color w:val="auto"/>
          <w:sz w:val="28"/>
          <w:szCs w:val="28"/>
          <w:highlight w:val="none"/>
        </w:rPr>
        <w:sectPr>
          <w:pgSz w:w="11906" w:h="16838"/>
          <w:pgMar w:top="1134" w:right="1134" w:bottom="1134" w:left="1134" w:header="720" w:footer="720" w:gutter="0"/>
          <w:cols w:space="0" w:num="1"/>
          <w:docGrid w:type="lines" w:linePitch="312" w:charSpace="0"/>
        </w:sectPr>
      </w:pPr>
    </w:p>
    <w:p>
      <w:pPr>
        <w:pStyle w:val="2"/>
        <w:spacing w:line="360" w:lineRule="exact"/>
        <w:rPr>
          <w:rFonts w:hint="eastAsia" w:ascii="宋体" w:hAnsi="宋体" w:cs="宋体"/>
          <w:color w:val="auto"/>
          <w:sz w:val="28"/>
          <w:szCs w:val="28"/>
          <w:highlight w:val="none"/>
        </w:rPr>
      </w:pPr>
      <w:bookmarkStart w:id="34" w:name="_Toc27904"/>
      <w:bookmarkStart w:id="35" w:name="_Toc10916"/>
      <w:bookmarkStart w:id="36" w:name="_Toc20923"/>
      <w:r>
        <w:rPr>
          <w:rFonts w:hint="eastAsia" w:ascii="宋体" w:hAnsi="宋体" w:cs="宋体"/>
          <w:color w:val="auto"/>
          <w:sz w:val="28"/>
          <w:szCs w:val="28"/>
          <w:highlight w:val="none"/>
        </w:rPr>
        <w:t>政府采购合同</w:t>
      </w:r>
      <w:bookmarkEnd w:id="34"/>
      <w:bookmarkEnd w:id="35"/>
      <w:r>
        <w:rPr>
          <w:rFonts w:hint="eastAsia" w:ascii="宋体" w:hAnsi="宋体" w:cs="宋体"/>
          <w:color w:val="auto"/>
          <w:sz w:val="28"/>
          <w:szCs w:val="28"/>
          <w:highlight w:val="none"/>
        </w:rPr>
        <w:t>（主要条款）</w:t>
      </w:r>
      <w:bookmarkEnd w:id="36"/>
    </w:p>
    <w:p>
      <w:pPr>
        <w:rPr>
          <w:color w:val="auto"/>
          <w:highlight w:val="none"/>
        </w:rPr>
      </w:pPr>
    </w:p>
    <w:p>
      <w:pPr>
        <w:spacing w:line="360" w:lineRule="exact"/>
        <w:rPr>
          <w:rFonts w:hint="eastAsia" w:ascii="宋体" w:hAnsi="宋体"/>
          <w:color w:val="auto"/>
          <w:szCs w:val="21"/>
          <w:highlight w:val="none"/>
        </w:rPr>
      </w:pPr>
      <w:bookmarkStart w:id="37" w:name="_Toc99768080"/>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采购计划号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exact"/>
        <w:rPr>
          <w:rFonts w:hint="eastAsia" w:ascii="宋体" w:hAnsi="宋体"/>
          <w:color w:val="auto"/>
          <w:szCs w:val="21"/>
          <w:highlight w:val="non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项目名称和编号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exact"/>
        <w:rPr>
          <w:rFonts w:hint="eastAsia" w:ascii="宋体" w:hAnsi="宋体"/>
          <w:color w:val="auto"/>
          <w:szCs w:val="21"/>
          <w:highlight w:val="none"/>
        </w:rPr>
      </w:pPr>
      <w:r>
        <w:rPr>
          <w:rFonts w:hint="eastAsia" w:ascii="宋体" w:hAnsi="宋体"/>
          <w:color w:val="auto"/>
          <w:szCs w:val="21"/>
          <w:highlight w:val="none"/>
        </w:rPr>
        <w:t xml:space="preserve">签订地点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签订时间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根据《中华人民共和国政府采购法》、《中华人民共和国民法典》等法律、法规规定，按照竞争性谈判文件规定条款和成交供应 商竞争性谈判响应文件及其承诺，甲乙双方签订本合同。</w:t>
      </w:r>
    </w:p>
    <w:p>
      <w:pPr>
        <w:pStyle w:val="16"/>
        <w:spacing w:after="0" w:line="360" w:lineRule="exact"/>
        <w:ind w:firstLine="478" w:firstLineChars="200"/>
        <w:jc w:val="both"/>
        <w:rPr>
          <w:rFonts w:hint="eastAsia" w:hAnsi="宋体" w:cs="宋体"/>
          <w:b/>
          <w:bCs/>
          <w:color w:val="auto"/>
          <w:spacing w:val="14"/>
          <w:sz w:val="21"/>
          <w:szCs w:val="21"/>
          <w:highlight w:val="none"/>
        </w:rPr>
      </w:pPr>
      <w:r>
        <w:rPr>
          <w:rFonts w:hint="eastAsia" w:hAnsi="宋体" w:cs="宋体"/>
          <w:b/>
          <w:bCs/>
          <w:color w:val="auto"/>
          <w:spacing w:val="14"/>
          <w:sz w:val="21"/>
          <w:szCs w:val="21"/>
          <w:highlight w:val="none"/>
        </w:rPr>
        <w:t>第</w:t>
      </w:r>
      <w:r>
        <w:rPr>
          <w:rFonts w:hint="eastAsia" w:hAnsi="宋体" w:cs="宋体"/>
          <w:color w:val="auto"/>
          <w:spacing w:val="-73"/>
          <w:sz w:val="21"/>
          <w:szCs w:val="21"/>
          <w:highlight w:val="none"/>
        </w:rPr>
        <w:t xml:space="preserve"> </w:t>
      </w:r>
      <w:r>
        <w:rPr>
          <w:rFonts w:hint="eastAsia" w:hAnsi="宋体" w:cs="宋体"/>
          <w:b/>
          <w:bCs/>
          <w:color w:val="auto"/>
          <w:spacing w:val="14"/>
          <w:sz w:val="21"/>
          <w:szCs w:val="21"/>
          <w:highlight w:val="none"/>
        </w:rPr>
        <w:t>一</w:t>
      </w:r>
      <w:r>
        <w:rPr>
          <w:rFonts w:hint="eastAsia" w:hAnsi="宋体" w:cs="宋体"/>
          <w:color w:val="auto"/>
          <w:spacing w:val="-79"/>
          <w:sz w:val="21"/>
          <w:szCs w:val="21"/>
          <w:highlight w:val="none"/>
        </w:rPr>
        <w:t xml:space="preserve"> </w:t>
      </w:r>
      <w:r>
        <w:rPr>
          <w:rFonts w:hint="eastAsia" w:hAnsi="宋体" w:cs="宋体"/>
          <w:b/>
          <w:bCs/>
          <w:color w:val="auto"/>
          <w:spacing w:val="14"/>
          <w:sz w:val="21"/>
          <w:szCs w:val="21"/>
          <w:highlight w:val="none"/>
        </w:rPr>
        <w:t>条</w:t>
      </w:r>
      <w:r>
        <w:rPr>
          <w:rFonts w:hint="eastAsia" w:hAnsi="宋体" w:cs="宋体"/>
          <w:color w:val="auto"/>
          <w:spacing w:val="23"/>
          <w:sz w:val="21"/>
          <w:szCs w:val="21"/>
          <w:highlight w:val="none"/>
        </w:rPr>
        <w:t xml:space="preserve"> </w:t>
      </w:r>
      <w:r>
        <w:rPr>
          <w:rFonts w:hint="eastAsia" w:hAnsi="宋体" w:cs="宋体"/>
          <w:b/>
          <w:bCs/>
          <w:color w:val="auto"/>
          <w:spacing w:val="14"/>
          <w:sz w:val="21"/>
          <w:szCs w:val="21"/>
          <w:highlight w:val="none"/>
        </w:rPr>
        <w:t>合同标的</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1.供货一览表</w:t>
      </w:r>
    </w:p>
    <w:tbl>
      <w:tblPr>
        <w:tblStyle w:val="141"/>
        <w:tblW w:w="91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241"/>
        <w:gridCol w:w="996"/>
        <w:gridCol w:w="989"/>
        <w:gridCol w:w="979"/>
        <w:gridCol w:w="888"/>
        <w:gridCol w:w="968"/>
        <w:gridCol w:w="1104"/>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786" w:type="dxa"/>
            <w:vAlign w:val="center"/>
          </w:tcPr>
          <w:p>
            <w:pPr>
              <w:pStyle w:val="16"/>
              <w:adjustRightInd/>
              <w:spacing w:after="0"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序号</w:t>
            </w:r>
          </w:p>
        </w:tc>
        <w:tc>
          <w:tcPr>
            <w:tcW w:w="1241" w:type="dxa"/>
            <w:vAlign w:val="center"/>
          </w:tcPr>
          <w:p>
            <w:pPr>
              <w:pStyle w:val="16"/>
              <w:adjustRightInd/>
              <w:spacing w:after="0"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标的名称</w:t>
            </w:r>
          </w:p>
        </w:tc>
        <w:tc>
          <w:tcPr>
            <w:tcW w:w="996" w:type="dxa"/>
            <w:vAlign w:val="center"/>
          </w:tcPr>
          <w:p>
            <w:pPr>
              <w:pStyle w:val="16"/>
              <w:adjustRightInd/>
              <w:spacing w:after="0"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商标品牌</w:t>
            </w:r>
          </w:p>
        </w:tc>
        <w:tc>
          <w:tcPr>
            <w:tcW w:w="989" w:type="dxa"/>
            <w:vAlign w:val="center"/>
          </w:tcPr>
          <w:p>
            <w:pPr>
              <w:pStyle w:val="16"/>
              <w:adjustRightInd/>
              <w:spacing w:after="0"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型号参数</w:t>
            </w:r>
          </w:p>
        </w:tc>
        <w:tc>
          <w:tcPr>
            <w:tcW w:w="979" w:type="dxa"/>
            <w:vAlign w:val="center"/>
          </w:tcPr>
          <w:p>
            <w:pPr>
              <w:pStyle w:val="16"/>
              <w:adjustRightInd/>
              <w:spacing w:after="0"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生产厂家</w:t>
            </w:r>
          </w:p>
        </w:tc>
        <w:tc>
          <w:tcPr>
            <w:tcW w:w="888" w:type="dxa"/>
            <w:vAlign w:val="center"/>
          </w:tcPr>
          <w:p>
            <w:pPr>
              <w:pStyle w:val="16"/>
              <w:adjustRightInd/>
              <w:spacing w:after="0"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数量</w:t>
            </w:r>
          </w:p>
        </w:tc>
        <w:tc>
          <w:tcPr>
            <w:tcW w:w="968" w:type="dxa"/>
            <w:vAlign w:val="center"/>
          </w:tcPr>
          <w:p>
            <w:pPr>
              <w:pStyle w:val="16"/>
              <w:adjustRightInd/>
              <w:spacing w:after="0"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单位</w:t>
            </w:r>
          </w:p>
        </w:tc>
        <w:tc>
          <w:tcPr>
            <w:tcW w:w="1104" w:type="dxa"/>
            <w:vAlign w:val="center"/>
          </w:tcPr>
          <w:p>
            <w:pPr>
              <w:pStyle w:val="16"/>
              <w:adjustRightInd/>
              <w:spacing w:after="0"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单价 (元)</w:t>
            </w:r>
          </w:p>
        </w:tc>
        <w:tc>
          <w:tcPr>
            <w:tcW w:w="1153" w:type="dxa"/>
            <w:vAlign w:val="center"/>
          </w:tcPr>
          <w:p>
            <w:pPr>
              <w:pStyle w:val="16"/>
              <w:adjustRightInd/>
              <w:spacing w:after="0"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金额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86" w:type="dxa"/>
          </w:tcPr>
          <w:p>
            <w:pPr>
              <w:pStyle w:val="140"/>
              <w:spacing w:line="360" w:lineRule="exact"/>
              <w:jc w:val="center"/>
              <w:rPr>
                <w:rFonts w:hint="eastAsia"/>
                <w:color w:val="auto"/>
                <w:sz w:val="21"/>
                <w:szCs w:val="21"/>
                <w:highlight w:val="none"/>
              </w:rPr>
            </w:pPr>
            <w:r>
              <w:rPr>
                <w:rFonts w:hint="eastAsia"/>
                <w:color w:val="auto"/>
                <w:sz w:val="21"/>
                <w:szCs w:val="21"/>
                <w:highlight w:val="none"/>
              </w:rPr>
              <w:t>1</w:t>
            </w:r>
          </w:p>
        </w:tc>
        <w:tc>
          <w:tcPr>
            <w:tcW w:w="1241" w:type="dxa"/>
          </w:tcPr>
          <w:p>
            <w:pPr>
              <w:spacing w:line="360" w:lineRule="exact"/>
              <w:rPr>
                <w:rFonts w:hint="eastAsia" w:ascii="宋体" w:hAnsi="宋体" w:cs="宋体"/>
                <w:color w:val="auto"/>
                <w:szCs w:val="21"/>
                <w:highlight w:val="none"/>
              </w:rPr>
            </w:pPr>
          </w:p>
        </w:tc>
        <w:tc>
          <w:tcPr>
            <w:tcW w:w="996" w:type="dxa"/>
          </w:tcPr>
          <w:p>
            <w:pPr>
              <w:spacing w:line="360" w:lineRule="exact"/>
              <w:rPr>
                <w:rFonts w:hint="eastAsia" w:ascii="宋体" w:hAnsi="宋体" w:cs="宋体"/>
                <w:color w:val="auto"/>
                <w:szCs w:val="21"/>
                <w:highlight w:val="none"/>
              </w:rPr>
            </w:pPr>
          </w:p>
        </w:tc>
        <w:tc>
          <w:tcPr>
            <w:tcW w:w="989" w:type="dxa"/>
          </w:tcPr>
          <w:p>
            <w:pPr>
              <w:spacing w:line="360" w:lineRule="exact"/>
              <w:rPr>
                <w:rFonts w:hint="eastAsia" w:ascii="宋体" w:hAnsi="宋体" w:cs="宋体"/>
                <w:color w:val="auto"/>
                <w:szCs w:val="21"/>
                <w:highlight w:val="none"/>
              </w:rPr>
            </w:pPr>
          </w:p>
        </w:tc>
        <w:tc>
          <w:tcPr>
            <w:tcW w:w="979" w:type="dxa"/>
          </w:tcPr>
          <w:p>
            <w:pPr>
              <w:spacing w:line="360" w:lineRule="exact"/>
              <w:rPr>
                <w:rFonts w:hint="eastAsia" w:ascii="宋体" w:hAnsi="宋体" w:cs="宋体"/>
                <w:color w:val="auto"/>
                <w:szCs w:val="21"/>
                <w:highlight w:val="none"/>
              </w:rPr>
            </w:pPr>
          </w:p>
        </w:tc>
        <w:tc>
          <w:tcPr>
            <w:tcW w:w="888" w:type="dxa"/>
          </w:tcPr>
          <w:p>
            <w:pPr>
              <w:spacing w:line="360" w:lineRule="exact"/>
              <w:rPr>
                <w:rFonts w:hint="eastAsia" w:ascii="宋体" w:hAnsi="宋体" w:cs="宋体"/>
                <w:color w:val="auto"/>
                <w:szCs w:val="21"/>
                <w:highlight w:val="none"/>
              </w:rPr>
            </w:pPr>
          </w:p>
        </w:tc>
        <w:tc>
          <w:tcPr>
            <w:tcW w:w="968" w:type="dxa"/>
          </w:tcPr>
          <w:p>
            <w:pPr>
              <w:spacing w:line="360" w:lineRule="exact"/>
              <w:rPr>
                <w:rFonts w:hint="eastAsia" w:ascii="宋体" w:hAnsi="宋体" w:cs="宋体"/>
                <w:color w:val="auto"/>
                <w:szCs w:val="21"/>
                <w:highlight w:val="none"/>
              </w:rPr>
            </w:pPr>
          </w:p>
        </w:tc>
        <w:tc>
          <w:tcPr>
            <w:tcW w:w="1104" w:type="dxa"/>
          </w:tcPr>
          <w:p>
            <w:pPr>
              <w:spacing w:line="360" w:lineRule="exact"/>
              <w:rPr>
                <w:rFonts w:hint="eastAsia" w:ascii="宋体" w:hAnsi="宋体" w:cs="宋体"/>
                <w:color w:val="auto"/>
                <w:szCs w:val="21"/>
                <w:highlight w:val="none"/>
              </w:rPr>
            </w:pPr>
          </w:p>
        </w:tc>
        <w:tc>
          <w:tcPr>
            <w:tcW w:w="1153" w:type="dxa"/>
          </w:tcPr>
          <w:p>
            <w:pPr>
              <w:spacing w:line="360" w:lineRule="exact"/>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86" w:type="dxa"/>
          </w:tcPr>
          <w:p>
            <w:pPr>
              <w:pStyle w:val="140"/>
              <w:spacing w:line="360" w:lineRule="exact"/>
              <w:jc w:val="center"/>
              <w:rPr>
                <w:rFonts w:hint="eastAsia"/>
                <w:color w:val="auto"/>
                <w:sz w:val="21"/>
                <w:szCs w:val="21"/>
                <w:highlight w:val="none"/>
              </w:rPr>
            </w:pPr>
            <w:r>
              <w:rPr>
                <w:rFonts w:hint="eastAsia"/>
                <w:color w:val="auto"/>
                <w:sz w:val="21"/>
                <w:szCs w:val="21"/>
                <w:highlight w:val="none"/>
              </w:rPr>
              <w:t>2</w:t>
            </w:r>
          </w:p>
        </w:tc>
        <w:tc>
          <w:tcPr>
            <w:tcW w:w="1241" w:type="dxa"/>
          </w:tcPr>
          <w:p>
            <w:pPr>
              <w:spacing w:line="360" w:lineRule="exact"/>
              <w:rPr>
                <w:rFonts w:hint="eastAsia" w:ascii="宋体" w:hAnsi="宋体" w:cs="宋体"/>
                <w:color w:val="auto"/>
                <w:szCs w:val="21"/>
                <w:highlight w:val="none"/>
              </w:rPr>
            </w:pPr>
          </w:p>
        </w:tc>
        <w:tc>
          <w:tcPr>
            <w:tcW w:w="996" w:type="dxa"/>
          </w:tcPr>
          <w:p>
            <w:pPr>
              <w:spacing w:line="360" w:lineRule="exact"/>
              <w:rPr>
                <w:rFonts w:hint="eastAsia" w:ascii="宋体" w:hAnsi="宋体" w:cs="宋体"/>
                <w:color w:val="auto"/>
                <w:szCs w:val="21"/>
                <w:highlight w:val="none"/>
              </w:rPr>
            </w:pPr>
          </w:p>
        </w:tc>
        <w:tc>
          <w:tcPr>
            <w:tcW w:w="989" w:type="dxa"/>
          </w:tcPr>
          <w:p>
            <w:pPr>
              <w:spacing w:line="360" w:lineRule="exact"/>
              <w:rPr>
                <w:rFonts w:hint="eastAsia" w:ascii="宋体" w:hAnsi="宋体" w:cs="宋体"/>
                <w:color w:val="auto"/>
                <w:szCs w:val="21"/>
                <w:highlight w:val="none"/>
              </w:rPr>
            </w:pPr>
          </w:p>
        </w:tc>
        <w:tc>
          <w:tcPr>
            <w:tcW w:w="979" w:type="dxa"/>
          </w:tcPr>
          <w:p>
            <w:pPr>
              <w:spacing w:line="360" w:lineRule="exact"/>
              <w:rPr>
                <w:rFonts w:hint="eastAsia" w:ascii="宋体" w:hAnsi="宋体" w:cs="宋体"/>
                <w:color w:val="auto"/>
                <w:szCs w:val="21"/>
                <w:highlight w:val="none"/>
              </w:rPr>
            </w:pPr>
          </w:p>
        </w:tc>
        <w:tc>
          <w:tcPr>
            <w:tcW w:w="888" w:type="dxa"/>
          </w:tcPr>
          <w:p>
            <w:pPr>
              <w:spacing w:line="360" w:lineRule="exact"/>
              <w:rPr>
                <w:rFonts w:hint="eastAsia" w:ascii="宋体" w:hAnsi="宋体" w:cs="宋体"/>
                <w:color w:val="auto"/>
                <w:szCs w:val="21"/>
                <w:highlight w:val="none"/>
              </w:rPr>
            </w:pPr>
          </w:p>
        </w:tc>
        <w:tc>
          <w:tcPr>
            <w:tcW w:w="968" w:type="dxa"/>
          </w:tcPr>
          <w:p>
            <w:pPr>
              <w:spacing w:line="360" w:lineRule="exact"/>
              <w:rPr>
                <w:rFonts w:hint="eastAsia" w:ascii="宋体" w:hAnsi="宋体" w:cs="宋体"/>
                <w:color w:val="auto"/>
                <w:szCs w:val="21"/>
                <w:highlight w:val="none"/>
              </w:rPr>
            </w:pPr>
          </w:p>
        </w:tc>
        <w:tc>
          <w:tcPr>
            <w:tcW w:w="1104" w:type="dxa"/>
          </w:tcPr>
          <w:p>
            <w:pPr>
              <w:spacing w:line="360" w:lineRule="exact"/>
              <w:rPr>
                <w:rFonts w:hint="eastAsia" w:ascii="宋体" w:hAnsi="宋体" w:cs="宋体"/>
                <w:color w:val="auto"/>
                <w:szCs w:val="21"/>
                <w:highlight w:val="none"/>
              </w:rPr>
            </w:pPr>
          </w:p>
        </w:tc>
        <w:tc>
          <w:tcPr>
            <w:tcW w:w="1153" w:type="dxa"/>
          </w:tcPr>
          <w:p>
            <w:pPr>
              <w:spacing w:line="360" w:lineRule="exact"/>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86" w:type="dxa"/>
          </w:tcPr>
          <w:p>
            <w:pPr>
              <w:spacing w:line="360" w:lineRule="exact"/>
              <w:rPr>
                <w:rFonts w:hint="eastAsia" w:ascii="宋体" w:hAnsi="宋体" w:cs="宋体"/>
                <w:color w:val="auto"/>
                <w:szCs w:val="21"/>
                <w:highlight w:val="none"/>
              </w:rPr>
            </w:pPr>
          </w:p>
        </w:tc>
        <w:tc>
          <w:tcPr>
            <w:tcW w:w="1241" w:type="dxa"/>
          </w:tcPr>
          <w:p>
            <w:pPr>
              <w:spacing w:line="360" w:lineRule="exact"/>
              <w:rPr>
                <w:rFonts w:hint="eastAsia" w:ascii="宋体" w:hAnsi="宋体" w:cs="宋体"/>
                <w:color w:val="auto"/>
                <w:szCs w:val="21"/>
                <w:highlight w:val="none"/>
              </w:rPr>
            </w:pPr>
          </w:p>
        </w:tc>
        <w:tc>
          <w:tcPr>
            <w:tcW w:w="996" w:type="dxa"/>
          </w:tcPr>
          <w:p>
            <w:pPr>
              <w:spacing w:line="360" w:lineRule="exact"/>
              <w:rPr>
                <w:rFonts w:hint="eastAsia" w:ascii="宋体" w:hAnsi="宋体" w:cs="宋体"/>
                <w:color w:val="auto"/>
                <w:szCs w:val="21"/>
                <w:highlight w:val="none"/>
              </w:rPr>
            </w:pPr>
          </w:p>
        </w:tc>
        <w:tc>
          <w:tcPr>
            <w:tcW w:w="989" w:type="dxa"/>
          </w:tcPr>
          <w:p>
            <w:pPr>
              <w:spacing w:line="360" w:lineRule="exact"/>
              <w:rPr>
                <w:rFonts w:hint="eastAsia" w:ascii="宋体" w:hAnsi="宋体" w:cs="宋体"/>
                <w:color w:val="auto"/>
                <w:szCs w:val="21"/>
                <w:highlight w:val="none"/>
              </w:rPr>
            </w:pPr>
          </w:p>
        </w:tc>
        <w:tc>
          <w:tcPr>
            <w:tcW w:w="979" w:type="dxa"/>
          </w:tcPr>
          <w:p>
            <w:pPr>
              <w:spacing w:line="360" w:lineRule="exact"/>
              <w:rPr>
                <w:rFonts w:hint="eastAsia" w:ascii="宋体" w:hAnsi="宋体" w:cs="宋体"/>
                <w:color w:val="auto"/>
                <w:szCs w:val="21"/>
                <w:highlight w:val="none"/>
              </w:rPr>
            </w:pPr>
          </w:p>
        </w:tc>
        <w:tc>
          <w:tcPr>
            <w:tcW w:w="888" w:type="dxa"/>
          </w:tcPr>
          <w:p>
            <w:pPr>
              <w:spacing w:line="360" w:lineRule="exact"/>
              <w:rPr>
                <w:rFonts w:hint="eastAsia" w:ascii="宋体" w:hAnsi="宋体" w:cs="宋体"/>
                <w:color w:val="auto"/>
                <w:szCs w:val="21"/>
                <w:highlight w:val="none"/>
              </w:rPr>
            </w:pPr>
          </w:p>
        </w:tc>
        <w:tc>
          <w:tcPr>
            <w:tcW w:w="968" w:type="dxa"/>
          </w:tcPr>
          <w:p>
            <w:pPr>
              <w:spacing w:line="360" w:lineRule="exact"/>
              <w:rPr>
                <w:rFonts w:hint="eastAsia" w:ascii="宋体" w:hAnsi="宋体" w:cs="宋体"/>
                <w:color w:val="auto"/>
                <w:szCs w:val="21"/>
                <w:highlight w:val="none"/>
              </w:rPr>
            </w:pPr>
          </w:p>
        </w:tc>
        <w:tc>
          <w:tcPr>
            <w:tcW w:w="1104" w:type="dxa"/>
          </w:tcPr>
          <w:p>
            <w:pPr>
              <w:spacing w:line="360" w:lineRule="exact"/>
              <w:rPr>
                <w:rFonts w:hint="eastAsia" w:ascii="宋体" w:hAnsi="宋体" w:cs="宋体"/>
                <w:color w:val="auto"/>
                <w:szCs w:val="21"/>
                <w:highlight w:val="none"/>
              </w:rPr>
            </w:pPr>
          </w:p>
        </w:tc>
        <w:tc>
          <w:tcPr>
            <w:tcW w:w="1153" w:type="dxa"/>
          </w:tcPr>
          <w:p>
            <w:pPr>
              <w:spacing w:line="360" w:lineRule="exact"/>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9104" w:type="dxa"/>
            <w:gridSpan w:val="9"/>
            <w:vAlign w:val="center"/>
          </w:tcPr>
          <w:p>
            <w:pPr>
              <w:pStyle w:val="16"/>
              <w:spacing w:after="0" w:line="360" w:lineRule="exact"/>
              <w:jc w:val="both"/>
              <w:rPr>
                <w:rFonts w:hint="eastAsia" w:hAnsi="宋体" w:cs="宋体"/>
                <w:color w:val="auto"/>
                <w:sz w:val="21"/>
                <w:szCs w:val="21"/>
                <w:highlight w:val="none"/>
                <w:u w:val="single"/>
              </w:rPr>
            </w:pPr>
            <w:r>
              <w:rPr>
                <w:rFonts w:hint="eastAsia" w:hAnsi="宋体"/>
                <w:color w:val="auto"/>
                <w:kern w:val="2"/>
                <w:sz w:val="21"/>
                <w:szCs w:val="21"/>
                <w:highlight w:val="none"/>
              </w:rPr>
              <w:t>人民币合计金额  (大写)</w:t>
            </w:r>
            <w:r>
              <w:rPr>
                <w:rFonts w:hint="eastAsia" w:hAnsi="宋体"/>
                <w:color w:val="auto"/>
                <w:kern w:val="2"/>
                <w:sz w:val="21"/>
                <w:szCs w:val="21"/>
                <w:highlight w:val="none"/>
                <w:u w:val="single"/>
              </w:rPr>
              <w:t xml:space="preserve">               </w:t>
            </w:r>
            <w:r>
              <w:rPr>
                <w:rFonts w:hint="eastAsia" w:hAnsi="宋体"/>
                <w:color w:val="auto"/>
                <w:kern w:val="2"/>
                <w:sz w:val="21"/>
                <w:szCs w:val="21"/>
                <w:highlight w:val="none"/>
              </w:rPr>
              <w:t>(小写)</w:t>
            </w:r>
            <w:r>
              <w:rPr>
                <w:rFonts w:hint="eastAsia" w:hAnsi="宋体"/>
                <w:color w:val="auto"/>
                <w:kern w:val="2"/>
                <w:sz w:val="21"/>
                <w:szCs w:val="21"/>
                <w:highlight w:val="none"/>
                <w:u w:val="single"/>
              </w:rPr>
              <w:t xml:space="preserve">               </w:t>
            </w:r>
          </w:p>
        </w:tc>
      </w:tr>
    </w:tbl>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2.合同合计金额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如谈判文件、响应文件对其另有规定的，从其规定。</w:t>
      </w:r>
    </w:p>
    <w:p>
      <w:pPr>
        <w:pStyle w:val="16"/>
        <w:spacing w:after="0" w:line="360" w:lineRule="exact"/>
        <w:ind w:firstLine="478" w:firstLineChars="200"/>
        <w:jc w:val="both"/>
        <w:rPr>
          <w:rFonts w:hint="eastAsia" w:hAnsi="宋体" w:cs="宋体"/>
          <w:b/>
          <w:bCs/>
          <w:color w:val="auto"/>
          <w:spacing w:val="14"/>
          <w:sz w:val="21"/>
          <w:szCs w:val="21"/>
          <w:highlight w:val="none"/>
        </w:rPr>
      </w:pPr>
      <w:r>
        <w:rPr>
          <w:rFonts w:hint="eastAsia" w:hAnsi="宋体" w:cs="宋体"/>
          <w:b/>
          <w:bCs/>
          <w:color w:val="auto"/>
          <w:spacing w:val="14"/>
          <w:sz w:val="21"/>
          <w:szCs w:val="21"/>
          <w:highlight w:val="none"/>
        </w:rPr>
        <w:t>第二条 质量保证</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1.乙方所提供的货物型号、技术规格、技术参数等质量必须与谈判文件、响应文件和承诺相一致。乙方提供的节能和环保产品必须是列入政府采购清单的产品。</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2.乙方所提供的货物必须是全新、未经使用的原装产品，且在正常安装、使用和保养条件下，其使用寿命期内各项指标均达到质量要求。</w:t>
      </w:r>
    </w:p>
    <w:p>
      <w:pPr>
        <w:pStyle w:val="16"/>
        <w:spacing w:after="0" w:line="360" w:lineRule="exact"/>
        <w:ind w:firstLine="478" w:firstLineChars="200"/>
        <w:jc w:val="both"/>
        <w:rPr>
          <w:rFonts w:hint="eastAsia" w:hAnsi="宋体" w:cs="宋体"/>
          <w:b/>
          <w:bCs/>
          <w:color w:val="auto"/>
          <w:spacing w:val="14"/>
          <w:sz w:val="21"/>
          <w:szCs w:val="21"/>
          <w:highlight w:val="none"/>
        </w:rPr>
      </w:pPr>
      <w:r>
        <w:rPr>
          <w:rFonts w:hint="eastAsia" w:hAnsi="宋体" w:cs="宋体"/>
          <w:b/>
          <w:bCs/>
          <w:color w:val="auto"/>
          <w:spacing w:val="14"/>
          <w:sz w:val="21"/>
          <w:szCs w:val="21"/>
          <w:highlight w:val="none"/>
        </w:rPr>
        <w:t>第三条 权利保证</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1.乙方应保证所提供货物在使用时不会侵犯任何第三方的专利权、商标权、工业设计权或其他权利。</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2.乙方应按谈判文件规定的时间或响应文件承诺的时间向甲方提供使用货物的有关技术资料。</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4.乙方保证所交付的货物的所有权完全属于乙方且无任何抵押、质押、查封等产权瑕疵。</w:t>
      </w:r>
    </w:p>
    <w:p>
      <w:pPr>
        <w:pStyle w:val="16"/>
        <w:spacing w:after="0" w:line="360" w:lineRule="exact"/>
        <w:ind w:firstLine="478" w:firstLineChars="200"/>
        <w:jc w:val="both"/>
        <w:rPr>
          <w:rFonts w:hint="eastAsia" w:hAnsi="宋体" w:cs="宋体"/>
          <w:b/>
          <w:bCs/>
          <w:color w:val="auto"/>
          <w:spacing w:val="14"/>
          <w:sz w:val="21"/>
          <w:szCs w:val="21"/>
          <w:highlight w:val="none"/>
        </w:rPr>
      </w:pPr>
      <w:r>
        <w:rPr>
          <w:rFonts w:hint="eastAsia" w:hAnsi="宋体" w:cs="宋体"/>
          <w:b/>
          <w:bCs/>
          <w:color w:val="auto"/>
          <w:spacing w:val="14"/>
          <w:sz w:val="21"/>
          <w:szCs w:val="21"/>
          <w:highlight w:val="none"/>
        </w:rPr>
        <w:t>第四条 包装和运输</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1.乙方提供的货物均应按谈判文件、响应文件要求的包装材料、包装标准、包装方式进行包装，每一包装单元内应附详细的装箱单和质量合格证。</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olor w:val="auto"/>
          <w:kern w:val="2"/>
          <w:sz w:val="21"/>
          <w:szCs w:val="21"/>
          <w:highlight w:val="none"/>
        </w:rPr>
        <w:t>2.货物的运输方式</w:t>
      </w:r>
      <w:r>
        <w:rPr>
          <w:rFonts w:hint="eastAsia" w:hAnsi="宋体" w:cs="宋体"/>
          <w:color w:val="auto"/>
          <w:spacing w:val="-14"/>
          <w:sz w:val="21"/>
          <w:szCs w:val="21"/>
          <w:highlight w:val="none"/>
        </w:rPr>
        <w:t>：</w:t>
      </w:r>
      <w:r>
        <w:rPr>
          <w:rFonts w:hint="eastAsia" w:hAnsi="宋体" w:cs="宋体"/>
          <w:color w:val="auto"/>
          <w:spacing w:val="3"/>
          <w:sz w:val="21"/>
          <w:szCs w:val="21"/>
          <w:highlight w:val="none"/>
          <w:u w:val="single"/>
        </w:rPr>
        <w:t xml:space="preserve">   </w:t>
      </w:r>
      <w:r>
        <w:rPr>
          <w:rFonts w:hint="eastAsia" w:hAnsi="宋体" w:cs="宋体"/>
          <w:color w:val="auto"/>
          <w:sz w:val="21"/>
          <w:szCs w:val="21"/>
          <w:highlight w:val="none"/>
          <w:u w:val="single"/>
        </w:rPr>
        <w:t xml:space="preserve">不限  </w:t>
      </w:r>
      <w:r>
        <w:rPr>
          <w:rFonts w:hint="eastAsia" w:hAnsi="宋体" w:cs="宋体"/>
          <w:color w:val="auto"/>
          <w:spacing w:val="3"/>
          <w:sz w:val="21"/>
          <w:szCs w:val="21"/>
          <w:highlight w:val="none"/>
          <w:u w:val="single"/>
        </w:rPr>
        <w:t xml:space="preserve">     </w:t>
      </w:r>
    </w:p>
    <w:p>
      <w:pPr>
        <w:pStyle w:val="16"/>
        <w:spacing w:after="0" w:line="360" w:lineRule="exact"/>
        <w:ind w:firstLine="420" w:firstLineChars="200"/>
        <w:jc w:val="both"/>
        <w:rPr>
          <w:rFonts w:hint="eastAsia" w:hAnsi="宋体" w:cs="宋体"/>
          <w:color w:val="auto"/>
          <w:spacing w:val="-6"/>
          <w:sz w:val="21"/>
          <w:szCs w:val="21"/>
          <w:highlight w:val="none"/>
          <w:u w:val="single"/>
        </w:rPr>
      </w:pPr>
      <w:r>
        <w:rPr>
          <w:rFonts w:hint="eastAsia" w:hAnsi="宋体"/>
          <w:color w:val="auto"/>
          <w:kern w:val="2"/>
          <w:sz w:val="21"/>
          <w:szCs w:val="21"/>
          <w:highlight w:val="none"/>
        </w:rPr>
        <w:t>3.乙方负责货物运输</w:t>
      </w:r>
      <w:r>
        <w:rPr>
          <w:rFonts w:hint="eastAsia" w:hAnsi="宋体" w:cs="宋体"/>
          <w:color w:val="auto"/>
          <w:spacing w:val="-13"/>
          <w:sz w:val="21"/>
          <w:szCs w:val="21"/>
          <w:highlight w:val="none"/>
        </w:rPr>
        <w:t xml:space="preserve"> ，</w:t>
      </w:r>
      <w:r>
        <w:rPr>
          <w:rFonts w:hint="eastAsia" w:hAnsi="宋体" w:cs="宋体"/>
          <w:color w:val="auto"/>
          <w:spacing w:val="-20"/>
          <w:sz w:val="21"/>
          <w:szCs w:val="21"/>
          <w:highlight w:val="none"/>
        </w:rPr>
        <w:t xml:space="preserve"> </w:t>
      </w:r>
      <w:r>
        <w:rPr>
          <w:rFonts w:hint="eastAsia" w:hAnsi="宋体" w:cs="宋体"/>
          <w:color w:val="auto"/>
          <w:spacing w:val="-13"/>
          <w:sz w:val="21"/>
          <w:szCs w:val="21"/>
          <w:highlight w:val="none"/>
        </w:rPr>
        <w:t>货</w:t>
      </w:r>
      <w:r>
        <w:rPr>
          <w:rFonts w:hint="eastAsia" w:hAnsi="宋体" w:cs="宋体"/>
          <w:color w:val="auto"/>
          <w:spacing w:val="-26"/>
          <w:sz w:val="21"/>
          <w:szCs w:val="21"/>
          <w:highlight w:val="none"/>
        </w:rPr>
        <w:t xml:space="preserve"> </w:t>
      </w:r>
      <w:r>
        <w:rPr>
          <w:rFonts w:hint="eastAsia" w:hAnsi="宋体" w:cs="宋体"/>
          <w:color w:val="auto"/>
          <w:spacing w:val="-13"/>
          <w:sz w:val="21"/>
          <w:szCs w:val="21"/>
          <w:highlight w:val="none"/>
        </w:rPr>
        <w:t>物</w:t>
      </w:r>
      <w:r>
        <w:rPr>
          <w:rFonts w:hint="eastAsia" w:hAnsi="宋体" w:cs="宋体"/>
          <w:color w:val="auto"/>
          <w:spacing w:val="-26"/>
          <w:sz w:val="21"/>
          <w:szCs w:val="21"/>
          <w:highlight w:val="none"/>
        </w:rPr>
        <w:t xml:space="preserve"> </w:t>
      </w:r>
      <w:r>
        <w:rPr>
          <w:rFonts w:hint="eastAsia" w:hAnsi="宋体" w:cs="宋体"/>
          <w:color w:val="auto"/>
          <w:spacing w:val="-13"/>
          <w:sz w:val="21"/>
          <w:szCs w:val="21"/>
          <w:highlight w:val="none"/>
        </w:rPr>
        <w:t>运</w:t>
      </w:r>
      <w:r>
        <w:rPr>
          <w:rFonts w:hint="eastAsia" w:hAnsi="宋体" w:cs="宋体"/>
          <w:color w:val="auto"/>
          <w:spacing w:val="-27"/>
          <w:sz w:val="21"/>
          <w:szCs w:val="21"/>
          <w:highlight w:val="none"/>
        </w:rPr>
        <w:t xml:space="preserve"> </w:t>
      </w:r>
      <w:r>
        <w:rPr>
          <w:rFonts w:hint="eastAsia" w:hAnsi="宋体" w:cs="宋体"/>
          <w:color w:val="auto"/>
          <w:spacing w:val="-13"/>
          <w:sz w:val="21"/>
          <w:szCs w:val="21"/>
          <w:highlight w:val="none"/>
        </w:rPr>
        <w:t>输</w:t>
      </w:r>
      <w:r>
        <w:rPr>
          <w:rFonts w:hint="eastAsia" w:hAnsi="宋体" w:cs="宋体"/>
          <w:color w:val="auto"/>
          <w:spacing w:val="-25"/>
          <w:sz w:val="21"/>
          <w:szCs w:val="21"/>
          <w:highlight w:val="none"/>
        </w:rPr>
        <w:t xml:space="preserve"> </w:t>
      </w:r>
      <w:r>
        <w:rPr>
          <w:rFonts w:hint="eastAsia" w:hAnsi="宋体" w:cs="宋体"/>
          <w:color w:val="auto"/>
          <w:spacing w:val="-13"/>
          <w:sz w:val="21"/>
          <w:szCs w:val="21"/>
          <w:highlight w:val="none"/>
        </w:rPr>
        <w:t>合</w:t>
      </w:r>
      <w:r>
        <w:rPr>
          <w:rFonts w:hint="eastAsia" w:hAnsi="宋体" w:cs="宋体"/>
          <w:color w:val="auto"/>
          <w:spacing w:val="-23"/>
          <w:sz w:val="21"/>
          <w:szCs w:val="21"/>
          <w:highlight w:val="none"/>
        </w:rPr>
        <w:t xml:space="preserve"> </w:t>
      </w:r>
      <w:r>
        <w:rPr>
          <w:rFonts w:hint="eastAsia" w:hAnsi="宋体" w:cs="宋体"/>
          <w:color w:val="auto"/>
          <w:spacing w:val="-13"/>
          <w:sz w:val="21"/>
          <w:szCs w:val="21"/>
          <w:highlight w:val="none"/>
        </w:rPr>
        <w:t>理</w:t>
      </w:r>
      <w:r>
        <w:rPr>
          <w:rFonts w:hint="eastAsia" w:hAnsi="宋体" w:cs="宋体"/>
          <w:color w:val="auto"/>
          <w:spacing w:val="-26"/>
          <w:sz w:val="21"/>
          <w:szCs w:val="21"/>
          <w:highlight w:val="none"/>
        </w:rPr>
        <w:t xml:space="preserve"> </w:t>
      </w:r>
      <w:r>
        <w:rPr>
          <w:rFonts w:hint="eastAsia" w:hAnsi="宋体" w:cs="宋体"/>
          <w:color w:val="auto"/>
          <w:spacing w:val="-13"/>
          <w:sz w:val="21"/>
          <w:szCs w:val="21"/>
          <w:highlight w:val="none"/>
        </w:rPr>
        <w:t>损</w:t>
      </w:r>
      <w:r>
        <w:rPr>
          <w:rFonts w:hint="eastAsia" w:hAnsi="宋体" w:cs="宋体"/>
          <w:color w:val="auto"/>
          <w:spacing w:val="-25"/>
          <w:sz w:val="21"/>
          <w:szCs w:val="21"/>
          <w:highlight w:val="none"/>
        </w:rPr>
        <w:t xml:space="preserve"> </w:t>
      </w:r>
      <w:r>
        <w:rPr>
          <w:rFonts w:hint="eastAsia" w:hAnsi="宋体" w:cs="宋体"/>
          <w:color w:val="auto"/>
          <w:spacing w:val="-13"/>
          <w:sz w:val="21"/>
          <w:szCs w:val="21"/>
          <w:highlight w:val="none"/>
        </w:rPr>
        <w:t>耗</w:t>
      </w:r>
      <w:r>
        <w:rPr>
          <w:rFonts w:hint="eastAsia" w:hAnsi="宋体" w:cs="宋体"/>
          <w:color w:val="auto"/>
          <w:spacing w:val="-27"/>
          <w:sz w:val="21"/>
          <w:szCs w:val="21"/>
          <w:highlight w:val="none"/>
        </w:rPr>
        <w:t xml:space="preserve"> </w:t>
      </w:r>
      <w:r>
        <w:rPr>
          <w:rFonts w:hint="eastAsia" w:hAnsi="宋体" w:cs="宋体"/>
          <w:color w:val="auto"/>
          <w:spacing w:val="-13"/>
          <w:sz w:val="21"/>
          <w:szCs w:val="21"/>
          <w:highlight w:val="none"/>
        </w:rPr>
        <w:t>及</w:t>
      </w:r>
      <w:r>
        <w:rPr>
          <w:rFonts w:hint="eastAsia" w:hAnsi="宋体" w:cs="宋体"/>
          <w:color w:val="auto"/>
          <w:spacing w:val="-26"/>
          <w:sz w:val="21"/>
          <w:szCs w:val="21"/>
          <w:highlight w:val="none"/>
        </w:rPr>
        <w:t xml:space="preserve"> </w:t>
      </w:r>
      <w:r>
        <w:rPr>
          <w:rFonts w:hint="eastAsia" w:hAnsi="宋体" w:cs="宋体"/>
          <w:color w:val="auto"/>
          <w:spacing w:val="-13"/>
          <w:sz w:val="21"/>
          <w:szCs w:val="21"/>
          <w:highlight w:val="none"/>
        </w:rPr>
        <w:t>计</w:t>
      </w:r>
      <w:r>
        <w:rPr>
          <w:rFonts w:hint="eastAsia" w:hAnsi="宋体" w:cs="宋体"/>
          <w:color w:val="auto"/>
          <w:spacing w:val="-24"/>
          <w:sz w:val="21"/>
          <w:szCs w:val="21"/>
          <w:highlight w:val="none"/>
        </w:rPr>
        <w:t xml:space="preserve"> </w:t>
      </w:r>
      <w:r>
        <w:rPr>
          <w:rFonts w:hint="eastAsia" w:hAnsi="宋体" w:cs="宋体"/>
          <w:color w:val="auto"/>
          <w:spacing w:val="-13"/>
          <w:sz w:val="21"/>
          <w:szCs w:val="21"/>
          <w:highlight w:val="none"/>
        </w:rPr>
        <w:t>算</w:t>
      </w:r>
      <w:r>
        <w:rPr>
          <w:rFonts w:hint="eastAsia" w:hAnsi="宋体" w:cs="宋体"/>
          <w:color w:val="auto"/>
          <w:spacing w:val="-25"/>
          <w:sz w:val="21"/>
          <w:szCs w:val="21"/>
          <w:highlight w:val="none"/>
        </w:rPr>
        <w:t xml:space="preserve"> </w:t>
      </w:r>
      <w:r>
        <w:rPr>
          <w:rFonts w:hint="eastAsia" w:hAnsi="宋体" w:cs="宋体"/>
          <w:color w:val="auto"/>
          <w:spacing w:val="-13"/>
          <w:sz w:val="21"/>
          <w:szCs w:val="21"/>
          <w:highlight w:val="none"/>
        </w:rPr>
        <w:t>方</w:t>
      </w:r>
      <w:r>
        <w:rPr>
          <w:rFonts w:hint="eastAsia" w:hAnsi="宋体" w:cs="宋体"/>
          <w:color w:val="auto"/>
          <w:spacing w:val="-6"/>
          <w:sz w:val="21"/>
          <w:szCs w:val="21"/>
          <w:highlight w:val="none"/>
        </w:rPr>
        <w:t>法</w:t>
      </w:r>
      <w:r>
        <w:rPr>
          <w:rFonts w:hint="eastAsia" w:hAnsi="宋体" w:cs="宋体"/>
          <w:color w:val="auto"/>
          <w:spacing w:val="-59"/>
          <w:sz w:val="21"/>
          <w:szCs w:val="21"/>
          <w:highlight w:val="none"/>
        </w:rPr>
        <w:t xml:space="preserve"> </w:t>
      </w:r>
      <w:r>
        <w:rPr>
          <w:rFonts w:hint="eastAsia" w:hAnsi="宋体" w:cs="宋体"/>
          <w:color w:val="auto"/>
          <w:spacing w:val="-6"/>
          <w:sz w:val="21"/>
          <w:szCs w:val="21"/>
          <w:highlight w:val="none"/>
        </w:rPr>
        <w:t>：</w:t>
      </w:r>
      <w:r>
        <w:rPr>
          <w:rFonts w:hint="eastAsia" w:hAnsi="宋体" w:cs="宋体"/>
          <w:color w:val="auto"/>
          <w:spacing w:val="-6"/>
          <w:sz w:val="21"/>
          <w:szCs w:val="21"/>
          <w:highlight w:val="none"/>
          <w:u w:val="single"/>
        </w:rPr>
        <w:t xml:space="preserve">     </w:t>
      </w:r>
      <w:r>
        <w:rPr>
          <w:rFonts w:hint="eastAsia" w:hAnsi="宋体" w:cs="宋体"/>
          <w:color w:val="auto"/>
          <w:sz w:val="21"/>
          <w:szCs w:val="21"/>
          <w:highlight w:val="none"/>
          <w:u w:val="single"/>
        </w:rPr>
        <w:t>本合同货物不接受损耗</w:t>
      </w:r>
      <w:r>
        <w:rPr>
          <w:rFonts w:hint="eastAsia" w:hAnsi="宋体" w:cs="宋体"/>
          <w:color w:val="auto"/>
          <w:spacing w:val="-6"/>
          <w:sz w:val="21"/>
          <w:szCs w:val="21"/>
          <w:highlight w:val="none"/>
          <w:u w:val="single"/>
        </w:rPr>
        <w:t xml:space="preserve">            </w:t>
      </w:r>
    </w:p>
    <w:p>
      <w:pPr>
        <w:pStyle w:val="16"/>
        <w:spacing w:after="0" w:line="360" w:lineRule="exact"/>
        <w:ind w:firstLine="478" w:firstLineChars="200"/>
        <w:jc w:val="both"/>
        <w:rPr>
          <w:rFonts w:hint="eastAsia" w:hAnsi="宋体" w:cs="宋体"/>
          <w:b/>
          <w:bCs/>
          <w:color w:val="auto"/>
          <w:spacing w:val="14"/>
          <w:sz w:val="21"/>
          <w:szCs w:val="21"/>
          <w:highlight w:val="none"/>
        </w:rPr>
      </w:pPr>
      <w:r>
        <w:rPr>
          <w:rFonts w:hint="eastAsia" w:hAnsi="宋体" w:cs="宋体"/>
          <w:b/>
          <w:bCs/>
          <w:color w:val="auto"/>
          <w:spacing w:val="14"/>
          <w:sz w:val="21"/>
          <w:szCs w:val="21"/>
          <w:highlight w:val="none"/>
        </w:rPr>
        <w:t>第五条  交付和验收</w:t>
      </w:r>
    </w:p>
    <w:p>
      <w:pPr>
        <w:pStyle w:val="33"/>
        <w:widowControl/>
        <w:spacing w:beforeAutospacing="0" w:afterAutospacing="0" w:line="360" w:lineRule="auto"/>
        <w:ind w:firstLine="480" w:firstLineChars="200"/>
        <w:rPr>
          <w:rFonts w:hint="eastAsia" w:hAnsi="宋体" w:cs="宋体"/>
          <w:color w:val="auto"/>
          <w:szCs w:val="21"/>
          <w:highlight w:val="none"/>
        </w:rPr>
      </w:pPr>
      <w:r>
        <w:rPr>
          <w:rFonts w:hint="eastAsia" w:ascii="宋体" w:hAnsi="宋体" w:cs="宋体"/>
          <w:color w:val="auto"/>
          <w:szCs w:val="21"/>
          <w:highlight w:val="none"/>
        </w:rPr>
        <w:t>1.交付使</w:t>
      </w:r>
      <w:r>
        <w:rPr>
          <w:rFonts w:hint="eastAsia" w:hAnsi="宋体" w:cs="宋体"/>
          <w:color w:val="auto"/>
          <w:szCs w:val="21"/>
          <w:highlight w:val="none"/>
        </w:rPr>
        <w:t>用时间：</w:t>
      </w:r>
      <w:r>
        <w:rPr>
          <w:rFonts w:hint="eastAsia" w:ascii="宋体" w:hAnsi="宋体" w:cs="宋体"/>
          <w:color w:val="auto"/>
          <w:sz w:val="21"/>
          <w:szCs w:val="21"/>
          <w:highlight w:val="none"/>
          <w:u w:val="single"/>
        </w:rPr>
        <w:t>自合同签订后  日内完成交付，并全部安装调试合格完毕。</w:t>
      </w:r>
      <w:r>
        <w:rPr>
          <w:rFonts w:hint="eastAsia" w:hAnsi="宋体" w:cs="宋体"/>
          <w:color w:val="auto"/>
          <w:szCs w:val="21"/>
          <w:highlight w:val="none"/>
        </w:rPr>
        <w:t>地点：</w:t>
      </w:r>
      <w:r>
        <w:rPr>
          <w:rFonts w:hint="eastAsia" w:hAnsi="宋体" w:cs="宋体"/>
          <w:color w:val="auto"/>
          <w:szCs w:val="21"/>
          <w:highlight w:val="none"/>
          <w:u w:val="single"/>
        </w:rPr>
        <w:t xml:space="preserve">甲方指定地点   </w:t>
      </w:r>
      <w:r>
        <w:rPr>
          <w:rFonts w:hint="eastAsia" w:hAnsi="宋体" w:cs="宋体"/>
          <w:color w:val="auto"/>
          <w:szCs w:val="21"/>
          <w:highlight w:val="none"/>
        </w:rPr>
        <w:t>。</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2.乙方提供不符合谈判文件、响应文件和本合同规定的货物，甲方有权拒绝接受。</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3.乙方应将所提供货物的装箱清单、用户手册、原厂保修卡、随</w:t>
      </w:r>
      <w:r>
        <w:rPr>
          <w:rFonts w:hint="eastAsia" w:hAnsi="宋体" w:cs="宋体"/>
          <w:color w:val="auto"/>
          <w:spacing w:val="5"/>
          <w:sz w:val="21"/>
          <w:szCs w:val="21"/>
          <w:highlight w:val="none"/>
        </w:rPr>
        <w:t>机资料、工具和备品、备件等交付给甲方，如有缺失应及时补齐，否</w:t>
      </w:r>
      <w:r>
        <w:rPr>
          <w:rFonts w:hint="eastAsia" w:hAnsi="宋体" w:cs="宋体"/>
          <w:color w:val="auto"/>
          <w:sz w:val="21"/>
          <w:szCs w:val="21"/>
          <w:highlight w:val="none"/>
        </w:rPr>
        <w:t>则视为逾期交货。</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16"/>
        <w:spacing w:after="0" w:line="360" w:lineRule="exact"/>
        <w:ind w:firstLine="408" w:firstLineChars="200"/>
        <w:jc w:val="both"/>
        <w:rPr>
          <w:rFonts w:hint="eastAsia" w:hAnsi="宋体" w:cs="宋体"/>
          <w:color w:val="auto"/>
          <w:spacing w:val="-3"/>
          <w:sz w:val="21"/>
          <w:szCs w:val="21"/>
          <w:highlight w:val="none"/>
        </w:rPr>
      </w:pPr>
      <w:r>
        <w:rPr>
          <w:rFonts w:hint="eastAsia" w:hAnsi="宋体" w:cs="宋体"/>
          <w:color w:val="auto"/>
          <w:spacing w:val="-3"/>
          <w:sz w:val="21"/>
          <w:szCs w:val="21"/>
          <w:highlight w:val="none"/>
        </w:rPr>
        <w:t>5.甲方对验收有异议的，在验收后五个工作日内以书面形式向乙方提出，乙方应自收到甲方书面异议后</w:t>
      </w:r>
      <w:r>
        <w:rPr>
          <w:rFonts w:hint="eastAsia" w:hAnsi="宋体" w:cs="宋体"/>
          <w:color w:val="auto"/>
          <w:spacing w:val="-3"/>
          <w:sz w:val="21"/>
          <w:szCs w:val="21"/>
          <w:highlight w:val="none"/>
          <w:u w:val="single"/>
        </w:rPr>
        <w:t>30</w:t>
      </w:r>
      <w:r>
        <w:rPr>
          <w:rFonts w:hint="eastAsia" w:hAnsi="宋体" w:cs="宋体"/>
          <w:color w:val="auto"/>
          <w:spacing w:val="-3"/>
          <w:sz w:val="21"/>
          <w:szCs w:val="21"/>
          <w:highlight w:val="none"/>
        </w:rPr>
        <w:t>日内及时予以解决。</w:t>
      </w:r>
    </w:p>
    <w:p>
      <w:pPr>
        <w:pStyle w:val="16"/>
        <w:spacing w:after="0" w:line="360" w:lineRule="exact"/>
        <w:ind w:firstLine="478" w:firstLineChars="200"/>
        <w:jc w:val="both"/>
        <w:rPr>
          <w:rFonts w:hint="eastAsia" w:hAnsi="宋体" w:cs="宋体"/>
          <w:b/>
          <w:bCs/>
          <w:color w:val="auto"/>
          <w:spacing w:val="14"/>
          <w:sz w:val="21"/>
          <w:szCs w:val="21"/>
          <w:highlight w:val="none"/>
        </w:rPr>
      </w:pPr>
      <w:r>
        <w:rPr>
          <w:rFonts w:hint="eastAsia" w:hAnsi="宋体" w:cs="宋体"/>
          <w:b/>
          <w:bCs/>
          <w:color w:val="auto"/>
          <w:spacing w:val="14"/>
          <w:sz w:val="21"/>
          <w:szCs w:val="21"/>
          <w:highlight w:val="none"/>
        </w:rPr>
        <w:t>第六条  安装和培训</w:t>
      </w:r>
    </w:p>
    <w:p>
      <w:pPr>
        <w:pStyle w:val="16"/>
        <w:spacing w:after="0" w:line="360" w:lineRule="exact"/>
        <w:ind w:firstLine="408" w:firstLineChars="200"/>
        <w:jc w:val="both"/>
        <w:rPr>
          <w:rFonts w:hint="eastAsia" w:hAnsi="宋体" w:cs="宋体"/>
          <w:color w:val="auto"/>
          <w:spacing w:val="-3"/>
          <w:sz w:val="21"/>
          <w:szCs w:val="21"/>
          <w:highlight w:val="none"/>
        </w:rPr>
      </w:pPr>
      <w:r>
        <w:rPr>
          <w:rFonts w:hint="eastAsia" w:hAnsi="宋体" w:cs="宋体"/>
          <w:color w:val="auto"/>
          <w:spacing w:val="-3"/>
          <w:sz w:val="21"/>
          <w:szCs w:val="21"/>
          <w:highlight w:val="none"/>
        </w:rPr>
        <w:t>1.甲方应提供必要安装条件(如场地、电源、水源等)。</w:t>
      </w:r>
    </w:p>
    <w:p>
      <w:pPr>
        <w:pStyle w:val="16"/>
        <w:spacing w:after="0" w:line="360" w:lineRule="exact"/>
        <w:ind w:firstLine="416" w:firstLineChars="200"/>
        <w:jc w:val="both"/>
        <w:rPr>
          <w:rFonts w:hint="eastAsia" w:hAnsi="宋体" w:cs="宋体"/>
          <w:color w:val="auto"/>
          <w:sz w:val="21"/>
          <w:szCs w:val="21"/>
          <w:highlight w:val="none"/>
        </w:rPr>
      </w:pPr>
      <w:r>
        <w:rPr>
          <w:rFonts w:hint="eastAsia" w:hAnsi="宋体" w:cs="宋体"/>
          <w:color w:val="auto"/>
          <w:spacing w:val="-1"/>
          <w:sz w:val="21"/>
          <w:szCs w:val="21"/>
          <w:highlight w:val="none"/>
        </w:rPr>
        <w:t>2.乙方负责甲方有关人员的培训。培训时间、地点：</w:t>
      </w:r>
      <w:r>
        <w:rPr>
          <w:rFonts w:hint="eastAsia" w:hAnsi="宋体" w:cs="宋体"/>
          <w:color w:val="auto"/>
          <w:spacing w:val="55"/>
          <w:sz w:val="21"/>
          <w:szCs w:val="21"/>
          <w:highlight w:val="none"/>
          <w:u w:val="single"/>
        </w:rPr>
        <w:t xml:space="preserve"> </w:t>
      </w:r>
      <w:r>
        <w:rPr>
          <w:rFonts w:hint="eastAsia" w:hAnsi="宋体" w:cs="宋体"/>
          <w:color w:val="auto"/>
          <w:spacing w:val="-3"/>
          <w:sz w:val="21"/>
          <w:szCs w:val="21"/>
          <w:highlight w:val="none"/>
          <w:u w:val="single"/>
        </w:rPr>
        <w:t xml:space="preserve">  由甲方依据实际情况确定 </w:t>
      </w:r>
      <w:r>
        <w:rPr>
          <w:rFonts w:hint="eastAsia" w:hAnsi="宋体" w:cs="宋体"/>
          <w:color w:val="auto"/>
          <w:spacing w:val="-1"/>
          <w:sz w:val="21"/>
          <w:szCs w:val="21"/>
          <w:highlight w:val="none"/>
          <w:u w:val="single"/>
        </w:rPr>
        <w:t xml:space="preserve">    </w:t>
      </w:r>
      <w:r>
        <w:rPr>
          <w:rFonts w:hint="eastAsia" w:hAnsi="宋体" w:cs="宋体"/>
          <w:color w:val="auto"/>
          <w:spacing w:val="-1"/>
          <w:sz w:val="21"/>
          <w:szCs w:val="21"/>
          <w:highlight w:val="none"/>
        </w:rPr>
        <w:t>。</w:t>
      </w:r>
    </w:p>
    <w:p>
      <w:pPr>
        <w:pStyle w:val="16"/>
        <w:spacing w:after="0" w:line="360" w:lineRule="exact"/>
        <w:ind w:firstLine="478" w:firstLineChars="200"/>
        <w:jc w:val="both"/>
        <w:rPr>
          <w:rFonts w:hint="eastAsia" w:hAnsi="宋体" w:cs="宋体"/>
          <w:color w:val="auto"/>
          <w:sz w:val="21"/>
          <w:szCs w:val="21"/>
          <w:highlight w:val="none"/>
        </w:rPr>
      </w:pPr>
      <w:r>
        <w:rPr>
          <w:rFonts w:hint="eastAsia" w:hAnsi="宋体" w:cs="宋体"/>
          <w:b/>
          <w:bCs/>
          <w:color w:val="auto"/>
          <w:spacing w:val="14"/>
          <w:sz w:val="21"/>
          <w:szCs w:val="21"/>
          <w:highlight w:val="none"/>
        </w:rPr>
        <w:t>第七条 售后服务、保修期</w:t>
      </w:r>
    </w:p>
    <w:p>
      <w:pPr>
        <w:pStyle w:val="16"/>
        <w:spacing w:after="0" w:line="360" w:lineRule="exact"/>
        <w:ind w:firstLine="380" w:firstLineChars="200"/>
        <w:jc w:val="both"/>
        <w:rPr>
          <w:rFonts w:hint="eastAsia" w:hAnsi="宋体" w:cs="宋体"/>
          <w:color w:val="auto"/>
          <w:sz w:val="21"/>
          <w:szCs w:val="21"/>
          <w:highlight w:val="none"/>
        </w:rPr>
      </w:pPr>
      <w:r>
        <w:rPr>
          <w:rFonts w:hint="eastAsia" w:hAnsi="宋体" w:cs="宋体"/>
          <w:color w:val="auto"/>
          <w:spacing w:val="-10"/>
          <w:sz w:val="21"/>
          <w:szCs w:val="21"/>
          <w:highlight w:val="none"/>
        </w:rPr>
        <w:t>1.乙方应按照国家有关法律法规和“三包”规定以及谈判文件、响</w:t>
      </w:r>
      <w:r>
        <w:rPr>
          <w:rFonts w:hint="eastAsia" w:hAnsi="宋体" w:cs="宋体"/>
          <w:color w:val="auto"/>
          <w:spacing w:val="7"/>
          <w:sz w:val="21"/>
          <w:szCs w:val="21"/>
          <w:highlight w:val="none"/>
        </w:rPr>
        <w:t>应文件和本合同所附的《服务承诺》，为甲方提供售后服务。</w:t>
      </w:r>
    </w:p>
    <w:p>
      <w:pPr>
        <w:pStyle w:val="16"/>
        <w:spacing w:after="0" w:line="360" w:lineRule="exact"/>
        <w:ind w:firstLine="380" w:firstLineChars="200"/>
        <w:jc w:val="both"/>
        <w:rPr>
          <w:rFonts w:hint="eastAsia" w:hAnsi="宋体" w:cs="宋体"/>
          <w:color w:val="auto"/>
          <w:sz w:val="21"/>
          <w:szCs w:val="21"/>
          <w:highlight w:val="none"/>
          <w:u w:val="single"/>
        </w:rPr>
      </w:pPr>
      <w:r>
        <w:rPr>
          <w:rFonts w:hint="eastAsia" w:hAnsi="宋体" w:cs="宋体"/>
          <w:color w:val="auto"/>
          <w:spacing w:val="-10"/>
          <w:sz w:val="21"/>
          <w:szCs w:val="21"/>
          <w:highlight w:val="none"/>
        </w:rPr>
        <w:t>2.货物保修期；</w:t>
      </w:r>
      <w:r>
        <w:rPr>
          <w:rFonts w:hint="eastAsia" w:hAnsi="宋体" w:cs="宋体"/>
          <w:color w:val="auto"/>
          <w:sz w:val="21"/>
          <w:szCs w:val="21"/>
          <w:highlight w:val="none"/>
          <w:u w:val="single"/>
        </w:rPr>
        <w:t xml:space="preserve">                   。</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3.乙方提供的服务承诺和售后服务及保修期责任等其它具体约</w:t>
      </w:r>
      <w:r>
        <w:rPr>
          <w:rFonts w:hint="eastAsia" w:hAnsi="宋体" w:cs="宋体"/>
          <w:color w:val="auto"/>
          <w:spacing w:val="3"/>
          <w:sz w:val="21"/>
          <w:szCs w:val="21"/>
          <w:highlight w:val="none"/>
        </w:rPr>
        <w:t>定事项。(见合同附件)</w:t>
      </w:r>
    </w:p>
    <w:p>
      <w:pPr>
        <w:pStyle w:val="16"/>
        <w:spacing w:after="0" w:line="360" w:lineRule="exact"/>
        <w:ind w:firstLine="410" w:firstLineChars="200"/>
        <w:jc w:val="both"/>
        <w:rPr>
          <w:rFonts w:hint="eastAsia" w:hAnsi="宋体" w:cs="宋体"/>
          <w:b/>
          <w:bCs/>
          <w:color w:val="auto"/>
          <w:sz w:val="21"/>
          <w:szCs w:val="21"/>
          <w:highlight w:val="none"/>
        </w:rPr>
      </w:pPr>
      <w:r>
        <w:rPr>
          <w:rFonts w:hint="eastAsia" w:hAnsi="宋体" w:cs="宋体"/>
          <w:b/>
          <w:bCs/>
          <w:color w:val="auto"/>
          <w:spacing w:val="-3"/>
          <w:sz w:val="21"/>
          <w:szCs w:val="21"/>
          <w:highlight w:val="none"/>
        </w:rPr>
        <w:t>第八条  付款方式</w:t>
      </w:r>
    </w:p>
    <w:p>
      <w:pPr>
        <w:pStyle w:val="16"/>
        <w:spacing w:after="0" w:line="360" w:lineRule="exact"/>
        <w:ind w:firstLine="336" w:firstLineChars="200"/>
        <w:jc w:val="both"/>
        <w:rPr>
          <w:rFonts w:hint="eastAsia" w:hAnsi="宋体" w:cs="宋体"/>
          <w:color w:val="auto"/>
          <w:sz w:val="21"/>
          <w:szCs w:val="21"/>
          <w:highlight w:val="none"/>
          <w:u w:val="single"/>
        </w:rPr>
      </w:pPr>
      <w:r>
        <w:rPr>
          <w:rFonts w:hint="eastAsia" w:hAnsi="宋体" w:cs="宋体"/>
          <w:color w:val="auto"/>
          <w:spacing w:val="-21"/>
          <w:sz w:val="21"/>
          <w:szCs w:val="21"/>
          <w:highlight w:val="none"/>
        </w:rPr>
        <w:t>1.资金性质</w:t>
      </w:r>
      <w:r>
        <w:rPr>
          <w:rFonts w:hint="eastAsia" w:hAnsi="宋体" w:cs="宋体"/>
          <w:color w:val="auto"/>
          <w:spacing w:val="-3"/>
          <w:sz w:val="21"/>
          <w:szCs w:val="21"/>
          <w:highlight w:val="none"/>
        </w:rPr>
        <w:t>：</w:t>
      </w:r>
      <w:r>
        <w:rPr>
          <w:rFonts w:hint="eastAsia" w:hAnsi="宋体" w:cs="宋体"/>
          <w:color w:val="auto"/>
          <w:spacing w:val="-3"/>
          <w:sz w:val="21"/>
          <w:szCs w:val="21"/>
          <w:highlight w:val="none"/>
          <w:u w:val="single"/>
        </w:rPr>
        <w:t xml:space="preserve"> 财政性资金</w:t>
      </w:r>
    </w:p>
    <w:p>
      <w:pPr>
        <w:pStyle w:val="16"/>
        <w:spacing w:after="0" w:line="360" w:lineRule="exact"/>
        <w:ind w:firstLine="360" w:firstLineChars="200"/>
        <w:jc w:val="both"/>
        <w:rPr>
          <w:rFonts w:hint="eastAsia" w:hAnsi="宋体" w:cs="宋体"/>
          <w:color w:val="auto"/>
          <w:sz w:val="21"/>
          <w:szCs w:val="21"/>
          <w:highlight w:val="none"/>
          <w:u w:val="single"/>
        </w:rPr>
      </w:pPr>
      <w:r>
        <w:rPr>
          <w:rFonts w:hint="eastAsia" w:hAnsi="宋体" w:cs="宋体"/>
          <w:color w:val="auto"/>
          <w:spacing w:val="-15"/>
          <w:sz w:val="21"/>
          <w:szCs w:val="21"/>
          <w:highlight w:val="none"/>
        </w:rPr>
        <w:t>2.付款方式：</w:t>
      </w:r>
      <w:r>
        <w:rPr>
          <w:rFonts w:hint="eastAsia" w:hAnsi="宋体" w:cs="宋体"/>
          <w:color w:val="auto"/>
          <w:sz w:val="21"/>
          <w:szCs w:val="21"/>
          <w:highlight w:val="none"/>
          <w:u w:val="single"/>
        </w:rPr>
        <w:t>仪器安装调试合格之日后，成交供应商按采购人要求提供正规发票给采购人，采购人在15个工作日内一次性付清款项。</w:t>
      </w:r>
    </w:p>
    <w:p>
      <w:pPr>
        <w:pStyle w:val="16"/>
        <w:spacing w:after="0" w:line="360" w:lineRule="exact"/>
        <w:ind w:firstLine="478" w:firstLineChars="200"/>
        <w:jc w:val="both"/>
        <w:rPr>
          <w:rFonts w:hint="eastAsia" w:hAnsi="宋体" w:cs="宋体"/>
          <w:b/>
          <w:bCs/>
          <w:color w:val="auto"/>
          <w:spacing w:val="14"/>
          <w:sz w:val="21"/>
          <w:szCs w:val="21"/>
          <w:highlight w:val="none"/>
        </w:rPr>
      </w:pPr>
      <w:r>
        <w:rPr>
          <w:rFonts w:hint="eastAsia" w:hAnsi="宋体" w:cs="宋体"/>
          <w:b/>
          <w:bCs/>
          <w:color w:val="auto"/>
          <w:spacing w:val="14"/>
          <w:sz w:val="21"/>
          <w:szCs w:val="21"/>
          <w:highlight w:val="none"/>
        </w:rPr>
        <w:t>第九条  履约保证金</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1.履约保证金金额：合同价款的5%，若成交供应商是中小企业，则履约保证金按合同价款的2%收取。</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2.履约保证金提交时间及方式：合同签订前5日内，成交供应商必须以银行转账、支票、汇票、本票或者金融机构、担保机构出具的保险、保函（含电子保函）等非现金方式向采购人提交履约保证金。</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3.履约保证金退付条件及时间：自项目验收合格之日起至质保期满无质量问题，采购人收到退付履约保证金申请后15个工作日内退还(无息)。</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4.下列情况因履约保证金不能退还或另行处理，所产生的后果由成交供应商负责：</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履行合同约定权利义务期间，成交供应商不按合同履行质量保证义务的，采购人有权对采购标的进行更换、维修维保，所需费用从成交供应商提交的履约保证金中扣除，履约保证金不足以抵扣更换、维修维保费用的，不足部分由成交供应商承担。同时，采购人保留起诉成交供应商的权利。</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（3）其他因成交供应商原因导致履约保证金无法按时退回的情形。</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履约保证金账户：</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全称：广西科技大学</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账号：20-112801040000305</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开户银行：中国农业银行柳州市祥兴支行</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转帐时注明：项目名称+项目编号</w:t>
      </w:r>
    </w:p>
    <w:p>
      <w:pPr>
        <w:spacing w:line="440" w:lineRule="exact"/>
        <w:ind w:left="400"/>
        <w:rPr>
          <w:rFonts w:hint="eastAsia" w:ascii="宋体" w:hAnsi="宋体" w:cs="宋体"/>
          <w:bCs/>
          <w:color w:val="auto"/>
          <w:szCs w:val="21"/>
          <w:highlight w:val="none"/>
        </w:rPr>
      </w:pPr>
      <w:r>
        <w:rPr>
          <w:rFonts w:hint="eastAsia" w:ascii="宋体" w:hAnsi="宋体" w:cs="宋体"/>
          <w:bCs/>
          <w:color w:val="auto"/>
          <w:szCs w:val="21"/>
          <w:highlight w:val="none"/>
        </w:rPr>
        <w:t>5.乙方有下列情况之一的，甲方向乙方出具书面通知，乙方未能及时解决的，甲方可没收其全部履约保证金，并视具体情况按合同第十一条和第十四条处理：</w:t>
      </w:r>
    </w:p>
    <w:p>
      <w:pPr>
        <w:numPr>
          <w:ilvl w:val="0"/>
          <w:numId w:val="5"/>
        </w:numPr>
        <w:spacing w:line="440" w:lineRule="exact"/>
        <w:ind w:left="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乙方提供的货物规格、技术标准、材料未达到其响应文件所承诺的，导致无法通过验收交付使用的；</w:t>
      </w:r>
    </w:p>
    <w:p>
      <w:pPr>
        <w:numPr>
          <w:ilvl w:val="0"/>
          <w:numId w:val="5"/>
        </w:numPr>
        <w:spacing w:line="440" w:lineRule="exact"/>
        <w:ind w:left="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乙方提供的货物经查证无法得到生产厂家正规售后服务的；</w:t>
      </w:r>
    </w:p>
    <w:p>
      <w:pPr>
        <w:numPr>
          <w:ilvl w:val="0"/>
          <w:numId w:val="5"/>
        </w:numPr>
        <w:spacing w:line="440" w:lineRule="exact"/>
        <w:ind w:left="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乙方提供的货物未经正规合法经销渠道的；</w:t>
      </w:r>
    </w:p>
    <w:p>
      <w:pPr>
        <w:numPr>
          <w:ilvl w:val="0"/>
          <w:numId w:val="5"/>
        </w:numPr>
        <w:spacing w:line="440" w:lineRule="exact"/>
        <w:ind w:left="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乙方提供的货物侵犯了第三方合法权益而引发了纠纷或诉讼，导致无法按期交付使用的；</w:t>
      </w:r>
    </w:p>
    <w:p>
      <w:pPr>
        <w:numPr>
          <w:ilvl w:val="0"/>
          <w:numId w:val="5"/>
        </w:numPr>
        <w:spacing w:line="440" w:lineRule="exact"/>
        <w:ind w:left="0"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在货物试运行期间，故障率在10%及以上的。</w:t>
      </w:r>
    </w:p>
    <w:p>
      <w:pPr>
        <w:pStyle w:val="16"/>
        <w:spacing w:after="0" w:line="360" w:lineRule="exact"/>
        <w:ind w:firstLine="478" w:firstLineChars="200"/>
        <w:jc w:val="both"/>
        <w:rPr>
          <w:rFonts w:hint="eastAsia" w:hAnsi="宋体" w:cs="宋体"/>
          <w:b/>
          <w:bCs/>
          <w:color w:val="auto"/>
          <w:spacing w:val="14"/>
          <w:sz w:val="21"/>
          <w:szCs w:val="21"/>
          <w:highlight w:val="none"/>
        </w:rPr>
      </w:pPr>
      <w:r>
        <w:rPr>
          <w:rFonts w:hint="eastAsia" w:hAnsi="宋体" w:cs="宋体"/>
          <w:b/>
          <w:bCs/>
          <w:color w:val="auto"/>
          <w:spacing w:val="14"/>
          <w:sz w:val="21"/>
          <w:szCs w:val="21"/>
          <w:highlight w:val="none"/>
        </w:rPr>
        <w:t>第十条 税费本合同执行中相关的一切税费均由乙方负担。</w:t>
      </w:r>
    </w:p>
    <w:p>
      <w:pPr>
        <w:pStyle w:val="16"/>
        <w:spacing w:after="0" w:line="360" w:lineRule="exact"/>
        <w:ind w:firstLine="478" w:firstLineChars="200"/>
        <w:jc w:val="both"/>
        <w:rPr>
          <w:rFonts w:hint="eastAsia" w:hAnsi="宋体" w:cs="宋体"/>
          <w:b/>
          <w:bCs/>
          <w:color w:val="auto"/>
          <w:spacing w:val="14"/>
          <w:sz w:val="21"/>
          <w:szCs w:val="21"/>
          <w:highlight w:val="none"/>
        </w:rPr>
      </w:pPr>
      <w:r>
        <w:rPr>
          <w:rFonts w:hint="eastAsia" w:hAnsi="宋体" w:cs="宋体"/>
          <w:b/>
          <w:bCs/>
          <w:color w:val="auto"/>
          <w:spacing w:val="14"/>
          <w:sz w:val="21"/>
          <w:szCs w:val="21"/>
          <w:highlight w:val="none"/>
        </w:rPr>
        <w:t>第十一条 质量保证及售后服务</w:t>
      </w:r>
    </w:p>
    <w:p>
      <w:pPr>
        <w:pStyle w:val="16"/>
        <w:spacing w:after="0" w:line="360" w:lineRule="exact"/>
        <w:ind w:firstLine="408" w:firstLineChars="200"/>
        <w:jc w:val="both"/>
        <w:rPr>
          <w:rFonts w:hint="eastAsia" w:hAnsi="宋体" w:cs="宋体"/>
          <w:color w:val="auto"/>
          <w:sz w:val="21"/>
          <w:szCs w:val="21"/>
          <w:highlight w:val="none"/>
        </w:rPr>
      </w:pPr>
      <w:r>
        <w:rPr>
          <w:rFonts w:hint="eastAsia" w:hAnsi="宋体" w:cs="宋体"/>
          <w:color w:val="auto"/>
          <w:spacing w:val="-3"/>
          <w:sz w:val="21"/>
          <w:szCs w:val="21"/>
          <w:highlight w:val="none"/>
        </w:rPr>
        <w:t>1.</w:t>
      </w:r>
      <w:r>
        <w:rPr>
          <w:rFonts w:hint="eastAsia" w:hAnsi="宋体" w:cs="宋体"/>
          <w:color w:val="auto"/>
          <w:spacing w:val="-46"/>
          <w:sz w:val="21"/>
          <w:szCs w:val="21"/>
          <w:highlight w:val="none"/>
        </w:rPr>
        <w:t xml:space="preserve"> </w:t>
      </w:r>
      <w:r>
        <w:rPr>
          <w:rFonts w:hint="eastAsia" w:hAnsi="宋体" w:cs="宋体"/>
          <w:color w:val="auto"/>
          <w:spacing w:val="-3"/>
          <w:sz w:val="21"/>
          <w:szCs w:val="21"/>
          <w:highlight w:val="none"/>
        </w:rPr>
        <w:t>乙方应按谈判文件规定及响应文件承诺的货物性能、技术要</w:t>
      </w:r>
      <w:r>
        <w:rPr>
          <w:rFonts w:hint="eastAsia" w:hAnsi="宋体" w:cs="宋体"/>
          <w:color w:val="auto"/>
          <w:spacing w:val="-5"/>
          <w:sz w:val="21"/>
          <w:szCs w:val="21"/>
          <w:highlight w:val="none"/>
        </w:rPr>
        <w:t>求、质量标准向甲方提供未经使用的全新产品。乙方提供货物的质量</w:t>
      </w:r>
      <w:r>
        <w:rPr>
          <w:rFonts w:hint="eastAsia" w:hAnsi="宋体" w:cs="宋体"/>
          <w:color w:val="auto"/>
          <w:spacing w:val="-1"/>
          <w:sz w:val="21"/>
          <w:szCs w:val="21"/>
          <w:highlight w:val="none"/>
        </w:rPr>
        <w:t>保证期按交货验收合格之日起计(期限见《采购需求》中各分标的要</w:t>
      </w:r>
      <w:r>
        <w:rPr>
          <w:rFonts w:hint="eastAsia" w:hAnsi="宋体" w:cs="宋体"/>
          <w:color w:val="auto"/>
          <w:sz w:val="21"/>
          <w:szCs w:val="21"/>
          <w:highlight w:val="none"/>
        </w:rPr>
        <w:t>求)。在保证期内因货物本身的质量问题发生故障，乙方应负责免费</w:t>
      </w:r>
      <w:r>
        <w:rPr>
          <w:rFonts w:hint="eastAsia" w:hAnsi="宋体" w:cs="宋体"/>
          <w:color w:val="auto"/>
          <w:spacing w:val="-5"/>
          <w:sz w:val="21"/>
          <w:szCs w:val="21"/>
          <w:highlight w:val="none"/>
        </w:rPr>
        <w:t>修理和更换零部件。对达不到技术要求者，根据实际情况，经双方协</w:t>
      </w:r>
      <w:r>
        <w:rPr>
          <w:rFonts w:hint="eastAsia" w:hAnsi="宋体" w:cs="宋体"/>
          <w:color w:val="auto"/>
          <w:spacing w:val="-11"/>
          <w:sz w:val="21"/>
          <w:szCs w:val="21"/>
          <w:highlight w:val="none"/>
        </w:rPr>
        <w:t>商，可按以下办法处理：</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(1)更换：由乙方承担所发生的全部费用。</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(2)贬值处理：由甲乙双方合议定价。</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(3)退货处理：乙方应退还甲方支付的合同款，同时应承担该货物的直接费用(运输、保险、检验、货款利息及银行手续费等)。</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olor w:val="auto"/>
          <w:kern w:val="2"/>
          <w:sz w:val="21"/>
          <w:szCs w:val="21"/>
          <w:highlight w:val="none"/>
        </w:rPr>
        <w:t>2</w:t>
      </w:r>
      <w:r>
        <w:rPr>
          <w:rFonts w:hint="eastAsia" w:hAnsi="宋体" w:cs="宋体"/>
          <w:color w:val="auto"/>
          <w:spacing w:val="-3"/>
          <w:sz w:val="21"/>
          <w:szCs w:val="21"/>
          <w:highlight w:val="none"/>
        </w:rPr>
        <w:t>.如在</w:t>
      </w:r>
      <w:r>
        <w:rPr>
          <w:rFonts w:hint="eastAsia" w:hAnsi="宋体" w:cs="宋体"/>
          <w:color w:val="auto"/>
          <w:spacing w:val="13"/>
          <w:sz w:val="21"/>
          <w:szCs w:val="21"/>
          <w:highlight w:val="none"/>
        </w:rPr>
        <w:t>使用过程中发生质量问题，乙方在接到甲方通知</w:t>
      </w:r>
      <w:r>
        <w:rPr>
          <w:rFonts w:hint="eastAsia" w:hAnsi="宋体" w:cs="宋体"/>
          <w:color w:val="auto"/>
          <w:spacing w:val="12"/>
          <w:sz w:val="21"/>
          <w:szCs w:val="21"/>
          <w:highlight w:val="none"/>
        </w:rPr>
        <w:t>后在</w:t>
      </w:r>
      <w:r>
        <w:rPr>
          <w:rFonts w:hint="eastAsia" w:hAnsi="宋体" w:cs="宋体"/>
          <w:color w:val="auto"/>
          <w:spacing w:val="12"/>
          <w:sz w:val="21"/>
          <w:szCs w:val="21"/>
          <w:highlight w:val="none"/>
          <w:u w:val="single"/>
        </w:rPr>
        <w:t xml:space="preserve">    </w:t>
      </w:r>
      <w:r>
        <w:rPr>
          <w:rFonts w:hint="eastAsia" w:hAnsi="宋体" w:cs="宋体"/>
          <w:color w:val="auto"/>
          <w:spacing w:val="-13"/>
          <w:sz w:val="21"/>
          <w:szCs w:val="21"/>
          <w:highlight w:val="none"/>
        </w:rPr>
        <w:t>到达甲方现场。</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3.在质保期内，乙方应对货物出现的质量及安全问题负责处理解决并承担一切费用。</w:t>
      </w:r>
    </w:p>
    <w:p>
      <w:pPr>
        <w:pStyle w:val="16"/>
        <w:spacing w:after="0" w:line="360" w:lineRule="exact"/>
        <w:ind w:firstLine="384" w:firstLineChars="200"/>
        <w:jc w:val="both"/>
        <w:rPr>
          <w:rFonts w:hint="eastAsia" w:hAnsi="宋体" w:cs="宋体"/>
          <w:color w:val="auto"/>
          <w:sz w:val="21"/>
          <w:szCs w:val="21"/>
          <w:highlight w:val="none"/>
        </w:rPr>
      </w:pPr>
      <w:r>
        <w:rPr>
          <w:rFonts w:hint="eastAsia" w:hAnsi="宋体" w:cs="宋体"/>
          <w:color w:val="auto"/>
          <w:spacing w:val="-9"/>
          <w:sz w:val="21"/>
          <w:szCs w:val="21"/>
          <w:highlight w:val="none"/>
        </w:rPr>
        <w:t>4.上述的货物免费保修期为</w:t>
      </w:r>
      <w:r>
        <w:rPr>
          <w:rFonts w:hint="eastAsia" w:hAnsi="宋体" w:cs="宋体"/>
          <w:color w:val="auto"/>
          <w:spacing w:val="-89"/>
          <w:sz w:val="21"/>
          <w:szCs w:val="21"/>
          <w:highlight w:val="none"/>
        </w:rPr>
        <w:t xml:space="preserve"> </w:t>
      </w:r>
      <w:r>
        <w:rPr>
          <w:rFonts w:hint="eastAsia" w:hAnsi="宋体" w:cs="宋体"/>
          <w:color w:val="auto"/>
          <w:spacing w:val="-9"/>
          <w:sz w:val="21"/>
          <w:szCs w:val="21"/>
          <w:highlight w:val="none"/>
          <w:u w:val="single"/>
        </w:rPr>
        <w:t xml:space="preserve">       </w:t>
      </w:r>
      <w:r>
        <w:rPr>
          <w:rFonts w:hint="eastAsia" w:hAnsi="宋体" w:cs="宋体"/>
          <w:color w:val="auto"/>
          <w:spacing w:val="-9"/>
          <w:sz w:val="21"/>
          <w:szCs w:val="21"/>
          <w:highlight w:val="none"/>
        </w:rPr>
        <w:t>年，因人为因素出现的故障不在免费保修范围内。超过保修期的机器设备，终生维修，维修时只收部件成本费。</w:t>
      </w:r>
    </w:p>
    <w:p>
      <w:pPr>
        <w:pStyle w:val="16"/>
        <w:spacing w:after="0" w:line="360" w:lineRule="exact"/>
        <w:ind w:firstLine="402" w:firstLineChars="200"/>
        <w:jc w:val="both"/>
        <w:rPr>
          <w:rFonts w:hint="eastAsia" w:hAnsi="宋体" w:cs="宋体"/>
          <w:color w:val="auto"/>
          <w:sz w:val="21"/>
          <w:szCs w:val="21"/>
          <w:highlight w:val="none"/>
        </w:rPr>
      </w:pPr>
      <w:r>
        <w:rPr>
          <w:rFonts w:hint="eastAsia" w:hAnsi="宋体" w:cs="宋体"/>
          <w:b/>
          <w:bCs/>
          <w:color w:val="auto"/>
          <w:spacing w:val="-5"/>
          <w:sz w:val="21"/>
          <w:szCs w:val="21"/>
          <w:highlight w:val="none"/>
        </w:rPr>
        <w:t>第十二条</w:t>
      </w:r>
      <w:r>
        <w:rPr>
          <w:rFonts w:hint="eastAsia" w:hAnsi="宋体" w:cs="宋体"/>
          <w:color w:val="auto"/>
          <w:spacing w:val="-5"/>
          <w:sz w:val="21"/>
          <w:szCs w:val="21"/>
          <w:highlight w:val="none"/>
        </w:rPr>
        <w:t xml:space="preserve">  </w:t>
      </w:r>
      <w:r>
        <w:rPr>
          <w:rFonts w:hint="eastAsia" w:hAnsi="宋体" w:cs="宋体"/>
          <w:b/>
          <w:bCs/>
          <w:color w:val="auto"/>
          <w:spacing w:val="-5"/>
          <w:sz w:val="21"/>
          <w:szCs w:val="21"/>
          <w:highlight w:val="none"/>
        </w:rPr>
        <w:t>调试和验收</w:t>
      </w:r>
    </w:p>
    <w:p>
      <w:pPr>
        <w:pStyle w:val="16"/>
        <w:numPr>
          <w:ilvl w:val="0"/>
          <w:numId w:val="6"/>
        </w:numPr>
        <w:autoSpaceDE/>
        <w:autoSpaceDN/>
        <w:adjustRightInd/>
        <w:spacing w:after="0" w:line="440" w:lineRule="exact"/>
        <w:jc w:val="both"/>
        <w:rPr>
          <w:rFonts w:hint="eastAsia" w:hAnsi="宋体"/>
          <w:color w:val="auto"/>
          <w:kern w:val="2"/>
          <w:sz w:val="21"/>
          <w:szCs w:val="21"/>
          <w:highlight w:val="none"/>
        </w:rPr>
      </w:pPr>
      <w:r>
        <w:rPr>
          <w:rFonts w:hint="eastAsia" w:hAnsi="宋体"/>
          <w:color w:val="auto"/>
          <w:kern w:val="2"/>
          <w:sz w:val="21"/>
          <w:szCs w:val="21"/>
          <w:highlight w:val="none"/>
        </w:rPr>
        <w:t>交付验收标准依次序对照适用标准为：①符合中华人民共和国国家安全质量标准、环保标准或行业标准；②符合采购文件和响应文件承诺中采购人认可的合理最佳配置、参数及各项要求；③货物符合国家官方合格标准。</w:t>
      </w:r>
    </w:p>
    <w:p>
      <w:pPr>
        <w:pStyle w:val="16"/>
        <w:numPr>
          <w:ilvl w:val="0"/>
          <w:numId w:val="6"/>
        </w:numPr>
        <w:autoSpaceDE/>
        <w:autoSpaceDN/>
        <w:adjustRightInd/>
        <w:spacing w:after="0" w:line="440" w:lineRule="exact"/>
        <w:jc w:val="both"/>
        <w:rPr>
          <w:rFonts w:hint="eastAsia" w:hAnsi="宋体"/>
          <w:color w:val="auto"/>
          <w:kern w:val="2"/>
          <w:sz w:val="21"/>
          <w:szCs w:val="21"/>
          <w:highlight w:val="none"/>
        </w:rPr>
      </w:pPr>
      <w:r>
        <w:rPr>
          <w:rFonts w:hint="eastAsia" w:hAnsi="宋体"/>
          <w:color w:val="auto"/>
          <w:kern w:val="2"/>
          <w:sz w:val="21"/>
          <w:szCs w:val="21"/>
          <w:highlight w:val="none"/>
        </w:rPr>
        <w:t>乙方须确保货物为原制造商制造（或原厂组装）的全新产品，无侵权行为、表面无划损、无任何缺陷隐患，在中国境内可依常规安全合法使用。</w:t>
      </w:r>
    </w:p>
    <w:p>
      <w:pPr>
        <w:pStyle w:val="16"/>
        <w:numPr>
          <w:ilvl w:val="0"/>
          <w:numId w:val="6"/>
        </w:numPr>
        <w:autoSpaceDE/>
        <w:autoSpaceDN/>
        <w:adjustRightInd/>
        <w:spacing w:after="0" w:line="440" w:lineRule="exact"/>
        <w:jc w:val="both"/>
        <w:rPr>
          <w:rFonts w:hint="eastAsia" w:hAnsi="宋体"/>
          <w:color w:val="auto"/>
          <w:kern w:val="2"/>
          <w:sz w:val="21"/>
          <w:szCs w:val="21"/>
          <w:highlight w:val="none"/>
        </w:rPr>
      </w:pPr>
      <w:r>
        <w:rPr>
          <w:rFonts w:hint="eastAsia" w:hAnsi="宋体"/>
          <w:color w:val="auto"/>
          <w:kern w:val="2"/>
          <w:sz w:val="21"/>
          <w:szCs w:val="21"/>
          <w:highlight w:val="none"/>
        </w:rPr>
        <w:t>在产品到货后，乙方现场根据竞谈文件要求及响应文件承诺逐条对应进行核验，核验不合格的，甲方有权终止合同执行并全部退货，同时报相关监督管理部门处理，由此造成甲方经济损失的由乙方负责承担全部赔偿责任。</w:t>
      </w:r>
    </w:p>
    <w:p>
      <w:pPr>
        <w:pStyle w:val="16"/>
        <w:numPr>
          <w:ilvl w:val="0"/>
          <w:numId w:val="6"/>
        </w:numPr>
        <w:autoSpaceDE/>
        <w:autoSpaceDN/>
        <w:adjustRightInd/>
        <w:spacing w:after="0" w:line="440" w:lineRule="exact"/>
        <w:jc w:val="both"/>
        <w:rPr>
          <w:rFonts w:hint="eastAsia" w:hAnsi="宋体"/>
          <w:color w:val="auto"/>
          <w:kern w:val="2"/>
          <w:sz w:val="21"/>
          <w:szCs w:val="21"/>
          <w:highlight w:val="none"/>
        </w:rPr>
      </w:pPr>
      <w:r>
        <w:rPr>
          <w:rFonts w:hint="eastAsia" w:hAnsi="宋体"/>
          <w:color w:val="auto"/>
          <w:kern w:val="2"/>
          <w:sz w:val="21"/>
          <w:szCs w:val="21"/>
          <w:highlight w:val="none"/>
        </w:rPr>
        <w:t>供货时乙方应将关键货物的用户手册、保修手册、有关单证资料及配备件等交付给甲方，使用操作及安全须知等重要资料应附有中文说明。</w:t>
      </w:r>
    </w:p>
    <w:p>
      <w:pPr>
        <w:pStyle w:val="16"/>
        <w:numPr>
          <w:ilvl w:val="0"/>
          <w:numId w:val="6"/>
        </w:numPr>
        <w:autoSpaceDE/>
        <w:autoSpaceDN/>
        <w:adjustRightInd/>
        <w:spacing w:after="0" w:line="440" w:lineRule="exact"/>
        <w:jc w:val="both"/>
        <w:rPr>
          <w:rFonts w:hint="eastAsia" w:hAnsi="宋体"/>
          <w:color w:val="auto"/>
          <w:kern w:val="2"/>
          <w:sz w:val="21"/>
          <w:szCs w:val="21"/>
          <w:highlight w:val="none"/>
        </w:rPr>
      </w:pPr>
      <w:r>
        <w:rPr>
          <w:rFonts w:hint="eastAsia" w:hAnsi="宋体"/>
          <w:color w:val="auto"/>
          <w:kern w:val="2"/>
          <w:sz w:val="21"/>
          <w:szCs w:val="21"/>
          <w:highlight w:val="none"/>
        </w:rPr>
        <w:t>甲方对乙方提供的货物在使用前进行调试时，乙方需负责安装并培训甲方的使用操作人员，并协助甲方一起调试，直到符合技术要求，甲方才做最终验收。</w:t>
      </w:r>
    </w:p>
    <w:p>
      <w:pPr>
        <w:pStyle w:val="16"/>
        <w:numPr>
          <w:ilvl w:val="0"/>
          <w:numId w:val="6"/>
        </w:numPr>
        <w:autoSpaceDE/>
        <w:autoSpaceDN/>
        <w:adjustRightInd/>
        <w:spacing w:after="0" w:line="440" w:lineRule="exact"/>
        <w:jc w:val="both"/>
        <w:rPr>
          <w:rFonts w:hint="eastAsia" w:hAnsi="宋体"/>
          <w:color w:val="auto"/>
          <w:kern w:val="2"/>
          <w:sz w:val="21"/>
          <w:szCs w:val="21"/>
          <w:highlight w:val="none"/>
        </w:rPr>
      </w:pPr>
      <w:r>
        <w:rPr>
          <w:rFonts w:hint="eastAsia" w:hAnsi="宋体"/>
          <w:color w:val="auto"/>
          <w:kern w:val="2"/>
          <w:sz w:val="21"/>
          <w:szCs w:val="21"/>
          <w:highlight w:val="none"/>
        </w:rPr>
        <w:t>对技术复杂的货物，甲方应请国家认可的专业检测机构参与初步验收及最终验收，并由其出具质量检测报告。</w:t>
      </w:r>
    </w:p>
    <w:p>
      <w:pPr>
        <w:pStyle w:val="16"/>
        <w:numPr>
          <w:ilvl w:val="0"/>
          <w:numId w:val="6"/>
        </w:numPr>
        <w:autoSpaceDE/>
        <w:autoSpaceDN/>
        <w:adjustRightInd/>
        <w:spacing w:after="0" w:line="440" w:lineRule="exact"/>
        <w:jc w:val="both"/>
        <w:rPr>
          <w:rFonts w:hint="eastAsia" w:hAnsi="宋体" w:cs="宋体"/>
          <w:color w:val="auto"/>
          <w:sz w:val="21"/>
          <w:szCs w:val="21"/>
          <w:highlight w:val="none"/>
        </w:rPr>
      </w:pPr>
      <w:r>
        <w:rPr>
          <w:rFonts w:hint="eastAsia" w:hAnsi="宋体" w:cs="宋体"/>
          <w:color w:val="auto"/>
          <w:spacing w:val="-7"/>
          <w:sz w:val="21"/>
          <w:szCs w:val="21"/>
          <w:highlight w:val="none"/>
        </w:rPr>
        <w:t>验收时乙方必须在现场，验收完毕后作出验收结果报告；验收</w:t>
      </w:r>
      <w:r>
        <w:rPr>
          <w:rFonts w:hint="eastAsia" w:hAnsi="宋体" w:cs="宋体"/>
          <w:color w:val="auto"/>
          <w:spacing w:val="-8"/>
          <w:sz w:val="21"/>
          <w:szCs w:val="21"/>
          <w:highlight w:val="none"/>
        </w:rPr>
        <w:t>费用由乙方负责。</w:t>
      </w:r>
    </w:p>
    <w:p>
      <w:pPr>
        <w:numPr>
          <w:ilvl w:val="0"/>
          <w:numId w:val="6"/>
        </w:numPr>
        <w:spacing w:line="440" w:lineRule="exact"/>
        <w:rPr>
          <w:rFonts w:hint="eastAsia" w:hAnsi="宋体" w:cs="宋体"/>
          <w:color w:val="auto"/>
          <w:szCs w:val="21"/>
          <w:highlight w:val="none"/>
        </w:rPr>
      </w:pPr>
      <w:r>
        <w:rPr>
          <w:rFonts w:hint="eastAsia" w:ascii="宋体" w:hAnsi="宋体" w:cs="宋体"/>
          <w:color w:val="auto"/>
          <w:spacing w:val="-7"/>
          <w:szCs w:val="21"/>
          <w:highlight w:val="none"/>
        </w:rPr>
        <w:t>如果验收时所提供货物达不到采购项目的技术需求，在整改期限</w:t>
      </w:r>
      <w:r>
        <w:rPr>
          <w:rFonts w:hint="eastAsia" w:ascii="宋体" w:hAnsi="宋体" w:cs="宋体"/>
          <w:color w:val="auto"/>
          <w:spacing w:val="-7"/>
          <w:szCs w:val="21"/>
          <w:highlight w:val="none"/>
          <w:u w:val="single"/>
        </w:rPr>
        <w:t xml:space="preserve"> 20 </w:t>
      </w:r>
      <w:r>
        <w:rPr>
          <w:rFonts w:hint="eastAsia" w:ascii="宋体" w:hAnsi="宋体" w:cs="宋体"/>
          <w:color w:val="auto"/>
          <w:spacing w:val="-7"/>
          <w:szCs w:val="21"/>
          <w:highlight w:val="none"/>
        </w:rPr>
        <w:t>日内乙方仍无法提供满足项目技术要求的货物，甲方可以终止合同，乙方承担相应违约责任。</w:t>
      </w:r>
    </w:p>
    <w:p>
      <w:pPr>
        <w:pStyle w:val="16"/>
        <w:spacing w:after="0" w:line="360" w:lineRule="exact"/>
        <w:ind w:firstLine="406" w:firstLineChars="200"/>
        <w:jc w:val="both"/>
        <w:rPr>
          <w:rFonts w:hint="eastAsia" w:hAnsi="宋体" w:cs="宋体"/>
          <w:color w:val="auto"/>
          <w:sz w:val="21"/>
          <w:szCs w:val="21"/>
          <w:highlight w:val="none"/>
        </w:rPr>
      </w:pPr>
      <w:r>
        <w:rPr>
          <w:rFonts w:hint="eastAsia" w:hAnsi="宋体" w:cs="宋体"/>
          <w:b/>
          <w:bCs/>
          <w:color w:val="auto"/>
          <w:spacing w:val="-4"/>
          <w:sz w:val="21"/>
          <w:szCs w:val="21"/>
          <w:highlight w:val="none"/>
        </w:rPr>
        <w:t>第十三条</w:t>
      </w:r>
      <w:r>
        <w:rPr>
          <w:rFonts w:hint="eastAsia" w:hAnsi="宋体" w:cs="宋体"/>
          <w:color w:val="auto"/>
          <w:spacing w:val="-4"/>
          <w:sz w:val="21"/>
          <w:szCs w:val="21"/>
          <w:highlight w:val="none"/>
        </w:rPr>
        <w:t xml:space="preserve">  </w:t>
      </w:r>
      <w:r>
        <w:rPr>
          <w:rFonts w:hint="eastAsia" w:hAnsi="宋体" w:cs="宋体"/>
          <w:b/>
          <w:bCs/>
          <w:color w:val="auto"/>
          <w:spacing w:val="-4"/>
          <w:sz w:val="21"/>
          <w:szCs w:val="21"/>
          <w:highlight w:val="none"/>
        </w:rPr>
        <w:t>货物包装、发运及运输</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1. 乙方应在货物发运前对其进行满足运输距离、防潮、防震、防锈和防破损装卸等要求包装，以保证货物安全运达甲方指定地点。</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2. 使用说明书、质量检验证明书、随配附件和工具以及清单一并附于货物内。</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3. 乙方在货物发运手续办理完毕后二十四小时内或货到甲方四十八小时前通知甲方，以准备接货。</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4. 货物在交付甲方前发生的风险均由乙方负责。</w:t>
      </w:r>
    </w:p>
    <w:p>
      <w:pPr>
        <w:pStyle w:val="16"/>
        <w:spacing w:after="0" w:line="360" w:lineRule="exact"/>
        <w:ind w:firstLine="432" w:firstLineChars="200"/>
        <w:jc w:val="both"/>
        <w:rPr>
          <w:rFonts w:hint="eastAsia" w:hAnsi="宋体" w:cs="宋体"/>
          <w:color w:val="auto"/>
          <w:sz w:val="21"/>
          <w:szCs w:val="21"/>
          <w:highlight w:val="none"/>
        </w:rPr>
      </w:pPr>
      <w:r>
        <w:rPr>
          <w:rFonts w:hint="eastAsia" w:hAnsi="宋体" w:cs="宋体"/>
          <w:color w:val="auto"/>
          <w:spacing w:val="3"/>
          <w:sz w:val="21"/>
          <w:szCs w:val="21"/>
          <w:highlight w:val="none"/>
        </w:rPr>
        <w:t>5.</w:t>
      </w:r>
      <w:r>
        <w:rPr>
          <w:rFonts w:hint="eastAsia" w:hAnsi="宋体" w:cs="宋体"/>
          <w:color w:val="auto"/>
          <w:spacing w:val="-63"/>
          <w:sz w:val="21"/>
          <w:szCs w:val="21"/>
          <w:highlight w:val="none"/>
        </w:rPr>
        <w:t xml:space="preserve"> </w:t>
      </w:r>
      <w:r>
        <w:rPr>
          <w:rFonts w:hint="eastAsia" w:hAnsi="宋体" w:cs="宋体"/>
          <w:color w:val="auto"/>
          <w:spacing w:val="3"/>
          <w:sz w:val="21"/>
          <w:szCs w:val="21"/>
          <w:highlight w:val="none"/>
        </w:rPr>
        <w:t>货物在规定的交付期限内由乙方送达甲方指定的地点视为交</w:t>
      </w:r>
      <w:r>
        <w:rPr>
          <w:rFonts w:hint="eastAsia" w:hAnsi="宋体" w:cs="宋体"/>
          <w:color w:val="auto"/>
          <w:spacing w:val="-3"/>
          <w:sz w:val="21"/>
          <w:szCs w:val="21"/>
          <w:highlight w:val="none"/>
        </w:rPr>
        <w:t>付，乙方同时需通知甲方货物已送达。</w:t>
      </w:r>
    </w:p>
    <w:p>
      <w:pPr>
        <w:pStyle w:val="16"/>
        <w:spacing w:after="0" w:line="360" w:lineRule="exact"/>
        <w:ind w:firstLine="398" w:firstLineChars="200"/>
        <w:jc w:val="both"/>
        <w:rPr>
          <w:rFonts w:hint="eastAsia" w:hAnsi="宋体" w:cs="宋体"/>
          <w:color w:val="auto"/>
          <w:sz w:val="21"/>
          <w:szCs w:val="21"/>
          <w:highlight w:val="none"/>
        </w:rPr>
      </w:pPr>
      <w:r>
        <w:rPr>
          <w:rFonts w:hint="eastAsia" w:hAnsi="宋体" w:cs="宋体"/>
          <w:b/>
          <w:bCs/>
          <w:color w:val="auto"/>
          <w:spacing w:val="-6"/>
          <w:sz w:val="21"/>
          <w:szCs w:val="21"/>
          <w:highlight w:val="none"/>
        </w:rPr>
        <w:t>第十四条</w:t>
      </w:r>
      <w:r>
        <w:rPr>
          <w:rFonts w:hint="eastAsia" w:hAnsi="宋体" w:cs="宋体"/>
          <w:color w:val="auto"/>
          <w:spacing w:val="135"/>
          <w:sz w:val="21"/>
          <w:szCs w:val="21"/>
          <w:highlight w:val="none"/>
        </w:rPr>
        <w:t xml:space="preserve"> </w:t>
      </w:r>
      <w:r>
        <w:rPr>
          <w:rFonts w:hint="eastAsia" w:hAnsi="宋体" w:cs="宋体"/>
          <w:b/>
          <w:bCs/>
          <w:color w:val="auto"/>
          <w:spacing w:val="-6"/>
          <w:sz w:val="21"/>
          <w:szCs w:val="21"/>
          <w:highlight w:val="none"/>
        </w:rPr>
        <w:t>违约责任</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2.乙方提供的货物如侵犯了第三方合法权益而引发的任何纠纷或诉讼，均由乙方负责交涉并承担全部责任。</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3.因包装、运输引起的货物损坏，按质量不合格处罚。</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olor w:val="auto"/>
          <w:kern w:val="2"/>
          <w:sz w:val="21"/>
          <w:szCs w:val="21"/>
          <w:highlight w:val="none"/>
        </w:rPr>
        <w:t>4.甲方无故延期接收货物、乙方逾期交货的，每天向对方偿付违约货款额</w:t>
      </w:r>
      <w:r>
        <w:rPr>
          <w:rFonts w:hint="eastAsia" w:hAnsi="宋体" w:cs="宋体"/>
          <w:color w:val="auto"/>
          <w:spacing w:val="-9"/>
          <w:sz w:val="21"/>
          <w:szCs w:val="21"/>
          <w:highlight w:val="none"/>
          <w:u w:val="single"/>
        </w:rPr>
        <w:t>3</w:t>
      </w:r>
      <w:r>
        <w:rPr>
          <w:rFonts w:ascii="Arial" w:hAnsi="Arial" w:cs="Arial"/>
          <w:color w:val="auto"/>
          <w:spacing w:val="-9"/>
          <w:sz w:val="21"/>
          <w:szCs w:val="21"/>
          <w:highlight w:val="none"/>
          <w:u w:val="single"/>
        </w:rPr>
        <w:t>‰</w:t>
      </w:r>
      <w:r>
        <w:rPr>
          <w:rFonts w:hint="eastAsia" w:hAnsi="宋体" w:cs="宋体"/>
          <w:color w:val="auto"/>
          <w:spacing w:val="-9"/>
          <w:sz w:val="21"/>
          <w:szCs w:val="21"/>
          <w:highlight w:val="none"/>
          <w:u w:val="single"/>
        </w:rPr>
        <w:t xml:space="preserve"> </w:t>
      </w:r>
      <w:r>
        <w:rPr>
          <w:rFonts w:hint="eastAsia" w:hAnsi="宋体"/>
          <w:color w:val="auto"/>
          <w:kern w:val="2"/>
          <w:sz w:val="21"/>
          <w:szCs w:val="21"/>
          <w:highlight w:val="none"/>
        </w:rPr>
        <w:t>违约金，但违约金累计不</w:t>
      </w:r>
      <w:r>
        <w:rPr>
          <w:rFonts w:hint="eastAsia" w:hAnsi="宋体" w:cs="宋体"/>
          <w:color w:val="auto"/>
          <w:spacing w:val="19"/>
          <w:sz w:val="21"/>
          <w:szCs w:val="21"/>
          <w:highlight w:val="none"/>
        </w:rPr>
        <w:t>得超过</w:t>
      </w:r>
      <w:r>
        <w:rPr>
          <w:rFonts w:hint="eastAsia" w:hAnsi="宋体" w:cs="宋体"/>
          <w:color w:val="auto"/>
          <w:spacing w:val="18"/>
          <w:sz w:val="21"/>
          <w:szCs w:val="21"/>
          <w:highlight w:val="none"/>
        </w:rPr>
        <w:t>违约货款额</w:t>
      </w:r>
      <w:r>
        <w:rPr>
          <w:rFonts w:hint="eastAsia" w:hAnsi="宋体" w:cs="宋体"/>
          <w:color w:val="auto"/>
          <w:spacing w:val="18"/>
          <w:sz w:val="21"/>
          <w:szCs w:val="21"/>
          <w:highlight w:val="none"/>
          <w:u w:val="single"/>
        </w:rPr>
        <w:t>5%</w:t>
      </w:r>
      <w:r>
        <w:rPr>
          <w:rFonts w:hint="eastAsia" w:hAnsi="宋体" w:cs="宋体"/>
          <w:color w:val="auto"/>
          <w:spacing w:val="18"/>
          <w:sz w:val="21"/>
          <w:szCs w:val="21"/>
          <w:highlight w:val="none"/>
        </w:rPr>
        <w:t>，超</w:t>
      </w:r>
      <w:r>
        <w:rPr>
          <w:rFonts w:hint="eastAsia" w:hAnsi="宋体" w:cs="宋体"/>
          <w:color w:val="auto"/>
          <w:spacing w:val="2"/>
          <w:sz w:val="21"/>
          <w:szCs w:val="21"/>
          <w:highlight w:val="none"/>
        </w:rPr>
        <w:t>过</w:t>
      </w:r>
      <w:r>
        <w:rPr>
          <w:rFonts w:hint="eastAsia" w:hAnsi="宋体" w:cs="宋体"/>
          <w:color w:val="auto"/>
          <w:spacing w:val="2"/>
          <w:sz w:val="21"/>
          <w:szCs w:val="21"/>
          <w:highlight w:val="none"/>
          <w:u w:val="single"/>
        </w:rPr>
        <w:t>120</w:t>
      </w:r>
      <w:r>
        <w:rPr>
          <w:rFonts w:hint="eastAsia" w:hAnsi="宋体" w:cs="宋体"/>
          <w:color w:val="auto"/>
          <w:spacing w:val="2"/>
          <w:sz w:val="21"/>
          <w:szCs w:val="21"/>
          <w:highlight w:val="none"/>
        </w:rPr>
        <w:t>天对方有权解除合同，违约方承担因此给对方造成经济损失</w:t>
      </w:r>
      <w:r>
        <w:rPr>
          <w:rFonts w:hint="eastAsia" w:hAnsi="宋体" w:cs="宋体"/>
          <w:color w:val="auto"/>
          <w:spacing w:val="-9"/>
          <w:sz w:val="21"/>
          <w:szCs w:val="21"/>
          <w:highlight w:val="none"/>
        </w:rPr>
        <w:t>甲方延期付货款的，每天向乙方偿付延期货款额</w:t>
      </w:r>
      <w:r>
        <w:rPr>
          <w:rFonts w:hint="eastAsia" w:hAnsi="宋体" w:cs="宋体"/>
          <w:color w:val="auto"/>
          <w:spacing w:val="-117"/>
          <w:sz w:val="21"/>
          <w:szCs w:val="21"/>
          <w:highlight w:val="none"/>
        </w:rPr>
        <w:t xml:space="preserve"> </w:t>
      </w:r>
      <w:r>
        <w:rPr>
          <w:rFonts w:hint="eastAsia" w:hAnsi="宋体" w:cs="宋体"/>
          <w:color w:val="auto"/>
          <w:spacing w:val="-124"/>
          <w:sz w:val="21"/>
          <w:szCs w:val="21"/>
          <w:highlight w:val="none"/>
          <w:u w:val="single"/>
        </w:rPr>
        <w:t xml:space="preserve"> </w:t>
      </w:r>
      <w:r>
        <w:rPr>
          <w:rFonts w:hint="eastAsia" w:hAnsi="宋体" w:cs="宋体"/>
          <w:color w:val="auto"/>
          <w:spacing w:val="-9"/>
          <w:sz w:val="21"/>
          <w:szCs w:val="21"/>
          <w:highlight w:val="none"/>
          <w:u w:val="single"/>
        </w:rPr>
        <w:t>3</w:t>
      </w:r>
      <w:r>
        <w:rPr>
          <w:rFonts w:ascii="Arial" w:hAnsi="Arial" w:cs="Arial"/>
          <w:color w:val="auto"/>
          <w:spacing w:val="-9"/>
          <w:sz w:val="21"/>
          <w:szCs w:val="21"/>
          <w:highlight w:val="none"/>
          <w:u w:val="single"/>
        </w:rPr>
        <w:t>‰</w:t>
      </w:r>
      <w:r>
        <w:rPr>
          <w:rFonts w:hint="eastAsia" w:hAnsi="宋体" w:cs="宋体"/>
          <w:color w:val="auto"/>
          <w:spacing w:val="-9"/>
          <w:sz w:val="21"/>
          <w:szCs w:val="21"/>
          <w:highlight w:val="none"/>
          <w:u w:val="single"/>
        </w:rPr>
        <w:t xml:space="preserve"> </w:t>
      </w:r>
      <w:r>
        <w:rPr>
          <w:rFonts w:hint="eastAsia" w:hAnsi="宋体" w:cs="宋体"/>
          <w:color w:val="auto"/>
          <w:spacing w:val="-9"/>
          <w:sz w:val="21"/>
          <w:szCs w:val="21"/>
          <w:highlight w:val="none"/>
        </w:rPr>
        <w:t>滞纳金，但滞纳</w:t>
      </w:r>
      <w:r>
        <w:rPr>
          <w:rFonts w:hint="eastAsia" w:hAnsi="宋体" w:cs="宋体"/>
          <w:color w:val="auto"/>
          <w:spacing w:val="1"/>
          <w:sz w:val="21"/>
          <w:szCs w:val="21"/>
          <w:highlight w:val="none"/>
        </w:rPr>
        <w:t xml:space="preserve"> </w:t>
      </w:r>
      <w:r>
        <w:rPr>
          <w:rFonts w:hint="eastAsia" w:hAnsi="宋体" w:cs="宋体"/>
          <w:color w:val="auto"/>
          <w:spacing w:val="-4"/>
          <w:sz w:val="21"/>
          <w:szCs w:val="21"/>
          <w:highlight w:val="none"/>
        </w:rPr>
        <w:t>金累计不得超过延期货款额</w:t>
      </w:r>
      <w:r>
        <w:rPr>
          <w:rFonts w:hint="eastAsia" w:hAnsi="宋体" w:cs="宋体"/>
          <w:color w:val="auto"/>
          <w:spacing w:val="-104"/>
          <w:sz w:val="21"/>
          <w:szCs w:val="21"/>
          <w:highlight w:val="none"/>
        </w:rPr>
        <w:t xml:space="preserve"> </w:t>
      </w:r>
      <w:r>
        <w:rPr>
          <w:rFonts w:hint="eastAsia" w:hAnsi="宋体" w:cs="宋体"/>
          <w:color w:val="auto"/>
          <w:spacing w:val="-124"/>
          <w:sz w:val="21"/>
          <w:szCs w:val="21"/>
          <w:highlight w:val="none"/>
          <w:u w:val="single"/>
        </w:rPr>
        <w:t xml:space="preserve"> </w:t>
      </w:r>
      <w:r>
        <w:rPr>
          <w:rFonts w:hint="eastAsia" w:hAnsi="宋体" w:cs="宋体"/>
          <w:color w:val="auto"/>
          <w:spacing w:val="-4"/>
          <w:sz w:val="21"/>
          <w:szCs w:val="21"/>
          <w:highlight w:val="none"/>
          <w:u w:val="single"/>
        </w:rPr>
        <w:t>5%</w:t>
      </w:r>
      <w:r>
        <w:rPr>
          <w:rFonts w:hint="eastAsia" w:hAnsi="宋体" w:cs="宋体"/>
          <w:color w:val="auto"/>
          <w:spacing w:val="-4"/>
          <w:sz w:val="21"/>
          <w:szCs w:val="21"/>
          <w:highlight w:val="none"/>
        </w:rPr>
        <w:t>。</w:t>
      </w:r>
    </w:p>
    <w:p>
      <w:pPr>
        <w:pStyle w:val="16"/>
        <w:spacing w:after="0" w:line="360" w:lineRule="exact"/>
        <w:ind w:firstLine="416" w:firstLineChars="200"/>
        <w:jc w:val="both"/>
        <w:rPr>
          <w:rFonts w:hint="eastAsia" w:hAnsi="宋体" w:cs="宋体"/>
          <w:color w:val="auto"/>
          <w:sz w:val="21"/>
          <w:szCs w:val="21"/>
          <w:highlight w:val="none"/>
        </w:rPr>
      </w:pPr>
      <w:r>
        <w:rPr>
          <w:rFonts w:hint="eastAsia" w:hAnsi="宋体" w:cs="宋体"/>
          <w:color w:val="auto"/>
          <w:spacing w:val="-1"/>
          <w:sz w:val="21"/>
          <w:szCs w:val="21"/>
          <w:highlight w:val="none"/>
        </w:rPr>
        <w:t>5.乙方未按本合同和响应文件中规定的服务承诺提供售后服务</w:t>
      </w:r>
      <w:r>
        <w:rPr>
          <w:rFonts w:hint="eastAsia" w:hAnsi="宋体" w:cs="宋体"/>
          <w:color w:val="auto"/>
          <w:spacing w:val="6"/>
          <w:sz w:val="21"/>
          <w:szCs w:val="21"/>
          <w:highlight w:val="none"/>
        </w:rPr>
        <w:t>的，乙方应按本合同合计金额5%向甲方支付违约金。</w:t>
      </w:r>
    </w:p>
    <w:p>
      <w:pPr>
        <w:pStyle w:val="16"/>
        <w:spacing w:after="0" w:line="360" w:lineRule="exact"/>
        <w:ind w:firstLine="424" w:firstLineChars="200"/>
        <w:jc w:val="both"/>
        <w:rPr>
          <w:rFonts w:hint="eastAsia" w:hAnsi="宋体" w:cs="宋体"/>
          <w:color w:val="auto"/>
          <w:sz w:val="21"/>
          <w:szCs w:val="21"/>
          <w:highlight w:val="none"/>
        </w:rPr>
      </w:pPr>
      <w:r>
        <w:rPr>
          <w:rFonts w:hint="eastAsia" w:hAnsi="宋体" w:cs="宋体"/>
          <w:color w:val="auto"/>
          <w:spacing w:val="1"/>
          <w:sz w:val="21"/>
          <w:szCs w:val="21"/>
          <w:highlight w:val="none"/>
        </w:rPr>
        <w:t>6.乙方提供的货物在质量保证期内，因设</w:t>
      </w:r>
      <w:r>
        <w:rPr>
          <w:rFonts w:hint="eastAsia" w:hAnsi="宋体" w:cs="宋体"/>
          <w:color w:val="auto"/>
          <w:sz w:val="21"/>
          <w:szCs w:val="21"/>
          <w:highlight w:val="none"/>
        </w:rPr>
        <w:t>计、工艺或材料的缺</w:t>
      </w:r>
      <w:r>
        <w:rPr>
          <w:rFonts w:hint="eastAsia" w:hAnsi="宋体" w:cs="宋体"/>
          <w:color w:val="auto"/>
          <w:spacing w:val="-4"/>
          <w:sz w:val="21"/>
          <w:szCs w:val="21"/>
          <w:highlight w:val="none"/>
        </w:rPr>
        <w:t>陷和其它质量原因造成的问题，由乙方负责，费用</w:t>
      </w:r>
      <w:r>
        <w:rPr>
          <w:rFonts w:hint="eastAsia" w:hAnsi="宋体" w:cs="宋体"/>
          <w:color w:val="auto"/>
          <w:spacing w:val="-5"/>
          <w:sz w:val="21"/>
          <w:szCs w:val="21"/>
          <w:highlight w:val="none"/>
        </w:rPr>
        <w:t>从履约保证金中扣</w:t>
      </w:r>
      <w:r>
        <w:rPr>
          <w:rFonts w:hint="eastAsia" w:hAnsi="宋体" w:cs="宋体"/>
          <w:color w:val="auto"/>
          <w:spacing w:val="-9"/>
          <w:sz w:val="21"/>
          <w:szCs w:val="21"/>
          <w:highlight w:val="none"/>
        </w:rPr>
        <w:t>除，不足另补。</w:t>
      </w:r>
    </w:p>
    <w:p>
      <w:pPr>
        <w:pStyle w:val="16"/>
        <w:spacing w:after="0" w:line="360" w:lineRule="exact"/>
        <w:ind w:firstLine="436" w:firstLineChars="200"/>
        <w:jc w:val="both"/>
        <w:rPr>
          <w:rFonts w:hint="eastAsia" w:hAnsi="宋体" w:cs="宋体"/>
          <w:color w:val="auto"/>
          <w:spacing w:val="9"/>
          <w:sz w:val="21"/>
          <w:szCs w:val="21"/>
          <w:highlight w:val="none"/>
        </w:rPr>
      </w:pPr>
      <w:r>
        <w:rPr>
          <w:rFonts w:hint="eastAsia" w:hAnsi="宋体" w:cs="宋体"/>
          <w:color w:val="auto"/>
          <w:spacing w:val="4"/>
          <w:sz w:val="21"/>
          <w:szCs w:val="21"/>
          <w:highlight w:val="none"/>
        </w:rPr>
        <w:t>7.其它违约行为按违约货款额5%收取违约金并赔偿经济损失。</w:t>
      </w:r>
      <w:r>
        <w:rPr>
          <w:rFonts w:hint="eastAsia" w:hAnsi="宋体" w:cs="宋体"/>
          <w:color w:val="auto"/>
          <w:spacing w:val="9"/>
          <w:sz w:val="21"/>
          <w:szCs w:val="21"/>
          <w:highlight w:val="none"/>
        </w:rPr>
        <w:t xml:space="preserve"> </w:t>
      </w:r>
    </w:p>
    <w:p>
      <w:pPr>
        <w:pStyle w:val="16"/>
        <w:spacing w:after="0" w:line="360" w:lineRule="exact"/>
        <w:ind w:firstLine="432" w:firstLineChars="200"/>
        <w:jc w:val="both"/>
        <w:rPr>
          <w:rFonts w:hint="eastAsia" w:hAnsi="宋体" w:cs="宋体"/>
          <w:color w:val="auto"/>
          <w:spacing w:val="3"/>
          <w:sz w:val="21"/>
          <w:szCs w:val="21"/>
          <w:highlight w:val="none"/>
        </w:rPr>
      </w:pPr>
      <w:r>
        <w:rPr>
          <w:rFonts w:hint="eastAsia" w:hAnsi="宋体" w:cs="宋体"/>
          <w:color w:val="auto"/>
          <w:spacing w:val="3"/>
          <w:sz w:val="21"/>
          <w:szCs w:val="21"/>
          <w:highlight w:val="none"/>
        </w:rPr>
        <w:t>8.</w:t>
      </w:r>
      <w:r>
        <w:rPr>
          <w:rFonts w:hint="eastAsia" w:hAnsi="宋体" w:cs="宋体"/>
          <w:color w:val="auto"/>
          <w:spacing w:val="-31"/>
          <w:sz w:val="21"/>
          <w:szCs w:val="21"/>
          <w:highlight w:val="none"/>
        </w:rPr>
        <w:t xml:space="preserve"> </w:t>
      </w:r>
      <w:r>
        <w:rPr>
          <w:rFonts w:hint="eastAsia" w:hAnsi="宋体" w:cs="宋体"/>
          <w:color w:val="auto"/>
          <w:spacing w:val="3"/>
          <w:sz w:val="21"/>
          <w:szCs w:val="21"/>
          <w:highlight w:val="none"/>
        </w:rPr>
        <w:t>甲乙双方最高罚款总额应不超过货款总额5%。</w:t>
      </w:r>
    </w:p>
    <w:p>
      <w:pPr>
        <w:pStyle w:val="16"/>
        <w:spacing w:after="0" w:line="360" w:lineRule="exact"/>
        <w:ind w:firstLine="424" w:firstLineChars="200"/>
        <w:jc w:val="both"/>
        <w:rPr>
          <w:rFonts w:hint="eastAsia" w:hAnsi="宋体" w:cs="宋体"/>
          <w:color w:val="auto"/>
          <w:spacing w:val="3"/>
          <w:sz w:val="21"/>
          <w:szCs w:val="21"/>
          <w:highlight w:val="none"/>
        </w:rPr>
      </w:pPr>
      <w:r>
        <w:rPr>
          <w:rFonts w:hint="eastAsia" w:hAnsi="宋体" w:cs="宋体"/>
          <w:color w:val="auto"/>
          <w:spacing w:val="1"/>
          <w:sz w:val="21"/>
          <w:szCs w:val="21"/>
          <w:highlight w:val="none"/>
        </w:rPr>
        <w:t>9.合同一方违约，另一方为主张权利而支付的费用（包括但不限于诉讼费、律师费、公告费等），由违约方承担。</w:t>
      </w:r>
    </w:p>
    <w:p>
      <w:pPr>
        <w:pStyle w:val="16"/>
        <w:spacing w:after="0" w:line="360" w:lineRule="exact"/>
        <w:ind w:firstLine="422" w:firstLineChars="200"/>
        <w:jc w:val="both"/>
        <w:rPr>
          <w:rFonts w:hint="eastAsia" w:hAnsi="宋体"/>
          <w:b/>
          <w:bCs/>
          <w:color w:val="auto"/>
          <w:kern w:val="2"/>
          <w:sz w:val="21"/>
          <w:szCs w:val="21"/>
          <w:highlight w:val="none"/>
        </w:rPr>
      </w:pPr>
      <w:r>
        <w:rPr>
          <w:rFonts w:hint="eastAsia" w:hAnsi="宋体"/>
          <w:b/>
          <w:bCs/>
          <w:color w:val="auto"/>
          <w:kern w:val="2"/>
          <w:sz w:val="21"/>
          <w:szCs w:val="21"/>
          <w:highlight w:val="none"/>
        </w:rPr>
        <w:t>第十五条  不可抗力事件处理</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1. 在合同有效期内，任何一方因不可抗力事件导致不能履行合同，则合同履行期可延长，其延长期与不可抗力影响期相同。</w:t>
      </w:r>
    </w:p>
    <w:p>
      <w:pPr>
        <w:pStyle w:val="16"/>
        <w:spacing w:after="0" w:line="360" w:lineRule="exact"/>
        <w:ind w:firstLine="420" w:firstLineChars="200"/>
        <w:jc w:val="both"/>
        <w:rPr>
          <w:rFonts w:hint="eastAsia" w:hAnsi="宋体"/>
          <w:color w:val="auto"/>
          <w:kern w:val="2"/>
          <w:sz w:val="21"/>
          <w:szCs w:val="21"/>
          <w:highlight w:val="none"/>
        </w:rPr>
      </w:pPr>
      <w:r>
        <w:rPr>
          <w:rFonts w:hint="eastAsia" w:hAnsi="宋体"/>
          <w:color w:val="auto"/>
          <w:kern w:val="2"/>
          <w:sz w:val="21"/>
          <w:szCs w:val="21"/>
          <w:highlight w:val="none"/>
        </w:rPr>
        <w:t>2. 不可抗力事件发生后，应立即通知对方，并寄送有关权威机构 出具的证明。</w:t>
      </w:r>
    </w:p>
    <w:p>
      <w:pPr>
        <w:pStyle w:val="16"/>
        <w:spacing w:after="0" w:line="360" w:lineRule="exact"/>
        <w:ind w:firstLine="420" w:firstLineChars="200"/>
        <w:jc w:val="both"/>
        <w:rPr>
          <w:rFonts w:hint="eastAsia" w:hAnsi="宋体" w:cs="宋体"/>
          <w:color w:val="auto"/>
          <w:sz w:val="21"/>
          <w:szCs w:val="21"/>
          <w:highlight w:val="none"/>
        </w:rPr>
      </w:pPr>
      <w:r>
        <w:rPr>
          <w:rFonts w:hint="eastAsia" w:hAnsi="宋体"/>
          <w:color w:val="auto"/>
          <w:kern w:val="2"/>
          <w:sz w:val="21"/>
          <w:szCs w:val="21"/>
          <w:highlight w:val="none"/>
        </w:rPr>
        <w:t xml:space="preserve">3. </w:t>
      </w:r>
      <w:r>
        <w:rPr>
          <w:rFonts w:hint="eastAsia" w:hAnsi="宋体" w:cs="宋体"/>
          <w:color w:val="auto"/>
          <w:spacing w:val="-7"/>
          <w:sz w:val="21"/>
          <w:szCs w:val="21"/>
          <w:highlight w:val="none"/>
        </w:rPr>
        <w:t>不可抗力事件延续一百二十天以上，双方应通过友好协商，确</w:t>
      </w:r>
      <w:r>
        <w:rPr>
          <w:rFonts w:hint="eastAsia" w:hAnsi="宋体" w:cs="宋体"/>
          <w:color w:val="auto"/>
          <w:spacing w:val="-6"/>
          <w:sz w:val="21"/>
          <w:szCs w:val="21"/>
          <w:highlight w:val="none"/>
        </w:rPr>
        <w:t>定是否继续履行合同。</w:t>
      </w:r>
    </w:p>
    <w:p>
      <w:pPr>
        <w:pStyle w:val="16"/>
        <w:spacing w:after="0" w:line="360" w:lineRule="exact"/>
        <w:ind w:firstLine="398" w:firstLineChars="200"/>
        <w:jc w:val="both"/>
        <w:rPr>
          <w:rFonts w:hint="eastAsia" w:hAnsi="宋体" w:cs="宋体"/>
          <w:color w:val="auto"/>
          <w:sz w:val="21"/>
          <w:szCs w:val="21"/>
          <w:highlight w:val="none"/>
        </w:rPr>
      </w:pPr>
      <w:r>
        <w:rPr>
          <w:rFonts w:hint="eastAsia" w:hAnsi="宋体" w:cs="宋体"/>
          <w:b/>
          <w:bCs/>
          <w:color w:val="auto"/>
          <w:spacing w:val="-6"/>
          <w:sz w:val="21"/>
          <w:szCs w:val="21"/>
          <w:highlight w:val="none"/>
        </w:rPr>
        <w:t>第十六条</w:t>
      </w:r>
      <w:r>
        <w:rPr>
          <w:rFonts w:hint="eastAsia" w:hAnsi="宋体" w:cs="宋体"/>
          <w:color w:val="auto"/>
          <w:spacing w:val="-6"/>
          <w:sz w:val="21"/>
          <w:szCs w:val="21"/>
          <w:highlight w:val="none"/>
        </w:rPr>
        <w:t xml:space="preserve">  </w:t>
      </w:r>
      <w:r>
        <w:rPr>
          <w:rFonts w:hint="eastAsia" w:hAnsi="宋体" w:cs="宋体"/>
          <w:b/>
          <w:bCs/>
          <w:color w:val="auto"/>
          <w:spacing w:val="-6"/>
          <w:sz w:val="21"/>
          <w:szCs w:val="21"/>
          <w:highlight w:val="none"/>
        </w:rPr>
        <w:t>合同争议解决</w:t>
      </w:r>
    </w:p>
    <w:p>
      <w:pPr>
        <w:pStyle w:val="16"/>
        <w:spacing w:after="0" w:line="360" w:lineRule="exact"/>
        <w:ind w:firstLine="396" w:firstLineChars="200"/>
        <w:jc w:val="both"/>
        <w:rPr>
          <w:rFonts w:hint="eastAsia" w:hAnsi="宋体" w:cs="宋体"/>
          <w:color w:val="auto"/>
          <w:sz w:val="21"/>
          <w:szCs w:val="21"/>
          <w:highlight w:val="none"/>
        </w:rPr>
      </w:pPr>
      <w:r>
        <w:rPr>
          <w:rFonts w:hint="eastAsia" w:hAnsi="宋体" w:cs="宋体"/>
          <w:color w:val="auto"/>
          <w:spacing w:val="-6"/>
          <w:sz w:val="21"/>
          <w:szCs w:val="21"/>
          <w:highlight w:val="none"/>
        </w:rPr>
        <w:t>1.因货物质量问题发生争议的，应邀请国家认可的质量检测机构</w:t>
      </w:r>
      <w:r>
        <w:rPr>
          <w:rFonts w:hint="eastAsia" w:hAnsi="宋体" w:cs="宋体"/>
          <w:color w:val="auto"/>
          <w:spacing w:val="11"/>
          <w:sz w:val="21"/>
          <w:szCs w:val="21"/>
          <w:highlight w:val="none"/>
        </w:rPr>
        <w:t xml:space="preserve"> </w:t>
      </w:r>
      <w:r>
        <w:rPr>
          <w:rFonts w:hint="eastAsia" w:hAnsi="宋体" w:cs="宋体"/>
          <w:color w:val="auto"/>
          <w:spacing w:val="-5"/>
          <w:sz w:val="21"/>
          <w:szCs w:val="21"/>
          <w:highlight w:val="none"/>
        </w:rPr>
        <w:t>对货物质量进行鉴定。货物符合标准的，鉴定费由甲方承担；货物不</w:t>
      </w:r>
      <w:r>
        <w:rPr>
          <w:rFonts w:hint="eastAsia" w:hAnsi="宋体" w:cs="宋体"/>
          <w:color w:val="auto"/>
          <w:spacing w:val="-4"/>
          <w:sz w:val="21"/>
          <w:szCs w:val="21"/>
          <w:highlight w:val="none"/>
        </w:rPr>
        <w:t>符合标准的，鉴定费由乙方承担。</w:t>
      </w:r>
    </w:p>
    <w:p>
      <w:pPr>
        <w:pStyle w:val="16"/>
        <w:spacing w:after="0" w:line="360" w:lineRule="exact"/>
        <w:ind w:firstLine="404" w:firstLineChars="200"/>
        <w:jc w:val="both"/>
        <w:rPr>
          <w:rFonts w:hint="eastAsia" w:hAnsi="宋体" w:cs="宋体"/>
          <w:color w:val="auto"/>
          <w:sz w:val="21"/>
          <w:szCs w:val="21"/>
          <w:highlight w:val="none"/>
        </w:rPr>
      </w:pPr>
      <w:r>
        <w:rPr>
          <w:rFonts w:hint="eastAsia" w:hAnsi="宋体" w:cs="宋体"/>
          <w:color w:val="auto"/>
          <w:spacing w:val="-4"/>
          <w:sz w:val="21"/>
          <w:szCs w:val="21"/>
          <w:highlight w:val="none"/>
        </w:rPr>
        <w:t>2.因履行本合同引起的或与本合同有关的争议，甲乙双方应首先</w:t>
      </w:r>
      <w:r>
        <w:rPr>
          <w:rFonts w:hint="eastAsia" w:hAnsi="宋体" w:cs="宋体"/>
          <w:color w:val="auto"/>
          <w:spacing w:val="-5"/>
          <w:sz w:val="21"/>
          <w:szCs w:val="21"/>
          <w:highlight w:val="none"/>
        </w:rPr>
        <w:t>通过友好协商解决，如果协商不能解决，可向</w:t>
      </w:r>
      <w:r>
        <w:rPr>
          <w:rFonts w:hint="eastAsia" w:hAnsi="宋体" w:cs="宋体"/>
          <w:color w:val="auto"/>
          <w:spacing w:val="-5"/>
          <w:sz w:val="21"/>
          <w:szCs w:val="21"/>
          <w:highlight w:val="none"/>
          <w:lang w:val="en-US" w:eastAsia="zh-CN"/>
        </w:rPr>
        <w:t>甲方所在地</w:t>
      </w:r>
      <w:r>
        <w:rPr>
          <w:rFonts w:hint="eastAsia" w:hAnsi="宋体" w:cs="宋体"/>
          <w:color w:val="auto"/>
          <w:spacing w:val="-8"/>
          <w:sz w:val="21"/>
          <w:szCs w:val="21"/>
          <w:highlight w:val="none"/>
        </w:rPr>
        <w:t>人民法院提起诉讼。</w:t>
      </w:r>
    </w:p>
    <w:p>
      <w:pPr>
        <w:pStyle w:val="16"/>
        <w:spacing w:after="0" w:line="360" w:lineRule="exact"/>
        <w:ind w:firstLine="384" w:firstLineChars="200"/>
        <w:jc w:val="both"/>
        <w:rPr>
          <w:rFonts w:hint="eastAsia" w:hAnsi="宋体" w:cs="宋体"/>
          <w:color w:val="auto"/>
          <w:sz w:val="21"/>
          <w:szCs w:val="21"/>
          <w:highlight w:val="none"/>
        </w:rPr>
      </w:pPr>
      <w:r>
        <w:rPr>
          <w:rFonts w:hint="eastAsia" w:hAnsi="宋体" w:cs="宋体"/>
          <w:color w:val="auto"/>
          <w:spacing w:val="-9"/>
          <w:sz w:val="21"/>
          <w:szCs w:val="21"/>
          <w:highlight w:val="none"/>
        </w:rPr>
        <w:t>3.诉讼期间，本合同继续履行。</w:t>
      </w:r>
    </w:p>
    <w:p>
      <w:pPr>
        <w:pStyle w:val="16"/>
        <w:spacing w:after="0" w:line="360" w:lineRule="exact"/>
        <w:ind w:firstLine="402" w:firstLineChars="200"/>
        <w:jc w:val="both"/>
        <w:rPr>
          <w:rFonts w:hint="eastAsia" w:hAnsi="宋体" w:cs="宋体"/>
          <w:color w:val="auto"/>
          <w:sz w:val="21"/>
          <w:szCs w:val="21"/>
          <w:highlight w:val="none"/>
        </w:rPr>
      </w:pPr>
      <w:r>
        <w:rPr>
          <w:rFonts w:hint="eastAsia" w:hAnsi="宋体" w:cs="宋体"/>
          <w:b/>
          <w:bCs/>
          <w:color w:val="auto"/>
          <w:spacing w:val="-5"/>
          <w:sz w:val="21"/>
          <w:szCs w:val="21"/>
          <w:highlight w:val="none"/>
        </w:rPr>
        <w:t>第十七条 合同生效及其它</w:t>
      </w:r>
    </w:p>
    <w:p>
      <w:pPr>
        <w:pStyle w:val="16"/>
        <w:spacing w:after="0" w:line="360" w:lineRule="exact"/>
        <w:ind w:firstLine="424" w:firstLineChars="200"/>
        <w:jc w:val="both"/>
        <w:rPr>
          <w:rFonts w:hint="eastAsia" w:hAnsi="宋体" w:cs="宋体"/>
          <w:color w:val="auto"/>
          <w:spacing w:val="1"/>
          <w:sz w:val="21"/>
          <w:szCs w:val="21"/>
          <w:highlight w:val="none"/>
        </w:rPr>
      </w:pPr>
      <w:r>
        <w:rPr>
          <w:rFonts w:hint="eastAsia" w:hAnsi="宋体" w:cs="宋体"/>
          <w:color w:val="auto"/>
          <w:spacing w:val="1"/>
          <w:sz w:val="21"/>
          <w:szCs w:val="21"/>
          <w:highlight w:val="none"/>
        </w:rPr>
        <w:t>1. 合同经双方法定代表人(负责人)或授权代表(委托代理人)签字并加盖单位公章后生效。</w:t>
      </w:r>
    </w:p>
    <w:p>
      <w:pPr>
        <w:pStyle w:val="16"/>
        <w:spacing w:after="0" w:line="360" w:lineRule="exact"/>
        <w:ind w:firstLine="424" w:firstLineChars="200"/>
        <w:jc w:val="both"/>
        <w:rPr>
          <w:rFonts w:hint="eastAsia" w:hAnsi="宋体" w:cs="宋体"/>
          <w:color w:val="auto"/>
          <w:spacing w:val="1"/>
          <w:sz w:val="21"/>
          <w:szCs w:val="21"/>
          <w:highlight w:val="none"/>
        </w:rPr>
      </w:pPr>
      <w:r>
        <w:rPr>
          <w:rFonts w:hint="eastAsia" w:hAnsi="宋体" w:cs="宋体"/>
          <w:color w:val="auto"/>
          <w:spacing w:val="1"/>
          <w:sz w:val="21"/>
          <w:szCs w:val="21"/>
          <w:highlight w:val="none"/>
        </w:rPr>
        <w:t>2. 合同执行中涉及采购资金和采购内容修改或补充的，须经广西区财政厅政府采购监督管理处审批，并签书面补充协议报广西区财政厅政府采购监督管理处备案，方可作为主合同不可分割的一部分。</w:t>
      </w:r>
    </w:p>
    <w:p>
      <w:pPr>
        <w:pStyle w:val="16"/>
        <w:spacing w:after="0" w:line="360" w:lineRule="exact"/>
        <w:ind w:firstLine="424" w:firstLineChars="200"/>
        <w:jc w:val="both"/>
        <w:rPr>
          <w:rFonts w:hint="eastAsia" w:hAnsi="宋体" w:cs="宋体"/>
          <w:color w:val="auto"/>
          <w:spacing w:val="-6"/>
          <w:sz w:val="21"/>
          <w:szCs w:val="21"/>
          <w:highlight w:val="none"/>
        </w:rPr>
      </w:pPr>
      <w:r>
        <w:rPr>
          <w:rFonts w:hint="eastAsia" w:hAnsi="宋体" w:cs="宋体"/>
          <w:color w:val="auto"/>
          <w:spacing w:val="1"/>
          <w:sz w:val="21"/>
          <w:szCs w:val="21"/>
          <w:highlight w:val="none"/>
        </w:rPr>
        <w:t>3</w:t>
      </w:r>
      <w:r>
        <w:rPr>
          <w:rFonts w:hint="eastAsia" w:hAnsi="宋体" w:cs="宋体"/>
          <w:color w:val="auto"/>
          <w:spacing w:val="-6"/>
          <w:sz w:val="21"/>
          <w:szCs w:val="21"/>
          <w:highlight w:val="none"/>
        </w:rPr>
        <w:t>. 本合同未尽事宜，遵照《中华人民共和国民法典》有关条文执行。</w:t>
      </w:r>
    </w:p>
    <w:p>
      <w:pPr>
        <w:pStyle w:val="16"/>
        <w:spacing w:after="0" w:line="360" w:lineRule="exact"/>
        <w:ind w:firstLine="402" w:firstLineChars="200"/>
        <w:jc w:val="both"/>
        <w:rPr>
          <w:rFonts w:hint="eastAsia" w:hAnsi="宋体" w:cs="宋体"/>
          <w:color w:val="auto"/>
          <w:sz w:val="21"/>
          <w:szCs w:val="21"/>
          <w:highlight w:val="none"/>
        </w:rPr>
      </w:pPr>
      <w:r>
        <w:rPr>
          <w:rFonts w:hint="eastAsia" w:hAnsi="宋体" w:cs="宋体"/>
          <w:b/>
          <w:bCs/>
          <w:color w:val="auto"/>
          <w:spacing w:val="-5"/>
          <w:sz w:val="21"/>
          <w:szCs w:val="21"/>
          <w:highlight w:val="none"/>
        </w:rPr>
        <w:t>第十八条 合同的变更、终止与转让</w:t>
      </w:r>
    </w:p>
    <w:p>
      <w:pPr>
        <w:pStyle w:val="16"/>
        <w:spacing w:after="0" w:line="360" w:lineRule="exact"/>
        <w:ind w:firstLine="404" w:firstLineChars="200"/>
        <w:jc w:val="both"/>
        <w:rPr>
          <w:rFonts w:hint="eastAsia" w:hAnsi="宋体" w:cs="宋体"/>
          <w:color w:val="auto"/>
          <w:sz w:val="21"/>
          <w:szCs w:val="21"/>
          <w:highlight w:val="none"/>
        </w:rPr>
      </w:pPr>
      <w:r>
        <w:rPr>
          <w:rFonts w:hint="eastAsia" w:hAnsi="宋体" w:cs="宋体"/>
          <w:color w:val="auto"/>
          <w:spacing w:val="-4"/>
          <w:sz w:val="21"/>
          <w:szCs w:val="21"/>
          <w:highlight w:val="none"/>
        </w:rPr>
        <w:t>1. 除《中华人民共和国政府采购法》第五十条规定的情形外，本合同一经签订，甲乙双方不得擅自变更、中止或终止。</w:t>
      </w:r>
    </w:p>
    <w:p>
      <w:pPr>
        <w:pStyle w:val="16"/>
        <w:spacing w:after="0" w:line="360" w:lineRule="exact"/>
        <w:ind w:firstLine="428" w:firstLineChars="200"/>
        <w:jc w:val="both"/>
        <w:rPr>
          <w:rFonts w:hint="eastAsia" w:hAnsi="宋体" w:cs="宋体"/>
          <w:color w:val="auto"/>
          <w:sz w:val="21"/>
          <w:szCs w:val="21"/>
          <w:highlight w:val="none"/>
        </w:rPr>
      </w:pPr>
      <w:r>
        <w:rPr>
          <w:rFonts w:hint="eastAsia" w:hAnsi="宋体" w:cs="宋体"/>
          <w:color w:val="auto"/>
          <w:spacing w:val="2"/>
          <w:sz w:val="21"/>
          <w:szCs w:val="21"/>
          <w:highlight w:val="none"/>
        </w:rPr>
        <w:t>2.乙方不得擅自转让(无进口资格的供应商委</w:t>
      </w:r>
      <w:r>
        <w:rPr>
          <w:rFonts w:hint="eastAsia" w:hAnsi="宋体" w:cs="宋体"/>
          <w:color w:val="auto"/>
          <w:spacing w:val="1"/>
          <w:sz w:val="21"/>
          <w:szCs w:val="21"/>
          <w:highlight w:val="none"/>
        </w:rPr>
        <w:t>托进口货物除外)</w:t>
      </w:r>
      <w:r>
        <w:rPr>
          <w:rFonts w:hint="eastAsia" w:hAnsi="宋体" w:cs="宋体"/>
          <w:color w:val="auto"/>
          <w:sz w:val="21"/>
          <w:szCs w:val="21"/>
          <w:highlight w:val="none"/>
        </w:rPr>
        <w:t xml:space="preserve"> </w:t>
      </w:r>
      <w:r>
        <w:rPr>
          <w:rFonts w:hint="eastAsia" w:hAnsi="宋体" w:cs="宋体"/>
          <w:color w:val="auto"/>
          <w:spacing w:val="-5"/>
          <w:sz w:val="21"/>
          <w:szCs w:val="21"/>
          <w:highlight w:val="none"/>
        </w:rPr>
        <w:t>其应履行的合同义务。</w:t>
      </w:r>
    </w:p>
    <w:p>
      <w:pPr>
        <w:pStyle w:val="16"/>
        <w:spacing w:after="0" w:line="360" w:lineRule="exact"/>
        <w:ind w:firstLine="398" w:firstLineChars="200"/>
        <w:jc w:val="both"/>
        <w:rPr>
          <w:rFonts w:hint="eastAsia" w:hAnsi="宋体" w:cs="宋体"/>
          <w:color w:val="auto"/>
          <w:sz w:val="21"/>
          <w:szCs w:val="21"/>
          <w:highlight w:val="none"/>
        </w:rPr>
      </w:pPr>
      <w:r>
        <w:rPr>
          <w:rFonts w:hint="eastAsia" w:hAnsi="宋体" w:cs="宋体"/>
          <w:b/>
          <w:bCs/>
          <w:color w:val="auto"/>
          <w:spacing w:val="-6"/>
          <w:sz w:val="21"/>
          <w:szCs w:val="21"/>
          <w:highlight w:val="none"/>
        </w:rPr>
        <w:t>第十九条</w:t>
      </w:r>
      <w:r>
        <w:rPr>
          <w:rFonts w:hint="eastAsia" w:hAnsi="宋体" w:cs="宋体"/>
          <w:color w:val="auto"/>
          <w:spacing w:val="-6"/>
          <w:sz w:val="21"/>
          <w:szCs w:val="21"/>
          <w:highlight w:val="none"/>
        </w:rPr>
        <w:t xml:space="preserve">  </w:t>
      </w:r>
      <w:r>
        <w:rPr>
          <w:rFonts w:hint="eastAsia" w:hAnsi="宋体" w:cs="宋体"/>
          <w:b/>
          <w:bCs/>
          <w:color w:val="auto"/>
          <w:spacing w:val="-6"/>
          <w:sz w:val="21"/>
          <w:szCs w:val="21"/>
          <w:highlight w:val="none"/>
        </w:rPr>
        <w:t>签订本合同依据</w:t>
      </w:r>
    </w:p>
    <w:p>
      <w:pPr>
        <w:pStyle w:val="16"/>
        <w:spacing w:after="0" w:line="360" w:lineRule="exact"/>
        <w:ind w:firstLine="424" w:firstLineChars="200"/>
        <w:jc w:val="both"/>
        <w:rPr>
          <w:rFonts w:hint="eastAsia" w:hAnsi="宋体" w:cs="宋体"/>
          <w:color w:val="auto"/>
          <w:spacing w:val="1"/>
          <w:sz w:val="21"/>
          <w:szCs w:val="21"/>
          <w:highlight w:val="none"/>
        </w:rPr>
      </w:pPr>
      <w:r>
        <w:rPr>
          <w:rFonts w:hint="eastAsia" w:hAnsi="宋体" w:cs="宋体"/>
          <w:color w:val="auto"/>
          <w:spacing w:val="1"/>
          <w:sz w:val="21"/>
          <w:szCs w:val="21"/>
          <w:highlight w:val="none"/>
        </w:rPr>
        <w:t>1. 谈判文件；</w:t>
      </w:r>
    </w:p>
    <w:p>
      <w:pPr>
        <w:pStyle w:val="16"/>
        <w:spacing w:after="0" w:line="360" w:lineRule="exact"/>
        <w:ind w:firstLine="424" w:firstLineChars="200"/>
        <w:jc w:val="both"/>
        <w:rPr>
          <w:rFonts w:hint="eastAsia" w:hAnsi="宋体" w:cs="宋体"/>
          <w:color w:val="auto"/>
          <w:spacing w:val="1"/>
          <w:sz w:val="21"/>
          <w:szCs w:val="21"/>
          <w:highlight w:val="none"/>
        </w:rPr>
      </w:pPr>
      <w:r>
        <w:rPr>
          <w:rFonts w:hint="eastAsia" w:hAnsi="宋体" w:cs="宋体"/>
          <w:color w:val="auto"/>
          <w:spacing w:val="1"/>
          <w:sz w:val="21"/>
          <w:szCs w:val="21"/>
          <w:highlight w:val="none"/>
        </w:rPr>
        <w:t>2. 乙方提供的响应文件；</w:t>
      </w:r>
    </w:p>
    <w:p>
      <w:pPr>
        <w:pStyle w:val="16"/>
        <w:spacing w:after="0" w:line="360" w:lineRule="exact"/>
        <w:ind w:firstLine="424" w:firstLineChars="200"/>
        <w:jc w:val="both"/>
        <w:rPr>
          <w:rFonts w:hint="eastAsia" w:hAnsi="宋体" w:cs="宋体"/>
          <w:color w:val="auto"/>
          <w:spacing w:val="1"/>
          <w:sz w:val="21"/>
          <w:szCs w:val="21"/>
          <w:highlight w:val="none"/>
        </w:rPr>
      </w:pPr>
      <w:r>
        <w:rPr>
          <w:rFonts w:hint="eastAsia" w:hAnsi="宋体" w:cs="宋体"/>
          <w:color w:val="auto"/>
          <w:spacing w:val="1"/>
          <w:sz w:val="21"/>
          <w:szCs w:val="21"/>
          <w:highlight w:val="none"/>
        </w:rPr>
        <w:t>3. 谈判书；</w:t>
      </w:r>
    </w:p>
    <w:p>
      <w:pPr>
        <w:pStyle w:val="16"/>
        <w:spacing w:after="0" w:line="360" w:lineRule="exact"/>
        <w:ind w:firstLine="404" w:firstLineChars="200"/>
        <w:jc w:val="both"/>
        <w:rPr>
          <w:rFonts w:hint="eastAsia" w:hAnsi="宋体" w:cs="宋体"/>
          <w:color w:val="auto"/>
          <w:spacing w:val="-4"/>
          <w:sz w:val="21"/>
          <w:szCs w:val="21"/>
          <w:highlight w:val="none"/>
        </w:rPr>
      </w:pPr>
      <w:r>
        <w:rPr>
          <w:rFonts w:hint="eastAsia" w:hAnsi="宋体" w:cs="宋体"/>
          <w:color w:val="auto"/>
          <w:spacing w:val="-4"/>
          <w:sz w:val="21"/>
          <w:szCs w:val="21"/>
          <w:highlight w:val="none"/>
        </w:rPr>
        <w:t>4. 成交通知书。</w:t>
      </w:r>
    </w:p>
    <w:p>
      <w:pPr>
        <w:pStyle w:val="16"/>
        <w:spacing w:after="0" w:line="360" w:lineRule="exact"/>
        <w:ind w:firstLine="406" w:firstLineChars="200"/>
        <w:jc w:val="both"/>
        <w:rPr>
          <w:rFonts w:hint="eastAsia" w:hAnsi="宋体"/>
          <w:color w:val="auto"/>
          <w:sz w:val="21"/>
          <w:szCs w:val="21"/>
          <w:highlight w:val="none"/>
        </w:rPr>
      </w:pPr>
      <w:r>
        <w:rPr>
          <w:rFonts w:hint="eastAsia" w:hAnsi="宋体" w:cs="宋体"/>
          <w:b/>
          <w:bCs/>
          <w:color w:val="auto"/>
          <w:spacing w:val="-4"/>
          <w:sz w:val="21"/>
          <w:szCs w:val="21"/>
          <w:highlight w:val="none"/>
        </w:rPr>
        <w:t>第二</w:t>
      </w:r>
      <w:r>
        <w:rPr>
          <w:rFonts w:hint="eastAsia" w:hAnsi="宋体"/>
          <w:b/>
          <w:bCs/>
          <w:color w:val="auto"/>
          <w:sz w:val="21"/>
          <w:szCs w:val="21"/>
          <w:highlight w:val="none"/>
        </w:rPr>
        <w:t>十条</w:t>
      </w:r>
      <w:r>
        <w:rPr>
          <w:rFonts w:hint="eastAsia" w:hAnsi="宋体"/>
          <w:b/>
          <w:color w:val="auto"/>
          <w:sz w:val="21"/>
          <w:szCs w:val="21"/>
          <w:highlight w:val="none"/>
        </w:rPr>
        <w:t>　</w:t>
      </w:r>
      <w:r>
        <w:rPr>
          <w:rFonts w:hint="eastAsia" w:hAnsi="宋体"/>
          <w:color w:val="auto"/>
          <w:sz w:val="21"/>
          <w:szCs w:val="21"/>
          <w:highlight w:val="none"/>
        </w:rPr>
        <w:t>本合同一式</w:t>
      </w:r>
      <w:r>
        <w:rPr>
          <w:rFonts w:hint="eastAsia" w:hAnsi="宋体"/>
          <w:color w:val="auto"/>
          <w:sz w:val="21"/>
          <w:szCs w:val="21"/>
          <w:highlight w:val="none"/>
          <w:u w:val="single"/>
        </w:rPr>
        <w:t xml:space="preserve">  陆  </w:t>
      </w:r>
      <w:r>
        <w:rPr>
          <w:rFonts w:hint="eastAsia" w:hAnsi="宋体"/>
          <w:color w:val="auto"/>
          <w:sz w:val="21"/>
          <w:szCs w:val="21"/>
          <w:highlight w:val="none"/>
        </w:rPr>
        <w:t>份，具有同等法律效力，采购代理单位、政府采购监管部门各一份，甲乙双方各</w:t>
      </w:r>
      <w:r>
        <w:rPr>
          <w:rFonts w:hint="eastAsia" w:hAnsi="宋体"/>
          <w:color w:val="auto"/>
          <w:sz w:val="21"/>
          <w:szCs w:val="21"/>
          <w:highlight w:val="none"/>
          <w:u w:val="single"/>
        </w:rPr>
        <w:t xml:space="preserve">  贰 </w:t>
      </w:r>
      <w:r>
        <w:rPr>
          <w:rFonts w:hint="eastAsia" w:hAnsi="宋体"/>
          <w:color w:val="auto"/>
          <w:sz w:val="21"/>
          <w:szCs w:val="21"/>
          <w:highlight w:val="none"/>
        </w:rPr>
        <w:t>份。</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pPr>
              <w:snapToGrid w:val="0"/>
              <w:spacing w:line="36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电话：</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账号：</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邮政编码：</w:t>
            </w:r>
          </w:p>
        </w:tc>
        <w:tc>
          <w:tcPr>
            <w:tcW w:w="451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9033"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经办人：</w:t>
            </w:r>
          </w:p>
          <w:p>
            <w:pPr>
              <w:snapToGrid w:val="0"/>
              <w:spacing w:line="360" w:lineRule="exact"/>
              <w:ind w:firstLine="630" w:firstLineChars="300"/>
              <w:jc w:val="right"/>
              <w:rPr>
                <w:rFonts w:hint="eastAsia" w:ascii="宋体" w:hAnsi="宋体"/>
                <w:color w:val="auto"/>
                <w:szCs w:val="21"/>
                <w:highlight w:val="none"/>
              </w:rPr>
            </w:pPr>
            <w:r>
              <w:rPr>
                <w:rFonts w:hint="eastAsia" w:ascii="宋体" w:hAnsi="宋体"/>
                <w:color w:val="auto"/>
                <w:szCs w:val="21"/>
                <w:highlight w:val="none"/>
              </w:rPr>
              <w:t>年    月    日</w:t>
            </w:r>
          </w:p>
        </w:tc>
      </w:tr>
    </w:tbl>
    <w:p>
      <w:pPr>
        <w:snapToGrid w:val="0"/>
        <w:spacing w:line="360" w:lineRule="exact"/>
        <w:rPr>
          <w:rFonts w:hint="eastAsia" w:ascii="宋体" w:hAnsi="宋体"/>
          <w:b/>
          <w:color w:val="auto"/>
          <w:sz w:val="28"/>
          <w:szCs w:val="28"/>
          <w:highlight w:val="none"/>
        </w:rPr>
      </w:pPr>
    </w:p>
    <w:p>
      <w:pPr>
        <w:pStyle w:val="136"/>
        <w:adjustRightInd w:val="0"/>
        <w:spacing w:line="360" w:lineRule="exact"/>
        <w:ind w:right="408"/>
        <w:jc w:val="left"/>
        <w:rPr>
          <w:rFonts w:hint="eastAsia" w:ascii="宋体" w:hAnsi="宋体" w:cs="宋体"/>
          <w:b/>
          <w:color w:val="auto"/>
          <w:szCs w:val="21"/>
          <w:highlight w:val="none"/>
        </w:rPr>
      </w:pPr>
    </w:p>
    <w:p>
      <w:pPr>
        <w:pStyle w:val="136"/>
        <w:adjustRightInd w:val="0"/>
        <w:spacing w:line="360" w:lineRule="exact"/>
        <w:ind w:right="408"/>
        <w:jc w:val="left"/>
        <w:rPr>
          <w:rFonts w:hint="eastAsia" w:ascii="宋体" w:hAnsi="宋体" w:cs="宋体"/>
          <w:b/>
          <w:color w:val="auto"/>
          <w:szCs w:val="21"/>
          <w:highlight w:val="none"/>
        </w:rPr>
      </w:pPr>
    </w:p>
    <w:p>
      <w:pPr>
        <w:pStyle w:val="136"/>
        <w:adjustRightInd w:val="0"/>
        <w:spacing w:line="360" w:lineRule="exact"/>
        <w:ind w:right="408"/>
        <w:jc w:val="left"/>
        <w:rPr>
          <w:rFonts w:hint="eastAsia" w:ascii="宋体" w:hAnsi="宋体" w:cs="宋体"/>
          <w:b/>
          <w:color w:val="auto"/>
          <w:szCs w:val="21"/>
          <w:highlight w:val="none"/>
        </w:rPr>
      </w:pPr>
    </w:p>
    <w:p>
      <w:pPr>
        <w:pStyle w:val="136"/>
        <w:adjustRightInd w:val="0"/>
        <w:spacing w:line="360" w:lineRule="exact"/>
        <w:ind w:right="408"/>
        <w:jc w:val="left"/>
        <w:rPr>
          <w:rFonts w:hint="eastAsia" w:ascii="宋体" w:hAnsi="宋体" w:cs="宋体"/>
          <w:b/>
          <w:color w:val="auto"/>
          <w:szCs w:val="21"/>
          <w:highlight w:val="none"/>
        </w:rPr>
      </w:pPr>
    </w:p>
    <w:p>
      <w:pPr>
        <w:pStyle w:val="136"/>
        <w:adjustRightInd w:val="0"/>
        <w:spacing w:line="360" w:lineRule="exact"/>
        <w:ind w:right="408"/>
        <w:jc w:val="left"/>
        <w:rPr>
          <w:rFonts w:hint="eastAsia" w:ascii="宋体" w:hAnsi="宋体" w:cs="宋体"/>
          <w:b/>
          <w:color w:val="auto"/>
          <w:szCs w:val="21"/>
          <w:highlight w:val="none"/>
        </w:rPr>
      </w:pPr>
    </w:p>
    <w:p>
      <w:pPr>
        <w:pStyle w:val="136"/>
        <w:adjustRightInd w:val="0"/>
        <w:spacing w:line="360" w:lineRule="exact"/>
        <w:ind w:right="408"/>
        <w:jc w:val="left"/>
        <w:rPr>
          <w:rFonts w:hint="eastAsia" w:ascii="宋体" w:hAnsi="宋体" w:cs="宋体"/>
          <w:b/>
          <w:color w:val="auto"/>
          <w:szCs w:val="21"/>
          <w:highlight w:val="none"/>
        </w:rPr>
      </w:pPr>
    </w:p>
    <w:bookmarkEnd w:id="21"/>
    <w:bookmarkEnd w:id="22"/>
    <w:bookmarkEnd w:id="23"/>
    <w:bookmarkEnd w:id="24"/>
    <w:bookmarkEnd w:id="25"/>
    <w:bookmarkEnd w:id="26"/>
    <w:bookmarkEnd w:id="27"/>
    <w:bookmarkEnd w:id="28"/>
    <w:bookmarkEnd w:id="29"/>
    <w:bookmarkEnd w:id="30"/>
    <w:bookmarkEnd w:id="37"/>
    <w:p>
      <w:pPr>
        <w:pStyle w:val="2"/>
        <w:rPr>
          <w:rFonts w:hint="eastAsia" w:ascii="宋体" w:hAnsi="宋体"/>
          <w:color w:val="auto"/>
          <w:highlight w:val="none"/>
        </w:rPr>
      </w:pPr>
      <w:bookmarkStart w:id="38" w:name="_Toc22601"/>
      <w:r>
        <w:rPr>
          <w:rFonts w:hint="eastAsia" w:ascii="宋体" w:hAnsi="宋体"/>
          <w:color w:val="auto"/>
          <w:highlight w:val="none"/>
        </w:rPr>
        <w:t>第六章 评审办法</w:t>
      </w:r>
      <w:bookmarkEnd w:id="38"/>
    </w:p>
    <w:p>
      <w:pPr>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一、评审原则</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（一）谈判小组的构成：本采购项目的谈判小组分别由评审专家、采购人代表等三人以上单数组成，其中技术、经济专家人数不少于成员总数的三分之二。</w:t>
      </w:r>
      <w:r>
        <w:rPr>
          <w:rFonts w:hint="eastAsia" w:ascii="宋体" w:hAnsi="宋体" w:cs="宋体"/>
          <w:color w:val="auto"/>
          <w:szCs w:val="21"/>
          <w:highlight w:val="none"/>
        </w:rPr>
        <w:t>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（二）评审依据：</w:t>
      </w:r>
    </w:p>
    <w:p>
      <w:pPr>
        <w:pStyle w:val="20"/>
        <w:spacing w:line="380" w:lineRule="exact"/>
        <w:ind w:firstLine="420"/>
        <w:rPr>
          <w:rFonts w:hint="eastAsia" w:hAnsi="宋体" w:cs="宋体"/>
          <w:color w:val="auto"/>
          <w:kern w:val="2"/>
          <w:sz w:val="21"/>
          <w:szCs w:val="21"/>
          <w:highlight w:val="none"/>
        </w:rPr>
      </w:pPr>
      <w:r>
        <w:rPr>
          <w:rFonts w:hint="eastAsia" w:hAnsi="宋体" w:cs="宋体"/>
          <w:color w:val="auto"/>
          <w:kern w:val="2"/>
          <w:sz w:val="21"/>
          <w:szCs w:val="21"/>
          <w:highlight w:val="none"/>
        </w:rPr>
        <w:t>1、</w:t>
      </w:r>
      <w:r>
        <w:rPr>
          <w:rFonts w:hint="eastAsia" w:hAnsi="宋体"/>
          <w:color w:val="auto"/>
          <w:szCs w:val="21"/>
          <w:highlight w:val="none"/>
        </w:rPr>
        <w:t>以谈判文件、响应文件为评审依据</w:t>
      </w:r>
      <w:r>
        <w:rPr>
          <w:rFonts w:hint="eastAsia" w:hAnsi="宋体" w:cs="宋体"/>
          <w:color w:val="auto"/>
          <w:kern w:val="2"/>
          <w:sz w:val="21"/>
          <w:szCs w:val="21"/>
          <w:highlight w:val="none"/>
        </w:rPr>
        <w:t>。</w:t>
      </w:r>
    </w:p>
    <w:p>
      <w:pPr>
        <w:adjustRightIn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2、评审价为供应商的竞标报价进行政策性扣除后的价格，评审价只是作为评标时使用。最终成交供应商的成交金额等于竞标报价。</w:t>
      </w:r>
    </w:p>
    <w:p>
      <w:pPr>
        <w:pStyle w:val="20"/>
        <w:snapToGrid w:val="0"/>
        <w:spacing w:line="3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highlight w:val="none"/>
        </w:rPr>
        <w:t>按照《政府采购促进中小企业发展管理办法》（财库〔2020〕46号）的规定，供应商在其响应文件中按照格式要求提供《中小企业声明函》，且其竞标产品全部为小型或微型企业产品的，对其最后报价给予10%的扣除。</w:t>
      </w:r>
    </w:p>
    <w:p>
      <w:pPr>
        <w:pStyle w:val="20"/>
        <w:spacing w:line="3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adjustRightIn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0"/>
        <w:snapToGrid w:val="0"/>
        <w:spacing w:line="3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highlight w:val="none"/>
        </w:rPr>
        <w:t>在货物采购项目中，供应商投标全部货物（除招标文件明确的配件及辅材不做为主要标的物外）由小型或微型企业制造；对符合上述要求的供应商的投标报价给予10%的扣除，扣除后的价格为评审价，即评审价=投标报价×（1-10%）。</w:t>
      </w:r>
    </w:p>
    <w:p>
      <w:pPr>
        <w:pStyle w:val="20"/>
        <w:spacing w:line="3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hAnsi="宋体" w:cs="宋体"/>
          <w:color w:val="auto"/>
          <w:kern w:val="2"/>
          <w:sz w:val="21"/>
          <w:szCs w:val="21"/>
          <w:highlight w:val="none"/>
          <w:u w:val="single"/>
        </w:rPr>
        <w:t xml:space="preserve"> 6 </w:t>
      </w:r>
      <w:r>
        <w:rPr>
          <w:rFonts w:hint="eastAsia" w:hAnsi="宋体" w:cs="宋体"/>
          <w:color w:val="auto"/>
          <w:kern w:val="2"/>
          <w:sz w:val="21"/>
          <w:szCs w:val="21"/>
          <w:highlight w:val="none"/>
        </w:rPr>
        <w:t>%（范围为4%-6%）的扣除，用扣除后的价格参加评审，扣除后的价格为评审价，即评审价=投标报价×（1-</w:t>
      </w:r>
      <w:r>
        <w:rPr>
          <w:rFonts w:hint="eastAsia" w:hAnsi="宋体" w:cs="宋体"/>
          <w:color w:val="auto"/>
          <w:kern w:val="2"/>
          <w:sz w:val="21"/>
          <w:szCs w:val="21"/>
          <w:highlight w:val="none"/>
          <w:u w:val="single"/>
        </w:rPr>
        <w:t xml:space="preserve"> 6 </w:t>
      </w:r>
      <w:r>
        <w:rPr>
          <w:rFonts w:hint="eastAsia" w:hAnsi="宋体" w:cs="宋体"/>
          <w:color w:val="auto"/>
          <w:kern w:val="2"/>
          <w:sz w:val="21"/>
          <w:szCs w:val="21"/>
          <w:highlight w:val="none"/>
        </w:rPr>
        <w:t>%）。除上述情况外，评审价=投标报价。</w:t>
      </w:r>
    </w:p>
    <w:p>
      <w:pPr>
        <w:spacing w:line="360" w:lineRule="exact"/>
        <w:ind w:firstLine="422" w:firstLineChars="200"/>
        <w:rPr>
          <w:rFonts w:hint="eastAsia" w:ascii="宋体" w:hAnsi="宋体"/>
          <w:color w:val="auto"/>
          <w:szCs w:val="21"/>
          <w:highlight w:val="none"/>
        </w:rPr>
      </w:pPr>
      <w:r>
        <w:rPr>
          <w:rFonts w:hint="eastAsia" w:ascii="宋体" w:hAnsi="宋体" w:cs="宋体"/>
          <w:b/>
          <w:color w:val="auto"/>
          <w:szCs w:val="21"/>
          <w:highlight w:val="none"/>
        </w:rPr>
        <w:t>3、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（三）评审方法：在质量和服务均能满足谈判文件实质性响应要求的前提下，按最后评审价由低到高排列成交候选供应商顺序，并依照次序确定成交候选供应商。</w:t>
      </w:r>
    </w:p>
    <w:p>
      <w:pPr>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二、评审方法</w:t>
      </w:r>
    </w:p>
    <w:p>
      <w:pPr>
        <w:spacing w:line="360" w:lineRule="exact"/>
        <w:ind w:firstLine="420" w:firstLineChars="200"/>
        <w:rPr>
          <w:color w:val="auto"/>
          <w:szCs w:val="21"/>
          <w:highlight w:val="none"/>
        </w:rPr>
      </w:pPr>
      <w:r>
        <w:rPr>
          <w:rFonts w:hint="eastAsia"/>
          <w:color w:val="auto"/>
          <w:szCs w:val="21"/>
          <w:highlight w:val="none"/>
        </w:rPr>
        <w:t>（一）资格审查</w:t>
      </w:r>
    </w:p>
    <w:p>
      <w:pPr>
        <w:spacing w:line="360" w:lineRule="exact"/>
        <w:ind w:firstLine="420" w:firstLineChars="200"/>
        <w:rPr>
          <w:color w:val="auto"/>
          <w:szCs w:val="21"/>
          <w:highlight w:val="none"/>
        </w:rPr>
      </w:pPr>
      <w:r>
        <w:rPr>
          <w:rFonts w:hint="eastAsia" w:hAnsi="宋体"/>
          <w:color w:val="auto"/>
          <w:szCs w:val="21"/>
          <w:highlight w:val="none"/>
        </w:rPr>
        <w:t>谈判小组</w:t>
      </w:r>
      <w:r>
        <w:rPr>
          <w:rFonts w:hint="eastAsia" w:ascii="宋体" w:hAnsi="宋体"/>
          <w:color w:val="auto"/>
          <w:szCs w:val="21"/>
          <w:highlight w:val="none"/>
        </w:rPr>
        <w:t>依法对供应商的资格进行审查。</w:t>
      </w:r>
    </w:p>
    <w:tbl>
      <w:tblPr>
        <w:tblStyle w:val="3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8"/>
        <w:gridCol w:w="3260"/>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序号</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检查因素</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1</w:t>
            </w:r>
          </w:p>
        </w:tc>
        <w:tc>
          <w:tcPr>
            <w:tcW w:w="568"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供应商应符合的基本资格条件</w:t>
            </w:r>
          </w:p>
        </w:tc>
        <w:tc>
          <w:tcPr>
            <w:tcW w:w="3260"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具有独立承担民事责任的能力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1.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2.如为分支机构投标的，须提供其总公司“营业执照”副本复印件和总公司对供应商参与本项目投标的授权书原件。</w:t>
            </w:r>
          </w:p>
          <w:p>
            <w:pPr>
              <w:pStyle w:val="20"/>
              <w:spacing w:line="360" w:lineRule="exact"/>
              <w:rPr>
                <w:color w:val="auto"/>
                <w:sz w:val="21"/>
                <w:szCs w:val="21"/>
                <w:highlight w:val="none"/>
              </w:rPr>
            </w:pPr>
            <w:r>
              <w:rPr>
                <w:rFonts w:hint="eastAsia" w:hAnsi="宋体"/>
                <w:color w:val="auto"/>
                <w:kern w:val="2"/>
                <w:sz w:val="21"/>
                <w:szCs w:val="21"/>
                <w:highlight w:val="none"/>
              </w:rPr>
              <w:t>3.提供政府采购供应商资格信用承诺函。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auto"/>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auto"/>
                <w:kern w:val="2"/>
                <w:sz w:val="21"/>
                <w:szCs w:val="21"/>
                <w:highlight w:val="none"/>
              </w:rPr>
            </w:pPr>
            <w:r>
              <w:rPr>
                <w:rFonts w:hint="eastAsia" w:cs="宋体"/>
                <w:color w:val="auto"/>
                <w:sz w:val="21"/>
                <w:szCs w:val="21"/>
                <w:highlight w:val="none"/>
              </w:rPr>
              <w:t>具有良好的商业信誉和健全的财务会计制度、有依法缴纳税收和社会保障金的良好记录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auto"/>
                <w:kern w:val="2"/>
                <w:sz w:val="21"/>
                <w:szCs w:val="21"/>
                <w:highlight w:val="none"/>
              </w:rPr>
            </w:pPr>
            <w:r>
              <w:rPr>
                <w:rFonts w:hint="eastAsia" w:cs="宋体"/>
                <w:color w:val="auto"/>
                <w:sz w:val="21"/>
                <w:szCs w:val="21"/>
                <w:highlight w:val="none"/>
              </w:rPr>
              <w:t>政府采购供应商资格信用承诺函(按格式填写)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auto"/>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auto"/>
                <w:kern w:val="2"/>
                <w:sz w:val="21"/>
                <w:szCs w:val="21"/>
                <w:highlight w:val="none"/>
              </w:rPr>
            </w:pPr>
            <w:r>
              <w:rPr>
                <w:rFonts w:hint="eastAsia" w:cs="宋体"/>
                <w:color w:val="auto"/>
                <w:sz w:val="21"/>
                <w:szCs w:val="21"/>
                <w:highlight w:val="none"/>
              </w:rPr>
              <w:t>具有履行合同所必需的设备和专业技术能力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auto"/>
                <w:sz w:val="21"/>
                <w:szCs w:val="21"/>
                <w:highlight w:val="none"/>
              </w:rPr>
            </w:pPr>
            <w:r>
              <w:rPr>
                <w:rFonts w:hint="eastAsia" w:cs="宋体"/>
                <w:color w:val="auto"/>
                <w:sz w:val="21"/>
                <w:szCs w:val="21"/>
                <w:highlight w:val="none"/>
              </w:rPr>
              <w:t>提供竞标声明书或相关证明材料。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auto"/>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auto"/>
                <w:kern w:val="2"/>
                <w:sz w:val="21"/>
                <w:szCs w:val="21"/>
                <w:highlight w:val="none"/>
              </w:rPr>
            </w:pPr>
            <w:r>
              <w:rPr>
                <w:rFonts w:hint="eastAsia" w:cs="宋体"/>
                <w:color w:val="auto"/>
                <w:sz w:val="21"/>
                <w:szCs w:val="21"/>
                <w:highlight w:val="none"/>
              </w:rPr>
              <w:t>参加政府采购活动前三年内，在经营活动中没有重大违法记录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cs="Courier New"/>
                <w:color w:val="auto"/>
                <w:sz w:val="21"/>
                <w:szCs w:val="21"/>
                <w:highlight w:val="none"/>
              </w:rPr>
            </w:pPr>
            <w:r>
              <w:rPr>
                <w:rFonts w:hint="eastAsia" w:cs="宋体"/>
                <w:color w:val="auto"/>
                <w:sz w:val="21"/>
                <w:szCs w:val="21"/>
                <w:highlight w:val="none"/>
              </w:rPr>
              <w:t>1.提供参加政府采购活动前三年内在经营活动中没有重大违法记录和不良信用记录的书面声明书。</w:t>
            </w:r>
          </w:p>
          <w:p>
            <w:pPr>
              <w:pStyle w:val="20"/>
              <w:rPr>
                <w:rFonts w:hint="eastAsia" w:hAnsi="宋体"/>
                <w:color w:val="auto"/>
                <w:kern w:val="2"/>
                <w:sz w:val="21"/>
                <w:szCs w:val="21"/>
                <w:highlight w:val="none"/>
              </w:rPr>
            </w:pPr>
            <w:r>
              <w:rPr>
                <w:rFonts w:hint="eastAsia" w:cs="宋体"/>
                <w:color w:val="auto"/>
                <w:sz w:val="21"/>
                <w:szCs w:val="21"/>
                <w:highlight w:val="none"/>
              </w:rPr>
              <w:t>2.在资格审查时，将通过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auto"/>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auto"/>
                <w:szCs w:val="21"/>
                <w:highlight w:val="none"/>
              </w:rPr>
            </w:pPr>
          </w:p>
        </w:tc>
        <w:tc>
          <w:tcPr>
            <w:tcW w:w="3260"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cs="宋体"/>
                <w:color w:val="auto"/>
                <w:sz w:val="21"/>
                <w:szCs w:val="21"/>
                <w:highlight w:val="none"/>
              </w:rPr>
              <w:t>法律、行政法规规定的其他条件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s="Courier New"/>
                <w:color w:val="auto"/>
                <w:kern w:val="2"/>
                <w:sz w:val="21"/>
                <w:szCs w:val="21"/>
                <w:highlight w:val="none"/>
              </w:rPr>
            </w:pPr>
            <w:r>
              <w:rPr>
                <w:rFonts w:hint="eastAsia" w:hAnsi="宋体"/>
                <w:color w:val="auto"/>
                <w:kern w:val="2"/>
                <w:sz w:val="21"/>
                <w:szCs w:val="21"/>
                <w:highlight w:val="none"/>
              </w:rPr>
              <w:t>1.单位负责人为同一人或者存在直接控股、管理关系的不同供应商，不得参加同一合同项下的政府采购活动。</w:t>
            </w:r>
          </w:p>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提供供应商直接控股、管理关系信息表。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auto"/>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auto"/>
                <w:szCs w:val="21"/>
                <w:highlight w:val="none"/>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Courier New"/>
                <w:color w:val="auto"/>
                <w:szCs w:val="21"/>
                <w:highlight w:val="none"/>
              </w:rPr>
            </w:pP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s="Courier New"/>
                <w:color w:val="auto"/>
                <w:kern w:val="2"/>
                <w:sz w:val="21"/>
                <w:szCs w:val="21"/>
                <w:highlight w:val="none"/>
              </w:rPr>
            </w:pPr>
            <w:r>
              <w:rPr>
                <w:rFonts w:hint="eastAsia" w:hAnsi="宋体"/>
                <w:color w:val="auto"/>
                <w:kern w:val="2"/>
                <w:sz w:val="21"/>
                <w:szCs w:val="21"/>
                <w:highlight w:val="none"/>
              </w:rPr>
              <w:t>2.为本项目提供过整体设计、规范编制或者项目管理、监理、检测等服务的供应商，不得再参加本项目上述服务以外的其他采购活动。</w:t>
            </w:r>
          </w:p>
          <w:p>
            <w:pPr>
              <w:pStyle w:val="20"/>
              <w:spacing w:line="36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提供谈判声明书。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2</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落实政府采购政策需满足的资格要求</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3</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特定资格条件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无</w:t>
            </w:r>
          </w:p>
        </w:tc>
      </w:tr>
    </w:tbl>
    <w:p>
      <w:pPr>
        <w:pStyle w:val="20"/>
        <w:spacing w:line="360" w:lineRule="exact"/>
        <w:rPr>
          <w:rFonts w:hint="eastAsia" w:hAnsi="宋体"/>
          <w:color w:val="auto"/>
          <w:sz w:val="21"/>
          <w:szCs w:val="21"/>
          <w:highlight w:val="none"/>
        </w:rPr>
      </w:pPr>
      <w:r>
        <w:rPr>
          <w:rFonts w:hint="eastAsia" w:hAnsi="宋体"/>
          <w:color w:val="auto"/>
          <w:sz w:val="21"/>
          <w:szCs w:val="21"/>
          <w:highlight w:val="none"/>
        </w:rPr>
        <w:t>（二）符合性审查</w:t>
      </w:r>
    </w:p>
    <w:p>
      <w:pPr>
        <w:pStyle w:val="20"/>
        <w:spacing w:line="360" w:lineRule="exact"/>
        <w:rPr>
          <w:rFonts w:hint="eastAsia" w:hAnsi="宋体"/>
          <w:color w:val="auto"/>
          <w:sz w:val="21"/>
          <w:szCs w:val="21"/>
          <w:highlight w:val="none"/>
        </w:rPr>
      </w:pPr>
      <w:r>
        <w:rPr>
          <w:rFonts w:hint="eastAsia" w:hAnsi="宋体"/>
          <w:color w:val="auto"/>
          <w:sz w:val="21"/>
          <w:szCs w:val="21"/>
          <w:highlight w:val="none"/>
        </w:rPr>
        <w:t>谈判小组根据竞争性谈判文件要求各供应商响应文件的有效性、完整性、响应性等进行审查，以确定是否对竞争性谈判文件的实质性要求作出响应。</w:t>
      </w:r>
    </w:p>
    <w:tbl>
      <w:tblPr>
        <w:tblStyle w:val="37"/>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0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序号</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评审因素</w:t>
            </w:r>
          </w:p>
        </w:tc>
        <w:tc>
          <w:tcPr>
            <w:tcW w:w="666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商务和技术文件审查</w:t>
            </w:r>
          </w:p>
        </w:tc>
        <w:tc>
          <w:tcPr>
            <w:tcW w:w="66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未按照竞争性谈判文件的规定足额交纳竞标保证金的</w:t>
            </w:r>
            <w:r>
              <w:rPr>
                <w:rFonts w:hint="eastAsia" w:ascii="宋体" w:hAnsi="宋体" w:cs="宋体"/>
                <w:bCs/>
                <w:color w:val="auto"/>
                <w:szCs w:val="21"/>
                <w:highlight w:val="none"/>
              </w:rPr>
              <w:t>；</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2.响应文件未按谈判文件要求签署、盖章的；</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3.投标代表人未能出具身份证明或与法定代表人授权委托人身份不符的；</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4.响应文件的实质性内容未使用中文表述、意思表述不明确、前后矛盾或者使用计量单位不符合谈判文件要求的（经评标委员会认定并允许其当场更正的笔误除外）</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5.响应文件有效期、服务期或交货期、质保期等商务条款不能满足招标文件要求的；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6.未实质性响应谈判文件要求或者响应文件有采购人不能接受的附加条件的。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7.未提供谈判文件中“13.响应文件的组成13.2商务和技术文件”要求必须提供的资料的；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8.未提供或未如实提供投标货物的技术参数，或者响应文件标明的响应或偏离与事实不符或虚假投标的；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9.明显不符合招标文件要求的规格型号、质量标准和采购需求的，或者与招标文件中标“▲”的技术指标、主要功能项目发生实质性偏离的；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10.允许偏离的技术、性能指标或者辅助功能项目发生负偏离达 1 项（含1项）以上的；</w:t>
            </w:r>
          </w:p>
          <w:p>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12.技术方案不明确，存在一个或一个以上备选（替代）竞标方案的。</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13.属于供应商须知正文7.特别说明第6点情形的；</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14.法律、法规和竞争性谈判文件规定的其他无效情形。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报价文件审查</w:t>
            </w:r>
          </w:p>
        </w:tc>
        <w:tc>
          <w:tcPr>
            <w:tcW w:w="66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1.未提供谈判文件中“13.响应文件的组成13.3报价文件”要求必须提供的资料的；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2.报价超过招标文件中规定的预算金额或者最高限价的；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3.未采用人民币报价或者未按照招标文件标明的币种报价的；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4.竞标报价具有选择性，或者云平台中开标记录表的报价与响应文件承诺的优惠（折扣）价格不一致的；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5.法律、法规和招标文件规定的其他无效情形。</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6.出现恶意竞争低于成本价的情形。</w:t>
            </w:r>
          </w:p>
          <w:p>
            <w:pPr>
              <w:widowControl/>
              <w:spacing w:line="360" w:lineRule="exact"/>
              <w:jc w:val="left"/>
              <w:rPr>
                <w:rFonts w:hint="eastAsia" w:ascii="宋体" w:hAnsi="宋体" w:cs="宋体"/>
                <w:color w:val="auto"/>
                <w:szCs w:val="21"/>
                <w:highlight w:val="none"/>
              </w:rPr>
            </w:pPr>
            <w:r>
              <w:rPr>
                <w:rFonts w:hint="eastAsia" w:ascii="宋体" w:hAnsi="宋体" w:cs="宋体"/>
                <w:bCs/>
                <w:color w:val="auto"/>
                <w:szCs w:val="21"/>
                <w:highlight w:val="none"/>
              </w:rPr>
              <w:t>7.修正后的报价，供应商不确认的。</w:t>
            </w:r>
          </w:p>
        </w:tc>
      </w:tr>
    </w:tbl>
    <w:p>
      <w:pPr>
        <w:spacing w:line="360" w:lineRule="exact"/>
        <w:ind w:firstLine="420" w:firstLineChars="200"/>
        <w:rPr>
          <w:rFonts w:hint="eastAsia" w:ascii="宋体" w:hAnsi="宋体"/>
          <w:color w:val="auto"/>
          <w:szCs w:val="21"/>
          <w:highlight w:val="none"/>
        </w:rPr>
      </w:pPr>
      <w:r>
        <w:rPr>
          <w:rFonts w:hint="eastAsia" w:hAnsi="宋体"/>
          <w:color w:val="auto"/>
          <w:szCs w:val="21"/>
          <w:highlight w:val="none"/>
        </w:rPr>
        <w:t>（三）</w:t>
      </w:r>
      <w:r>
        <w:rPr>
          <w:rFonts w:hint="eastAsia" w:ascii="宋体" w:hAnsi="宋体"/>
          <w:color w:val="auto"/>
          <w:szCs w:val="21"/>
          <w:highlight w:val="none"/>
        </w:rPr>
        <w:t>最后报价政府采购政策性扣除</w:t>
      </w:r>
    </w:p>
    <w:p>
      <w:pPr>
        <w:spacing w:line="360" w:lineRule="exact"/>
        <w:ind w:firstLine="420" w:firstLineChars="200"/>
        <w:rPr>
          <w:rFonts w:hint="eastAsia" w:ascii="宋体" w:hAnsi="宋体"/>
          <w:color w:val="auto"/>
          <w:szCs w:val="21"/>
          <w:highlight w:val="none"/>
        </w:rPr>
      </w:pPr>
      <w:r>
        <w:rPr>
          <w:rFonts w:hint="eastAsia" w:hAnsi="宋体" w:cs="宋体"/>
          <w:color w:val="auto"/>
          <w:szCs w:val="21"/>
          <w:highlight w:val="none"/>
        </w:rPr>
        <w:t>根据上述评审依据对供应商的最后报价给予价格扣除，扣除后的价格为评审价。</w:t>
      </w:r>
    </w:p>
    <w:p>
      <w:pPr>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三、成交候选供应商推荐原则</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在质量和服务均能满足采购文件实质性响应要求的前提下，按照最后评审价由低到高的顺序提出3名以上成交候选人（</w:t>
      </w:r>
      <w:r>
        <w:rPr>
          <w:rFonts w:hint="eastAsia" w:ascii="宋体" w:hAnsi="宋体"/>
          <w:color w:val="auto"/>
          <w:highlight w:val="none"/>
        </w:rPr>
        <w:t>最后评审报价相同时，</w:t>
      </w:r>
      <w:r>
        <w:rPr>
          <w:rFonts w:hint="eastAsia" w:ascii="宋体" w:hAnsi="宋体" w:cs="宋体"/>
          <w:color w:val="auto"/>
          <w:szCs w:val="21"/>
          <w:highlight w:val="none"/>
        </w:rPr>
        <w:t>依次按节能环保产品累计金额高的优先、</w:t>
      </w:r>
      <w:r>
        <w:rPr>
          <w:rFonts w:hint="eastAsia" w:ascii="宋体" w:hAnsi="宋体" w:cs="宋体"/>
          <w:color w:val="auto"/>
          <w:highlight w:val="none"/>
        </w:rPr>
        <w:t>环境标志产品累计金额高的优先、</w:t>
      </w:r>
      <w:r>
        <w:rPr>
          <w:rFonts w:hint="eastAsia" w:ascii="宋体" w:hAnsi="宋体"/>
          <w:color w:val="auto"/>
          <w:highlight w:val="none"/>
        </w:rPr>
        <w:t>关键技术指标高优先、质量保证期长优先、</w:t>
      </w:r>
      <w:r>
        <w:rPr>
          <w:rFonts w:hint="eastAsia" w:ascii="宋体" w:hAnsi="宋体"/>
          <w:bCs/>
          <w:color w:val="auto"/>
          <w:highlight w:val="none"/>
        </w:rPr>
        <w:t>交货期</w:t>
      </w:r>
      <w:r>
        <w:rPr>
          <w:rFonts w:hint="eastAsia" w:ascii="宋体" w:hAnsi="宋体"/>
          <w:color w:val="auto"/>
          <w:highlight w:val="none"/>
        </w:rPr>
        <w:t>短优先、故障处理时间短优先的顺序排列</w:t>
      </w:r>
      <w:r>
        <w:rPr>
          <w:rFonts w:hint="eastAsia" w:ascii="宋体" w:hAnsi="宋体"/>
          <w:color w:val="auto"/>
          <w:szCs w:val="21"/>
          <w:highlight w:val="none"/>
        </w:rPr>
        <w:t>），并依照次序确定成交候选人。采购人应当确定谈判小组推荐排名第一的成交候选人为成交供应商。排名第一的成交候选人放弃成交、因不可抗力提出不能履行合同，或者采购文件规定应当提交履约保证金而在规定的期限内未能提交的，采购人可以确定排名第二的成交候选人为成交供应商。排名第二的成交候选人因前款规定的同样原因不能签订合同的，采购人可以确定排名第三的成交候选人为成交供应商，其余以此类推，</w:t>
      </w:r>
      <w:r>
        <w:rPr>
          <w:rFonts w:hint="eastAsia" w:ascii="宋体" w:hAnsi="宋体"/>
          <w:color w:val="auto"/>
          <w:highlight w:val="none"/>
          <w:shd w:val="clear" w:color="auto" w:fill="FFFFFF"/>
        </w:rPr>
        <w:t>也可以重新采购。</w:t>
      </w:r>
    </w:p>
    <w:sectPr>
      <w:pgSz w:w="11906" w:h="16838"/>
      <w:pgMar w:top="1134" w:right="1134" w:bottom="1134" w:left="113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A4C669-0411-4853-A2B1-404C78D0C561}"/>
  </w:font>
  <w:font w:name="黑体">
    <w:panose1 w:val="02010609060101010101"/>
    <w:charset w:val="86"/>
    <w:family w:val="auto"/>
    <w:pitch w:val="default"/>
    <w:sig w:usb0="800002BF" w:usb1="38CF7CFA" w:usb2="00000016" w:usb3="00000000" w:csb0="00040001" w:csb1="00000000"/>
    <w:embedRegular r:id="rId2" w:fontKey="{A0FB11B8-57B6-4F76-B962-EF183AEF1008}"/>
  </w:font>
  <w:font w:name="Courier New">
    <w:panose1 w:val="02070309020205020404"/>
    <w:charset w:val="01"/>
    <w:family w:val="modern"/>
    <w:pitch w:val="default"/>
    <w:sig w:usb0="E0002EFF" w:usb1="C0007843" w:usb2="00000009" w:usb3="00000000" w:csb0="400001FF" w:csb1="FFFF0000"/>
    <w:embedRegular r:id="rId3" w:fontKey="{E78C90D0-A20A-4BDA-9A1C-887F3E94E6B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534EAC3F-FF75-44D0-AC41-773518A5818A}"/>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5" w:fontKey="{C63B2B68-70D1-4499-9A1C-75E1FF5903CE}"/>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embedRegular r:id="rId6" w:fontKey="{7141D41A-41F4-4B8D-9DFD-6B8EFC6F3FA7}"/>
  </w:font>
  <w:font w:name="Adobe 黑体 Std R">
    <w:altName w:val="宋体"/>
    <w:panose1 w:val="00000000000000000000"/>
    <w:charset w:val="86"/>
    <w:family w:val="auto"/>
    <w:pitch w:val="default"/>
    <w:sig w:usb0="00000000" w:usb1="00000000" w:usb2="00000016" w:usb3="00000000" w:csb0="00060007" w:csb1="00000000"/>
    <w:embedRegular r:id="rId7" w:fontKey="{88A3181E-9F34-4D32-BFDB-EA9E638EEA3C}"/>
  </w:font>
  <w:font w:name="仿宋">
    <w:panose1 w:val="02010609060101010101"/>
    <w:charset w:val="86"/>
    <w:family w:val="modern"/>
    <w:pitch w:val="default"/>
    <w:sig w:usb0="800002BF" w:usb1="38CF7CFA" w:usb2="00000016" w:usb3="00000000" w:csb0="00040001" w:csb1="00000000"/>
    <w:embedRegular r:id="rId8" w:fontKey="{0E7B5BE5-4F99-4E19-962B-CC7FC4630ECC}"/>
  </w:font>
  <w:font w:name="Adobe 宋体 Std L">
    <w:altName w:val="宋体"/>
    <w:panose1 w:val="00000000000000000000"/>
    <w:charset w:val="86"/>
    <w:family w:val="auto"/>
    <w:pitch w:val="default"/>
    <w:sig w:usb0="00000000" w:usb1="00000000" w:usb2="00000010" w:usb3="00000000" w:csb0="00040000" w:csb1="00000000"/>
    <w:embedRegular r:id="rId9" w:fontKey="{7606FACF-4D61-4383-8AD1-E2DABB2AAC77}"/>
  </w:font>
  <w:font w:name="MS Mincho">
    <w:altName w:val="MS UI Gothic"/>
    <w:panose1 w:val="02020609040205080304"/>
    <w:charset w:val="80"/>
    <w:family w:val="modern"/>
    <w:pitch w:val="default"/>
    <w:sig w:usb0="00000000" w:usb1="00000000" w:usb2="08000012" w:usb3="00000000" w:csb0="0002009F" w:csb1="00000000"/>
    <w:embedRegular r:id="rId10" w:fontKey="{7E5726D7-1DAC-481A-890F-3EDD32827F98}"/>
  </w:font>
  <w:font w:name="Segoe UI">
    <w:panose1 w:val="020B0502040204020203"/>
    <w:charset w:val="00"/>
    <w:family w:val="swiss"/>
    <w:pitch w:val="default"/>
    <w:sig w:usb0="E4002EFF" w:usb1="C000E47F" w:usb2="00000009" w:usb3="00000000" w:csb0="200001FF" w:csb1="00000000"/>
    <w:embedRegular r:id="rId11" w:fontKey="{503B5161-FC1E-4BF5-A7B1-D8B76FF5774F}"/>
  </w:font>
  <w:font w:name="微软雅黑">
    <w:panose1 w:val="020B0503020204020204"/>
    <w:charset w:val="86"/>
    <w:family w:val="swiss"/>
    <w:pitch w:val="default"/>
    <w:sig w:usb0="80000287" w:usb1="2ACF3C50" w:usb2="00000016" w:usb3="00000000" w:csb0="0004001F" w:csb1="00000000"/>
    <w:embedRegular r:id="rId12" w:fontKey="{A344E94A-DDF6-4742-B408-BE29E5824CBD}"/>
  </w:font>
  <w:font w:name="Arial Unicode MS">
    <w:altName w:val="宋体"/>
    <w:panose1 w:val="020B0604020202020204"/>
    <w:charset w:val="86"/>
    <w:family w:val="swiss"/>
    <w:pitch w:val="default"/>
    <w:sig w:usb0="00000000" w:usb1="00000000" w:usb2="0000003F" w:usb3="00000000" w:csb0="603F01FF" w:csb1="FFFF0000"/>
    <w:embedRegular r:id="rId13" w:fontKey="{EF7AF0AA-BF43-483D-8259-433FB0B219A3}"/>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3</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EVFKGPTAQAApQMAAA4AAAAAAAAAAQAgAAAAHwEA&#10;AGRycy9lMm9Eb2MueG1sUEsFBgAAAAAGAAYAWQEAAGQ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1E041"/>
    <w:multiLevelType w:val="singleLevel"/>
    <w:tmpl w:val="9931E041"/>
    <w:lvl w:ilvl="0" w:tentative="0">
      <w:start w:val="1"/>
      <w:numFmt w:val="decimal"/>
      <w:suff w:val="nothing"/>
      <w:lvlText w:val="%1．"/>
      <w:lvlJc w:val="left"/>
      <w:pPr>
        <w:ind w:left="0" w:firstLine="400"/>
      </w:pPr>
      <w:rPr>
        <w:rFonts w:hint="default"/>
      </w:rPr>
    </w:lvl>
  </w:abstractNum>
  <w:abstractNum w:abstractNumId="1">
    <w:nsid w:val="E3A89F3F"/>
    <w:multiLevelType w:val="singleLevel"/>
    <w:tmpl w:val="E3A89F3F"/>
    <w:lvl w:ilvl="0" w:tentative="0">
      <w:start w:val="1"/>
      <w:numFmt w:val="decimal"/>
      <w:suff w:val="nothing"/>
      <w:lvlText w:val="%1．"/>
      <w:lvlJc w:val="left"/>
      <w:pPr>
        <w:ind w:left="0" w:firstLine="400"/>
      </w:pPr>
      <w:rPr>
        <w:rFonts w:hint="default"/>
      </w:rPr>
    </w:lvl>
  </w:abstractNum>
  <w:abstractNum w:abstractNumId="2">
    <w:nsid w:val="06A755B0"/>
    <w:multiLevelType w:val="singleLevel"/>
    <w:tmpl w:val="06A755B0"/>
    <w:lvl w:ilvl="0" w:tentative="0">
      <w:start w:val="1"/>
      <w:numFmt w:val="decimal"/>
      <w:suff w:val="nothing"/>
      <w:lvlText w:val="%1．"/>
      <w:lvlJc w:val="left"/>
      <w:pPr>
        <w:ind w:left="0" w:firstLine="400"/>
      </w:pPr>
      <w:rPr>
        <w:rFonts w:hint="default"/>
      </w:rPr>
    </w:lvl>
  </w:abstractNum>
  <w:abstractNum w:abstractNumId="3">
    <w:nsid w:val="2ABA0442"/>
    <w:multiLevelType w:val="singleLevel"/>
    <w:tmpl w:val="2ABA0442"/>
    <w:lvl w:ilvl="0" w:tentative="0">
      <w:start w:val="1"/>
      <w:numFmt w:val="decimal"/>
      <w:suff w:val="nothing"/>
      <w:lvlText w:val="%1．"/>
      <w:lvlJc w:val="left"/>
      <w:pPr>
        <w:ind w:left="0" w:firstLine="400"/>
      </w:pPr>
      <w:rPr>
        <w:rFonts w:hint="default"/>
      </w:rPr>
    </w:lvl>
  </w:abstractNum>
  <w:abstractNum w:abstractNumId="4">
    <w:nsid w:val="2C128D3B"/>
    <w:multiLevelType w:val="singleLevel"/>
    <w:tmpl w:val="2C128D3B"/>
    <w:lvl w:ilvl="0" w:tentative="0">
      <w:start w:val="1"/>
      <w:numFmt w:val="decimal"/>
      <w:suff w:val="nothing"/>
      <w:lvlText w:val="%1．"/>
      <w:lvlJc w:val="left"/>
      <w:pPr>
        <w:ind w:left="0" w:firstLine="400"/>
      </w:pPr>
      <w:rPr>
        <w:rFonts w:hint="default"/>
      </w:rPr>
    </w:lvl>
  </w:abstractNum>
  <w:abstractNum w:abstractNumId="5">
    <w:nsid w:val="5B5BF7DE"/>
    <w:multiLevelType w:val="singleLevel"/>
    <w:tmpl w:val="5B5BF7DE"/>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NjJkZDE3YWEyM2EyZDQzNmRkZWRmZmMzMjQ4MzcifQ=="/>
    <w:docVar w:name="KSO_WPS_MARK_KEY" w:val="3024b2f5-adbc-48bb-96c0-c1c61727ca46"/>
  </w:docVars>
  <w:rsids>
    <w:rsidRoot w:val="00172A27"/>
    <w:rsid w:val="00001C0C"/>
    <w:rsid w:val="00022670"/>
    <w:rsid w:val="0003723A"/>
    <w:rsid w:val="000512E4"/>
    <w:rsid w:val="000579D9"/>
    <w:rsid w:val="00063879"/>
    <w:rsid w:val="000741DF"/>
    <w:rsid w:val="0008502C"/>
    <w:rsid w:val="000900B2"/>
    <w:rsid w:val="000A6B6E"/>
    <w:rsid w:val="000A7867"/>
    <w:rsid w:val="000C1BB1"/>
    <w:rsid w:val="000C7BC5"/>
    <w:rsid w:val="000D478D"/>
    <w:rsid w:val="000F0B9A"/>
    <w:rsid w:val="00113126"/>
    <w:rsid w:val="0012327F"/>
    <w:rsid w:val="00126D8E"/>
    <w:rsid w:val="00144DC0"/>
    <w:rsid w:val="00156FB3"/>
    <w:rsid w:val="00160B97"/>
    <w:rsid w:val="00160F33"/>
    <w:rsid w:val="00165BA6"/>
    <w:rsid w:val="00166F27"/>
    <w:rsid w:val="00172A27"/>
    <w:rsid w:val="00177305"/>
    <w:rsid w:val="00192A8D"/>
    <w:rsid w:val="00193D21"/>
    <w:rsid w:val="001947B1"/>
    <w:rsid w:val="00195780"/>
    <w:rsid w:val="001B2C5D"/>
    <w:rsid w:val="001B43A9"/>
    <w:rsid w:val="001C6839"/>
    <w:rsid w:val="001C7C93"/>
    <w:rsid w:val="001D04F0"/>
    <w:rsid w:val="001D562D"/>
    <w:rsid w:val="001E7D79"/>
    <w:rsid w:val="001F0EA1"/>
    <w:rsid w:val="001F2F28"/>
    <w:rsid w:val="00210E1A"/>
    <w:rsid w:val="002156C1"/>
    <w:rsid w:val="002235C2"/>
    <w:rsid w:val="00236732"/>
    <w:rsid w:val="00270805"/>
    <w:rsid w:val="00283B01"/>
    <w:rsid w:val="00284786"/>
    <w:rsid w:val="002911B3"/>
    <w:rsid w:val="0029128D"/>
    <w:rsid w:val="00296208"/>
    <w:rsid w:val="002A078A"/>
    <w:rsid w:val="002A58C8"/>
    <w:rsid w:val="002B06BB"/>
    <w:rsid w:val="002B5F22"/>
    <w:rsid w:val="002C255D"/>
    <w:rsid w:val="002C6529"/>
    <w:rsid w:val="002C7E7D"/>
    <w:rsid w:val="002E2198"/>
    <w:rsid w:val="002E23B9"/>
    <w:rsid w:val="002E29E9"/>
    <w:rsid w:val="002E6188"/>
    <w:rsid w:val="002F4880"/>
    <w:rsid w:val="002F5B70"/>
    <w:rsid w:val="003002EA"/>
    <w:rsid w:val="00307A4F"/>
    <w:rsid w:val="00327617"/>
    <w:rsid w:val="00330A01"/>
    <w:rsid w:val="00334998"/>
    <w:rsid w:val="00336EEC"/>
    <w:rsid w:val="00340E75"/>
    <w:rsid w:val="00362A48"/>
    <w:rsid w:val="00375B6D"/>
    <w:rsid w:val="00377EFF"/>
    <w:rsid w:val="00380190"/>
    <w:rsid w:val="003A2BC3"/>
    <w:rsid w:val="003A37F2"/>
    <w:rsid w:val="003B18F8"/>
    <w:rsid w:val="003C712A"/>
    <w:rsid w:val="003D71E0"/>
    <w:rsid w:val="003E71C7"/>
    <w:rsid w:val="003F1C83"/>
    <w:rsid w:val="00406C00"/>
    <w:rsid w:val="00414E67"/>
    <w:rsid w:val="004222E9"/>
    <w:rsid w:val="004236D1"/>
    <w:rsid w:val="00432E43"/>
    <w:rsid w:val="00442028"/>
    <w:rsid w:val="00446764"/>
    <w:rsid w:val="00454E17"/>
    <w:rsid w:val="00457E40"/>
    <w:rsid w:val="00461D08"/>
    <w:rsid w:val="00472C27"/>
    <w:rsid w:val="00477342"/>
    <w:rsid w:val="00493323"/>
    <w:rsid w:val="00494386"/>
    <w:rsid w:val="004A0D7C"/>
    <w:rsid w:val="004B3B7E"/>
    <w:rsid w:val="004C6EEC"/>
    <w:rsid w:val="004E5336"/>
    <w:rsid w:val="004F189C"/>
    <w:rsid w:val="005018AC"/>
    <w:rsid w:val="005105C9"/>
    <w:rsid w:val="00517943"/>
    <w:rsid w:val="00520816"/>
    <w:rsid w:val="00530320"/>
    <w:rsid w:val="0053623D"/>
    <w:rsid w:val="005473FC"/>
    <w:rsid w:val="005562A6"/>
    <w:rsid w:val="0056345E"/>
    <w:rsid w:val="005643F6"/>
    <w:rsid w:val="00566174"/>
    <w:rsid w:val="00572A98"/>
    <w:rsid w:val="00597966"/>
    <w:rsid w:val="00597BA6"/>
    <w:rsid w:val="005A1200"/>
    <w:rsid w:val="005A5B08"/>
    <w:rsid w:val="005A75F8"/>
    <w:rsid w:val="005B0DE9"/>
    <w:rsid w:val="005B2E9B"/>
    <w:rsid w:val="005C10AE"/>
    <w:rsid w:val="005C5733"/>
    <w:rsid w:val="005E6A05"/>
    <w:rsid w:val="005F2CA3"/>
    <w:rsid w:val="005F56E9"/>
    <w:rsid w:val="005F7846"/>
    <w:rsid w:val="006003AB"/>
    <w:rsid w:val="006034C8"/>
    <w:rsid w:val="00605A47"/>
    <w:rsid w:val="0061087F"/>
    <w:rsid w:val="00615763"/>
    <w:rsid w:val="0062680C"/>
    <w:rsid w:val="00630A98"/>
    <w:rsid w:val="00635D9F"/>
    <w:rsid w:val="006428BD"/>
    <w:rsid w:val="006603D9"/>
    <w:rsid w:val="0067194D"/>
    <w:rsid w:val="006742B9"/>
    <w:rsid w:val="006744F1"/>
    <w:rsid w:val="00677CE1"/>
    <w:rsid w:val="00682163"/>
    <w:rsid w:val="00683774"/>
    <w:rsid w:val="006A277C"/>
    <w:rsid w:val="006B5B08"/>
    <w:rsid w:val="006C28F1"/>
    <w:rsid w:val="006C300A"/>
    <w:rsid w:val="006C71B4"/>
    <w:rsid w:val="006D3F4B"/>
    <w:rsid w:val="006D40C0"/>
    <w:rsid w:val="006D7D67"/>
    <w:rsid w:val="006E3F62"/>
    <w:rsid w:val="006F3406"/>
    <w:rsid w:val="006F491C"/>
    <w:rsid w:val="006F5EB8"/>
    <w:rsid w:val="006F77C0"/>
    <w:rsid w:val="007264C9"/>
    <w:rsid w:val="00726A1D"/>
    <w:rsid w:val="007272E3"/>
    <w:rsid w:val="00731013"/>
    <w:rsid w:val="007432DC"/>
    <w:rsid w:val="00755CD8"/>
    <w:rsid w:val="007576E0"/>
    <w:rsid w:val="00757FBD"/>
    <w:rsid w:val="00763650"/>
    <w:rsid w:val="007670B5"/>
    <w:rsid w:val="0077135E"/>
    <w:rsid w:val="0077336D"/>
    <w:rsid w:val="0077621B"/>
    <w:rsid w:val="00785449"/>
    <w:rsid w:val="00790913"/>
    <w:rsid w:val="007928E5"/>
    <w:rsid w:val="00797F2C"/>
    <w:rsid w:val="007A2FDF"/>
    <w:rsid w:val="007B229A"/>
    <w:rsid w:val="007C36A6"/>
    <w:rsid w:val="007E3289"/>
    <w:rsid w:val="007E6E69"/>
    <w:rsid w:val="007F3DE5"/>
    <w:rsid w:val="007F42B8"/>
    <w:rsid w:val="007F4D48"/>
    <w:rsid w:val="008101C0"/>
    <w:rsid w:val="00815AA1"/>
    <w:rsid w:val="00816209"/>
    <w:rsid w:val="00817F98"/>
    <w:rsid w:val="00820504"/>
    <w:rsid w:val="008231EA"/>
    <w:rsid w:val="008301B0"/>
    <w:rsid w:val="0083507D"/>
    <w:rsid w:val="008376B9"/>
    <w:rsid w:val="008537F2"/>
    <w:rsid w:val="00856ABE"/>
    <w:rsid w:val="00862FD0"/>
    <w:rsid w:val="00874355"/>
    <w:rsid w:val="00876E5D"/>
    <w:rsid w:val="00887C9B"/>
    <w:rsid w:val="008A6763"/>
    <w:rsid w:val="008C2FB0"/>
    <w:rsid w:val="008D0C70"/>
    <w:rsid w:val="008F0F4B"/>
    <w:rsid w:val="009017EC"/>
    <w:rsid w:val="00906BBB"/>
    <w:rsid w:val="00913CF6"/>
    <w:rsid w:val="00934FA9"/>
    <w:rsid w:val="00940297"/>
    <w:rsid w:val="00955881"/>
    <w:rsid w:val="009771DC"/>
    <w:rsid w:val="009778FC"/>
    <w:rsid w:val="00977D24"/>
    <w:rsid w:val="00977F5F"/>
    <w:rsid w:val="00987B92"/>
    <w:rsid w:val="00995889"/>
    <w:rsid w:val="0099644D"/>
    <w:rsid w:val="009A0D52"/>
    <w:rsid w:val="009B099B"/>
    <w:rsid w:val="00A03703"/>
    <w:rsid w:val="00A10763"/>
    <w:rsid w:val="00A16749"/>
    <w:rsid w:val="00A1794C"/>
    <w:rsid w:val="00A23A05"/>
    <w:rsid w:val="00A27EBA"/>
    <w:rsid w:val="00A41C89"/>
    <w:rsid w:val="00A541AD"/>
    <w:rsid w:val="00A625CC"/>
    <w:rsid w:val="00A66F5C"/>
    <w:rsid w:val="00A70A0D"/>
    <w:rsid w:val="00A70C5B"/>
    <w:rsid w:val="00A712FE"/>
    <w:rsid w:val="00A74E21"/>
    <w:rsid w:val="00A75BAB"/>
    <w:rsid w:val="00A76AB7"/>
    <w:rsid w:val="00A81489"/>
    <w:rsid w:val="00A834D0"/>
    <w:rsid w:val="00A85609"/>
    <w:rsid w:val="00AB40E4"/>
    <w:rsid w:val="00AB55B0"/>
    <w:rsid w:val="00AB5AA9"/>
    <w:rsid w:val="00AC34AB"/>
    <w:rsid w:val="00AC58B3"/>
    <w:rsid w:val="00AD6E5E"/>
    <w:rsid w:val="00AF74BD"/>
    <w:rsid w:val="00B04BC2"/>
    <w:rsid w:val="00B12293"/>
    <w:rsid w:val="00B15CA9"/>
    <w:rsid w:val="00B22C81"/>
    <w:rsid w:val="00B311CF"/>
    <w:rsid w:val="00B35486"/>
    <w:rsid w:val="00B53D0E"/>
    <w:rsid w:val="00B665D8"/>
    <w:rsid w:val="00B73B5C"/>
    <w:rsid w:val="00B874D5"/>
    <w:rsid w:val="00B92DBF"/>
    <w:rsid w:val="00B95A97"/>
    <w:rsid w:val="00BA5BB5"/>
    <w:rsid w:val="00BC5114"/>
    <w:rsid w:val="00BC549C"/>
    <w:rsid w:val="00BD3AD1"/>
    <w:rsid w:val="00BD717D"/>
    <w:rsid w:val="00BE06A8"/>
    <w:rsid w:val="00BF3D4B"/>
    <w:rsid w:val="00BF5F04"/>
    <w:rsid w:val="00C0268A"/>
    <w:rsid w:val="00C0438A"/>
    <w:rsid w:val="00C05D51"/>
    <w:rsid w:val="00C127F1"/>
    <w:rsid w:val="00C23820"/>
    <w:rsid w:val="00C24C44"/>
    <w:rsid w:val="00C2631C"/>
    <w:rsid w:val="00C530BA"/>
    <w:rsid w:val="00C65495"/>
    <w:rsid w:val="00C93837"/>
    <w:rsid w:val="00C96D14"/>
    <w:rsid w:val="00CB0307"/>
    <w:rsid w:val="00CC6C06"/>
    <w:rsid w:val="00CD276A"/>
    <w:rsid w:val="00CD3A63"/>
    <w:rsid w:val="00CF0F30"/>
    <w:rsid w:val="00CF65DA"/>
    <w:rsid w:val="00D07CC5"/>
    <w:rsid w:val="00D11898"/>
    <w:rsid w:val="00D13247"/>
    <w:rsid w:val="00D16B34"/>
    <w:rsid w:val="00D25071"/>
    <w:rsid w:val="00D27B60"/>
    <w:rsid w:val="00D478FC"/>
    <w:rsid w:val="00D60994"/>
    <w:rsid w:val="00D61FC6"/>
    <w:rsid w:val="00D66E62"/>
    <w:rsid w:val="00D71CCC"/>
    <w:rsid w:val="00D809EE"/>
    <w:rsid w:val="00D8539F"/>
    <w:rsid w:val="00DA0582"/>
    <w:rsid w:val="00DA32F1"/>
    <w:rsid w:val="00DB23C2"/>
    <w:rsid w:val="00DB6FB3"/>
    <w:rsid w:val="00DF4501"/>
    <w:rsid w:val="00E11B96"/>
    <w:rsid w:val="00E203F8"/>
    <w:rsid w:val="00E3530B"/>
    <w:rsid w:val="00E62857"/>
    <w:rsid w:val="00E66EAC"/>
    <w:rsid w:val="00E72C31"/>
    <w:rsid w:val="00E7552F"/>
    <w:rsid w:val="00E75BF2"/>
    <w:rsid w:val="00E85EEA"/>
    <w:rsid w:val="00E87933"/>
    <w:rsid w:val="00E92733"/>
    <w:rsid w:val="00E94725"/>
    <w:rsid w:val="00EC5CF3"/>
    <w:rsid w:val="00EC6C06"/>
    <w:rsid w:val="00EC7FC7"/>
    <w:rsid w:val="00ED08E5"/>
    <w:rsid w:val="00EE04E7"/>
    <w:rsid w:val="00EE3006"/>
    <w:rsid w:val="00EF3BC8"/>
    <w:rsid w:val="00F1477F"/>
    <w:rsid w:val="00F149E1"/>
    <w:rsid w:val="00F14B41"/>
    <w:rsid w:val="00F25B7F"/>
    <w:rsid w:val="00F35134"/>
    <w:rsid w:val="00F371B5"/>
    <w:rsid w:val="00F4054C"/>
    <w:rsid w:val="00F407FA"/>
    <w:rsid w:val="00F51925"/>
    <w:rsid w:val="00F533D4"/>
    <w:rsid w:val="00F66603"/>
    <w:rsid w:val="00F73F80"/>
    <w:rsid w:val="00F86A39"/>
    <w:rsid w:val="00F87998"/>
    <w:rsid w:val="00F92855"/>
    <w:rsid w:val="00F93296"/>
    <w:rsid w:val="00FA2A7C"/>
    <w:rsid w:val="00FA3168"/>
    <w:rsid w:val="00FB39C9"/>
    <w:rsid w:val="00FC2E4E"/>
    <w:rsid w:val="00FD2274"/>
    <w:rsid w:val="00FE19DD"/>
    <w:rsid w:val="01BC4E02"/>
    <w:rsid w:val="01FA400A"/>
    <w:rsid w:val="02803235"/>
    <w:rsid w:val="03C93855"/>
    <w:rsid w:val="03E21648"/>
    <w:rsid w:val="04C6277F"/>
    <w:rsid w:val="054A57DE"/>
    <w:rsid w:val="06130E19"/>
    <w:rsid w:val="0895522E"/>
    <w:rsid w:val="094E71DE"/>
    <w:rsid w:val="0A4C04BA"/>
    <w:rsid w:val="0A887EA1"/>
    <w:rsid w:val="0AAB138C"/>
    <w:rsid w:val="0AD63160"/>
    <w:rsid w:val="0BD87893"/>
    <w:rsid w:val="0C1650E1"/>
    <w:rsid w:val="0C8956D0"/>
    <w:rsid w:val="0CE20369"/>
    <w:rsid w:val="0D037E32"/>
    <w:rsid w:val="0D963A2A"/>
    <w:rsid w:val="0DCB6EE9"/>
    <w:rsid w:val="0DDD6D83"/>
    <w:rsid w:val="0E4B7C02"/>
    <w:rsid w:val="0E88472F"/>
    <w:rsid w:val="0F285631"/>
    <w:rsid w:val="0F2B26EE"/>
    <w:rsid w:val="100C0A22"/>
    <w:rsid w:val="10182972"/>
    <w:rsid w:val="10307B2A"/>
    <w:rsid w:val="10D206F5"/>
    <w:rsid w:val="1149155F"/>
    <w:rsid w:val="11F37062"/>
    <w:rsid w:val="129844CF"/>
    <w:rsid w:val="12CD7662"/>
    <w:rsid w:val="12DE12AD"/>
    <w:rsid w:val="13AF4D1D"/>
    <w:rsid w:val="13B16A7A"/>
    <w:rsid w:val="14292D22"/>
    <w:rsid w:val="155D0173"/>
    <w:rsid w:val="155D0ED5"/>
    <w:rsid w:val="15897831"/>
    <w:rsid w:val="15BD1974"/>
    <w:rsid w:val="163A7FE7"/>
    <w:rsid w:val="17D80CCE"/>
    <w:rsid w:val="17E94D8E"/>
    <w:rsid w:val="188A30D0"/>
    <w:rsid w:val="18BA3025"/>
    <w:rsid w:val="18D71B4A"/>
    <w:rsid w:val="19656357"/>
    <w:rsid w:val="1990554E"/>
    <w:rsid w:val="19A215AC"/>
    <w:rsid w:val="1A0D324C"/>
    <w:rsid w:val="1A741A14"/>
    <w:rsid w:val="1A896D39"/>
    <w:rsid w:val="1BD25A4D"/>
    <w:rsid w:val="1C856F63"/>
    <w:rsid w:val="1CD9665B"/>
    <w:rsid w:val="1D04380A"/>
    <w:rsid w:val="1D540E0F"/>
    <w:rsid w:val="1DF40687"/>
    <w:rsid w:val="1E964508"/>
    <w:rsid w:val="1F5A3791"/>
    <w:rsid w:val="1F6F377A"/>
    <w:rsid w:val="1F795C9E"/>
    <w:rsid w:val="1F801D00"/>
    <w:rsid w:val="206C46C2"/>
    <w:rsid w:val="20790B8D"/>
    <w:rsid w:val="208C406B"/>
    <w:rsid w:val="20DA4450"/>
    <w:rsid w:val="20F92EC0"/>
    <w:rsid w:val="21D56297"/>
    <w:rsid w:val="22192C67"/>
    <w:rsid w:val="22902419"/>
    <w:rsid w:val="23D5432C"/>
    <w:rsid w:val="24A36DFA"/>
    <w:rsid w:val="24A835B0"/>
    <w:rsid w:val="24D34063"/>
    <w:rsid w:val="25290DD3"/>
    <w:rsid w:val="26306192"/>
    <w:rsid w:val="263A0DBE"/>
    <w:rsid w:val="26F16CF3"/>
    <w:rsid w:val="2716614F"/>
    <w:rsid w:val="27A83C81"/>
    <w:rsid w:val="27B364AA"/>
    <w:rsid w:val="27EC1E48"/>
    <w:rsid w:val="283F26BC"/>
    <w:rsid w:val="28B1280D"/>
    <w:rsid w:val="292C33BF"/>
    <w:rsid w:val="295403E9"/>
    <w:rsid w:val="29E11C7D"/>
    <w:rsid w:val="2A377AEF"/>
    <w:rsid w:val="2A3C3080"/>
    <w:rsid w:val="2ADB491E"/>
    <w:rsid w:val="2ADC41F2"/>
    <w:rsid w:val="2B2362C5"/>
    <w:rsid w:val="2B343AE4"/>
    <w:rsid w:val="2B481698"/>
    <w:rsid w:val="2B6947C0"/>
    <w:rsid w:val="2BE85CB0"/>
    <w:rsid w:val="2BFA1E04"/>
    <w:rsid w:val="2CBC367D"/>
    <w:rsid w:val="2D4F0A9A"/>
    <w:rsid w:val="2D603E90"/>
    <w:rsid w:val="2E1F6DCE"/>
    <w:rsid w:val="2E8B59D5"/>
    <w:rsid w:val="2F7B1237"/>
    <w:rsid w:val="306747DB"/>
    <w:rsid w:val="30B96E22"/>
    <w:rsid w:val="31476781"/>
    <w:rsid w:val="314C7616"/>
    <w:rsid w:val="31BC4AAE"/>
    <w:rsid w:val="323B2146"/>
    <w:rsid w:val="325D1ABD"/>
    <w:rsid w:val="32992218"/>
    <w:rsid w:val="32A970B0"/>
    <w:rsid w:val="333A23FE"/>
    <w:rsid w:val="344258C0"/>
    <w:rsid w:val="34CC740B"/>
    <w:rsid w:val="35325511"/>
    <w:rsid w:val="369D0D46"/>
    <w:rsid w:val="37115BB5"/>
    <w:rsid w:val="374E0226"/>
    <w:rsid w:val="38D36DBE"/>
    <w:rsid w:val="393521E9"/>
    <w:rsid w:val="3A116E69"/>
    <w:rsid w:val="3A1741DD"/>
    <w:rsid w:val="3AB546FE"/>
    <w:rsid w:val="3BB33AD1"/>
    <w:rsid w:val="3BC30191"/>
    <w:rsid w:val="3CB925E5"/>
    <w:rsid w:val="3CDF21A9"/>
    <w:rsid w:val="3D1760A7"/>
    <w:rsid w:val="3DC71657"/>
    <w:rsid w:val="3E6B3DB3"/>
    <w:rsid w:val="3E8105A3"/>
    <w:rsid w:val="3EAF2DBD"/>
    <w:rsid w:val="3EF959A7"/>
    <w:rsid w:val="41DF489C"/>
    <w:rsid w:val="42263C07"/>
    <w:rsid w:val="4229548A"/>
    <w:rsid w:val="42864D18"/>
    <w:rsid w:val="42B0108D"/>
    <w:rsid w:val="430E0E56"/>
    <w:rsid w:val="43EE526A"/>
    <w:rsid w:val="45CE5264"/>
    <w:rsid w:val="45E4748A"/>
    <w:rsid w:val="465D0485"/>
    <w:rsid w:val="46FB29AD"/>
    <w:rsid w:val="4753416B"/>
    <w:rsid w:val="47CE6521"/>
    <w:rsid w:val="48076156"/>
    <w:rsid w:val="4823219D"/>
    <w:rsid w:val="49117305"/>
    <w:rsid w:val="499852D0"/>
    <w:rsid w:val="4A527C06"/>
    <w:rsid w:val="4A9B77CE"/>
    <w:rsid w:val="4AE253FD"/>
    <w:rsid w:val="4B216F3F"/>
    <w:rsid w:val="4B671D01"/>
    <w:rsid w:val="4B7342A7"/>
    <w:rsid w:val="4BC00705"/>
    <w:rsid w:val="4C5F6FBD"/>
    <w:rsid w:val="4D743F23"/>
    <w:rsid w:val="4DAA2314"/>
    <w:rsid w:val="4E8C5DAC"/>
    <w:rsid w:val="4ECB6B45"/>
    <w:rsid w:val="4F0B72EA"/>
    <w:rsid w:val="4F5240C6"/>
    <w:rsid w:val="4FB0717E"/>
    <w:rsid w:val="50504BB7"/>
    <w:rsid w:val="513424C7"/>
    <w:rsid w:val="51823496"/>
    <w:rsid w:val="51912641"/>
    <w:rsid w:val="51D9423F"/>
    <w:rsid w:val="51E90E1F"/>
    <w:rsid w:val="5266163F"/>
    <w:rsid w:val="52B52187"/>
    <w:rsid w:val="52E67B99"/>
    <w:rsid w:val="52F1442F"/>
    <w:rsid w:val="5302488E"/>
    <w:rsid w:val="531E5B66"/>
    <w:rsid w:val="53AB0A82"/>
    <w:rsid w:val="53CD194D"/>
    <w:rsid w:val="53D747AB"/>
    <w:rsid w:val="545729B8"/>
    <w:rsid w:val="54B27BEE"/>
    <w:rsid w:val="54B36A85"/>
    <w:rsid w:val="562724C3"/>
    <w:rsid w:val="564F0AC4"/>
    <w:rsid w:val="56E9604A"/>
    <w:rsid w:val="572B4EFC"/>
    <w:rsid w:val="57E32D22"/>
    <w:rsid w:val="59030A64"/>
    <w:rsid w:val="59B77A55"/>
    <w:rsid w:val="5A0272FA"/>
    <w:rsid w:val="5A47702B"/>
    <w:rsid w:val="5BCA630A"/>
    <w:rsid w:val="5C78171D"/>
    <w:rsid w:val="5D7C2B5D"/>
    <w:rsid w:val="5E5E170D"/>
    <w:rsid w:val="5E780936"/>
    <w:rsid w:val="5E9443E0"/>
    <w:rsid w:val="5F2A3060"/>
    <w:rsid w:val="609035D2"/>
    <w:rsid w:val="60C969EB"/>
    <w:rsid w:val="616466CE"/>
    <w:rsid w:val="61682B46"/>
    <w:rsid w:val="619E084C"/>
    <w:rsid w:val="6252656D"/>
    <w:rsid w:val="64041AE8"/>
    <w:rsid w:val="646B7DB9"/>
    <w:rsid w:val="64D50816"/>
    <w:rsid w:val="664E0674"/>
    <w:rsid w:val="66CC6958"/>
    <w:rsid w:val="68693416"/>
    <w:rsid w:val="68893CF7"/>
    <w:rsid w:val="693370F8"/>
    <w:rsid w:val="69801C11"/>
    <w:rsid w:val="699A724E"/>
    <w:rsid w:val="6AB2229E"/>
    <w:rsid w:val="6AD62431"/>
    <w:rsid w:val="6B5E41D4"/>
    <w:rsid w:val="6B8314CF"/>
    <w:rsid w:val="6C0062C3"/>
    <w:rsid w:val="6C066099"/>
    <w:rsid w:val="6C9E6F7E"/>
    <w:rsid w:val="6CD31019"/>
    <w:rsid w:val="6DEA1D4F"/>
    <w:rsid w:val="6E00504A"/>
    <w:rsid w:val="6E61036E"/>
    <w:rsid w:val="6EA63EC8"/>
    <w:rsid w:val="6EF16CAA"/>
    <w:rsid w:val="6F0C3500"/>
    <w:rsid w:val="6F1352D6"/>
    <w:rsid w:val="6F280ED6"/>
    <w:rsid w:val="6F6F075E"/>
    <w:rsid w:val="70123F1D"/>
    <w:rsid w:val="701B360B"/>
    <w:rsid w:val="70C1740A"/>
    <w:rsid w:val="71554DCC"/>
    <w:rsid w:val="715F4A1C"/>
    <w:rsid w:val="71922761"/>
    <w:rsid w:val="72F571CC"/>
    <w:rsid w:val="73591F0C"/>
    <w:rsid w:val="7372081D"/>
    <w:rsid w:val="73AE6E29"/>
    <w:rsid w:val="73BE0F24"/>
    <w:rsid w:val="73EA30DE"/>
    <w:rsid w:val="74450693"/>
    <w:rsid w:val="74595033"/>
    <w:rsid w:val="749B20E4"/>
    <w:rsid w:val="74A13A9D"/>
    <w:rsid w:val="759E3B4B"/>
    <w:rsid w:val="75ED4AD2"/>
    <w:rsid w:val="76BE5591"/>
    <w:rsid w:val="76E75CCC"/>
    <w:rsid w:val="76E804FA"/>
    <w:rsid w:val="76EE5236"/>
    <w:rsid w:val="777D1F3B"/>
    <w:rsid w:val="779B7D16"/>
    <w:rsid w:val="783764D9"/>
    <w:rsid w:val="784A620C"/>
    <w:rsid w:val="787F42CC"/>
    <w:rsid w:val="78D2353D"/>
    <w:rsid w:val="792A3948"/>
    <w:rsid w:val="79634226"/>
    <w:rsid w:val="79D264B9"/>
    <w:rsid w:val="7A146AD1"/>
    <w:rsid w:val="7B314B5C"/>
    <w:rsid w:val="7B7A2964"/>
    <w:rsid w:val="7C0148BF"/>
    <w:rsid w:val="7C3C40BE"/>
    <w:rsid w:val="7C5B554D"/>
    <w:rsid w:val="7CA37C99"/>
    <w:rsid w:val="7D1D6F2F"/>
    <w:rsid w:val="7D47051B"/>
    <w:rsid w:val="7E5D6749"/>
    <w:rsid w:val="7E7B5F69"/>
    <w:rsid w:val="7ED3091C"/>
    <w:rsid w:val="7FA2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99" w:semiHidden="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jc w:val="center"/>
      <w:outlineLvl w:val="0"/>
    </w:pPr>
    <w:rPr>
      <w:b/>
      <w:bCs/>
      <w:sz w:val="32"/>
    </w:rPr>
  </w:style>
  <w:style w:type="paragraph" w:styleId="3">
    <w:name w:val="heading 2"/>
    <w:basedOn w:val="1"/>
    <w:next w:val="1"/>
    <w:link w:val="84"/>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link w:val="53"/>
    <w:qFormat/>
    <w:uiPriority w:val="0"/>
    <w:pPr>
      <w:keepNext/>
      <w:keepLines/>
      <w:spacing w:before="280" w:after="290" w:line="376" w:lineRule="auto"/>
      <w:outlineLvl w:val="3"/>
    </w:pPr>
    <w:rPr>
      <w:rFonts w:ascii="宋体" w:hAnsi="Arial" w:eastAsia="黑体"/>
      <w:b/>
      <w:kern w:val="0"/>
      <w:sz w:val="24"/>
      <w:szCs w:val="20"/>
    </w:rPr>
  </w:style>
  <w:style w:type="paragraph" w:styleId="6">
    <w:name w:val="heading 5"/>
    <w:basedOn w:val="1"/>
    <w:next w:val="7"/>
    <w:link w:val="81"/>
    <w:qFormat/>
    <w:uiPriority w:val="0"/>
    <w:pPr>
      <w:keepNext/>
      <w:keepLines/>
      <w:spacing w:before="280" w:after="290" w:line="376" w:lineRule="auto"/>
      <w:outlineLvl w:val="4"/>
    </w:pPr>
    <w:rPr>
      <w:b/>
      <w:kern w:val="0"/>
      <w:sz w:val="28"/>
      <w:szCs w:val="20"/>
    </w:rPr>
  </w:style>
  <w:style w:type="paragraph" w:styleId="8">
    <w:name w:val="heading 6"/>
    <w:basedOn w:val="1"/>
    <w:next w:val="1"/>
    <w:link w:val="51"/>
    <w:qFormat/>
    <w:uiPriority w:val="0"/>
    <w:pPr>
      <w:keepNext/>
      <w:keepLines/>
      <w:spacing w:before="240" w:after="64" w:line="320" w:lineRule="auto"/>
      <w:outlineLvl w:val="5"/>
    </w:pPr>
    <w:rPr>
      <w:rFonts w:ascii="Arial" w:hAnsi="Arial" w:eastAsia="黑体"/>
      <w:b/>
      <w:kern w:val="0"/>
      <w:sz w:val="24"/>
      <w:szCs w:val="20"/>
    </w:rPr>
  </w:style>
  <w:style w:type="paragraph" w:styleId="9">
    <w:name w:val="heading 7"/>
    <w:basedOn w:val="1"/>
    <w:next w:val="7"/>
    <w:link w:val="67"/>
    <w:qFormat/>
    <w:uiPriority w:val="0"/>
    <w:pPr>
      <w:keepNext/>
      <w:keepLines/>
      <w:spacing w:before="240" w:after="64" w:line="320" w:lineRule="auto"/>
      <w:outlineLvl w:val="6"/>
    </w:pPr>
    <w:rPr>
      <w:b/>
      <w:kern w:val="0"/>
      <w:sz w:val="24"/>
      <w:szCs w:val="20"/>
    </w:rPr>
  </w:style>
  <w:style w:type="paragraph" w:styleId="10">
    <w:name w:val="heading 8"/>
    <w:basedOn w:val="1"/>
    <w:next w:val="7"/>
    <w:link w:val="58"/>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7"/>
    <w:link w:val="85"/>
    <w:qFormat/>
    <w:uiPriority w:val="0"/>
    <w:pPr>
      <w:keepNext/>
      <w:keepLines/>
      <w:spacing w:before="240" w:after="64" w:line="320" w:lineRule="auto"/>
      <w:outlineLvl w:val="8"/>
    </w:pPr>
    <w:rPr>
      <w:rFonts w:ascii="Arial" w:hAnsi="Arial" w:eastAsia="黑体"/>
      <w:kern w:val="0"/>
      <w:sz w:val="20"/>
      <w:szCs w:val="20"/>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6"/>
    <w:qFormat/>
    <w:uiPriority w:val="0"/>
    <w:pPr>
      <w:ind w:firstLine="420"/>
    </w:pPr>
    <w:rPr>
      <w:kern w:val="0"/>
      <w:sz w:val="20"/>
      <w:szCs w:val="20"/>
    </w:rPr>
  </w:style>
  <w:style w:type="paragraph" w:styleId="12">
    <w:name w:val="caption"/>
    <w:basedOn w:val="1"/>
    <w:next w:val="1"/>
    <w:semiHidden/>
    <w:unhideWhenUsed/>
    <w:qFormat/>
    <w:uiPriority w:val="0"/>
    <w:pPr>
      <w:spacing w:before="152" w:after="160"/>
    </w:pPr>
    <w:rPr>
      <w:rFonts w:ascii="Arial" w:hAnsi="Arial" w:eastAsia="黑体" w:cs="Arial"/>
      <w:sz w:val="20"/>
      <w:szCs w:val="20"/>
    </w:rPr>
  </w:style>
  <w:style w:type="paragraph" w:styleId="13">
    <w:name w:val="Document Map"/>
    <w:basedOn w:val="1"/>
    <w:link w:val="78"/>
    <w:semiHidden/>
    <w:qFormat/>
    <w:uiPriority w:val="0"/>
    <w:pPr>
      <w:shd w:val="clear" w:color="auto" w:fill="000080"/>
    </w:pPr>
    <w:rPr>
      <w:kern w:val="0"/>
      <w:sz w:val="20"/>
    </w:rPr>
  </w:style>
  <w:style w:type="paragraph" w:styleId="14">
    <w:name w:val="annotation text"/>
    <w:basedOn w:val="1"/>
    <w:link w:val="57"/>
    <w:unhideWhenUsed/>
    <w:qFormat/>
    <w:uiPriority w:val="0"/>
    <w:pPr>
      <w:jc w:val="left"/>
    </w:pPr>
  </w:style>
  <w:style w:type="paragraph" w:styleId="15">
    <w:name w:val="Body Text 3"/>
    <w:basedOn w:val="1"/>
    <w:link w:val="119"/>
    <w:unhideWhenUsed/>
    <w:qFormat/>
    <w:uiPriority w:val="0"/>
    <w:pPr>
      <w:spacing w:after="120"/>
    </w:pPr>
    <w:rPr>
      <w:sz w:val="16"/>
      <w:szCs w:val="16"/>
    </w:rPr>
  </w:style>
  <w:style w:type="paragraph" w:styleId="16">
    <w:name w:val="Body Text"/>
    <w:basedOn w:val="1"/>
    <w:link w:val="71"/>
    <w:qFormat/>
    <w:uiPriority w:val="0"/>
    <w:pPr>
      <w:autoSpaceDE w:val="0"/>
      <w:autoSpaceDN w:val="0"/>
      <w:adjustRightInd w:val="0"/>
      <w:spacing w:after="120"/>
      <w:jc w:val="left"/>
    </w:pPr>
    <w:rPr>
      <w:rFonts w:ascii="宋体"/>
      <w:kern w:val="0"/>
      <w:sz w:val="34"/>
      <w:szCs w:val="20"/>
    </w:rPr>
  </w:style>
  <w:style w:type="paragraph" w:styleId="17">
    <w:name w:val="Body Text Indent"/>
    <w:basedOn w:val="1"/>
    <w:link w:val="76"/>
    <w:qFormat/>
    <w:uiPriority w:val="0"/>
    <w:pPr>
      <w:spacing w:line="200" w:lineRule="exact"/>
      <w:ind w:firstLine="301"/>
    </w:pPr>
    <w:rPr>
      <w:rFonts w:ascii="宋体" w:hAnsi="Courier New"/>
      <w:spacing w:val="-4"/>
      <w:kern w:val="0"/>
      <w:sz w:val="18"/>
      <w:szCs w:val="20"/>
    </w:rPr>
  </w:style>
  <w:style w:type="paragraph" w:styleId="18">
    <w:name w:val="index 4"/>
    <w:basedOn w:val="1"/>
    <w:next w:val="1"/>
    <w:unhideWhenUsed/>
    <w:qFormat/>
    <w:uiPriority w:val="99"/>
    <w:pPr>
      <w:ind w:left="600" w:leftChars="600"/>
    </w:pPr>
    <w:rPr>
      <w:rFonts w:ascii="Verdana" w:hAnsi="Verdana"/>
      <w:szCs w:val="20"/>
    </w:rPr>
  </w:style>
  <w:style w:type="paragraph" w:styleId="19">
    <w:name w:val="toc 3"/>
    <w:basedOn w:val="1"/>
    <w:next w:val="1"/>
    <w:unhideWhenUsed/>
    <w:qFormat/>
    <w:uiPriority w:val="39"/>
    <w:pPr>
      <w:widowControl/>
      <w:spacing w:after="100" w:line="276" w:lineRule="auto"/>
      <w:ind w:left="440"/>
      <w:jc w:val="left"/>
    </w:pPr>
    <w:rPr>
      <w:rFonts w:ascii="Calibri" w:hAnsi="Calibri" w:cs="黑体"/>
      <w:kern w:val="0"/>
      <w:sz w:val="22"/>
      <w:szCs w:val="22"/>
    </w:rPr>
  </w:style>
  <w:style w:type="paragraph" w:styleId="20">
    <w:name w:val="Plain Text"/>
    <w:basedOn w:val="1"/>
    <w:link w:val="66"/>
    <w:qFormat/>
    <w:uiPriority w:val="0"/>
    <w:rPr>
      <w:rFonts w:ascii="宋体" w:hAnsi="Courier New"/>
      <w:kern w:val="0"/>
      <w:sz w:val="20"/>
      <w:szCs w:val="20"/>
    </w:rPr>
  </w:style>
  <w:style w:type="paragraph" w:styleId="21">
    <w:name w:val="toc 8"/>
    <w:basedOn w:val="1"/>
    <w:next w:val="1"/>
    <w:semiHidden/>
    <w:qFormat/>
    <w:uiPriority w:val="0"/>
    <w:pPr>
      <w:tabs>
        <w:tab w:val="left" w:pos="358"/>
      </w:tabs>
      <w:ind w:left="2940" w:leftChars="1400"/>
    </w:pPr>
  </w:style>
  <w:style w:type="paragraph" w:styleId="22">
    <w:name w:val="Date"/>
    <w:basedOn w:val="1"/>
    <w:next w:val="1"/>
    <w:link w:val="64"/>
    <w:qFormat/>
    <w:uiPriority w:val="0"/>
    <w:pPr>
      <w:ind w:left="100" w:leftChars="2500"/>
    </w:pPr>
    <w:rPr>
      <w:spacing w:val="30"/>
      <w:kern w:val="0"/>
      <w:sz w:val="28"/>
    </w:rPr>
  </w:style>
  <w:style w:type="paragraph" w:styleId="23">
    <w:name w:val="Body Text Indent 2"/>
    <w:basedOn w:val="1"/>
    <w:link w:val="63"/>
    <w:qFormat/>
    <w:uiPriority w:val="0"/>
    <w:pPr>
      <w:spacing w:line="400" w:lineRule="exact"/>
      <w:ind w:firstLine="480"/>
    </w:pPr>
    <w:rPr>
      <w:kern w:val="0"/>
      <w:sz w:val="20"/>
    </w:rPr>
  </w:style>
  <w:style w:type="paragraph" w:styleId="24">
    <w:name w:val="Balloon Text"/>
    <w:basedOn w:val="1"/>
    <w:link w:val="69"/>
    <w:semiHidden/>
    <w:qFormat/>
    <w:uiPriority w:val="0"/>
    <w:rPr>
      <w:kern w:val="0"/>
      <w:sz w:val="18"/>
      <w:szCs w:val="18"/>
    </w:rPr>
  </w:style>
  <w:style w:type="paragraph" w:styleId="25">
    <w:name w:val="footer"/>
    <w:basedOn w:val="1"/>
    <w:link w:val="70"/>
    <w:qFormat/>
    <w:uiPriority w:val="99"/>
    <w:pPr>
      <w:tabs>
        <w:tab w:val="center" w:pos="4153"/>
        <w:tab w:val="right" w:pos="8306"/>
      </w:tabs>
      <w:snapToGrid w:val="0"/>
      <w:jc w:val="left"/>
    </w:pPr>
    <w:rPr>
      <w:rFonts w:ascii="宋体" w:hAnsi="Courier New"/>
      <w:kern w:val="0"/>
      <w:sz w:val="18"/>
      <w:szCs w:val="20"/>
    </w:rPr>
  </w:style>
  <w:style w:type="paragraph" w:styleId="26">
    <w:name w:val="envelope return"/>
    <w:basedOn w:val="1"/>
    <w:qFormat/>
    <w:uiPriority w:val="0"/>
    <w:pPr>
      <w:snapToGrid w:val="0"/>
    </w:pPr>
    <w:rPr>
      <w:rFonts w:ascii="Arial" w:hAnsi="Arial"/>
    </w:rPr>
  </w:style>
  <w:style w:type="paragraph" w:styleId="27">
    <w:name w:val="header"/>
    <w:basedOn w:val="1"/>
    <w:link w:val="60"/>
    <w:qFormat/>
    <w:uiPriority w:val="0"/>
    <w:pPr>
      <w:pBdr>
        <w:bottom w:val="single" w:color="auto" w:sz="6" w:space="1"/>
      </w:pBdr>
      <w:tabs>
        <w:tab w:val="center" w:pos="4153"/>
        <w:tab w:val="right" w:pos="8306"/>
      </w:tabs>
      <w:snapToGrid w:val="0"/>
      <w:jc w:val="center"/>
    </w:pPr>
    <w:rPr>
      <w:rFonts w:ascii="宋体" w:hAnsi="Courier New"/>
      <w:kern w:val="0"/>
      <w:sz w:val="18"/>
      <w:szCs w:val="20"/>
    </w:rPr>
  </w:style>
  <w:style w:type="paragraph" w:styleId="28">
    <w:name w:val="toc 1"/>
    <w:basedOn w:val="1"/>
    <w:next w:val="1"/>
    <w:unhideWhenUsed/>
    <w:qFormat/>
    <w:uiPriority w:val="39"/>
    <w:pPr>
      <w:widowControl/>
      <w:spacing w:after="100" w:line="276" w:lineRule="auto"/>
      <w:jc w:val="left"/>
    </w:pPr>
    <w:rPr>
      <w:rFonts w:ascii="Calibri" w:hAnsi="Calibri" w:cs="黑体"/>
      <w:kern w:val="0"/>
      <w:sz w:val="22"/>
      <w:szCs w:val="22"/>
    </w:rPr>
  </w:style>
  <w:style w:type="paragraph" w:styleId="29">
    <w:name w:val="List"/>
    <w:basedOn w:val="1"/>
    <w:semiHidden/>
    <w:unhideWhenUsed/>
    <w:qFormat/>
    <w:uiPriority w:val="0"/>
    <w:pPr>
      <w:ind w:left="200" w:hanging="200" w:hangingChars="200"/>
    </w:pPr>
    <w:rPr>
      <w:sz w:val="28"/>
    </w:rPr>
  </w:style>
  <w:style w:type="paragraph" w:styleId="30">
    <w:name w:val="Body Text Indent 3"/>
    <w:basedOn w:val="1"/>
    <w:link w:val="82"/>
    <w:qFormat/>
    <w:uiPriority w:val="0"/>
    <w:pPr>
      <w:spacing w:line="360" w:lineRule="auto"/>
      <w:ind w:firstLine="359" w:firstLineChars="171"/>
    </w:pPr>
    <w:rPr>
      <w:kern w:val="0"/>
      <w:sz w:val="20"/>
    </w:rPr>
  </w:style>
  <w:style w:type="paragraph" w:styleId="31">
    <w:name w:val="toc 2"/>
    <w:basedOn w:val="1"/>
    <w:next w:val="1"/>
    <w:unhideWhenUsed/>
    <w:qFormat/>
    <w:uiPriority w:val="39"/>
    <w:pPr>
      <w:widowControl/>
      <w:spacing w:after="100" w:line="276" w:lineRule="auto"/>
      <w:ind w:left="220"/>
      <w:jc w:val="left"/>
    </w:pPr>
    <w:rPr>
      <w:rFonts w:ascii="Calibri" w:hAnsi="Calibri" w:cs="黑体"/>
      <w:kern w:val="0"/>
      <w:sz w:val="22"/>
      <w:szCs w:val="22"/>
    </w:rPr>
  </w:style>
  <w:style w:type="paragraph" w:styleId="3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3">
    <w:name w:val="Normal (Web)"/>
    <w:basedOn w:val="1"/>
    <w:qFormat/>
    <w:uiPriority w:val="0"/>
    <w:pPr>
      <w:spacing w:beforeAutospacing="1" w:afterAutospacing="1"/>
      <w:jc w:val="left"/>
    </w:pPr>
    <w:rPr>
      <w:kern w:val="0"/>
      <w:sz w:val="24"/>
    </w:rPr>
  </w:style>
  <w:style w:type="paragraph" w:styleId="34">
    <w:name w:val="index 1"/>
    <w:basedOn w:val="1"/>
    <w:next w:val="1"/>
    <w:semiHidden/>
    <w:qFormat/>
    <w:uiPriority w:val="0"/>
    <w:pPr>
      <w:spacing w:line="360" w:lineRule="exact"/>
      <w:ind w:firstLine="432" w:firstLineChars="240"/>
    </w:pPr>
    <w:rPr>
      <w:rFonts w:ascii="宋体" w:hAnsi="宋体"/>
      <w:bCs/>
      <w:sz w:val="18"/>
      <w:szCs w:val="18"/>
    </w:rPr>
  </w:style>
  <w:style w:type="paragraph" w:styleId="35">
    <w:name w:val="annotation subject"/>
    <w:basedOn w:val="14"/>
    <w:next w:val="14"/>
    <w:link w:val="116"/>
    <w:semiHidden/>
    <w:unhideWhenUsed/>
    <w:qFormat/>
    <w:uiPriority w:val="0"/>
    <w:rPr>
      <w:b/>
      <w:bCs/>
    </w:rPr>
  </w:style>
  <w:style w:type="paragraph" w:styleId="36">
    <w:name w:val="Body Text First Indent 2"/>
    <w:basedOn w:val="17"/>
    <w:link w:val="125"/>
    <w:qFormat/>
    <w:uiPriority w:val="0"/>
    <w:pPr>
      <w:spacing w:after="120" w:line="240" w:lineRule="auto"/>
      <w:ind w:left="420" w:leftChars="200" w:firstLine="420" w:firstLineChars="200"/>
    </w:pPr>
    <w:rPr>
      <w:rFonts w:ascii="Times New Roman" w:hAnsi="Times New Roman"/>
      <w:spacing w:val="0"/>
      <w:kern w:val="2"/>
      <w:sz w:val="21"/>
      <w:szCs w:val="24"/>
    </w:rPr>
  </w:style>
  <w:style w:type="table" w:styleId="38">
    <w:name w:val="Table Grid"/>
    <w:basedOn w:val="3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0"/>
    <w:rPr>
      <w:color w:val="CC0000"/>
    </w:rPr>
  </w:style>
  <w:style w:type="character" w:styleId="44">
    <w:name w:val="Hyperlink"/>
    <w:qFormat/>
    <w:uiPriority w:val="99"/>
    <w:rPr>
      <w:color w:val="0000FF"/>
      <w:u w:val="single"/>
    </w:rPr>
  </w:style>
  <w:style w:type="character" w:styleId="45">
    <w:name w:val="annotation reference"/>
    <w:basedOn w:val="39"/>
    <w:qFormat/>
    <w:uiPriority w:val="0"/>
    <w:rPr>
      <w:sz w:val="21"/>
    </w:rPr>
  </w:style>
  <w:style w:type="character" w:styleId="46">
    <w:name w:val="HTML Sample"/>
    <w:unhideWhenUsed/>
    <w:qFormat/>
    <w:uiPriority w:val="99"/>
    <w:rPr>
      <w:rFonts w:ascii="Courier New" w:hAnsi="Courier New"/>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模板普通正文"/>
    <w:basedOn w:val="17"/>
    <w:qFormat/>
    <w:uiPriority w:val="0"/>
    <w:pPr>
      <w:spacing w:beforeLines="50" w:after="10"/>
      <w:ind w:firstLine="490" w:firstLineChars="175"/>
      <w:jc w:val="left"/>
    </w:pPr>
  </w:style>
  <w:style w:type="paragraph" w:customStyle="1" w:styleId="49">
    <w:name w:val="NormalIndent"/>
    <w:basedOn w:val="1"/>
    <w:qFormat/>
    <w:uiPriority w:val="0"/>
    <w:pPr>
      <w:ind w:firstLine="420"/>
    </w:pPr>
    <w:rPr>
      <w:szCs w:val="21"/>
    </w:rPr>
  </w:style>
  <w:style w:type="character" w:customStyle="1" w:styleId="50">
    <w:name w:val="style31"/>
    <w:qFormat/>
    <w:uiPriority w:val="0"/>
    <w:rPr>
      <w:sz w:val="18"/>
      <w:szCs w:val="18"/>
    </w:rPr>
  </w:style>
  <w:style w:type="character" w:customStyle="1" w:styleId="51">
    <w:name w:val="标题 6 字符"/>
    <w:link w:val="8"/>
    <w:qFormat/>
    <w:uiPriority w:val="0"/>
    <w:rPr>
      <w:rFonts w:ascii="Arial" w:hAnsi="Arial" w:eastAsia="黑体"/>
      <w:b/>
      <w:sz w:val="24"/>
    </w:rPr>
  </w:style>
  <w:style w:type="character" w:customStyle="1" w:styleId="52">
    <w:name w:val="apple-style-span"/>
    <w:basedOn w:val="39"/>
    <w:qFormat/>
    <w:uiPriority w:val="0"/>
  </w:style>
  <w:style w:type="character" w:customStyle="1" w:styleId="53">
    <w:name w:val="标题 4 字符"/>
    <w:link w:val="5"/>
    <w:qFormat/>
    <w:uiPriority w:val="0"/>
    <w:rPr>
      <w:rFonts w:ascii="宋体" w:hAnsi="Arial" w:eastAsia="黑体"/>
      <w:b/>
      <w:sz w:val="24"/>
    </w:rPr>
  </w:style>
  <w:style w:type="character" w:customStyle="1" w:styleId="54">
    <w:name w:val="Char Char2"/>
    <w:semiHidden/>
    <w:qFormat/>
    <w:uiPriority w:val="0"/>
    <w:rPr>
      <w:rFonts w:ascii="宋体" w:hAnsi="Courier New" w:eastAsia="宋体"/>
      <w:spacing w:val="-4"/>
      <w:kern w:val="2"/>
      <w:sz w:val="18"/>
      <w:lang w:val="en-US" w:eastAsia="zh-CN" w:bidi="ar-SA"/>
    </w:rPr>
  </w:style>
  <w:style w:type="character" w:customStyle="1" w:styleId="55">
    <w:name w:val="font11"/>
    <w:qFormat/>
    <w:uiPriority w:val="0"/>
    <w:rPr>
      <w:rFonts w:hint="default" w:ascii="Tahoma" w:hAnsi="Tahoma" w:cs="Tahoma"/>
      <w:color w:val="000000"/>
      <w:sz w:val="22"/>
      <w:szCs w:val="22"/>
      <w:u w:val="none"/>
    </w:rPr>
  </w:style>
  <w:style w:type="character" w:customStyle="1" w:styleId="56">
    <w:name w:val="普通文字 Char Char1"/>
    <w:semiHidden/>
    <w:qFormat/>
    <w:uiPriority w:val="0"/>
    <w:rPr>
      <w:rFonts w:ascii="宋体" w:hAnsi="Courier New" w:eastAsia="宋体"/>
      <w:kern w:val="2"/>
      <w:sz w:val="21"/>
      <w:lang w:val="en-US" w:eastAsia="zh-CN" w:bidi="ar-SA"/>
    </w:rPr>
  </w:style>
  <w:style w:type="character" w:customStyle="1" w:styleId="57">
    <w:name w:val="批注文字 字符"/>
    <w:link w:val="14"/>
    <w:qFormat/>
    <w:uiPriority w:val="0"/>
    <w:rPr>
      <w:rFonts w:eastAsia="宋体"/>
      <w:kern w:val="2"/>
      <w:sz w:val="21"/>
      <w:szCs w:val="24"/>
      <w:lang w:val="en-US" w:eastAsia="zh-CN" w:bidi="ar-SA"/>
    </w:rPr>
  </w:style>
  <w:style w:type="character" w:customStyle="1" w:styleId="58">
    <w:name w:val="标题 8 字符"/>
    <w:link w:val="10"/>
    <w:qFormat/>
    <w:uiPriority w:val="0"/>
    <w:rPr>
      <w:rFonts w:ascii="Arial" w:hAnsi="Arial" w:eastAsia="黑体"/>
      <w:sz w:val="24"/>
    </w:rPr>
  </w:style>
  <w:style w:type="character" w:customStyle="1" w:styleId="59">
    <w:name w:val="font31"/>
    <w:qFormat/>
    <w:uiPriority w:val="0"/>
    <w:rPr>
      <w:rFonts w:hint="eastAsia" w:ascii="宋体" w:hAnsi="宋体" w:eastAsia="宋体"/>
      <w:color w:val="000000"/>
      <w:sz w:val="22"/>
      <w:szCs w:val="22"/>
      <w:u w:val="none"/>
    </w:rPr>
  </w:style>
  <w:style w:type="character" w:customStyle="1" w:styleId="60">
    <w:name w:val="页眉 字符"/>
    <w:link w:val="27"/>
    <w:qFormat/>
    <w:uiPriority w:val="0"/>
    <w:rPr>
      <w:rFonts w:ascii="宋体" w:hAnsi="Courier New" w:eastAsia="宋体" w:cs="Times New Roman"/>
      <w:sz w:val="18"/>
      <w:szCs w:val="20"/>
    </w:rPr>
  </w:style>
  <w:style w:type="character" w:customStyle="1" w:styleId="61">
    <w:name w:val="纯文本 Char"/>
    <w:qFormat/>
    <w:uiPriority w:val="0"/>
    <w:rPr>
      <w:rFonts w:ascii="宋体" w:hAnsi="Courier New" w:eastAsia="宋体" w:cs="Courier New"/>
      <w:szCs w:val="21"/>
    </w:rPr>
  </w:style>
  <w:style w:type="character" w:customStyle="1" w:styleId="62">
    <w:name w:val="style54"/>
    <w:basedOn w:val="39"/>
    <w:qFormat/>
    <w:uiPriority w:val="0"/>
  </w:style>
  <w:style w:type="character" w:customStyle="1" w:styleId="63">
    <w:name w:val="正文文本缩进 2 字符"/>
    <w:link w:val="23"/>
    <w:qFormat/>
    <w:uiPriority w:val="0"/>
    <w:rPr>
      <w:rFonts w:ascii="Times New Roman" w:hAnsi="Times New Roman" w:eastAsia="宋体" w:cs="Times New Roman"/>
      <w:szCs w:val="24"/>
    </w:rPr>
  </w:style>
  <w:style w:type="character" w:customStyle="1" w:styleId="64">
    <w:name w:val="日期 字符"/>
    <w:link w:val="22"/>
    <w:qFormat/>
    <w:uiPriority w:val="0"/>
    <w:rPr>
      <w:rFonts w:ascii="Times New Roman" w:hAnsi="Times New Roman" w:eastAsia="宋体" w:cs="Times New Roman"/>
      <w:spacing w:val="30"/>
      <w:sz w:val="28"/>
      <w:szCs w:val="24"/>
    </w:rPr>
  </w:style>
  <w:style w:type="character" w:customStyle="1" w:styleId="65">
    <w:name w:val="font01"/>
    <w:qFormat/>
    <w:uiPriority w:val="0"/>
    <w:rPr>
      <w:rFonts w:hint="eastAsia" w:ascii="宋体" w:hAnsi="宋体" w:eastAsia="宋体"/>
      <w:color w:val="000000"/>
      <w:sz w:val="22"/>
      <w:szCs w:val="22"/>
      <w:u w:val="none"/>
    </w:rPr>
  </w:style>
  <w:style w:type="character" w:customStyle="1" w:styleId="66">
    <w:name w:val="纯文本 字符"/>
    <w:link w:val="20"/>
    <w:qFormat/>
    <w:uiPriority w:val="0"/>
    <w:rPr>
      <w:rFonts w:ascii="宋体" w:hAnsi="Courier New" w:eastAsia="宋体" w:cs="Times New Roman"/>
      <w:szCs w:val="20"/>
    </w:rPr>
  </w:style>
  <w:style w:type="character" w:customStyle="1" w:styleId="67">
    <w:name w:val="标题 7 字符"/>
    <w:link w:val="9"/>
    <w:qFormat/>
    <w:uiPriority w:val="0"/>
    <w:rPr>
      <w:b/>
      <w:sz w:val="24"/>
    </w:rPr>
  </w:style>
  <w:style w:type="character" w:customStyle="1" w:styleId="68">
    <w:name w:val="1051"/>
    <w:qFormat/>
    <w:uiPriority w:val="0"/>
    <w:rPr>
      <w:sz w:val="21"/>
      <w:szCs w:val="21"/>
    </w:rPr>
  </w:style>
  <w:style w:type="character" w:customStyle="1" w:styleId="69">
    <w:name w:val="批注框文本 字符"/>
    <w:link w:val="24"/>
    <w:semiHidden/>
    <w:qFormat/>
    <w:uiPriority w:val="0"/>
    <w:rPr>
      <w:rFonts w:ascii="Times New Roman" w:hAnsi="Times New Roman" w:eastAsia="宋体" w:cs="Times New Roman"/>
      <w:sz w:val="18"/>
      <w:szCs w:val="18"/>
    </w:rPr>
  </w:style>
  <w:style w:type="character" w:customStyle="1" w:styleId="70">
    <w:name w:val="页脚 字符"/>
    <w:link w:val="25"/>
    <w:qFormat/>
    <w:uiPriority w:val="99"/>
    <w:rPr>
      <w:rFonts w:ascii="宋体" w:hAnsi="Courier New" w:eastAsia="宋体" w:cs="Times New Roman"/>
      <w:sz w:val="18"/>
      <w:szCs w:val="20"/>
    </w:rPr>
  </w:style>
  <w:style w:type="character" w:customStyle="1" w:styleId="71">
    <w:name w:val="正文文本 字符"/>
    <w:link w:val="16"/>
    <w:qFormat/>
    <w:uiPriority w:val="0"/>
    <w:rPr>
      <w:rFonts w:ascii="宋体" w:hAnsi="Times New Roman" w:eastAsia="宋体" w:cs="Times New Roman"/>
      <w:kern w:val="0"/>
      <w:sz w:val="34"/>
      <w:szCs w:val="20"/>
    </w:rPr>
  </w:style>
  <w:style w:type="character" w:customStyle="1" w:styleId="72">
    <w:name w:val="标准文本 Char"/>
    <w:link w:val="73"/>
    <w:qFormat/>
    <w:uiPriority w:val="0"/>
    <w:rPr>
      <w:rFonts w:cs="宋体"/>
      <w:kern w:val="2"/>
      <w:sz w:val="24"/>
    </w:rPr>
  </w:style>
  <w:style w:type="paragraph" w:customStyle="1" w:styleId="73">
    <w:name w:val="标准文本"/>
    <w:basedOn w:val="1"/>
    <w:link w:val="72"/>
    <w:qFormat/>
    <w:uiPriority w:val="0"/>
    <w:pPr>
      <w:spacing w:line="360" w:lineRule="auto"/>
      <w:ind w:firstLine="480" w:firstLineChars="200"/>
    </w:pPr>
    <w:rPr>
      <w:sz w:val="24"/>
      <w:szCs w:val="20"/>
    </w:rPr>
  </w:style>
  <w:style w:type="character" w:customStyle="1" w:styleId="74">
    <w:name w:val="font41"/>
    <w:qFormat/>
    <w:uiPriority w:val="0"/>
    <w:rPr>
      <w:rFonts w:hint="eastAsia" w:ascii="宋体" w:hAnsi="宋体" w:eastAsia="宋体"/>
      <w:b/>
      <w:bCs/>
      <w:color w:val="000000"/>
      <w:sz w:val="22"/>
      <w:szCs w:val="22"/>
      <w:u w:val="none"/>
    </w:rPr>
  </w:style>
  <w:style w:type="character" w:customStyle="1" w:styleId="75">
    <w:name w:val="unnamed21"/>
    <w:basedOn w:val="39"/>
    <w:qFormat/>
    <w:uiPriority w:val="0"/>
  </w:style>
  <w:style w:type="character" w:customStyle="1" w:styleId="76">
    <w:name w:val="正文文本缩进 字符"/>
    <w:link w:val="17"/>
    <w:qFormat/>
    <w:uiPriority w:val="0"/>
    <w:rPr>
      <w:rFonts w:ascii="宋体" w:hAnsi="Courier New" w:eastAsia="宋体" w:cs="Times New Roman"/>
      <w:spacing w:val="-4"/>
      <w:sz w:val="18"/>
      <w:szCs w:val="20"/>
    </w:rPr>
  </w:style>
  <w:style w:type="character" w:customStyle="1" w:styleId="77">
    <w:name w:val="style51"/>
    <w:basedOn w:val="39"/>
    <w:qFormat/>
    <w:uiPriority w:val="0"/>
  </w:style>
  <w:style w:type="character" w:customStyle="1" w:styleId="78">
    <w:name w:val="文档结构图 字符"/>
    <w:link w:val="13"/>
    <w:semiHidden/>
    <w:qFormat/>
    <w:uiPriority w:val="0"/>
    <w:rPr>
      <w:rFonts w:ascii="Times New Roman" w:hAnsi="Times New Roman" w:eastAsia="宋体" w:cs="Times New Roman"/>
      <w:szCs w:val="24"/>
      <w:shd w:val="clear" w:color="auto" w:fill="000080"/>
    </w:rPr>
  </w:style>
  <w:style w:type="character" w:customStyle="1" w:styleId="79">
    <w:name w:val="纯文本 Char Char Char"/>
    <w:qFormat/>
    <w:uiPriority w:val="0"/>
    <w:rPr>
      <w:rFonts w:ascii="宋体" w:hAnsi="Courier New" w:eastAsia="宋体" w:cs="Courier New"/>
      <w:kern w:val="2"/>
      <w:sz w:val="21"/>
      <w:szCs w:val="21"/>
      <w:lang w:val="en-US" w:eastAsia="zh-CN" w:bidi="ar-SA"/>
    </w:rPr>
  </w:style>
  <w:style w:type="character" w:customStyle="1" w:styleId="80">
    <w:name w:val="标题 1 字符"/>
    <w:link w:val="2"/>
    <w:qFormat/>
    <w:uiPriority w:val="0"/>
    <w:rPr>
      <w:b/>
      <w:bCs/>
      <w:kern w:val="2"/>
      <w:sz w:val="32"/>
      <w:szCs w:val="24"/>
    </w:rPr>
  </w:style>
  <w:style w:type="character" w:customStyle="1" w:styleId="81">
    <w:name w:val="标题 5 字符"/>
    <w:link w:val="6"/>
    <w:qFormat/>
    <w:uiPriority w:val="0"/>
    <w:rPr>
      <w:b/>
      <w:sz w:val="28"/>
    </w:rPr>
  </w:style>
  <w:style w:type="character" w:customStyle="1" w:styleId="82">
    <w:name w:val="正文文本缩进 3 字符"/>
    <w:link w:val="30"/>
    <w:qFormat/>
    <w:uiPriority w:val="0"/>
    <w:rPr>
      <w:rFonts w:ascii="Times New Roman" w:hAnsi="Times New Roman" w:eastAsia="宋体" w:cs="Times New Roman"/>
      <w:szCs w:val="24"/>
    </w:rPr>
  </w:style>
  <w:style w:type="character" w:customStyle="1" w:styleId="83">
    <w:name w:val="HTML 预设格式 字符"/>
    <w:link w:val="32"/>
    <w:qFormat/>
    <w:uiPriority w:val="0"/>
    <w:rPr>
      <w:rFonts w:ascii="黑体" w:hAnsi="Courier New" w:eastAsia="黑体" w:cs="Courier New"/>
      <w:kern w:val="0"/>
      <w:sz w:val="20"/>
      <w:szCs w:val="20"/>
    </w:rPr>
  </w:style>
  <w:style w:type="character" w:customStyle="1" w:styleId="84">
    <w:name w:val="标题 2 字符"/>
    <w:link w:val="3"/>
    <w:qFormat/>
    <w:uiPriority w:val="0"/>
    <w:rPr>
      <w:rFonts w:ascii="Arial" w:hAnsi="Arial" w:eastAsia="黑体" w:cs="Times New Roman"/>
      <w:b/>
      <w:bCs/>
      <w:sz w:val="32"/>
      <w:szCs w:val="32"/>
    </w:rPr>
  </w:style>
  <w:style w:type="character" w:customStyle="1" w:styleId="85">
    <w:name w:val="标题 9 字符"/>
    <w:link w:val="11"/>
    <w:qFormat/>
    <w:uiPriority w:val="0"/>
    <w:rPr>
      <w:rFonts w:ascii="Arial" w:hAnsi="Arial" w:eastAsia="黑体"/>
    </w:rPr>
  </w:style>
  <w:style w:type="character" w:customStyle="1" w:styleId="86">
    <w:name w:val="正文缩进 字符"/>
    <w:link w:val="7"/>
    <w:qFormat/>
    <w:locked/>
    <w:uiPriority w:val="0"/>
    <w:rPr>
      <w:rFonts w:ascii="Times New Roman" w:hAnsi="Times New Roman" w:eastAsia="宋体" w:cs="Times New Roman"/>
      <w:szCs w:val="20"/>
    </w:rPr>
  </w:style>
  <w:style w:type="paragraph" w:customStyle="1" w:styleId="8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8">
    <w:name w:val="Table Paragraph"/>
    <w:basedOn w:val="1"/>
    <w:qFormat/>
    <w:uiPriority w:val="1"/>
    <w:pPr>
      <w:ind w:left="100" w:right="-10"/>
      <w:jc w:val="left"/>
    </w:pPr>
    <w:rPr>
      <w:rFonts w:ascii="宋体" w:hAnsi="宋体" w:cs="宋体"/>
      <w:kern w:val="0"/>
      <w:sz w:val="22"/>
      <w:szCs w:val="22"/>
      <w:lang w:eastAsia="en-US"/>
    </w:rPr>
  </w:style>
  <w:style w:type="paragraph" w:customStyle="1" w:styleId="8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styleId="90">
    <w:name w:val="List Paragraph"/>
    <w:basedOn w:val="1"/>
    <w:qFormat/>
    <w:uiPriority w:val="99"/>
    <w:pPr>
      <w:ind w:firstLine="420" w:firstLineChars="200"/>
    </w:pPr>
    <w:rPr>
      <w:rFonts w:ascii="Calibri" w:hAnsi="Calibri"/>
      <w:szCs w:val="22"/>
    </w:rPr>
  </w:style>
  <w:style w:type="paragraph" w:customStyle="1" w:styleId="91">
    <w:name w:val="Char"/>
    <w:basedOn w:val="13"/>
    <w:qFormat/>
    <w:uiPriority w:val="0"/>
    <w:rPr>
      <w:rFonts w:ascii="Tahoma" w:hAnsi="Tahoma"/>
      <w:sz w:val="24"/>
    </w:rPr>
  </w:style>
  <w:style w:type="paragraph" w:customStyle="1" w:styleId="9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3">
    <w:name w:val="p15"/>
    <w:basedOn w:val="1"/>
    <w:qFormat/>
    <w:uiPriority w:val="0"/>
    <w:pPr>
      <w:widowControl/>
    </w:pPr>
    <w:rPr>
      <w:rFonts w:ascii="宋体" w:hAnsi="宋体" w:cs="宋体"/>
      <w:kern w:val="0"/>
      <w:szCs w:val="21"/>
    </w:rPr>
  </w:style>
  <w:style w:type="paragraph" w:customStyle="1" w:styleId="94">
    <w:name w:val="样式3"/>
    <w:basedOn w:val="16"/>
    <w:qFormat/>
    <w:uiPriority w:val="0"/>
    <w:pPr>
      <w:adjustRightInd/>
      <w:spacing w:line="360" w:lineRule="auto"/>
      <w:jc w:val="both"/>
    </w:pPr>
    <w:rPr>
      <w:kern w:val="2"/>
      <w:sz w:val="21"/>
      <w:szCs w:val="24"/>
    </w:rPr>
  </w:style>
  <w:style w:type="paragraph" w:customStyle="1" w:styleId="95">
    <w:name w:val="Char Char Char Char Char Char Char"/>
    <w:basedOn w:val="1"/>
    <w:qFormat/>
    <w:uiPriority w:val="0"/>
  </w:style>
  <w:style w:type="paragraph" w:customStyle="1" w:styleId="96">
    <w:name w:val="Char Char Char Char"/>
    <w:basedOn w:val="13"/>
    <w:qFormat/>
    <w:uiPriority w:val="0"/>
    <w:rPr>
      <w:rFonts w:ascii="Tahoma" w:hAnsi="Tahoma"/>
      <w:sz w:val="24"/>
    </w:rPr>
  </w:style>
  <w:style w:type="paragraph" w:customStyle="1" w:styleId="97">
    <w:name w:val="样式1"/>
    <w:basedOn w:val="1"/>
    <w:qFormat/>
    <w:uiPriority w:val="0"/>
  </w:style>
  <w:style w:type="paragraph" w:customStyle="1" w:styleId="98">
    <w:name w:val="列出段落1"/>
    <w:basedOn w:val="1"/>
    <w:qFormat/>
    <w:uiPriority w:val="34"/>
    <w:pPr>
      <w:ind w:firstLine="420" w:firstLineChars="200"/>
    </w:pPr>
  </w:style>
  <w:style w:type="paragraph" w:customStyle="1" w:styleId="99">
    <w:name w:val="TOC 标题1"/>
    <w:basedOn w:val="2"/>
    <w:next w:val="1"/>
    <w:unhideWhenUsed/>
    <w:qFormat/>
    <w:uiPriority w:val="39"/>
    <w:pPr>
      <w:keepLines/>
      <w:widowControl/>
      <w:spacing w:before="480" w:line="276" w:lineRule="auto"/>
      <w:jc w:val="left"/>
      <w:outlineLvl w:val="9"/>
    </w:pPr>
    <w:rPr>
      <w:rFonts w:ascii="Cambria" w:hAnsi="Cambria" w:cs="黑体"/>
      <w:color w:val="365F90"/>
      <w:kern w:val="0"/>
      <w:sz w:val="28"/>
      <w:szCs w:val="28"/>
    </w:rPr>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customStyle="1" w:styleId="104">
    <w:name w:val="Char1"/>
    <w:basedOn w:val="13"/>
    <w:qFormat/>
    <w:uiPriority w:val="0"/>
    <w:pPr>
      <w:widowControl/>
      <w:ind w:firstLine="454"/>
      <w:jc w:val="left"/>
    </w:pPr>
    <w:rPr>
      <w:rFonts w:ascii="Tahoma" w:hAnsi="Tahoma" w:cs="宋体"/>
      <w:sz w:val="24"/>
      <w:szCs w:val="20"/>
    </w:rPr>
  </w:style>
  <w:style w:type="paragraph" w:customStyle="1" w:styleId="10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p0"/>
    <w:basedOn w:val="1"/>
    <w:qFormat/>
    <w:uiPriority w:val="0"/>
    <w:pPr>
      <w:widowControl/>
    </w:pPr>
    <w:rPr>
      <w:kern w:val="0"/>
      <w:szCs w:val="21"/>
    </w:rPr>
  </w:style>
  <w:style w:type="paragraph" w:customStyle="1" w:styleId="107">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08">
    <w:name w:val="默认段落字体 Para Char1"/>
    <w:next w:val="1"/>
    <w:qFormat/>
    <w:uiPriority w:val="0"/>
    <w:pPr>
      <w:keepNext/>
      <w:keepLines/>
      <w:tabs>
        <w:tab w:val="left" w:pos="360"/>
      </w:tabs>
      <w:snapToGrid w:val="0"/>
      <w:spacing w:before="240" w:after="240"/>
      <w:outlineLvl w:val="7"/>
    </w:pPr>
    <w:rPr>
      <w:rFonts w:ascii="Arial" w:hAnsi="Arial" w:eastAsia="宋体" w:cs="Arial"/>
      <w:lang w:val="en-US" w:eastAsia="zh-CN" w:bidi="ar-SA"/>
    </w:rPr>
  </w:style>
  <w:style w:type="paragraph" w:customStyle="1" w:styleId="109">
    <w:name w:val="F2"/>
    <w:basedOn w:val="1"/>
    <w:qFormat/>
    <w:uiPriority w:val="0"/>
    <w:pPr>
      <w:autoSpaceDE w:val="0"/>
      <w:autoSpaceDN w:val="0"/>
      <w:adjustRightInd w:val="0"/>
      <w:ind w:firstLine="601"/>
      <w:textAlignment w:val="baseline"/>
    </w:pPr>
    <w:rPr>
      <w:kern w:val="0"/>
      <w:sz w:val="24"/>
      <w:szCs w:val="20"/>
    </w:rPr>
  </w:style>
  <w:style w:type="paragraph" w:customStyle="1" w:styleId="11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1">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11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3">
    <w:name w:val="列出段落2"/>
    <w:basedOn w:val="1"/>
    <w:unhideWhenUsed/>
    <w:qFormat/>
    <w:uiPriority w:val="34"/>
    <w:pPr>
      <w:ind w:firstLine="420" w:firstLineChars="200"/>
    </w:pPr>
    <w:rPr>
      <w:szCs w:val="20"/>
    </w:rPr>
  </w:style>
  <w:style w:type="paragraph" w:customStyle="1" w:styleId="114">
    <w:name w:val="_Style 5"/>
    <w:basedOn w:val="1"/>
    <w:qFormat/>
    <w:uiPriority w:val="34"/>
    <w:pPr>
      <w:spacing w:line="360" w:lineRule="auto"/>
      <w:ind w:firstLine="420" w:firstLineChars="200"/>
    </w:pPr>
    <w:rPr>
      <w:rFonts w:ascii="Calibri" w:hAnsi="Calibri"/>
      <w:szCs w:val="22"/>
    </w:rPr>
  </w:style>
  <w:style w:type="paragraph" w:customStyle="1" w:styleId="115">
    <w:name w:val="_Style 1"/>
    <w:basedOn w:val="1"/>
    <w:qFormat/>
    <w:uiPriority w:val="34"/>
    <w:pPr>
      <w:spacing w:line="360" w:lineRule="auto"/>
      <w:ind w:firstLine="420" w:firstLineChars="200"/>
    </w:pPr>
    <w:rPr>
      <w:rFonts w:ascii="Calibri" w:hAnsi="Calibri"/>
      <w:szCs w:val="22"/>
    </w:rPr>
  </w:style>
  <w:style w:type="character" w:customStyle="1" w:styleId="116">
    <w:name w:val="批注主题 字符"/>
    <w:basedOn w:val="57"/>
    <w:link w:val="35"/>
    <w:semiHidden/>
    <w:qFormat/>
    <w:uiPriority w:val="0"/>
    <w:rPr>
      <w:rFonts w:eastAsia="宋体"/>
      <w:b/>
      <w:bCs/>
      <w:kern w:val="2"/>
      <w:sz w:val="21"/>
      <w:szCs w:val="24"/>
      <w:lang w:val="en-US" w:eastAsia="zh-CN" w:bidi="ar-SA"/>
    </w:rPr>
  </w:style>
  <w:style w:type="paragraph" w:customStyle="1" w:styleId="117">
    <w:name w:val="正文段"/>
    <w:basedOn w:val="1"/>
    <w:qFormat/>
    <w:uiPriority w:val="0"/>
    <w:pPr>
      <w:widowControl/>
      <w:snapToGrid w:val="0"/>
      <w:spacing w:afterLines="50"/>
      <w:ind w:firstLine="200" w:firstLineChars="200"/>
    </w:pPr>
    <w:rPr>
      <w:kern w:val="0"/>
      <w:sz w:val="24"/>
      <w:szCs w:val="20"/>
    </w:rPr>
  </w:style>
  <w:style w:type="character" w:customStyle="1" w:styleId="118">
    <w:name w:val="批注文字 Char1"/>
    <w:basedOn w:val="39"/>
    <w:semiHidden/>
    <w:qFormat/>
    <w:locked/>
    <w:uiPriority w:val="0"/>
    <w:rPr>
      <w:kern w:val="2"/>
      <w:sz w:val="21"/>
      <w:szCs w:val="24"/>
    </w:rPr>
  </w:style>
  <w:style w:type="character" w:customStyle="1" w:styleId="119">
    <w:name w:val="正文文本 3 字符"/>
    <w:basedOn w:val="39"/>
    <w:link w:val="15"/>
    <w:semiHidden/>
    <w:qFormat/>
    <w:uiPriority w:val="0"/>
    <w:rPr>
      <w:kern w:val="2"/>
      <w:sz w:val="16"/>
      <w:szCs w:val="16"/>
    </w:rPr>
  </w:style>
  <w:style w:type="paragraph" w:customStyle="1" w:styleId="120">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1">
    <w:name w:val="项目符号A Char"/>
    <w:link w:val="122"/>
    <w:qFormat/>
    <w:uiPriority w:val="0"/>
    <w:rPr>
      <w:rFonts w:ascii="仿宋_GB2312" w:hAnsi="Arial" w:eastAsia="仿宋_GB2312"/>
      <w:spacing w:val="-4"/>
      <w:kern w:val="2"/>
      <w:sz w:val="24"/>
      <w:szCs w:val="24"/>
    </w:rPr>
  </w:style>
  <w:style w:type="paragraph" w:customStyle="1" w:styleId="122">
    <w:name w:val="项目符号A"/>
    <w:basedOn w:val="1"/>
    <w:link w:val="121"/>
    <w:qFormat/>
    <w:uiPriority w:val="0"/>
    <w:pPr>
      <w:tabs>
        <w:tab w:val="left" w:pos="1021"/>
      </w:tabs>
      <w:spacing w:line="400" w:lineRule="exact"/>
      <w:ind w:firstLine="465"/>
    </w:pPr>
    <w:rPr>
      <w:rFonts w:ascii="仿宋_GB2312" w:hAnsi="Arial" w:eastAsia="仿宋_GB2312"/>
      <w:spacing w:val="-4"/>
      <w:sz w:val="24"/>
    </w:rPr>
  </w:style>
  <w:style w:type="character" w:customStyle="1" w:styleId="123">
    <w:name w:val="article11"/>
    <w:qFormat/>
    <w:uiPriority w:val="0"/>
    <w:rPr>
      <w:color w:val="000000"/>
      <w:sz w:val="23"/>
      <w:szCs w:val="23"/>
    </w:rPr>
  </w:style>
  <w:style w:type="character" w:customStyle="1" w:styleId="124">
    <w:name w:val="case31"/>
    <w:qFormat/>
    <w:uiPriority w:val="0"/>
    <w:rPr>
      <w:rFonts w:hint="default"/>
      <w:sz w:val="21"/>
      <w:szCs w:val="21"/>
    </w:rPr>
  </w:style>
  <w:style w:type="character" w:customStyle="1" w:styleId="125">
    <w:name w:val="正文文本首行缩进 2 字符"/>
    <w:basedOn w:val="76"/>
    <w:link w:val="36"/>
    <w:qFormat/>
    <w:uiPriority w:val="0"/>
    <w:rPr>
      <w:rFonts w:ascii="宋体" w:hAnsi="Courier New" w:eastAsia="宋体" w:cs="Times New Roman"/>
      <w:spacing w:val="-4"/>
      <w:kern w:val="2"/>
      <w:sz w:val="21"/>
      <w:szCs w:val="24"/>
    </w:rPr>
  </w:style>
  <w:style w:type="character" w:customStyle="1" w:styleId="126">
    <w:name w:val="Char Char20"/>
    <w:qFormat/>
    <w:locked/>
    <w:uiPriority w:val="0"/>
    <w:rPr>
      <w:rFonts w:eastAsia="宋体"/>
      <w:b/>
      <w:bCs/>
      <w:kern w:val="44"/>
      <w:sz w:val="44"/>
      <w:szCs w:val="44"/>
      <w:lang w:bidi="ar-SA"/>
    </w:rPr>
  </w:style>
  <w:style w:type="paragraph" w:customStyle="1" w:styleId="12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9">
    <w:name w:val="标题 1_0"/>
    <w:basedOn w:val="130"/>
    <w:next w:val="130"/>
    <w:qFormat/>
    <w:uiPriority w:val="99"/>
    <w:pPr>
      <w:keepNext/>
      <w:keepLines/>
      <w:spacing w:line="360" w:lineRule="auto"/>
      <w:outlineLvl w:val="0"/>
    </w:pPr>
    <w:rPr>
      <w:rFonts w:ascii="Times New Roman" w:hAnsi="Times New Roman" w:eastAsia="黑体"/>
      <w:b/>
      <w:bCs/>
      <w:kern w:val="44"/>
      <w:sz w:val="44"/>
      <w:szCs w:val="44"/>
      <w:lang w:val="zh-CN"/>
    </w:rPr>
  </w:style>
  <w:style w:type="paragraph" w:customStyle="1" w:styleId="13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正文_3_0"/>
    <w:basedOn w:val="132"/>
    <w:qFormat/>
    <w:uiPriority w:val="0"/>
    <w:rPr>
      <w:rFonts w:ascii="Calibri" w:hAnsi="Calibri"/>
    </w:rPr>
  </w:style>
  <w:style w:type="paragraph" w:customStyle="1" w:styleId="13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标题 1_1"/>
    <w:basedOn w:val="134"/>
    <w:next w:val="131"/>
    <w:qFormat/>
    <w:uiPriority w:val="99"/>
    <w:pPr>
      <w:keepNext/>
      <w:keepLines/>
      <w:spacing w:before="340" w:after="330" w:line="578" w:lineRule="auto"/>
      <w:outlineLvl w:val="0"/>
    </w:pPr>
    <w:rPr>
      <w:rFonts w:eastAsia="黑体"/>
      <w:b/>
      <w:bCs/>
      <w:kern w:val="44"/>
      <w:sz w:val="32"/>
      <w:szCs w:val="44"/>
    </w:rPr>
  </w:style>
  <w:style w:type="paragraph" w:customStyle="1" w:styleId="134">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普通(网站)_0"/>
    <w:basedOn w:val="136"/>
    <w:qFormat/>
    <w:uiPriority w:val="0"/>
    <w:pPr>
      <w:widowControl/>
      <w:spacing w:before="100" w:beforeAutospacing="1" w:after="100" w:afterAutospacing="1"/>
      <w:jc w:val="left"/>
    </w:pPr>
    <w:rPr>
      <w:rFonts w:ascii="宋体" w:hAnsi="宋体" w:cs="宋体"/>
      <w:kern w:val="0"/>
      <w:sz w:val="24"/>
      <w:szCs w:val="24"/>
    </w:rPr>
  </w:style>
  <w:style w:type="paragraph" w:customStyle="1" w:styleId="13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纯文本_0"/>
    <w:basedOn w:val="136"/>
    <w:next w:val="138"/>
    <w:qFormat/>
    <w:uiPriority w:val="0"/>
    <w:rPr>
      <w:rFonts w:ascii="宋体" w:hAnsi="Courier New"/>
      <w:szCs w:val="20"/>
    </w:rPr>
  </w:style>
  <w:style w:type="paragraph" w:customStyle="1" w:styleId="138">
    <w:name w:val="标题 4_2"/>
    <w:basedOn w:val="136"/>
    <w:next w:val="136"/>
    <w:qFormat/>
    <w:uiPriority w:val="99"/>
    <w:pPr>
      <w:keepNext/>
      <w:keepLines/>
      <w:spacing w:before="280" w:after="290" w:line="376" w:lineRule="auto"/>
      <w:outlineLvl w:val="3"/>
    </w:pPr>
    <w:rPr>
      <w:rFonts w:ascii="Arial" w:hAnsi="Arial" w:eastAsia="黑体"/>
      <w:b/>
      <w:bCs/>
      <w:sz w:val="28"/>
      <w:szCs w:val="28"/>
    </w:rPr>
  </w:style>
  <w:style w:type="paragraph" w:customStyle="1" w:styleId="139">
    <w:name w:val="列出段落_0"/>
    <w:basedOn w:val="136"/>
    <w:qFormat/>
    <w:uiPriority w:val="34"/>
    <w:pPr>
      <w:ind w:firstLine="420" w:firstLineChars="200"/>
    </w:pPr>
  </w:style>
  <w:style w:type="paragraph" w:customStyle="1" w:styleId="140">
    <w:name w:val="Table Text"/>
    <w:basedOn w:val="1"/>
    <w:semiHidden/>
    <w:qFormat/>
    <w:uiPriority w:val="0"/>
    <w:rPr>
      <w:rFonts w:ascii="宋体" w:hAnsi="宋体" w:cs="宋体"/>
      <w:sz w:val="27"/>
      <w:szCs w:val="27"/>
      <w:lang w:eastAsia="en-US"/>
    </w:rPr>
  </w:style>
  <w:style w:type="table" w:customStyle="1" w:styleId="141">
    <w:name w:val="Table Normal"/>
    <w:semiHidden/>
    <w:unhideWhenUsed/>
    <w:qFormat/>
    <w:uiPriority w:val="0"/>
    <w:tblPr>
      <w:tblCellMar>
        <w:top w:w="0" w:type="dxa"/>
        <w:left w:w="0" w:type="dxa"/>
        <w:bottom w:w="0" w:type="dxa"/>
        <w:right w:w="0" w:type="dxa"/>
      </w:tblCellMar>
    </w:tblPr>
  </w:style>
  <w:style w:type="paragraph" w:customStyle="1" w:styleId="14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3">
    <w:name w:val="缩进"/>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58974</Words>
  <Characters>66233</Characters>
  <Lines>2443</Lines>
  <Paragraphs>2387</Paragraphs>
  <TotalTime>49</TotalTime>
  <ScaleCrop>false</ScaleCrop>
  <LinksUpToDate>false</LinksUpToDate>
  <CharactersWithSpaces>70117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2024-07-01T13:49:00Z</dcterms:created>
  <dc:creator>liwenjie</dc:creator>
  <cp:lastModifiedBy>林°</cp:lastModifiedBy>
  <cp:lastPrinted>2024-07-12T05:14:00Z</cp:lastPrinted>
  <dcterms:modified xsi:type="dcterms:W3CDTF">2025-08-11T06:46:45Z</dcterms:modified>
  <dc:title>–</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5DD80F37D0AA477F9AA010E7B3CE0B0D_13</vt:lpwstr>
  </property>
  <property fmtid="{D5CDD505-2E9C-101B-9397-08002B2CF9AE}" pid="4" name="KSOTemplateDocerSaveRecord">
    <vt:lpwstr>eyJoZGlkIjoiYTg1Y2MwZGRhZmQwZjIxMGZiMjk1NjRlZDFmOTJkYmEiLCJ1c2VySWQiOiIxMTY4MjE0NTgzIn0=</vt:lpwstr>
  </property>
</Properties>
</file>